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7BF3" w14:textId="02B24AE5" w:rsidR="0003024B" w:rsidRPr="00995C95" w:rsidRDefault="005F0465" w:rsidP="0003024B">
      <w:pPr>
        <w:pStyle w:val="Nadpis1"/>
        <w:rPr>
          <w:lang w:val="en-GB"/>
        </w:rPr>
      </w:pPr>
      <w:bookmarkStart w:id="0" w:name="_Toc227235022"/>
      <w:r>
        <w:rPr>
          <w:lang w:val="en-GB"/>
        </w:rPr>
        <w:t>8</w:t>
      </w:r>
      <w:r w:rsidR="0003024B" w:rsidRPr="00995C95">
        <w:rPr>
          <w:lang w:val="en-GB"/>
        </w:rPr>
        <w:t>. State Budget</w:t>
      </w:r>
      <w:bookmarkEnd w:id="0"/>
    </w:p>
    <w:tbl>
      <w:tblPr>
        <w:tblW w:w="9669" w:type="dxa"/>
        <w:tblInd w:w="-20" w:type="dxa"/>
        <w:tblLayout w:type="fixed"/>
        <w:tblCellMar>
          <w:left w:w="0" w:type="dxa"/>
          <w:right w:w="0" w:type="dxa"/>
        </w:tblCellMar>
        <w:tblLook w:val="00A0" w:firstRow="1" w:lastRow="0" w:firstColumn="1" w:lastColumn="0" w:noHBand="0" w:noVBand="0"/>
      </w:tblPr>
      <w:tblGrid>
        <w:gridCol w:w="1785"/>
        <w:gridCol w:w="203"/>
        <w:gridCol w:w="7681"/>
      </w:tblGrid>
      <w:tr w:rsidR="0003024B" w:rsidRPr="00995C95" w14:paraId="3B495388" w14:textId="77777777" w:rsidTr="00E25E8B">
        <w:trPr>
          <w:trHeight w:val="60"/>
        </w:trPr>
        <w:tc>
          <w:tcPr>
            <w:tcW w:w="1785" w:type="dxa"/>
            <w:tcMar>
              <w:left w:w="0" w:type="dxa"/>
            </w:tcMar>
          </w:tcPr>
          <w:p w14:paraId="2CAC0A32" w14:textId="77777777" w:rsidR="0003024B" w:rsidRPr="00995C95" w:rsidRDefault="0003024B" w:rsidP="00E25E8B">
            <w:pPr>
              <w:pStyle w:val="Marginlie"/>
              <w:rPr>
                <w:spacing w:val="0"/>
              </w:rPr>
            </w:pPr>
            <w:r w:rsidRPr="00995C95">
              <w:rPr>
                <w:spacing w:val="0"/>
              </w:rPr>
              <w:t>The deficit of the SB slightly deepened last year and exceeded the amount of the approved budget after a long time. However, the deficit continued to decline after adjusting for revenues and expenditure on EU projects.</w:t>
            </w:r>
          </w:p>
        </w:tc>
        <w:tc>
          <w:tcPr>
            <w:tcW w:w="203" w:type="dxa"/>
            <w:tcMar>
              <w:left w:w="0" w:type="dxa"/>
            </w:tcMar>
          </w:tcPr>
          <w:p w14:paraId="5F0FEFD0" w14:textId="77777777" w:rsidR="0003024B" w:rsidRPr="00995C95" w:rsidRDefault="0003024B" w:rsidP="00E25E8B">
            <w:pPr>
              <w:pStyle w:val="Textpoznpodarou"/>
              <w:jc w:val="both"/>
            </w:pPr>
          </w:p>
        </w:tc>
        <w:tc>
          <w:tcPr>
            <w:tcW w:w="7681" w:type="dxa"/>
            <w:tcMar>
              <w:left w:w="0" w:type="dxa"/>
            </w:tcMar>
          </w:tcPr>
          <w:p w14:paraId="016FDBA1" w14:textId="77777777" w:rsidR="0003024B" w:rsidRPr="00995C95" w:rsidRDefault="0003024B" w:rsidP="00E25E8B">
            <w:pPr>
              <w:spacing w:after="200"/>
            </w:pPr>
            <w:r w:rsidRPr="00995C95">
              <w:t>The state budget (SB)</w:t>
            </w:r>
            <w:r w:rsidRPr="00995C95">
              <w:rPr>
                <w:rStyle w:val="Znakapoznpodarou"/>
              </w:rPr>
              <w:t xml:space="preserve"> </w:t>
            </w:r>
            <w:r w:rsidRPr="00995C95">
              <w:rPr>
                <w:rStyle w:val="Znakapoznpodarou"/>
              </w:rPr>
              <w:footnoteReference w:id="1"/>
            </w:r>
            <w:r w:rsidRPr="00995C95">
              <w:t xml:space="preserve"> ended in 2025 with a deficit of 290.7 bn CZK, deeper by almost 20 bn CZK, year-on-year, and simultaneously the most significant in the last three years. For the first time since 2011, the currently attained deficit was worse than budget </w:t>
            </w:r>
            <w:r w:rsidRPr="009E45CD">
              <w:rPr>
                <w:spacing w:val="-2"/>
              </w:rPr>
              <w:t>expectations</w:t>
            </w:r>
            <w:r w:rsidRPr="009E45CD">
              <w:rPr>
                <w:rStyle w:val="Znakapoznpodarou"/>
                <w:spacing w:val="-2"/>
              </w:rPr>
              <w:footnoteReference w:id="2"/>
            </w:r>
            <w:r w:rsidRPr="009E45CD">
              <w:rPr>
                <w:spacing w:val="-2"/>
              </w:rPr>
              <w:t>. The balance of the SB adjusted for funds from the EU budget</w:t>
            </w:r>
            <w:r w:rsidRPr="009E45CD">
              <w:rPr>
                <w:rStyle w:val="Znakapoznpodarou"/>
                <w:spacing w:val="-2"/>
              </w:rPr>
              <w:footnoteReference w:id="3"/>
            </w:r>
            <w:r w:rsidRPr="009E45CD">
              <w:rPr>
                <w:spacing w:val="-2"/>
              </w:rPr>
              <w:t xml:space="preserve"> reached</w:t>
            </w:r>
            <w:r w:rsidRPr="00995C95">
              <w:t xml:space="preserve"> 249.9 bn CZK last year, and although it did not meet the above expectations either, it indicated a trend of a slight decrease of the budget </w:t>
            </w:r>
            <w:r>
              <w:t>deficit</w:t>
            </w:r>
            <w:r w:rsidRPr="00995C95">
              <w:t xml:space="preserve"> expressed in this way. This is connected to a slight strengthening of the growth of the </w:t>
            </w:r>
            <w:r>
              <w:t>Czech</w:t>
            </w:r>
            <w:r w:rsidRPr="00995C95">
              <w:t xml:space="preserve"> economy and the economies of some important trading partners</w:t>
            </w:r>
            <w:r>
              <w:t xml:space="preserve"> as well</w:t>
            </w:r>
            <w:r w:rsidRPr="00995C95">
              <w:t xml:space="preserve">. In addition, both the revenue and expenditure sides of the budget were gradually increasingly affected by the effects of </w:t>
            </w:r>
            <w:r>
              <w:t>“</w:t>
            </w:r>
            <w:r w:rsidRPr="00995C95">
              <w:t>the consolidation recovery package</w:t>
            </w:r>
            <w:r>
              <w:t>”</w:t>
            </w:r>
            <w:r w:rsidRPr="00995C95">
              <w:t xml:space="preserve"> (approved in 2023). The change of the budgetary allocation of taxes (BAT), which has again increased the share of the revenue of some weight-important taxes in favour of the SB </w:t>
            </w:r>
            <w:r>
              <w:t>(</w:t>
            </w:r>
            <w:r w:rsidRPr="009E45CD">
              <w:t xml:space="preserve">at the expense of local </w:t>
            </w:r>
            <w:r>
              <w:t xml:space="preserve">and regional </w:t>
            </w:r>
            <w:r w:rsidRPr="009E45CD">
              <w:t>budgets</w:t>
            </w:r>
            <w:r>
              <w:t xml:space="preserve">) </w:t>
            </w:r>
            <w:r w:rsidRPr="00995C95">
              <w:t>since January 2025, also has a clear impact here</w:t>
            </w:r>
            <w:r w:rsidRPr="00995C95">
              <w:rPr>
                <w:rStyle w:val="Znakapoznpodarou"/>
              </w:rPr>
              <w:footnoteReference w:id="4"/>
            </w:r>
            <w:r w:rsidRPr="00995C95">
              <w:t>.</w:t>
            </w:r>
          </w:p>
        </w:tc>
      </w:tr>
      <w:tr w:rsidR="0003024B" w:rsidRPr="00995C95" w14:paraId="231776AF" w14:textId="77777777" w:rsidTr="00E25E8B">
        <w:trPr>
          <w:trHeight w:val="60"/>
        </w:trPr>
        <w:tc>
          <w:tcPr>
            <w:tcW w:w="1785" w:type="dxa"/>
            <w:tcMar>
              <w:left w:w="0" w:type="dxa"/>
            </w:tcMar>
          </w:tcPr>
          <w:p w14:paraId="07164A0C" w14:textId="77777777" w:rsidR="0003024B" w:rsidRPr="00995C95" w:rsidRDefault="0003024B" w:rsidP="00E25E8B">
            <w:pPr>
              <w:pStyle w:val="Marginlie"/>
              <w:rPr>
                <w:spacing w:val="0"/>
              </w:rPr>
            </w:pPr>
            <w:r w:rsidRPr="00995C95">
              <w:rPr>
                <w:spacing w:val="0"/>
              </w:rPr>
              <w:t xml:space="preserve">The growth of total revenues was driven mainly by rapidly strengthening tax collections and the collection of social security contributions. Mainly the lower revenues from the EU budget had the opposite effect. </w:t>
            </w:r>
          </w:p>
        </w:tc>
        <w:tc>
          <w:tcPr>
            <w:tcW w:w="203" w:type="dxa"/>
            <w:tcMar>
              <w:left w:w="0" w:type="dxa"/>
            </w:tcMar>
          </w:tcPr>
          <w:p w14:paraId="7D2371CB" w14:textId="77777777" w:rsidR="0003024B" w:rsidRPr="00995C95" w:rsidRDefault="0003024B" w:rsidP="00E25E8B">
            <w:pPr>
              <w:pStyle w:val="Textpoznpodarou"/>
              <w:jc w:val="both"/>
            </w:pPr>
          </w:p>
        </w:tc>
        <w:tc>
          <w:tcPr>
            <w:tcW w:w="7681" w:type="dxa"/>
            <w:tcMar>
              <w:left w:w="0" w:type="dxa"/>
            </w:tcMar>
          </w:tcPr>
          <w:p w14:paraId="53D164DE" w14:textId="77777777" w:rsidR="0003024B" w:rsidRPr="00455CE0" w:rsidRDefault="0003024B" w:rsidP="00E25E8B">
            <w:pPr>
              <w:spacing w:after="200"/>
              <w:rPr>
                <w:color w:val="0D0D0D" w:themeColor="text1" w:themeTint="F2"/>
                <w:spacing w:val="-2"/>
              </w:rPr>
            </w:pPr>
            <w:r w:rsidRPr="00455CE0">
              <w:rPr>
                <w:color w:val="0D0D0D" w:themeColor="text1" w:themeTint="F2"/>
                <w:spacing w:val="-2"/>
              </w:rPr>
              <w:t>Total revenues of the SB increased by 5.9%, year-on-year (+116 bn CZK) last year. Almost all key revenue items (except revenue from the EU budget) expanded. Last year's growth was still driven by rapidly growing tax revenues (+9.5%, +92 bn CZK), mainly affected by higher VAT collection and corporate taxes. The steadily increasing collection of social security contributions</w:t>
            </w:r>
            <w:r>
              <w:rPr>
                <w:color w:val="0D0D0D" w:themeColor="text1" w:themeTint="F2"/>
                <w:spacing w:val="-2"/>
              </w:rPr>
              <w:t xml:space="preserve"> </w:t>
            </w:r>
            <w:r w:rsidRPr="00455CE0">
              <w:rPr>
                <w:color w:val="0D0D0D" w:themeColor="text1" w:themeTint="F2"/>
                <w:spacing w:val="-2"/>
              </w:rPr>
              <w:t>(+7.1%, +54 bn CZK), including active employment policy</w:t>
            </w:r>
            <w:r>
              <w:rPr>
                <w:color w:val="0D0D0D" w:themeColor="text1" w:themeTint="F2"/>
                <w:spacing w:val="-2"/>
              </w:rPr>
              <w:t>,</w:t>
            </w:r>
            <w:r w:rsidRPr="00455CE0">
              <w:rPr>
                <w:color w:val="0D0D0D" w:themeColor="text1" w:themeTint="F2"/>
                <w:spacing w:val="-2"/>
              </w:rPr>
              <w:t xml:space="preserve"> stemming from </w:t>
            </w:r>
            <w:r>
              <w:rPr>
                <w:color w:val="0D0D0D" w:themeColor="text1" w:themeTint="F2"/>
                <w:spacing w:val="-2"/>
              </w:rPr>
              <w:t>favourable</w:t>
            </w:r>
            <w:r w:rsidRPr="00455CE0">
              <w:rPr>
                <w:color w:val="0D0D0D" w:themeColor="text1" w:themeTint="F2"/>
                <w:spacing w:val="-2"/>
              </w:rPr>
              <w:t xml:space="preserve"> </w:t>
            </w:r>
            <w:r>
              <w:rPr>
                <w:color w:val="0D0D0D" w:themeColor="text1" w:themeTint="F2"/>
                <w:spacing w:val="-2"/>
              </w:rPr>
              <w:t xml:space="preserve">conditions </w:t>
            </w:r>
            <w:r w:rsidRPr="00455CE0">
              <w:rPr>
                <w:color w:val="0D0D0D" w:themeColor="text1" w:themeTint="F2"/>
                <w:spacing w:val="-2"/>
              </w:rPr>
              <w:t xml:space="preserve">of the labour market </w:t>
            </w:r>
            <w:r>
              <w:rPr>
                <w:color w:val="0D0D0D" w:themeColor="text1" w:themeTint="F2"/>
                <w:spacing w:val="-2"/>
              </w:rPr>
              <w:t xml:space="preserve">(e.g. </w:t>
            </w:r>
            <w:r w:rsidRPr="00455CE0">
              <w:rPr>
                <w:color w:val="0D0D0D" w:themeColor="text1" w:themeTint="F2"/>
                <w:spacing w:val="-2"/>
              </w:rPr>
              <w:t>higher employment accompanied by strengthening average earnings in the corporate sector</w:t>
            </w:r>
            <w:r>
              <w:rPr>
                <w:color w:val="0D0D0D" w:themeColor="text1" w:themeTint="F2"/>
                <w:spacing w:val="-2"/>
              </w:rPr>
              <w:t>)</w:t>
            </w:r>
            <w:r w:rsidRPr="00455CE0">
              <w:rPr>
                <w:color w:val="0D0D0D" w:themeColor="text1" w:themeTint="F2"/>
                <w:spacing w:val="-2"/>
              </w:rPr>
              <w:t>, also had a significant impact. Legislative adjustments in connection with the SB consolidation</w:t>
            </w:r>
            <w:r w:rsidRPr="00455CE0">
              <w:rPr>
                <w:rStyle w:val="Znakapoznpodarou"/>
                <w:spacing w:val="-2"/>
              </w:rPr>
              <w:footnoteReference w:id="5"/>
            </w:r>
            <w:r w:rsidRPr="00455CE0">
              <w:rPr>
                <w:color w:val="0D0D0D" w:themeColor="text1" w:themeTint="F2"/>
                <w:spacing w:val="-2"/>
              </w:rPr>
              <w:t xml:space="preserve"> also contributed to a lesser extent to the growth of this collection, which was</w:t>
            </w:r>
            <w:r>
              <w:rPr>
                <w:color w:val="0D0D0D" w:themeColor="text1" w:themeTint="F2"/>
                <w:spacing w:val="-2"/>
              </w:rPr>
              <w:t xml:space="preserve">, however, </w:t>
            </w:r>
            <w:r w:rsidRPr="00455CE0">
              <w:rPr>
                <w:color w:val="0D0D0D" w:themeColor="text1" w:themeTint="F2"/>
                <w:spacing w:val="-2"/>
              </w:rPr>
              <w:t xml:space="preserve">slightly below budget expectations. On the contrary, the growth of the SB total revenues was dampened mainly by lower revenues from the EU budget and financial mechanisms (−29.5 bn CZK) and also by a weaker transfer of revenues from </w:t>
            </w:r>
            <w:r>
              <w:rPr>
                <w:color w:val="0D0D0D" w:themeColor="text1" w:themeTint="F2"/>
                <w:spacing w:val="-2"/>
              </w:rPr>
              <w:t xml:space="preserve">companies under the </w:t>
            </w:r>
            <w:r w:rsidRPr="00455CE0">
              <w:rPr>
                <w:color w:val="0D0D0D" w:themeColor="text1" w:themeTint="F2"/>
                <w:spacing w:val="-2"/>
              </w:rPr>
              <w:t xml:space="preserve">state ownership (−12.5 bn). </w:t>
            </w:r>
          </w:p>
        </w:tc>
      </w:tr>
      <w:tr w:rsidR="0003024B" w:rsidRPr="00995C95" w14:paraId="6ED82E69" w14:textId="77777777" w:rsidTr="00E25E8B">
        <w:trPr>
          <w:trHeight w:val="60"/>
        </w:trPr>
        <w:tc>
          <w:tcPr>
            <w:tcW w:w="1785" w:type="dxa"/>
            <w:tcMar>
              <w:left w:w="0" w:type="dxa"/>
            </w:tcMar>
          </w:tcPr>
          <w:p w14:paraId="5630EFD7" w14:textId="77777777" w:rsidR="0003024B" w:rsidRPr="00995C95" w:rsidRDefault="0003024B" w:rsidP="00E25E8B">
            <w:pPr>
              <w:pStyle w:val="Marginlie"/>
              <w:rPr>
                <w:spacing w:val="0"/>
              </w:rPr>
            </w:pPr>
            <w:r w:rsidRPr="00995C95">
              <w:rPr>
                <w:spacing w:val="0"/>
              </w:rPr>
              <w:t xml:space="preserve">The growth of nationwide tax collection was supported mainly by higher VAT and corporate tax collection. </w:t>
            </w:r>
          </w:p>
        </w:tc>
        <w:tc>
          <w:tcPr>
            <w:tcW w:w="203" w:type="dxa"/>
            <w:tcMar>
              <w:left w:w="0" w:type="dxa"/>
            </w:tcMar>
          </w:tcPr>
          <w:p w14:paraId="2E6DE3E6" w14:textId="77777777" w:rsidR="0003024B" w:rsidRPr="00995C95" w:rsidRDefault="0003024B" w:rsidP="00E25E8B">
            <w:pPr>
              <w:pStyle w:val="Textpoznpodarou"/>
              <w:jc w:val="both"/>
            </w:pPr>
          </w:p>
        </w:tc>
        <w:tc>
          <w:tcPr>
            <w:tcW w:w="7681" w:type="dxa"/>
            <w:tcMar>
              <w:left w:w="0" w:type="dxa"/>
            </w:tcMar>
          </w:tcPr>
          <w:p w14:paraId="48CCAB65" w14:textId="77777777" w:rsidR="0003024B" w:rsidRPr="00995C95" w:rsidRDefault="0003024B" w:rsidP="00E25E8B">
            <w:pPr>
              <w:spacing w:after="200"/>
              <w:rPr>
                <w:color w:val="0D0D0D" w:themeColor="text1" w:themeTint="F2"/>
              </w:rPr>
            </w:pPr>
            <w:r w:rsidRPr="00995C95">
              <w:rPr>
                <w:color w:val="0D0D0D" w:themeColor="text1" w:themeTint="F2"/>
              </w:rPr>
              <w:t>Nationwide tax collection excluding insurance premiums (taking into account revenues at the level of all public budgets) increased by 8.1% last year (its growth accelerated significantly compared to 2024). VAT</w:t>
            </w:r>
            <w:r>
              <w:rPr>
                <w:color w:val="0D0D0D" w:themeColor="text1" w:themeTint="F2"/>
              </w:rPr>
              <w:t xml:space="preserve"> as well as </w:t>
            </w:r>
            <w:r w:rsidRPr="00995C95">
              <w:rPr>
                <w:color w:val="0D0D0D" w:themeColor="text1" w:themeTint="F2"/>
              </w:rPr>
              <w:t xml:space="preserve">the </w:t>
            </w:r>
            <w:r>
              <w:rPr>
                <w:color w:val="0D0D0D" w:themeColor="text1" w:themeTint="F2"/>
              </w:rPr>
              <w:t xml:space="preserve">regular </w:t>
            </w:r>
            <w:r w:rsidRPr="00995C95">
              <w:rPr>
                <w:color w:val="0D0D0D" w:themeColor="text1" w:themeTint="F2"/>
              </w:rPr>
              <w:t xml:space="preserve">corporate tax, whose role has strengthened compared to </w:t>
            </w:r>
            <w:r>
              <w:rPr>
                <w:color w:val="0D0D0D" w:themeColor="text1" w:themeTint="F2"/>
              </w:rPr>
              <w:t>the previous</w:t>
            </w:r>
            <w:r w:rsidRPr="00995C95">
              <w:rPr>
                <w:color w:val="0D0D0D" w:themeColor="text1" w:themeTint="F2"/>
              </w:rPr>
              <w:t xml:space="preserve"> year</w:t>
            </w:r>
            <w:r>
              <w:rPr>
                <w:color w:val="0D0D0D" w:themeColor="text1" w:themeTint="F2"/>
              </w:rPr>
              <w:t>,</w:t>
            </w:r>
            <w:r w:rsidRPr="00CF463B">
              <w:rPr>
                <w:color w:val="0D0D0D" w:themeColor="text1" w:themeTint="F2"/>
              </w:rPr>
              <w:t xml:space="preserve"> </w:t>
            </w:r>
            <w:r w:rsidRPr="00995C95">
              <w:rPr>
                <w:color w:val="0D0D0D" w:themeColor="text1" w:themeTint="F2"/>
              </w:rPr>
              <w:t xml:space="preserve">contributed </w:t>
            </w:r>
            <w:r>
              <w:rPr>
                <w:color w:val="0D0D0D" w:themeColor="text1" w:themeTint="F2"/>
              </w:rPr>
              <w:t xml:space="preserve">(each of them) </w:t>
            </w:r>
            <w:r w:rsidRPr="00995C95">
              <w:rPr>
                <w:color w:val="0D0D0D" w:themeColor="text1" w:themeTint="F2"/>
              </w:rPr>
              <w:t xml:space="preserve">to the growth of collections by a full third. On the contrary, the impact of excise duty, income tax of natural persons and real estate tax was weakening (its collection increased sharply the year before last due to the legal regulation). </w:t>
            </w:r>
          </w:p>
        </w:tc>
      </w:tr>
      <w:tr w:rsidR="0003024B" w:rsidRPr="00995C95" w14:paraId="69BA355E" w14:textId="77777777" w:rsidTr="00E25E8B">
        <w:trPr>
          <w:trHeight w:val="60"/>
        </w:trPr>
        <w:tc>
          <w:tcPr>
            <w:tcW w:w="1785" w:type="dxa"/>
            <w:tcMar>
              <w:left w:w="0" w:type="dxa"/>
            </w:tcMar>
          </w:tcPr>
          <w:p w14:paraId="7679617C" w14:textId="77777777" w:rsidR="0003024B" w:rsidRPr="00995C95" w:rsidRDefault="0003024B" w:rsidP="00E25E8B">
            <w:pPr>
              <w:pStyle w:val="Marginlie"/>
              <w:rPr>
                <w:spacing w:val="0"/>
              </w:rPr>
            </w:pPr>
            <w:r w:rsidRPr="00995C95">
              <w:rPr>
                <w:spacing w:val="0"/>
              </w:rPr>
              <w:t xml:space="preserve">The growth of VAT collections accelerated thanks to strengthening consumption by households and general government. </w:t>
            </w:r>
            <w:r w:rsidRPr="00995C95">
              <w:rPr>
                <w:spacing w:val="0"/>
              </w:rPr>
              <w:lastRenderedPageBreak/>
              <w:t xml:space="preserve">Nevertheless, last year it fell slightly short of budget expectations. </w:t>
            </w:r>
          </w:p>
        </w:tc>
        <w:tc>
          <w:tcPr>
            <w:tcW w:w="203" w:type="dxa"/>
            <w:tcMar>
              <w:left w:w="0" w:type="dxa"/>
            </w:tcMar>
          </w:tcPr>
          <w:p w14:paraId="299DCF41" w14:textId="77777777" w:rsidR="0003024B" w:rsidRPr="00995C95" w:rsidRDefault="0003024B" w:rsidP="00E25E8B">
            <w:pPr>
              <w:pStyle w:val="Textpoznpodarou"/>
              <w:jc w:val="both"/>
            </w:pPr>
          </w:p>
        </w:tc>
        <w:tc>
          <w:tcPr>
            <w:tcW w:w="7681" w:type="dxa"/>
            <w:tcMar>
              <w:left w:w="0" w:type="dxa"/>
            </w:tcMar>
          </w:tcPr>
          <w:p w14:paraId="2624B82C" w14:textId="77777777" w:rsidR="0003024B" w:rsidRPr="00995C95" w:rsidRDefault="0003024B" w:rsidP="00E25E8B">
            <w:r w:rsidRPr="00995C95">
              <w:t xml:space="preserve">Last year, 8.4% more (+32.1 bn CZK) flowed to SB from the weight-dominant tax – VAT. Although </w:t>
            </w:r>
            <w:r>
              <w:t xml:space="preserve">its </w:t>
            </w:r>
            <w:r w:rsidRPr="00995C95">
              <w:t xml:space="preserve">growth strengthened slightly during the year, full-year collection remained slightly below budget expectations (a similar phenomenon occurred to a more significant extent also in the previous two years). </w:t>
            </w:r>
            <w:r>
              <w:t>Its c</w:t>
            </w:r>
            <w:r w:rsidRPr="00995C95">
              <w:t xml:space="preserve">ollection continued to be favourably influenced by rising household incomes (mainly due to brisk wage dynamics), which </w:t>
            </w:r>
            <w:r w:rsidRPr="00995C95">
              <w:lastRenderedPageBreak/>
              <w:t xml:space="preserve">gradually led to a </w:t>
            </w:r>
            <w:r>
              <w:t>better</w:t>
            </w:r>
            <w:r w:rsidRPr="00995C95">
              <w:t xml:space="preserve"> consumer confidence</w:t>
            </w:r>
            <w:r>
              <w:t xml:space="preserve"> in economy</w:t>
            </w:r>
            <w:r w:rsidRPr="00995C95">
              <w:t>. Higher consumption of the general government sector also had a positive effect. The SB also benefited from the change of the BAT, which, according to the estimates of the Ministry of Finance, brought the SB an additional amount of about 6 bn CZK from this tax. Current legislative changes (mainly the abolition of the exemption in the area of financial services) also had a partial impact, and the year-on-year comparison was still marginally affected by the impact of tax rate adjustments</w:t>
            </w:r>
            <w:r w:rsidRPr="00995C95">
              <w:rPr>
                <w:rStyle w:val="Znakapoznpodarou"/>
              </w:rPr>
              <w:footnoteReference w:id="6"/>
            </w:r>
            <w:r w:rsidRPr="00995C95">
              <w:t xml:space="preserve"> introduced as part of the so-called consolidation package</w:t>
            </w:r>
            <w:r w:rsidRPr="00995C95">
              <w:rPr>
                <w:rStyle w:val="Znakapoznpodarou"/>
              </w:rPr>
              <w:footnoteReference w:id="7"/>
            </w:r>
            <w:r w:rsidRPr="00995C95">
              <w:t xml:space="preserve">. </w:t>
            </w:r>
          </w:p>
        </w:tc>
      </w:tr>
      <w:tr w:rsidR="0003024B" w:rsidRPr="00995C95" w14:paraId="3F78CD4D" w14:textId="77777777" w:rsidTr="00E25E8B">
        <w:trPr>
          <w:trHeight w:val="60"/>
        </w:trPr>
        <w:tc>
          <w:tcPr>
            <w:tcW w:w="1785" w:type="dxa"/>
            <w:tcMar>
              <w:left w:w="0" w:type="dxa"/>
            </w:tcMar>
          </w:tcPr>
          <w:p w14:paraId="279E38A2" w14:textId="77777777" w:rsidR="0003024B" w:rsidRPr="00995C95" w:rsidRDefault="0003024B" w:rsidP="00E25E8B">
            <w:pPr>
              <w:pStyle w:val="Marginlie"/>
              <w:rPr>
                <w:spacing w:val="0"/>
              </w:rPr>
            </w:pPr>
            <w:r w:rsidRPr="00995C95">
              <w:rPr>
                <w:spacing w:val="0"/>
              </w:rPr>
              <w:lastRenderedPageBreak/>
              <w:t xml:space="preserve">Excise duty collection increased for all key items and at the same time exceeded budget expectations. The effects of tax rate hikes and the acceleration of economic growth were felt. </w:t>
            </w:r>
          </w:p>
        </w:tc>
        <w:tc>
          <w:tcPr>
            <w:tcW w:w="203" w:type="dxa"/>
            <w:tcMar>
              <w:left w:w="0" w:type="dxa"/>
            </w:tcMar>
          </w:tcPr>
          <w:p w14:paraId="7BEF5E63" w14:textId="77777777" w:rsidR="0003024B" w:rsidRPr="00995C95" w:rsidRDefault="0003024B" w:rsidP="00E25E8B">
            <w:pPr>
              <w:pStyle w:val="Textpoznpodarou"/>
              <w:jc w:val="both"/>
            </w:pPr>
          </w:p>
        </w:tc>
        <w:tc>
          <w:tcPr>
            <w:tcW w:w="7681" w:type="dxa"/>
            <w:tcMar>
              <w:left w:w="0" w:type="dxa"/>
            </w:tcMar>
          </w:tcPr>
          <w:p w14:paraId="2904FD5E" w14:textId="77777777" w:rsidR="0003024B" w:rsidRPr="00995C95" w:rsidRDefault="0003024B" w:rsidP="00E25E8B">
            <w:pPr>
              <w:spacing w:after="200"/>
            </w:pPr>
            <w:r w:rsidRPr="00995C95">
              <w:rPr>
                <w:szCs w:val="20"/>
              </w:rPr>
              <w:t>From excise taxes (including energy taxes), SB gained 2.4% more, year-on-year (+ 3.9 bn CZK)</w:t>
            </w:r>
            <w:r>
              <w:rPr>
                <w:szCs w:val="20"/>
              </w:rPr>
              <w:t xml:space="preserve"> in 2025</w:t>
            </w:r>
            <w:r w:rsidRPr="00995C95">
              <w:rPr>
                <w:szCs w:val="20"/>
              </w:rPr>
              <w:t xml:space="preserve">. </w:t>
            </w:r>
            <w:r>
              <w:rPr>
                <w:szCs w:val="20"/>
              </w:rPr>
              <w:t>The g</w:t>
            </w:r>
            <w:r w:rsidRPr="00995C95">
              <w:rPr>
                <w:szCs w:val="20"/>
              </w:rPr>
              <w:t>rowth occurred in all key tax items and at the same time exceeded budget expectations (it has been rather the opposite in recent years). More than half of the higher collection was due to taxes on tobacco and related products, whose collection increased by 4%. The impact of the increase in the tax rate</w:t>
            </w:r>
            <w:r w:rsidRPr="00995C95">
              <w:rPr>
                <w:rStyle w:val="Znakapoznpodarou"/>
                <w:szCs w:val="20"/>
              </w:rPr>
              <w:footnoteReference w:id="8"/>
            </w:r>
            <w:r w:rsidRPr="00995C95">
              <w:rPr>
                <w:szCs w:val="20"/>
              </w:rPr>
              <w:t xml:space="preserve"> </w:t>
            </w:r>
            <w:r>
              <w:rPr>
                <w:szCs w:val="20"/>
              </w:rPr>
              <w:t>wa</w:t>
            </w:r>
            <w:r w:rsidRPr="00995C95">
              <w:rPr>
                <w:szCs w:val="20"/>
              </w:rPr>
              <w:t xml:space="preserve">s clearly evident here, while the growth of collections slowed down during last year (as the effect of frontloading products with a lower tax rate fades). The collection of the </w:t>
            </w:r>
            <w:r w:rsidRPr="00C62D9A">
              <w:rPr>
                <w:spacing w:val="-6"/>
                <w:szCs w:val="20"/>
              </w:rPr>
              <w:t>traditionally most important excise duty in terms of weight – on mineral oils – grew moderately</w:t>
            </w:r>
            <w:r w:rsidRPr="00995C95">
              <w:rPr>
                <w:szCs w:val="20"/>
              </w:rPr>
              <w:t xml:space="preserve"> last year (+1.5%). The improved performance of the economy stimulated demand for road freight transport, and the very favourable development of retail fuel prices</w:t>
            </w:r>
            <w:r w:rsidRPr="00995C95">
              <w:rPr>
                <w:rStyle w:val="Znakapoznpodarou"/>
              </w:rPr>
              <w:footnoteReference w:id="9"/>
            </w:r>
            <w:r w:rsidRPr="00995C95">
              <w:rPr>
                <w:szCs w:val="20"/>
              </w:rPr>
              <w:t xml:space="preserve"> also played a role. Of the other excise taxes that are </w:t>
            </w:r>
            <w:r>
              <w:rPr>
                <w:szCs w:val="20"/>
              </w:rPr>
              <w:t xml:space="preserve">significantly </w:t>
            </w:r>
            <w:r w:rsidRPr="00995C95">
              <w:rPr>
                <w:szCs w:val="20"/>
              </w:rPr>
              <w:t>lower in weight, only levies on the performance of solar power plants (+0.4 bn CZK) had a more significant impact on the development of total collections, mainly due to the expansion of their network</w:t>
            </w:r>
            <w:r w:rsidRPr="00995C95">
              <w:rPr>
                <w:rStyle w:val="Znakapoznpodarou"/>
              </w:rPr>
              <w:footnoteReference w:id="10"/>
            </w:r>
            <w:r w:rsidRPr="00995C95">
              <w:t xml:space="preserve">. </w:t>
            </w:r>
          </w:p>
        </w:tc>
      </w:tr>
      <w:tr w:rsidR="0003024B" w:rsidRPr="00995C95" w14:paraId="7A3BDDD2" w14:textId="77777777" w:rsidTr="00E25E8B">
        <w:trPr>
          <w:trHeight w:val="60"/>
        </w:trPr>
        <w:tc>
          <w:tcPr>
            <w:tcW w:w="1785" w:type="dxa"/>
            <w:tcMar>
              <w:left w:w="0" w:type="dxa"/>
            </w:tcMar>
          </w:tcPr>
          <w:p w14:paraId="1868C7C2" w14:textId="77777777" w:rsidR="0003024B" w:rsidRPr="00995C95" w:rsidRDefault="0003024B" w:rsidP="00E25E8B">
            <w:pPr>
              <w:pStyle w:val="Marginlie"/>
            </w:pPr>
            <w:r w:rsidRPr="00995C95">
              <w:t>The collection of corporate tax was influenced by the increase of its rate and the improved performance of the economy. Like the collection of extraordinary corporate taxes, it exceeded budget expectations.</w:t>
            </w:r>
          </w:p>
          <w:p w14:paraId="06C42D94" w14:textId="77777777" w:rsidR="0003024B" w:rsidRPr="00995C95" w:rsidRDefault="0003024B" w:rsidP="00E25E8B">
            <w:pPr>
              <w:pStyle w:val="Marginlie"/>
              <w:rPr>
                <w:spacing w:val="0"/>
              </w:rPr>
            </w:pPr>
          </w:p>
        </w:tc>
        <w:tc>
          <w:tcPr>
            <w:tcW w:w="203" w:type="dxa"/>
            <w:tcMar>
              <w:left w:w="0" w:type="dxa"/>
            </w:tcMar>
          </w:tcPr>
          <w:p w14:paraId="2F1540E9" w14:textId="77777777" w:rsidR="0003024B" w:rsidRPr="00995C95" w:rsidRDefault="0003024B" w:rsidP="00E25E8B">
            <w:pPr>
              <w:pStyle w:val="Textpoznpodarou"/>
              <w:jc w:val="both"/>
            </w:pPr>
          </w:p>
        </w:tc>
        <w:tc>
          <w:tcPr>
            <w:tcW w:w="7681" w:type="dxa"/>
            <w:tcMar>
              <w:left w:w="0" w:type="dxa"/>
            </w:tcMar>
          </w:tcPr>
          <w:p w14:paraId="5D6802AF" w14:textId="77777777" w:rsidR="0003024B" w:rsidRPr="00995C95" w:rsidRDefault="0003024B" w:rsidP="00E25E8B">
            <w:pPr>
              <w:spacing w:after="200"/>
              <w:rPr>
                <w:szCs w:val="20"/>
              </w:rPr>
            </w:pPr>
            <w:r w:rsidRPr="00995C95">
              <w:rPr>
                <w:szCs w:val="20"/>
              </w:rPr>
              <w:t xml:space="preserve">Last year, SB collected 15.7% more on corporate tax (excluding extraordinary taxes), year-on-year (+30.1 bn CZK) and the growth rate of collection exceeded budget expectations by half. The growth of collections accelerated in H2 2025, as the impact of the across-the-board increase of the tax rate from 19% to 21% (especially through the annual tax settlement) was fully felt. At the same time, quarterly tax advances gradually reflected the impact of the recovery of the </w:t>
            </w:r>
            <w:r>
              <w:rPr>
                <w:szCs w:val="20"/>
              </w:rPr>
              <w:t>Czech</w:t>
            </w:r>
            <w:r w:rsidRPr="00995C95">
              <w:rPr>
                <w:szCs w:val="20"/>
              </w:rPr>
              <w:t xml:space="preserve"> economy. On the contrary, as in 2024, the exemption of yields on government bonds or the extension of the effectiveness of extraordinary depreciation had a negative (but only partial) effect on tax collection. In addition to the regular corporate tax, 38.4 bn CZK in windfall tax</w:t>
            </w:r>
            <w:r w:rsidRPr="00995C95">
              <w:rPr>
                <w:rStyle w:val="Znakapoznpodarou"/>
                <w:color w:val="0D0D0D" w:themeColor="text1" w:themeTint="F2"/>
              </w:rPr>
              <w:footnoteReference w:id="11"/>
            </w:r>
            <w:r w:rsidRPr="00995C95">
              <w:rPr>
                <w:szCs w:val="20"/>
              </w:rPr>
              <w:t xml:space="preserve"> has flowed into SB so far last year, up 4.6%, year-on-year. </w:t>
            </w:r>
          </w:p>
        </w:tc>
      </w:tr>
      <w:tr w:rsidR="0003024B" w:rsidRPr="00995C95" w14:paraId="6C6684D9" w14:textId="77777777" w:rsidTr="00E25E8B">
        <w:trPr>
          <w:trHeight w:val="60"/>
        </w:trPr>
        <w:tc>
          <w:tcPr>
            <w:tcW w:w="1785" w:type="dxa"/>
            <w:tcMar>
              <w:left w:w="0" w:type="dxa"/>
            </w:tcMar>
          </w:tcPr>
          <w:p w14:paraId="65B9B0DB" w14:textId="77777777" w:rsidR="0003024B" w:rsidRPr="00995C95" w:rsidRDefault="0003024B" w:rsidP="00E25E8B">
            <w:pPr>
              <w:pStyle w:val="Marginlie"/>
              <w:rPr>
                <w:spacing w:val="0"/>
              </w:rPr>
            </w:pPr>
            <w:r w:rsidRPr="00995C95">
              <w:rPr>
                <w:spacing w:val="0"/>
              </w:rPr>
              <w:t xml:space="preserve">Employees in particular continued to contribute to the ongoing rapid growth of ITNP </w:t>
            </w:r>
            <w:r w:rsidRPr="00995C95">
              <w:rPr>
                <w:spacing w:val="0"/>
              </w:rPr>
              <w:lastRenderedPageBreak/>
              <w:t xml:space="preserve">collections. </w:t>
            </w:r>
            <w:r>
              <w:rPr>
                <w:spacing w:val="0"/>
              </w:rPr>
              <w:t>T</w:t>
            </w:r>
            <w:r w:rsidRPr="00995C95">
              <w:rPr>
                <w:spacing w:val="0"/>
              </w:rPr>
              <w:t>he collection of tax</w:t>
            </w:r>
            <w:r>
              <w:rPr>
                <w:spacing w:val="0"/>
              </w:rPr>
              <w:t xml:space="preserve"> from dependent activity</w:t>
            </w:r>
            <w:r w:rsidRPr="00995C95">
              <w:rPr>
                <w:spacing w:val="0"/>
              </w:rPr>
              <w:t xml:space="preserve"> fell slightly short of budget expectations.</w:t>
            </w:r>
          </w:p>
          <w:p w14:paraId="1FC2AD3C" w14:textId="77777777" w:rsidR="0003024B" w:rsidRPr="00995C95" w:rsidRDefault="0003024B" w:rsidP="00E25E8B">
            <w:pPr>
              <w:pStyle w:val="Marginlie"/>
              <w:rPr>
                <w:spacing w:val="0"/>
              </w:rPr>
            </w:pPr>
          </w:p>
        </w:tc>
        <w:tc>
          <w:tcPr>
            <w:tcW w:w="203" w:type="dxa"/>
            <w:tcMar>
              <w:left w:w="0" w:type="dxa"/>
            </w:tcMar>
          </w:tcPr>
          <w:p w14:paraId="0A7C8AF3" w14:textId="77777777" w:rsidR="0003024B" w:rsidRPr="00995C95" w:rsidRDefault="0003024B" w:rsidP="00E25E8B">
            <w:pPr>
              <w:pStyle w:val="Textpoznpodarou"/>
              <w:jc w:val="both"/>
            </w:pPr>
          </w:p>
        </w:tc>
        <w:tc>
          <w:tcPr>
            <w:tcW w:w="7681" w:type="dxa"/>
            <w:tcMar>
              <w:left w:w="0" w:type="dxa"/>
            </w:tcMar>
          </w:tcPr>
          <w:p w14:paraId="66EB4FEF" w14:textId="77777777" w:rsidR="0003024B" w:rsidRPr="00995C95" w:rsidRDefault="0003024B" w:rsidP="00E25E8B">
            <w:pPr>
              <w:spacing w:after="200"/>
              <w:rPr>
                <w:szCs w:val="20"/>
              </w:rPr>
            </w:pPr>
            <w:r w:rsidRPr="00995C95">
              <w:rPr>
                <w:color w:val="0D0D0D" w:themeColor="text1" w:themeTint="F2"/>
              </w:rPr>
              <w:t>Income tax of natural persons (ITNP) grew at a double-digit rate last year for the fourth year in a row (+12.1%, +20.4 bn CZK). As with corporate tax, its revenue to the SB is increased by the BAT change</w:t>
            </w:r>
            <w:r w:rsidRPr="00995C95">
              <w:rPr>
                <w:rStyle w:val="Znakapoznpodarou"/>
                <w:color w:val="0D0D0D" w:themeColor="text1" w:themeTint="F2"/>
              </w:rPr>
              <w:footnoteReference w:id="12"/>
            </w:r>
            <w:r w:rsidRPr="00995C95">
              <w:rPr>
                <w:color w:val="0D0D0D" w:themeColor="text1" w:themeTint="F2"/>
              </w:rPr>
              <w:t xml:space="preserve">. The higher ITNP collection was mainly due to the tax </w:t>
            </w:r>
            <w:r w:rsidRPr="00995C95">
              <w:rPr>
                <w:color w:val="0D0D0D" w:themeColor="text1" w:themeTint="F2"/>
              </w:rPr>
              <w:lastRenderedPageBreak/>
              <w:t>paid by taxpayers (</w:t>
            </w:r>
            <w:r>
              <w:rPr>
                <w:color w:val="0D0D0D" w:themeColor="text1" w:themeTint="F2"/>
              </w:rPr>
              <w:t>i.e.</w:t>
            </w:r>
            <w:r w:rsidRPr="00995C95">
              <w:rPr>
                <w:color w:val="0D0D0D" w:themeColor="text1" w:themeTint="F2"/>
              </w:rPr>
              <w:t xml:space="preserve"> from dependent activities), which increased by 12.8% (to 145.3 bn CZK). The continuing good condition of the labour market (higher employment and </w:t>
            </w:r>
            <w:r w:rsidRPr="002C7C55">
              <w:rPr>
                <w:color w:val="0D0D0D" w:themeColor="text1" w:themeTint="F2"/>
                <w:spacing w:val="-2"/>
              </w:rPr>
              <w:t>rapid nominal growth of the average wage in the business sphere) and partly the legislative</w:t>
            </w:r>
            <w:r w:rsidRPr="00995C95">
              <w:rPr>
                <w:color w:val="0D0D0D" w:themeColor="text1" w:themeTint="F2"/>
              </w:rPr>
              <w:t xml:space="preserve"> changes from 2024 (mainly the reduction of the band for the second increased rate of this tax, the abolition or reduction of selected tax credits and, to a lesser extent, the adjustment of taxation of selected non-monetary benefits</w:t>
            </w:r>
            <w:r w:rsidRPr="00995C95">
              <w:rPr>
                <w:rStyle w:val="Znakapoznpodarou"/>
                <w:color w:val="0D0D0D" w:themeColor="text1" w:themeTint="F2"/>
              </w:rPr>
              <w:footnoteReference w:id="13"/>
            </w:r>
            <w:r w:rsidRPr="00995C95">
              <w:rPr>
                <w:color w:val="0D0D0D" w:themeColor="text1" w:themeTint="F2"/>
              </w:rPr>
              <w:t>) had a positive effect here. Despite the dynamic growth of the above-mentioned tax, its last year</w:t>
            </w:r>
            <w:r>
              <w:rPr>
                <w:color w:val="0D0D0D" w:themeColor="text1" w:themeTint="F2"/>
              </w:rPr>
              <w:t xml:space="preserve">’s </w:t>
            </w:r>
            <w:r w:rsidRPr="00995C95">
              <w:rPr>
                <w:color w:val="0D0D0D" w:themeColor="text1" w:themeTint="F2"/>
              </w:rPr>
              <w:t xml:space="preserve">collection did not exceed budget expectations (unlike all other types of direct taxes). </w:t>
            </w:r>
          </w:p>
        </w:tc>
      </w:tr>
      <w:tr w:rsidR="0003024B" w:rsidRPr="00995C95" w14:paraId="54EF8301" w14:textId="77777777" w:rsidTr="00E25E8B">
        <w:trPr>
          <w:trHeight w:val="60"/>
        </w:trPr>
        <w:tc>
          <w:tcPr>
            <w:tcW w:w="1785" w:type="dxa"/>
            <w:tcMar>
              <w:left w:w="0" w:type="dxa"/>
            </w:tcMar>
          </w:tcPr>
          <w:p w14:paraId="340370CB" w14:textId="77777777" w:rsidR="0003024B" w:rsidRDefault="0003024B" w:rsidP="00E25E8B">
            <w:pPr>
              <w:pStyle w:val="Marginlie"/>
              <w:rPr>
                <w:spacing w:val="0"/>
              </w:rPr>
            </w:pPr>
            <w:r w:rsidRPr="00995C95">
              <w:rPr>
                <w:spacing w:val="0"/>
              </w:rPr>
              <w:lastRenderedPageBreak/>
              <w:t xml:space="preserve">The growth of ITNP collection from </w:t>
            </w:r>
            <w:r>
              <w:rPr>
                <w:spacing w:val="0"/>
              </w:rPr>
              <w:t>self-employment activities</w:t>
            </w:r>
            <w:r w:rsidRPr="00995C95">
              <w:rPr>
                <w:spacing w:val="0"/>
              </w:rPr>
              <w:t xml:space="preserve"> has accelerated significantly, mainly due to legal adjustments.</w:t>
            </w:r>
            <w:r w:rsidRPr="004C1895">
              <w:rPr>
                <w:spacing w:val="0"/>
              </w:rPr>
              <w:t xml:space="preserve"> </w:t>
            </w:r>
          </w:p>
          <w:p w14:paraId="030AEE3F" w14:textId="77777777" w:rsidR="0003024B" w:rsidRDefault="0003024B" w:rsidP="00E25E8B">
            <w:pPr>
              <w:pStyle w:val="Marginlie"/>
              <w:rPr>
                <w:spacing w:val="0"/>
              </w:rPr>
            </w:pPr>
          </w:p>
          <w:p w14:paraId="556299D6" w14:textId="77777777" w:rsidR="0003024B" w:rsidRDefault="0003024B" w:rsidP="00E25E8B">
            <w:pPr>
              <w:pStyle w:val="Marginlie"/>
              <w:rPr>
                <w:spacing w:val="0"/>
              </w:rPr>
            </w:pPr>
          </w:p>
          <w:p w14:paraId="42B4945D" w14:textId="77777777" w:rsidR="0003024B" w:rsidRDefault="0003024B" w:rsidP="00E25E8B">
            <w:pPr>
              <w:pStyle w:val="Marginlie"/>
              <w:rPr>
                <w:spacing w:val="0"/>
              </w:rPr>
            </w:pPr>
          </w:p>
          <w:p w14:paraId="24AC9AAA" w14:textId="77777777" w:rsidR="0003024B" w:rsidRPr="00995C95" w:rsidRDefault="0003024B" w:rsidP="00E25E8B">
            <w:pPr>
              <w:pStyle w:val="Marginlie"/>
              <w:rPr>
                <w:spacing w:val="0"/>
              </w:rPr>
            </w:pPr>
            <w:r w:rsidRPr="00995C95">
              <w:rPr>
                <w:spacing w:val="0"/>
              </w:rPr>
              <w:t xml:space="preserve">The decline of interest rates on deposits contributed to lower collection of </w:t>
            </w:r>
            <w:r w:rsidRPr="004C1895">
              <w:rPr>
                <w:spacing w:val="0"/>
              </w:rPr>
              <w:t>withholding tax</w:t>
            </w:r>
            <w:r>
              <w:rPr>
                <w:spacing w:val="0"/>
              </w:rPr>
              <w:t>.</w:t>
            </w:r>
          </w:p>
        </w:tc>
        <w:tc>
          <w:tcPr>
            <w:tcW w:w="203" w:type="dxa"/>
            <w:tcMar>
              <w:left w:w="0" w:type="dxa"/>
            </w:tcMar>
          </w:tcPr>
          <w:p w14:paraId="0CB62E4C" w14:textId="77777777" w:rsidR="0003024B" w:rsidRPr="00995C95" w:rsidRDefault="0003024B" w:rsidP="00E25E8B">
            <w:pPr>
              <w:pStyle w:val="Textpoznpodarou"/>
              <w:jc w:val="both"/>
            </w:pPr>
          </w:p>
        </w:tc>
        <w:tc>
          <w:tcPr>
            <w:tcW w:w="7681" w:type="dxa"/>
            <w:tcMar>
              <w:left w:w="0" w:type="dxa"/>
            </w:tcMar>
          </w:tcPr>
          <w:p w14:paraId="441AD879" w14:textId="77777777" w:rsidR="0003024B" w:rsidRPr="00995C95" w:rsidRDefault="0003024B" w:rsidP="00E25E8B">
            <w:pPr>
              <w:spacing w:after="200"/>
              <w:rPr>
                <w:color w:val="0D0D0D" w:themeColor="text1" w:themeTint="F2"/>
              </w:rPr>
            </w:pPr>
            <w:r w:rsidRPr="004C1895">
              <w:rPr>
                <w:color w:val="0D0D0D" w:themeColor="text1" w:themeTint="F2"/>
                <w:spacing w:val="-4"/>
              </w:rPr>
              <w:t>Although the collection of ITNP paid from self-employment activities accelerated significantly</w:t>
            </w:r>
            <w:r w:rsidRPr="00995C95">
              <w:rPr>
                <w:color w:val="0D0D0D" w:themeColor="text1" w:themeTint="F2"/>
              </w:rPr>
              <w:t xml:space="preserve"> last year and the amount of collection (14.5 bn CZK) was almost half higher, year-on-year, its contribution to the growth of total revenues of the SB resulting from ITNP continued to be rather marginal. The growth of the collection of this tax from taxpayers stemmed from a higher number of small entrepreneurs and the impacts of the consolidation package (reduction of the income threshold for the second, higher tax rate, cancellation or reduction of some tax reliefs). On the contrary, the collection of </w:t>
            </w:r>
            <w:r>
              <w:rPr>
                <w:color w:val="0D0D0D" w:themeColor="text1" w:themeTint="F2"/>
              </w:rPr>
              <w:t>ITNP</w:t>
            </w:r>
            <w:r w:rsidRPr="00995C95">
              <w:rPr>
                <w:color w:val="0D0D0D" w:themeColor="text1" w:themeTint="F2"/>
              </w:rPr>
              <w:t xml:space="preserve"> levied by deduction </w:t>
            </w:r>
            <w:r>
              <w:rPr>
                <w:color w:val="0D0D0D" w:themeColor="text1" w:themeTint="F2"/>
              </w:rPr>
              <w:t xml:space="preserve">(i.e. </w:t>
            </w:r>
            <w:r w:rsidRPr="00C62D9A">
              <w:rPr>
                <w:color w:val="0D0D0D" w:themeColor="text1" w:themeTint="F2"/>
              </w:rPr>
              <w:t>withholding tax)</w:t>
            </w:r>
            <w:r>
              <w:rPr>
                <w:color w:val="0D0D0D" w:themeColor="text1" w:themeTint="F2"/>
              </w:rPr>
              <w:t xml:space="preserve"> </w:t>
            </w:r>
            <w:r w:rsidRPr="00995C95">
              <w:rPr>
                <w:color w:val="0D0D0D" w:themeColor="text1" w:themeTint="F2"/>
              </w:rPr>
              <w:t xml:space="preserve">decreased, year-on-year, last year (by 2.4%, to 29.7 bn CZK). With the expected reduction of interest rates on deposits, the previous four-year period of dynamic growth of income from this tax ended for SB. The effect of the decline of rates is partly dampened by the persistent, relatively high level of household savings. The current decrease of direct debits may also reflect a lower number of people working on agreements </w:t>
            </w:r>
            <w:r>
              <w:rPr>
                <w:color w:val="0D0D0D" w:themeColor="text1" w:themeTint="F2"/>
              </w:rPr>
              <w:t>(</w:t>
            </w:r>
            <w:r w:rsidRPr="00995C95">
              <w:rPr>
                <w:color w:val="0D0D0D" w:themeColor="text1" w:themeTint="F2"/>
              </w:rPr>
              <w:t>outside the main employment contract</w:t>
            </w:r>
            <w:r>
              <w:rPr>
                <w:color w:val="0D0D0D" w:themeColor="text1" w:themeTint="F2"/>
              </w:rPr>
              <w:t>)</w:t>
            </w:r>
            <w:r w:rsidRPr="00995C95">
              <w:rPr>
                <w:color w:val="0D0D0D" w:themeColor="text1" w:themeTint="F2"/>
              </w:rPr>
              <w:t xml:space="preserve">. </w:t>
            </w:r>
          </w:p>
        </w:tc>
      </w:tr>
      <w:tr w:rsidR="0003024B" w:rsidRPr="00995C95" w14:paraId="1073B427" w14:textId="77777777" w:rsidTr="00E25E8B">
        <w:trPr>
          <w:trHeight w:val="60"/>
        </w:trPr>
        <w:tc>
          <w:tcPr>
            <w:tcW w:w="1785" w:type="dxa"/>
            <w:tcMar>
              <w:left w:w="0" w:type="dxa"/>
            </w:tcMar>
          </w:tcPr>
          <w:p w14:paraId="0381B088" w14:textId="77777777" w:rsidR="0003024B" w:rsidRPr="00995C95" w:rsidRDefault="0003024B" w:rsidP="00E25E8B">
            <w:pPr>
              <w:pStyle w:val="Marginlie"/>
              <w:rPr>
                <w:spacing w:val="0"/>
              </w:rPr>
            </w:pPr>
            <w:r w:rsidRPr="00995C95">
              <w:rPr>
                <w:spacing w:val="0"/>
              </w:rPr>
              <w:t> </w:t>
            </w:r>
          </w:p>
        </w:tc>
        <w:tc>
          <w:tcPr>
            <w:tcW w:w="203" w:type="dxa"/>
            <w:tcMar>
              <w:left w:w="0" w:type="dxa"/>
            </w:tcMar>
          </w:tcPr>
          <w:p w14:paraId="215E0BDA" w14:textId="77777777" w:rsidR="0003024B" w:rsidRPr="00995C95" w:rsidRDefault="0003024B" w:rsidP="00E25E8B">
            <w:pPr>
              <w:pStyle w:val="Textpoznpodarou"/>
              <w:jc w:val="both"/>
            </w:pPr>
          </w:p>
        </w:tc>
        <w:tc>
          <w:tcPr>
            <w:tcW w:w="7681" w:type="dxa"/>
            <w:tcMar>
              <w:left w:w="0" w:type="dxa"/>
            </w:tcMar>
          </w:tcPr>
          <w:p w14:paraId="2FF977BF" w14:textId="77777777" w:rsidR="0003024B" w:rsidRPr="00995C95" w:rsidRDefault="0003024B" w:rsidP="00E25E8B">
            <w:pPr>
              <w:spacing w:after="20"/>
              <w:rPr>
                <w:color w:val="0D0D0D" w:themeColor="text1" w:themeTint="F2"/>
              </w:rPr>
            </w:pPr>
            <w:r w:rsidRPr="00995C95">
              <w:rPr>
                <w:rFonts w:cs="Arial"/>
                <w:b/>
                <w:bCs/>
                <w:color w:val="000000"/>
                <w:szCs w:val="20"/>
              </w:rPr>
              <w:t xml:space="preserve">Chart 18 </w:t>
            </w:r>
            <w:r w:rsidRPr="00995C95">
              <w:rPr>
                <w:rFonts w:cs="Arial"/>
                <w:b/>
                <w:bCs/>
                <w:color w:val="000000"/>
                <w:spacing w:val="-2"/>
                <w:szCs w:val="20"/>
              </w:rPr>
              <w:t xml:space="preserve">Contributions of sub-incomes to year-on-year growth of total </w:t>
            </w:r>
            <w:r>
              <w:rPr>
                <w:rFonts w:cs="Arial"/>
                <w:b/>
                <w:bCs/>
                <w:color w:val="000000"/>
                <w:spacing w:val="-2"/>
                <w:szCs w:val="20"/>
              </w:rPr>
              <w:t>nation</w:t>
            </w:r>
            <w:r w:rsidRPr="00995C95">
              <w:rPr>
                <w:rFonts w:cs="Arial"/>
                <w:b/>
                <w:bCs/>
                <w:color w:val="000000"/>
                <w:spacing w:val="-2"/>
                <w:szCs w:val="20"/>
              </w:rPr>
              <w:t xml:space="preserve">wide tax income collection </w:t>
            </w:r>
            <w:r w:rsidRPr="00995C95">
              <w:rPr>
                <w:rFonts w:cs="Arial"/>
                <w:bCs/>
                <w:color w:val="000000"/>
                <w:spacing w:val="-2"/>
                <w:szCs w:val="20"/>
              </w:rPr>
              <w:t xml:space="preserve">(in p. p.), </w:t>
            </w:r>
            <w:r w:rsidRPr="00995C95">
              <w:rPr>
                <w:rFonts w:cs="Arial"/>
                <w:b/>
                <w:bCs/>
                <w:color w:val="000000"/>
                <w:spacing w:val="-2"/>
                <w:szCs w:val="20"/>
              </w:rPr>
              <w:t xml:space="preserve">year-on-year growth of social security revenues </w:t>
            </w:r>
            <w:r w:rsidRPr="00995C95">
              <w:rPr>
                <w:rFonts w:cs="Arial"/>
                <w:bCs/>
                <w:color w:val="000000"/>
                <w:spacing w:val="-2"/>
                <w:szCs w:val="20"/>
              </w:rPr>
              <w:t xml:space="preserve">(%) </w:t>
            </w:r>
            <w:r w:rsidRPr="00995C95">
              <w:rPr>
                <w:rFonts w:cs="Arial"/>
                <w:b/>
                <w:bCs/>
                <w:color w:val="000000"/>
                <w:spacing w:val="-2"/>
                <w:szCs w:val="20"/>
              </w:rPr>
              <w:t xml:space="preserve">and state budget balance </w:t>
            </w:r>
            <w:r w:rsidRPr="00995C95">
              <w:rPr>
                <w:rFonts w:cs="Arial"/>
                <w:bCs/>
                <w:color w:val="000000"/>
                <w:spacing w:val="-2"/>
                <w:szCs w:val="20"/>
              </w:rPr>
              <w:t xml:space="preserve">(in bn CZK) </w:t>
            </w:r>
          </w:p>
        </w:tc>
      </w:tr>
      <w:tr w:rsidR="0003024B" w:rsidRPr="00995C95" w14:paraId="01DA23CC" w14:textId="77777777" w:rsidTr="00E25E8B">
        <w:tblPrEx>
          <w:tblCellMar>
            <w:left w:w="70" w:type="dxa"/>
            <w:right w:w="70" w:type="dxa"/>
          </w:tblCellMar>
        </w:tblPrEx>
        <w:trPr>
          <w:trHeight w:val="60"/>
        </w:trPr>
        <w:tc>
          <w:tcPr>
            <w:tcW w:w="1785" w:type="dxa"/>
          </w:tcPr>
          <w:p w14:paraId="41D306DF" w14:textId="77777777" w:rsidR="0003024B" w:rsidRPr="00995C95" w:rsidRDefault="0003024B" w:rsidP="00E25E8B">
            <w:pPr>
              <w:pStyle w:val="Marginlie"/>
              <w:rPr>
                <w:spacing w:val="0"/>
              </w:rPr>
            </w:pPr>
          </w:p>
        </w:tc>
        <w:tc>
          <w:tcPr>
            <w:tcW w:w="203" w:type="dxa"/>
          </w:tcPr>
          <w:p w14:paraId="57BB7685" w14:textId="77777777" w:rsidR="0003024B" w:rsidRPr="00995C95" w:rsidRDefault="0003024B" w:rsidP="00E25E8B">
            <w:pPr>
              <w:pStyle w:val="Textpoznpodarou"/>
              <w:jc w:val="both"/>
            </w:pPr>
          </w:p>
          <w:p w14:paraId="4DBEC088" w14:textId="77777777" w:rsidR="0003024B" w:rsidRPr="00995C95" w:rsidRDefault="0003024B" w:rsidP="00E25E8B">
            <w:pPr>
              <w:pStyle w:val="Textpoznpodarou"/>
              <w:jc w:val="both"/>
            </w:pPr>
          </w:p>
        </w:tc>
        <w:tc>
          <w:tcPr>
            <w:tcW w:w="7681" w:type="dxa"/>
          </w:tcPr>
          <w:p w14:paraId="29ECF0AF" w14:textId="77777777" w:rsidR="0003024B" w:rsidRPr="00995C95" w:rsidRDefault="0003024B" w:rsidP="00E25E8B">
            <w:pPr>
              <w:spacing w:before="20" w:after="20"/>
              <w:rPr>
                <w:color w:val="0D0D0D" w:themeColor="text1" w:themeTint="F2"/>
              </w:rPr>
            </w:pPr>
            <w:r>
              <w:rPr>
                <w:noProof/>
              </w:rPr>
              <w:drawing>
                <wp:inline distT="0" distB="0" distL="0" distR="0" wp14:anchorId="54F88F95" wp14:editId="5EA9265C">
                  <wp:extent cx="4718050" cy="3211372"/>
                  <wp:effectExtent l="0" t="0" r="6350" b="8255"/>
                  <wp:docPr id="330510323" name="Graf 1">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3024B" w:rsidRPr="00995C95" w14:paraId="308FC76D" w14:textId="77777777" w:rsidTr="00E25E8B">
        <w:tblPrEx>
          <w:tblCellMar>
            <w:left w:w="70" w:type="dxa"/>
            <w:right w:w="70" w:type="dxa"/>
          </w:tblCellMar>
        </w:tblPrEx>
        <w:trPr>
          <w:trHeight w:val="170"/>
        </w:trPr>
        <w:tc>
          <w:tcPr>
            <w:tcW w:w="1785" w:type="dxa"/>
          </w:tcPr>
          <w:p w14:paraId="289C01C2" w14:textId="77777777" w:rsidR="0003024B" w:rsidRPr="00995C95" w:rsidRDefault="0003024B" w:rsidP="00E25E8B">
            <w:pPr>
              <w:pStyle w:val="Marginlie"/>
              <w:rPr>
                <w:spacing w:val="0"/>
              </w:rPr>
            </w:pPr>
          </w:p>
        </w:tc>
        <w:tc>
          <w:tcPr>
            <w:tcW w:w="203" w:type="dxa"/>
          </w:tcPr>
          <w:p w14:paraId="03FC2F3F" w14:textId="77777777" w:rsidR="0003024B" w:rsidRPr="00995C95" w:rsidRDefault="0003024B" w:rsidP="00E25E8B">
            <w:pPr>
              <w:pStyle w:val="Textpoznpodarou"/>
              <w:jc w:val="both"/>
            </w:pPr>
          </w:p>
        </w:tc>
        <w:tc>
          <w:tcPr>
            <w:tcW w:w="7681" w:type="dxa"/>
          </w:tcPr>
          <w:p w14:paraId="7CAD3E1A" w14:textId="77777777" w:rsidR="0003024B" w:rsidRPr="00113DC1" w:rsidRDefault="0003024B" w:rsidP="00E25E8B">
            <w:pPr>
              <w:pStyle w:val="Textpoznpodarou"/>
              <w:jc w:val="both"/>
              <w:rPr>
                <w:sz w:val="14"/>
                <w:szCs w:val="14"/>
              </w:rPr>
            </w:pPr>
            <w:r w:rsidRPr="00113DC1">
              <w:rPr>
                <w:sz w:val="14"/>
                <w:szCs w:val="14"/>
              </w:rPr>
              <w:t xml:space="preserve">* Also includes contributions to state employment policy. </w:t>
            </w:r>
          </w:p>
          <w:p w14:paraId="1D3470D2" w14:textId="77777777" w:rsidR="0003024B" w:rsidRPr="00113DC1" w:rsidRDefault="0003024B" w:rsidP="00E25E8B">
            <w:pPr>
              <w:pStyle w:val="Textpoznpodarou"/>
              <w:jc w:val="both"/>
              <w:rPr>
                <w:sz w:val="14"/>
                <w:szCs w:val="14"/>
              </w:rPr>
            </w:pPr>
            <w:r w:rsidRPr="00113DC1">
              <w:rPr>
                <w:sz w:val="14"/>
                <w:szCs w:val="14"/>
              </w:rPr>
              <w:t xml:space="preserve">**Balance adjusted for funds on programmes/projects from the EU and FM budgets, which were pre-financed from the SB and are subsequently paid for by the EU and FM budget. Annual figures are available from </w:t>
            </w:r>
            <w:r>
              <w:rPr>
                <w:sz w:val="14"/>
                <w:szCs w:val="14"/>
              </w:rPr>
              <w:t xml:space="preserve">the year of </w:t>
            </w:r>
            <w:r w:rsidRPr="00113DC1">
              <w:rPr>
                <w:sz w:val="14"/>
                <w:szCs w:val="14"/>
              </w:rPr>
              <w:t xml:space="preserve">2010. </w:t>
            </w:r>
          </w:p>
          <w:p w14:paraId="7FD8E80D" w14:textId="77777777" w:rsidR="0003024B" w:rsidRPr="00995C95" w:rsidRDefault="0003024B" w:rsidP="00E25E8B">
            <w:pPr>
              <w:tabs>
                <w:tab w:val="right" w:pos="7683"/>
              </w:tabs>
              <w:spacing w:after="0" w:line="240" w:lineRule="auto"/>
              <w:rPr>
                <w:sz w:val="16"/>
                <w:szCs w:val="16"/>
              </w:rPr>
            </w:pPr>
            <w:r w:rsidRPr="00995C95">
              <w:rPr>
                <w:spacing w:val="-2"/>
                <w:sz w:val="14"/>
                <w:szCs w:val="14"/>
              </w:rPr>
              <w:t>Other income taxes of NP</w:t>
            </w:r>
            <w:r>
              <w:rPr>
                <w:spacing w:val="-2"/>
                <w:sz w:val="14"/>
                <w:szCs w:val="14"/>
              </w:rPr>
              <w:t xml:space="preserve"> (</w:t>
            </w:r>
            <w:r w:rsidRPr="00995C95">
              <w:rPr>
                <w:spacing w:val="-2"/>
                <w:sz w:val="14"/>
                <w:szCs w:val="14"/>
              </w:rPr>
              <w:t>natural persons</w:t>
            </w:r>
            <w:r>
              <w:rPr>
                <w:spacing w:val="-2"/>
                <w:sz w:val="14"/>
                <w:szCs w:val="14"/>
              </w:rPr>
              <w:t>)</w:t>
            </w:r>
            <w:r w:rsidRPr="00995C95">
              <w:rPr>
                <w:spacing w:val="-2"/>
                <w:sz w:val="14"/>
                <w:szCs w:val="14"/>
              </w:rPr>
              <w:t xml:space="preserve"> consist of taxes pai</w:t>
            </w:r>
            <w:r>
              <w:rPr>
                <w:spacing w:val="-2"/>
                <w:sz w:val="14"/>
                <w:szCs w:val="14"/>
              </w:rPr>
              <w:t xml:space="preserve">d </w:t>
            </w:r>
            <w:r w:rsidRPr="00995C95">
              <w:rPr>
                <w:spacing w:val="-2"/>
                <w:sz w:val="14"/>
                <w:szCs w:val="14"/>
              </w:rPr>
              <w:t xml:space="preserve">mainly </w:t>
            </w:r>
            <w:r>
              <w:rPr>
                <w:spacing w:val="-2"/>
                <w:sz w:val="14"/>
                <w:szCs w:val="14"/>
              </w:rPr>
              <w:t>by self-employed</w:t>
            </w:r>
            <w:r w:rsidRPr="00113DC1">
              <w:rPr>
                <w:spacing w:val="-2"/>
                <w:sz w:val="14"/>
                <w:szCs w:val="14"/>
              </w:rPr>
              <w:t xml:space="preserve"> workers</w:t>
            </w:r>
            <w:r w:rsidRPr="00995C95">
              <w:rPr>
                <w:spacing w:val="-2"/>
                <w:sz w:val="14"/>
                <w:szCs w:val="14"/>
              </w:rPr>
              <w:t xml:space="preserve"> and </w:t>
            </w:r>
            <w:r>
              <w:rPr>
                <w:spacing w:val="-2"/>
                <w:sz w:val="14"/>
                <w:szCs w:val="14"/>
              </w:rPr>
              <w:t>w</w:t>
            </w:r>
            <w:r w:rsidRPr="00F95EC3">
              <w:rPr>
                <w:spacing w:val="-2"/>
                <w:sz w:val="14"/>
                <w:szCs w:val="14"/>
              </w:rPr>
              <w:t xml:space="preserve">ithholding tax </w:t>
            </w:r>
            <w:r w:rsidRPr="00995C95">
              <w:rPr>
                <w:spacing w:val="-2"/>
                <w:sz w:val="14"/>
                <w:szCs w:val="14"/>
              </w:rPr>
              <w:t>(</w:t>
            </w:r>
            <w:r w:rsidRPr="00F95EC3">
              <w:rPr>
                <w:spacing w:val="-2"/>
                <w:sz w:val="14"/>
                <w:szCs w:val="14"/>
              </w:rPr>
              <w:t>which applies, for example</w:t>
            </w:r>
            <w:r>
              <w:rPr>
                <w:spacing w:val="-2"/>
                <w:sz w:val="14"/>
                <w:szCs w:val="14"/>
              </w:rPr>
              <w:t xml:space="preserve"> to</w:t>
            </w:r>
            <w:r w:rsidRPr="00995C95">
              <w:rPr>
                <w:spacing w:val="-2"/>
                <w:sz w:val="14"/>
                <w:szCs w:val="14"/>
              </w:rPr>
              <w:t xml:space="preserve"> bank deposits, work agreements).</w:t>
            </w:r>
          </w:p>
          <w:p w14:paraId="3F4B2AAA" w14:textId="77777777" w:rsidR="0003024B" w:rsidRPr="00995C95" w:rsidRDefault="0003024B" w:rsidP="00E25E8B">
            <w:pPr>
              <w:tabs>
                <w:tab w:val="right" w:pos="7683"/>
              </w:tabs>
              <w:spacing w:after="0" w:line="240" w:lineRule="auto"/>
              <w:jc w:val="left"/>
              <w:rPr>
                <w:sz w:val="14"/>
                <w:szCs w:val="14"/>
              </w:rPr>
            </w:pPr>
            <w:r w:rsidRPr="00995C95">
              <w:rPr>
                <w:sz w:val="14"/>
                <w:szCs w:val="14"/>
              </w:rPr>
              <w:t xml:space="preserve">Other taxes and fees include especially </w:t>
            </w:r>
            <w:bookmarkStart w:id="1" w:name="_Hlk195394127"/>
            <w:r w:rsidRPr="00995C95">
              <w:rPr>
                <w:sz w:val="14"/>
                <w:szCs w:val="14"/>
              </w:rPr>
              <w:t xml:space="preserve">real estate tax, gambling tax, motorway toll, tolls and, from 2023, also a levy on excess income and windfall profits. </w:t>
            </w:r>
            <w:bookmarkEnd w:id="1"/>
            <w:r w:rsidRPr="00995C95">
              <w:rPr>
                <w:sz w:val="14"/>
                <w:szCs w:val="14"/>
              </w:rPr>
              <w:t xml:space="preserve">                                                                </w:t>
            </w:r>
          </w:p>
          <w:p w14:paraId="41B0A3FC" w14:textId="77777777" w:rsidR="0003024B" w:rsidRPr="005D522A" w:rsidRDefault="0003024B" w:rsidP="00E25E8B">
            <w:pPr>
              <w:tabs>
                <w:tab w:val="right" w:pos="7683"/>
              </w:tabs>
              <w:spacing w:after="0" w:line="240" w:lineRule="auto"/>
              <w:jc w:val="left"/>
              <w:rPr>
                <w:sz w:val="14"/>
                <w:szCs w:val="14"/>
              </w:rPr>
            </w:pPr>
            <w:r w:rsidRPr="00995C95">
              <w:rPr>
                <w:sz w:val="14"/>
                <w:szCs w:val="14"/>
              </w:rPr>
              <w:t>Source: MF CR</w:t>
            </w:r>
          </w:p>
        </w:tc>
      </w:tr>
      <w:tr w:rsidR="0003024B" w:rsidRPr="00995C95" w14:paraId="2F62FDB0" w14:textId="77777777" w:rsidTr="00E25E8B">
        <w:trPr>
          <w:trHeight w:val="170"/>
        </w:trPr>
        <w:tc>
          <w:tcPr>
            <w:tcW w:w="1785" w:type="dxa"/>
            <w:tcMar>
              <w:left w:w="0" w:type="dxa"/>
            </w:tcMar>
          </w:tcPr>
          <w:p w14:paraId="16E26203" w14:textId="77777777" w:rsidR="0003024B" w:rsidRPr="00995C95" w:rsidRDefault="0003024B" w:rsidP="00E25E8B">
            <w:pPr>
              <w:pStyle w:val="Marginlie"/>
              <w:rPr>
                <w:spacing w:val="0"/>
              </w:rPr>
            </w:pPr>
            <w:r w:rsidRPr="00995C95">
              <w:rPr>
                <w:color w:val="0D0D0D" w:themeColor="text1" w:themeTint="F2"/>
                <w:spacing w:val="0"/>
                <w:szCs w:val="20"/>
              </w:rPr>
              <w:lastRenderedPageBreak/>
              <w:t xml:space="preserve">Non-tax and capital revenues and received transfers of the SB decreased, year-on-year, for the second year in a row last year. In 2025, lower revenues from the EU budget and FM contributed the most. </w:t>
            </w:r>
          </w:p>
        </w:tc>
        <w:tc>
          <w:tcPr>
            <w:tcW w:w="203" w:type="dxa"/>
            <w:tcMar>
              <w:left w:w="0" w:type="dxa"/>
            </w:tcMar>
          </w:tcPr>
          <w:p w14:paraId="05D6D686" w14:textId="77777777" w:rsidR="0003024B" w:rsidRPr="00995C95" w:rsidRDefault="0003024B" w:rsidP="00E25E8B">
            <w:pPr>
              <w:pStyle w:val="Textpoznpodarou"/>
              <w:jc w:val="both"/>
            </w:pPr>
          </w:p>
        </w:tc>
        <w:tc>
          <w:tcPr>
            <w:tcW w:w="7681" w:type="dxa"/>
            <w:tcMar>
              <w:left w:w="0" w:type="dxa"/>
            </w:tcMar>
          </w:tcPr>
          <w:p w14:paraId="1DF08675" w14:textId="77777777" w:rsidR="0003024B" w:rsidRPr="004C7767" w:rsidRDefault="0003024B" w:rsidP="00E25E8B">
            <w:pPr>
              <w:spacing w:after="200"/>
              <w:rPr>
                <w:color w:val="0D0D0D" w:themeColor="text1" w:themeTint="F2"/>
                <w:spacing w:val="-2"/>
                <w:szCs w:val="20"/>
              </w:rPr>
            </w:pPr>
            <w:r w:rsidRPr="004C7767">
              <w:rPr>
                <w:color w:val="0D0D0D" w:themeColor="text1" w:themeTint="F2"/>
                <w:spacing w:val="-2"/>
                <w:szCs w:val="20"/>
              </w:rPr>
              <w:t>Non-tax and capital income and transfers received by SB decreased by 11.9% (-29.6 bn CZK), year-on-year, last year, falling at a similar pace for the second year in a row. In addition, their selection fell significantly short of budget expectations</w:t>
            </w:r>
            <w:r w:rsidRPr="004C7767">
              <w:rPr>
                <w:rStyle w:val="Znakapoznpodarou"/>
                <w:color w:val="0D0D0D" w:themeColor="text1" w:themeTint="F2"/>
                <w:spacing w:val="-2"/>
                <w:szCs w:val="20"/>
              </w:rPr>
              <w:footnoteReference w:id="14"/>
            </w:r>
            <w:r w:rsidRPr="004C7767">
              <w:rPr>
                <w:color w:val="0D0D0D" w:themeColor="text1" w:themeTint="F2"/>
                <w:spacing w:val="-2"/>
                <w:szCs w:val="20"/>
              </w:rPr>
              <w:t xml:space="preserve"> in 2025. The low level of non-tax revenues fulfilment was mainly related to the year-on-year decrease of </w:t>
            </w:r>
            <w:r w:rsidRPr="004C7767">
              <w:rPr>
                <w:color w:val="0D0D0D" w:themeColor="text1" w:themeTint="F2"/>
                <w:spacing w:val="-4"/>
                <w:szCs w:val="20"/>
              </w:rPr>
              <w:t>collections for the weight-dominant item – revenues from the EU budget (including financial</w:t>
            </w:r>
            <w:r w:rsidRPr="004C7767">
              <w:rPr>
                <w:color w:val="0D0D0D" w:themeColor="text1" w:themeTint="F2"/>
                <w:spacing w:val="-2"/>
                <w:szCs w:val="20"/>
              </w:rPr>
              <w:t xml:space="preserve"> mechanisms – FM) – by almost a fifth. The complete cessation of revenues to cover pre-financed expenditure from the older EU programming period (2014–2020) was not compensated by a strengthening of revenues from the current period 2021–2027 (+16.5 bn CZK, mainly in the area of transportation and the Integrated Operational Programme) and further funds from the National Recovery Plan. Another important factor of the revenue non-fulfilment was the continuing significant reduction of revenues from the sale of emission allowances (by 16.5%, by 26.3% in two last years, to 13.7 bn CZK last year</w:t>
            </w:r>
            <w:r w:rsidRPr="004C7767">
              <w:rPr>
                <w:rStyle w:val="Znakapoznpodarou"/>
                <w:color w:val="0D0D0D" w:themeColor="text1" w:themeTint="F2"/>
                <w:spacing w:val="-2"/>
                <w:szCs w:val="20"/>
              </w:rPr>
              <w:footnoteReference w:id="15"/>
            </w:r>
            <w:r w:rsidRPr="004C7767">
              <w:rPr>
                <w:color w:val="0D0D0D" w:themeColor="text1" w:themeTint="F2"/>
                <w:spacing w:val="-2"/>
                <w:szCs w:val="20"/>
              </w:rPr>
              <w:t>) and further lower revenues from state ownership participation</w:t>
            </w:r>
            <w:r>
              <w:rPr>
                <w:color w:val="0D0D0D" w:themeColor="text1" w:themeTint="F2"/>
                <w:spacing w:val="-2"/>
                <w:szCs w:val="20"/>
              </w:rPr>
              <w:t xml:space="preserve"> (e.g.</w:t>
            </w:r>
            <w:r w:rsidRPr="004C7767">
              <w:rPr>
                <w:color w:val="0D0D0D" w:themeColor="text1" w:themeTint="F2"/>
                <w:spacing w:val="-2"/>
                <w:szCs w:val="20"/>
              </w:rPr>
              <w:t xml:space="preserve"> in the energy sector. </w:t>
            </w:r>
          </w:p>
        </w:tc>
      </w:tr>
      <w:tr w:rsidR="0003024B" w:rsidRPr="00995C95" w14:paraId="5016F47A" w14:textId="77777777" w:rsidTr="00E25E8B">
        <w:trPr>
          <w:trHeight w:val="170"/>
        </w:trPr>
        <w:tc>
          <w:tcPr>
            <w:tcW w:w="1785" w:type="dxa"/>
            <w:tcMar>
              <w:left w:w="0" w:type="dxa"/>
            </w:tcMar>
          </w:tcPr>
          <w:p w14:paraId="03AB11D9" w14:textId="77777777" w:rsidR="0003024B" w:rsidRPr="00995C95" w:rsidRDefault="0003024B" w:rsidP="00E25E8B">
            <w:pPr>
              <w:pStyle w:val="Marginlie"/>
              <w:rPr>
                <w:spacing w:val="0"/>
              </w:rPr>
            </w:pPr>
            <w:r w:rsidRPr="00995C95">
              <w:rPr>
                <w:spacing w:val="0"/>
              </w:rPr>
              <w:t>The year-on-year growth of total SB expenditure accelerated last year and at the same time exceeded budget expectations.</w:t>
            </w:r>
          </w:p>
          <w:p w14:paraId="54D85B31" w14:textId="77777777" w:rsidR="0003024B" w:rsidRPr="00995C95" w:rsidRDefault="0003024B" w:rsidP="00E25E8B">
            <w:pPr>
              <w:pStyle w:val="Marginlie"/>
              <w:rPr>
                <w:spacing w:val="0"/>
              </w:rPr>
            </w:pPr>
          </w:p>
          <w:p w14:paraId="0B2F4AD5" w14:textId="77777777" w:rsidR="0003024B" w:rsidRPr="00995C95" w:rsidRDefault="0003024B" w:rsidP="00E25E8B">
            <w:pPr>
              <w:pStyle w:val="Marginlie"/>
              <w:rPr>
                <w:spacing w:val="0"/>
              </w:rPr>
            </w:pPr>
          </w:p>
          <w:p w14:paraId="305693AA" w14:textId="77777777" w:rsidR="0003024B" w:rsidRPr="00995C95" w:rsidRDefault="0003024B" w:rsidP="00E25E8B">
            <w:pPr>
              <w:pStyle w:val="Marginlie"/>
              <w:rPr>
                <w:spacing w:val="0"/>
              </w:rPr>
            </w:pPr>
          </w:p>
          <w:p w14:paraId="046BA2C6" w14:textId="77777777" w:rsidR="0003024B" w:rsidRPr="00995C95" w:rsidRDefault="0003024B" w:rsidP="00E25E8B">
            <w:pPr>
              <w:pStyle w:val="Marginlie"/>
              <w:rPr>
                <w:spacing w:val="0"/>
              </w:rPr>
            </w:pPr>
          </w:p>
          <w:p w14:paraId="30503A61" w14:textId="77777777" w:rsidR="0003024B" w:rsidRPr="00995C95" w:rsidRDefault="0003024B" w:rsidP="00E25E8B">
            <w:pPr>
              <w:pStyle w:val="Marginlie"/>
              <w:rPr>
                <w:spacing w:val="0"/>
              </w:rPr>
            </w:pPr>
          </w:p>
          <w:p w14:paraId="10DC7AC6" w14:textId="77777777" w:rsidR="0003024B" w:rsidRPr="00995C95" w:rsidRDefault="0003024B" w:rsidP="00E25E8B">
            <w:pPr>
              <w:pStyle w:val="Marginlie"/>
              <w:rPr>
                <w:spacing w:val="0"/>
              </w:rPr>
            </w:pPr>
            <w:r w:rsidRPr="00995C95">
              <w:rPr>
                <w:spacing w:val="0"/>
              </w:rPr>
              <w:t xml:space="preserve">The growth of current expenditure was mainly driven by current transfers to regional budgets, especially direct expenditure on education. </w:t>
            </w:r>
          </w:p>
        </w:tc>
        <w:tc>
          <w:tcPr>
            <w:tcW w:w="203" w:type="dxa"/>
            <w:tcMar>
              <w:left w:w="0" w:type="dxa"/>
            </w:tcMar>
          </w:tcPr>
          <w:p w14:paraId="755EC81B" w14:textId="77777777" w:rsidR="0003024B" w:rsidRPr="00995C95" w:rsidRDefault="0003024B" w:rsidP="00E25E8B">
            <w:pPr>
              <w:pStyle w:val="Textpoznpodarou"/>
              <w:jc w:val="both"/>
            </w:pPr>
          </w:p>
        </w:tc>
        <w:tc>
          <w:tcPr>
            <w:tcW w:w="7681" w:type="dxa"/>
            <w:tcMar>
              <w:left w:w="0" w:type="dxa"/>
            </w:tcMar>
          </w:tcPr>
          <w:p w14:paraId="502FAD44" w14:textId="77777777" w:rsidR="0003024B" w:rsidRPr="004C7767" w:rsidRDefault="0003024B" w:rsidP="00E25E8B">
            <w:pPr>
              <w:spacing w:after="200"/>
              <w:rPr>
                <w:color w:val="0D0D0D" w:themeColor="text1" w:themeTint="F2"/>
                <w:spacing w:val="-2"/>
                <w:szCs w:val="20"/>
              </w:rPr>
            </w:pPr>
            <w:r w:rsidRPr="004C7767">
              <w:rPr>
                <w:color w:val="0D0D0D" w:themeColor="text1" w:themeTint="F2"/>
                <w:spacing w:val="-2"/>
              </w:rPr>
              <w:t>Total SB expenditure increased by 6.0%, year-on-year, in 2025, which represented a significant acceleration compared to the previous year's pace. This is mainly due to the fact that in 2024 the decline of support for households and companies affected by previously high energy prices was fully felt. Consumer price growth had also stabilised at that time, which was soon reflected in lower pressure on the adjustment of a wide range of social benefits. In contrast to the previous three years, last year's spending slightly exceeded budget expectations. Last year, both current expenditure (+85.1 bn CZK) and investments, the impact of which was unusually high (+49.9 bn CZK), contributed to the year-on-year growth of total SB expenditure. Within current expenditure, higher transfers to territorial budgets, which rose to 281 bn CZK and increased by 8.5%, year-on-year, had the most significant impact. The higher expenditure is mainly related to the strengthening of funds directed to regional education, primarily for salar</w:t>
            </w:r>
            <w:r>
              <w:rPr>
                <w:color w:val="0D0D0D" w:themeColor="text1" w:themeTint="F2"/>
                <w:spacing w:val="-2"/>
              </w:rPr>
              <w:t>ies</w:t>
            </w:r>
            <w:r w:rsidRPr="004C7767">
              <w:rPr>
                <w:rStyle w:val="Znakapoznpodarou"/>
                <w:color w:val="0D0D0D" w:themeColor="text1" w:themeTint="F2"/>
                <w:spacing w:val="-2"/>
                <w:szCs w:val="20"/>
              </w:rPr>
              <w:footnoteReference w:id="16"/>
            </w:r>
            <w:r w:rsidRPr="004C7767">
              <w:rPr>
                <w:color w:val="0D0D0D" w:themeColor="text1" w:themeTint="F2"/>
                <w:spacing w:val="-2"/>
              </w:rPr>
              <w:t xml:space="preserve"> (including supplementing the missing resources for the salaries of non-teaching staff), for the co-financing of non-research educational projects supported by the EU, and also for social services. On the contrary, fewer funds were directed to the area of integration of refugees from Ukraine (compensatory allowance for accommodation, Ukrainian teaching assistants). </w:t>
            </w:r>
          </w:p>
        </w:tc>
      </w:tr>
      <w:tr w:rsidR="0003024B" w:rsidRPr="00995C95" w14:paraId="2F6D8149" w14:textId="77777777" w:rsidTr="00E25E8B">
        <w:trPr>
          <w:trHeight w:val="170"/>
        </w:trPr>
        <w:tc>
          <w:tcPr>
            <w:tcW w:w="1785" w:type="dxa"/>
            <w:tcMar>
              <w:left w:w="0" w:type="dxa"/>
            </w:tcMar>
          </w:tcPr>
          <w:p w14:paraId="1BADBFF1" w14:textId="77777777" w:rsidR="0003024B" w:rsidRPr="00995C95" w:rsidRDefault="0003024B" w:rsidP="00E25E8B">
            <w:pPr>
              <w:pStyle w:val="Marginlie"/>
            </w:pPr>
            <w:r w:rsidRPr="00995C95">
              <w:t>Pension spending has grown at least in the last 11 years. The impact of the mitigated adjustment and the tightening of the conditions for granting early retirement pensions became apparent.</w:t>
            </w:r>
          </w:p>
          <w:p w14:paraId="73A94F4C" w14:textId="77777777" w:rsidR="0003024B" w:rsidRPr="00995C95" w:rsidRDefault="0003024B" w:rsidP="00E25E8B">
            <w:pPr>
              <w:pStyle w:val="Marginlie"/>
              <w:rPr>
                <w:spacing w:val="0"/>
              </w:rPr>
            </w:pPr>
          </w:p>
        </w:tc>
        <w:tc>
          <w:tcPr>
            <w:tcW w:w="203" w:type="dxa"/>
            <w:tcMar>
              <w:left w:w="0" w:type="dxa"/>
            </w:tcMar>
          </w:tcPr>
          <w:p w14:paraId="41541324" w14:textId="77777777" w:rsidR="0003024B" w:rsidRPr="00995C95" w:rsidRDefault="0003024B" w:rsidP="00E25E8B">
            <w:pPr>
              <w:pStyle w:val="Textpoznpodarou"/>
              <w:jc w:val="both"/>
            </w:pPr>
          </w:p>
        </w:tc>
        <w:tc>
          <w:tcPr>
            <w:tcW w:w="7681" w:type="dxa"/>
            <w:tcMar>
              <w:left w:w="0" w:type="dxa"/>
            </w:tcMar>
          </w:tcPr>
          <w:p w14:paraId="516F21B8" w14:textId="77777777" w:rsidR="0003024B" w:rsidRPr="00995C95" w:rsidRDefault="0003024B" w:rsidP="00E25E8B">
            <w:pPr>
              <w:rPr>
                <w:color w:val="0D0D0D" w:themeColor="text1" w:themeTint="F2"/>
                <w:szCs w:val="20"/>
              </w:rPr>
            </w:pPr>
            <w:r w:rsidRPr="00995C95">
              <w:rPr>
                <w:color w:val="0D0D0D" w:themeColor="text1" w:themeTint="F2"/>
                <w:szCs w:val="20"/>
              </w:rPr>
              <w:t>Despite a more modest growth (+1.2%</w:t>
            </w:r>
            <w:r w:rsidRPr="00995C95">
              <w:rPr>
                <w:rStyle w:val="Znakapoznpodarou"/>
                <w:color w:val="0D0D0D" w:themeColor="text1" w:themeTint="F2"/>
                <w:szCs w:val="20"/>
              </w:rPr>
              <w:footnoteReference w:id="17"/>
            </w:r>
            <w:r w:rsidRPr="00995C95">
              <w:rPr>
                <w:color w:val="0D0D0D" w:themeColor="text1" w:themeTint="F2"/>
                <w:szCs w:val="20"/>
              </w:rPr>
              <w:t xml:space="preserve">), expenditure on social benefits (+17.7 bn CZK) also contributed significantly to the strengthening of total SB expenditure last year. Pension insurance benefits form slightly more than three quarters of </w:t>
            </w:r>
            <w:r>
              <w:rPr>
                <w:color w:val="0D0D0D" w:themeColor="text1" w:themeTint="F2"/>
                <w:szCs w:val="20"/>
              </w:rPr>
              <w:t>total social benefits.</w:t>
            </w:r>
            <w:r w:rsidRPr="00995C95">
              <w:rPr>
                <w:color w:val="0D0D0D" w:themeColor="text1" w:themeTint="F2"/>
                <w:szCs w:val="20"/>
              </w:rPr>
              <w:t xml:space="preserve"> Last year, SB spent 0.8% more on pensions, year-on-year, which represented the lowest growth in the last eleven years. The moderation of consumer prices was reflected in a relatively insignificant adjustment of pensions</w:t>
            </w:r>
            <w:r w:rsidRPr="00995C95">
              <w:rPr>
                <w:rStyle w:val="Znakapoznpodarou"/>
                <w:color w:val="0D0D0D" w:themeColor="text1" w:themeTint="F2"/>
              </w:rPr>
              <w:footnoteReference w:id="18"/>
            </w:r>
            <w:r w:rsidRPr="00995C95">
              <w:rPr>
                <w:color w:val="0D0D0D" w:themeColor="text1" w:themeTint="F2"/>
                <w:szCs w:val="20"/>
              </w:rPr>
              <w:t>, and in addition the number of pension recipients decreased slightly (by 0.6%), which was related to the tightened rules for early retirement</w:t>
            </w:r>
            <w:r w:rsidRPr="00995C95">
              <w:rPr>
                <w:rStyle w:val="Znakapoznpodarou"/>
                <w:color w:val="0D0D0D" w:themeColor="text1" w:themeTint="F2"/>
              </w:rPr>
              <w:footnoteReference w:id="19"/>
            </w:r>
            <w:r w:rsidRPr="00995C95">
              <w:rPr>
                <w:color w:val="0D0D0D" w:themeColor="text1" w:themeTint="F2"/>
              </w:rPr>
              <w:t>.</w:t>
            </w:r>
            <w:r w:rsidRPr="00995C95">
              <w:rPr>
                <w:color w:val="0D0D0D" w:themeColor="text1" w:themeTint="F2"/>
                <w:szCs w:val="20"/>
              </w:rPr>
              <w:t xml:space="preserve"> Although the year-on-year growth of pension premium collection </w:t>
            </w:r>
            <w:r w:rsidRPr="00995C95">
              <w:rPr>
                <w:color w:val="0D0D0D" w:themeColor="text1" w:themeTint="F2"/>
                <w:szCs w:val="20"/>
              </w:rPr>
              <w:lastRenderedPageBreak/>
              <w:t>slowed slightly for the second year in a row last year (to +6.4%), the deficit of the pension insurance system</w:t>
            </w:r>
            <w:r w:rsidRPr="00995C95">
              <w:rPr>
                <w:rStyle w:val="Znakapoznpodarou"/>
                <w:color w:val="0D0D0D" w:themeColor="text1" w:themeTint="F2"/>
              </w:rPr>
              <w:footnoteReference w:id="20"/>
            </w:r>
            <w:r w:rsidRPr="00995C95">
              <w:rPr>
                <w:color w:val="0D0D0D" w:themeColor="text1" w:themeTint="F2"/>
                <w:szCs w:val="20"/>
              </w:rPr>
              <w:t xml:space="preserve"> fell significantly (to 9.2 bn CZK, from 50.7 bn CZK in 2024) and was the lowest in the last four years. </w:t>
            </w:r>
          </w:p>
        </w:tc>
      </w:tr>
      <w:tr w:rsidR="0003024B" w:rsidRPr="00995C95" w14:paraId="4AD07199" w14:textId="77777777" w:rsidTr="00E25E8B">
        <w:trPr>
          <w:trHeight w:val="170"/>
        </w:trPr>
        <w:tc>
          <w:tcPr>
            <w:tcW w:w="1785" w:type="dxa"/>
            <w:tcMar>
              <w:left w:w="0" w:type="dxa"/>
            </w:tcMar>
          </w:tcPr>
          <w:p w14:paraId="1705A783" w14:textId="77777777" w:rsidR="0003024B" w:rsidRPr="00995C95" w:rsidRDefault="0003024B" w:rsidP="00E25E8B">
            <w:pPr>
              <w:pStyle w:val="Marginlie"/>
              <w:rPr>
                <w:spacing w:val="0"/>
              </w:rPr>
            </w:pPr>
            <w:r w:rsidRPr="00995C95">
              <w:rPr>
                <w:spacing w:val="0"/>
              </w:rPr>
              <w:lastRenderedPageBreak/>
              <w:t xml:space="preserve">Growth of expenditure on non-pension social benefits accelerated mainly due to rapidly growing care contributions. The drawdown of the vast majority of other types of benefits increased. </w:t>
            </w:r>
          </w:p>
          <w:p w14:paraId="4EF805D6" w14:textId="77777777" w:rsidR="0003024B" w:rsidRPr="00995C95" w:rsidRDefault="0003024B" w:rsidP="00E25E8B">
            <w:pPr>
              <w:pStyle w:val="Marginlie"/>
              <w:rPr>
                <w:spacing w:val="0"/>
              </w:rPr>
            </w:pPr>
          </w:p>
          <w:p w14:paraId="1C04B3E4" w14:textId="77777777" w:rsidR="0003024B" w:rsidRPr="00995C95" w:rsidRDefault="0003024B" w:rsidP="00E25E8B">
            <w:pPr>
              <w:pStyle w:val="Marginlie"/>
              <w:rPr>
                <w:spacing w:val="0"/>
              </w:rPr>
            </w:pPr>
          </w:p>
          <w:p w14:paraId="7B7600CD" w14:textId="77777777" w:rsidR="0003024B" w:rsidRPr="00995C95" w:rsidRDefault="0003024B" w:rsidP="00E25E8B">
            <w:pPr>
              <w:pStyle w:val="Marginlie"/>
              <w:rPr>
                <w:spacing w:val="0"/>
              </w:rPr>
            </w:pPr>
          </w:p>
          <w:p w14:paraId="7909A38B" w14:textId="77777777" w:rsidR="0003024B" w:rsidRPr="00995C95" w:rsidRDefault="0003024B" w:rsidP="00E25E8B">
            <w:pPr>
              <w:pStyle w:val="Marginlie"/>
              <w:rPr>
                <w:spacing w:val="0"/>
              </w:rPr>
            </w:pPr>
          </w:p>
          <w:p w14:paraId="01D3FB12" w14:textId="77777777" w:rsidR="0003024B" w:rsidRPr="00995C95" w:rsidRDefault="0003024B" w:rsidP="00E25E8B">
            <w:pPr>
              <w:pStyle w:val="Marginlie"/>
              <w:rPr>
                <w:spacing w:val="0"/>
              </w:rPr>
            </w:pPr>
          </w:p>
          <w:p w14:paraId="3C53807C" w14:textId="77777777" w:rsidR="0003024B" w:rsidRDefault="0003024B" w:rsidP="00E25E8B">
            <w:pPr>
              <w:pStyle w:val="Marginlie"/>
            </w:pPr>
            <w:r w:rsidRPr="00995C95">
              <w:t xml:space="preserve">In the smaller range of benefits, there was a longer-term decline of drawdown due to falling birth rates. </w:t>
            </w:r>
          </w:p>
          <w:p w14:paraId="6A74EF8F" w14:textId="77777777" w:rsidR="0003024B" w:rsidRDefault="0003024B" w:rsidP="00E25E8B">
            <w:pPr>
              <w:pStyle w:val="Marginlie"/>
            </w:pPr>
          </w:p>
          <w:p w14:paraId="231741FA" w14:textId="77777777" w:rsidR="0003024B" w:rsidRPr="00995C95" w:rsidRDefault="0003024B" w:rsidP="00E25E8B">
            <w:pPr>
              <w:pStyle w:val="Marginlie"/>
            </w:pPr>
            <w:r w:rsidRPr="00995C95">
              <w:t>The health insurance balance ended in surplus for the second year in a row, the highest since 2008.</w:t>
            </w:r>
          </w:p>
          <w:p w14:paraId="4E4AE56B" w14:textId="77777777" w:rsidR="0003024B" w:rsidRPr="00995C95" w:rsidRDefault="0003024B" w:rsidP="00E25E8B">
            <w:pPr>
              <w:pStyle w:val="Marginlie"/>
              <w:rPr>
                <w:spacing w:val="0"/>
              </w:rPr>
            </w:pPr>
          </w:p>
        </w:tc>
        <w:tc>
          <w:tcPr>
            <w:tcW w:w="203" w:type="dxa"/>
            <w:tcMar>
              <w:left w:w="0" w:type="dxa"/>
            </w:tcMar>
          </w:tcPr>
          <w:p w14:paraId="2A500C4B" w14:textId="77777777" w:rsidR="0003024B" w:rsidRPr="00995C95" w:rsidRDefault="0003024B" w:rsidP="00E25E8B">
            <w:pPr>
              <w:pStyle w:val="Textpoznpodarou"/>
              <w:jc w:val="both"/>
            </w:pPr>
          </w:p>
        </w:tc>
        <w:tc>
          <w:tcPr>
            <w:tcW w:w="7681" w:type="dxa"/>
            <w:tcMar>
              <w:left w:w="0" w:type="dxa"/>
            </w:tcMar>
          </w:tcPr>
          <w:p w14:paraId="5BF46B97" w14:textId="77777777" w:rsidR="0003024B" w:rsidRPr="00995C95" w:rsidRDefault="0003024B" w:rsidP="00E25E8B">
            <w:pPr>
              <w:spacing w:after="200"/>
              <w:rPr>
                <w:color w:val="0D0D0D" w:themeColor="text1" w:themeTint="F2"/>
                <w:szCs w:val="20"/>
              </w:rPr>
            </w:pPr>
            <w:r w:rsidRPr="00995C95">
              <w:rPr>
                <w:color w:val="0D0D0D" w:themeColor="text1" w:themeTint="F2"/>
                <w:szCs w:val="20"/>
              </w:rPr>
              <w:t xml:space="preserve">Year-on-year growth of expenditure on other (non-pension) social benefits was slightly above 6% for the second year in a row last year (and, unlike in 2024, it was the decisive factor of the growth of total expenditure on social benefits - contribution of +11.8 bn CZK). Year-on-year expenditure growth that exceeded budget expectations was recorded for almost </w:t>
            </w:r>
            <w:proofErr w:type="gramStart"/>
            <w:r w:rsidRPr="00995C95">
              <w:rPr>
                <w:color w:val="0D0D0D" w:themeColor="text1" w:themeTint="F2"/>
                <w:szCs w:val="20"/>
              </w:rPr>
              <w:t>all important</w:t>
            </w:r>
            <w:proofErr w:type="gramEnd"/>
            <w:r w:rsidRPr="00995C95">
              <w:rPr>
                <w:color w:val="0D0D0D" w:themeColor="text1" w:themeTint="F2"/>
                <w:szCs w:val="20"/>
              </w:rPr>
              <w:t xml:space="preserve"> types of benefits. An increase of the long-term care allowances significant by volume (+5.2 bn CZK, +12.4%</w:t>
            </w:r>
            <w:r w:rsidRPr="00995C95">
              <w:rPr>
                <w:rStyle w:val="Znakapoznpodarou"/>
                <w:color w:val="0D0D0D" w:themeColor="text1" w:themeTint="F2"/>
              </w:rPr>
              <w:footnoteReference w:id="21"/>
            </w:r>
            <w:r w:rsidRPr="00995C95">
              <w:rPr>
                <w:color w:val="0D0D0D" w:themeColor="text1" w:themeTint="F2"/>
                <w:szCs w:val="20"/>
              </w:rPr>
              <w:t>) played a key role here. The drawdown of unemployment benefits increased for the third year in a row (by 2.0 bn CZK last year, +15.8%), both due to a slightly growing number of job applicants entitled to benefits, and mainly due to a higher average level of support (related to wage growth in the economy). At the same time, the growth of material deprivation assistance benefits continued (+0.5 bn CZK, +4.1%), mainly due to higher humanitarian benefits for Ukrainian refugees (+20.4%)</w:t>
            </w:r>
            <w:r w:rsidRPr="00995C95">
              <w:rPr>
                <w:rStyle w:val="Znakapoznpodarou"/>
                <w:color w:val="0D0D0D" w:themeColor="text1" w:themeTint="F2"/>
                <w:szCs w:val="20"/>
              </w:rPr>
              <w:footnoteReference w:id="22"/>
            </w:r>
            <w:r w:rsidRPr="00995C95">
              <w:rPr>
                <w:color w:val="0D0D0D" w:themeColor="text1" w:themeTint="F2"/>
                <w:szCs w:val="20"/>
              </w:rPr>
              <w:t>. Long-term growing benefits of state social support and foster care increased by 4.0% last year, mainly due to housing benefits (+3.2 bn CZK, +16%)</w:t>
            </w:r>
            <w:r w:rsidRPr="00995C95">
              <w:rPr>
                <w:rStyle w:val="Znakapoznpodarou"/>
                <w:color w:val="0D0D0D" w:themeColor="text1" w:themeTint="F2"/>
                <w:szCs w:val="20"/>
              </w:rPr>
              <w:footnoteReference w:id="23"/>
            </w:r>
            <w:r w:rsidRPr="00995C95">
              <w:rPr>
                <w:color w:val="0D0D0D" w:themeColor="text1" w:themeTint="F2"/>
                <w:szCs w:val="20"/>
              </w:rPr>
              <w:t>. The opposite effect was due to a decrease of parental and child allowances (by a total 1.7 bn CZK), which, however, present a longer-term phenomenon related to a decreasing birth rate. The use of sickness insurance benefits increased slightly for the second year in a row (by 1.4 bn CZK last year, +2.9%)</w:t>
            </w:r>
            <w:r w:rsidRPr="00995C95">
              <w:rPr>
                <w:rStyle w:val="Znakapoznpodarou"/>
                <w:color w:val="0D0D0D" w:themeColor="text1" w:themeTint="F2"/>
              </w:rPr>
              <w:footnoteReference w:id="24"/>
            </w:r>
            <w:r w:rsidRPr="00995C95">
              <w:rPr>
                <w:color w:val="0D0D0D" w:themeColor="text1" w:themeTint="F2"/>
                <w:szCs w:val="20"/>
              </w:rPr>
              <w:t>. The growth was mainly driven by sickness benefits</w:t>
            </w:r>
            <w:r w:rsidRPr="00995C95">
              <w:rPr>
                <w:rStyle w:val="Znakapoznpodarou"/>
                <w:color w:val="0D0D0D" w:themeColor="text1" w:themeTint="F2"/>
              </w:rPr>
              <w:footnoteReference w:id="25"/>
            </w:r>
            <w:r w:rsidRPr="00995C95">
              <w:rPr>
                <w:color w:val="0D0D0D" w:themeColor="text1" w:themeTint="F2"/>
                <w:szCs w:val="20"/>
              </w:rPr>
              <w:t>, while the volume of maternity benefits fell for the fourth time in a row. Income from insurance premiums paid by employed persons increased by 8.2%, year-on-year, last year, partly still due to the legal regulation in relation to the consolidation package</w:t>
            </w:r>
            <w:r w:rsidRPr="00995C95">
              <w:rPr>
                <w:rStyle w:val="Znakapoznpodarou"/>
                <w:color w:val="0D0D0D" w:themeColor="text1" w:themeTint="F2"/>
              </w:rPr>
              <w:footnoteReference w:id="26"/>
            </w:r>
            <w:r w:rsidRPr="00995C95">
              <w:rPr>
                <w:color w:val="0D0D0D" w:themeColor="text1" w:themeTint="F2"/>
              </w:rPr>
              <w:t>.</w:t>
            </w:r>
            <w:r w:rsidRPr="00995C95">
              <w:rPr>
                <w:color w:val="0D0D0D" w:themeColor="text1" w:themeTint="F2"/>
                <w:szCs w:val="20"/>
              </w:rPr>
              <w:t xml:space="preserve"> As a result, the balance of sickness insurance</w:t>
            </w:r>
            <w:r w:rsidRPr="00995C95">
              <w:rPr>
                <w:rStyle w:val="Znakapoznpodarou"/>
                <w:color w:val="0D0D0D" w:themeColor="text1" w:themeTint="F2"/>
              </w:rPr>
              <w:footnoteReference w:id="27"/>
            </w:r>
            <w:r w:rsidRPr="00995C95">
              <w:rPr>
                <w:color w:val="0D0D0D" w:themeColor="text1" w:themeTint="F2"/>
                <w:szCs w:val="20"/>
              </w:rPr>
              <w:t xml:space="preserve"> achieved a slight surplus for the first time since 2018 the year before last, which further increased to 13.5 bn CZK in 2025 (the highest </w:t>
            </w:r>
            <w:r>
              <w:rPr>
                <w:color w:val="0D0D0D" w:themeColor="text1" w:themeTint="F2"/>
                <w:szCs w:val="20"/>
              </w:rPr>
              <w:t xml:space="preserve">surplus </w:t>
            </w:r>
            <w:r w:rsidRPr="00995C95">
              <w:rPr>
                <w:color w:val="0D0D0D" w:themeColor="text1" w:themeTint="F2"/>
                <w:szCs w:val="20"/>
              </w:rPr>
              <w:t xml:space="preserve">since 2008). </w:t>
            </w:r>
          </w:p>
        </w:tc>
      </w:tr>
      <w:tr w:rsidR="0003024B" w:rsidRPr="00995C95" w14:paraId="6CD9C347" w14:textId="77777777" w:rsidTr="00E25E8B">
        <w:trPr>
          <w:trHeight w:val="170"/>
        </w:trPr>
        <w:tc>
          <w:tcPr>
            <w:tcW w:w="1785" w:type="dxa"/>
            <w:tcMar>
              <w:left w:w="0" w:type="dxa"/>
            </w:tcMar>
          </w:tcPr>
          <w:p w14:paraId="39A2CA15" w14:textId="77777777" w:rsidR="0003024B" w:rsidRPr="00995C95" w:rsidRDefault="0003024B" w:rsidP="00E25E8B">
            <w:pPr>
              <w:pStyle w:val="Marginlie"/>
              <w:rPr>
                <w:spacing w:val="0"/>
              </w:rPr>
            </w:pPr>
            <w:r w:rsidRPr="00995C95">
              <w:rPr>
                <w:spacing w:val="0"/>
              </w:rPr>
              <w:t>Non-investment purchases grew rapidly for the second year in a row, mainly due to defence and security spending.</w:t>
            </w:r>
          </w:p>
          <w:p w14:paraId="352F56C1" w14:textId="77777777" w:rsidR="0003024B" w:rsidRPr="00995C95" w:rsidRDefault="0003024B" w:rsidP="00E25E8B">
            <w:pPr>
              <w:pStyle w:val="Marginlie"/>
              <w:rPr>
                <w:spacing w:val="0"/>
              </w:rPr>
            </w:pPr>
          </w:p>
          <w:p w14:paraId="741FFCC2" w14:textId="77777777" w:rsidR="0003024B" w:rsidRPr="00995C95" w:rsidRDefault="0003024B" w:rsidP="00E25E8B">
            <w:pPr>
              <w:pStyle w:val="Marginlie"/>
              <w:rPr>
                <w:spacing w:val="0"/>
              </w:rPr>
            </w:pPr>
          </w:p>
          <w:p w14:paraId="0A3085BB" w14:textId="77777777" w:rsidR="0003024B" w:rsidRPr="00995C95" w:rsidRDefault="0003024B" w:rsidP="00E25E8B">
            <w:pPr>
              <w:pStyle w:val="Marginlie"/>
              <w:rPr>
                <w:spacing w:val="0"/>
              </w:rPr>
            </w:pPr>
          </w:p>
          <w:p w14:paraId="0287161A" w14:textId="77777777" w:rsidR="0003024B" w:rsidRPr="00995C95" w:rsidRDefault="0003024B" w:rsidP="00E25E8B">
            <w:pPr>
              <w:pStyle w:val="Marginlie"/>
              <w:rPr>
                <w:spacing w:val="0"/>
              </w:rPr>
            </w:pPr>
          </w:p>
          <w:p w14:paraId="13679BA5" w14:textId="77777777" w:rsidR="0003024B" w:rsidRPr="00995C95" w:rsidRDefault="0003024B" w:rsidP="00E25E8B">
            <w:pPr>
              <w:pStyle w:val="Marginlie"/>
              <w:rPr>
                <w:spacing w:val="0"/>
              </w:rPr>
            </w:pPr>
            <w:r w:rsidRPr="00995C95">
              <w:rPr>
                <w:spacing w:val="0"/>
              </w:rPr>
              <w:lastRenderedPageBreak/>
              <w:t>The amount of the state debt and interest expenditure on its servicing increased by a tenth.</w:t>
            </w:r>
          </w:p>
        </w:tc>
        <w:tc>
          <w:tcPr>
            <w:tcW w:w="203" w:type="dxa"/>
            <w:tcMar>
              <w:left w:w="0" w:type="dxa"/>
            </w:tcMar>
          </w:tcPr>
          <w:p w14:paraId="08CAC544" w14:textId="77777777" w:rsidR="0003024B" w:rsidRPr="00995C95" w:rsidRDefault="0003024B" w:rsidP="00E25E8B">
            <w:pPr>
              <w:pStyle w:val="Textpoznpodarou"/>
              <w:jc w:val="both"/>
            </w:pPr>
          </w:p>
        </w:tc>
        <w:tc>
          <w:tcPr>
            <w:tcW w:w="7681" w:type="dxa"/>
            <w:tcMar>
              <w:left w:w="0" w:type="dxa"/>
            </w:tcMar>
          </w:tcPr>
          <w:p w14:paraId="65FE6E49" w14:textId="77777777" w:rsidR="0003024B" w:rsidRPr="00324F43" w:rsidRDefault="0003024B" w:rsidP="00E25E8B">
            <w:pPr>
              <w:spacing w:after="200"/>
              <w:rPr>
                <w:spacing w:val="-2"/>
                <w:szCs w:val="20"/>
              </w:rPr>
            </w:pPr>
            <w:r w:rsidRPr="00324F43">
              <w:rPr>
                <w:spacing w:val="-2"/>
              </w:rPr>
              <w:t>Non-investment purchases and related expenditures (excluding government debt service) increased, year-on-year, last year (+15.9%, +15.0 bn CZK). Last year's rapid growth, which occurred for the second year in a row, was mainly due to higher spending at the end of the year. The impact of savings for expenditure on the purchase of water, fuel, energy and maintenance was dampened by the strengthening of material purchases (</w:t>
            </w:r>
            <w:r w:rsidRPr="00324F43">
              <w:rPr>
                <w:spacing w:val="-8"/>
              </w:rPr>
              <w:t>especially for defence and security) and the compensation payment in the telecommunications</w:t>
            </w:r>
            <w:r w:rsidRPr="00324F43">
              <w:rPr>
                <w:spacing w:val="-2"/>
              </w:rPr>
              <w:t xml:space="preserve"> sector. Net expenditure on servicing the state debt</w:t>
            </w:r>
            <w:r w:rsidRPr="00324F43">
              <w:rPr>
                <w:spacing w:val="-2"/>
                <w:vertAlign w:val="superscript"/>
              </w:rPr>
              <w:footnoteReference w:id="28"/>
            </w:r>
            <w:r w:rsidRPr="00324F43">
              <w:rPr>
                <w:spacing w:val="-2"/>
              </w:rPr>
              <w:t xml:space="preserve">, which mainly includes interest, increased by 10.7%, year-on-year, last year and rose to a record 98.1 bn CZK and almost </w:t>
            </w:r>
            <w:r w:rsidRPr="00324F43">
              <w:rPr>
                <w:spacing w:val="-2"/>
              </w:rPr>
              <w:lastRenderedPageBreak/>
              <w:t xml:space="preserve">twice the level of 2022. In addition to the growing volume of planned repayments, they were also influenced by the level of interest rates on domestic government bonds, which have risen in recent years and were above average in the EU last year. The amount of the Czech government's </w:t>
            </w:r>
            <w:r>
              <w:rPr>
                <w:spacing w:val="-2"/>
              </w:rPr>
              <w:t xml:space="preserve">(state) </w:t>
            </w:r>
            <w:r w:rsidRPr="00324F43">
              <w:rPr>
                <w:spacing w:val="-2"/>
              </w:rPr>
              <w:t xml:space="preserve">debt reached 3,678 bn CZK at the end of December last year and increased by 9.3%, year-on-year (growth accelerated slightly for the second </w:t>
            </w:r>
            <w:r w:rsidRPr="00EE5253">
              <w:rPr>
                <w:spacing w:val="-6"/>
              </w:rPr>
              <w:t>year). Last year's debt development is primarily related to an increase in the need for financing</w:t>
            </w:r>
            <w:r w:rsidRPr="00324F43">
              <w:rPr>
                <w:spacing w:val="-2"/>
              </w:rPr>
              <w:t xml:space="preserve"> due to a higher volume of planned repayments of earlier bonds, borrowings and loans. The impact of the growing deficit of the SB in 2025 was also partly apparent. Traditionally, the issuance of </w:t>
            </w:r>
            <w:r w:rsidRPr="00324F43">
              <w:rPr>
                <w:i/>
                <w:iCs/>
                <w:spacing w:val="-2"/>
              </w:rPr>
              <w:t>koruna</w:t>
            </w:r>
            <w:r w:rsidRPr="00324F43">
              <w:rPr>
                <w:spacing w:val="-2"/>
              </w:rPr>
              <w:t xml:space="preserve"> medium-term and long-term government bonds</w:t>
            </w:r>
            <w:r w:rsidRPr="00324F43">
              <w:rPr>
                <w:rStyle w:val="Znakapoznpodarou"/>
                <w:spacing w:val="-2"/>
                <w:szCs w:val="20"/>
              </w:rPr>
              <w:footnoteReference w:id="29"/>
            </w:r>
            <w:r w:rsidRPr="00324F43">
              <w:rPr>
                <w:spacing w:val="-2"/>
              </w:rPr>
              <w:t xml:space="preserve"> was used to cover the financing needs, and short-term debt instruments were also used more than in 2023 and 2024. Last year's increase of total debt was driven mainly by internal debt (+297 bn CZK), but external debt (+16 bn), which grew for the second year in a row also had an impact. </w:t>
            </w:r>
            <w:r>
              <w:rPr>
                <w:spacing w:val="-2"/>
              </w:rPr>
              <w:t>H</w:t>
            </w:r>
            <w:r w:rsidRPr="00324F43">
              <w:rPr>
                <w:spacing w:val="-2"/>
              </w:rPr>
              <w:t>owever, external debt accounted for only 5.4% of the current total debt</w:t>
            </w:r>
            <w:r>
              <w:rPr>
                <w:spacing w:val="-2"/>
              </w:rPr>
              <w:t>.</w:t>
            </w:r>
          </w:p>
        </w:tc>
      </w:tr>
      <w:tr w:rsidR="0003024B" w:rsidRPr="00995C95" w14:paraId="1FE585A0" w14:textId="77777777" w:rsidTr="00E25E8B">
        <w:trPr>
          <w:trHeight w:val="170"/>
        </w:trPr>
        <w:tc>
          <w:tcPr>
            <w:tcW w:w="1785" w:type="dxa"/>
            <w:tcMar>
              <w:left w:w="0" w:type="dxa"/>
            </w:tcMar>
          </w:tcPr>
          <w:p w14:paraId="7925760C" w14:textId="77777777" w:rsidR="0003024B" w:rsidRPr="00995C95" w:rsidRDefault="0003024B" w:rsidP="00E25E8B">
            <w:pPr>
              <w:pStyle w:val="Marginlie"/>
            </w:pPr>
            <w:r w:rsidRPr="00995C95">
              <w:lastRenderedPageBreak/>
              <w:t>The growth of expenditure on salaries in organizational units of the state a</w:t>
            </w:r>
            <w:r>
              <w:t xml:space="preserve">s well as </w:t>
            </w:r>
            <w:r w:rsidRPr="00995C95">
              <w:t xml:space="preserve">subsidies to </w:t>
            </w:r>
            <w:r>
              <w:t xml:space="preserve">semi-budgetary </w:t>
            </w:r>
            <w:r w:rsidRPr="00995C95">
              <w:t>organizations accelerated.</w:t>
            </w:r>
          </w:p>
          <w:p w14:paraId="2D2EA2EC" w14:textId="77777777" w:rsidR="0003024B" w:rsidRPr="00995C95" w:rsidRDefault="0003024B" w:rsidP="00E25E8B">
            <w:pPr>
              <w:pStyle w:val="Marginlie"/>
              <w:rPr>
                <w:spacing w:val="0"/>
              </w:rPr>
            </w:pPr>
          </w:p>
        </w:tc>
        <w:tc>
          <w:tcPr>
            <w:tcW w:w="203" w:type="dxa"/>
            <w:tcMar>
              <w:left w:w="0" w:type="dxa"/>
            </w:tcMar>
          </w:tcPr>
          <w:p w14:paraId="712CF53F" w14:textId="77777777" w:rsidR="0003024B" w:rsidRPr="00995C95" w:rsidRDefault="0003024B" w:rsidP="00E25E8B">
            <w:pPr>
              <w:pStyle w:val="Textpoznpodarou"/>
              <w:jc w:val="both"/>
            </w:pPr>
          </w:p>
        </w:tc>
        <w:tc>
          <w:tcPr>
            <w:tcW w:w="7681" w:type="dxa"/>
            <w:tcMar>
              <w:left w:w="0" w:type="dxa"/>
            </w:tcMar>
          </w:tcPr>
          <w:p w14:paraId="64C976F5" w14:textId="77777777" w:rsidR="0003024B" w:rsidRPr="00995C95" w:rsidRDefault="0003024B" w:rsidP="00E25E8B">
            <w:pPr>
              <w:spacing w:after="200"/>
              <w:rPr>
                <w:color w:val="0D0D0D" w:themeColor="text1" w:themeTint="F2"/>
              </w:rPr>
            </w:pPr>
            <w:r w:rsidRPr="00995C95">
              <w:rPr>
                <w:color w:val="0D0D0D" w:themeColor="text1" w:themeTint="F2"/>
              </w:rPr>
              <w:t xml:space="preserve">After </w:t>
            </w:r>
            <w:r>
              <w:rPr>
                <w:color w:val="0D0D0D" w:themeColor="text1" w:themeTint="F2"/>
              </w:rPr>
              <w:t>the</w:t>
            </w:r>
            <w:r w:rsidRPr="00995C95">
              <w:rPr>
                <w:color w:val="0D0D0D" w:themeColor="text1" w:themeTint="F2"/>
              </w:rPr>
              <w:t xml:space="preserve"> stagnation in 2024, expenditure on salaries in organizational units of the state increased by 7.1% (+12.2 bn CZK) last year</w:t>
            </w:r>
            <w:r w:rsidRPr="00995C95">
              <w:rPr>
                <w:rStyle w:val="Znakapoznpodarou"/>
                <w:color w:val="0D0D0D" w:themeColor="text1" w:themeTint="F2"/>
              </w:rPr>
              <w:footnoteReference w:id="30"/>
            </w:r>
            <w:r w:rsidRPr="00995C95">
              <w:rPr>
                <w:color w:val="0D0D0D" w:themeColor="text1" w:themeTint="F2"/>
              </w:rPr>
              <w:t xml:space="preserve">. Last year, the growth of current subsidies </w:t>
            </w:r>
            <w:r w:rsidRPr="00484203">
              <w:rPr>
                <w:color w:val="0D0D0D" w:themeColor="text1" w:themeTint="F2"/>
                <w:spacing w:val="-4"/>
              </w:rPr>
              <w:t>to semi-budgetary organizations also accelerated significantly, with expenditure increasing</w:t>
            </w:r>
            <w:r w:rsidRPr="00995C95">
              <w:rPr>
                <w:color w:val="0D0D0D" w:themeColor="text1" w:themeTint="F2"/>
              </w:rPr>
              <w:t xml:space="preserve"> by 10.2% (+9.2 bn CZK), both due to higher contributions to the day-to-day operation of </w:t>
            </w:r>
            <w:r w:rsidRPr="00484203">
              <w:rPr>
                <w:color w:val="0D0D0D" w:themeColor="text1" w:themeTint="F2"/>
                <w:spacing w:val="-2"/>
              </w:rPr>
              <w:t>universities and support for research, development and innovation in the higher education</w:t>
            </w:r>
            <w:r w:rsidRPr="00995C95">
              <w:rPr>
                <w:color w:val="0D0D0D" w:themeColor="text1" w:themeTint="F2"/>
              </w:rPr>
              <w:t xml:space="preserve"> </w:t>
            </w:r>
            <w:r w:rsidRPr="00484203">
              <w:rPr>
                <w:color w:val="0D0D0D" w:themeColor="text1" w:themeTint="F2"/>
                <w:spacing w:val="-2"/>
              </w:rPr>
              <w:t>and government sectors. Spending on defence organisations also strengthened. Current</w:t>
            </w:r>
            <w:r w:rsidRPr="00995C95">
              <w:rPr>
                <w:color w:val="0D0D0D" w:themeColor="text1" w:themeTint="F2"/>
              </w:rPr>
              <w:t xml:space="preserve"> transfers to non-profit organisations also increased rapidly, nevertheless in contrast to </w:t>
            </w:r>
            <w:r w:rsidRPr="00484203">
              <w:rPr>
                <w:color w:val="0D0D0D" w:themeColor="text1" w:themeTint="F2"/>
                <w:spacing w:val="-4"/>
              </w:rPr>
              <w:t>semi-budgetary</w:t>
            </w:r>
            <w:r w:rsidRPr="00995C95">
              <w:rPr>
                <w:color w:val="0D0D0D" w:themeColor="text1" w:themeTint="F2"/>
              </w:rPr>
              <w:t xml:space="preserve"> organisations, in line with budget expectations (+12.4%, +3.0 bn CZK), mainly due to higher support for European projects in the field of employment, </w:t>
            </w:r>
            <w:r>
              <w:rPr>
                <w:color w:val="0D0D0D" w:themeColor="text1" w:themeTint="F2"/>
              </w:rPr>
              <w:t>growi</w:t>
            </w:r>
            <w:r w:rsidRPr="00995C95">
              <w:rPr>
                <w:color w:val="0D0D0D" w:themeColor="text1" w:themeTint="F2"/>
              </w:rPr>
              <w:t xml:space="preserve">ng subsidies in the areas of sports, religious schools, foster care and social services. </w:t>
            </w:r>
          </w:p>
        </w:tc>
      </w:tr>
      <w:tr w:rsidR="0003024B" w:rsidRPr="00995C95" w14:paraId="603C7537" w14:textId="77777777" w:rsidTr="00E25E8B">
        <w:trPr>
          <w:trHeight w:val="170"/>
        </w:trPr>
        <w:tc>
          <w:tcPr>
            <w:tcW w:w="1785" w:type="dxa"/>
            <w:tcMar>
              <w:left w:w="0" w:type="dxa"/>
            </w:tcMar>
          </w:tcPr>
          <w:p w14:paraId="4343FED3" w14:textId="77777777" w:rsidR="0003024B" w:rsidRPr="00995C95" w:rsidRDefault="0003024B" w:rsidP="00E25E8B">
            <w:pPr>
              <w:pStyle w:val="Marginlie"/>
              <w:rPr>
                <w:spacing w:val="0"/>
              </w:rPr>
            </w:pPr>
            <w:r w:rsidRPr="00995C95">
              <w:rPr>
                <w:spacing w:val="0"/>
              </w:rPr>
              <w:t xml:space="preserve">The decline of subsidy </w:t>
            </w:r>
            <w:r w:rsidRPr="00634426">
              <w:t>support for entrepreneurs</w:t>
            </w:r>
            <w:r w:rsidRPr="00995C95">
              <w:rPr>
                <w:spacing w:val="0"/>
              </w:rPr>
              <w:t xml:space="preserve"> linked to high energy prices was offset by an increase of subsidies for RES. Total subsidies significantly exceeded budget expectations last year.</w:t>
            </w:r>
          </w:p>
        </w:tc>
        <w:tc>
          <w:tcPr>
            <w:tcW w:w="203" w:type="dxa"/>
            <w:tcMar>
              <w:left w:w="0" w:type="dxa"/>
            </w:tcMar>
          </w:tcPr>
          <w:p w14:paraId="2293CB3B" w14:textId="77777777" w:rsidR="0003024B" w:rsidRPr="00995C95" w:rsidRDefault="0003024B" w:rsidP="00E25E8B">
            <w:pPr>
              <w:pStyle w:val="Textpoznpodarou"/>
              <w:jc w:val="both"/>
            </w:pPr>
          </w:p>
        </w:tc>
        <w:tc>
          <w:tcPr>
            <w:tcW w:w="7681" w:type="dxa"/>
            <w:tcMar>
              <w:left w:w="0" w:type="dxa"/>
            </w:tcMar>
          </w:tcPr>
          <w:p w14:paraId="1AE86376" w14:textId="77777777" w:rsidR="0003024B" w:rsidRPr="00995C95" w:rsidRDefault="0003024B" w:rsidP="00E25E8B">
            <w:pPr>
              <w:spacing w:after="200"/>
              <w:rPr>
                <w:color w:val="0D0D0D" w:themeColor="text1" w:themeTint="F2"/>
                <w:szCs w:val="20"/>
              </w:rPr>
            </w:pPr>
            <w:r w:rsidRPr="00995C95">
              <w:rPr>
                <w:color w:val="0D0D0D" w:themeColor="text1" w:themeTint="F2"/>
              </w:rPr>
              <w:t>Current transfers to entrepreneurs</w:t>
            </w:r>
            <w:r>
              <w:rPr>
                <w:color w:val="0D0D0D" w:themeColor="text1" w:themeTint="F2"/>
              </w:rPr>
              <w:t xml:space="preserve"> (</w:t>
            </w:r>
            <w:r w:rsidRPr="00634426">
              <w:rPr>
                <w:color w:val="0D0D0D" w:themeColor="text1" w:themeTint="F2"/>
              </w:rPr>
              <w:t>businesses</w:t>
            </w:r>
            <w:r>
              <w:rPr>
                <w:color w:val="0D0D0D" w:themeColor="text1" w:themeTint="F2"/>
              </w:rPr>
              <w:t>)</w:t>
            </w:r>
            <w:r w:rsidRPr="00995C95">
              <w:rPr>
                <w:color w:val="0D0D0D" w:themeColor="text1" w:themeTint="F2"/>
              </w:rPr>
              <w:t xml:space="preserve"> increased by 4.1%, year-on-year, last year, but their amount (69.3 bn CZK) was the second lowest in the last six years. The effect of the expected reduction of most subsidies in the energy sector was still visible</w:t>
            </w:r>
            <w:r w:rsidRPr="00995C95">
              <w:rPr>
                <w:rStyle w:val="Znakapoznpodarou"/>
                <w:color w:val="0D0D0D" w:themeColor="text1" w:themeTint="F2"/>
              </w:rPr>
              <w:footnoteReference w:id="31"/>
            </w:r>
            <w:r w:rsidRPr="00995C95">
              <w:rPr>
                <w:color w:val="0D0D0D" w:themeColor="text1" w:themeTint="F2"/>
              </w:rPr>
              <w:t xml:space="preserve">. However, this effect was offset by increasing subsidies for renewable energy sources (RES), which increased significantly, year-on-year (+44%, to 25.9 bn CZK). In addition, subsidies to companies for European projects (especially under the National Recovery Plan) and expenditure on active employment policy also increased, as well as a contribution to support the employment of people with disabilities. Total non-investment subsidies to entrepreneurs significantly exceeded budget expectations last year – by 22.1 bn CZK compared to the original plan (of which 17.4 bn CZK in the area of RES).  </w:t>
            </w:r>
          </w:p>
        </w:tc>
      </w:tr>
      <w:tr w:rsidR="0003024B" w:rsidRPr="00995C95" w14:paraId="014371D8" w14:textId="77777777" w:rsidTr="00E25E8B">
        <w:trPr>
          <w:trHeight w:val="170"/>
        </w:trPr>
        <w:tc>
          <w:tcPr>
            <w:tcW w:w="1785" w:type="dxa"/>
            <w:tcMar>
              <w:left w:w="0" w:type="dxa"/>
            </w:tcMar>
          </w:tcPr>
          <w:p w14:paraId="0A69A689" w14:textId="77777777" w:rsidR="0003024B" w:rsidRPr="00995C95" w:rsidRDefault="0003024B" w:rsidP="00E25E8B">
            <w:pPr>
              <w:pStyle w:val="Marginlie"/>
              <w:rPr>
                <w:spacing w:val="0"/>
              </w:rPr>
            </w:pPr>
            <w:r w:rsidRPr="00995C95">
              <w:rPr>
                <w:spacing w:val="0"/>
              </w:rPr>
              <w:t xml:space="preserve">The growth of expenditure on public health insurance payments, which hold a significant weight, moderated notably. </w:t>
            </w:r>
          </w:p>
          <w:p w14:paraId="12268A4C" w14:textId="77777777" w:rsidR="0003024B" w:rsidRPr="00995C95" w:rsidRDefault="0003024B" w:rsidP="00E25E8B">
            <w:pPr>
              <w:pStyle w:val="Marginlie"/>
              <w:rPr>
                <w:spacing w:val="0"/>
              </w:rPr>
            </w:pPr>
          </w:p>
          <w:p w14:paraId="6B9445BF" w14:textId="77777777" w:rsidR="0003024B" w:rsidRPr="00995C95" w:rsidRDefault="0003024B" w:rsidP="00E25E8B">
            <w:pPr>
              <w:pStyle w:val="Marginlie"/>
              <w:rPr>
                <w:spacing w:val="0"/>
              </w:rPr>
            </w:pPr>
          </w:p>
          <w:p w14:paraId="32449CCF" w14:textId="77777777" w:rsidR="0003024B" w:rsidRPr="00995C95" w:rsidRDefault="0003024B" w:rsidP="00E25E8B">
            <w:pPr>
              <w:pStyle w:val="Marginlie"/>
              <w:rPr>
                <w:spacing w:val="0"/>
              </w:rPr>
            </w:pPr>
            <w:r w:rsidRPr="00995C95">
              <w:rPr>
                <w:spacing w:val="0"/>
              </w:rPr>
              <w:t xml:space="preserve">Last year, lower subsidies to state funds </w:t>
            </w:r>
            <w:r w:rsidRPr="00995C95">
              <w:rPr>
                <w:spacing w:val="0"/>
              </w:rPr>
              <w:lastRenderedPageBreak/>
              <w:t>contributed to the decrease of total SB expenditure.</w:t>
            </w:r>
          </w:p>
          <w:p w14:paraId="0D4084BF" w14:textId="77777777" w:rsidR="0003024B" w:rsidRPr="00995C95" w:rsidRDefault="0003024B" w:rsidP="00E25E8B">
            <w:pPr>
              <w:pStyle w:val="Marginlie"/>
              <w:rPr>
                <w:spacing w:val="0"/>
              </w:rPr>
            </w:pPr>
          </w:p>
        </w:tc>
        <w:tc>
          <w:tcPr>
            <w:tcW w:w="203" w:type="dxa"/>
            <w:tcMar>
              <w:left w:w="0" w:type="dxa"/>
            </w:tcMar>
          </w:tcPr>
          <w:p w14:paraId="7F315B2A" w14:textId="77777777" w:rsidR="0003024B" w:rsidRPr="00995C95" w:rsidRDefault="0003024B" w:rsidP="00E25E8B">
            <w:pPr>
              <w:pStyle w:val="Textpoznpodarou"/>
              <w:jc w:val="both"/>
            </w:pPr>
          </w:p>
        </w:tc>
        <w:tc>
          <w:tcPr>
            <w:tcW w:w="7681" w:type="dxa"/>
            <w:tcMar>
              <w:left w:w="0" w:type="dxa"/>
            </w:tcMar>
          </w:tcPr>
          <w:p w14:paraId="23835AE9" w14:textId="77777777" w:rsidR="0003024B" w:rsidRPr="00634426" w:rsidRDefault="0003024B" w:rsidP="00E25E8B">
            <w:pPr>
              <w:spacing w:after="200"/>
              <w:rPr>
                <w:color w:val="0D0D0D" w:themeColor="text1" w:themeTint="F2"/>
                <w:spacing w:val="-2"/>
              </w:rPr>
            </w:pPr>
            <w:r w:rsidRPr="00634426">
              <w:rPr>
                <w:color w:val="0D0D0D" w:themeColor="text1" w:themeTint="F2"/>
                <w:spacing w:val="-2"/>
              </w:rPr>
              <w:t>Due to the moderation of growth of the price level in the economy, SB's expenditure on public health insurance payments (for the so-called state insured persons) increased only slightly last year (+1.5%, +2.3 bn CZK)</w:t>
            </w:r>
            <w:r w:rsidRPr="00634426">
              <w:rPr>
                <w:rStyle w:val="Znakapoznpodarou"/>
                <w:color w:val="0D0D0D" w:themeColor="text1" w:themeTint="F2"/>
                <w:spacing w:val="-2"/>
              </w:rPr>
              <w:footnoteReference w:id="32"/>
            </w:r>
            <w:r w:rsidRPr="00634426">
              <w:rPr>
                <w:color w:val="0D0D0D" w:themeColor="text1" w:themeTint="F2"/>
                <w:spacing w:val="-2"/>
              </w:rPr>
              <w:t xml:space="preserve">. Of the other major current expenditures, only contributions to the EU budget increased significantly (+14.9%, +7.7 bn CZK). Among the more important items, the growth of total SB expenditure was dampened only by current transfers to state funds, which decreased by 6.3 bn CZK last year (−8.4%, the original budget plan had planned a twofold decrease). This was mainly the result of lower financing of the State Fund (SF) for Transport Infrastructure (to cover its deficit) and, to a lesser </w:t>
            </w:r>
            <w:r w:rsidRPr="00634426">
              <w:rPr>
                <w:color w:val="0D0D0D" w:themeColor="text1" w:themeTint="F2"/>
                <w:spacing w:val="-2"/>
              </w:rPr>
              <w:lastRenderedPageBreak/>
              <w:t xml:space="preserve">extent, a decrease of SF transfers to agriculture (for direct payments to farmers). On the contrary, expenditure on the environment (on European projects) has strengthened. </w:t>
            </w:r>
          </w:p>
        </w:tc>
      </w:tr>
      <w:tr w:rsidR="0003024B" w:rsidRPr="00995C95" w14:paraId="6159012A" w14:textId="77777777" w:rsidTr="00E25E8B">
        <w:trPr>
          <w:trHeight w:val="170"/>
        </w:trPr>
        <w:tc>
          <w:tcPr>
            <w:tcW w:w="1785" w:type="dxa"/>
            <w:tcMar>
              <w:left w:w="0" w:type="dxa"/>
            </w:tcMar>
          </w:tcPr>
          <w:p w14:paraId="13730CBD" w14:textId="77777777" w:rsidR="0003024B" w:rsidRPr="00995C95" w:rsidRDefault="0003024B" w:rsidP="00E25E8B">
            <w:pPr>
              <w:pStyle w:val="Marginlie"/>
              <w:rPr>
                <w:spacing w:val="0"/>
              </w:rPr>
            </w:pPr>
          </w:p>
        </w:tc>
        <w:tc>
          <w:tcPr>
            <w:tcW w:w="203" w:type="dxa"/>
            <w:tcMar>
              <w:left w:w="0" w:type="dxa"/>
            </w:tcMar>
          </w:tcPr>
          <w:p w14:paraId="3FBC7B03" w14:textId="77777777" w:rsidR="0003024B" w:rsidRPr="00995C95" w:rsidRDefault="0003024B" w:rsidP="00E25E8B">
            <w:pPr>
              <w:pStyle w:val="Textpoznpodarou"/>
              <w:jc w:val="both"/>
            </w:pPr>
          </w:p>
        </w:tc>
        <w:tc>
          <w:tcPr>
            <w:tcW w:w="7681" w:type="dxa"/>
            <w:tcMar>
              <w:left w:w="0" w:type="dxa"/>
            </w:tcMar>
          </w:tcPr>
          <w:p w14:paraId="3CC80AF4" w14:textId="77777777" w:rsidR="0003024B" w:rsidRPr="00995C95" w:rsidRDefault="0003024B" w:rsidP="00E25E8B">
            <w:pPr>
              <w:spacing w:after="20"/>
              <w:rPr>
                <w:color w:val="0D0D0D" w:themeColor="text1" w:themeTint="F2"/>
              </w:rPr>
            </w:pPr>
            <w:r w:rsidRPr="00995C95">
              <w:rPr>
                <w:b/>
              </w:rPr>
              <w:t xml:space="preserve">Chart 19 Selected expenditures of the state budget </w:t>
            </w:r>
            <w:r w:rsidRPr="00995C95">
              <w:rPr>
                <w:rFonts w:cs="Arial"/>
              </w:rPr>
              <w:t>(in bn CZK)</w:t>
            </w:r>
          </w:p>
        </w:tc>
      </w:tr>
      <w:tr w:rsidR="0003024B" w:rsidRPr="00995C95" w14:paraId="5A0DF365" w14:textId="77777777" w:rsidTr="00E25E8B">
        <w:tblPrEx>
          <w:tblCellMar>
            <w:left w:w="70" w:type="dxa"/>
            <w:right w:w="70" w:type="dxa"/>
          </w:tblCellMar>
        </w:tblPrEx>
        <w:trPr>
          <w:trHeight w:val="170"/>
        </w:trPr>
        <w:tc>
          <w:tcPr>
            <w:tcW w:w="1785" w:type="dxa"/>
          </w:tcPr>
          <w:p w14:paraId="2E8E8FE3" w14:textId="77777777" w:rsidR="0003024B" w:rsidRPr="00995C95" w:rsidRDefault="0003024B" w:rsidP="00E25E8B">
            <w:pPr>
              <w:pStyle w:val="Marginlie"/>
              <w:rPr>
                <w:spacing w:val="0"/>
              </w:rPr>
            </w:pPr>
          </w:p>
        </w:tc>
        <w:tc>
          <w:tcPr>
            <w:tcW w:w="203" w:type="dxa"/>
          </w:tcPr>
          <w:p w14:paraId="2E32B2F6" w14:textId="77777777" w:rsidR="0003024B" w:rsidRPr="00995C95" w:rsidRDefault="0003024B" w:rsidP="00E25E8B">
            <w:pPr>
              <w:pStyle w:val="Textpoznpodarou"/>
              <w:jc w:val="both"/>
            </w:pPr>
          </w:p>
        </w:tc>
        <w:tc>
          <w:tcPr>
            <w:tcW w:w="7681" w:type="dxa"/>
          </w:tcPr>
          <w:p w14:paraId="6A084362" w14:textId="77777777" w:rsidR="0003024B" w:rsidRPr="00995C95" w:rsidRDefault="0003024B" w:rsidP="00E25E8B">
            <w:pPr>
              <w:spacing w:before="20" w:after="20"/>
              <w:rPr>
                <w:color w:val="0D0D0D" w:themeColor="text1" w:themeTint="F2"/>
              </w:rPr>
            </w:pPr>
            <w:r>
              <w:rPr>
                <w:noProof/>
              </w:rPr>
              <w:drawing>
                <wp:inline distT="0" distB="0" distL="0" distR="0" wp14:anchorId="1A319275" wp14:editId="7ACC4FB8">
                  <wp:extent cx="4784090" cy="3333115"/>
                  <wp:effectExtent l="0" t="0" r="0" b="635"/>
                  <wp:docPr id="2089713558" name="Graf 1">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3024B" w:rsidRPr="00995C95" w14:paraId="71FADF8F" w14:textId="77777777" w:rsidTr="00E25E8B">
        <w:trPr>
          <w:trHeight w:val="170"/>
        </w:trPr>
        <w:tc>
          <w:tcPr>
            <w:tcW w:w="1785" w:type="dxa"/>
            <w:tcMar>
              <w:left w:w="0" w:type="dxa"/>
            </w:tcMar>
          </w:tcPr>
          <w:p w14:paraId="643F6000" w14:textId="77777777" w:rsidR="0003024B" w:rsidRPr="00995C95" w:rsidRDefault="0003024B" w:rsidP="00E25E8B">
            <w:pPr>
              <w:pStyle w:val="Marginlie"/>
              <w:rPr>
                <w:spacing w:val="0"/>
              </w:rPr>
            </w:pPr>
          </w:p>
        </w:tc>
        <w:tc>
          <w:tcPr>
            <w:tcW w:w="203" w:type="dxa"/>
            <w:tcMar>
              <w:left w:w="0" w:type="dxa"/>
            </w:tcMar>
          </w:tcPr>
          <w:p w14:paraId="6E52D8EF" w14:textId="77777777" w:rsidR="0003024B" w:rsidRPr="00995C95" w:rsidRDefault="0003024B" w:rsidP="00E25E8B">
            <w:pPr>
              <w:pStyle w:val="Textpoznpodarou"/>
              <w:jc w:val="both"/>
            </w:pPr>
          </w:p>
        </w:tc>
        <w:tc>
          <w:tcPr>
            <w:tcW w:w="7681" w:type="dxa"/>
            <w:tcMar>
              <w:left w:w="0" w:type="dxa"/>
            </w:tcMar>
          </w:tcPr>
          <w:p w14:paraId="7B59291B" w14:textId="77777777" w:rsidR="0003024B" w:rsidRPr="005F3324" w:rsidRDefault="0003024B" w:rsidP="00E25E8B">
            <w:pPr>
              <w:pStyle w:val="Textpoznpodarou"/>
              <w:jc w:val="both"/>
              <w:rPr>
                <w:sz w:val="14"/>
                <w:szCs w:val="14"/>
              </w:rPr>
            </w:pPr>
            <w:r w:rsidRPr="005F3324">
              <w:rPr>
                <w:sz w:val="14"/>
                <w:szCs w:val="14"/>
              </w:rPr>
              <w:t>*Expenditures on salaries in central government institutions. Do not include e.g. wage costs of regional education.</w:t>
            </w:r>
          </w:p>
          <w:p w14:paraId="268ADA62" w14:textId="77777777" w:rsidR="0003024B" w:rsidRPr="005F3324" w:rsidRDefault="0003024B" w:rsidP="00E25E8B">
            <w:pPr>
              <w:pStyle w:val="Textpoznpodarou"/>
              <w:jc w:val="both"/>
              <w:rPr>
                <w:sz w:val="14"/>
                <w:szCs w:val="14"/>
              </w:rPr>
            </w:pPr>
            <w:r w:rsidRPr="005F3324">
              <w:rPr>
                <w:sz w:val="14"/>
                <w:szCs w:val="14"/>
              </w:rPr>
              <w:t>**Also includes the foster care benefits.</w:t>
            </w:r>
          </w:p>
          <w:p w14:paraId="37E8B8E5" w14:textId="77777777" w:rsidR="0003024B" w:rsidRPr="005F3324" w:rsidRDefault="0003024B" w:rsidP="00E25E8B">
            <w:pPr>
              <w:pStyle w:val="Textpoznpodarou"/>
              <w:jc w:val="both"/>
              <w:rPr>
                <w:sz w:val="14"/>
                <w:szCs w:val="14"/>
              </w:rPr>
            </w:pPr>
            <w:r w:rsidRPr="005F3324">
              <w:rPr>
                <w:sz w:val="14"/>
                <w:szCs w:val="14"/>
              </w:rPr>
              <w:t>***Include Material deprivation assistance benefits, Benefits for people with disabilities, Care benefits based on Act on State Social Support. Humanitarian aid provided for citizens of Ukraine is also included here.</w:t>
            </w:r>
          </w:p>
          <w:p w14:paraId="7609F41E" w14:textId="77777777" w:rsidR="0003024B" w:rsidRPr="005F3324" w:rsidRDefault="0003024B" w:rsidP="00E25E8B">
            <w:pPr>
              <w:pStyle w:val="Textpoznpodarou"/>
              <w:jc w:val="both"/>
              <w:rPr>
                <w:sz w:val="14"/>
                <w:szCs w:val="14"/>
              </w:rPr>
            </w:pPr>
            <w:r w:rsidRPr="005F3324">
              <w:rPr>
                <w:sz w:val="14"/>
                <w:szCs w:val="14"/>
              </w:rPr>
              <w:t>****Contains mainly expenditures on purchase of services, materials, energies or other services (e.g. expenditures on repairs and maintenance).</w:t>
            </w:r>
          </w:p>
          <w:p w14:paraId="76E71550" w14:textId="77777777" w:rsidR="0003024B" w:rsidRPr="005F3324" w:rsidRDefault="0003024B" w:rsidP="00E25E8B">
            <w:pPr>
              <w:pStyle w:val="Textpoznpodarou"/>
              <w:jc w:val="both"/>
              <w:rPr>
                <w:sz w:val="14"/>
                <w:szCs w:val="14"/>
              </w:rPr>
            </w:pPr>
            <w:r w:rsidRPr="005F3324">
              <w:rPr>
                <w:sz w:val="14"/>
                <w:szCs w:val="14"/>
              </w:rPr>
              <w:t>*****Net expenditures correspond to the balance of the budget chapter State debt (no. 396).</w:t>
            </w:r>
          </w:p>
          <w:p w14:paraId="1A2985FE" w14:textId="77777777" w:rsidR="0003024B" w:rsidRPr="005F3324" w:rsidRDefault="0003024B" w:rsidP="00E25E8B">
            <w:pPr>
              <w:pStyle w:val="Textpoznpodarou"/>
              <w:rPr>
                <w:sz w:val="14"/>
                <w:szCs w:val="14"/>
              </w:rPr>
            </w:pPr>
            <w:r w:rsidRPr="005F3324">
              <w:rPr>
                <w:sz w:val="14"/>
                <w:szCs w:val="14"/>
              </w:rPr>
              <w:t xml:space="preserve">Source: MF CR </w:t>
            </w:r>
          </w:p>
          <w:p w14:paraId="4606125A" w14:textId="77777777" w:rsidR="0003024B" w:rsidRPr="00995C95" w:rsidRDefault="0003024B" w:rsidP="00E25E8B">
            <w:pPr>
              <w:pStyle w:val="Textpoznpodarou"/>
              <w:rPr>
                <w:b/>
                <w:bCs/>
                <w:color w:val="0D0D0D" w:themeColor="text1" w:themeTint="F2"/>
                <w:sz w:val="16"/>
                <w:szCs w:val="16"/>
              </w:rPr>
            </w:pPr>
          </w:p>
        </w:tc>
      </w:tr>
      <w:tr w:rsidR="0003024B" w:rsidRPr="00995C95" w14:paraId="237618B8" w14:textId="77777777" w:rsidTr="00E25E8B">
        <w:trPr>
          <w:trHeight w:val="170"/>
        </w:trPr>
        <w:tc>
          <w:tcPr>
            <w:tcW w:w="1785" w:type="dxa"/>
            <w:tcMar>
              <w:left w:w="0" w:type="dxa"/>
            </w:tcMar>
          </w:tcPr>
          <w:p w14:paraId="405F5B1F" w14:textId="77777777" w:rsidR="0003024B" w:rsidRPr="00995C95" w:rsidRDefault="0003024B" w:rsidP="00E25E8B">
            <w:pPr>
              <w:pStyle w:val="Marginlie"/>
              <w:rPr>
                <w:spacing w:val="0"/>
              </w:rPr>
            </w:pPr>
            <w:r w:rsidRPr="00995C95">
              <w:rPr>
                <w:spacing w:val="0"/>
              </w:rPr>
              <w:t xml:space="preserve">Growth of capital expenditure accelerated significantly last year. The share of investments on total SB expenditure was the highest in the last decade. </w:t>
            </w:r>
          </w:p>
          <w:p w14:paraId="25379CF0" w14:textId="77777777" w:rsidR="0003024B" w:rsidRDefault="0003024B" w:rsidP="00E25E8B">
            <w:pPr>
              <w:pStyle w:val="Marginlie"/>
              <w:rPr>
                <w:spacing w:val="0"/>
              </w:rPr>
            </w:pPr>
          </w:p>
          <w:p w14:paraId="618C7382" w14:textId="77777777" w:rsidR="0003024B" w:rsidRDefault="0003024B" w:rsidP="00E25E8B">
            <w:pPr>
              <w:pStyle w:val="Marginlie"/>
              <w:rPr>
                <w:spacing w:val="0"/>
              </w:rPr>
            </w:pPr>
          </w:p>
          <w:p w14:paraId="643837A3" w14:textId="77777777" w:rsidR="0003024B" w:rsidRPr="00995C95" w:rsidRDefault="0003024B" w:rsidP="00E25E8B">
            <w:pPr>
              <w:pStyle w:val="Marginlie"/>
              <w:rPr>
                <w:spacing w:val="0"/>
              </w:rPr>
            </w:pPr>
          </w:p>
          <w:p w14:paraId="5BBB5A41" w14:textId="77777777" w:rsidR="0003024B" w:rsidRDefault="0003024B" w:rsidP="00E25E8B">
            <w:pPr>
              <w:pStyle w:val="Marginlie"/>
              <w:rPr>
                <w:spacing w:val="0"/>
              </w:rPr>
            </w:pPr>
            <w:r w:rsidRPr="00995C95">
              <w:rPr>
                <w:spacing w:val="0"/>
              </w:rPr>
              <w:t>Mainly investments covered by purely national resources increased – especially in</w:t>
            </w:r>
            <w:r>
              <w:rPr>
                <w:spacing w:val="0"/>
              </w:rPr>
              <w:t xml:space="preserve"> </w:t>
            </w:r>
            <w:r w:rsidRPr="00995C95">
              <w:rPr>
                <w:spacing w:val="0"/>
              </w:rPr>
              <w:t xml:space="preserve">the area of transport infrastructure. </w:t>
            </w:r>
          </w:p>
          <w:p w14:paraId="3D825AFC" w14:textId="77777777" w:rsidR="0003024B" w:rsidRDefault="0003024B" w:rsidP="00E25E8B">
            <w:pPr>
              <w:pStyle w:val="Marginlie"/>
              <w:rPr>
                <w:spacing w:val="0"/>
              </w:rPr>
            </w:pPr>
          </w:p>
          <w:p w14:paraId="4CE95A8D" w14:textId="77777777" w:rsidR="0003024B" w:rsidRDefault="0003024B" w:rsidP="00E25E8B">
            <w:pPr>
              <w:pStyle w:val="Marginlie"/>
              <w:rPr>
                <w:spacing w:val="0"/>
              </w:rPr>
            </w:pPr>
          </w:p>
          <w:p w14:paraId="2F43A75E" w14:textId="77777777" w:rsidR="0003024B" w:rsidRDefault="0003024B" w:rsidP="00E25E8B">
            <w:pPr>
              <w:pStyle w:val="Marginlie"/>
              <w:rPr>
                <w:spacing w:val="0"/>
              </w:rPr>
            </w:pPr>
          </w:p>
          <w:p w14:paraId="51789A50" w14:textId="77777777" w:rsidR="0003024B" w:rsidRPr="00995C95" w:rsidRDefault="0003024B" w:rsidP="00E25E8B">
            <w:pPr>
              <w:pStyle w:val="Marginlie"/>
              <w:rPr>
                <w:spacing w:val="0"/>
              </w:rPr>
            </w:pPr>
            <w:r w:rsidRPr="00995C95">
              <w:rPr>
                <w:spacing w:val="0"/>
              </w:rPr>
              <w:t>Investment subsidies to entrepreneurs have fallen, as well as investment purchases, especially in defence</w:t>
            </w:r>
            <w:r>
              <w:rPr>
                <w:spacing w:val="0"/>
              </w:rPr>
              <w:t>.</w:t>
            </w:r>
          </w:p>
        </w:tc>
        <w:tc>
          <w:tcPr>
            <w:tcW w:w="203" w:type="dxa"/>
            <w:tcMar>
              <w:left w:w="0" w:type="dxa"/>
            </w:tcMar>
          </w:tcPr>
          <w:p w14:paraId="1AC4CEC0" w14:textId="77777777" w:rsidR="0003024B" w:rsidRPr="00995C95" w:rsidRDefault="0003024B" w:rsidP="00E25E8B">
            <w:pPr>
              <w:pStyle w:val="Textpoznpodarou"/>
              <w:jc w:val="both"/>
            </w:pPr>
          </w:p>
        </w:tc>
        <w:tc>
          <w:tcPr>
            <w:tcW w:w="7681" w:type="dxa"/>
            <w:tcMar>
              <w:left w:w="0" w:type="dxa"/>
            </w:tcMar>
          </w:tcPr>
          <w:p w14:paraId="0B3C4D82" w14:textId="77777777" w:rsidR="0003024B" w:rsidRPr="003A57C9" w:rsidRDefault="0003024B" w:rsidP="00E25E8B">
            <w:pPr>
              <w:pStyle w:val="Textpoznpodarou"/>
              <w:spacing w:after="200" w:line="276" w:lineRule="auto"/>
              <w:jc w:val="both"/>
              <w:rPr>
                <w:rFonts w:eastAsia="Times New Roman"/>
                <w:color w:val="0D0D0D" w:themeColor="text1" w:themeTint="F2"/>
                <w:spacing w:val="-2"/>
                <w:szCs w:val="24"/>
              </w:rPr>
            </w:pPr>
            <w:r w:rsidRPr="003A57C9">
              <w:rPr>
                <w:rFonts w:eastAsia="Times New Roman"/>
                <w:color w:val="0D0D0D" w:themeColor="text1" w:themeTint="F2"/>
                <w:spacing w:val="-2"/>
                <w:szCs w:val="24"/>
              </w:rPr>
              <w:t>Year-on-year growth of capital expenditure accelerated significantly last year, reaching 23.5% (a five-year high). Mainly due to more intensive absorption in H2 of the year, last year's amount of investments amounted to 262.4 bn CZK</w:t>
            </w:r>
            <w:r w:rsidRPr="003A57C9">
              <w:rPr>
                <w:rStyle w:val="Znakapoznpodarou"/>
                <w:rFonts w:eastAsia="Times New Roman"/>
                <w:color w:val="0D0D0D" w:themeColor="text1" w:themeTint="F2"/>
                <w:spacing w:val="-2"/>
                <w:szCs w:val="24"/>
              </w:rPr>
              <w:footnoteReference w:id="33"/>
            </w:r>
            <w:r w:rsidRPr="003A57C9">
              <w:rPr>
                <w:rFonts w:eastAsia="Times New Roman"/>
                <w:color w:val="0D0D0D" w:themeColor="text1" w:themeTint="F2"/>
                <w:spacing w:val="-2"/>
                <w:szCs w:val="24"/>
              </w:rPr>
              <w:t>, which represented 11.1% of all SB expenditure (the highest in the last ten years and the second highest share after 2011). Last year's growth was mainly supported by investments made exclusively from national sources (+CZK 29.2 billion). Unlike in 2024, expenditure on projects of joint EU-Czech programmes has already increased (+20.7 bn CZK)</w:t>
            </w:r>
            <w:r w:rsidRPr="003A57C9">
              <w:rPr>
                <w:rStyle w:val="Znakapoznpodarou"/>
                <w:rFonts w:eastAsia="Times New Roman"/>
                <w:color w:val="0D0D0D" w:themeColor="text1" w:themeTint="F2"/>
                <w:spacing w:val="-2"/>
                <w:szCs w:val="24"/>
              </w:rPr>
              <w:t xml:space="preserve"> </w:t>
            </w:r>
            <w:r w:rsidRPr="003A57C9">
              <w:rPr>
                <w:rStyle w:val="Znakapoznpodarou"/>
                <w:rFonts w:eastAsia="Times New Roman"/>
                <w:color w:val="0D0D0D" w:themeColor="text1" w:themeTint="F2"/>
                <w:spacing w:val="-2"/>
                <w:szCs w:val="24"/>
              </w:rPr>
              <w:footnoteReference w:id="34"/>
            </w:r>
            <w:r w:rsidRPr="003A57C9">
              <w:rPr>
                <w:rFonts w:eastAsia="Times New Roman"/>
                <w:color w:val="0D0D0D" w:themeColor="text1" w:themeTint="F2"/>
                <w:spacing w:val="-2"/>
                <w:szCs w:val="24"/>
              </w:rPr>
              <w:t xml:space="preserve">, mainly due to the higher use of funds from the National Recovery Plan. Pre-financing of expenditure on these joint projects accounted for almost 40% of all last year's investments from SB. Investments covered exclusively by national sources increased, year-on-year, last year, mainly due to a higher allocation to state funds – especially to transport infrastructure (+35.2 bn CZK, +60%), including repairs of state-owned roads after the floods (in autumn 2024). Expenditure on funds in the area of the environment and agriculture also strengthened more slightly. More investments were also directed to semi-budgetary and similar organizations (+9.5 bn CZK, +50%), equally to health care and education. On the contrary, investment subsidies to entrepreneurs fell for the second year in a row (by 4.1 bn CZK or 21.6% last year) due to a slower launch of drawdowns on European projects in the current EU programming period. After strong growth in both 2023 and 2024, capital purchases and related expenditures also decreased last year (-3.9 bn and -5.3%, respectively), mainly due to irregular financing of equipment for the Czech Army. Still, the amount of </w:t>
            </w:r>
            <w:r w:rsidRPr="003A57C9">
              <w:rPr>
                <w:rFonts w:eastAsia="Times New Roman"/>
                <w:color w:val="0D0D0D" w:themeColor="text1" w:themeTint="F2"/>
                <w:spacing w:val="-2"/>
                <w:szCs w:val="24"/>
              </w:rPr>
              <w:lastRenderedPageBreak/>
              <w:t xml:space="preserve">these purchases accounted for more than a quarter of all capital expenditures of the SB and its drawdown exceeded budget expectations last year. From the perspective of budget expenditure by kind, most of total SB investments last year went to transportation (86 bn CZK), defence (60.6 bn CZK), housing, municipal services and territorial development (21.1 bn CZK), education and school services (15 bn CZK) and also to health care (10.9 bn CZK), where expenditure more than doubled, year-on-year (it also increased by half in the area of transportation and environmental protection).  </w:t>
            </w:r>
          </w:p>
        </w:tc>
      </w:tr>
      <w:tr w:rsidR="0003024B" w:rsidRPr="00995C95" w14:paraId="14A06A0D" w14:textId="77777777" w:rsidTr="00E25E8B">
        <w:trPr>
          <w:trHeight w:val="170"/>
        </w:trPr>
        <w:tc>
          <w:tcPr>
            <w:tcW w:w="1785" w:type="dxa"/>
            <w:tcMar>
              <w:left w:w="0" w:type="dxa"/>
            </w:tcMar>
          </w:tcPr>
          <w:p w14:paraId="049F0FEE" w14:textId="77777777" w:rsidR="0003024B" w:rsidRPr="00995C95" w:rsidRDefault="0003024B" w:rsidP="00E25E8B">
            <w:pPr>
              <w:pStyle w:val="Marginlie"/>
              <w:rPr>
                <w:spacing w:val="0"/>
              </w:rPr>
            </w:pPr>
            <w:r w:rsidRPr="00995C95">
              <w:rPr>
                <w:spacing w:val="0"/>
              </w:rPr>
              <w:lastRenderedPageBreak/>
              <w:t xml:space="preserve">The general government deficit did not change significantly, year-on-year, in the three quarters last year. </w:t>
            </w:r>
          </w:p>
          <w:p w14:paraId="6532E311" w14:textId="77777777" w:rsidR="0003024B" w:rsidRPr="00995C95" w:rsidRDefault="0003024B" w:rsidP="00E25E8B">
            <w:pPr>
              <w:pStyle w:val="Marginlie"/>
              <w:rPr>
                <w:spacing w:val="0"/>
              </w:rPr>
            </w:pPr>
          </w:p>
          <w:p w14:paraId="6C3DF98F" w14:textId="77777777" w:rsidR="0003024B" w:rsidRPr="00995C95" w:rsidRDefault="0003024B" w:rsidP="00E25E8B">
            <w:pPr>
              <w:pStyle w:val="Marginlie"/>
              <w:rPr>
                <w:spacing w:val="0"/>
              </w:rPr>
            </w:pPr>
          </w:p>
          <w:p w14:paraId="209BE2DB" w14:textId="77777777" w:rsidR="0003024B" w:rsidRPr="00995C95" w:rsidRDefault="0003024B" w:rsidP="00E25E8B">
            <w:pPr>
              <w:pStyle w:val="Marginlie"/>
              <w:rPr>
                <w:spacing w:val="0"/>
              </w:rPr>
            </w:pPr>
          </w:p>
          <w:p w14:paraId="175AA16F" w14:textId="77777777" w:rsidR="0003024B" w:rsidRPr="00995C95" w:rsidRDefault="0003024B" w:rsidP="00E25E8B">
            <w:pPr>
              <w:pStyle w:val="Marginlie"/>
              <w:rPr>
                <w:spacing w:val="0"/>
              </w:rPr>
            </w:pPr>
            <w:r w:rsidRPr="00995C95">
              <w:rPr>
                <w:spacing w:val="0"/>
              </w:rPr>
              <w:t xml:space="preserve">The growth of a number of weight-important revenues of </w:t>
            </w:r>
            <w:r>
              <w:rPr>
                <w:spacing w:val="0"/>
              </w:rPr>
              <w:t xml:space="preserve">GG </w:t>
            </w:r>
            <w:r w:rsidRPr="00995C95">
              <w:rPr>
                <w:spacing w:val="0"/>
              </w:rPr>
              <w:t>sector moderated.</w:t>
            </w:r>
          </w:p>
          <w:p w14:paraId="0AEFE9CE" w14:textId="77777777" w:rsidR="0003024B" w:rsidRPr="00995C95" w:rsidRDefault="0003024B" w:rsidP="00E25E8B">
            <w:pPr>
              <w:pStyle w:val="Marginlie"/>
              <w:rPr>
                <w:spacing w:val="0"/>
              </w:rPr>
            </w:pPr>
          </w:p>
          <w:p w14:paraId="30E94C71" w14:textId="77777777" w:rsidR="0003024B" w:rsidRPr="00995C95" w:rsidRDefault="0003024B" w:rsidP="00E25E8B">
            <w:pPr>
              <w:pStyle w:val="Marginlie"/>
              <w:rPr>
                <w:spacing w:val="0"/>
              </w:rPr>
            </w:pPr>
          </w:p>
          <w:p w14:paraId="01266545" w14:textId="77777777" w:rsidR="0003024B" w:rsidRPr="00995C95" w:rsidRDefault="0003024B" w:rsidP="00E25E8B">
            <w:pPr>
              <w:pStyle w:val="Marginlie"/>
              <w:rPr>
                <w:spacing w:val="0"/>
              </w:rPr>
            </w:pPr>
          </w:p>
          <w:p w14:paraId="3907AFDB" w14:textId="77777777" w:rsidR="0003024B" w:rsidRPr="00995C95" w:rsidRDefault="0003024B" w:rsidP="00E25E8B">
            <w:pPr>
              <w:pStyle w:val="Marginlie"/>
              <w:rPr>
                <w:spacing w:val="0"/>
              </w:rPr>
            </w:pPr>
            <w:r w:rsidRPr="00995C95">
              <w:rPr>
                <w:spacing w:val="0"/>
              </w:rPr>
              <w:t xml:space="preserve">The growth of total expenditure in </w:t>
            </w:r>
            <w:r>
              <w:rPr>
                <w:spacing w:val="0"/>
              </w:rPr>
              <w:t xml:space="preserve">GG </w:t>
            </w:r>
            <w:r w:rsidRPr="00995C95">
              <w:rPr>
                <w:spacing w:val="0"/>
              </w:rPr>
              <w:t xml:space="preserve">sector accelerated mainly due to subsidies and </w:t>
            </w:r>
            <w:r>
              <w:rPr>
                <w:spacing w:val="0"/>
              </w:rPr>
              <w:t xml:space="preserve">also </w:t>
            </w:r>
            <w:r w:rsidRPr="00995C95">
              <w:rPr>
                <w:spacing w:val="0"/>
              </w:rPr>
              <w:t xml:space="preserve">investments, the year-on-year strengthening of which was mainly driven by expenditure of local </w:t>
            </w:r>
            <w:r>
              <w:rPr>
                <w:spacing w:val="0"/>
              </w:rPr>
              <w:t>GG sector</w:t>
            </w:r>
            <w:r w:rsidRPr="00995C95">
              <w:rPr>
                <w:spacing w:val="0"/>
              </w:rPr>
              <w:t>.</w:t>
            </w:r>
          </w:p>
        </w:tc>
        <w:tc>
          <w:tcPr>
            <w:tcW w:w="203" w:type="dxa"/>
            <w:tcMar>
              <w:left w:w="0" w:type="dxa"/>
            </w:tcMar>
          </w:tcPr>
          <w:p w14:paraId="76F22957" w14:textId="77777777" w:rsidR="0003024B" w:rsidRPr="00995C95" w:rsidRDefault="0003024B" w:rsidP="00E25E8B">
            <w:pPr>
              <w:pStyle w:val="Textpoznpodarou"/>
              <w:jc w:val="both"/>
            </w:pPr>
          </w:p>
        </w:tc>
        <w:tc>
          <w:tcPr>
            <w:tcW w:w="7681" w:type="dxa"/>
            <w:tcMar>
              <w:left w:w="0" w:type="dxa"/>
            </w:tcMar>
          </w:tcPr>
          <w:p w14:paraId="4328F088" w14:textId="77777777" w:rsidR="0003024B" w:rsidRPr="00B73E87" w:rsidRDefault="0003024B" w:rsidP="00E25E8B">
            <w:pPr>
              <w:pStyle w:val="Textpoznpodarou"/>
              <w:spacing w:after="200" w:line="276" w:lineRule="auto"/>
              <w:jc w:val="both"/>
              <w:rPr>
                <w:rFonts w:eastAsia="Times New Roman"/>
                <w:color w:val="0D0D0D" w:themeColor="text1" w:themeTint="F2"/>
                <w:spacing w:val="-2"/>
                <w:szCs w:val="24"/>
              </w:rPr>
            </w:pPr>
            <w:r w:rsidRPr="00B73E87">
              <w:rPr>
                <w:spacing w:val="-2"/>
              </w:rPr>
              <w:t xml:space="preserve">The general government </w:t>
            </w:r>
            <w:r>
              <w:rPr>
                <w:spacing w:val="-2"/>
              </w:rPr>
              <w:t xml:space="preserve">(GG) </w:t>
            </w:r>
            <w:r w:rsidRPr="00B73E87">
              <w:rPr>
                <w:spacing w:val="-2"/>
              </w:rPr>
              <w:t>sector in the Czech Republic ran a deficit of 87.5 bn CZK</w:t>
            </w:r>
            <w:r w:rsidRPr="00B73E87">
              <w:rPr>
                <w:rStyle w:val="Znakapoznpodarou"/>
                <w:spacing w:val="-2"/>
              </w:rPr>
              <w:footnoteReference w:id="35"/>
            </w:r>
            <w:r w:rsidRPr="00B73E87">
              <w:rPr>
                <w:spacing w:val="-2"/>
              </w:rPr>
              <w:t xml:space="preserve"> in Q1 to Q3 2025</w:t>
            </w:r>
            <w:r w:rsidRPr="00B73E87">
              <w:rPr>
                <w:rStyle w:val="Znakapoznpodarou"/>
                <w:spacing w:val="-2"/>
              </w:rPr>
              <w:footnoteReference w:id="36"/>
            </w:r>
            <w:r w:rsidRPr="00B73E87">
              <w:rPr>
                <w:spacing w:val="-2"/>
              </w:rPr>
              <w:t>, slightly higher, year-on-year (+0.8%)</w:t>
            </w:r>
            <w:r w:rsidRPr="00B73E87">
              <w:rPr>
                <w:rStyle w:val="Znakapoznpodarou"/>
                <w:spacing w:val="-2"/>
              </w:rPr>
              <w:footnoteReference w:id="37"/>
            </w:r>
            <w:r w:rsidRPr="00B73E87">
              <w:rPr>
                <w:spacing w:val="-2"/>
              </w:rPr>
              <w:t xml:space="preserve">. Growth of SB </w:t>
            </w:r>
            <w:r w:rsidRPr="00A25282">
              <w:rPr>
                <w:i/>
                <w:iCs/>
                <w:spacing w:val="-2"/>
              </w:rPr>
              <w:t>total revenues</w:t>
            </w:r>
            <w:r w:rsidRPr="00B73E87">
              <w:rPr>
                <w:spacing w:val="-2"/>
              </w:rPr>
              <w:t xml:space="preserve"> slowed to 5.7% (the slowest pace in the same period of the last five years). This slowdown was due to weaker growth of revenues from current taxes (from incomes and wealth). The received social payments (from both employers and households) represented the largest contributor to the growth of total, despite the fact that their pace also weakened, year-on-year (to +6.3%, which represented the lowest growth after 2020). Revenues from the volume-significant item of taxes on production and imports, including primarily indirect taxes, increased by 4.2%, year-on-year (a slight slowdown was also evident here). This year, as in the previous year, revenue growth was dampened mainly by lower funds arising from ownership income (−4.6%), namely interest income</w:t>
            </w:r>
            <w:r w:rsidRPr="00B73E87">
              <w:rPr>
                <w:rStyle w:val="Znakapoznpodarou"/>
                <w:spacing w:val="-2"/>
              </w:rPr>
              <w:footnoteReference w:id="38"/>
            </w:r>
            <w:r w:rsidRPr="00B73E87">
              <w:rPr>
                <w:spacing w:val="-2"/>
              </w:rPr>
              <w:t xml:space="preserve">. </w:t>
            </w:r>
            <w:r w:rsidRPr="00A25282">
              <w:rPr>
                <w:i/>
                <w:iCs/>
                <w:spacing w:val="-2"/>
              </w:rPr>
              <w:t xml:space="preserve">Total expenditure </w:t>
            </w:r>
            <w:r w:rsidRPr="00B73E87">
              <w:rPr>
                <w:spacing w:val="-2"/>
              </w:rPr>
              <w:t>was 5.5% higher, year-on-year, in the first three quarters last year (3.6% a year earlier). This acceleration was due to higher subsidies paid out, which increased by 14.2%. Even so, their previous level last year (136.7 bn CZK) clearly lagged behind for years 2021 and 2023, influenced by extraordinary events. Higher expenditure on fixed capital formation (+13.1%) also contributed to fiscal expansion last year, the growth of which was among the highest in the last seven years (and unlike in 2023 and 2024, region</w:t>
            </w:r>
            <w:r>
              <w:rPr>
                <w:spacing w:val="-2"/>
              </w:rPr>
              <w:t>al</w:t>
            </w:r>
            <w:r w:rsidRPr="00B73E87">
              <w:rPr>
                <w:spacing w:val="-2"/>
              </w:rPr>
              <w:t xml:space="preserve"> and </w:t>
            </w:r>
            <w:r>
              <w:rPr>
                <w:spacing w:val="-2"/>
              </w:rPr>
              <w:t xml:space="preserve">municipal </w:t>
            </w:r>
            <w:r w:rsidRPr="00485F2F">
              <w:rPr>
                <w:spacing w:val="-4"/>
              </w:rPr>
              <w:t>investments contributed the most). Compensation to employees also grew relatively rapidly</w:t>
            </w:r>
            <w:r w:rsidRPr="00B73E87">
              <w:rPr>
                <w:spacing w:val="-2"/>
              </w:rPr>
              <w:t xml:space="preserve"> (+6.1%), both due to slightly growing employment in public services and adjustment of wage tariffs. The pace of intermediate consumption expenditure slowed to a four-year low (+4.8%), partly due to price developments of some energies. Price effects were also reflected in a sharp slowdown of interest payments growth (to 3.2%), mainly owing to lower payments to holders of government anti-inflation bonds</w:t>
            </w:r>
            <w:r>
              <w:rPr>
                <w:spacing w:val="-2"/>
              </w:rPr>
              <w:t xml:space="preserve"> (i.e. to households)</w:t>
            </w:r>
            <w:r w:rsidRPr="00B73E87">
              <w:rPr>
                <w:spacing w:val="-2"/>
              </w:rPr>
              <w:t xml:space="preserve">. Growth of expenditure on the most important expenditure item in terms of weight – social benefits – slowed down sharply for the second year in a row (to +2.4%). The moderation of consumer </w:t>
            </w:r>
            <w:r w:rsidRPr="00CF4AEE">
              <w:rPr>
                <w:spacing w:val="-4"/>
              </w:rPr>
              <w:t>price dynamics and indexation adjustments for old-age pensions was apparent here, and a</w:t>
            </w:r>
            <w:r w:rsidRPr="00B73E87">
              <w:rPr>
                <w:spacing w:val="-2"/>
              </w:rPr>
              <w:t xml:space="preserve"> moderation of the pace of expenditure on social transfers in kind also played a partial role. </w:t>
            </w:r>
          </w:p>
        </w:tc>
      </w:tr>
      <w:tr w:rsidR="0003024B" w:rsidRPr="00995C95" w14:paraId="07C4C03B" w14:textId="77777777" w:rsidTr="00E25E8B">
        <w:trPr>
          <w:trHeight w:val="170"/>
        </w:trPr>
        <w:tc>
          <w:tcPr>
            <w:tcW w:w="1785" w:type="dxa"/>
            <w:tcMar>
              <w:left w:w="0" w:type="dxa"/>
            </w:tcMar>
          </w:tcPr>
          <w:p w14:paraId="691123A0" w14:textId="77777777" w:rsidR="0003024B" w:rsidRPr="00995C95" w:rsidRDefault="0003024B" w:rsidP="00E25E8B">
            <w:pPr>
              <w:pStyle w:val="Marginlie"/>
              <w:rPr>
                <w:spacing w:val="0"/>
              </w:rPr>
            </w:pPr>
            <w:r w:rsidRPr="00995C95">
              <w:rPr>
                <w:spacing w:val="0"/>
              </w:rPr>
              <w:t xml:space="preserve">The </w:t>
            </w:r>
            <w:r>
              <w:rPr>
                <w:spacing w:val="0"/>
              </w:rPr>
              <w:t xml:space="preserve">deficit of </w:t>
            </w:r>
            <w:r w:rsidRPr="00995C95">
              <w:rPr>
                <w:spacing w:val="0"/>
              </w:rPr>
              <w:t xml:space="preserve">general government </w:t>
            </w:r>
            <w:r>
              <w:rPr>
                <w:spacing w:val="0"/>
              </w:rPr>
              <w:t xml:space="preserve">sector </w:t>
            </w:r>
            <w:r w:rsidRPr="00995C95">
              <w:rPr>
                <w:spacing w:val="0"/>
              </w:rPr>
              <w:t xml:space="preserve">in the EU fluctuated around 3% last year, and no significant easing of fiscal imbalances has been achieved at the level of the Member States over the past year. This resulted in an increase of the number of states facing pressure </w:t>
            </w:r>
            <w:r w:rsidRPr="00995C95">
              <w:rPr>
                <w:spacing w:val="0"/>
              </w:rPr>
              <w:lastRenderedPageBreak/>
              <w:t xml:space="preserve">from the Union for consolidation efforts. </w:t>
            </w:r>
          </w:p>
        </w:tc>
        <w:tc>
          <w:tcPr>
            <w:tcW w:w="203" w:type="dxa"/>
            <w:tcMar>
              <w:left w:w="0" w:type="dxa"/>
            </w:tcMar>
          </w:tcPr>
          <w:p w14:paraId="5190A616" w14:textId="77777777" w:rsidR="0003024B" w:rsidRPr="00995C95" w:rsidRDefault="0003024B" w:rsidP="00E25E8B">
            <w:pPr>
              <w:pStyle w:val="Textpoznpodarou"/>
              <w:jc w:val="both"/>
            </w:pPr>
          </w:p>
        </w:tc>
        <w:tc>
          <w:tcPr>
            <w:tcW w:w="7681" w:type="dxa"/>
            <w:tcMar>
              <w:left w:w="0" w:type="dxa"/>
            </w:tcMar>
          </w:tcPr>
          <w:p w14:paraId="35408896" w14:textId="77777777" w:rsidR="0003024B" w:rsidRPr="00B73E87" w:rsidRDefault="0003024B" w:rsidP="00E25E8B">
            <w:pPr>
              <w:pStyle w:val="Textpoznpodarou"/>
              <w:spacing w:after="200" w:line="276" w:lineRule="auto"/>
              <w:jc w:val="both"/>
              <w:rPr>
                <w:spacing w:val="-2"/>
              </w:rPr>
            </w:pPr>
            <w:r w:rsidRPr="00B73E87">
              <w:rPr>
                <w:spacing w:val="-2"/>
              </w:rPr>
              <w:t xml:space="preserve">The situation in the area of </w:t>
            </w:r>
            <w:r>
              <w:rPr>
                <w:spacing w:val="-2"/>
              </w:rPr>
              <w:t>the GG</w:t>
            </w:r>
            <w:r w:rsidRPr="00B73E87">
              <w:rPr>
                <w:spacing w:val="-2"/>
              </w:rPr>
              <w:t xml:space="preserve"> sector in the EU Member States</w:t>
            </w:r>
            <w:r w:rsidRPr="00B73E87">
              <w:rPr>
                <w:rStyle w:val="Znakapoznpodarou"/>
                <w:spacing w:val="-2"/>
              </w:rPr>
              <w:footnoteReference w:id="39"/>
            </w:r>
            <w:r w:rsidRPr="00B73E87">
              <w:rPr>
                <w:spacing w:val="-2"/>
              </w:rPr>
              <w:t xml:space="preserve"> has partially stabilised after the start of m</w:t>
            </w:r>
            <w:r>
              <w:rPr>
                <w:spacing w:val="-2"/>
              </w:rPr>
              <w:t>ild</w:t>
            </w:r>
            <w:r w:rsidRPr="00B73E87">
              <w:rPr>
                <w:spacing w:val="-2"/>
              </w:rPr>
              <w:t xml:space="preserve"> economic growth and the moderation of price developments the year before last. The </w:t>
            </w:r>
            <w:r>
              <w:t xml:space="preserve">deficit of </w:t>
            </w:r>
            <w:r w:rsidRPr="00995C95">
              <w:t xml:space="preserve">general government </w:t>
            </w:r>
            <w:r>
              <w:t xml:space="preserve">sector </w:t>
            </w:r>
            <w:r w:rsidRPr="00B73E87">
              <w:rPr>
                <w:spacing w:val="-2"/>
              </w:rPr>
              <w:t xml:space="preserve">in the EU fell below 3% of GDP in Q1 2025 for the first time in two and a half years. Subsequently, however, this favourable development stopped and in Q3, the deficit stood at 3.2% of GDP and was slightly higher in year-on-year terms (by 0.2 p. p.). In total, eleven EU Member States reported </w:t>
            </w:r>
            <w:r>
              <w:rPr>
                <w:spacing w:val="-2"/>
              </w:rPr>
              <w:t>the</w:t>
            </w:r>
            <w:r w:rsidRPr="00B73E87">
              <w:rPr>
                <w:spacing w:val="-2"/>
              </w:rPr>
              <w:t xml:space="preserve"> deficit of more than 3% of GDP in Q1 to Q3 2025 (the same as a year earlier). The deepest deficits burdened Romania (8.1% of GDP), Poland (6.5%), France (5.4%) and Belgium (5.2%), as well as Italy among major economies. The </w:t>
            </w:r>
            <w:r>
              <w:rPr>
                <w:spacing w:val="-2"/>
              </w:rPr>
              <w:t>Czech</w:t>
            </w:r>
            <w:r w:rsidRPr="00B73E87">
              <w:rPr>
                <w:spacing w:val="-2"/>
              </w:rPr>
              <w:t xml:space="preserve"> deficit </w:t>
            </w:r>
            <w:r w:rsidRPr="00B73E87">
              <w:rPr>
                <w:spacing w:val="-2"/>
              </w:rPr>
              <w:lastRenderedPageBreak/>
              <w:t>(2.0% of GDP) was slightly more favourable last year than in Germany and at the same time the lowest of all Central European countries. Only five countries achieved a surplus – in addition to traditionally fiscally responsible Denmark (+3.6% of GDP), also some currently or previously heavily indebted economies (Greece, Portugal, Cyprus, Ireland). Year-on-year, the balance deteriorated the most mainly in small or smaller countries (Luxembourg, Ireland, Denmark), and of the larger economies only in Poland (from -5.6% of GDP to -6.5% of GDP) and the Netherlands (from -0.5% to -1.5%). Improvements have been made mainly in countries facing pressure from the EU to consolidate public finances</w:t>
            </w:r>
            <w:r w:rsidRPr="00B73E87">
              <w:rPr>
                <w:rStyle w:val="Znakapoznpodarou"/>
                <w:spacing w:val="-2"/>
              </w:rPr>
              <w:footnoteReference w:id="40"/>
            </w:r>
            <w:r w:rsidRPr="00B73E87">
              <w:rPr>
                <w:spacing w:val="-2"/>
              </w:rPr>
              <w:t xml:space="preserve"> – in Hungary (from -5.4% to -3.3% of GDP), and to a lesser extent in Finland, Slovakia and Romania. In Germany, the deficit fell (from 2.8% to 2.3% of GDP). In the Czech Republic, as in the EU and the euro area, the deficit stagnated. The surplus increased (to 2.9% of GDP) in Greece. </w:t>
            </w:r>
          </w:p>
        </w:tc>
      </w:tr>
      <w:tr w:rsidR="0003024B" w:rsidRPr="00995C95" w14:paraId="25840248" w14:textId="77777777" w:rsidTr="00E25E8B">
        <w:trPr>
          <w:trHeight w:val="170"/>
        </w:trPr>
        <w:tc>
          <w:tcPr>
            <w:tcW w:w="1785" w:type="dxa"/>
            <w:vMerge w:val="restart"/>
            <w:tcMar>
              <w:left w:w="0" w:type="dxa"/>
            </w:tcMar>
          </w:tcPr>
          <w:p w14:paraId="220F53D4" w14:textId="77777777" w:rsidR="0003024B" w:rsidRPr="00995C95" w:rsidRDefault="0003024B" w:rsidP="00E25E8B">
            <w:pPr>
              <w:pStyle w:val="Marginlie"/>
              <w:rPr>
                <w:spacing w:val="0"/>
              </w:rPr>
            </w:pPr>
          </w:p>
        </w:tc>
        <w:tc>
          <w:tcPr>
            <w:tcW w:w="203" w:type="dxa"/>
            <w:tcMar>
              <w:left w:w="0" w:type="dxa"/>
            </w:tcMar>
          </w:tcPr>
          <w:p w14:paraId="410FAEED" w14:textId="77777777" w:rsidR="0003024B" w:rsidRPr="00995C95" w:rsidRDefault="0003024B" w:rsidP="00E25E8B">
            <w:pPr>
              <w:pStyle w:val="Textpoznpodarou"/>
              <w:jc w:val="both"/>
            </w:pPr>
          </w:p>
        </w:tc>
        <w:tc>
          <w:tcPr>
            <w:tcW w:w="7681" w:type="dxa"/>
            <w:tcMar>
              <w:left w:w="0" w:type="dxa"/>
            </w:tcMar>
          </w:tcPr>
          <w:p w14:paraId="11B69BCF" w14:textId="77777777" w:rsidR="0003024B" w:rsidRPr="00995C95" w:rsidRDefault="0003024B" w:rsidP="00E25E8B">
            <w:pPr>
              <w:pStyle w:val="Textpoznpodarou"/>
              <w:spacing w:after="20" w:line="276" w:lineRule="auto"/>
              <w:jc w:val="both"/>
              <w:rPr>
                <w:color w:val="0D0D0D" w:themeColor="text1" w:themeTint="F2"/>
              </w:rPr>
            </w:pPr>
            <w:r w:rsidRPr="00995C95">
              <w:rPr>
                <w:b/>
                <w:color w:val="0D0D0D" w:themeColor="text1" w:themeTint="F2"/>
              </w:rPr>
              <w:t xml:space="preserve">Chart 20 </w:t>
            </w:r>
            <w:r w:rsidRPr="00995C95">
              <w:rPr>
                <w:rFonts w:cs="Arial"/>
                <w:b/>
                <w:bCs/>
              </w:rPr>
              <w:t xml:space="preserve">Budget balance and debt ratio of the general government institution sector in selected EU states </w:t>
            </w:r>
            <w:r w:rsidRPr="00995C95">
              <w:rPr>
                <w:rFonts w:cs="Arial"/>
                <w:bCs/>
              </w:rPr>
              <w:t xml:space="preserve">(in % of GDP) </w:t>
            </w:r>
          </w:p>
        </w:tc>
      </w:tr>
      <w:tr w:rsidR="0003024B" w:rsidRPr="00995C95" w14:paraId="07189B5F" w14:textId="77777777" w:rsidTr="00E25E8B">
        <w:tblPrEx>
          <w:tblCellMar>
            <w:left w:w="70" w:type="dxa"/>
            <w:right w:w="70" w:type="dxa"/>
          </w:tblCellMar>
        </w:tblPrEx>
        <w:trPr>
          <w:trHeight w:val="170"/>
        </w:trPr>
        <w:tc>
          <w:tcPr>
            <w:tcW w:w="1785" w:type="dxa"/>
            <w:vMerge/>
          </w:tcPr>
          <w:p w14:paraId="545852D4" w14:textId="77777777" w:rsidR="0003024B" w:rsidRPr="00995C95" w:rsidRDefault="0003024B" w:rsidP="00E25E8B">
            <w:pPr>
              <w:pStyle w:val="Marginlie"/>
              <w:rPr>
                <w:spacing w:val="0"/>
              </w:rPr>
            </w:pPr>
          </w:p>
        </w:tc>
        <w:tc>
          <w:tcPr>
            <w:tcW w:w="203" w:type="dxa"/>
          </w:tcPr>
          <w:p w14:paraId="5B6E8494" w14:textId="77777777" w:rsidR="0003024B" w:rsidRPr="00995C95" w:rsidRDefault="0003024B" w:rsidP="00E25E8B">
            <w:pPr>
              <w:pStyle w:val="Textpoznpodarou"/>
              <w:jc w:val="both"/>
            </w:pPr>
          </w:p>
        </w:tc>
        <w:tc>
          <w:tcPr>
            <w:tcW w:w="7681" w:type="dxa"/>
          </w:tcPr>
          <w:p w14:paraId="39E0FB61" w14:textId="77777777" w:rsidR="0003024B" w:rsidRPr="00995C95" w:rsidRDefault="0003024B" w:rsidP="00E25E8B">
            <w:pPr>
              <w:pStyle w:val="Textpoznpodarou"/>
              <w:spacing w:before="20" w:after="20" w:line="276" w:lineRule="auto"/>
              <w:jc w:val="both"/>
              <w:rPr>
                <w:color w:val="0D0D0D" w:themeColor="text1" w:themeTint="F2"/>
              </w:rPr>
            </w:pPr>
            <w:r>
              <w:rPr>
                <w:noProof/>
              </w:rPr>
              <w:drawing>
                <wp:inline distT="0" distB="0" distL="0" distR="0" wp14:anchorId="0B1B2F0C" wp14:editId="2CE893BC">
                  <wp:extent cx="4749800" cy="3450866"/>
                  <wp:effectExtent l="0" t="0" r="0" b="0"/>
                  <wp:docPr id="1562531473" name="Graf 1">
                    <a:extLst xmlns:a="http://schemas.openxmlformats.org/drawingml/2006/main">
                      <a:ext uri="{FF2B5EF4-FFF2-40B4-BE49-F238E27FC236}">
                        <a16:creationId xmlns:a16="http://schemas.microsoft.com/office/drawing/2014/main" id="{030932C7-67D9-4842-AA2D-61F3F1F72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3024B" w:rsidRPr="00995C95" w14:paraId="698249EB" w14:textId="77777777" w:rsidTr="00E25E8B">
        <w:trPr>
          <w:trHeight w:val="170"/>
        </w:trPr>
        <w:tc>
          <w:tcPr>
            <w:tcW w:w="1785" w:type="dxa"/>
            <w:vMerge/>
            <w:tcMar>
              <w:left w:w="0" w:type="dxa"/>
            </w:tcMar>
          </w:tcPr>
          <w:p w14:paraId="560D4AE6" w14:textId="77777777" w:rsidR="0003024B" w:rsidRPr="00995C95" w:rsidRDefault="0003024B" w:rsidP="00E25E8B">
            <w:pPr>
              <w:pStyle w:val="Marginlie"/>
              <w:rPr>
                <w:spacing w:val="0"/>
              </w:rPr>
            </w:pPr>
          </w:p>
        </w:tc>
        <w:tc>
          <w:tcPr>
            <w:tcW w:w="203" w:type="dxa"/>
            <w:tcMar>
              <w:left w:w="0" w:type="dxa"/>
            </w:tcMar>
          </w:tcPr>
          <w:p w14:paraId="56FF4D05" w14:textId="77777777" w:rsidR="0003024B" w:rsidRPr="00995C95" w:rsidRDefault="0003024B" w:rsidP="00E25E8B">
            <w:pPr>
              <w:pStyle w:val="Textpoznpodarou"/>
              <w:jc w:val="both"/>
            </w:pPr>
          </w:p>
        </w:tc>
        <w:tc>
          <w:tcPr>
            <w:tcW w:w="7681" w:type="dxa"/>
            <w:tcMar>
              <w:left w:w="0" w:type="dxa"/>
            </w:tcMar>
          </w:tcPr>
          <w:p w14:paraId="1B3A8F23" w14:textId="77777777" w:rsidR="0003024B" w:rsidRPr="00995C95" w:rsidRDefault="0003024B" w:rsidP="00E25E8B">
            <w:pPr>
              <w:spacing w:after="0"/>
              <w:rPr>
                <w:color w:val="0D0D0D" w:themeColor="text1" w:themeTint="F2"/>
                <w:sz w:val="14"/>
                <w:szCs w:val="14"/>
              </w:rPr>
            </w:pPr>
            <w:r w:rsidRPr="00995C95">
              <w:rPr>
                <w:color w:val="0D0D0D" w:themeColor="text1" w:themeTint="F2"/>
                <w:sz w:val="14"/>
                <w:szCs w:val="14"/>
              </w:rPr>
              <w:t xml:space="preserve">Note: Budget balance is seasonally adjusted. The debt rate expresses the balance at the end of quarter. </w:t>
            </w:r>
          </w:p>
          <w:p w14:paraId="3091EEC8" w14:textId="77777777" w:rsidR="0003024B" w:rsidRPr="00832B69" w:rsidRDefault="0003024B" w:rsidP="00E25E8B">
            <w:pPr>
              <w:spacing w:after="160"/>
              <w:rPr>
                <w:sz w:val="14"/>
                <w:szCs w:val="14"/>
              </w:rPr>
            </w:pPr>
            <w:r w:rsidRPr="00995C95">
              <w:rPr>
                <w:sz w:val="14"/>
                <w:szCs w:val="14"/>
              </w:rPr>
              <w:t>Source: Eurostat</w:t>
            </w:r>
          </w:p>
        </w:tc>
      </w:tr>
      <w:tr w:rsidR="0003024B" w:rsidRPr="00995C95" w14:paraId="642C9364" w14:textId="77777777" w:rsidTr="00E25E8B">
        <w:trPr>
          <w:trHeight w:val="170"/>
        </w:trPr>
        <w:tc>
          <w:tcPr>
            <w:tcW w:w="1785" w:type="dxa"/>
            <w:tcMar>
              <w:left w:w="0" w:type="dxa"/>
            </w:tcMar>
          </w:tcPr>
          <w:p w14:paraId="465A9F5A" w14:textId="77777777" w:rsidR="0003024B" w:rsidRPr="00995C95" w:rsidRDefault="0003024B" w:rsidP="00E25E8B">
            <w:pPr>
              <w:pStyle w:val="Marginlie"/>
              <w:rPr>
                <w:spacing w:val="0"/>
              </w:rPr>
            </w:pPr>
            <w:r w:rsidRPr="00995C95">
              <w:rPr>
                <w:spacing w:val="0"/>
              </w:rPr>
              <w:t>The debt ratio decreased, year-on-year, in less than half of the EU countries in Q3. The position of the Czech Republic has not changed according to the level of debt.</w:t>
            </w:r>
          </w:p>
        </w:tc>
        <w:tc>
          <w:tcPr>
            <w:tcW w:w="203" w:type="dxa"/>
            <w:tcMar>
              <w:left w:w="0" w:type="dxa"/>
            </w:tcMar>
          </w:tcPr>
          <w:p w14:paraId="1DA01784" w14:textId="77777777" w:rsidR="0003024B" w:rsidRPr="00995C95" w:rsidRDefault="0003024B" w:rsidP="00E25E8B">
            <w:pPr>
              <w:pStyle w:val="Textpoznpodarou"/>
              <w:jc w:val="both"/>
            </w:pPr>
          </w:p>
        </w:tc>
        <w:tc>
          <w:tcPr>
            <w:tcW w:w="7681" w:type="dxa"/>
            <w:tcMar>
              <w:left w:w="0" w:type="dxa"/>
            </w:tcMar>
          </w:tcPr>
          <w:p w14:paraId="21B2D1EF" w14:textId="77777777" w:rsidR="0003024B" w:rsidRPr="00B73E87" w:rsidRDefault="0003024B" w:rsidP="00E25E8B">
            <w:pPr>
              <w:spacing w:after="0"/>
              <w:rPr>
                <w:spacing w:val="-2"/>
              </w:rPr>
            </w:pPr>
            <w:r>
              <w:rPr>
                <w:spacing w:val="-2"/>
              </w:rPr>
              <w:t>The g</w:t>
            </w:r>
            <w:r w:rsidRPr="00B73E87">
              <w:rPr>
                <w:spacing w:val="-2"/>
              </w:rPr>
              <w:t xml:space="preserve">ross consolidated debt </w:t>
            </w:r>
            <w:r>
              <w:rPr>
                <w:spacing w:val="-2"/>
              </w:rPr>
              <w:t xml:space="preserve">of the general government sector </w:t>
            </w:r>
            <w:r w:rsidRPr="00B73E87">
              <w:rPr>
                <w:spacing w:val="-2"/>
              </w:rPr>
              <w:t xml:space="preserve">in the EU stood at 82.1% at the end of Q3 (88.5% of GDP in the euro area) and has been increasing, quarter-on-quarter, since the beginning of last year. Although the debt ratio was “only” 0.8 p. p. higher, year-on-year, it was the most significant strengthening in the last four years. Debt ratios fell, year-on-year, in 11 Member States – most notably in Greece (from 159% of GDP to 150% of GDP), Ireland (from 40% to 33%) and Cyprus (from 67% to 61%), and among major economies in Spain (from 104% to 103%). In the Czech Republic, debt amounted to 43.1% of GDP, remained almost unchanged, year-on-year (+0.3 p. p.) and remained the ninth lowest among the Member States. The debt ratio increased most significantly in countries with high budget deficits last year – Romania (from 53.3% of GDP to 58.9% of GDP) and Poland (from 53.2% to 58.1%). Almost half of the EU Member States and three-fifths of the euro area members reported debt in excess of 60% of GDP. </w:t>
            </w:r>
          </w:p>
        </w:tc>
      </w:tr>
    </w:tbl>
    <w:p w14:paraId="2143296F" w14:textId="24A80B91" w:rsidR="00A50D73" w:rsidRPr="00FC6700" w:rsidRDefault="00A50D73" w:rsidP="0003024B">
      <w:pPr>
        <w:pStyle w:val="Nadpis1"/>
        <w:rPr>
          <w:sz w:val="2"/>
          <w:szCs w:val="2"/>
        </w:rPr>
      </w:pPr>
    </w:p>
    <w:sectPr w:rsidR="00A50D73" w:rsidRPr="00FC6700" w:rsidSect="00414B10">
      <w:headerReference w:type="even" r:id="rId14"/>
      <w:headerReference w:type="default" r:id="rId15"/>
      <w:footerReference w:type="even" r:id="rId16"/>
      <w:footerReference w:type="default" r:id="rId17"/>
      <w:pgSz w:w="11906" w:h="16838" w:code="9"/>
      <w:pgMar w:top="1134" w:right="1134" w:bottom="1418" w:left="1134" w:header="680" w:footer="680"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7C27" w14:textId="77777777" w:rsidR="00BF09BC" w:rsidRPr="00995C95" w:rsidRDefault="00BF09BC" w:rsidP="00E71A58">
      <w:r w:rsidRPr="00995C95">
        <w:separator/>
      </w:r>
    </w:p>
  </w:endnote>
  <w:endnote w:type="continuationSeparator" w:id="0">
    <w:p w14:paraId="09556ADE" w14:textId="77777777" w:rsidR="00BF09BC" w:rsidRPr="00995C95" w:rsidRDefault="00BF09BC" w:rsidP="00E71A58">
      <w:r w:rsidRPr="00995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0715AFCD"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fldChar w:fldCharType="begin"/>
    </w:r>
    <w:r w:rsidRPr="00995C95">
      <w:rPr>
        <w:noProof w:val="0"/>
        <w:szCs w:val="16"/>
        <w:lang w:val="en-GB"/>
      </w:rPr>
      <w:instrText>PAGE   \* MERGEFORMAT</w:instrText>
    </w:r>
    <w:r w:rsidRPr="00995C95">
      <w:rPr>
        <w:noProof w:val="0"/>
        <w:szCs w:val="16"/>
        <w:lang w:val="en-GB"/>
      </w:rPr>
      <w:fldChar w:fldCharType="separate"/>
    </w:r>
    <w:r w:rsidR="00233D05" w:rsidRPr="00995C95">
      <w:rPr>
        <w:noProof w:val="0"/>
        <w:szCs w:val="16"/>
        <w:lang w:val="en-GB"/>
      </w:rPr>
      <w:t>50</w:t>
    </w:r>
    <w:r w:rsidRPr="00995C95">
      <w:rPr>
        <w:noProof w:val="0"/>
        <w:szCs w:val="16"/>
        <w:lang w:val="en-GB"/>
      </w:rPr>
      <w:fldChar w:fldCharType="end"/>
    </w:r>
    <w:r w:rsidRPr="00995C95">
      <w:rPr>
        <w:noProof w:val="0"/>
        <w:szCs w:val="16"/>
        <w:lang w:val="en-GB"/>
      </w:rPr>
      <w:tab/>
    </w:r>
    <w:r w:rsidR="005A327C" w:rsidRPr="00995C95">
      <w:rPr>
        <w:noProof w:val="0"/>
        <w:szCs w:val="16"/>
        <w:lang w:val="en-GB"/>
      </w:rPr>
      <w:t xml:space="preserve">year </w:t>
    </w:r>
    <w:r w:rsidR="00C5418A" w:rsidRPr="00995C95">
      <w:rPr>
        <w:noProof w:val="0"/>
        <w:szCs w:val="16"/>
        <w:lang w:val="en-GB"/>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60E7FB6"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tab/>
    </w:r>
    <w:r w:rsidR="005370C0" w:rsidRPr="00995C95">
      <w:rPr>
        <w:noProof w:val="0"/>
        <w:szCs w:val="16"/>
        <w:lang w:val="en-GB"/>
      </w:rPr>
      <w:t xml:space="preserve">Year </w:t>
    </w:r>
    <w:r w:rsidRPr="00995C95">
      <w:rPr>
        <w:noProof w:val="0"/>
        <w:szCs w:val="16"/>
        <w:lang w:val="en-GB"/>
      </w:rPr>
      <w:t>2025</w:t>
    </w:r>
    <w:r w:rsidRPr="00995C95">
      <w:rPr>
        <w:noProof w:val="0"/>
        <w:szCs w:val="16"/>
        <w:lang w:val="en-GB"/>
      </w:rPr>
      <w:tab/>
    </w:r>
    <w:r w:rsidRPr="00995C95">
      <w:rPr>
        <w:rStyle w:val="ZpatChar"/>
        <w:noProof w:val="0"/>
        <w:szCs w:val="16"/>
        <w:lang w:val="en-GB"/>
      </w:rPr>
      <w:fldChar w:fldCharType="begin"/>
    </w:r>
    <w:r w:rsidRPr="00995C95">
      <w:rPr>
        <w:rStyle w:val="ZpatChar"/>
        <w:noProof w:val="0"/>
        <w:szCs w:val="16"/>
        <w:lang w:val="en-GB"/>
      </w:rPr>
      <w:instrText>PAGE   \* MERGEFORMAT</w:instrText>
    </w:r>
    <w:r w:rsidRPr="00995C95">
      <w:rPr>
        <w:rStyle w:val="ZpatChar"/>
        <w:noProof w:val="0"/>
        <w:szCs w:val="16"/>
        <w:lang w:val="en-GB"/>
      </w:rPr>
      <w:fldChar w:fldCharType="separate"/>
    </w:r>
    <w:r w:rsidR="00233D05" w:rsidRPr="00995C95">
      <w:rPr>
        <w:rStyle w:val="ZpatChar"/>
        <w:noProof w:val="0"/>
        <w:szCs w:val="16"/>
        <w:lang w:val="en-GB"/>
      </w:rPr>
      <w:t>49</w:t>
    </w:r>
    <w:r w:rsidRPr="00995C95">
      <w:rPr>
        <w:rStyle w:val="ZpatChar"/>
        <w:noProof w:val="0"/>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9940" w14:textId="77777777" w:rsidR="00BF09BC" w:rsidRPr="00995C95" w:rsidRDefault="00BF09BC" w:rsidP="00EA4302">
      <w:pPr>
        <w:spacing w:after="0"/>
      </w:pPr>
      <w:r w:rsidRPr="00995C95">
        <w:separator/>
      </w:r>
    </w:p>
  </w:footnote>
  <w:footnote w:type="continuationSeparator" w:id="0">
    <w:p w14:paraId="00120000" w14:textId="77777777" w:rsidR="00BF09BC" w:rsidRPr="00995C95" w:rsidRDefault="00BF09BC" w:rsidP="00E71A58">
      <w:r w:rsidRPr="00995C95">
        <w:continuationSeparator/>
      </w:r>
    </w:p>
  </w:footnote>
  <w:footnote w:id="1">
    <w:p w14:paraId="71786BDC" w14:textId="77777777" w:rsidR="0003024B" w:rsidRPr="00995C95" w:rsidRDefault="0003024B" w:rsidP="0003024B">
      <w:pPr>
        <w:pStyle w:val="Textpoznpodarou"/>
        <w:jc w:val="both"/>
        <w:rPr>
          <w:sz w:val="16"/>
          <w:szCs w:val="16"/>
        </w:rPr>
      </w:pPr>
      <w:r w:rsidRPr="00995C95">
        <w:rPr>
          <w:rStyle w:val="Znakapoznpodarou"/>
          <w:spacing w:val="-2"/>
          <w:sz w:val="16"/>
          <w:szCs w:val="16"/>
        </w:rPr>
        <w:footnoteRef/>
      </w:r>
      <w:r w:rsidRPr="00995C95">
        <w:rPr>
          <w:spacing w:val="-2"/>
          <w:sz w:val="16"/>
          <w:szCs w:val="16"/>
        </w:rPr>
        <w:t xml:space="preserve"> </w:t>
      </w:r>
      <w:r w:rsidRPr="00995C95">
        <w:rPr>
          <w:rFonts w:eastAsia="Times New Roman"/>
          <w:spacing w:val="-2"/>
          <w:sz w:val="16"/>
          <w:szCs w:val="16"/>
        </w:rPr>
        <w:t xml:space="preserve">Unless stated otherwise, all data related to the state budget stem from the data of the Ministry of Finance (MF) of the CR regarding the treasury fulfilment. </w:t>
      </w:r>
    </w:p>
  </w:footnote>
  <w:footnote w:id="2">
    <w:p w14:paraId="33CECB96"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Act On the state budget for year 2025 (based on the MF macroeconomic prediction from August 2024 and approved at the end of December 2024) anticipates annual deficit of 241 bn CZK this year, which is by 30 bn lower than the deficit achieved in year 2024.</w:t>
      </w:r>
    </w:p>
  </w:footnote>
  <w:footnote w:id="3">
    <w:p w14:paraId="1F650C4A" w14:textId="77777777" w:rsidR="0003024B" w:rsidRPr="00995C95" w:rsidRDefault="0003024B" w:rsidP="0003024B">
      <w:pPr>
        <w:pStyle w:val="Textpoznpodarou"/>
      </w:pPr>
      <w:r w:rsidRPr="00995C95">
        <w:rPr>
          <w:rStyle w:val="Znakapoznpodarou"/>
          <w:sz w:val="16"/>
          <w:szCs w:val="16"/>
        </w:rPr>
        <w:footnoteRef/>
      </w:r>
      <w:r w:rsidRPr="00995C95">
        <w:rPr>
          <w:sz w:val="16"/>
          <w:szCs w:val="16"/>
        </w:rPr>
        <w:t xml:space="preserve"> These are funds for programmes from the EU and Financial Mechanisms (FM) budgets pre-financed by the SB and subsequently reimbursed from the EU and the FM budgets. Without these funds (included in the approved SB with a neutral impact), last year's deficit was the lowest after 2019 and at the same time it decreased, year-on-year, for the fourth time in a row (in that 38.9 bn CZK last year).</w:t>
      </w:r>
    </w:p>
  </w:footnote>
  <w:footnote w:id="4">
    <w:p w14:paraId="029541B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As of January 2025, the BAT has been changed as part of the consolidation package so that the collection from the increased shared tax rates is the income of the state budget only (reduction of the share of municipalities to 24.16% and regions to 9.45%). According to the Ministry of Finance's estimates, the positive impact </w:t>
      </w:r>
      <w:r>
        <w:rPr>
          <w:sz w:val="16"/>
          <w:szCs w:val="16"/>
        </w:rPr>
        <w:t xml:space="preserve">(on SB) </w:t>
      </w:r>
      <w:r w:rsidRPr="00995C95">
        <w:rPr>
          <w:sz w:val="16"/>
          <w:szCs w:val="16"/>
        </w:rPr>
        <w:t xml:space="preserve">of this legislative change amounted to 13.3 bn CZK for the whole last year. </w:t>
      </w:r>
    </w:p>
  </w:footnote>
  <w:footnote w:id="5">
    <w:p w14:paraId="330699E4" w14:textId="77777777" w:rsidR="0003024B" w:rsidRPr="00995C95" w:rsidRDefault="0003024B" w:rsidP="0003024B">
      <w:pPr>
        <w:spacing w:after="0" w:line="240" w:lineRule="auto"/>
        <w:rPr>
          <w:sz w:val="16"/>
          <w:szCs w:val="16"/>
        </w:rPr>
      </w:pPr>
      <w:r w:rsidRPr="00995C95">
        <w:rPr>
          <w:rStyle w:val="Znakapoznpodarou"/>
          <w:sz w:val="16"/>
          <w:szCs w:val="16"/>
        </w:rPr>
        <w:footnoteRef/>
      </w:r>
      <w:r w:rsidRPr="00995C95">
        <w:rPr>
          <w:sz w:val="16"/>
          <w:szCs w:val="16"/>
        </w:rPr>
        <w:t xml:space="preserve"> The gradual raising of the minimum assessment base for the self-employed (from 30% to 35% of the average wage from January 2025) as well as the increase of the premium rate for selected groups (e.g. employers of firefighters or paramedics and workers in high-risk employment) had a positive effect. On the contrary, the application of discounts on insurance premiums had a negative effect (from January 2025, a discount of 6.5% of the assessment base for working pensioners was introduced).</w:t>
      </w:r>
    </w:p>
  </w:footnote>
  <w:footnote w:id="6">
    <w:p w14:paraId="1F4A9134" w14:textId="77777777" w:rsidR="0003024B" w:rsidRPr="00995C95" w:rsidRDefault="0003024B" w:rsidP="0003024B">
      <w:pPr>
        <w:pStyle w:val="Textpoznpodarou"/>
        <w:jc w:val="both"/>
        <w:rPr>
          <w:spacing w:val="-2"/>
        </w:rPr>
      </w:pPr>
      <w:r w:rsidRPr="00995C95">
        <w:rPr>
          <w:rStyle w:val="Znakapoznpodarou"/>
          <w:spacing w:val="-2"/>
          <w:sz w:val="16"/>
          <w:szCs w:val="16"/>
        </w:rPr>
        <w:footnoteRef/>
      </w:r>
      <w:r w:rsidRPr="00995C95">
        <w:rPr>
          <w:spacing w:val="-2"/>
          <w:sz w:val="16"/>
          <w:szCs w:val="16"/>
        </w:rPr>
        <w:t xml:space="preserve"> </w:t>
      </w:r>
      <w:r w:rsidRPr="00C62D9A">
        <w:rPr>
          <w:spacing w:val="-4"/>
          <w:sz w:val="16"/>
          <w:szCs w:val="16"/>
        </w:rPr>
        <w:t>This concerns the unification of two reduced rates (10% and 15%) into one of 12% (apart from books, which are now completely exempt from VAT). Several goods and services are now subject to lower taxation (e.g. basic foodstuffs, medicines, medical products, construction work). The negative budgetary impact is mainly mitigated by the transfer of some items without demonstrable social or health significance to the basic 21% tax rate (beer, non-alcoholic beverages, services of authors and artists, hairdressing services, firewood, municipal waste, cleaning work).</w:t>
      </w:r>
    </w:p>
  </w:footnote>
  <w:footnote w:id="7">
    <w:p w14:paraId="0AB14C6A" w14:textId="77777777" w:rsidR="0003024B" w:rsidRPr="00995C95" w:rsidRDefault="0003024B" w:rsidP="0003024B">
      <w:pPr>
        <w:pStyle w:val="Textpoznpodarou"/>
        <w:jc w:val="both"/>
        <w:rPr>
          <w:spacing w:val="-2"/>
          <w:sz w:val="16"/>
          <w:szCs w:val="16"/>
        </w:rPr>
      </w:pPr>
      <w:r w:rsidRPr="00995C95">
        <w:rPr>
          <w:rStyle w:val="Znakapoznpodarou"/>
          <w:spacing w:val="-2"/>
          <w:sz w:val="16"/>
          <w:szCs w:val="16"/>
        </w:rPr>
        <w:footnoteRef/>
      </w:r>
      <w:r w:rsidRPr="00995C95">
        <w:rPr>
          <w:spacing w:val="-2"/>
          <w:sz w:val="16"/>
          <w:szCs w:val="16"/>
        </w:rPr>
        <w:t xml:space="preserve"> </w:t>
      </w:r>
      <w:r w:rsidRPr="00995C95">
        <w:rPr>
          <w:sz w:val="16"/>
          <w:szCs w:val="16"/>
        </w:rPr>
        <w:t xml:space="preserve">This was first reflected in the cash </w:t>
      </w:r>
      <w:r w:rsidRPr="00E96CBD">
        <w:rPr>
          <w:sz w:val="16"/>
          <w:szCs w:val="16"/>
        </w:rPr>
        <w:t>fulfilment</w:t>
      </w:r>
      <w:r w:rsidRPr="00995C95">
        <w:rPr>
          <w:sz w:val="16"/>
          <w:szCs w:val="16"/>
        </w:rPr>
        <w:t xml:space="preserve"> of the SB in February 2024 and thus still had</w:t>
      </w:r>
      <w:r>
        <w:rPr>
          <w:sz w:val="16"/>
          <w:szCs w:val="16"/>
        </w:rPr>
        <w:t xml:space="preserve"> partial</w:t>
      </w:r>
      <w:r w:rsidRPr="00995C95">
        <w:rPr>
          <w:sz w:val="16"/>
          <w:szCs w:val="16"/>
        </w:rPr>
        <w:t xml:space="preserve"> impact on the year-on-year pace of the VAT collection amount. </w:t>
      </w:r>
    </w:p>
  </w:footnote>
  <w:footnote w:id="8">
    <w:p w14:paraId="4ECD2DC9" w14:textId="77777777" w:rsidR="0003024B" w:rsidRPr="00995C95" w:rsidRDefault="0003024B" w:rsidP="0003024B">
      <w:pPr>
        <w:pStyle w:val="Textpoznpodarou"/>
        <w:jc w:val="both"/>
        <w:rPr>
          <w:spacing w:val="-2"/>
          <w:sz w:val="16"/>
          <w:szCs w:val="16"/>
        </w:rPr>
      </w:pPr>
      <w:r w:rsidRPr="00995C95">
        <w:rPr>
          <w:rStyle w:val="Znakapoznpodarou"/>
          <w:spacing w:val="-2"/>
          <w:sz w:val="16"/>
          <w:szCs w:val="16"/>
        </w:rPr>
        <w:footnoteRef/>
      </w:r>
      <w:r w:rsidRPr="00995C95">
        <w:rPr>
          <w:spacing w:val="-2"/>
          <w:sz w:val="16"/>
          <w:szCs w:val="16"/>
        </w:rPr>
        <w:t xml:space="preserve"> </w:t>
      </w:r>
      <w:r w:rsidRPr="00995C95">
        <w:rPr>
          <w:sz w:val="16"/>
          <w:szCs w:val="16"/>
        </w:rPr>
        <w:t xml:space="preserve">Last year, there was a further increase of the tax rate on classic tobacco products (by 5%, as part of the gradual raise during the 2024 – 2027 period) as well as an expansion of the range of taxed products: e-cigarette refills from 2024 (growth of rate by 15%) and nicotine pouches and other alternatives from 2025. At the same time, the consumption of alternative tobacco products is also growing thanks to higher social tolerance and still relatively lower level of taxation as well. </w:t>
      </w:r>
    </w:p>
  </w:footnote>
  <w:footnote w:id="9">
    <w:p w14:paraId="30626976" w14:textId="77777777" w:rsidR="0003024B" w:rsidRPr="00995C95" w:rsidRDefault="0003024B" w:rsidP="0003024B">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w:t>
      </w:r>
      <w:r w:rsidRPr="00C62D9A">
        <w:rPr>
          <w:spacing w:val="-4"/>
          <w:sz w:val="16"/>
          <w:szCs w:val="16"/>
        </w:rPr>
        <w:t>According to CZSO data, from January to October 2025, the consumption of diesel increased by 1.9%, motor gasoline by 1.5% and aviation kerosene by 1.0%, year-on-year. The average consumer price of Natural 95 petrol in the Czech Republic was 33.9 CZK/l in May 2025 (the least since September 2021) and diesel 32.7 CZK/l (the least since June 2023). Cross-border purchases (or stronger transit traffic) also probably contributed to higher domestic consumption, as the price of these commodities was among the lowest in Central Europe.</w:t>
      </w:r>
    </w:p>
  </w:footnote>
  <w:footnote w:id="10">
    <w:p w14:paraId="4A74ADDB" w14:textId="77777777" w:rsidR="0003024B" w:rsidRPr="00995C95" w:rsidRDefault="0003024B" w:rsidP="0003024B">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In addition, the collection of most energy taxes – mainly from natural gas and electricity – grew. In contrast, the collection of tax on alcohol decreased slightly last year after stagnating in 2024, as the effect of the continued increase of the tax rate was not enough to offset the falling consumption (or the shift of residents' preferences to spirits with a lower alcohol content). Changes in the lifestyle of the population were probably also reflected in the continuing slight reduction of tax collection on beer and sparkling wine. </w:t>
      </w:r>
    </w:p>
  </w:footnote>
  <w:footnote w:id="11">
    <w:p w14:paraId="793E8A2A" w14:textId="77777777" w:rsidR="0003024B" w:rsidRPr="00995C95" w:rsidRDefault="0003024B" w:rsidP="0003024B">
      <w:pPr>
        <w:pStyle w:val="Textpoznpodarou"/>
        <w:rPr>
          <w:sz w:val="16"/>
          <w:szCs w:val="16"/>
        </w:rPr>
      </w:pPr>
      <w:r w:rsidRPr="00995C95">
        <w:rPr>
          <w:rStyle w:val="Znakapoznpodarou"/>
          <w:spacing w:val="-2"/>
          <w:sz w:val="16"/>
          <w:szCs w:val="16"/>
        </w:rPr>
        <w:footnoteRef/>
      </w:r>
      <w:r w:rsidRPr="00995C95">
        <w:rPr>
          <w:spacing w:val="-2"/>
          <w:sz w:val="16"/>
          <w:szCs w:val="16"/>
        </w:rPr>
        <w:t xml:space="preserve"> </w:t>
      </w:r>
      <w:r w:rsidRPr="00C62D9A">
        <w:rPr>
          <w:spacing w:val="-4"/>
          <w:sz w:val="16"/>
          <w:szCs w:val="16"/>
        </w:rPr>
        <w:t>This applies to energy, petrochemical and mining companies (in the field of fossil fuels) and also includes large banks. This is a 60% tax surcharge applied to the excess profit of these companies, determined as the difference between the tax base in 2023 to 2025 and the average of the tax bases for 2018 to 2021 increased by 20%. The vast majority of the collection of this tax flowed to the SB from the energy sector.</w:t>
      </w:r>
      <w:r w:rsidRPr="00995C95">
        <w:rPr>
          <w:spacing w:val="-2"/>
          <w:sz w:val="16"/>
          <w:szCs w:val="16"/>
        </w:rPr>
        <w:t xml:space="preserve"> </w:t>
      </w:r>
    </w:p>
  </w:footnote>
  <w:footnote w:id="12">
    <w:p w14:paraId="6F4764C4"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The collection of this tax at the level of all public budgets was 10.3% higher, year-on-year (+27 bn CZK) last year. Of these, the collection of the most important </w:t>
      </w:r>
      <w:r>
        <w:rPr>
          <w:sz w:val="16"/>
          <w:szCs w:val="16"/>
        </w:rPr>
        <w:t>tax</w:t>
      </w:r>
      <w:r w:rsidRPr="00995C95">
        <w:rPr>
          <w:sz w:val="16"/>
          <w:szCs w:val="16"/>
        </w:rPr>
        <w:t xml:space="preserve"> in terms of weight – </w:t>
      </w:r>
      <w:r>
        <w:rPr>
          <w:sz w:val="16"/>
          <w:szCs w:val="16"/>
        </w:rPr>
        <w:t>ITNP from dependent activity</w:t>
      </w:r>
      <w:r w:rsidRPr="00995C95">
        <w:rPr>
          <w:sz w:val="16"/>
          <w:szCs w:val="16"/>
        </w:rPr>
        <w:t xml:space="preserve"> – reached 223 bn CZK and exceeded the record level from 2019 for the first time (by 3.3%), when the super-gross wage regime (with higher total taxation) was still in force. </w:t>
      </w:r>
    </w:p>
  </w:footnote>
  <w:footnote w:id="13">
    <w:p w14:paraId="20F1A89E"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Most of these changes began to affect the amount of tax collection for the first time in February 2024. The impact of the abolition or reduction of some tax discounts was first felt only during the annual tax settlement (in April 2025).  </w:t>
      </w:r>
    </w:p>
  </w:footnote>
  <w:footnote w:id="14">
    <w:p w14:paraId="71DE812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Compared to the originally approved SB for 2025, last year's performance lagged behind by 11% and compared to the budget after the changes </w:t>
      </w:r>
      <w:r>
        <w:rPr>
          <w:sz w:val="16"/>
          <w:szCs w:val="16"/>
        </w:rPr>
        <w:t xml:space="preserve">even </w:t>
      </w:r>
      <w:r w:rsidRPr="00995C95">
        <w:rPr>
          <w:sz w:val="16"/>
          <w:szCs w:val="16"/>
        </w:rPr>
        <w:t>by as much as 20%, or 53 bn CZK (the estimate for the category of non-tax and capital income and received transfers was enhanced during last year, which was mainly related to the faster continuous drawdown of investments from the SB, which were directed to the pre-financing of joint projects of the Czech Republic and the EU).</w:t>
      </w:r>
      <w:r w:rsidRPr="00995C95">
        <w:rPr>
          <w:color w:val="0D0D0D" w:themeColor="text1" w:themeTint="F2"/>
          <w:sz w:val="16"/>
          <w:szCs w:val="16"/>
        </w:rPr>
        <w:t xml:space="preserve"> </w:t>
      </w:r>
    </w:p>
  </w:footnote>
  <w:footnote w:id="15">
    <w:p w14:paraId="000D812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At the same time, the approved SB expected revenues from the sale of allowances in the amount of 30 bn CZK in 2025. The failure to meet the expected return was affected by a more significant than expected effect of the market stability reserve mechanism. The relatively low price of allowances on the European market in both 2024 and 2025 was also related to the persistently high number of allowances in circulation due to the decline of the volume of emissions emitted and the overall cooling of the market.</w:t>
      </w:r>
    </w:p>
  </w:footnote>
  <w:footnote w:id="16">
    <w:p w14:paraId="2120497A"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Expenditure on teachers' salaries increased by 7% from 1 January 2025 and increased by 5% for other teaching staff (tutors, teaching assistants) and non-teaching staff. The increase of salary tariffs by 1,400 CZK affected only non-teaching staff. The year-on-year growth of expenditure also considers the continuing growth of the number of pupils and students in regional education and the greater use of the division of hours to improve the quality of teaching. </w:t>
      </w:r>
    </w:p>
  </w:footnote>
  <w:footnote w:id="17">
    <w:p w14:paraId="6EAF8969"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This estimate was slightly increased over the course of last year so that the expected expenditure on social benefits in 2025 should have exceeded their actual use in the previous year by 2%.</w:t>
      </w:r>
    </w:p>
  </w:footnote>
  <w:footnote w:id="18">
    <w:p w14:paraId="5F37828B" w14:textId="77777777" w:rsidR="0003024B" w:rsidRPr="00995C95" w:rsidRDefault="0003024B" w:rsidP="0003024B">
      <w:pPr>
        <w:spacing w:after="0" w:line="240" w:lineRule="auto"/>
        <w:jc w:val="left"/>
        <w:rPr>
          <w:rFonts w:eastAsia="Calibri" w:cs="Verdana"/>
          <w:color w:val="000000"/>
          <w:sz w:val="16"/>
          <w:szCs w:val="16"/>
        </w:rPr>
      </w:pPr>
      <w:r w:rsidRPr="00995C95">
        <w:rPr>
          <w:rFonts w:eastAsia="Calibri" w:cs="Verdana"/>
          <w:color w:val="000000"/>
          <w:sz w:val="16"/>
          <w:szCs w:val="16"/>
          <w:vertAlign w:val="superscript"/>
        </w:rPr>
        <w:footnoteRef/>
      </w:r>
      <w:r w:rsidRPr="00995C95">
        <w:rPr>
          <w:rFonts w:eastAsia="Calibri" w:cs="Verdana"/>
          <w:color w:val="000000"/>
          <w:sz w:val="16"/>
          <w:szCs w:val="16"/>
        </w:rPr>
        <w:t xml:space="preserve"> The basic amount of the pension assessment has been increased to 4,660 CZK (+260 CZK); the percentage assessment increased by 0.6% and pensioners who reached the age of 85 in January 2025 had their percentage assessment increased by another 1,000 CZK. In December 2025, the average monthly old-age pension (excluding concurrence with other pensions) was 2% higher, year-on-year, reaching 22.3 thousand CZK for males and 19.9 thousand CZK for females.</w:t>
      </w:r>
    </w:p>
  </w:footnote>
  <w:footnote w:id="19">
    <w:p w14:paraId="6F980302" w14:textId="77777777" w:rsidR="0003024B" w:rsidRPr="00995C95" w:rsidRDefault="0003024B" w:rsidP="0003024B">
      <w:pPr>
        <w:spacing w:after="0" w:line="240" w:lineRule="auto"/>
        <w:jc w:val="left"/>
        <w:rPr>
          <w:rFonts w:eastAsia="Calibri" w:cs="Verdana"/>
          <w:color w:val="000000"/>
          <w:sz w:val="16"/>
          <w:szCs w:val="16"/>
        </w:rPr>
      </w:pPr>
      <w:r w:rsidRPr="00995C95">
        <w:rPr>
          <w:rStyle w:val="Znakapoznpodarou"/>
          <w:sz w:val="16"/>
          <w:szCs w:val="16"/>
        </w:rPr>
        <w:footnoteRef/>
      </w:r>
      <w:r w:rsidRPr="00995C95">
        <w:rPr>
          <w:sz w:val="16"/>
          <w:szCs w:val="16"/>
        </w:rPr>
        <w:t xml:space="preserve"> From October 2024, the required insurance period has increased from 35 to 40 years. Further tightening has already taken place: the maximum period of early retirement has been reduced from 5 years to 3 years, the indexation of the percentage assessment of early retirement up to the retirement age has been abolished, and the reduction of the amount of pension for early retirement has increased significantly. The total number of persons with permanently reduced old-age pensions (due to prematurity) was only 0.4% higher, year-on-year, at the end of last year (the lowest increase in the current millennium). Even so, these people already accounted for almost one third of the total number of old-age pensioners.</w:t>
      </w:r>
    </w:p>
  </w:footnote>
  <w:footnote w:id="20">
    <w:p w14:paraId="35B84EE0" w14:textId="77777777" w:rsidR="0003024B" w:rsidRPr="00995C95" w:rsidRDefault="0003024B" w:rsidP="0003024B">
      <w:pPr>
        <w:pStyle w:val="Textpoznpodarou"/>
        <w:jc w:val="both"/>
      </w:pPr>
      <w:r w:rsidRPr="00995C95">
        <w:rPr>
          <w:rStyle w:val="Znakapoznpodarou"/>
          <w:sz w:val="16"/>
          <w:szCs w:val="16"/>
        </w:rPr>
        <w:footnoteRef/>
      </w:r>
      <w:r w:rsidRPr="00995C95">
        <w:rPr>
          <w:rStyle w:val="Znakapoznpodarou"/>
          <w:sz w:val="16"/>
          <w:szCs w:val="16"/>
        </w:rPr>
        <w:t xml:space="preserve"> </w:t>
      </w:r>
      <w:bookmarkStart w:id="2" w:name="_Hlk195396744"/>
      <w:r w:rsidRPr="00995C95">
        <w:rPr>
          <w:spacing w:val="-4"/>
          <w:sz w:val="16"/>
          <w:szCs w:val="16"/>
        </w:rPr>
        <w:t xml:space="preserve">This expresses the difference between income from pension insurance premiums and expenditure on benefits from this insurance (incl. funds for the administration of the benefit system) according to the balance sheet of the Ministry of Finance. </w:t>
      </w:r>
      <w:bookmarkEnd w:id="2"/>
    </w:p>
  </w:footnote>
  <w:footnote w:id="21">
    <w:p w14:paraId="7AB6B79F"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w:t>
      </w:r>
      <w:r w:rsidRPr="007A2674">
        <w:rPr>
          <w:spacing w:val="-2"/>
          <w:sz w:val="16"/>
          <w:szCs w:val="16"/>
        </w:rPr>
        <w:t>It was closely related to the statutory increase of amounts for people in the 2nd to 4th degree of dependence for both children and adults (from July 2024). Last December, 381 thousand people received these benefits, up 1.5%, year-on-year (however, 11.6% more than in 2015).</w:t>
      </w:r>
      <w:r w:rsidRPr="00995C95">
        <w:rPr>
          <w:sz w:val="16"/>
          <w:szCs w:val="16"/>
        </w:rPr>
        <w:t xml:space="preserve"> </w:t>
      </w:r>
    </w:p>
  </w:footnote>
  <w:footnote w:id="22">
    <w:p w14:paraId="4EAF3D35"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The year-on-year development is influenced by an increase of the eligible costs of housing and accommodation for the purposes of determining entitlement to humanitarian benefits. In December 2025, 45 thousand benefits were paid out. A seventh less, year-on-year (and even half as much compared to December 2022). </w:t>
      </w:r>
    </w:p>
  </w:footnote>
  <w:footnote w:id="23">
    <w:p w14:paraId="33CBEA34"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Due to the increase of the amounts of normative housing costs, the number of beneficiaries of this benefit continued to grow slightly (it amounted to 307 thousand in December last year, which was 7% higher, year-on-year, and the number of beneficiaries has doubled in the last four years). </w:t>
      </w:r>
    </w:p>
  </w:footnote>
  <w:footnote w:id="24">
    <w:p w14:paraId="30E49F7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However, compared to the record drawdown in the </w:t>
      </w:r>
      <w:r>
        <w:rPr>
          <w:sz w:val="16"/>
          <w:szCs w:val="16"/>
        </w:rPr>
        <w:t>“</w:t>
      </w:r>
      <w:r w:rsidRPr="00995C95">
        <w:rPr>
          <w:sz w:val="16"/>
          <w:szCs w:val="16"/>
        </w:rPr>
        <w:t>pandemic year</w:t>
      </w:r>
      <w:r>
        <w:rPr>
          <w:sz w:val="16"/>
          <w:szCs w:val="16"/>
        </w:rPr>
        <w:t>”</w:t>
      </w:r>
      <w:r w:rsidRPr="00995C95">
        <w:rPr>
          <w:sz w:val="16"/>
          <w:szCs w:val="16"/>
        </w:rPr>
        <w:t xml:space="preserve"> of 2020, the state spent 11% less on these benefits last year.</w:t>
      </w:r>
    </w:p>
  </w:footnote>
  <w:footnote w:id="25">
    <w:p w14:paraId="4DC6522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The influence of higher </w:t>
      </w:r>
      <w:r w:rsidRPr="009E2892">
        <w:rPr>
          <w:sz w:val="16"/>
          <w:szCs w:val="16"/>
        </w:rPr>
        <w:t>illness</w:t>
      </w:r>
      <w:r w:rsidRPr="00995C95">
        <w:rPr>
          <w:sz w:val="16"/>
          <w:szCs w:val="16"/>
        </w:rPr>
        <w:t xml:space="preserve"> was also evident here. According to data from the CSSA, the number of days off (associated with temporary incapacity for work) reached 76.3 million in 2025</w:t>
      </w:r>
      <w:r>
        <w:rPr>
          <w:sz w:val="16"/>
          <w:szCs w:val="16"/>
        </w:rPr>
        <w:t>.</w:t>
      </w:r>
      <w:r w:rsidRPr="00995C95">
        <w:rPr>
          <w:sz w:val="16"/>
          <w:szCs w:val="16"/>
        </w:rPr>
        <w:t xml:space="preserve"> </w:t>
      </w:r>
      <w:r>
        <w:rPr>
          <w:sz w:val="16"/>
          <w:szCs w:val="16"/>
        </w:rPr>
        <w:t>A</w:t>
      </w:r>
      <w:r w:rsidRPr="00995C95">
        <w:rPr>
          <w:sz w:val="16"/>
          <w:szCs w:val="16"/>
        </w:rPr>
        <w:t xml:space="preserve">lthough it increased slightly, year-on-year (+0.4%), but it was the second lowest </w:t>
      </w:r>
      <w:r>
        <w:rPr>
          <w:sz w:val="16"/>
          <w:szCs w:val="16"/>
        </w:rPr>
        <w:t xml:space="preserve">absolute </w:t>
      </w:r>
      <w:r w:rsidRPr="00995C95">
        <w:rPr>
          <w:sz w:val="16"/>
          <w:szCs w:val="16"/>
        </w:rPr>
        <w:t xml:space="preserve">number in the last six years. </w:t>
      </w:r>
    </w:p>
  </w:footnote>
  <w:footnote w:id="26">
    <w:p w14:paraId="4C4A654E" w14:textId="77777777" w:rsidR="0003024B" w:rsidRPr="009E2892" w:rsidRDefault="0003024B" w:rsidP="0003024B">
      <w:pPr>
        <w:pStyle w:val="Textpoznpodarou"/>
        <w:rPr>
          <w:sz w:val="16"/>
          <w:szCs w:val="16"/>
        </w:rPr>
      </w:pPr>
      <w:r w:rsidRPr="00995C95">
        <w:rPr>
          <w:rStyle w:val="Znakapoznpodarou"/>
          <w:sz w:val="16"/>
          <w:szCs w:val="16"/>
        </w:rPr>
        <w:footnoteRef/>
      </w:r>
      <w:r w:rsidRPr="00995C95">
        <w:rPr>
          <w:rStyle w:val="Znakapoznpodarou"/>
          <w:sz w:val="16"/>
          <w:szCs w:val="16"/>
        </w:rPr>
        <w:t xml:space="preserve"> </w:t>
      </w:r>
      <w:r>
        <w:rPr>
          <w:sz w:val="16"/>
          <w:szCs w:val="16"/>
        </w:rPr>
        <w:t xml:space="preserve"> </w:t>
      </w:r>
      <w:r w:rsidRPr="00995C95">
        <w:rPr>
          <w:sz w:val="16"/>
          <w:szCs w:val="16"/>
        </w:rPr>
        <w:t xml:space="preserve">As of </w:t>
      </w:r>
      <w:r w:rsidRPr="009E2892">
        <w:rPr>
          <w:sz w:val="16"/>
          <w:szCs w:val="16"/>
        </w:rPr>
        <w:t>January 2024,</w:t>
      </w:r>
      <w:r>
        <w:rPr>
          <w:sz w:val="16"/>
          <w:szCs w:val="16"/>
        </w:rPr>
        <w:t xml:space="preserve"> </w:t>
      </w:r>
      <w:r w:rsidRPr="009E2892">
        <w:rPr>
          <w:sz w:val="16"/>
          <w:szCs w:val="16"/>
        </w:rPr>
        <w:t>health insurance paid directly by the employee was reintroduced, amounting to 0.6% of the assessment base (gross wage).</w:t>
      </w:r>
      <w:r>
        <w:rPr>
          <w:sz w:val="16"/>
          <w:szCs w:val="16"/>
        </w:rPr>
        <w:t xml:space="preserve"> At the same time</w:t>
      </w:r>
      <w:r w:rsidRPr="00995C95">
        <w:rPr>
          <w:sz w:val="16"/>
          <w:szCs w:val="16"/>
        </w:rPr>
        <w:t xml:space="preserve"> the assessment base for the self-employed has been </w:t>
      </w:r>
      <w:r>
        <w:rPr>
          <w:sz w:val="16"/>
          <w:szCs w:val="16"/>
        </w:rPr>
        <w:t xml:space="preserve">also </w:t>
      </w:r>
      <w:r w:rsidRPr="00995C95">
        <w:rPr>
          <w:sz w:val="16"/>
          <w:szCs w:val="16"/>
        </w:rPr>
        <w:t xml:space="preserve">increased. Later, the limits for participation in </w:t>
      </w:r>
      <w:r w:rsidRPr="009E2892">
        <w:rPr>
          <w:spacing w:val="-2"/>
          <w:sz w:val="16"/>
          <w:szCs w:val="16"/>
        </w:rPr>
        <w:t>the insurance of an employee working on the basis of an agreement to perform work were set (from January 2025, this limit is CZK 11,500).</w:t>
      </w:r>
    </w:p>
  </w:footnote>
  <w:footnote w:id="27">
    <w:p w14:paraId="5D1D3195"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w:t>
      </w:r>
      <w:bookmarkStart w:id="3" w:name="_Hlk195456556"/>
      <w:r w:rsidRPr="00995C95">
        <w:rPr>
          <w:sz w:val="16"/>
          <w:szCs w:val="16"/>
        </w:rPr>
        <w:t xml:space="preserve">This expresses the difference between revenues of sickness insurance premiums and expenditure on benefits from this insurance </w:t>
      </w:r>
      <w:r>
        <w:rPr>
          <w:sz w:val="16"/>
          <w:szCs w:val="16"/>
        </w:rPr>
        <w:t>(</w:t>
      </w:r>
      <w:r w:rsidRPr="00995C95">
        <w:rPr>
          <w:sz w:val="16"/>
          <w:szCs w:val="16"/>
        </w:rPr>
        <w:t>according to the CSSA balance sheet</w:t>
      </w:r>
      <w:r>
        <w:rPr>
          <w:sz w:val="16"/>
          <w:szCs w:val="16"/>
        </w:rPr>
        <w:t>)</w:t>
      </w:r>
      <w:r w:rsidRPr="00995C95">
        <w:rPr>
          <w:sz w:val="16"/>
          <w:szCs w:val="16"/>
        </w:rPr>
        <w:t xml:space="preserve">. </w:t>
      </w:r>
      <w:bookmarkEnd w:id="3"/>
    </w:p>
  </w:footnote>
  <w:footnote w:id="28">
    <w:p w14:paraId="44040F93"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Net expenditures correspond to the balance of the budget chapter State debt (No. 396). </w:t>
      </w:r>
    </w:p>
  </w:footnote>
  <w:footnote w:id="29">
    <w:p w14:paraId="6AD64A33" w14:textId="77777777" w:rsidR="0003024B" w:rsidRPr="00995C95" w:rsidRDefault="0003024B" w:rsidP="0003024B">
      <w:pPr>
        <w:pStyle w:val="Textpoznpodarou"/>
      </w:pPr>
      <w:r w:rsidRPr="00995C95">
        <w:rPr>
          <w:rStyle w:val="Znakapoznpodarou"/>
          <w:sz w:val="16"/>
          <w:szCs w:val="16"/>
        </w:rPr>
        <w:footnoteRef/>
      </w:r>
      <w:r w:rsidRPr="00995C95">
        <w:rPr>
          <w:sz w:val="16"/>
          <w:szCs w:val="16"/>
        </w:rPr>
        <w:t xml:space="preserve"> Their total sales on the primary and secondary markets reached 486 bn CZK last year (376 bn CZK a year earlier). The average maturity of newly sold koruna bonds was 8.9 years and the average annual yield of newly sold fixed-interest bonds was 4.21%. While the maturity period decreased slightly, year-on-year (by 1.5 years), the average yield increased (by 0.26 p. p.), but its last year's level was still slightly lower than for newly issued government bonds in 2022 and 2023.  </w:t>
      </w:r>
    </w:p>
  </w:footnote>
  <w:footnote w:id="30">
    <w:p w14:paraId="39E97187"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This increase is reflected in an across-the-board increase of salary tariffs for members of the security forces and soldiers (by 1500 CZK) and most other civil servants (by 1400 CZK) from January 2025. From July 2025, expenditure on soldiers' salaries, (service tariffs and housing allowances) of police, firefighters and other members of the security forces (higher stabilisation allowances) has been further strengthened. </w:t>
      </w:r>
    </w:p>
  </w:footnote>
  <w:footnote w:id="31">
    <w:p w14:paraId="4BB50A34"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These are compensations for the supply of electricity and gas to customers and for losses due to the capping of their prices (with a year-on-year decrease of 7.4 bn CZK) and subsidies to the transmission system operator (−1.3 bn CZK), which were still paid at the beginning of 2024. </w:t>
      </w:r>
    </w:p>
  </w:footnote>
  <w:footnote w:id="32">
    <w:p w14:paraId="7B5555A3" w14:textId="77777777" w:rsidR="0003024B" w:rsidRPr="00995C95" w:rsidRDefault="0003024B" w:rsidP="0003024B">
      <w:pPr>
        <w:pStyle w:val="Textpoznpodarou"/>
        <w:rPr>
          <w:spacing w:val="-3"/>
          <w:sz w:val="16"/>
          <w:szCs w:val="16"/>
        </w:rPr>
      </w:pPr>
      <w:r w:rsidRPr="00995C95">
        <w:rPr>
          <w:rStyle w:val="Znakapoznpodarou"/>
          <w:spacing w:val="-3"/>
          <w:sz w:val="16"/>
          <w:szCs w:val="16"/>
        </w:rPr>
        <w:footnoteRef/>
      </w:r>
      <w:r w:rsidRPr="00995C95">
        <w:rPr>
          <w:rStyle w:val="Znakapoznpodarou"/>
          <w:spacing w:val="-3"/>
        </w:rPr>
        <w:t xml:space="preserve"> </w:t>
      </w:r>
      <w:r w:rsidRPr="00995C95">
        <w:rPr>
          <w:sz w:val="16"/>
          <w:szCs w:val="16"/>
        </w:rPr>
        <w:t xml:space="preserve">The impact of the newly introduced automatic indexation, which adjusts the assessment base of the payment by the sum of 100% of consumer price growth and 50% of real wage growth from January 2024, has become apparent. As a result, the monthly payment per person has increased from 2085 CZK to 2127 CZK since January 2025.  </w:t>
      </w:r>
    </w:p>
  </w:footnote>
  <w:footnote w:id="33">
    <w:p w14:paraId="13C34BDF"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At the same time, last year's drawdown exceeded the original budget expectation (according to the approved SB), which amounted to 250 bn CZK. At the same time, this expectation was continuously adjusted during the year by budgetary measures (up to just under 270 bn CZK in Q3). </w:t>
      </w:r>
    </w:p>
  </w:footnote>
  <w:footnote w:id="34">
    <w:p w14:paraId="46427504"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This is related to the gradual launch of the use of these expenditures in the new (current) EU programming period.</w:t>
      </w:r>
    </w:p>
  </w:footnote>
  <w:footnote w:id="35">
    <w:p w14:paraId="7E8FED78"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w:t>
      </w:r>
      <w:r w:rsidRPr="00797A95">
        <w:rPr>
          <w:spacing w:val="-2"/>
          <w:sz w:val="16"/>
          <w:szCs w:val="16"/>
        </w:rPr>
        <w:t>Unless stated otherwise, data regarding the GG sector in Czechia are expressed in nominal terms and without seasonal adjustment.</w:t>
      </w:r>
    </w:p>
  </w:footnote>
  <w:footnote w:id="36">
    <w:p w14:paraId="72961EAF"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w:t>
      </w:r>
      <w:r w:rsidRPr="00995C95">
        <w:rPr>
          <w:spacing w:val="-4"/>
          <w:sz w:val="16"/>
          <w:szCs w:val="16"/>
        </w:rPr>
        <w:t>Data regarding the government</w:t>
      </w:r>
      <w:r>
        <w:rPr>
          <w:spacing w:val="-4"/>
          <w:sz w:val="16"/>
          <w:szCs w:val="16"/>
        </w:rPr>
        <w:t xml:space="preserve"> sector</w:t>
      </w:r>
      <w:r w:rsidRPr="00995C95">
        <w:rPr>
          <w:spacing w:val="-4"/>
          <w:sz w:val="16"/>
          <w:szCs w:val="16"/>
        </w:rPr>
        <w:t xml:space="preserve"> for Q4 2025 will be published by the CZSO on 1</w:t>
      </w:r>
      <w:r w:rsidRPr="00995C95">
        <w:rPr>
          <w:spacing w:val="-4"/>
          <w:sz w:val="16"/>
          <w:szCs w:val="16"/>
          <w:vertAlign w:val="superscript"/>
        </w:rPr>
        <w:t>st</w:t>
      </w:r>
      <w:r w:rsidRPr="00995C95">
        <w:rPr>
          <w:spacing w:val="-4"/>
          <w:sz w:val="16"/>
          <w:szCs w:val="16"/>
        </w:rPr>
        <w:t xml:space="preserve"> </w:t>
      </w:r>
      <w:proofErr w:type="gramStart"/>
      <w:r w:rsidRPr="00995C95">
        <w:rPr>
          <w:spacing w:val="-4"/>
          <w:sz w:val="16"/>
          <w:szCs w:val="16"/>
        </w:rPr>
        <w:t>April,</w:t>
      </w:r>
      <w:proofErr w:type="gramEnd"/>
      <w:r w:rsidRPr="00995C95">
        <w:rPr>
          <w:spacing w:val="-4"/>
          <w:sz w:val="16"/>
          <w:szCs w:val="16"/>
        </w:rPr>
        <w:t xml:space="preserve"> 2026, Eurostat subsequently on behalf of the Union Member States on 22</w:t>
      </w:r>
      <w:r w:rsidRPr="00995C95">
        <w:rPr>
          <w:spacing w:val="-4"/>
          <w:sz w:val="16"/>
          <w:szCs w:val="16"/>
          <w:vertAlign w:val="superscript"/>
        </w:rPr>
        <w:t>nd</w:t>
      </w:r>
      <w:r w:rsidRPr="00995C95">
        <w:rPr>
          <w:spacing w:val="-4"/>
          <w:sz w:val="16"/>
          <w:szCs w:val="16"/>
        </w:rPr>
        <w:t xml:space="preserve"> April. More detailed assessment of the development </w:t>
      </w:r>
      <w:r>
        <w:rPr>
          <w:spacing w:val="-4"/>
          <w:sz w:val="16"/>
          <w:szCs w:val="16"/>
        </w:rPr>
        <w:t xml:space="preserve">in the Czechia </w:t>
      </w:r>
      <w:r w:rsidRPr="00995C95">
        <w:rPr>
          <w:spacing w:val="-4"/>
          <w:sz w:val="16"/>
          <w:szCs w:val="16"/>
        </w:rPr>
        <w:t xml:space="preserve">for Q3 2025 is offered in the publication Analysis of the sector accounts: </w:t>
      </w:r>
      <w:hyperlink r:id="rId1" w:history="1">
        <w:proofErr w:type="spellStart"/>
        <w:r w:rsidRPr="00995C95">
          <w:rPr>
            <w:rStyle w:val="Hypertextovodkaz"/>
            <w:i/>
            <w:color w:val="auto"/>
            <w:sz w:val="16"/>
            <w:szCs w:val="16"/>
          </w:rPr>
          <w:t>Analýza</w:t>
        </w:r>
        <w:proofErr w:type="spellEnd"/>
        <w:r w:rsidRPr="00995C95">
          <w:rPr>
            <w:rStyle w:val="Hypertextovodkaz"/>
            <w:i/>
            <w:color w:val="auto"/>
            <w:sz w:val="16"/>
            <w:szCs w:val="16"/>
          </w:rPr>
          <w:t xml:space="preserve"> </w:t>
        </w:r>
        <w:proofErr w:type="spellStart"/>
        <w:r w:rsidRPr="00995C95">
          <w:rPr>
            <w:rStyle w:val="Hypertextovodkaz"/>
            <w:i/>
            <w:color w:val="auto"/>
            <w:sz w:val="16"/>
            <w:szCs w:val="16"/>
          </w:rPr>
          <w:t>sektorových</w:t>
        </w:r>
        <w:proofErr w:type="spellEnd"/>
        <w:r w:rsidRPr="00995C95">
          <w:rPr>
            <w:rStyle w:val="Hypertextovodkaz"/>
            <w:i/>
            <w:color w:val="auto"/>
            <w:sz w:val="16"/>
            <w:szCs w:val="16"/>
          </w:rPr>
          <w:t xml:space="preserve"> </w:t>
        </w:r>
        <w:proofErr w:type="spellStart"/>
        <w:r w:rsidRPr="00995C95">
          <w:rPr>
            <w:rStyle w:val="Hypertextovodkaz"/>
            <w:i/>
            <w:color w:val="auto"/>
            <w:sz w:val="16"/>
            <w:szCs w:val="16"/>
          </w:rPr>
          <w:t>účtů</w:t>
        </w:r>
        <w:proofErr w:type="spellEnd"/>
      </w:hyperlink>
    </w:p>
  </w:footnote>
  <w:footnote w:id="37">
    <w:p w14:paraId="042416CA"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This deterioration was due to local government institutions, whose surplus fell by 13.8% to 70.0 bn CZK (and was thus the lowest in the last four years in the same period). By contrast, the central government </w:t>
      </w:r>
      <w:r>
        <w:rPr>
          <w:sz w:val="16"/>
          <w:szCs w:val="16"/>
        </w:rPr>
        <w:t xml:space="preserve">sector </w:t>
      </w:r>
      <w:r w:rsidRPr="00995C95">
        <w:rPr>
          <w:sz w:val="16"/>
          <w:szCs w:val="16"/>
        </w:rPr>
        <w:t xml:space="preserve">deficit, which has traditionally contributed dominantly to the deterioration of the budget balance of </w:t>
      </w:r>
      <w:r>
        <w:rPr>
          <w:sz w:val="16"/>
          <w:szCs w:val="16"/>
        </w:rPr>
        <w:t xml:space="preserve">the whole GG </w:t>
      </w:r>
      <w:r w:rsidRPr="00995C95">
        <w:rPr>
          <w:sz w:val="16"/>
          <w:szCs w:val="16"/>
        </w:rPr>
        <w:t xml:space="preserve">sector in recent years, narrowed by 3.3%, year-on-year, to 155 bn CZK (the best result in the last six years). The deficit of health insurance companies was then reduced by about 5 bn CZK, year-on-year. </w:t>
      </w:r>
    </w:p>
  </w:footnote>
  <w:footnote w:id="38">
    <w:p w14:paraId="778AF68E"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On the contrary, dividend income, which was dominantly behind the decline of general government ownership income in 2024, increased, year-on-year, last year (and effectively returned to the level of Q1 to Q3 2023).</w:t>
      </w:r>
    </w:p>
  </w:footnote>
  <w:footnote w:id="39">
    <w:p w14:paraId="2921A81D"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All the data on the budget </w:t>
      </w:r>
      <w:r>
        <w:rPr>
          <w:sz w:val="16"/>
          <w:szCs w:val="16"/>
        </w:rPr>
        <w:t>balance</w:t>
      </w:r>
      <w:r w:rsidRPr="00995C95">
        <w:rPr>
          <w:sz w:val="16"/>
          <w:szCs w:val="16"/>
        </w:rPr>
        <w:t xml:space="preserve"> listed below are expressed after adjusting for seasonality and number of working days. </w:t>
      </w:r>
    </w:p>
  </w:footnote>
  <w:footnote w:id="40">
    <w:p w14:paraId="0B3B2433" w14:textId="77777777" w:rsidR="0003024B" w:rsidRPr="002F2349"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This is the start of the so-called Excessive Deficit Procedure for breaches of budgetary rules. This standard procedure was resumed after a temporary interruption between 2020 and 2023 (due to the COVID-19 pandemic). In 2024, proceedings were opened with Belgium, France, Italy, Malta and some Central European members (Slovakia, Poland, Hungary), a year later with Austria and this year with Finland.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1194052D" w:rsidR="004C456F" w:rsidRPr="00995C95" w:rsidRDefault="004B5D8A" w:rsidP="00C27E4F">
    <w:pPr>
      <w:pStyle w:val="Zhlav"/>
      <w:rPr>
        <w:lang w:val="en-GB"/>
      </w:rPr>
    </w:pPr>
    <w:r w:rsidRPr="00995C95">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75889E2" w:rsidR="004C456F" w:rsidRPr="00995C95" w:rsidRDefault="005A327C" w:rsidP="00937AE2">
    <w:pPr>
      <w:pStyle w:val="Zhlav"/>
      <w:rPr>
        <w:lang w:val="en-GB"/>
      </w:rPr>
    </w:pPr>
    <w:r w:rsidRPr="00995C95">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0EDA"/>
    <w:rsid w:val="00001697"/>
    <w:rsid w:val="0000209D"/>
    <w:rsid w:val="0000213A"/>
    <w:rsid w:val="00003077"/>
    <w:rsid w:val="00003202"/>
    <w:rsid w:val="00003C75"/>
    <w:rsid w:val="00004D5A"/>
    <w:rsid w:val="00004FCC"/>
    <w:rsid w:val="000056D5"/>
    <w:rsid w:val="00006ABD"/>
    <w:rsid w:val="00006D53"/>
    <w:rsid w:val="00006E79"/>
    <w:rsid w:val="0000767A"/>
    <w:rsid w:val="00007880"/>
    <w:rsid w:val="000078DF"/>
    <w:rsid w:val="00007F73"/>
    <w:rsid w:val="00010256"/>
    <w:rsid w:val="000103D1"/>
    <w:rsid w:val="00010702"/>
    <w:rsid w:val="00011031"/>
    <w:rsid w:val="00011912"/>
    <w:rsid w:val="00011959"/>
    <w:rsid w:val="00011B41"/>
    <w:rsid w:val="00011F39"/>
    <w:rsid w:val="00012FA5"/>
    <w:rsid w:val="00014E03"/>
    <w:rsid w:val="00015B3B"/>
    <w:rsid w:val="00015B45"/>
    <w:rsid w:val="000169A6"/>
    <w:rsid w:val="00017058"/>
    <w:rsid w:val="00017134"/>
    <w:rsid w:val="0001750B"/>
    <w:rsid w:val="00020C46"/>
    <w:rsid w:val="0002195D"/>
    <w:rsid w:val="00022C67"/>
    <w:rsid w:val="000234D6"/>
    <w:rsid w:val="00023D29"/>
    <w:rsid w:val="00026006"/>
    <w:rsid w:val="00026389"/>
    <w:rsid w:val="00027613"/>
    <w:rsid w:val="0003024B"/>
    <w:rsid w:val="00031A7B"/>
    <w:rsid w:val="00031AE0"/>
    <w:rsid w:val="00031BBA"/>
    <w:rsid w:val="00031DF3"/>
    <w:rsid w:val="000322EF"/>
    <w:rsid w:val="0003364D"/>
    <w:rsid w:val="00033FCD"/>
    <w:rsid w:val="000347D3"/>
    <w:rsid w:val="00034ACC"/>
    <w:rsid w:val="00034B0E"/>
    <w:rsid w:val="00034EA1"/>
    <w:rsid w:val="000352CE"/>
    <w:rsid w:val="000354CD"/>
    <w:rsid w:val="00035561"/>
    <w:rsid w:val="000358AF"/>
    <w:rsid w:val="000359B2"/>
    <w:rsid w:val="00036A9B"/>
    <w:rsid w:val="00040211"/>
    <w:rsid w:val="0004072B"/>
    <w:rsid w:val="00040D10"/>
    <w:rsid w:val="00041AA3"/>
    <w:rsid w:val="00041CEC"/>
    <w:rsid w:val="00042534"/>
    <w:rsid w:val="000436F5"/>
    <w:rsid w:val="0004427A"/>
    <w:rsid w:val="0004694F"/>
    <w:rsid w:val="00046C77"/>
    <w:rsid w:val="00047175"/>
    <w:rsid w:val="00047A93"/>
    <w:rsid w:val="00050173"/>
    <w:rsid w:val="000501B2"/>
    <w:rsid w:val="0005137A"/>
    <w:rsid w:val="0005142D"/>
    <w:rsid w:val="000522E4"/>
    <w:rsid w:val="0005235B"/>
    <w:rsid w:val="0005414D"/>
    <w:rsid w:val="00054EA4"/>
    <w:rsid w:val="000554BE"/>
    <w:rsid w:val="00055507"/>
    <w:rsid w:val="000572CC"/>
    <w:rsid w:val="000573B7"/>
    <w:rsid w:val="000578C1"/>
    <w:rsid w:val="00057D7B"/>
    <w:rsid w:val="00060AD9"/>
    <w:rsid w:val="00060D9D"/>
    <w:rsid w:val="000610D5"/>
    <w:rsid w:val="000610E1"/>
    <w:rsid w:val="00061107"/>
    <w:rsid w:val="0006166D"/>
    <w:rsid w:val="00062177"/>
    <w:rsid w:val="000626A9"/>
    <w:rsid w:val="00062EC5"/>
    <w:rsid w:val="00062F22"/>
    <w:rsid w:val="00064C17"/>
    <w:rsid w:val="00064C43"/>
    <w:rsid w:val="000673C2"/>
    <w:rsid w:val="000675C7"/>
    <w:rsid w:val="00071146"/>
    <w:rsid w:val="000712B3"/>
    <w:rsid w:val="00071381"/>
    <w:rsid w:val="00072597"/>
    <w:rsid w:val="00072C02"/>
    <w:rsid w:val="00072E8F"/>
    <w:rsid w:val="0007329F"/>
    <w:rsid w:val="00073A4E"/>
    <w:rsid w:val="00073FF8"/>
    <w:rsid w:val="0007457A"/>
    <w:rsid w:val="00074635"/>
    <w:rsid w:val="00074AC2"/>
    <w:rsid w:val="000752CE"/>
    <w:rsid w:val="000816AF"/>
    <w:rsid w:val="0008263E"/>
    <w:rsid w:val="000829B1"/>
    <w:rsid w:val="00082C19"/>
    <w:rsid w:val="00083CB1"/>
    <w:rsid w:val="0008426E"/>
    <w:rsid w:val="00084944"/>
    <w:rsid w:val="00085365"/>
    <w:rsid w:val="00085395"/>
    <w:rsid w:val="00085440"/>
    <w:rsid w:val="000864D8"/>
    <w:rsid w:val="00086848"/>
    <w:rsid w:val="00086C49"/>
    <w:rsid w:val="00087634"/>
    <w:rsid w:val="00087F2B"/>
    <w:rsid w:val="0009044A"/>
    <w:rsid w:val="00090C90"/>
    <w:rsid w:val="000912CC"/>
    <w:rsid w:val="000913C1"/>
    <w:rsid w:val="00092201"/>
    <w:rsid w:val="0009317A"/>
    <w:rsid w:val="0009372A"/>
    <w:rsid w:val="00094112"/>
    <w:rsid w:val="00095135"/>
    <w:rsid w:val="00095C4D"/>
    <w:rsid w:val="000968F4"/>
    <w:rsid w:val="000974D1"/>
    <w:rsid w:val="00097972"/>
    <w:rsid w:val="0009799E"/>
    <w:rsid w:val="000A01AA"/>
    <w:rsid w:val="000A0D06"/>
    <w:rsid w:val="000A1183"/>
    <w:rsid w:val="000A17AA"/>
    <w:rsid w:val="000A1AC6"/>
    <w:rsid w:val="000A256D"/>
    <w:rsid w:val="000A25B3"/>
    <w:rsid w:val="000A25BD"/>
    <w:rsid w:val="000A395A"/>
    <w:rsid w:val="000A3A2C"/>
    <w:rsid w:val="000A3BA8"/>
    <w:rsid w:val="000A3F17"/>
    <w:rsid w:val="000A48F6"/>
    <w:rsid w:val="000A4AFE"/>
    <w:rsid w:val="000A4C10"/>
    <w:rsid w:val="000A5017"/>
    <w:rsid w:val="000A5265"/>
    <w:rsid w:val="000A57D4"/>
    <w:rsid w:val="000A66B9"/>
    <w:rsid w:val="000A7275"/>
    <w:rsid w:val="000A7D27"/>
    <w:rsid w:val="000B1F8C"/>
    <w:rsid w:val="000B2870"/>
    <w:rsid w:val="000B2CB2"/>
    <w:rsid w:val="000B3563"/>
    <w:rsid w:val="000B3CE2"/>
    <w:rsid w:val="000B44D1"/>
    <w:rsid w:val="000B48DB"/>
    <w:rsid w:val="000B772A"/>
    <w:rsid w:val="000B7C8D"/>
    <w:rsid w:val="000C004E"/>
    <w:rsid w:val="000C28DE"/>
    <w:rsid w:val="000C2CF1"/>
    <w:rsid w:val="000C3408"/>
    <w:rsid w:val="000C5923"/>
    <w:rsid w:val="000C6AFD"/>
    <w:rsid w:val="000C7C6F"/>
    <w:rsid w:val="000D0B52"/>
    <w:rsid w:val="000D1B52"/>
    <w:rsid w:val="000D21E0"/>
    <w:rsid w:val="000D248B"/>
    <w:rsid w:val="000D3CE8"/>
    <w:rsid w:val="000D3DFB"/>
    <w:rsid w:val="000D3FEF"/>
    <w:rsid w:val="000D4139"/>
    <w:rsid w:val="000D49C6"/>
    <w:rsid w:val="000D50C8"/>
    <w:rsid w:val="000D5637"/>
    <w:rsid w:val="000E0655"/>
    <w:rsid w:val="000E0B09"/>
    <w:rsid w:val="000E15EA"/>
    <w:rsid w:val="000E1BD5"/>
    <w:rsid w:val="000E22F0"/>
    <w:rsid w:val="000E4A05"/>
    <w:rsid w:val="000E4DFB"/>
    <w:rsid w:val="000E5ADB"/>
    <w:rsid w:val="000E5E94"/>
    <w:rsid w:val="000E6FBD"/>
    <w:rsid w:val="000E722B"/>
    <w:rsid w:val="000F0563"/>
    <w:rsid w:val="000F072B"/>
    <w:rsid w:val="000F17BE"/>
    <w:rsid w:val="000F2DBC"/>
    <w:rsid w:val="000F49A9"/>
    <w:rsid w:val="000F5540"/>
    <w:rsid w:val="000F563A"/>
    <w:rsid w:val="000F63BA"/>
    <w:rsid w:val="000F7A6C"/>
    <w:rsid w:val="00100F5C"/>
    <w:rsid w:val="0010109F"/>
    <w:rsid w:val="001015F8"/>
    <w:rsid w:val="0010181E"/>
    <w:rsid w:val="00101CDA"/>
    <w:rsid w:val="00101E8C"/>
    <w:rsid w:val="00102C41"/>
    <w:rsid w:val="00102C8C"/>
    <w:rsid w:val="00104C4C"/>
    <w:rsid w:val="00105BEE"/>
    <w:rsid w:val="0010768F"/>
    <w:rsid w:val="00107F50"/>
    <w:rsid w:val="00110148"/>
    <w:rsid w:val="001102E1"/>
    <w:rsid w:val="00110840"/>
    <w:rsid w:val="00111F6C"/>
    <w:rsid w:val="00112002"/>
    <w:rsid w:val="0011216E"/>
    <w:rsid w:val="00113333"/>
    <w:rsid w:val="00113951"/>
    <w:rsid w:val="00114E34"/>
    <w:rsid w:val="00115BC3"/>
    <w:rsid w:val="00115FDB"/>
    <w:rsid w:val="001162C6"/>
    <w:rsid w:val="001172EE"/>
    <w:rsid w:val="00117365"/>
    <w:rsid w:val="00117623"/>
    <w:rsid w:val="00117774"/>
    <w:rsid w:val="00117E12"/>
    <w:rsid w:val="0012096D"/>
    <w:rsid w:val="0012192F"/>
    <w:rsid w:val="00122351"/>
    <w:rsid w:val="0012244B"/>
    <w:rsid w:val="001224E5"/>
    <w:rsid w:val="001226D4"/>
    <w:rsid w:val="0012354A"/>
    <w:rsid w:val="00124940"/>
    <w:rsid w:val="0012541F"/>
    <w:rsid w:val="001257AD"/>
    <w:rsid w:val="00125D69"/>
    <w:rsid w:val="00125DCF"/>
    <w:rsid w:val="00125E96"/>
    <w:rsid w:val="0012727F"/>
    <w:rsid w:val="00127CCE"/>
    <w:rsid w:val="00131BA6"/>
    <w:rsid w:val="00132022"/>
    <w:rsid w:val="001321B1"/>
    <w:rsid w:val="00133D19"/>
    <w:rsid w:val="00134AC4"/>
    <w:rsid w:val="001352AD"/>
    <w:rsid w:val="00136221"/>
    <w:rsid w:val="00137BBA"/>
    <w:rsid w:val="001400C5"/>
    <w:rsid w:val="001405FA"/>
    <w:rsid w:val="00141374"/>
    <w:rsid w:val="00142254"/>
    <w:rsid w:val="001425AB"/>
    <w:rsid w:val="001425C3"/>
    <w:rsid w:val="00142940"/>
    <w:rsid w:val="00143E21"/>
    <w:rsid w:val="001448C5"/>
    <w:rsid w:val="0014513A"/>
    <w:rsid w:val="00145BAE"/>
    <w:rsid w:val="001476BD"/>
    <w:rsid w:val="0014793D"/>
    <w:rsid w:val="001501ED"/>
    <w:rsid w:val="00150C2C"/>
    <w:rsid w:val="00151145"/>
    <w:rsid w:val="00151983"/>
    <w:rsid w:val="00151BE2"/>
    <w:rsid w:val="00153A07"/>
    <w:rsid w:val="00153D91"/>
    <w:rsid w:val="00153F2C"/>
    <w:rsid w:val="001543B3"/>
    <w:rsid w:val="00154F9D"/>
    <w:rsid w:val="00156585"/>
    <w:rsid w:val="00161101"/>
    <w:rsid w:val="001612F4"/>
    <w:rsid w:val="00161AB8"/>
    <w:rsid w:val="0016256B"/>
    <w:rsid w:val="001625B5"/>
    <w:rsid w:val="00163793"/>
    <w:rsid w:val="001655A3"/>
    <w:rsid w:val="00165ED3"/>
    <w:rsid w:val="0016649F"/>
    <w:rsid w:val="00170621"/>
    <w:rsid w:val="001706D6"/>
    <w:rsid w:val="001709D9"/>
    <w:rsid w:val="001714F2"/>
    <w:rsid w:val="00172E03"/>
    <w:rsid w:val="00173DC2"/>
    <w:rsid w:val="00174B88"/>
    <w:rsid w:val="00175B9F"/>
    <w:rsid w:val="00175C9E"/>
    <w:rsid w:val="001777BA"/>
    <w:rsid w:val="00180341"/>
    <w:rsid w:val="00180CF9"/>
    <w:rsid w:val="00181BBC"/>
    <w:rsid w:val="00181C33"/>
    <w:rsid w:val="00182925"/>
    <w:rsid w:val="00182C10"/>
    <w:rsid w:val="001837AD"/>
    <w:rsid w:val="0018462C"/>
    <w:rsid w:val="001846F9"/>
    <w:rsid w:val="00184B08"/>
    <w:rsid w:val="00185010"/>
    <w:rsid w:val="001858D3"/>
    <w:rsid w:val="001866B1"/>
    <w:rsid w:val="00187611"/>
    <w:rsid w:val="0019075C"/>
    <w:rsid w:val="00190A93"/>
    <w:rsid w:val="00190F19"/>
    <w:rsid w:val="0019143B"/>
    <w:rsid w:val="00192144"/>
    <w:rsid w:val="00192938"/>
    <w:rsid w:val="0019310E"/>
    <w:rsid w:val="001936A2"/>
    <w:rsid w:val="00193925"/>
    <w:rsid w:val="00193D2D"/>
    <w:rsid w:val="00193E13"/>
    <w:rsid w:val="00195AF7"/>
    <w:rsid w:val="0019688F"/>
    <w:rsid w:val="0019702D"/>
    <w:rsid w:val="001A0044"/>
    <w:rsid w:val="001A0487"/>
    <w:rsid w:val="001A108E"/>
    <w:rsid w:val="001A14D3"/>
    <w:rsid w:val="001A1C28"/>
    <w:rsid w:val="001A2B9D"/>
    <w:rsid w:val="001A2EA4"/>
    <w:rsid w:val="001A451A"/>
    <w:rsid w:val="001A4CA3"/>
    <w:rsid w:val="001A4D40"/>
    <w:rsid w:val="001A4F13"/>
    <w:rsid w:val="001A50CE"/>
    <w:rsid w:val="001A552F"/>
    <w:rsid w:val="001A5661"/>
    <w:rsid w:val="001A5B6F"/>
    <w:rsid w:val="001A6170"/>
    <w:rsid w:val="001A7280"/>
    <w:rsid w:val="001B0A39"/>
    <w:rsid w:val="001B1DB9"/>
    <w:rsid w:val="001B2C41"/>
    <w:rsid w:val="001B2CA9"/>
    <w:rsid w:val="001B3110"/>
    <w:rsid w:val="001B4218"/>
    <w:rsid w:val="001B4729"/>
    <w:rsid w:val="001B478D"/>
    <w:rsid w:val="001B4A9B"/>
    <w:rsid w:val="001B4E69"/>
    <w:rsid w:val="001B6310"/>
    <w:rsid w:val="001B66CB"/>
    <w:rsid w:val="001B6C09"/>
    <w:rsid w:val="001B73E6"/>
    <w:rsid w:val="001B7DE2"/>
    <w:rsid w:val="001C05CD"/>
    <w:rsid w:val="001C3924"/>
    <w:rsid w:val="001C598A"/>
    <w:rsid w:val="001C7433"/>
    <w:rsid w:val="001D01AD"/>
    <w:rsid w:val="001D0236"/>
    <w:rsid w:val="001D0F00"/>
    <w:rsid w:val="001D1815"/>
    <w:rsid w:val="001D1940"/>
    <w:rsid w:val="001D2CEA"/>
    <w:rsid w:val="001D2D03"/>
    <w:rsid w:val="001D40D7"/>
    <w:rsid w:val="001D48D4"/>
    <w:rsid w:val="001D4D6E"/>
    <w:rsid w:val="001D5E6D"/>
    <w:rsid w:val="001D5F9D"/>
    <w:rsid w:val="001D6600"/>
    <w:rsid w:val="001D68B2"/>
    <w:rsid w:val="001D68CA"/>
    <w:rsid w:val="001D7AC6"/>
    <w:rsid w:val="001E15C5"/>
    <w:rsid w:val="001E1BCD"/>
    <w:rsid w:val="001E1C2E"/>
    <w:rsid w:val="001E44B5"/>
    <w:rsid w:val="001E504C"/>
    <w:rsid w:val="001E57ED"/>
    <w:rsid w:val="001E5850"/>
    <w:rsid w:val="001E6062"/>
    <w:rsid w:val="001E6753"/>
    <w:rsid w:val="001E6E34"/>
    <w:rsid w:val="001E709A"/>
    <w:rsid w:val="001E7497"/>
    <w:rsid w:val="001E79C3"/>
    <w:rsid w:val="001F024D"/>
    <w:rsid w:val="001F2170"/>
    <w:rsid w:val="001F2CDE"/>
    <w:rsid w:val="001F32ED"/>
    <w:rsid w:val="001F3BFD"/>
    <w:rsid w:val="001F3E67"/>
    <w:rsid w:val="001F4041"/>
    <w:rsid w:val="001F4597"/>
    <w:rsid w:val="001F591A"/>
    <w:rsid w:val="001F5D9A"/>
    <w:rsid w:val="001F775B"/>
    <w:rsid w:val="00202226"/>
    <w:rsid w:val="00203DA4"/>
    <w:rsid w:val="002047E2"/>
    <w:rsid w:val="00205104"/>
    <w:rsid w:val="002067A6"/>
    <w:rsid w:val="0020733A"/>
    <w:rsid w:val="00207871"/>
    <w:rsid w:val="00210502"/>
    <w:rsid w:val="002118B9"/>
    <w:rsid w:val="00213515"/>
    <w:rsid w:val="002137D3"/>
    <w:rsid w:val="00213E46"/>
    <w:rsid w:val="00214ABA"/>
    <w:rsid w:val="00214CF7"/>
    <w:rsid w:val="00214D9F"/>
    <w:rsid w:val="002152E4"/>
    <w:rsid w:val="00215CD1"/>
    <w:rsid w:val="00215DC5"/>
    <w:rsid w:val="00216255"/>
    <w:rsid w:val="00216286"/>
    <w:rsid w:val="00216A01"/>
    <w:rsid w:val="002175EA"/>
    <w:rsid w:val="00217676"/>
    <w:rsid w:val="002178DF"/>
    <w:rsid w:val="00217C5B"/>
    <w:rsid w:val="00217CF4"/>
    <w:rsid w:val="002208ED"/>
    <w:rsid w:val="0022139E"/>
    <w:rsid w:val="00221F4F"/>
    <w:rsid w:val="00222729"/>
    <w:rsid w:val="00222833"/>
    <w:rsid w:val="00222EF2"/>
    <w:rsid w:val="002232AB"/>
    <w:rsid w:val="002238B5"/>
    <w:rsid w:val="00223BF5"/>
    <w:rsid w:val="00225218"/>
    <w:rsid w:val="002252E0"/>
    <w:rsid w:val="002255F6"/>
    <w:rsid w:val="00226A43"/>
    <w:rsid w:val="00227850"/>
    <w:rsid w:val="00227A53"/>
    <w:rsid w:val="00227DA6"/>
    <w:rsid w:val="0023038D"/>
    <w:rsid w:val="00230682"/>
    <w:rsid w:val="00230A96"/>
    <w:rsid w:val="00230C6E"/>
    <w:rsid w:val="00230D06"/>
    <w:rsid w:val="002317B3"/>
    <w:rsid w:val="00233052"/>
    <w:rsid w:val="00233546"/>
    <w:rsid w:val="00233CD7"/>
    <w:rsid w:val="00233D05"/>
    <w:rsid w:val="002341E2"/>
    <w:rsid w:val="00235014"/>
    <w:rsid w:val="00235BFD"/>
    <w:rsid w:val="00235CCD"/>
    <w:rsid w:val="00236443"/>
    <w:rsid w:val="0023665A"/>
    <w:rsid w:val="00237B95"/>
    <w:rsid w:val="002411EA"/>
    <w:rsid w:val="00241328"/>
    <w:rsid w:val="0024148B"/>
    <w:rsid w:val="00241B06"/>
    <w:rsid w:val="00242119"/>
    <w:rsid w:val="002421C4"/>
    <w:rsid w:val="00242C10"/>
    <w:rsid w:val="00242CF0"/>
    <w:rsid w:val="002436BA"/>
    <w:rsid w:val="00244A15"/>
    <w:rsid w:val="00245617"/>
    <w:rsid w:val="0024611B"/>
    <w:rsid w:val="0024661A"/>
    <w:rsid w:val="00247319"/>
    <w:rsid w:val="0024741D"/>
    <w:rsid w:val="0024799E"/>
    <w:rsid w:val="00247EE7"/>
    <w:rsid w:val="00251928"/>
    <w:rsid w:val="00252475"/>
    <w:rsid w:val="0025270B"/>
    <w:rsid w:val="00252D48"/>
    <w:rsid w:val="00253C0F"/>
    <w:rsid w:val="00254181"/>
    <w:rsid w:val="002543D7"/>
    <w:rsid w:val="002551A3"/>
    <w:rsid w:val="002558C1"/>
    <w:rsid w:val="00255985"/>
    <w:rsid w:val="00255B30"/>
    <w:rsid w:val="0025735B"/>
    <w:rsid w:val="00260149"/>
    <w:rsid w:val="00260303"/>
    <w:rsid w:val="0026031E"/>
    <w:rsid w:val="0026033E"/>
    <w:rsid w:val="002610E9"/>
    <w:rsid w:val="00261A17"/>
    <w:rsid w:val="00263FDC"/>
    <w:rsid w:val="00264251"/>
    <w:rsid w:val="00264E5F"/>
    <w:rsid w:val="00264F47"/>
    <w:rsid w:val="002659AC"/>
    <w:rsid w:val="00265F50"/>
    <w:rsid w:val="00267033"/>
    <w:rsid w:val="00267B71"/>
    <w:rsid w:val="00270752"/>
    <w:rsid w:val="0027099B"/>
    <w:rsid w:val="002710E9"/>
    <w:rsid w:val="00271465"/>
    <w:rsid w:val="00272844"/>
    <w:rsid w:val="0027398A"/>
    <w:rsid w:val="002740D8"/>
    <w:rsid w:val="00275385"/>
    <w:rsid w:val="00275657"/>
    <w:rsid w:val="002763D6"/>
    <w:rsid w:val="0027724A"/>
    <w:rsid w:val="00280386"/>
    <w:rsid w:val="00280B2A"/>
    <w:rsid w:val="00281666"/>
    <w:rsid w:val="00281DE0"/>
    <w:rsid w:val="00281FB2"/>
    <w:rsid w:val="0028207A"/>
    <w:rsid w:val="00282918"/>
    <w:rsid w:val="00283600"/>
    <w:rsid w:val="00283DE9"/>
    <w:rsid w:val="00283DF4"/>
    <w:rsid w:val="00284145"/>
    <w:rsid w:val="00284D28"/>
    <w:rsid w:val="00285412"/>
    <w:rsid w:val="00285868"/>
    <w:rsid w:val="002864B9"/>
    <w:rsid w:val="002866A1"/>
    <w:rsid w:val="002867D8"/>
    <w:rsid w:val="002869B8"/>
    <w:rsid w:val="00290725"/>
    <w:rsid w:val="00291407"/>
    <w:rsid w:val="00291640"/>
    <w:rsid w:val="00292339"/>
    <w:rsid w:val="00292B59"/>
    <w:rsid w:val="00292D62"/>
    <w:rsid w:val="002931F2"/>
    <w:rsid w:val="00293DCB"/>
    <w:rsid w:val="00294BE5"/>
    <w:rsid w:val="0029568F"/>
    <w:rsid w:val="00295A5D"/>
    <w:rsid w:val="0029663C"/>
    <w:rsid w:val="00296B21"/>
    <w:rsid w:val="00297ECA"/>
    <w:rsid w:val="00297F7D"/>
    <w:rsid w:val="002A02D5"/>
    <w:rsid w:val="002A1407"/>
    <w:rsid w:val="002A16D4"/>
    <w:rsid w:val="002A230C"/>
    <w:rsid w:val="002A23FD"/>
    <w:rsid w:val="002A28FC"/>
    <w:rsid w:val="002A3DA7"/>
    <w:rsid w:val="002A5287"/>
    <w:rsid w:val="002A53C9"/>
    <w:rsid w:val="002A56A6"/>
    <w:rsid w:val="002A59D2"/>
    <w:rsid w:val="002A6268"/>
    <w:rsid w:val="002A66B0"/>
    <w:rsid w:val="002A73AC"/>
    <w:rsid w:val="002B14BE"/>
    <w:rsid w:val="002B2299"/>
    <w:rsid w:val="002B333E"/>
    <w:rsid w:val="002B478A"/>
    <w:rsid w:val="002B4845"/>
    <w:rsid w:val="002B48B4"/>
    <w:rsid w:val="002B518C"/>
    <w:rsid w:val="002B5326"/>
    <w:rsid w:val="002B62BB"/>
    <w:rsid w:val="002B7440"/>
    <w:rsid w:val="002C1025"/>
    <w:rsid w:val="002C2029"/>
    <w:rsid w:val="002C2899"/>
    <w:rsid w:val="002C2FE9"/>
    <w:rsid w:val="002C3E22"/>
    <w:rsid w:val="002C43BD"/>
    <w:rsid w:val="002C4587"/>
    <w:rsid w:val="002C4700"/>
    <w:rsid w:val="002C4B4F"/>
    <w:rsid w:val="002C4DD7"/>
    <w:rsid w:val="002C5568"/>
    <w:rsid w:val="002C55E4"/>
    <w:rsid w:val="002C59FD"/>
    <w:rsid w:val="002C5B9A"/>
    <w:rsid w:val="002C6E0A"/>
    <w:rsid w:val="002D0E59"/>
    <w:rsid w:val="002E02A1"/>
    <w:rsid w:val="002E273D"/>
    <w:rsid w:val="002E30BE"/>
    <w:rsid w:val="002E3BE7"/>
    <w:rsid w:val="002E42AC"/>
    <w:rsid w:val="002E4E4C"/>
    <w:rsid w:val="002E5FE3"/>
    <w:rsid w:val="002E6A7F"/>
    <w:rsid w:val="002F0BC1"/>
    <w:rsid w:val="002F1ABE"/>
    <w:rsid w:val="002F1BA0"/>
    <w:rsid w:val="002F266A"/>
    <w:rsid w:val="002F3A5E"/>
    <w:rsid w:val="002F3E4F"/>
    <w:rsid w:val="002F47DD"/>
    <w:rsid w:val="002F48F7"/>
    <w:rsid w:val="002F564C"/>
    <w:rsid w:val="002F5C7F"/>
    <w:rsid w:val="002F6A3C"/>
    <w:rsid w:val="002F6BE3"/>
    <w:rsid w:val="002F787D"/>
    <w:rsid w:val="003000D7"/>
    <w:rsid w:val="00300927"/>
    <w:rsid w:val="00300F53"/>
    <w:rsid w:val="00302ADD"/>
    <w:rsid w:val="00304771"/>
    <w:rsid w:val="0030495D"/>
    <w:rsid w:val="003052D4"/>
    <w:rsid w:val="00306C5B"/>
    <w:rsid w:val="00307B34"/>
    <w:rsid w:val="003103E0"/>
    <w:rsid w:val="003107EA"/>
    <w:rsid w:val="00310A58"/>
    <w:rsid w:val="003113A6"/>
    <w:rsid w:val="0031173F"/>
    <w:rsid w:val="0031233C"/>
    <w:rsid w:val="0031241D"/>
    <w:rsid w:val="00313263"/>
    <w:rsid w:val="003145B3"/>
    <w:rsid w:val="00314BBE"/>
    <w:rsid w:val="00314F9F"/>
    <w:rsid w:val="00315C01"/>
    <w:rsid w:val="00315E9B"/>
    <w:rsid w:val="003162C5"/>
    <w:rsid w:val="00316DC1"/>
    <w:rsid w:val="0031748E"/>
    <w:rsid w:val="0032050F"/>
    <w:rsid w:val="003209D6"/>
    <w:rsid w:val="00320A06"/>
    <w:rsid w:val="00321205"/>
    <w:rsid w:val="00321924"/>
    <w:rsid w:val="00322F9E"/>
    <w:rsid w:val="00323353"/>
    <w:rsid w:val="00324442"/>
    <w:rsid w:val="0032656E"/>
    <w:rsid w:val="00327467"/>
    <w:rsid w:val="00327D4E"/>
    <w:rsid w:val="00331BDC"/>
    <w:rsid w:val="00331C10"/>
    <w:rsid w:val="00332190"/>
    <w:rsid w:val="003321C3"/>
    <w:rsid w:val="00332D84"/>
    <w:rsid w:val="00333289"/>
    <w:rsid w:val="00333A75"/>
    <w:rsid w:val="00334A3A"/>
    <w:rsid w:val="00334E68"/>
    <w:rsid w:val="003352EB"/>
    <w:rsid w:val="003355FA"/>
    <w:rsid w:val="00336EF5"/>
    <w:rsid w:val="00336FC2"/>
    <w:rsid w:val="00340188"/>
    <w:rsid w:val="00340586"/>
    <w:rsid w:val="00341625"/>
    <w:rsid w:val="00341824"/>
    <w:rsid w:val="003421E1"/>
    <w:rsid w:val="0034226A"/>
    <w:rsid w:val="00343182"/>
    <w:rsid w:val="0034335E"/>
    <w:rsid w:val="00343FA5"/>
    <w:rsid w:val="00344092"/>
    <w:rsid w:val="00344668"/>
    <w:rsid w:val="0034540D"/>
    <w:rsid w:val="0034571B"/>
    <w:rsid w:val="003462D9"/>
    <w:rsid w:val="0034749A"/>
    <w:rsid w:val="00347B3C"/>
    <w:rsid w:val="00347F45"/>
    <w:rsid w:val="00350895"/>
    <w:rsid w:val="00350FEA"/>
    <w:rsid w:val="0035253A"/>
    <w:rsid w:val="00352FFD"/>
    <w:rsid w:val="00353044"/>
    <w:rsid w:val="00354DEC"/>
    <w:rsid w:val="00355256"/>
    <w:rsid w:val="00356287"/>
    <w:rsid w:val="00356723"/>
    <w:rsid w:val="00360C86"/>
    <w:rsid w:val="00360FBC"/>
    <w:rsid w:val="00361951"/>
    <w:rsid w:val="003619E4"/>
    <w:rsid w:val="00362133"/>
    <w:rsid w:val="00362328"/>
    <w:rsid w:val="00362DEB"/>
    <w:rsid w:val="00362E90"/>
    <w:rsid w:val="0036408E"/>
    <w:rsid w:val="003646EA"/>
    <w:rsid w:val="00364728"/>
    <w:rsid w:val="00364875"/>
    <w:rsid w:val="00364FA0"/>
    <w:rsid w:val="00365420"/>
    <w:rsid w:val="003656AF"/>
    <w:rsid w:val="003657F3"/>
    <w:rsid w:val="0036587E"/>
    <w:rsid w:val="00366248"/>
    <w:rsid w:val="00366591"/>
    <w:rsid w:val="00366EA0"/>
    <w:rsid w:val="00370268"/>
    <w:rsid w:val="00370EDF"/>
    <w:rsid w:val="00371826"/>
    <w:rsid w:val="00373504"/>
    <w:rsid w:val="003738E1"/>
    <w:rsid w:val="00373E47"/>
    <w:rsid w:val="003740E7"/>
    <w:rsid w:val="00374FEF"/>
    <w:rsid w:val="003751D1"/>
    <w:rsid w:val="003766F8"/>
    <w:rsid w:val="00376778"/>
    <w:rsid w:val="00377162"/>
    <w:rsid w:val="00377C0F"/>
    <w:rsid w:val="0038123E"/>
    <w:rsid w:val="003818DC"/>
    <w:rsid w:val="00382C5B"/>
    <w:rsid w:val="00383708"/>
    <w:rsid w:val="00384327"/>
    <w:rsid w:val="0038561B"/>
    <w:rsid w:val="00385D98"/>
    <w:rsid w:val="003873D1"/>
    <w:rsid w:val="003877E5"/>
    <w:rsid w:val="00390517"/>
    <w:rsid w:val="00390833"/>
    <w:rsid w:val="00391ACF"/>
    <w:rsid w:val="00391B12"/>
    <w:rsid w:val="00392FB5"/>
    <w:rsid w:val="0039595A"/>
    <w:rsid w:val="003A0393"/>
    <w:rsid w:val="003A1A03"/>
    <w:rsid w:val="003A1F60"/>
    <w:rsid w:val="003A2B4D"/>
    <w:rsid w:val="003A2B5E"/>
    <w:rsid w:val="003A2D12"/>
    <w:rsid w:val="003A478C"/>
    <w:rsid w:val="003A5525"/>
    <w:rsid w:val="003A5529"/>
    <w:rsid w:val="003A6626"/>
    <w:rsid w:val="003A6B38"/>
    <w:rsid w:val="003A7362"/>
    <w:rsid w:val="003A7C49"/>
    <w:rsid w:val="003B00FF"/>
    <w:rsid w:val="003B07B3"/>
    <w:rsid w:val="003B0A0F"/>
    <w:rsid w:val="003B1C54"/>
    <w:rsid w:val="003B224C"/>
    <w:rsid w:val="003B3AFF"/>
    <w:rsid w:val="003B461F"/>
    <w:rsid w:val="003B54A6"/>
    <w:rsid w:val="003B5A32"/>
    <w:rsid w:val="003B5F52"/>
    <w:rsid w:val="003B6097"/>
    <w:rsid w:val="003B6309"/>
    <w:rsid w:val="003B6B31"/>
    <w:rsid w:val="003B7AFA"/>
    <w:rsid w:val="003C0365"/>
    <w:rsid w:val="003C0458"/>
    <w:rsid w:val="003C1099"/>
    <w:rsid w:val="003C2324"/>
    <w:rsid w:val="003C2ADC"/>
    <w:rsid w:val="003C3281"/>
    <w:rsid w:val="003C3490"/>
    <w:rsid w:val="003C3BFE"/>
    <w:rsid w:val="003C49B9"/>
    <w:rsid w:val="003C631A"/>
    <w:rsid w:val="003C6550"/>
    <w:rsid w:val="003C68ED"/>
    <w:rsid w:val="003C7549"/>
    <w:rsid w:val="003C7792"/>
    <w:rsid w:val="003C7E62"/>
    <w:rsid w:val="003D1A7F"/>
    <w:rsid w:val="003D5946"/>
    <w:rsid w:val="003D5A56"/>
    <w:rsid w:val="003D5B4E"/>
    <w:rsid w:val="003D60FE"/>
    <w:rsid w:val="003D6920"/>
    <w:rsid w:val="003D6A58"/>
    <w:rsid w:val="003D74CF"/>
    <w:rsid w:val="003D7B09"/>
    <w:rsid w:val="003E0C17"/>
    <w:rsid w:val="003E10D3"/>
    <w:rsid w:val="003E1252"/>
    <w:rsid w:val="003E1419"/>
    <w:rsid w:val="003E1D28"/>
    <w:rsid w:val="003E2301"/>
    <w:rsid w:val="003E3F1E"/>
    <w:rsid w:val="003E48F2"/>
    <w:rsid w:val="003E4C91"/>
    <w:rsid w:val="003E5DB7"/>
    <w:rsid w:val="003E62A5"/>
    <w:rsid w:val="003F0011"/>
    <w:rsid w:val="003F10C7"/>
    <w:rsid w:val="003F13A5"/>
    <w:rsid w:val="003F313C"/>
    <w:rsid w:val="003F346D"/>
    <w:rsid w:val="003F37FC"/>
    <w:rsid w:val="003F4B2C"/>
    <w:rsid w:val="003F551C"/>
    <w:rsid w:val="003F5AD6"/>
    <w:rsid w:val="003F62B0"/>
    <w:rsid w:val="003F6448"/>
    <w:rsid w:val="003F68C1"/>
    <w:rsid w:val="003F72ED"/>
    <w:rsid w:val="003F73E4"/>
    <w:rsid w:val="003F7D23"/>
    <w:rsid w:val="004005A2"/>
    <w:rsid w:val="00400A0E"/>
    <w:rsid w:val="00400DF4"/>
    <w:rsid w:val="00402489"/>
    <w:rsid w:val="00402612"/>
    <w:rsid w:val="00403226"/>
    <w:rsid w:val="00403D59"/>
    <w:rsid w:val="004043F2"/>
    <w:rsid w:val="0040550D"/>
    <w:rsid w:val="004069FF"/>
    <w:rsid w:val="00406A16"/>
    <w:rsid w:val="00406D06"/>
    <w:rsid w:val="00406F34"/>
    <w:rsid w:val="00407510"/>
    <w:rsid w:val="00407526"/>
    <w:rsid w:val="004076D8"/>
    <w:rsid w:val="00407C13"/>
    <w:rsid w:val="0041041D"/>
    <w:rsid w:val="00410638"/>
    <w:rsid w:val="00410694"/>
    <w:rsid w:val="00410C52"/>
    <w:rsid w:val="00410D1C"/>
    <w:rsid w:val="00410EB0"/>
    <w:rsid w:val="004111A5"/>
    <w:rsid w:val="0041172B"/>
    <w:rsid w:val="0041368A"/>
    <w:rsid w:val="00413788"/>
    <w:rsid w:val="00414B10"/>
    <w:rsid w:val="0041501E"/>
    <w:rsid w:val="004159C3"/>
    <w:rsid w:val="00416EB7"/>
    <w:rsid w:val="00417505"/>
    <w:rsid w:val="00420136"/>
    <w:rsid w:val="004206B6"/>
    <w:rsid w:val="00420CFF"/>
    <w:rsid w:val="00420DC0"/>
    <w:rsid w:val="0042359B"/>
    <w:rsid w:val="00423AE9"/>
    <w:rsid w:val="00424375"/>
    <w:rsid w:val="00426C41"/>
    <w:rsid w:val="004304E9"/>
    <w:rsid w:val="004307FC"/>
    <w:rsid w:val="00432A58"/>
    <w:rsid w:val="00432D19"/>
    <w:rsid w:val="00433C0A"/>
    <w:rsid w:val="00433D92"/>
    <w:rsid w:val="00434395"/>
    <w:rsid w:val="004345F4"/>
    <w:rsid w:val="00434617"/>
    <w:rsid w:val="004349BF"/>
    <w:rsid w:val="00435361"/>
    <w:rsid w:val="00435656"/>
    <w:rsid w:val="00436477"/>
    <w:rsid w:val="00436DCF"/>
    <w:rsid w:val="00437A54"/>
    <w:rsid w:val="00437FD1"/>
    <w:rsid w:val="00440900"/>
    <w:rsid w:val="00441A23"/>
    <w:rsid w:val="00441BF6"/>
    <w:rsid w:val="00442D09"/>
    <w:rsid w:val="00442E6B"/>
    <w:rsid w:val="00443556"/>
    <w:rsid w:val="004437FE"/>
    <w:rsid w:val="004441A0"/>
    <w:rsid w:val="00444B1D"/>
    <w:rsid w:val="004455BA"/>
    <w:rsid w:val="00446D0C"/>
    <w:rsid w:val="00446D77"/>
    <w:rsid w:val="00447037"/>
    <w:rsid w:val="004501F9"/>
    <w:rsid w:val="0045021C"/>
    <w:rsid w:val="0045078A"/>
    <w:rsid w:val="0045086D"/>
    <w:rsid w:val="00450A94"/>
    <w:rsid w:val="00451305"/>
    <w:rsid w:val="00451504"/>
    <w:rsid w:val="00451878"/>
    <w:rsid w:val="00451FEF"/>
    <w:rsid w:val="00453626"/>
    <w:rsid w:val="00453F52"/>
    <w:rsid w:val="004554AD"/>
    <w:rsid w:val="004557A9"/>
    <w:rsid w:val="00456339"/>
    <w:rsid w:val="0045677C"/>
    <w:rsid w:val="004607BF"/>
    <w:rsid w:val="004609D9"/>
    <w:rsid w:val="00460FB3"/>
    <w:rsid w:val="0046255F"/>
    <w:rsid w:val="00463329"/>
    <w:rsid w:val="00463B19"/>
    <w:rsid w:val="004644C4"/>
    <w:rsid w:val="0046474F"/>
    <w:rsid w:val="0046530C"/>
    <w:rsid w:val="00465F26"/>
    <w:rsid w:val="0046627E"/>
    <w:rsid w:val="00467406"/>
    <w:rsid w:val="00467A03"/>
    <w:rsid w:val="004717BF"/>
    <w:rsid w:val="004749E3"/>
    <w:rsid w:val="00475C63"/>
    <w:rsid w:val="00475F3F"/>
    <w:rsid w:val="00476240"/>
    <w:rsid w:val="00476439"/>
    <w:rsid w:val="0047735C"/>
    <w:rsid w:val="004776BC"/>
    <w:rsid w:val="0048139F"/>
    <w:rsid w:val="00481CEB"/>
    <w:rsid w:val="00481E40"/>
    <w:rsid w:val="00481F58"/>
    <w:rsid w:val="00483465"/>
    <w:rsid w:val="004834E5"/>
    <w:rsid w:val="00483BED"/>
    <w:rsid w:val="0048429C"/>
    <w:rsid w:val="004842DB"/>
    <w:rsid w:val="00484319"/>
    <w:rsid w:val="00484915"/>
    <w:rsid w:val="00484D49"/>
    <w:rsid w:val="00484ECE"/>
    <w:rsid w:val="00484FF1"/>
    <w:rsid w:val="00485567"/>
    <w:rsid w:val="00485B0F"/>
    <w:rsid w:val="00485B76"/>
    <w:rsid w:val="00485E39"/>
    <w:rsid w:val="00487E9D"/>
    <w:rsid w:val="00490F35"/>
    <w:rsid w:val="004915CB"/>
    <w:rsid w:val="00492327"/>
    <w:rsid w:val="004924DC"/>
    <w:rsid w:val="004925F0"/>
    <w:rsid w:val="00493AE0"/>
    <w:rsid w:val="00494CB8"/>
    <w:rsid w:val="00495663"/>
    <w:rsid w:val="004962DC"/>
    <w:rsid w:val="004963C7"/>
    <w:rsid w:val="00496E81"/>
    <w:rsid w:val="004976EF"/>
    <w:rsid w:val="004A14E4"/>
    <w:rsid w:val="004A21DE"/>
    <w:rsid w:val="004A3212"/>
    <w:rsid w:val="004A3A0F"/>
    <w:rsid w:val="004A3D00"/>
    <w:rsid w:val="004A46B3"/>
    <w:rsid w:val="004A5494"/>
    <w:rsid w:val="004A6198"/>
    <w:rsid w:val="004A61C5"/>
    <w:rsid w:val="004A767E"/>
    <w:rsid w:val="004A77DF"/>
    <w:rsid w:val="004B1321"/>
    <w:rsid w:val="004B1417"/>
    <w:rsid w:val="004B3545"/>
    <w:rsid w:val="004B55B7"/>
    <w:rsid w:val="004B57B8"/>
    <w:rsid w:val="004B5893"/>
    <w:rsid w:val="004B5A60"/>
    <w:rsid w:val="004B5D8A"/>
    <w:rsid w:val="004B6468"/>
    <w:rsid w:val="004B672F"/>
    <w:rsid w:val="004B6A60"/>
    <w:rsid w:val="004B7125"/>
    <w:rsid w:val="004B7985"/>
    <w:rsid w:val="004B7D56"/>
    <w:rsid w:val="004C123D"/>
    <w:rsid w:val="004C180F"/>
    <w:rsid w:val="004C1A40"/>
    <w:rsid w:val="004C2A08"/>
    <w:rsid w:val="004C2DE9"/>
    <w:rsid w:val="004C384C"/>
    <w:rsid w:val="004C3867"/>
    <w:rsid w:val="004C456F"/>
    <w:rsid w:val="004C4CD0"/>
    <w:rsid w:val="004C5B81"/>
    <w:rsid w:val="004C5E2B"/>
    <w:rsid w:val="004C6092"/>
    <w:rsid w:val="004C63B5"/>
    <w:rsid w:val="004C64E7"/>
    <w:rsid w:val="004C68CC"/>
    <w:rsid w:val="004C70DC"/>
    <w:rsid w:val="004D0211"/>
    <w:rsid w:val="004D0794"/>
    <w:rsid w:val="004D0974"/>
    <w:rsid w:val="004D1C4E"/>
    <w:rsid w:val="004D40CC"/>
    <w:rsid w:val="004D43B0"/>
    <w:rsid w:val="004D4C36"/>
    <w:rsid w:val="004D54EE"/>
    <w:rsid w:val="004D5C93"/>
    <w:rsid w:val="004D797A"/>
    <w:rsid w:val="004D7F47"/>
    <w:rsid w:val="004E1288"/>
    <w:rsid w:val="004E1CDC"/>
    <w:rsid w:val="004E285C"/>
    <w:rsid w:val="004E32F5"/>
    <w:rsid w:val="004E350A"/>
    <w:rsid w:val="004E418F"/>
    <w:rsid w:val="004E53BA"/>
    <w:rsid w:val="004E5681"/>
    <w:rsid w:val="004E5A45"/>
    <w:rsid w:val="004E5A64"/>
    <w:rsid w:val="004E70E9"/>
    <w:rsid w:val="004E75B6"/>
    <w:rsid w:val="004E7646"/>
    <w:rsid w:val="004E7C6B"/>
    <w:rsid w:val="004F06F5"/>
    <w:rsid w:val="004F1254"/>
    <w:rsid w:val="004F16B2"/>
    <w:rsid w:val="004F16E1"/>
    <w:rsid w:val="004F1744"/>
    <w:rsid w:val="004F19AD"/>
    <w:rsid w:val="004F2652"/>
    <w:rsid w:val="004F2C1B"/>
    <w:rsid w:val="004F33A0"/>
    <w:rsid w:val="004F3A59"/>
    <w:rsid w:val="004F3A84"/>
    <w:rsid w:val="004F5E61"/>
    <w:rsid w:val="004F6154"/>
    <w:rsid w:val="005005CD"/>
    <w:rsid w:val="00500CEE"/>
    <w:rsid w:val="005015F6"/>
    <w:rsid w:val="005019AE"/>
    <w:rsid w:val="00501E5A"/>
    <w:rsid w:val="0050385E"/>
    <w:rsid w:val="00503A6E"/>
    <w:rsid w:val="00503B80"/>
    <w:rsid w:val="005040A8"/>
    <w:rsid w:val="005042BB"/>
    <w:rsid w:val="00504EE1"/>
    <w:rsid w:val="0050689D"/>
    <w:rsid w:val="0050736A"/>
    <w:rsid w:val="005075D4"/>
    <w:rsid w:val="005076A1"/>
    <w:rsid w:val="00510205"/>
    <w:rsid w:val="005108C0"/>
    <w:rsid w:val="00510A58"/>
    <w:rsid w:val="00511873"/>
    <w:rsid w:val="00511DE3"/>
    <w:rsid w:val="005124B6"/>
    <w:rsid w:val="00512A2F"/>
    <w:rsid w:val="00512F82"/>
    <w:rsid w:val="00513B7E"/>
    <w:rsid w:val="00513EE1"/>
    <w:rsid w:val="00513F7F"/>
    <w:rsid w:val="0051484B"/>
    <w:rsid w:val="00514AE7"/>
    <w:rsid w:val="00515684"/>
    <w:rsid w:val="00515737"/>
    <w:rsid w:val="00515C74"/>
    <w:rsid w:val="00515D55"/>
    <w:rsid w:val="00516086"/>
    <w:rsid w:val="00516E42"/>
    <w:rsid w:val="0051713B"/>
    <w:rsid w:val="0052007E"/>
    <w:rsid w:val="00520D1D"/>
    <w:rsid w:val="00521344"/>
    <w:rsid w:val="0052164F"/>
    <w:rsid w:val="005217F8"/>
    <w:rsid w:val="00521B64"/>
    <w:rsid w:val="00522317"/>
    <w:rsid w:val="005223DB"/>
    <w:rsid w:val="0052337A"/>
    <w:rsid w:val="005235E2"/>
    <w:rsid w:val="00523720"/>
    <w:rsid w:val="005243E8"/>
    <w:rsid w:val="00525137"/>
    <w:rsid w:val="005251DD"/>
    <w:rsid w:val="00525933"/>
    <w:rsid w:val="005259A8"/>
    <w:rsid w:val="00526DF6"/>
    <w:rsid w:val="00526FCE"/>
    <w:rsid w:val="00530D0C"/>
    <w:rsid w:val="005325DB"/>
    <w:rsid w:val="0053263A"/>
    <w:rsid w:val="00532CE7"/>
    <w:rsid w:val="00532E62"/>
    <w:rsid w:val="00532F43"/>
    <w:rsid w:val="0053324C"/>
    <w:rsid w:val="00533323"/>
    <w:rsid w:val="00533DAC"/>
    <w:rsid w:val="00533E77"/>
    <w:rsid w:val="00534644"/>
    <w:rsid w:val="00534A28"/>
    <w:rsid w:val="00534D01"/>
    <w:rsid w:val="00535403"/>
    <w:rsid w:val="00535514"/>
    <w:rsid w:val="00536E13"/>
    <w:rsid w:val="00536EE7"/>
    <w:rsid w:val="005370C0"/>
    <w:rsid w:val="00537F1F"/>
    <w:rsid w:val="00541508"/>
    <w:rsid w:val="00542F0D"/>
    <w:rsid w:val="00543409"/>
    <w:rsid w:val="00543498"/>
    <w:rsid w:val="00544315"/>
    <w:rsid w:val="00545290"/>
    <w:rsid w:val="00545512"/>
    <w:rsid w:val="00545834"/>
    <w:rsid w:val="005467BD"/>
    <w:rsid w:val="00547D28"/>
    <w:rsid w:val="005502CF"/>
    <w:rsid w:val="00550D51"/>
    <w:rsid w:val="005515C5"/>
    <w:rsid w:val="00552952"/>
    <w:rsid w:val="0055298F"/>
    <w:rsid w:val="00552F16"/>
    <w:rsid w:val="00553016"/>
    <w:rsid w:val="00554DC2"/>
    <w:rsid w:val="005552D3"/>
    <w:rsid w:val="00555943"/>
    <w:rsid w:val="0055599F"/>
    <w:rsid w:val="00556995"/>
    <w:rsid w:val="00556D68"/>
    <w:rsid w:val="00557C98"/>
    <w:rsid w:val="00560AAF"/>
    <w:rsid w:val="0056129B"/>
    <w:rsid w:val="005624E3"/>
    <w:rsid w:val="00562CFC"/>
    <w:rsid w:val="0056347F"/>
    <w:rsid w:val="00563EB8"/>
    <w:rsid w:val="005647BF"/>
    <w:rsid w:val="0056486D"/>
    <w:rsid w:val="00564AF1"/>
    <w:rsid w:val="00564F39"/>
    <w:rsid w:val="0056516B"/>
    <w:rsid w:val="0056601A"/>
    <w:rsid w:val="005675BA"/>
    <w:rsid w:val="00570868"/>
    <w:rsid w:val="00571D4F"/>
    <w:rsid w:val="005722EB"/>
    <w:rsid w:val="0057364B"/>
    <w:rsid w:val="00574773"/>
    <w:rsid w:val="005763D0"/>
    <w:rsid w:val="00576DB1"/>
    <w:rsid w:val="00577F85"/>
    <w:rsid w:val="005803F3"/>
    <w:rsid w:val="0058050D"/>
    <w:rsid w:val="005825E4"/>
    <w:rsid w:val="0058308D"/>
    <w:rsid w:val="0058383C"/>
    <w:rsid w:val="00583FFD"/>
    <w:rsid w:val="00584678"/>
    <w:rsid w:val="0058472C"/>
    <w:rsid w:val="00584F6E"/>
    <w:rsid w:val="005853F9"/>
    <w:rsid w:val="00585C37"/>
    <w:rsid w:val="005860A7"/>
    <w:rsid w:val="00586645"/>
    <w:rsid w:val="00586801"/>
    <w:rsid w:val="00586C79"/>
    <w:rsid w:val="00587873"/>
    <w:rsid w:val="00591099"/>
    <w:rsid w:val="005911BE"/>
    <w:rsid w:val="0059174C"/>
    <w:rsid w:val="00592E71"/>
    <w:rsid w:val="00593152"/>
    <w:rsid w:val="00593455"/>
    <w:rsid w:val="00593649"/>
    <w:rsid w:val="005938E3"/>
    <w:rsid w:val="00593B81"/>
    <w:rsid w:val="00593F47"/>
    <w:rsid w:val="00594294"/>
    <w:rsid w:val="00595412"/>
    <w:rsid w:val="00596010"/>
    <w:rsid w:val="005A0C11"/>
    <w:rsid w:val="005A0DA4"/>
    <w:rsid w:val="005A0EF2"/>
    <w:rsid w:val="005A10F2"/>
    <w:rsid w:val="005A117B"/>
    <w:rsid w:val="005A14E8"/>
    <w:rsid w:val="005A2052"/>
    <w:rsid w:val="005A21E0"/>
    <w:rsid w:val="005A28FF"/>
    <w:rsid w:val="005A2F33"/>
    <w:rsid w:val="005A3003"/>
    <w:rsid w:val="005A30C1"/>
    <w:rsid w:val="005A327C"/>
    <w:rsid w:val="005A3DF8"/>
    <w:rsid w:val="005A4270"/>
    <w:rsid w:val="005A5113"/>
    <w:rsid w:val="005A5549"/>
    <w:rsid w:val="005A5960"/>
    <w:rsid w:val="005A609F"/>
    <w:rsid w:val="005A6ADC"/>
    <w:rsid w:val="005A6E72"/>
    <w:rsid w:val="005A7038"/>
    <w:rsid w:val="005A70B0"/>
    <w:rsid w:val="005B0A44"/>
    <w:rsid w:val="005B1010"/>
    <w:rsid w:val="005B121D"/>
    <w:rsid w:val="005B1FC6"/>
    <w:rsid w:val="005B2C13"/>
    <w:rsid w:val="005B2E23"/>
    <w:rsid w:val="005B3361"/>
    <w:rsid w:val="005B3CE6"/>
    <w:rsid w:val="005B4276"/>
    <w:rsid w:val="005B461B"/>
    <w:rsid w:val="005B650E"/>
    <w:rsid w:val="005B684D"/>
    <w:rsid w:val="005B70DB"/>
    <w:rsid w:val="005B720C"/>
    <w:rsid w:val="005C06ED"/>
    <w:rsid w:val="005C0E54"/>
    <w:rsid w:val="005C17A3"/>
    <w:rsid w:val="005C2609"/>
    <w:rsid w:val="005C3800"/>
    <w:rsid w:val="005C415F"/>
    <w:rsid w:val="005C45E1"/>
    <w:rsid w:val="005C4A78"/>
    <w:rsid w:val="005C4E8C"/>
    <w:rsid w:val="005C51EA"/>
    <w:rsid w:val="005C572E"/>
    <w:rsid w:val="005C63DE"/>
    <w:rsid w:val="005C6589"/>
    <w:rsid w:val="005C69C1"/>
    <w:rsid w:val="005C6CF0"/>
    <w:rsid w:val="005D0D46"/>
    <w:rsid w:val="005D1C83"/>
    <w:rsid w:val="005D2579"/>
    <w:rsid w:val="005D2CDA"/>
    <w:rsid w:val="005D4DDB"/>
    <w:rsid w:val="005D5600"/>
    <w:rsid w:val="005D5802"/>
    <w:rsid w:val="005D5B5E"/>
    <w:rsid w:val="005D67FE"/>
    <w:rsid w:val="005D7119"/>
    <w:rsid w:val="005D7241"/>
    <w:rsid w:val="005D7890"/>
    <w:rsid w:val="005D78EA"/>
    <w:rsid w:val="005E1A7A"/>
    <w:rsid w:val="005E1F82"/>
    <w:rsid w:val="005E274A"/>
    <w:rsid w:val="005E57C0"/>
    <w:rsid w:val="005E5E4D"/>
    <w:rsid w:val="005E6221"/>
    <w:rsid w:val="005E705E"/>
    <w:rsid w:val="005E7C78"/>
    <w:rsid w:val="005F0465"/>
    <w:rsid w:val="005F131C"/>
    <w:rsid w:val="005F18C5"/>
    <w:rsid w:val="005F19BD"/>
    <w:rsid w:val="005F19DB"/>
    <w:rsid w:val="005F3033"/>
    <w:rsid w:val="005F3374"/>
    <w:rsid w:val="005F3491"/>
    <w:rsid w:val="005F3EB1"/>
    <w:rsid w:val="005F3F91"/>
    <w:rsid w:val="005F46D8"/>
    <w:rsid w:val="005F5469"/>
    <w:rsid w:val="005F6E1D"/>
    <w:rsid w:val="005F73E7"/>
    <w:rsid w:val="00601755"/>
    <w:rsid w:val="00602444"/>
    <w:rsid w:val="00603FF5"/>
    <w:rsid w:val="00604307"/>
    <w:rsid w:val="00604792"/>
    <w:rsid w:val="0060487F"/>
    <w:rsid w:val="00604A3B"/>
    <w:rsid w:val="00604EAD"/>
    <w:rsid w:val="006057BE"/>
    <w:rsid w:val="00605D96"/>
    <w:rsid w:val="00606957"/>
    <w:rsid w:val="006104FB"/>
    <w:rsid w:val="006105C1"/>
    <w:rsid w:val="0061096C"/>
    <w:rsid w:val="00610A25"/>
    <w:rsid w:val="0061142E"/>
    <w:rsid w:val="00611CC2"/>
    <w:rsid w:val="00612A2F"/>
    <w:rsid w:val="00613469"/>
    <w:rsid w:val="0061390C"/>
    <w:rsid w:val="00615195"/>
    <w:rsid w:val="00615DB6"/>
    <w:rsid w:val="006162DC"/>
    <w:rsid w:val="006165E5"/>
    <w:rsid w:val="006167D7"/>
    <w:rsid w:val="00616997"/>
    <w:rsid w:val="00616E05"/>
    <w:rsid w:val="006206AF"/>
    <w:rsid w:val="00622275"/>
    <w:rsid w:val="00622E4E"/>
    <w:rsid w:val="00623178"/>
    <w:rsid w:val="006234F7"/>
    <w:rsid w:val="00623D49"/>
    <w:rsid w:val="00623DAE"/>
    <w:rsid w:val="00624093"/>
    <w:rsid w:val="00625F8F"/>
    <w:rsid w:val="006266AD"/>
    <w:rsid w:val="00626BF5"/>
    <w:rsid w:val="00626EDC"/>
    <w:rsid w:val="006273B9"/>
    <w:rsid w:val="00631232"/>
    <w:rsid w:val="006313A5"/>
    <w:rsid w:val="006322E1"/>
    <w:rsid w:val="0063327C"/>
    <w:rsid w:val="006340DD"/>
    <w:rsid w:val="00634144"/>
    <w:rsid w:val="00634272"/>
    <w:rsid w:val="00634573"/>
    <w:rsid w:val="00634F8F"/>
    <w:rsid w:val="00634FA8"/>
    <w:rsid w:val="006350D5"/>
    <w:rsid w:val="0063592B"/>
    <w:rsid w:val="006369C4"/>
    <w:rsid w:val="00637719"/>
    <w:rsid w:val="006404A7"/>
    <w:rsid w:val="006413CE"/>
    <w:rsid w:val="00641A8B"/>
    <w:rsid w:val="00642EAC"/>
    <w:rsid w:val="00642FA3"/>
    <w:rsid w:val="00643D6B"/>
    <w:rsid w:val="00643D99"/>
    <w:rsid w:val="006451E4"/>
    <w:rsid w:val="00645392"/>
    <w:rsid w:val="00645B33"/>
    <w:rsid w:val="006463B9"/>
    <w:rsid w:val="00647166"/>
    <w:rsid w:val="006509D3"/>
    <w:rsid w:val="00650DD6"/>
    <w:rsid w:val="006510BC"/>
    <w:rsid w:val="006516CB"/>
    <w:rsid w:val="00652C41"/>
    <w:rsid w:val="00653662"/>
    <w:rsid w:val="006554E9"/>
    <w:rsid w:val="00656FC8"/>
    <w:rsid w:val="00657168"/>
    <w:rsid w:val="006576BA"/>
    <w:rsid w:val="00657E87"/>
    <w:rsid w:val="00660023"/>
    <w:rsid w:val="00660072"/>
    <w:rsid w:val="00661C4F"/>
    <w:rsid w:val="006625C2"/>
    <w:rsid w:val="00662BD4"/>
    <w:rsid w:val="006630A1"/>
    <w:rsid w:val="00664803"/>
    <w:rsid w:val="0066504F"/>
    <w:rsid w:val="006658AB"/>
    <w:rsid w:val="00665BA4"/>
    <w:rsid w:val="00666906"/>
    <w:rsid w:val="00666AE9"/>
    <w:rsid w:val="00666DCD"/>
    <w:rsid w:val="006674B6"/>
    <w:rsid w:val="00667AF2"/>
    <w:rsid w:val="0067086B"/>
    <w:rsid w:val="006710C9"/>
    <w:rsid w:val="006712EC"/>
    <w:rsid w:val="00671407"/>
    <w:rsid w:val="006714DC"/>
    <w:rsid w:val="0067229E"/>
    <w:rsid w:val="00673247"/>
    <w:rsid w:val="006732EA"/>
    <w:rsid w:val="006741AC"/>
    <w:rsid w:val="00674D89"/>
    <w:rsid w:val="00675596"/>
    <w:rsid w:val="0067563A"/>
    <w:rsid w:val="00675E37"/>
    <w:rsid w:val="00676CA2"/>
    <w:rsid w:val="00676F28"/>
    <w:rsid w:val="006812CF"/>
    <w:rsid w:val="0068174E"/>
    <w:rsid w:val="00681C9F"/>
    <w:rsid w:val="00681DCE"/>
    <w:rsid w:val="006825E7"/>
    <w:rsid w:val="0068260E"/>
    <w:rsid w:val="006838AC"/>
    <w:rsid w:val="006840DA"/>
    <w:rsid w:val="006843C9"/>
    <w:rsid w:val="00685695"/>
    <w:rsid w:val="0068672C"/>
    <w:rsid w:val="0068697A"/>
    <w:rsid w:val="00687E97"/>
    <w:rsid w:val="00690FBB"/>
    <w:rsid w:val="00691046"/>
    <w:rsid w:val="00693265"/>
    <w:rsid w:val="00693CAA"/>
    <w:rsid w:val="00693FEC"/>
    <w:rsid w:val="006947DD"/>
    <w:rsid w:val="006947E3"/>
    <w:rsid w:val="0069490A"/>
    <w:rsid w:val="00694CC9"/>
    <w:rsid w:val="00694D9C"/>
    <w:rsid w:val="00695158"/>
    <w:rsid w:val="00695BEF"/>
    <w:rsid w:val="0069608D"/>
    <w:rsid w:val="006969F4"/>
    <w:rsid w:val="006977F6"/>
    <w:rsid w:val="00697A13"/>
    <w:rsid w:val="006A0211"/>
    <w:rsid w:val="006A0658"/>
    <w:rsid w:val="006A109C"/>
    <w:rsid w:val="006A1507"/>
    <w:rsid w:val="006A1528"/>
    <w:rsid w:val="006A15F2"/>
    <w:rsid w:val="006A1E43"/>
    <w:rsid w:val="006A1EB8"/>
    <w:rsid w:val="006A2056"/>
    <w:rsid w:val="006A211B"/>
    <w:rsid w:val="006A31AB"/>
    <w:rsid w:val="006A363D"/>
    <w:rsid w:val="006A3D17"/>
    <w:rsid w:val="006A5477"/>
    <w:rsid w:val="006A55AA"/>
    <w:rsid w:val="006A70B1"/>
    <w:rsid w:val="006B0F92"/>
    <w:rsid w:val="006B173A"/>
    <w:rsid w:val="006B1C9A"/>
    <w:rsid w:val="006B2AFD"/>
    <w:rsid w:val="006B32C8"/>
    <w:rsid w:val="006B344A"/>
    <w:rsid w:val="006B4367"/>
    <w:rsid w:val="006B436C"/>
    <w:rsid w:val="006B6C74"/>
    <w:rsid w:val="006B759B"/>
    <w:rsid w:val="006B78D8"/>
    <w:rsid w:val="006B7F88"/>
    <w:rsid w:val="006C055D"/>
    <w:rsid w:val="006C0BAC"/>
    <w:rsid w:val="006C0BE2"/>
    <w:rsid w:val="006C0E68"/>
    <w:rsid w:val="006C113F"/>
    <w:rsid w:val="006C123E"/>
    <w:rsid w:val="006C1752"/>
    <w:rsid w:val="006C1901"/>
    <w:rsid w:val="006C1957"/>
    <w:rsid w:val="006C398B"/>
    <w:rsid w:val="006C4460"/>
    <w:rsid w:val="006C4C0E"/>
    <w:rsid w:val="006C4ED6"/>
    <w:rsid w:val="006C56D4"/>
    <w:rsid w:val="006C6071"/>
    <w:rsid w:val="006C6924"/>
    <w:rsid w:val="006C70EB"/>
    <w:rsid w:val="006C7CA6"/>
    <w:rsid w:val="006D006E"/>
    <w:rsid w:val="006D0720"/>
    <w:rsid w:val="006D146C"/>
    <w:rsid w:val="006D1917"/>
    <w:rsid w:val="006D2077"/>
    <w:rsid w:val="006D2CB3"/>
    <w:rsid w:val="006D3E8A"/>
    <w:rsid w:val="006D4017"/>
    <w:rsid w:val="006D61F6"/>
    <w:rsid w:val="006D6FE6"/>
    <w:rsid w:val="006E1465"/>
    <w:rsid w:val="006E1709"/>
    <w:rsid w:val="006E279A"/>
    <w:rsid w:val="006E313B"/>
    <w:rsid w:val="006E3ACB"/>
    <w:rsid w:val="006E3C21"/>
    <w:rsid w:val="006E41EC"/>
    <w:rsid w:val="006E4254"/>
    <w:rsid w:val="006E4448"/>
    <w:rsid w:val="006E50F8"/>
    <w:rsid w:val="006E6A58"/>
    <w:rsid w:val="006E7227"/>
    <w:rsid w:val="006E7AAF"/>
    <w:rsid w:val="006F0002"/>
    <w:rsid w:val="006F12E9"/>
    <w:rsid w:val="006F2394"/>
    <w:rsid w:val="006F31C9"/>
    <w:rsid w:val="006F438E"/>
    <w:rsid w:val="006F5416"/>
    <w:rsid w:val="006F67E5"/>
    <w:rsid w:val="006F7076"/>
    <w:rsid w:val="006F71F3"/>
    <w:rsid w:val="00702368"/>
    <w:rsid w:val="00702448"/>
    <w:rsid w:val="007038CD"/>
    <w:rsid w:val="00703F77"/>
    <w:rsid w:val="00705242"/>
    <w:rsid w:val="007057B2"/>
    <w:rsid w:val="00706755"/>
    <w:rsid w:val="00706AD4"/>
    <w:rsid w:val="00707150"/>
    <w:rsid w:val="0070732E"/>
    <w:rsid w:val="00707CCC"/>
    <w:rsid w:val="00710078"/>
    <w:rsid w:val="00710229"/>
    <w:rsid w:val="007119E0"/>
    <w:rsid w:val="0071217E"/>
    <w:rsid w:val="0071371F"/>
    <w:rsid w:val="007140BE"/>
    <w:rsid w:val="007143B4"/>
    <w:rsid w:val="007150C7"/>
    <w:rsid w:val="0071517E"/>
    <w:rsid w:val="00717F5E"/>
    <w:rsid w:val="00720155"/>
    <w:rsid w:val="007204F0"/>
    <w:rsid w:val="00720C33"/>
    <w:rsid w:val="007211F5"/>
    <w:rsid w:val="00721212"/>
    <w:rsid w:val="00721E09"/>
    <w:rsid w:val="0072213B"/>
    <w:rsid w:val="0072313F"/>
    <w:rsid w:val="00723605"/>
    <w:rsid w:val="00723946"/>
    <w:rsid w:val="007240E2"/>
    <w:rsid w:val="00725BB5"/>
    <w:rsid w:val="00730517"/>
    <w:rsid w:val="00730996"/>
    <w:rsid w:val="00730AE8"/>
    <w:rsid w:val="00730F1B"/>
    <w:rsid w:val="00731EEE"/>
    <w:rsid w:val="0073215D"/>
    <w:rsid w:val="00733628"/>
    <w:rsid w:val="007342AC"/>
    <w:rsid w:val="00734E77"/>
    <w:rsid w:val="00735104"/>
    <w:rsid w:val="007357C1"/>
    <w:rsid w:val="007358C3"/>
    <w:rsid w:val="00736B32"/>
    <w:rsid w:val="0074009D"/>
    <w:rsid w:val="00740A88"/>
    <w:rsid w:val="00740BC7"/>
    <w:rsid w:val="00740CF5"/>
    <w:rsid w:val="00741493"/>
    <w:rsid w:val="007435D2"/>
    <w:rsid w:val="00743B7C"/>
    <w:rsid w:val="00743C34"/>
    <w:rsid w:val="00743C7A"/>
    <w:rsid w:val="007457F6"/>
    <w:rsid w:val="00746155"/>
    <w:rsid w:val="0074779B"/>
    <w:rsid w:val="00751A85"/>
    <w:rsid w:val="00752180"/>
    <w:rsid w:val="00752D71"/>
    <w:rsid w:val="00753CAB"/>
    <w:rsid w:val="00753EB4"/>
    <w:rsid w:val="007551EA"/>
    <w:rsid w:val="00755202"/>
    <w:rsid w:val="00755C4F"/>
    <w:rsid w:val="00755D3A"/>
    <w:rsid w:val="00756417"/>
    <w:rsid w:val="00756C54"/>
    <w:rsid w:val="00756EAB"/>
    <w:rsid w:val="00757754"/>
    <w:rsid w:val="007578D3"/>
    <w:rsid w:val="007579AE"/>
    <w:rsid w:val="00757EBE"/>
    <w:rsid w:val="00760522"/>
    <w:rsid w:val="0076097A"/>
    <w:rsid w:val="007609C6"/>
    <w:rsid w:val="00760EA4"/>
    <w:rsid w:val="00761361"/>
    <w:rsid w:val="0076175D"/>
    <w:rsid w:val="00763B85"/>
    <w:rsid w:val="00764344"/>
    <w:rsid w:val="00764744"/>
    <w:rsid w:val="0076521E"/>
    <w:rsid w:val="007653FB"/>
    <w:rsid w:val="00765C12"/>
    <w:rsid w:val="007661E9"/>
    <w:rsid w:val="00766359"/>
    <w:rsid w:val="007679B9"/>
    <w:rsid w:val="00770784"/>
    <w:rsid w:val="00770A8A"/>
    <w:rsid w:val="00770FC8"/>
    <w:rsid w:val="00773220"/>
    <w:rsid w:val="00773598"/>
    <w:rsid w:val="00773692"/>
    <w:rsid w:val="00774215"/>
    <w:rsid w:val="007745D4"/>
    <w:rsid w:val="00774C0A"/>
    <w:rsid w:val="00774D45"/>
    <w:rsid w:val="007755ED"/>
    <w:rsid w:val="00776169"/>
    <w:rsid w:val="00776527"/>
    <w:rsid w:val="00776EAB"/>
    <w:rsid w:val="00777CAB"/>
    <w:rsid w:val="00780903"/>
    <w:rsid w:val="00780EF1"/>
    <w:rsid w:val="00781D13"/>
    <w:rsid w:val="00781F7F"/>
    <w:rsid w:val="00782952"/>
    <w:rsid w:val="00782AD8"/>
    <w:rsid w:val="00783F21"/>
    <w:rsid w:val="00785275"/>
    <w:rsid w:val="00786429"/>
    <w:rsid w:val="0078669A"/>
    <w:rsid w:val="00786880"/>
    <w:rsid w:val="00787D37"/>
    <w:rsid w:val="00787E2A"/>
    <w:rsid w:val="00790711"/>
    <w:rsid w:val="00790764"/>
    <w:rsid w:val="0079124F"/>
    <w:rsid w:val="00791254"/>
    <w:rsid w:val="00791F56"/>
    <w:rsid w:val="007928AB"/>
    <w:rsid w:val="00793DB3"/>
    <w:rsid w:val="0079453C"/>
    <w:rsid w:val="00794677"/>
    <w:rsid w:val="007946E5"/>
    <w:rsid w:val="007956AB"/>
    <w:rsid w:val="00795928"/>
    <w:rsid w:val="00797445"/>
    <w:rsid w:val="007A0265"/>
    <w:rsid w:val="007A3861"/>
    <w:rsid w:val="007A4282"/>
    <w:rsid w:val="007A4577"/>
    <w:rsid w:val="007A4DEE"/>
    <w:rsid w:val="007A516D"/>
    <w:rsid w:val="007A60A6"/>
    <w:rsid w:val="007A72C3"/>
    <w:rsid w:val="007A7985"/>
    <w:rsid w:val="007B14DE"/>
    <w:rsid w:val="007B1827"/>
    <w:rsid w:val="007B23EC"/>
    <w:rsid w:val="007B4498"/>
    <w:rsid w:val="007B5212"/>
    <w:rsid w:val="007B6689"/>
    <w:rsid w:val="007C042D"/>
    <w:rsid w:val="007C17A1"/>
    <w:rsid w:val="007C20B2"/>
    <w:rsid w:val="007C222B"/>
    <w:rsid w:val="007C2D11"/>
    <w:rsid w:val="007C398F"/>
    <w:rsid w:val="007C4222"/>
    <w:rsid w:val="007C42C1"/>
    <w:rsid w:val="007C4955"/>
    <w:rsid w:val="007C6BBD"/>
    <w:rsid w:val="007C7252"/>
    <w:rsid w:val="007C7381"/>
    <w:rsid w:val="007D0B6E"/>
    <w:rsid w:val="007D13C8"/>
    <w:rsid w:val="007D223A"/>
    <w:rsid w:val="007D293C"/>
    <w:rsid w:val="007D318F"/>
    <w:rsid w:val="007D385F"/>
    <w:rsid w:val="007D3C6C"/>
    <w:rsid w:val="007D40DF"/>
    <w:rsid w:val="007D5AE6"/>
    <w:rsid w:val="007D713E"/>
    <w:rsid w:val="007D7DF1"/>
    <w:rsid w:val="007E10B7"/>
    <w:rsid w:val="007E11DF"/>
    <w:rsid w:val="007E1327"/>
    <w:rsid w:val="007E1FE8"/>
    <w:rsid w:val="007E29B4"/>
    <w:rsid w:val="007E2E22"/>
    <w:rsid w:val="007E435A"/>
    <w:rsid w:val="007E5052"/>
    <w:rsid w:val="007E5B38"/>
    <w:rsid w:val="007E5C29"/>
    <w:rsid w:val="007E6A6D"/>
    <w:rsid w:val="007E76C3"/>
    <w:rsid w:val="007E79DF"/>
    <w:rsid w:val="007E7DD7"/>
    <w:rsid w:val="007E7E61"/>
    <w:rsid w:val="007E7FCE"/>
    <w:rsid w:val="007F0076"/>
    <w:rsid w:val="007F02BF"/>
    <w:rsid w:val="007F0845"/>
    <w:rsid w:val="007F1D19"/>
    <w:rsid w:val="007F2276"/>
    <w:rsid w:val="007F2FC9"/>
    <w:rsid w:val="007F3C5C"/>
    <w:rsid w:val="007F4FAD"/>
    <w:rsid w:val="007F6133"/>
    <w:rsid w:val="007F6CA3"/>
    <w:rsid w:val="007F6DCB"/>
    <w:rsid w:val="007F708D"/>
    <w:rsid w:val="007F74C4"/>
    <w:rsid w:val="007F7CA0"/>
    <w:rsid w:val="00800216"/>
    <w:rsid w:val="00800A3B"/>
    <w:rsid w:val="0080170D"/>
    <w:rsid w:val="00801C76"/>
    <w:rsid w:val="00801E13"/>
    <w:rsid w:val="008031D4"/>
    <w:rsid w:val="00804202"/>
    <w:rsid w:val="00804252"/>
    <w:rsid w:val="00804B15"/>
    <w:rsid w:val="00804BA6"/>
    <w:rsid w:val="008068B1"/>
    <w:rsid w:val="00806CCE"/>
    <w:rsid w:val="00807365"/>
    <w:rsid w:val="00807C82"/>
    <w:rsid w:val="00810C82"/>
    <w:rsid w:val="00811E1D"/>
    <w:rsid w:val="00811EC3"/>
    <w:rsid w:val="00812141"/>
    <w:rsid w:val="00813F1A"/>
    <w:rsid w:val="008143E9"/>
    <w:rsid w:val="008145C6"/>
    <w:rsid w:val="008147D5"/>
    <w:rsid w:val="00814B15"/>
    <w:rsid w:val="008161A3"/>
    <w:rsid w:val="00816905"/>
    <w:rsid w:val="00817E55"/>
    <w:rsid w:val="00820D37"/>
    <w:rsid w:val="00820E1C"/>
    <w:rsid w:val="0082132C"/>
    <w:rsid w:val="00821373"/>
    <w:rsid w:val="0082151E"/>
    <w:rsid w:val="0082159F"/>
    <w:rsid w:val="00821777"/>
    <w:rsid w:val="00821C44"/>
    <w:rsid w:val="00821FF6"/>
    <w:rsid w:val="00822574"/>
    <w:rsid w:val="00822BB6"/>
    <w:rsid w:val="00822EE1"/>
    <w:rsid w:val="0082342B"/>
    <w:rsid w:val="0082466B"/>
    <w:rsid w:val="0082526C"/>
    <w:rsid w:val="00825C4D"/>
    <w:rsid w:val="00825CC3"/>
    <w:rsid w:val="00826D39"/>
    <w:rsid w:val="008304D1"/>
    <w:rsid w:val="0083071E"/>
    <w:rsid w:val="0083078E"/>
    <w:rsid w:val="00830824"/>
    <w:rsid w:val="008308D5"/>
    <w:rsid w:val="00830D03"/>
    <w:rsid w:val="0083143E"/>
    <w:rsid w:val="00831631"/>
    <w:rsid w:val="00831CDE"/>
    <w:rsid w:val="00832736"/>
    <w:rsid w:val="00833097"/>
    <w:rsid w:val="00833F17"/>
    <w:rsid w:val="00834304"/>
    <w:rsid w:val="00834FAA"/>
    <w:rsid w:val="0083516C"/>
    <w:rsid w:val="00836086"/>
    <w:rsid w:val="008403BB"/>
    <w:rsid w:val="00840DD4"/>
    <w:rsid w:val="00842B6F"/>
    <w:rsid w:val="008439CC"/>
    <w:rsid w:val="00843A14"/>
    <w:rsid w:val="00843FE9"/>
    <w:rsid w:val="0084472B"/>
    <w:rsid w:val="008456E4"/>
    <w:rsid w:val="00845CD7"/>
    <w:rsid w:val="00846121"/>
    <w:rsid w:val="008462A8"/>
    <w:rsid w:val="008464C4"/>
    <w:rsid w:val="0084708F"/>
    <w:rsid w:val="008477C8"/>
    <w:rsid w:val="00847963"/>
    <w:rsid w:val="00850815"/>
    <w:rsid w:val="0085114D"/>
    <w:rsid w:val="0085194F"/>
    <w:rsid w:val="00852217"/>
    <w:rsid w:val="00852C9C"/>
    <w:rsid w:val="008534B7"/>
    <w:rsid w:val="00853B8D"/>
    <w:rsid w:val="00854B29"/>
    <w:rsid w:val="00854F24"/>
    <w:rsid w:val="00855408"/>
    <w:rsid w:val="00855712"/>
    <w:rsid w:val="00856D65"/>
    <w:rsid w:val="00856FA5"/>
    <w:rsid w:val="008575BE"/>
    <w:rsid w:val="00860454"/>
    <w:rsid w:val="008606F3"/>
    <w:rsid w:val="00860E39"/>
    <w:rsid w:val="0086148F"/>
    <w:rsid w:val="00861B41"/>
    <w:rsid w:val="00861BE3"/>
    <w:rsid w:val="00863434"/>
    <w:rsid w:val="00864382"/>
    <w:rsid w:val="00864386"/>
    <w:rsid w:val="008644C3"/>
    <w:rsid w:val="008649BC"/>
    <w:rsid w:val="00865D45"/>
    <w:rsid w:val="00865E4C"/>
    <w:rsid w:val="00867414"/>
    <w:rsid w:val="008701E4"/>
    <w:rsid w:val="0087052A"/>
    <w:rsid w:val="00871069"/>
    <w:rsid w:val="008715A3"/>
    <w:rsid w:val="00872C9A"/>
    <w:rsid w:val="008734A8"/>
    <w:rsid w:val="008734E6"/>
    <w:rsid w:val="008736BF"/>
    <w:rsid w:val="008738FC"/>
    <w:rsid w:val="00875473"/>
    <w:rsid w:val="00875A32"/>
    <w:rsid w:val="00876086"/>
    <w:rsid w:val="008766AC"/>
    <w:rsid w:val="00876995"/>
    <w:rsid w:val="008774C1"/>
    <w:rsid w:val="00877928"/>
    <w:rsid w:val="00877BEC"/>
    <w:rsid w:val="008809C2"/>
    <w:rsid w:val="008813CE"/>
    <w:rsid w:val="00881EAF"/>
    <w:rsid w:val="008825B0"/>
    <w:rsid w:val="0088317A"/>
    <w:rsid w:val="0088395C"/>
    <w:rsid w:val="00884AD6"/>
    <w:rsid w:val="00884D49"/>
    <w:rsid w:val="00884EC7"/>
    <w:rsid w:val="00884F46"/>
    <w:rsid w:val="00885509"/>
    <w:rsid w:val="008870F7"/>
    <w:rsid w:val="008871FC"/>
    <w:rsid w:val="008873D4"/>
    <w:rsid w:val="0088793E"/>
    <w:rsid w:val="00890D6D"/>
    <w:rsid w:val="0089126C"/>
    <w:rsid w:val="0089151D"/>
    <w:rsid w:val="0089296D"/>
    <w:rsid w:val="00893119"/>
    <w:rsid w:val="00893404"/>
    <w:rsid w:val="00893E85"/>
    <w:rsid w:val="00894031"/>
    <w:rsid w:val="008942C9"/>
    <w:rsid w:val="00895508"/>
    <w:rsid w:val="0089588A"/>
    <w:rsid w:val="00896167"/>
    <w:rsid w:val="008965B7"/>
    <w:rsid w:val="00896807"/>
    <w:rsid w:val="00897F41"/>
    <w:rsid w:val="008A0BBE"/>
    <w:rsid w:val="008A1483"/>
    <w:rsid w:val="008A2099"/>
    <w:rsid w:val="008A28CE"/>
    <w:rsid w:val="008A3594"/>
    <w:rsid w:val="008A3D77"/>
    <w:rsid w:val="008A473C"/>
    <w:rsid w:val="008A6493"/>
    <w:rsid w:val="008A6CB4"/>
    <w:rsid w:val="008B09A7"/>
    <w:rsid w:val="008B13FE"/>
    <w:rsid w:val="008B1FA6"/>
    <w:rsid w:val="008B258B"/>
    <w:rsid w:val="008B2877"/>
    <w:rsid w:val="008B3A79"/>
    <w:rsid w:val="008B4833"/>
    <w:rsid w:val="008B4FCF"/>
    <w:rsid w:val="008B4FD8"/>
    <w:rsid w:val="008B542E"/>
    <w:rsid w:val="008B59B2"/>
    <w:rsid w:val="008B5CF6"/>
    <w:rsid w:val="008B5E01"/>
    <w:rsid w:val="008B5F6A"/>
    <w:rsid w:val="008B7103"/>
    <w:rsid w:val="008B768D"/>
    <w:rsid w:val="008B76AB"/>
    <w:rsid w:val="008B7C02"/>
    <w:rsid w:val="008B7D2B"/>
    <w:rsid w:val="008C0049"/>
    <w:rsid w:val="008C054D"/>
    <w:rsid w:val="008C0A0B"/>
    <w:rsid w:val="008C0B3A"/>
    <w:rsid w:val="008C0E29"/>
    <w:rsid w:val="008C0E88"/>
    <w:rsid w:val="008C1968"/>
    <w:rsid w:val="008C2537"/>
    <w:rsid w:val="008C3953"/>
    <w:rsid w:val="008C3ED5"/>
    <w:rsid w:val="008C4486"/>
    <w:rsid w:val="008C53CB"/>
    <w:rsid w:val="008C6CF4"/>
    <w:rsid w:val="008C6FD4"/>
    <w:rsid w:val="008C713F"/>
    <w:rsid w:val="008C762C"/>
    <w:rsid w:val="008D07B9"/>
    <w:rsid w:val="008D1BA1"/>
    <w:rsid w:val="008D1E6A"/>
    <w:rsid w:val="008D2A16"/>
    <w:rsid w:val="008D2F53"/>
    <w:rsid w:val="008D38B6"/>
    <w:rsid w:val="008D3BDF"/>
    <w:rsid w:val="008D5398"/>
    <w:rsid w:val="008D5792"/>
    <w:rsid w:val="008D60FD"/>
    <w:rsid w:val="008D632C"/>
    <w:rsid w:val="008D6B35"/>
    <w:rsid w:val="008D6C14"/>
    <w:rsid w:val="008D75D9"/>
    <w:rsid w:val="008D792D"/>
    <w:rsid w:val="008E163D"/>
    <w:rsid w:val="008E215D"/>
    <w:rsid w:val="008E2C57"/>
    <w:rsid w:val="008E31FF"/>
    <w:rsid w:val="008E3D12"/>
    <w:rsid w:val="008E3E9D"/>
    <w:rsid w:val="008E4A7C"/>
    <w:rsid w:val="008E582C"/>
    <w:rsid w:val="008E6542"/>
    <w:rsid w:val="008E6F06"/>
    <w:rsid w:val="008E6F24"/>
    <w:rsid w:val="008E6F8B"/>
    <w:rsid w:val="008E72A6"/>
    <w:rsid w:val="008E7336"/>
    <w:rsid w:val="008E77B5"/>
    <w:rsid w:val="008E7FC9"/>
    <w:rsid w:val="008F029B"/>
    <w:rsid w:val="008F100E"/>
    <w:rsid w:val="008F16B9"/>
    <w:rsid w:val="008F1D0A"/>
    <w:rsid w:val="008F3FC9"/>
    <w:rsid w:val="008F4380"/>
    <w:rsid w:val="008F4B7F"/>
    <w:rsid w:val="008F4F78"/>
    <w:rsid w:val="008F585B"/>
    <w:rsid w:val="008F5E37"/>
    <w:rsid w:val="008F5EC9"/>
    <w:rsid w:val="008F63C8"/>
    <w:rsid w:val="008F6CE6"/>
    <w:rsid w:val="008F75BE"/>
    <w:rsid w:val="008F75C5"/>
    <w:rsid w:val="008F7E77"/>
    <w:rsid w:val="009003A8"/>
    <w:rsid w:val="0090149C"/>
    <w:rsid w:val="00901518"/>
    <w:rsid w:val="0090157D"/>
    <w:rsid w:val="00901BCC"/>
    <w:rsid w:val="0090225A"/>
    <w:rsid w:val="00902500"/>
    <w:rsid w:val="009029A4"/>
    <w:rsid w:val="00902EFF"/>
    <w:rsid w:val="00903165"/>
    <w:rsid w:val="00903C11"/>
    <w:rsid w:val="00906401"/>
    <w:rsid w:val="0090651C"/>
    <w:rsid w:val="00907C10"/>
    <w:rsid w:val="0091155E"/>
    <w:rsid w:val="00911F27"/>
    <w:rsid w:val="00912A92"/>
    <w:rsid w:val="00914878"/>
    <w:rsid w:val="00914968"/>
    <w:rsid w:val="00914A3D"/>
    <w:rsid w:val="00916567"/>
    <w:rsid w:val="009165A2"/>
    <w:rsid w:val="00916AF7"/>
    <w:rsid w:val="00916BC1"/>
    <w:rsid w:val="00917170"/>
    <w:rsid w:val="0091728D"/>
    <w:rsid w:val="0092180B"/>
    <w:rsid w:val="00921F14"/>
    <w:rsid w:val="00922EC2"/>
    <w:rsid w:val="009231A3"/>
    <w:rsid w:val="00923FAC"/>
    <w:rsid w:val="00924097"/>
    <w:rsid w:val="009246F6"/>
    <w:rsid w:val="00924751"/>
    <w:rsid w:val="00924AC8"/>
    <w:rsid w:val="0092597A"/>
    <w:rsid w:val="00925E75"/>
    <w:rsid w:val="00927E8F"/>
    <w:rsid w:val="00930992"/>
    <w:rsid w:val="00930FB1"/>
    <w:rsid w:val="0093139F"/>
    <w:rsid w:val="00932443"/>
    <w:rsid w:val="00932AC9"/>
    <w:rsid w:val="009343AD"/>
    <w:rsid w:val="00934464"/>
    <w:rsid w:val="00934B5F"/>
    <w:rsid w:val="00936F50"/>
    <w:rsid w:val="0093790E"/>
    <w:rsid w:val="00937AE2"/>
    <w:rsid w:val="00940484"/>
    <w:rsid w:val="00941E15"/>
    <w:rsid w:val="00942ACC"/>
    <w:rsid w:val="00943853"/>
    <w:rsid w:val="0094427A"/>
    <w:rsid w:val="00944A35"/>
    <w:rsid w:val="00945245"/>
    <w:rsid w:val="009452D0"/>
    <w:rsid w:val="00947CEF"/>
    <w:rsid w:val="00950CC1"/>
    <w:rsid w:val="00951CB1"/>
    <w:rsid w:val="00953E53"/>
    <w:rsid w:val="00954FD6"/>
    <w:rsid w:val="00955E5A"/>
    <w:rsid w:val="00956572"/>
    <w:rsid w:val="00957309"/>
    <w:rsid w:val="0095759C"/>
    <w:rsid w:val="009607C5"/>
    <w:rsid w:val="00961532"/>
    <w:rsid w:val="00961BD9"/>
    <w:rsid w:val="0096307C"/>
    <w:rsid w:val="00963AB3"/>
    <w:rsid w:val="0096593B"/>
    <w:rsid w:val="009659E1"/>
    <w:rsid w:val="00965EEF"/>
    <w:rsid w:val="0096666B"/>
    <w:rsid w:val="00966940"/>
    <w:rsid w:val="00966E1F"/>
    <w:rsid w:val="0096774F"/>
    <w:rsid w:val="00967E1B"/>
    <w:rsid w:val="00967E76"/>
    <w:rsid w:val="00970716"/>
    <w:rsid w:val="00970DF4"/>
    <w:rsid w:val="009714FD"/>
    <w:rsid w:val="00971519"/>
    <w:rsid w:val="00972129"/>
    <w:rsid w:val="009721DB"/>
    <w:rsid w:val="0097239B"/>
    <w:rsid w:val="00973107"/>
    <w:rsid w:val="00974071"/>
    <w:rsid w:val="009748DF"/>
    <w:rsid w:val="00974923"/>
    <w:rsid w:val="00974AEB"/>
    <w:rsid w:val="00975BF2"/>
    <w:rsid w:val="009808F7"/>
    <w:rsid w:val="00980D3D"/>
    <w:rsid w:val="00980F3E"/>
    <w:rsid w:val="00981177"/>
    <w:rsid w:val="00981FFA"/>
    <w:rsid w:val="00983035"/>
    <w:rsid w:val="0098378C"/>
    <w:rsid w:val="00985569"/>
    <w:rsid w:val="009855E1"/>
    <w:rsid w:val="00986D06"/>
    <w:rsid w:val="00987A30"/>
    <w:rsid w:val="00990102"/>
    <w:rsid w:val="00991E07"/>
    <w:rsid w:val="00992CF3"/>
    <w:rsid w:val="00993BEF"/>
    <w:rsid w:val="00993C2A"/>
    <w:rsid w:val="0099450E"/>
    <w:rsid w:val="00994868"/>
    <w:rsid w:val="0099574A"/>
    <w:rsid w:val="00995C6D"/>
    <w:rsid w:val="00995C95"/>
    <w:rsid w:val="00995D56"/>
    <w:rsid w:val="009967F2"/>
    <w:rsid w:val="009968D6"/>
    <w:rsid w:val="00996A53"/>
    <w:rsid w:val="00996DBD"/>
    <w:rsid w:val="00997F37"/>
    <w:rsid w:val="009A0AD3"/>
    <w:rsid w:val="009A1761"/>
    <w:rsid w:val="009A1CAB"/>
    <w:rsid w:val="009A1DEB"/>
    <w:rsid w:val="009A28B2"/>
    <w:rsid w:val="009A2E25"/>
    <w:rsid w:val="009A461A"/>
    <w:rsid w:val="009A4E7B"/>
    <w:rsid w:val="009A60D1"/>
    <w:rsid w:val="009A643E"/>
    <w:rsid w:val="009A795A"/>
    <w:rsid w:val="009B0AC7"/>
    <w:rsid w:val="009B0AFB"/>
    <w:rsid w:val="009B2633"/>
    <w:rsid w:val="009B263B"/>
    <w:rsid w:val="009B2896"/>
    <w:rsid w:val="009B2C7D"/>
    <w:rsid w:val="009B4034"/>
    <w:rsid w:val="009B475E"/>
    <w:rsid w:val="009B48C0"/>
    <w:rsid w:val="009B49B1"/>
    <w:rsid w:val="009B6508"/>
    <w:rsid w:val="009B6F12"/>
    <w:rsid w:val="009B6FD3"/>
    <w:rsid w:val="009B7BED"/>
    <w:rsid w:val="009B7C76"/>
    <w:rsid w:val="009B7E27"/>
    <w:rsid w:val="009C02C3"/>
    <w:rsid w:val="009C0956"/>
    <w:rsid w:val="009C1750"/>
    <w:rsid w:val="009C1C14"/>
    <w:rsid w:val="009C2ACA"/>
    <w:rsid w:val="009C2E29"/>
    <w:rsid w:val="009C3F5D"/>
    <w:rsid w:val="009C3F70"/>
    <w:rsid w:val="009C4883"/>
    <w:rsid w:val="009C4EC5"/>
    <w:rsid w:val="009C554B"/>
    <w:rsid w:val="009C58CC"/>
    <w:rsid w:val="009C59D0"/>
    <w:rsid w:val="009C61F3"/>
    <w:rsid w:val="009C6352"/>
    <w:rsid w:val="009C65DC"/>
    <w:rsid w:val="009C6EF9"/>
    <w:rsid w:val="009C719E"/>
    <w:rsid w:val="009C7240"/>
    <w:rsid w:val="009C7A10"/>
    <w:rsid w:val="009C7E11"/>
    <w:rsid w:val="009D1120"/>
    <w:rsid w:val="009D14F4"/>
    <w:rsid w:val="009D201B"/>
    <w:rsid w:val="009D24D5"/>
    <w:rsid w:val="009D29DB"/>
    <w:rsid w:val="009D3803"/>
    <w:rsid w:val="009D3ACD"/>
    <w:rsid w:val="009D3B3F"/>
    <w:rsid w:val="009D4785"/>
    <w:rsid w:val="009D5649"/>
    <w:rsid w:val="009D7FC6"/>
    <w:rsid w:val="009E0CDF"/>
    <w:rsid w:val="009E16C0"/>
    <w:rsid w:val="009E1988"/>
    <w:rsid w:val="009E33BB"/>
    <w:rsid w:val="009E3AF1"/>
    <w:rsid w:val="009E4927"/>
    <w:rsid w:val="009E5127"/>
    <w:rsid w:val="009E5273"/>
    <w:rsid w:val="009E5685"/>
    <w:rsid w:val="009E5AD5"/>
    <w:rsid w:val="009E5DDB"/>
    <w:rsid w:val="009E7F05"/>
    <w:rsid w:val="009F034E"/>
    <w:rsid w:val="009F46B7"/>
    <w:rsid w:val="009F4CA7"/>
    <w:rsid w:val="009F563F"/>
    <w:rsid w:val="009F7558"/>
    <w:rsid w:val="009F791A"/>
    <w:rsid w:val="00A00CEF"/>
    <w:rsid w:val="00A0156B"/>
    <w:rsid w:val="00A022B7"/>
    <w:rsid w:val="00A03BF3"/>
    <w:rsid w:val="00A0406E"/>
    <w:rsid w:val="00A044C1"/>
    <w:rsid w:val="00A044D8"/>
    <w:rsid w:val="00A04CEF"/>
    <w:rsid w:val="00A06374"/>
    <w:rsid w:val="00A0642E"/>
    <w:rsid w:val="00A077E2"/>
    <w:rsid w:val="00A10BE6"/>
    <w:rsid w:val="00A10D66"/>
    <w:rsid w:val="00A10D89"/>
    <w:rsid w:val="00A12306"/>
    <w:rsid w:val="00A12CAE"/>
    <w:rsid w:val="00A13BDB"/>
    <w:rsid w:val="00A14114"/>
    <w:rsid w:val="00A144BA"/>
    <w:rsid w:val="00A14995"/>
    <w:rsid w:val="00A1537C"/>
    <w:rsid w:val="00A16413"/>
    <w:rsid w:val="00A1684E"/>
    <w:rsid w:val="00A16E1D"/>
    <w:rsid w:val="00A178D0"/>
    <w:rsid w:val="00A17918"/>
    <w:rsid w:val="00A17A35"/>
    <w:rsid w:val="00A17D5B"/>
    <w:rsid w:val="00A17EB2"/>
    <w:rsid w:val="00A206E5"/>
    <w:rsid w:val="00A20CC0"/>
    <w:rsid w:val="00A2141F"/>
    <w:rsid w:val="00A21D25"/>
    <w:rsid w:val="00A220CB"/>
    <w:rsid w:val="00A22C64"/>
    <w:rsid w:val="00A22DA7"/>
    <w:rsid w:val="00A23447"/>
    <w:rsid w:val="00A23E43"/>
    <w:rsid w:val="00A24A80"/>
    <w:rsid w:val="00A25216"/>
    <w:rsid w:val="00A25477"/>
    <w:rsid w:val="00A25DB9"/>
    <w:rsid w:val="00A25DC6"/>
    <w:rsid w:val="00A267EF"/>
    <w:rsid w:val="00A30825"/>
    <w:rsid w:val="00A30D32"/>
    <w:rsid w:val="00A30D6F"/>
    <w:rsid w:val="00A30DE7"/>
    <w:rsid w:val="00A30F65"/>
    <w:rsid w:val="00A318DC"/>
    <w:rsid w:val="00A32BF2"/>
    <w:rsid w:val="00A33549"/>
    <w:rsid w:val="00A33814"/>
    <w:rsid w:val="00A33A89"/>
    <w:rsid w:val="00A33FC9"/>
    <w:rsid w:val="00A349DB"/>
    <w:rsid w:val="00A34D27"/>
    <w:rsid w:val="00A37C50"/>
    <w:rsid w:val="00A40373"/>
    <w:rsid w:val="00A40A0B"/>
    <w:rsid w:val="00A40A92"/>
    <w:rsid w:val="00A40EAC"/>
    <w:rsid w:val="00A40EDD"/>
    <w:rsid w:val="00A418BC"/>
    <w:rsid w:val="00A4206C"/>
    <w:rsid w:val="00A4279D"/>
    <w:rsid w:val="00A4346A"/>
    <w:rsid w:val="00A44D0C"/>
    <w:rsid w:val="00A4632B"/>
    <w:rsid w:val="00A46DE0"/>
    <w:rsid w:val="00A472EB"/>
    <w:rsid w:val="00A47FCA"/>
    <w:rsid w:val="00A50D73"/>
    <w:rsid w:val="00A51070"/>
    <w:rsid w:val="00A527E8"/>
    <w:rsid w:val="00A52CAD"/>
    <w:rsid w:val="00A53458"/>
    <w:rsid w:val="00A53FC7"/>
    <w:rsid w:val="00A5402E"/>
    <w:rsid w:val="00A54275"/>
    <w:rsid w:val="00A55208"/>
    <w:rsid w:val="00A563D1"/>
    <w:rsid w:val="00A57C75"/>
    <w:rsid w:val="00A601C4"/>
    <w:rsid w:val="00A6051A"/>
    <w:rsid w:val="00A60799"/>
    <w:rsid w:val="00A6118B"/>
    <w:rsid w:val="00A61B63"/>
    <w:rsid w:val="00A6238E"/>
    <w:rsid w:val="00A62CE1"/>
    <w:rsid w:val="00A63C9B"/>
    <w:rsid w:val="00A64380"/>
    <w:rsid w:val="00A64B59"/>
    <w:rsid w:val="00A668A3"/>
    <w:rsid w:val="00A66F56"/>
    <w:rsid w:val="00A6741E"/>
    <w:rsid w:val="00A73109"/>
    <w:rsid w:val="00A73C0E"/>
    <w:rsid w:val="00A74EBD"/>
    <w:rsid w:val="00A754EA"/>
    <w:rsid w:val="00A75E40"/>
    <w:rsid w:val="00A765FD"/>
    <w:rsid w:val="00A76AF7"/>
    <w:rsid w:val="00A770F4"/>
    <w:rsid w:val="00A77D1D"/>
    <w:rsid w:val="00A82A8A"/>
    <w:rsid w:val="00A8349D"/>
    <w:rsid w:val="00A83B53"/>
    <w:rsid w:val="00A8449B"/>
    <w:rsid w:val="00A84A6A"/>
    <w:rsid w:val="00A857C0"/>
    <w:rsid w:val="00A85B5F"/>
    <w:rsid w:val="00A87F87"/>
    <w:rsid w:val="00A90FED"/>
    <w:rsid w:val="00A915C7"/>
    <w:rsid w:val="00A91AAB"/>
    <w:rsid w:val="00A91C1B"/>
    <w:rsid w:val="00A91EF3"/>
    <w:rsid w:val="00A94174"/>
    <w:rsid w:val="00A941F8"/>
    <w:rsid w:val="00A94ED2"/>
    <w:rsid w:val="00A95478"/>
    <w:rsid w:val="00A958F0"/>
    <w:rsid w:val="00A96371"/>
    <w:rsid w:val="00A97E48"/>
    <w:rsid w:val="00AA0591"/>
    <w:rsid w:val="00AA0ABE"/>
    <w:rsid w:val="00AA2996"/>
    <w:rsid w:val="00AA2A70"/>
    <w:rsid w:val="00AA2DA1"/>
    <w:rsid w:val="00AA4B30"/>
    <w:rsid w:val="00AA52BF"/>
    <w:rsid w:val="00AA559A"/>
    <w:rsid w:val="00AA58D7"/>
    <w:rsid w:val="00AA6953"/>
    <w:rsid w:val="00AA765D"/>
    <w:rsid w:val="00AB235A"/>
    <w:rsid w:val="00AB2AF1"/>
    <w:rsid w:val="00AB32CC"/>
    <w:rsid w:val="00AB5242"/>
    <w:rsid w:val="00AB535B"/>
    <w:rsid w:val="00AB63D5"/>
    <w:rsid w:val="00AB7936"/>
    <w:rsid w:val="00AB7F52"/>
    <w:rsid w:val="00AB7FE4"/>
    <w:rsid w:val="00AC45BD"/>
    <w:rsid w:val="00AC5791"/>
    <w:rsid w:val="00AC633A"/>
    <w:rsid w:val="00AC634C"/>
    <w:rsid w:val="00AC6D7C"/>
    <w:rsid w:val="00AC6D9A"/>
    <w:rsid w:val="00AC73C6"/>
    <w:rsid w:val="00AD0FBF"/>
    <w:rsid w:val="00AD101F"/>
    <w:rsid w:val="00AD1543"/>
    <w:rsid w:val="00AD15BB"/>
    <w:rsid w:val="00AD168E"/>
    <w:rsid w:val="00AD1DA1"/>
    <w:rsid w:val="00AD1E15"/>
    <w:rsid w:val="00AD2A17"/>
    <w:rsid w:val="00AD2BF6"/>
    <w:rsid w:val="00AD306C"/>
    <w:rsid w:val="00AD3EB3"/>
    <w:rsid w:val="00AD4F16"/>
    <w:rsid w:val="00AD4FC5"/>
    <w:rsid w:val="00AD5152"/>
    <w:rsid w:val="00AD5323"/>
    <w:rsid w:val="00AD5B55"/>
    <w:rsid w:val="00AD5D52"/>
    <w:rsid w:val="00AD5E10"/>
    <w:rsid w:val="00AD68C4"/>
    <w:rsid w:val="00AD7A0A"/>
    <w:rsid w:val="00AE01AE"/>
    <w:rsid w:val="00AE09B3"/>
    <w:rsid w:val="00AE0ED3"/>
    <w:rsid w:val="00AE153F"/>
    <w:rsid w:val="00AE1585"/>
    <w:rsid w:val="00AE1A2E"/>
    <w:rsid w:val="00AE1A83"/>
    <w:rsid w:val="00AE31A7"/>
    <w:rsid w:val="00AE39CE"/>
    <w:rsid w:val="00AE5CB9"/>
    <w:rsid w:val="00AE63ED"/>
    <w:rsid w:val="00AE678D"/>
    <w:rsid w:val="00AF1DE9"/>
    <w:rsid w:val="00AF24F1"/>
    <w:rsid w:val="00AF2CC1"/>
    <w:rsid w:val="00AF3683"/>
    <w:rsid w:val="00AF3D9E"/>
    <w:rsid w:val="00AF4D60"/>
    <w:rsid w:val="00AF5579"/>
    <w:rsid w:val="00AF5911"/>
    <w:rsid w:val="00AF6128"/>
    <w:rsid w:val="00AF76EF"/>
    <w:rsid w:val="00B00913"/>
    <w:rsid w:val="00B01439"/>
    <w:rsid w:val="00B01593"/>
    <w:rsid w:val="00B01CF3"/>
    <w:rsid w:val="00B023F2"/>
    <w:rsid w:val="00B03033"/>
    <w:rsid w:val="00B04705"/>
    <w:rsid w:val="00B04911"/>
    <w:rsid w:val="00B04E70"/>
    <w:rsid w:val="00B04EF7"/>
    <w:rsid w:val="00B05704"/>
    <w:rsid w:val="00B06251"/>
    <w:rsid w:val="00B06547"/>
    <w:rsid w:val="00B07939"/>
    <w:rsid w:val="00B07959"/>
    <w:rsid w:val="00B07BBB"/>
    <w:rsid w:val="00B10325"/>
    <w:rsid w:val="00B104EC"/>
    <w:rsid w:val="00B10A08"/>
    <w:rsid w:val="00B10A4D"/>
    <w:rsid w:val="00B10E75"/>
    <w:rsid w:val="00B123E8"/>
    <w:rsid w:val="00B124EF"/>
    <w:rsid w:val="00B128A6"/>
    <w:rsid w:val="00B13EF3"/>
    <w:rsid w:val="00B14A5D"/>
    <w:rsid w:val="00B14BC1"/>
    <w:rsid w:val="00B15997"/>
    <w:rsid w:val="00B159F7"/>
    <w:rsid w:val="00B15A8D"/>
    <w:rsid w:val="00B175C8"/>
    <w:rsid w:val="00B17E71"/>
    <w:rsid w:val="00B17FDE"/>
    <w:rsid w:val="00B207A7"/>
    <w:rsid w:val="00B21017"/>
    <w:rsid w:val="00B2176C"/>
    <w:rsid w:val="00B21E2C"/>
    <w:rsid w:val="00B21EF9"/>
    <w:rsid w:val="00B2322A"/>
    <w:rsid w:val="00B2327B"/>
    <w:rsid w:val="00B2379C"/>
    <w:rsid w:val="00B24437"/>
    <w:rsid w:val="00B25189"/>
    <w:rsid w:val="00B2687D"/>
    <w:rsid w:val="00B26897"/>
    <w:rsid w:val="00B2724A"/>
    <w:rsid w:val="00B272BD"/>
    <w:rsid w:val="00B27A6B"/>
    <w:rsid w:val="00B30BA8"/>
    <w:rsid w:val="00B329E8"/>
    <w:rsid w:val="00B32DDB"/>
    <w:rsid w:val="00B333BC"/>
    <w:rsid w:val="00B333C7"/>
    <w:rsid w:val="00B34528"/>
    <w:rsid w:val="00B34CC9"/>
    <w:rsid w:val="00B35675"/>
    <w:rsid w:val="00B35763"/>
    <w:rsid w:val="00B35E8D"/>
    <w:rsid w:val="00B35FC1"/>
    <w:rsid w:val="00B379FE"/>
    <w:rsid w:val="00B40069"/>
    <w:rsid w:val="00B402FC"/>
    <w:rsid w:val="00B405BD"/>
    <w:rsid w:val="00B4263C"/>
    <w:rsid w:val="00B42F87"/>
    <w:rsid w:val="00B435B6"/>
    <w:rsid w:val="00B439DA"/>
    <w:rsid w:val="00B46604"/>
    <w:rsid w:val="00B46FA4"/>
    <w:rsid w:val="00B47195"/>
    <w:rsid w:val="00B47732"/>
    <w:rsid w:val="00B47C25"/>
    <w:rsid w:val="00B5060E"/>
    <w:rsid w:val="00B50624"/>
    <w:rsid w:val="00B5237E"/>
    <w:rsid w:val="00B5296C"/>
    <w:rsid w:val="00B530CD"/>
    <w:rsid w:val="00B53A26"/>
    <w:rsid w:val="00B55F5E"/>
    <w:rsid w:val="00B5752E"/>
    <w:rsid w:val="00B60423"/>
    <w:rsid w:val="00B63A11"/>
    <w:rsid w:val="00B63B6A"/>
    <w:rsid w:val="00B64C24"/>
    <w:rsid w:val="00B64CEC"/>
    <w:rsid w:val="00B64D8E"/>
    <w:rsid w:val="00B65139"/>
    <w:rsid w:val="00B6608F"/>
    <w:rsid w:val="00B66354"/>
    <w:rsid w:val="00B67472"/>
    <w:rsid w:val="00B67681"/>
    <w:rsid w:val="00B67768"/>
    <w:rsid w:val="00B679FB"/>
    <w:rsid w:val="00B702E6"/>
    <w:rsid w:val="00B704BC"/>
    <w:rsid w:val="00B71EF7"/>
    <w:rsid w:val="00B7288D"/>
    <w:rsid w:val="00B7289D"/>
    <w:rsid w:val="00B72EB1"/>
    <w:rsid w:val="00B7358C"/>
    <w:rsid w:val="00B74326"/>
    <w:rsid w:val="00B7665A"/>
    <w:rsid w:val="00B76D1E"/>
    <w:rsid w:val="00B77292"/>
    <w:rsid w:val="00B8028A"/>
    <w:rsid w:val="00B80B8B"/>
    <w:rsid w:val="00B80DE0"/>
    <w:rsid w:val="00B80EC6"/>
    <w:rsid w:val="00B82874"/>
    <w:rsid w:val="00B82905"/>
    <w:rsid w:val="00B829DF"/>
    <w:rsid w:val="00B82E21"/>
    <w:rsid w:val="00B83446"/>
    <w:rsid w:val="00B8424C"/>
    <w:rsid w:val="00B84B72"/>
    <w:rsid w:val="00B84B89"/>
    <w:rsid w:val="00B84CF6"/>
    <w:rsid w:val="00B857A1"/>
    <w:rsid w:val="00B85CC7"/>
    <w:rsid w:val="00B86A96"/>
    <w:rsid w:val="00B875A7"/>
    <w:rsid w:val="00B87623"/>
    <w:rsid w:val="00B90BAE"/>
    <w:rsid w:val="00B92D1D"/>
    <w:rsid w:val="00B938C5"/>
    <w:rsid w:val="00B94199"/>
    <w:rsid w:val="00B94C53"/>
    <w:rsid w:val="00B94D8F"/>
    <w:rsid w:val="00B95940"/>
    <w:rsid w:val="00B95957"/>
    <w:rsid w:val="00B96FAD"/>
    <w:rsid w:val="00B977D1"/>
    <w:rsid w:val="00BA2B75"/>
    <w:rsid w:val="00BA3029"/>
    <w:rsid w:val="00BA3793"/>
    <w:rsid w:val="00BA37EA"/>
    <w:rsid w:val="00BA4B77"/>
    <w:rsid w:val="00BA5256"/>
    <w:rsid w:val="00BA6AAF"/>
    <w:rsid w:val="00BA6C2B"/>
    <w:rsid w:val="00BB0637"/>
    <w:rsid w:val="00BB0E67"/>
    <w:rsid w:val="00BB22F6"/>
    <w:rsid w:val="00BB4283"/>
    <w:rsid w:val="00BB46F3"/>
    <w:rsid w:val="00BB4A29"/>
    <w:rsid w:val="00BB4CB1"/>
    <w:rsid w:val="00BB4F98"/>
    <w:rsid w:val="00BB5CCF"/>
    <w:rsid w:val="00BB73ED"/>
    <w:rsid w:val="00BB7875"/>
    <w:rsid w:val="00BC1DD9"/>
    <w:rsid w:val="00BC2788"/>
    <w:rsid w:val="00BC3208"/>
    <w:rsid w:val="00BC4F88"/>
    <w:rsid w:val="00BC5938"/>
    <w:rsid w:val="00BC5C12"/>
    <w:rsid w:val="00BC5E22"/>
    <w:rsid w:val="00BC6007"/>
    <w:rsid w:val="00BC7154"/>
    <w:rsid w:val="00BC731E"/>
    <w:rsid w:val="00BC7396"/>
    <w:rsid w:val="00BC77F6"/>
    <w:rsid w:val="00BD0046"/>
    <w:rsid w:val="00BD15F8"/>
    <w:rsid w:val="00BD1ED8"/>
    <w:rsid w:val="00BD3055"/>
    <w:rsid w:val="00BD366B"/>
    <w:rsid w:val="00BD6D50"/>
    <w:rsid w:val="00BE18B9"/>
    <w:rsid w:val="00BE19ED"/>
    <w:rsid w:val="00BE2495"/>
    <w:rsid w:val="00BE2D3D"/>
    <w:rsid w:val="00BE2D99"/>
    <w:rsid w:val="00BE35EA"/>
    <w:rsid w:val="00BE390E"/>
    <w:rsid w:val="00BE3D06"/>
    <w:rsid w:val="00BE4BED"/>
    <w:rsid w:val="00BE53A6"/>
    <w:rsid w:val="00BE5DAB"/>
    <w:rsid w:val="00BE6572"/>
    <w:rsid w:val="00BE7117"/>
    <w:rsid w:val="00BE7BCD"/>
    <w:rsid w:val="00BE7FCB"/>
    <w:rsid w:val="00BF09BC"/>
    <w:rsid w:val="00BF1578"/>
    <w:rsid w:val="00BF1FA2"/>
    <w:rsid w:val="00BF2223"/>
    <w:rsid w:val="00BF3B1D"/>
    <w:rsid w:val="00BF3D6E"/>
    <w:rsid w:val="00BF4BD4"/>
    <w:rsid w:val="00BF59B6"/>
    <w:rsid w:val="00BF6D32"/>
    <w:rsid w:val="00BF71A0"/>
    <w:rsid w:val="00BF723F"/>
    <w:rsid w:val="00C0100E"/>
    <w:rsid w:val="00C02714"/>
    <w:rsid w:val="00C02943"/>
    <w:rsid w:val="00C03294"/>
    <w:rsid w:val="00C03ACD"/>
    <w:rsid w:val="00C03E33"/>
    <w:rsid w:val="00C04EA2"/>
    <w:rsid w:val="00C05360"/>
    <w:rsid w:val="00C05597"/>
    <w:rsid w:val="00C05B27"/>
    <w:rsid w:val="00C07A3D"/>
    <w:rsid w:val="00C10440"/>
    <w:rsid w:val="00C11B46"/>
    <w:rsid w:val="00C12629"/>
    <w:rsid w:val="00C12B02"/>
    <w:rsid w:val="00C12CFD"/>
    <w:rsid w:val="00C132F3"/>
    <w:rsid w:val="00C13980"/>
    <w:rsid w:val="00C13B37"/>
    <w:rsid w:val="00C144D7"/>
    <w:rsid w:val="00C1648C"/>
    <w:rsid w:val="00C16FB0"/>
    <w:rsid w:val="00C17B96"/>
    <w:rsid w:val="00C20A51"/>
    <w:rsid w:val="00C210CB"/>
    <w:rsid w:val="00C21325"/>
    <w:rsid w:val="00C21442"/>
    <w:rsid w:val="00C21721"/>
    <w:rsid w:val="00C21F94"/>
    <w:rsid w:val="00C22AA6"/>
    <w:rsid w:val="00C2307C"/>
    <w:rsid w:val="00C2330B"/>
    <w:rsid w:val="00C23319"/>
    <w:rsid w:val="00C240F3"/>
    <w:rsid w:val="00C26765"/>
    <w:rsid w:val="00C2750F"/>
    <w:rsid w:val="00C27913"/>
    <w:rsid w:val="00C27E4F"/>
    <w:rsid w:val="00C325AE"/>
    <w:rsid w:val="00C32964"/>
    <w:rsid w:val="00C32B5A"/>
    <w:rsid w:val="00C32BFF"/>
    <w:rsid w:val="00C32E5D"/>
    <w:rsid w:val="00C33B68"/>
    <w:rsid w:val="00C34756"/>
    <w:rsid w:val="00C34B09"/>
    <w:rsid w:val="00C354A2"/>
    <w:rsid w:val="00C36A79"/>
    <w:rsid w:val="00C36BCC"/>
    <w:rsid w:val="00C37C3D"/>
    <w:rsid w:val="00C401D2"/>
    <w:rsid w:val="00C405D4"/>
    <w:rsid w:val="00C4098C"/>
    <w:rsid w:val="00C41650"/>
    <w:rsid w:val="00C41D07"/>
    <w:rsid w:val="00C420B7"/>
    <w:rsid w:val="00C42869"/>
    <w:rsid w:val="00C42C3D"/>
    <w:rsid w:val="00C42CE8"/>
    <w:rsid w:val="00C4431F"/>
    <w:rsid w:val="00C44E9D"/>
    <w:rsid w:val="00C4513B"/>
    <w:rsid w:val="00C4627C"/>
    <w:rsid w:val="00C46423"/>
    <w:rsid w:val="00C473D4"/>
    <w:rsid w:val="00C4763B"/>
    <w:rsid w:val="00C52C3E"/>
    <w:rsid w:val="00C53854"/>
    <w:rsid w:val="00C5390B"/>
    <w:rsid w:val="00C53E5D"/>
    <w:rsid w:val="00C53E65"/>
    <w:rsid w:val="00C54141"/>
    <w:rsid w:val="00C5418A"/>
    <w:rsid w:val="00C54697"/>
    <w:rsid w:val="00C55400"/>
    <w:rsid w:val="00C56A5F"/>
    <w:rsid w:val="00C57BF0"/>
    <w:rsid w:val="00C6007E"/>
    <w:rsid w:val="00C60B8B"/>
    <w:rsid w:val="00C61BEF"/>
    <w:rsid w:val="00C62FEF"/>
    <w:rsid w:val="00C64A15"/>
    <w:rsid w:val="00C65535"/>
    <w:rsid w:val="00C65B6D"/>
    <w:rsid w:val="00C65C22"/>
    <w:rsid w:val="00C65F06"/>
    <w:rsid w:val="00C66222"/>
    <w:rsid w:val="00C66B0D"/>
    <w:rsid w:val="00C67599"/>
    <w:rsid w:val="00C718F3"/>
    <w:rsid w:val="00C71E85"/>
    <w:rsid w:val="00C7209C"/>
    <w:rsid w:val="00C72884"/>
    <w:rsid w:val="00C72CDE"/>
    <w:rsid w:val="00C72F3B"/>
    <w:rsid w:val="00C73885"/>
    <w:rsid w:val="00C73BA9"/>
    <w:rsid w:val="00C7466F"/>
    <w:rsid w:val="00C747B1"/>
    <w:rsid w:val="00C74B82"/>
    <w:rsid w:val="00C74CD8"/>
    <w:rsid w:val="00C7674F"/>
    <w:rsid w:val="00C76D12"/>
    <w:rsid w:val="00C77572"/>
    <w:rsid w:val="00C77AC4"/>
    <w:rsid w:val="00C77E1A"/>
    <w:rsid w:val="00C81BA9"/>
    <w:rsid w:val="00C82191"/>
    <w:rsid w:val="00C83134"/>
    <w:rsid w:val="00C843D9"/>
    <w:rsid w:val="00C845FA"/>
    <w:rsid w:val="00C85545"/>
    <w:rsid w:val="00C85845"/>
    <w:rsid w:val="00C85F8A"/>
    <w:rsid w:val="00C8788E"/>
    <w:rsid w:val="00C9003C"/>
    <w:rsid w:val="00C90847"/>
    <w:rsid w:val="00C90CF4"/>
    <w:rsid w:val="00C9288C"/>
    <w:rsid w:val="00C92EB6"/>
    <w:rsid w:val="00C93229"/>
    <w:rsid w:val="00C93389"/>
    <w:rsid w:val="00C945BC"/>
    <w:rsid w:val="00C949A2"/>
    <w:rsid w:val="00C95DB2"/>
    <w:rsid w:val="00C96040"/>
    <w:rsid w:val="00C96F2E"/>
    <w:rsid w:val="00C96F89"/>
    <w:rsid w:val="00C9769E"/>
    <w:rsid w:val="00CA0914"/>
    <w:rsid w:val="00CA1DC0"/>
    <w:rsid w:val="00CA4B7C"/>
    <w:rsid w:val="00CA591D"/>
    <w:rsid w:val="00CA6AB4"/>
    <w:rsid w:val="00CA6C88"/>
    <w:rsid w:val="00CA76F6"/>
    <w:rsid w:val="00CA78F5"/>
    <w:rsid w:val="00CA7BE7"/>
    <w:rsid w:val="00CB0A22"/>
    <w:rsid w:val="00CB1C2E"/>
    <w:rsid w:val="00CB2D0E"/>
    <w:rsid w:val="00CB2F3F"/>
    <w:rsid w:val="00CB340E"/>
    <w:rsid w:val="00CB4930"/>
    <w:rsid w:val="00CB5441"/>
    <w:rsid w:val="00CB67BF"/>
    <w:rsid w:val="00CB67F0"/>
    <w:rsid w:val="00CB6E6E"/>
    <w:rsid w:val="00CC028E"/>
    <w:rsid w:val="00CC06EE"/>
    <w:rsid w:val="00CC08A4"/>
    <w:rsid w:val="00CC0E87"/>
    <w:rsid w:val="00CC1DC5"/>
    <w:rsid w:val="00CC2E7D"/>
    <w:rsid w:val="00CC445E"/>
    <w:rsid w:val="00CC64C1"/>
    <w:rsid w:val="00CC6B42"/>
    <w:rsid w:val="00CC6BB9"/>
    <w:rsid w:val="00CD03BC"/>
    <w:rsid w:val="00CD085A"/>
    <w:rsid w:val="00CD09AC"/>
    <w:rsid w:val="00CD10A5"/>
    <w:rsid w:val="00CD12C0"/>
    <w:rsid w:val="00CD2076"/>
    <w:rsid w:val="00CD22D2"/>
    <w:rsid w:val="00CD29B5"/>
    <w:rsid w:val="00CD4DE9"/>
    <w:rsid w:val="00CD5A9D"/>
    <w:rsid w:val="00CD5D9F"/>
    <w:rsid w:val="00CD5E63"/>
    <w:rsid w:val="00CD6331"/>
    <w:rsid w:val="00CD6C83"/>
    <w:rsid w:val="00CD7494"/>
    <w:rsid w:val="00CD7704"/>
    <w:rsid w:val="00CD7AC0"/>
    <w:rsid w:val="00CD7AFB"/>
    <w:rsid w:val="00CE10DA"/>
    <w:rsid w:val="00CE173A"/>
    <w:rsid w:val="00CE233D"/>
    <w:rsid w:val="00CE27B2"/>
    <w:rsid w:val="00CE3932"/>
    <w:rsid w:val="00CE3E57"/>
    <w:rsid w:val="00CE51C5"/>
    <w:rsid w:val="00CE5794"/>
    <w:rsid w:val="00CE670B"/>
    <w:rsid w:val="00CE74E1"/>
    <w:rsid w:val="00CF11A4"/>
    <w:rsid w:val="00CF19CB"/>
    <w:rsid w:val="00CF2371"/>
    <w:rsid w:val="00CF262D"/>
    <w:rsid w:val="00CF322D"/>
    <w:rsid w:val="00CF39C9"/>
    <w:rsid w:val="00CF4908"/>
    <w:rsid w:val="00CF51EC"/>
    <w:rsid w:val="00CF59E5"/>
    <w:rsid w:val="00CF5CEA"/>
    <w:rsid w:val="00CF6459"/>
    <w:rsid w:val="00CF719E"/>
    <w:rsid w:val="00CF73AE"/>
    <w:rsid w:val="00CF7E85"/>
    <w:rsid w:val="00D00C24"/>
    <w:rsid w:val="00D0105D"/>
    <w:rsid w:val="00D012DB"/>
    <w:rsid w:val="00D0381E"/>
    <w:rsid w:val="00D040DD"/>
    <w:rsid w:val="00D043A0"/>
    <w:rsid w:val="00D04C1F"/>
    <w:rsid w:val="00D06B25"/>
    <w:rsid w:val="00D075BE"/>
    <w:rsid w:val="00D075CF"/>
    <w:rsid w:val="00D07D61"/>
    <w:rsid w:val="00D10999"/>
    <w:rsid w:val="00D11A3A"/>
    <w:rsid w:val="00D12B5B"/>
    <w:rsid w:val="00D13273"/>
    <w:rsid w:val="00D133BB"/>
    <w:rsid w:val="00D13986"/>
    <w:rsid w:val="00D147FE"/>
    <w:rsid w:val="00D15524"/>
    <w:rsid w:val="00D167DC"/>
    <w:rsid w:val="00D168EE"/>
    <w:rsid w:val="00D1753E"/>
    <w:rsid w:val="00D17AA6"/>
    <w:rsid w:val="00D17BB8"/>
    <w:rsid w:val="00D21687"/>
    <w:rsid w:val="00D21D83"/>
    <w:rsid w:val="00D2218D"/>
    <w:rsid w:val="00D2231E"/>
    <w:rsid w:val="00D2296F"/>
    <w:rsid w:val="00D22A86"/>
    <w:rsid w:val="00D235B7"/>
    <w:rsid w:val="00D237A7"/>
    <w:rsid w:val="00D23C02"/>
    <w:rsid w:val="00D23F97"/>
    <w:rsid w:val="00D23F99"/>
    <w:rsid w:val="00D24011"/>
    <w:rsid w:val="00D25F28"/>
    <w:rsid w:val="00D25FD1"/>
    <w:rsid w:val="00D26071"/>
    <w:rsid w:val="00D268CA"/>
    <w:rsid w:val="00D2738E"/>
    <w:rsid w:val="00D2760C"/>
    <w:rsid w:val="00D276BF"/>
    <w:rsid w:val="00D27973"/>
    <w:rsid w:val="00D3074E"/>
    <w:rsid w:val="00D30B3A"/>
    <w:rsid w:val="00D30D0F"/>
    <w:rsid w:val="00D31188"/>
    <w:rsid w:val="00D32468"/>
    <w:rsid w:val="00D35C3D"/>
    <w:rsid w:val="00D35E1A"/>
    <w:rsid w:val="00D36119"/>
    <w:rsid w:val="00D37C1E"/>
    <w:rsid w:val="00D40B2B"/>
    <w:rsid w:val="00D40F7C"/>
    <w:rsid w:val="00D41384"/>
    <w:rsid w:val="00D417B7"/>
    <w:rsid w:val="00D4182F"/>
    <w:rsid w:val="00D42211"/>
    <w:rsid w:val="00D42756"/>
    <w:rsid w:val="00D43F40"/>
    <w:rsid w:val="00D4446D"/>
    <w:rsid w:val="00D445AD"/>
    <w:rsid w:val="00D44F50"/>
    <w:rsid w:val="00D4551E"/>
    <w:rsid w:val="00D45569"/>
    <w:rsid w:val="00D455F5"/>
    <w:rsid w:val="00D458AD"/>
    <w:rsid w:val="00D46FF9"/>
    <w:rsid w:val="00D4758C"/>
    <w:rsid w:val="00D50F46"/>
    <w:rsid w:val="00D51744"/>
    <w:rsid w:val="00D54688"/>
    <w:rsid w:val="00D55033"/>
    <w:rsid w:val="00D567C6"/>
    <w:rsid w:val="00D575B0"/>
    <w:rsid w:val="00D57677"/>
    <w:rsid w:val="00D60773"/>
    <w:rsid w:val="00D60B90"/>
    <w:rsid w:val="00D6190C"/>
    <w:rsid w:val="00D619A8"/>
    <w:rsid w:val="00D61DF8"/>
    <w:rsid w:val="00D61FB9"/>
    <w:rsid w:val="00D62E64"/>
    <w:rsid w:val="00D6320C"/>
    <w:rsid w:val="00D638C8"/>
    <w:rsid w:val="00D6496E"/>
    <w:rsid w:val="00D650C7"/>
    <w:rsid w:val="00D65174"/>
    <w:rsid w:val="00D65537"/>
    <w:rsid w:val="00D658DF"/>
    <w:rsid w:val="00D65B26"/>
    <w:rsid w:val="00D66223"/>
    <w:rsid w:val="00D674D7"/>
    <w:rsid w:val="00D71625"/>
    <w:rsid w:val="00D71B65"/>
    <w:rsid w:val="00D71E43"/>
    <w:rsid w:val="00D7385F"/>
    <w:rsid w:val="00D751DA"/>
    <w:rsid w:val="00D756D2"/>
    <w:rsid w:val="00D76EC6"/>
    <w:rsid w:val="00D76FC3"/>
    <w:rsid w:val="00D7778F"/>
    <w:rsid w:val="00D8084C"/>
    <w:rsid w:val="00D8454D"/>
    <w:rsid w:val="00D865FF"/>
    <w:rsid w:val="00D900EA"/>
    <w:rsid w:val="00D901F4"/>
    <w:rsid w:val="00D915EA"/>
    <w:rsid w:val="00D92636"/>
    <w:rsid w:val="00D92EDA"/>
    <w:rsid w:val="00D9454B"/>
    <w:rsid w:val="00D94BF8"/>
    <w:rsid w:val="00D95195"/>
    <w:rsid w:val="00D95B04"/>
    <w:rsid w:val="00D95B68"/>
    <w:rsid w:val="00D96855"/>
    <w:rsid w:val="00D9785D"/>
    <w:rsid w:val="00DA2756"/>
    <w:rsid w:val="00DA3745"/>
    <w:rsid w:val="00DA3F50"/>
    <w:rsid w:val="00DA44DC"/>
    <w:rsid w:val="00DA47A8"/>
    <w:rsid w:val="00DA48C1"/>
    <w:rsid w:val="00DA724F"/>
    <w:rsid w:val="00DA7C0C"/>
    <w:rsid w:val="00DA7CDD"/>
    <w:rsid w:val="00DB08A9"/>
    <w:rsid w:val="00DB0DA5"/>
    <w:rsid w:val="00DB1019"/>
    <w:rsid w:val="00DB2EC8"/>
    <w:rsid w:val="00DB4AEF"/>
    <w:rsid w:val="00DB4E31"/>
    <w:rsid w:val="00DB5AF8"/>
    <w:rsid w:val="00DB5FC0"/>
    <w:rsid w:val="00DB6035"/>
    <w:rsid w:val="00DB6566"/>
    <w:rsid w:val="00DB77BB"/>
    <w:rsid w:val="00DC048E"/>
    <w:rsid w:val="00DC0DBD"/>
    <w:rsid w:val="00DC1B9B"/>
    <w:rsid w:val="00DC1E84"/>
    <w:rsid w:val="00DC36AA"/>
    <w:rsid w:val="00DC40D2"/>
    <w:rsid w:val="00DC48F1"/>
    <w:rsid w:val="00DC4DB8"/>
    <w:rsid w:val="00DC4EDE"/>
    <w:rsid w:val="00DC53F3"/>
    <w:rsid w:val="00DC5B3B"/>
    <w:rsid w:val="00DC6594"/>
    <w:rsid w:val="00DC788B"/>
    <w:rsid w:val="00DD0A61"/>
    <w:rsid w:val="00DD129F"/>
    <w:rsid w:val="00DD340B"/>
    <w:rsid w:val="00DD3E0E"/>
    <w:rsid w:val="00DD492B"/>
    <w:rsid w:val="00DD4B4B"/>
    <w:rsid w:val="00DD4C01"/>
    <w:rsid w:val="00DD4EFE"/>
    <w:rsid w:val="00DD5B19"/>
    <w:rsid w:val="00DD6243"/>
    <w:rsid w:val="00DD6956"/>
    <w:rsid w:val="00DE020E"/>
    <w:rsid w:val="00DE02BD"/>
    <w:rsid w:val="00DE05F6"/>
    <w:rsid w:val="00DE161B"/>
    <w:rsid w:val="00DE3DE3"/>
    <w:rsid w:val="00DE58BE"/>
    <w:rsid w:val="00DE5DBA"/>
    <w:rsid w:val="00DE7747"/>
    <w:rsid w:val="00DF2766"/>
    <w:rsid w:val="00DF2C89"/>
    <w:rsid w:val="00DF3DF6"/>
    <w:rsid w:val="00DF42FF"/>
    <w:rsid w:val="00DF4A1C"/>
    <w:rsid w:val="00DF5908"/>
    <w:rsid w:val="00DF6241"/>
    <w:rsid w:val="00DF768A"/>
    <w:rsid w:val="00DF7D4E"/>
    <w:rsid w:val="00E00AF8"/>
    <w:rsid w:val="00E01C0E"/>
    <w:rsid w:val="00E01F0A"/>
    <w:rsid w:val="00E0328D"/>
    <w:rsid w:val="00E03F9A"/>
    <w:rsid w:val="00E0465E"/>
    <w:rsid w:val="00E04694"/>
    <w:rsid w:val="00E049AE"/>
    <w:rsid w:val="00E0609D"/>
    <w:rsid w:val="00E06322"/>
    <w:rsid w:val="00E063CE"/>
    <w:rsid w:val="00E06D4B"/>
    <w:rsid w:val="00E0741F"/>
    <w:rsid w:val="00E114D5"/>
    <w:rsid w:val="00E12B1E"/>
    <w:rsid w:val="00E12F7C"/>
    <w:rsid w:val="00E13733"/>
    <w:rsid w:val="00E13784"/>
    <w:rsid w:val="00E13996"/>
    <w:rsid w:val="00E15B76"/>
    <w:rsid w:val="00E15F11"/>
    <w:rsid w:val="00E16208"/>
    <w:rsid w:val="00E16E65"/>
    <w:rsid w:val="00E17262"/>
    <w:rsid w:val="00E17608"/>
    <w:rsid w:val="00E207A9"/>
    <w:rsid w:val="00E20B53"/>
    <w:rsid w:val="00E239CE"/>
    <w:rsid w:val="00E24B6C"/>
    <w:rsid w:val="00E24BFC"/>
    <w:rsid w:val="00E253A2"/>
    <w:rsid w:val="00E25D3B"/>
    <w:rsid w:val="00E26274"/>
    <w:rsid w:val="00E27397"/>
    <w:rsid w:val="00E3030A"/>
    <w:rsid w:val="00E30AD3"/>
    <w:rsid w:val="00E30BB0"/>
    <w:rsid w:val="00E312D1"/>
    <w:rsid w:val="00E314B9"/>
    <w:rsid w:val="00E31932"/>
    <w:rsid w:val="00E31B27"/>
    <w:rsid w:val="00E31BA0"/>
    <w:rsid w:val="00E329EF"/>
    <w:rsid w:val="00E3309D"/>
    <w:rsid w:val="00E3442B"/>
    <w:rsid w:val="00E3680C"/>
    <w:rsid w:val="00E374F4"/>
    <w:rsid w:val="00E409C2"/>
    <w:rsid w:val="00E41A0E"/>
    <w:rsid w:val="00E42316"/>
    <w:rsid w:val="00E430FC"/>
    <w:rsid w:val="00E439D3"/>
    <w:rsid w:val="00E43C1C"/>
    <w:rsid w:val="00E43E9D"/>
    <w:rsid w:val="00E43EC0"/>
    <w:rsid w:val="00E44F51"/>
    <w:rsid w:val="00E45931"/>
    <w:rsid w:val="00E45C44"/>
    <w:rsid w:val="00E45D3D"/>
    <w:rsid w:val="00E4643F"/>
    <w:rsid w:val="00E46F7E"/>
    <w:rsid w:val="00E472EB"/>
    <w:rsid w:val="00E476F4"/>
    <w:rsid w:val="00E47774"/>
    <w:rsid w:val="00E47EBA"/>
    <w:rsid w:val="00E50156"/>
    <w:rsid w:val="00E50469"/>
    <w:rsid w:val="00E5114C"/>
    <w:rsid w:val="00E514E4"/>
    <w:rsid w:val="00E51643"/>
    <w:rsid w:val="00E519FD"/>
    <w:rsid w:val="00E524A3"/>
    <w:rsid w:val="00E53470"/>
    <w:rsid w:val="00E53874"/>
    <w:rsid w:val="00E539F6"/>
    <w:rsid w:val="00E53DAC"/>
    <w:rsid w:val="00E54E39"/>
    <w:rsid w:val="00E55091"/>
    <w:rsid w:val="00E56671"/>
    <w:rsid w:val="00E5780A"/>
    <w:rsid w:val="00E61923"/>
    <w:rsid w:val="00E62BB4"/>
    <w:rsid w:val="00E63040"/>
    <w:rsid w:val="00E64E38"/>
    <w:rsid w:val="00E6519D"/>
    <w:rsid w:val="00E66127"/>
    <w:rsid w:val="00E67696"/>
    <w:rsid w:val="00E67A9F"/>
    <w:rsid w:val="00E7058D"/>
    <w:rsid w:val="00E710BB"/>
    <w:rsid w:val="00E71654"/>
    <w:rsid w:val="00E716AC"/>
    <w:rsid w:val="00E71A58"/>
    <w:rsid w:val="00E72A7A"/>
    <w:rsid w:val="00E7388C"/>
    <w:rsid w:val="00E75C94"/>
    <w:rsid w:val="00E7629E"/>
    <w:rsid w:val="00E7677B"/>
    <w:rsid w:val="00E80858"/>
    <w:rsid w:val="00E80EBB"/>
    <w:rsid w:val="00E81532"/>
    <w:rsid w:val="00E83327"/>
    <w:rsid w:val="00E84024"/>
    <w:rsid w:val="00E849A6"/>
    <w:rsid w:val="00E84B8D"/>
    <w:rsid w:val="00E850DA"/>
    <w:rsid w:val="00E855F6"/>
    <w:rsid w:val="00E85810"/>
    <w:rsid w:val="00E868CA"/>
    <w:rsid w:val="00E87031"/>
    <w:rsid w:val="00E908FB"/>
    <w:rsid w:val="00E90DED"/>
    <w:rsid w:val="00E91024"/>
    <w:rsid w:val="00E920F4"/>
    <w:rsid w:val="00E92EA6"/>
    <w:rsid w:val="00E93125"/>
    <w:rsid w:val="00E93514"/>
    <w:rsid w:val="00E936C9"/>
    <w:rsid w:val="00E93820"/>
    <w:rsid w:val="00E93E62"/>
    <w:rsid w:val="00E944EF"/>
    <w:rsid w:val="00E94A86"/>
    <w:rsid w:val="00E94D5E"/>
    <w:rsid w:val="00E94DB2"/>
    <w:rsid w:val="00E95113"/>
    <w:rsid w:val="00E95491"/>
    <w:rsid w:val="00E9591B"/>
    <w:rsid w:val="00E96143"/>
    <w:rsid w:val="00E967F7"/>
    <w:rsid w:val="00E96CF8"/>
    <w:rsid w:val="00EA0093"/>
    <w:rsid w:val="00EA038B"/>
    <w:rsid w:val="00EA0987"/>
    <w:rsid w:val="00EA0C68"/>
    <w:rsid w:val="00EA22CB"/>
    <w:rsid w:val="00EA2F7F"/>
    <w:rsid w:val="00EA32BC"/>
    <w:rsid w:val="00EA40B7"/>
    <w:rsid w:val="00EA40F6"/>
    <w:rsid w:val="00EA4302"/>
    <w:rsid w:val="00EA4327"/>
    <w:rsid w:val="00EA4391"/>
    <w:rsid w:val="00EA58E5"/>
    <w:rsid w:val="00EA5C8C"/>
    <w:rsid w:val="00EA6058"/>
    <w:rsid w:val="00EA696B"/>
    <w:rsid w:val="00EA6C97"/>
    <w:rsid w:val="00EA7407"/>
    <w:rsid w:val="00EB0418"/>
    <w:rsid w:val="00EB12EE"/>
    <w:rsid w:val="00EB25F1"/>
    <w:rsid w:val="00EB2B67"/>
    <w:rsid w:val="00EB2C86"/>
    <w:rsid w:val="00EB2FA5"/>
    <w:rsid w:val="00EB39C7"/>
    <w:rsid w:val="00EB3D8F"/>
    <w:rsid w:val="00EB4511"/>
    <w:rsid w:val="00EB4A12"/>
    <w:rsid w:val="00EB5180"/>
    <w:rsid w:val="00EB650B"/>
    <w:rsid w:val="00EB7A12"/>
    <w:rsid w:val="00EB7F7C"/>
    <w:rsid w:val="00EC03D7"/>
    <w:rsid w:val="00EC074F"/>
    <w:rsid w:val="00EC0A8B"/>
    <w:rsid w:val="00EC14D7"/>
    <w:rsid w:val="00EC15CC"/>
    <w:rsid w:val="00EC243D"/>
    <w:rsid w:val="00EC2A23"/>
    <w:rsid w:val="00EC313D"/>
    <w:rsid w:val="00EC34CA"/>
    <w:rsid w:val="00EC3C00"/>
    <w:rsid w:val="00EC3C2A"/>
    <w:rsid w:val="00EC6962"/>
    <w:rsid w:val="00EC6FA8"/>
    <w:rsid w:val="00ED049D"/>
    <w:rsid w:val="00ED0692"/>
    <w:rsid w:val="00ED0A16"/>
    <w:rsid w:val="00ED1680"/>
    <w:rsid w:val="00ED27C9"/>
    <w:rsid w:val="00ED40FA"/>
    <w:rsid w:val="00ED5CBD"/>
    <w:rsid w:val="00ED62C6"/>
    <w:rsid w:val="00ED64C1"/>
    <w:rsid w:val="00EE0AE7"/>
    <w:rsid w:val="00EE0E68"/>
    <w:rsid w:val="00EE28A7"/>
    <w:rsid w:val="00EE3374"/>
    <w:rsid w:val="00EE3446"/>
    <w:rsid w:val="00EE3E78"/>
    <w:rsid w:val="00EE4B1B"/>
    <w:rsid w:val="00EE539F"/>
    <w:rsid w:val="00EE7410"/>
    <w:rsid w:val="00EE7684"/>
    <w:rsid w:val="00EE7F19"/>
    <w:rsid w:val="00EF00A4"/>
    <w:rsid w:val="00EF150D"/>
    <w:rsid w:val="00EF1CDA"/>
    <w:rsid w:val="00EF1F5A"/>
    <w:rsid w:val="00EF221F"/>
    <w:rsid w:val="00EF27E6"/>
    <w:rsid w:val="00EF2B3F"/>
    <w:rsid w:val="00EF2CFC"/>
    <w:rsid w:val="00EF3A22"/>
    <w:rsid w:val="00EF47BF"/>
    <w:rsid w:val="00EF64B2"/>
    <w:rsid w:val="00EF6DB3"/>
    <w:rsid w:val="00EF77C4"/>
    <w:rsid w:val="00EF7C70"/>
    <w:rsid w:val="00EF7EA6"/>
    <w:rsid w:val="00F00698"/>
    <w:rsid w:val="00F01008"/>
    <w:rsid w:val="00F02331"/>
    <w:rsid w:val="00F04811"/>
    <w:rsid w:val="00F0488C"/>
    <w:rsid w:val="00F0536E"/>
    <w:rsid w:val="00F05798"/>
    <w:rsid w:val="00F05F7E"/>
    <w:rsid w:val="00F066CF"/>
    <w:rsid w:val="00F06ED4"/>
    <w:rsid w:val="00F07A88"/>
    <w:rsid w:val="00F101CF"/>
    <w:rsid w:val="00F10823"/>
    <w:rsid w:val="00F10941"/>
    <w:rsid w:val="00F10C15"/>
    <w:rsid w:val="00F10F11"/>
    <w:rsid w:val="00F11063"/>
    <w:rsid w:val="00F12D59"/>
    <w:rsid w:val="00F130CC"/>
    <w:rsid w:val="00F132B8"/>
    <w:rsid w:val="00F13B3B"/>
    <w:rsid w:val="00F15AAA"/>
    <w:rsid w:val="00F15BEF"/>
    <w:rsid w:val="00F15D9A"/>
    <w:rsid w:val="00F15FB2"/>
    <w:rsid w:val="00F160D4"/>
    <w:rsid w:val="00F16122"/>
    <w:rsid w:val="00F17E83"/>
    <w:rsid w:val="00F2180B"/>
    <w:rsid w:val="00F21C12"/>
    <w:rsid w:val="00F23D4A"/>
    <w:rsid w:val="00F241FB"/>
    <w:rsid w:val="00F24407"/>
    <w:rsid w:val="00F24931"/>
    <w:rsid w:val="00F24A89"/>
    <w:rsid w:val="00F24FAA"/>
    <w:rsid w:val="00F252A0"/>
    <w:rsid w:val="00F25837"/>
    <w:rsid w:val="00F25B4A"/>
    <w:rsid w:val="00F25DEE"/>
    <w:rsid w:val="00F26464"/>
    <w:rsid w:val="00F27A58"/>
    <w:rsid w:val="00F3012E"/>
    <w:rsid w:val="00F30195"/>
    <w:rsid w:val="00F304B2"/>
    <w:rsid w:val="00F307AF"/>
    <w:rsid w:val="00F319DC"/>
    <w:rsid w:val="00F32A18"/>
    <w:rsid w:val="00F33623"/>
    <w:rsid w:val="00F3364D"/>
    <w:rsid w:val="00F34609"/>
    <w:rsid w:val="00F36977"/>
    <w:rsid w:val="00F41B46"/>
    <w:rsid w:val="00F42B24"/>
    <w:rsid w:val="00F42CA5"/>
    <w:rsid w:val="00F437CC"/>
    <w:rsid w:val="00F43E29"/>
    <w:rsid w:val="00F44537"/>
    <w:rsid w:val="00F44B6A"/>
    <w:rsid w:val="00F4607E"/>
    <w:rsid w:val="00F46325"/>
    <w:rsid w:val="00F468D9"/>
    <w:rsid w:val="00F47067"/>
    <w:rsid w:val="00F472FC"/>
    <w:rsid w:val="00F501F1"/>
    <w:rsid w:val="00F503E4"/>
    <w:rsid w:val="00F50FC3"/>
    <w:rsid w:val="00F51087"/>
    <w:rsid w:val="00F5188A"/>
    <w:rsid w:val="00F52106"/>
    <w:rsid w:val="00F525EB"/>
    <w:rsid w:val="00F52BD7"/>
    <w:rsid w:val="00F5317B"/>
    <w:rsid w:val="00F54D07"/>
    <w:rsid w:val="00F5657D"/>
    <w:rsid w:val="00F61027"/>
    <w:rsid w:val="00F61D00"/>
    <w:rsid w:val="00F624A2"/>
    <w:rsid w:val="00F62AAB"/>
    <w:rsid w:val="00F63A05"/>
    <w:rsid w:val="00F63DDE"/>
    <w:rsid w:val="00F63EF8"/>
    <w:rsid w:val="00F63FB7"/>
    <w:rsid w:val="00F6421B"/>
    <w:rsid w:val="00F643E2"/>
    <w:rsid w:val="00F646E8"/>
    <w:rsid w:val="00F649D2"/>
    <w:rsid w:val="00F65951"/>
    <w:rsid w:val="00F6602B"/>
    <w:rsid w:val="00F6657C"/>
    <w:rsid w:val="00F66643"/>
    <w:rsid w:val="00F66E76"/>
    <w:rsid w:val="00F66FD9"/>
    <w:rsid w:val="00F67C4E"/>
    <w:rsid w:val="00F708C6"/>
    <w:rsid w:val="00F70D20"/>
    <w:rsid w:val="00F71F53"/>
    <w:rsid w:val="00F72275"/>
    <w:rsid w:val="00F72904"/>
    <w:rsid w:val="00F73990"/>
    <w:rsid w:val="00F73A0C"/>
    <w:rsid w:val="00F73F9D"/>
    <w:rsid w:val="00F742A4"/>
    <w:rsid w:val="00F750CF"/>
    <w:rsid w:val="00F756DB"/>
    <w:rsid w:val="00F7728A"/>
    <w:rsid w:val="00F804B9"/>
    <w:rsid w:val="00F8210F"/>
    <w:rsid w:val="00F823E2"/>
    <w:rsid w:val="00F84E7D"/>
    <w:rsid w:val="00F85066"/>
    <w:rsid w:val="00F853CC"/>
    <w:rsid w:val="00F868C6"/>
    <w:rsid w:val="00F87484"/>
    <w:rsid w:val="00F87A4D"/>
    <w:rsid w:val="00F90035"/>
    <w:rsid w:val="00F906CD"/>
    <w:rsid w:val="00F91FCF"/>
    <w:rsid w:val="00F92283"/>
    <w:rsid w:val="00F923AC"/>
    <w:rsid w:val="00F934FE"/>
    <w:rsid w:val="00F93F05"/>
    <w:rsid w:val="00F95FAC"/>
    <w:rsid w:val="00F96D69"/>
    <w:rsid w:val="00F9785E"/>
    <w:rsid w:val="00FA11B5"/>
    <w:rsid w:val="00FA2CD4"/>
    <w:rsid w:val="00FA319D"/>
    <w:rsid w:val="00FA3FF4"/>
    <w:rsid w:val="00FA5D4D"/>
    <w:rsid w:val="00FA60AD"/>
    <w:rsid w:val="00FA6DCA"/>
    <w:rsid w:val="00FA7115"/>
    <w:rsid w:val="00FA76DA"/>
    <w:rsid w:val="00FA7F0A"/>
    <w:rsid w:val="00FA7F4A"/>
    <w:rsid w:val="00FB01E6"/>
    <w:rsid w:val="00FB0EE2"/>
    <w:rsid w:val="00FB18F0"/>
    <w:rsid w:val="00FB28F9"/>
    <w:rsid w:val="00FB2A62"/>
    <w:rsid w:val="00FB4423"/>
    <w:rsid w:val="00FB52BA"/>
    <w:rsid w:val="00FB52DF"/>
    <w:rsid w:val="00FB542E"/>
    <w:rsid w:val="00FB6631"/>
    <w:rsid w:val="00FB6778"/>
    <w:rsid w:val="00FB6BEB"/>
    <w:rsid w:val="00FC08F7"/>
    <w:rsid w:val="00FC0C9E"/>
    <w:rsid w:val="00FC0CF0"/>
    <w:rsid w:val="00FC0D05"/>
    <w:rsid w:val="00FC0E5F"/>
    <w:rsid w:val="00FC1A95"/>
    <w:rsid w:val="00FC227C"/>
    <w:rsid w:val="00FC2455"/>
    <w:rsid w:val="00FC56DE"/>
    <w:rsid w:val="00FC5D41"/>
    <w:rsid w:val="00FC6700"/>
    <w:rsid w:val="00FC684B"/>
    <w:rsid w:val="00FC7F05"/>
    <w:rsid w:val="00FD109B"/>
    <w:rsid w:val="00FD1A5F"/>
    <w:rsid w:val="00FD1BAB"/>
    <w:rsid w:val="00FD1E33"/>
    <w:rsid w:val="00FD1FC5"/>
    <w:rsid w:val="00FD2055"/>
    <w:rsid w:val="00FD3265"/>
    <w:rsid w:val="00FD3B95"/>
    <w:rsid w:val="00FD3F24"/>
    <w:rsid w:val="00FD4A5D"/>
    <w:rsid w:val="00FD4CF6"/>
    <w:rsid w:val="00FD4EAC"/>
    <w:rsid w:val="00FD5F03"/>
    <w:rsid w:val="00FD5F92"/>
    <w:rsid w:val="00FD66F9"/>
    <w:rsid w:val="00FD78F8"/>
    <w:rsid w:val="00FD7E05"/>
    <w:rsid w:val="00FE0953"/>
    <w:rsid w:val="00FE2315"/>
    <w:rsid w:val="00FE2F78"/>
    <w:rsid w:val="00FE470B"/>
    <w:rsid w:val="00FF0650"/>
    <w:rsid w:val="00FF153C"/>
    <w:rsid w:val="00FF17D1"/>
    <w:rsid w:val="00FF1EA9"/>
    <w:rsid w:val="00FF21D9"/>
    <w:rsid w:val="00FF2D5D"/>
    <w:rsid w:val="00FF2E47"/>
    <w:rsid w:val="00FF35C4"/>
    <w:rsid w:val="00FF4082"/>
    <w:rsid w:val="00FF4206"/>
    <w:rsid w:val="00FF5A31"/>
    <w:rsid w:val="00FF61F3"/>
    <w:rsid w:val="00FF6DDE"/>
    <w:rsid w:val="00FF7090"/>
    <w:rsid w:val="00FF78AF"/>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val="en-GB"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su.gov.cz/produkty/analyza-ctvrtletnich-sektorovych-uctu-3-ctvrtleti-20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Qmakro-2025\cekorok%202025\ENGL\Grafy-st&#225;tn&#237;%20rozpo&#269;et-rok-2025--E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Qmakro-2025\cekorok%202025\ENGL\Grafy-st&#225;tn&#237;%20rozpo&#269;et-rok-2025--ENGL.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E:\Qmakro-2025\cekorok%202025\ENGL\Grafy-st&#225;tn&#237;%20rozpo&#269;et-rok-2025--ENG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622449952840685E-2"/>
          <c:y val="1.7107287133586922E-2"/>
          <c:w val="0.82618963342906493"/>
          <c:h val="0.72693543052675746"/>
        </c:manualLayout>
      </c:layout>
      <c:barChart>
        <c:barDir val="col"/>
        <c:grouping val="stacked"/>
        <c:varyColors val="0"/>
        <c:ser>
          <c:idx val="1"/>
          <c:order val="1"/>
          <c:tx>
            <c:strRef>
              <c:f>'G1-SR-příjmy-příspěvky'!$A$35</c:f>
              <c:strCache>
                <c:ptCount val="1"/>
                <c:pt idx="0">
                  <c:v>Other taxes and fees</c:v>
                </c:pt>
              </c:strCache>
            </c:strRef>
          </c:tx>
          <c:spPr>
            <a:solidFill>
              <a:srgbClr val="89898E"/>
            </a:solidFill>
            <a:ln w="12700">
              <a:noFill/>
              <a:prstDash val="solid"/>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'G1-SR-příjmy-příspěvky'!$E$35:$V$35</c:f>
              <c:numCache>
                <c:formatCode>0.0</c:formatCode>
                <c:ptCount val="18"/>
                <c:pt idx="0">
                  <c:v>0.1343620572631733</c:v>
                </c:pt>
                <c:pt idx="1">
                  <c:v>-0.43783892347861697</c:v>
                </c:pt>
                <c:pt idx="2">
                  <c:v>0.39966089378709002</c:v>
                </c:pt>
                <c:pt idx="3">
                  <c:v>0.45397552855721873</c:v>
                </c:pt>
                <c:pt idx="4">
                  <c:v>0.36118400632074082</c:v>
                </c:pt>
                <c:pt idx="5">
                  <c:v>-0.19664736863818325</c:v>
                </c:pt>
                <c:pt idx="6">
                  <c:v>-3.4634341281476876E-2</c:v>
                </c:pt>
                <c:pt idx="7">
                  <c:v>-0.21164971331083993</c:v>
                </c:pt>
                <c:pt idx="8">
                  <c:v>0.99125194374474579</c:v>
                </c:pt>
                <c:pt idx="9">
                  <c:v>0.24244696058614967</c:v>
                </c:pt>
                <c:pt idx="10">
                  <c:v>0.15610407782378988</c:v>
                </c:pt>
                <c:pt idx="11">
                  <c:v>0.45615292592707912</c:v>
                </c:pt>
                <c:pt idx="12">
                  <c:v>-0.24507318270758649</c:v>
                </c:pt>
                <c:pt idx="13">
                  <c:v>0.38912595873892392</c:v>
                </c:pt>
                <c:pt idx="14">
                  <c:v>0.49625884514210122</c:v>
                </c:pt>
                <c:pt idx="15">
                  <c:v>4.9027758286436649</c:v>
                </c:pt>
                <c:pt idx="16">
                  <c:v>-0.29481657806601497</c:v>
                </c:pt>
                <c:pt idx="17">
                  <c:v>0.36155818366086134</c:v>
                </c:pt>
              </c:numCache>
            </c:numRef>
          </c:val>
          <c:extLst>
            <c:ext xmlns:c16="http://schemas.microsoft.com/office/drawing/2014/chart" uri="{C3380CC4-5D6E-409C-BE32-E72D297353CC}">
              <c16:uniqueId val="{00000000-B8D6-4DDB-9234-FFAC6912DDC9}"/>
            </c:ext>
          </c:extLst>
        </c:ser>
        <c:ser>
          <c:idx val="3"/>
          <c:order val="2"/>
          <c:tx>
            <c:strRef>
              <c:f>'G1-SR-příjmy-příspěvky'!$A$36</c:f>
              <c:strCache>
                <c:ptCount val="1"/>
                <c:pt idx="0">
                  <c:v>Income tax of natural persons (NP), other</c:v>
                </c:pt>
              </c:strCache>
            </c:strRef>
          </c:tx>
          <c:spPr>
            <a:solidFill>
              <a:srgbClr val="BC5B80"/>
            </a:solidFill>
            <a:ln w="19050">
              <a:noFill/>
              <a:prstDash val="sysDot"/>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'G1-SR-příjmy-příspěvky'!$E$36:$V$36</c:f>
              <c:numCache>
                <c:formatCode>0.0</c:formatCode>
                <c:ptCount val="18"/>
                <c:pt idx="0">
                  <c:v>0.35321984125884731</c:v>
                </c:pt>
                <c:pt idx="1">
                  <c:v>-1.6643234919997321</c:v>
                </c:pt>
                <c:pt idx="2">
                  <c:v>0.37392515441443624</c:v>
                </c:pt>
                <c:pt idx="3">
                  <c:v>-0.6009771282805112</c:v>
                </c:pt>
                <c:pt idx="4">
                  <c:v>0.35271875617257653</c:v>
                </c:pt>
                <c:pt idx="5">
                  <c:v>-0.13614048598027936</c:v>
                </c:pt>
                <c:pt idx="6">
                  <c:v>5.5947782070069875E-2</c:v>
                </c:pt>
                <c:pt idx="7">
                  <c:v>0.29502687309996056</c:v>
                </c:pt>
                <c:pt idx="8">
                  <c:v>0.58137404580152963</c:v>
                </c:pt>
                <c:pt idx="9">
                  <c:v>6.7589193423445826E-2</c:v>
                </c:pt>
                <c:pt idx="10">
                  <c:v>0.27497666712976387</c:v>
                </c:pt>
                <c:pt idx="11">
                  <c:v>0.40549455394307277</c:v>
                </c:pt>
                <c:pt idx="12">
                  <c:v>-0.32978914864881037</c:v>
                </c:pt>
                <c:pt idx="13">
                  <c:v>0.714735210075371</c:v>
                </c:pt>
                <c:pt idx="14">
                  <c:v>1.1235494742441323</c:v>
                </c:pt>
                <c:pt idx="15">
                  <c:v>1.0754046813056035</c:v>
                </c:pt>
                <c:pt idx="16">
                  <c:v>0.22569119130030668</c:v>
                </c:pt>
                <c:pt idx="17">
                  <c:v>0.34230421385596932</c:v>
                </c:pt>
              </c:numCache>
            </c:numRef>
          </c:val>
          <c:extLst>
            <c:ext xmlns:c16="http://schemas.microsoft.com/office/drawing/2014/chart" uri="{C3380CC4-5D6E-409C-BE32-E72D297353CC}">
              <c16:uniqueId val="{00000001-B8D6-4DDB-9234-FFAC6912DDC9}"/>
            </c:ext>
          </c:extLst>
        </c:ser>
        <c:ser>
          <c:idx val="4"/>
          <c:order val="3"/>
          <c:tx>
            <c:strRef>
              <c:f>'G1-SR-příjmy-příspěvky'!$A$37</c:f>
              <c:strCache>
                <c:ptCount val="1"/>
                <c:pt idx="0">
                  <c:v>Income tax of NP from dependent acitivity</c:v>
                </c:pt>
              </c:strCache>
            </c:strRef>
          </c:tx>
          <c:spPr>
            <a:solidFill>
              <a:srgbClr val="D8A7B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'G1-SR-příjmy-příspěvky'!$E$37:$V$37</c:f>
              <c:numCache>
                <c:formatCode>0.0</c:formatCode>
                <c:ptCount val="18"/>
                <c:pt idx="0">
                  <c:v>-1.5527821256908552</c:v>
                </c:pt>
                <c:pt idx="1">
                  <c:v>-0.55432817834906578</c:v>
                </c:pt>
                <c:pt idx="2">
                  <c:v>0.12110936175366319</c:v>
                </c:pt>
                <c:pt idx="3">
                  <c:v>1.0852176920748835</c:v>
                </c:pt>
                <c:pt idx="4">
                  <c:v>5.9256751036993432E-2</c:v>
                </c:pt>
                <c:pt idx="5">
                  <c:v>0.87184917284340824</c:v>
                </c:pt>
                <c:pt idx="6">
                  <c:v>0.63141068336219441</c:v>
                </c:pt>
                <c:pt idx="7">
                  <c:v>0.67343090598904543</c:v>
                </c:pt>
                <c:pt idx="8">
                  <c:v>1.6207633587786254</c:v>
                </c:pt>
                <c:pt idx="9">
                  <c:v>2.236075815759023</c:v>
                </c:pt>
                <c:pt idx="10">
                  <c:v>2.5650495208593473</c:v>
                </c:pt>
                <c:pt idx="11">
                  <c:v>2.2145487595779794</c:v>
                </c:pt>
                <c:pt idx="12">
                  <c:v>-1.0526560208410929</c:v>
                </c:pt>
                <c:pt idx="13">
                  <c:v>-6.4557034146693049</c:v>
                </c:pt>
                <c:pt idx="14">
                  <c:v>1.0630342864068225</c:v>
                </c:pt>
                <c:pt idx="15">
                  <c:v>2.2839349884944498</c:v>
                </c:pt>
                <c:pt idx="16">
                  <c:v>1.7763016879021229</c:v>
                </c:pt>
                <c:pt idx="17">
                  <c:v>1.5550031443361572</c:v>
                </c:pt>
              </c:numCache>
            </c:numRef>
          </c:val>
          <c:extLst>
            <c:ext xmlns:c16="http://schemas.microsoft.com/office/drawing/2014/chart" uri="{C3380CC4-5D6E-409C-BE32-E72D297353CC}">
              <c16:uniqueId val="{00000002-B8D6-4DDB-9234-FFAC6912DDC9}"/>
            </c:ext>
          </c:extLst>
        </c:ser>
        <c:ser>
          <c:idx val="2"/>
          <c:order val="4"/>
          <c:tx>
            <c:strRef>
              <c:f>'G1-SR-příjmy-příspěvky'!$A$38</c:f>
              <c:strCache>
                <c:ptCount val="1"/>
                <c:pt idx="0">
                  <c:v>Corporate tax</c:v>
                </c:pt>
              </c:strCache>
            </c:strRef>
          </c:tx>
          <c:spPr>
            <a:solidFill>
              <a:srgbClr val="86BF5E"/>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'G1-SR-příjmy-příspěvky'!$E$38:$V$38</c:f>
              <c:numCache>
                <c:formatCode>0.0</c:formatCode>
                <c:ptCount val="18"/>
                <c:pt idx="0">
                  <c:v>2.7315667724017554</c:v>
                </c:pt>
                <c:pt idx="1">
                  <c:v>-8.4233781883912382</c:v>
                </c:pt>
                <c:pt idx="2">
                  <c:v>0.64490735133825949</c:v>
                </c:pt>
                <c:pt idx="3">
                  <c:v>-0.82868548863619895</c:v>
                </c:pt>
                <c:pt idx="4">
                  <c:v>1.3953553994187209</c:v>
                </c:pt>
                <c:pt idx="5">
                  <c:v>-1.0011138767034737</c:v>
                </c:pt>
                <c:pt idx="6">
                  <c:v>1.5558811775675994</c:v>
                </c:pt>
                <c:pt idx="7">
                  <c:v>1.9381982837132317</c:v>
                </c:pt>
                <c:pt idx="8">
                  <c:v>2.1019847328244308</c:v>
                </c:pt>
                <c:pt idx="9">
                  <c:v>0.66800652833506335</c:v>
                </c:pt>
                <c:pt idx="10">
                  <c:v>0.35264183265496607</c:v>
                </c:pt>
                <c:pt idx="11">
                  <c:v>0.87073588998886708</c:v>
                </c:pt>
                <c:pt idx="12">
                  <c:v>-2.0708537130072977</c:v>
                </c:pt>
                <c:pt idx="13">
                  <c:v>3.8866812074729893</c:v>
                </c:pt>
                <c:pt idx="14">
                  <c:v>3.3224740440006921</c:v>
                </c:pt>
                <c:pt idx="15">
                  <c:v>6.5729866214661055</c:v>
                </c:pt>
                <c:pt idx="16">
                  <c:v>-1.5023121712316627</c:v>
                </c:pt>
                <c:pt idx="17">
                  <c:v>2.8529497380745044</c:v>
                </c:pt>
              </c:numCache>
            </c:numRef>
          </c:val>
          <c:extLst>
            <c:ext xmlns:c16="http://schemas.microsoft.com/office/drawing/2014/chart" uri="{C3380CC4-5D6E-409C-BE32-E72D297353CC}">
              <c16:uniqueId val="{00000003-B8D6-4DDB-9234-FFAC6912DDC9}"/>
            </c:ext>
          </c:extLst>
        </c:ser>
        <c:ser>
          <c:idx val="5"/>
          <c:order val="5"/>
          <c:tx>
            <c:strRef>
              <c:f>'G1-SR-příjmy-příspěvky'!$A$39</c:f>
              <c:strCache>
                <c:ptCount val="1"/>
                <c:pt idx="0">
                  <c:v>Consumption tax</c:v>
                </c:pt>
              </c:strCache>
            </c:strRef>
          </c:tx>
          <c:spPr>
            <a:solidFill>
              <a:srgbClr val="009CB5"/>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'G1-SR-příjmy-příspěvky'!$E$39:$V$39</c:f>
              <c:numCache>
                <c:formatCode>0.0</c:formatCode>
                <c:ptCount val="18"/>
                <c:pt idx="0">
                  <c:v>-0.82002410205975451</c:v>
                </c:pt>
                <c:pt idx="1">
                  <c:v>-0.26243556269666019</c:v>
                </c:pt>
                <c:pt idx="2">
                  <c:v>1.0899842557829751</c:v>
                </c:pt>
                <c:pt idx="3">
                  <c:v>1.1976306800985765</c:v>
                </c:pt>
                <c:pt idx="4">
                  <c:v>2.8217500493804677E-2</c:v>
                </c:pt>
                <c:pt idx="5">
                  <c:v>-0.46205255847852811</c:v>
                </c:pt>
                <c:pt idx="6">
                  <c:v>-0.28107100039962413</c:v>
                </c:pt>
                <c:pt idx="7">
                  <c:v>1.1788247668646334</c:v>
                </c:pt>
                <c:pt idx="8">
                  <c:v>0.94412213740457995</c:v>
                </c:pt>
                <c:pt idx="9">
                  <c:v>0.51818381624642551</c:v>
                </c:pt>
                <c:pt idx="10">
                  <c:v>0.48698157842828721</c:v>
                </c:pt>
                <c:pt idx="11">
                  <c:v>-3.2322029662130096E-2</c:v>
                </c:pt>
                <c:pt idx="12">
                  <c:v>-0.43076419151862821</c:v>
                </c:pt>
                <c:pt idx="13">
                  <c:v>-0.47146544798768414</c:v>
                </c:pt>
                <c:pt idx="14">
                  <c:v>0.28868970114686049</c:v>
                </c:pt>
                <c:pt idx="15">
                  <c:v>-0.4259694478513813</c:v>
                </c:pt>
                <c:pt idx="16">
                  <c:v>1.1238251545622735</c:v>
                </c:pt>
                <c:pt idx="17">
                  <c:v>0.28480332512505774</c:v>
                </c:pt>
              </c:numCache>
            </c:numRef>
          </c:val>
          <c:extLst>
            <c:ext xmlns:c16="http://schemas.microsoft.com/office/drawing/2014/chart" uri="{C3380CC4-5D6E-409C-BE32-E72D297353CC}">
              <c16:uniqueId val="{00000004-B8D6-4DDB-9234-FFAC6912DDC9}"/>
            </c:ext>
          </c:extLst>
        </c:ser>
        <c:ser>
          <c:idx val="6"/>
          <c:order val="6"/>
          <c:tx>
            <c:strRef>
              <c:f>'G1-SR-příjmy-příspěvky'!$A$40</c:f>
              <c:strCache>
                <c:ptCount val="1"/>
                <c:pt idx="0">
                  <c:v>VAT</c:v>
                </c:pt>
              </c:strCache>
            </c:strRef>
          </c:tx>
          <c:spPr>
            <a:solidFill>
              <a:srgbClr val="9FC9D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'G1-SR-příjmy-příspěvky'!$E$40:$V$40</c:f>
              <c:numCache>
                <c:formatCode>0.0</c:formatCode>
                <c:ptCount val="18"/>
                <c:pt idx="0">
                  <c:v>2.6055157702270297</c:v>
                </c:pt>
                <c:pt idx="1">
                  <c:v>-0.21155519850036597</c:v>
                </c:pt>
                <c:pt idx="2">
                  <c:v>2.4131040329417468</c:v>
                </c:pt>
                <c:pt idx="3">
                  <c:v>0.84165621802354451</c:v>
                </c:pt>
                <c:pt idx="4">
                  <c:v>0.40068850701205366</c:v>
                </c:pt>
                <c:pt idx="5">
                  <c:v>4.1570978698826879</c:v>
                </c:pt>
                <c:pt idx="6">
                  <c:v>1.9208738510723284</c:v>
                </c:pt>
                <c:pt idx="7">
                  <c:v>1.1493220795546348</c:v>
                </c:pt>
                <c:pt idx="8">
                  <c:v>2.1838167938931385</c:v>
                </c:pt>
                <c:pt idx="9">
                  <c:v>3.6002510363555791</c:v>
                </c:pt>
                <c:pt idx="10">
                  <c:v>3.3186115323065706</c:v>
                </c:pt>
                <c:pt idx="11">
                  <c:v>1.7904445521930754</c:v>
                </c:pt>
                <c:pt idx="12">
                  <c:v>-0.47516406466208921</c:v>
                </c:pt>
                <c:pt idx="13">
                  <c:v>3.6157405564344214</c:v>
                </c:pt>
                <c:pt idx="14">
                  <c:v>6.9272296081153648</c:v>
                </c:pt>
                <c:pt idx="15">
                  <c:v>2.6134043336641883</c:v>
                </c:pt>
                <c:pt idx="16">
                  <c:v>1.2221150202102156</c:v>
                </c:pt>
                <c:pt idx="17">
                  <c:v>2.7407325750482823</c:v>
                </c:pt>
              </c:numCache>
            </c:numRef>
          </c:val>
          <c:extLst>
            <c:ext xmlns:c16="http://schemas.microsoft.com/office/drawing/2014/chart" uri="{C3380CC4-5D6E-409C-BE32-E72D297353CC}">
              <c16:uniqueId val="{00000005-B8D6-4DDB-9234-FFAC6912DDC9}"/>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'G1-SR-příjmy-příspěvky'!$A$34</c:f>
              <c:strCache>
                <c:ptCount val="1"/>
                <c:pt idx="0">
                  <c:v>Total tax income (excl. soc.security premiums)</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'G1-SR-příjmy-příspěvky'!$E$34:$V$34</c:f>
              <c:numCache>
                <c:formatCode>0.0</c:formatCode>
                <c:ptCount val="18"/>
                <c:pt idx="0">
                  <c:v>3.4518582134001958</c:v>
                </c:pt>
                <c:pt idx="1">
                  <c:v>-11.55385954341568</c:v>
                </c:pt>
                <c:pt idx="2">
                  <c:v>5.0426910500181705</c:v>
                </c:pt>
                <c:pt idx="3">
                  <c:v>2.1488175018375131</c:v>
                </c:pt>
                <c:pt idx="4">
                  <c:v>2.5974209204548901</c:v>
                </c:pt>
                <c:pt idx="5">
                  <c:v>3.2329927529256319</c:v>
                </c:pt>
                <c:pt idx="6">
                  <c:v>3.8484081523910909</c:v>
                </c:pt>
                <c:pt idx="7">
                  <c:v>5.0231531959106652</c:v>
                </c:pt>
                <c:pt idx="8">
                  <c:v>8.4233130124470499</c:v>
                </c:pt>
                <c:pt idx="9">
                  <c:v>7.3325533507056866</c:v>
                </c:pt>
                <c:pt idx="10">
                  <c:v>7.1543652092027248</c:v>
                </c:pt>
                <c:pt idx="11">
                  <c:v>5.7050546519679441</c:v>
                </c:pt>
                <c:pt idx="12">
                  <c:v>-4.6043003213855052</c:v>
                </c:pt>
                <c:pt idx="13">
                  <c:v>1.6791140700647162</c:v>
                </c:pt>
                <c:pt idx="14">
                  <c:v>13.221235959055972</c:v>
                </c:pt>
                <c:pt idx="15">
                  <c:v>17.022537005722633</c:v>
                </c:pt>
                <c:pt idx="16">
                  <c:v>2.5508043046772406</c:v>
                </c:pt>
                <c:pt idx="17">
                  <c:v>8.1373511801008327</c:v>
                </c:pt>
              </c:numCache>
            </c:numRef>
          </c:val>
          <c:smooth val="0"/>
          <c:extLst>
            <c:ext xmlns:c16="http://schemas.microsoft.com/office/drawing/2014/chart" uri="{C3380CC4-5D6E-409C-BE32-E72D297353CC}">
              <c16:uniqueId val="{00000006-B8D6-4DDB-9234-FFAC6912DDC9}"/>
            </c:ext>
          </c:extLst>
        </c:ser>
        <c:ser>
          <c:idx val="7"/>
          <c:order val="7"/>
          <c:tx>
            <c:strRef>
              <c:f>'G1-SR-příjmy-příspěvky'!$A$41</c:f>
              <c:strCache>
                <c:ptCount val="1"/>
                <c:pt idx="0">
                  <c:v>Social security premiums revenues*</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'G1-SR-příjmy-příspěvky'!$E$41:$V$41</c:f>
              <c:numCache>
                <c:formatCode>0.0</c:formatCode>
                <c:ptCount val="18"/>
                <c:pt idx="0">
                  <c:v>4.963380435078534</c:v>
                </c:pt>
                <c:pt idx="1">
                  <c:v>-9.7530608009960531</c:v>
                </c:pt>
                <c:pt idx="2">
                  <c:v>2.2763853759484789</c:v>
                </c:pt>
                <c:pt idx="3">
                  <c:v>3.0856564748201549</c:v>
                </c:pt>
                <c:pt idx="4">
                  <c:v>1.2812823728258991</c:v>
                </c:pt>
                <c:pt idx="5">
                  <c:v>0.18004546818745837</c:v>
                </c:pt>
                <c:pt idx="6">
                  <c:v>2.8854393544132932</c:v>
                </c:pt>
                <c:pt idx="7">
                  <c:v>5.7035679195659696</c:v>
                </c:pt>
                <c:pt idx="8">
                  <c:v>5.8487562070294956</c:v>
                </c:pt>
                <c:pt idx="9">
                  <c:v>8.8257477392857737</c:v>
                </c:pt>
                <c:pt idx="10">
                  <c:v>10.091138884587664</c:v>
                </c:pt>
                <c:pt idx="11">
                  <c:v>7.4794726724714025</c:v>
                </c:pt>
                <c:pt idx="12">
                  <c:v>-2.0257445497974231</c:v>
                </c:pt>
                <c:pt idx="13">
                  <c:v>10.169913745206131</c:v>
                </c:pt>
                <c:pt idx="14">
                  <c:v>7.0843896490699052</c:v>
                </c:pt>
                <c:pt idx="15">
                  <c:v>8.0778415217012167</c:v>
                </c:pt>
                <c:pt idx="16">
                  <c:v>9.205598007851961</c:v>
                </c:pt>
                <c:pt idx="17">
                  <c:v>7.126082940661064</c:v>
                </c:pt>
              </c:numCache>
            </c:numRef>
          </c:val>
          <c:smooth val="0"/>
          <c:extLst>
            <c:ext xmlns:c16="http://schemas.microsoft.com/office/drawing/2014/chart" uri="{C3380CC4-5D6E-409C-BE32-E72D297353CC}">
              <c16:uniqueId val="{00000007-B8D6-4DDB-9234-FFAC6912DDC9}"/>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'G1-SR-příjmy-příspěvky'!$A$42</c:f>
              <c:strCache>
                <c:ptCount val="1"/>
                <c:pt idx="0">
                  <c:v>State budget (SB) balance</c:v>
                </c:pt>
              </c:strCache>
            </c:strRef>
          </c:tx>
          <c:spPr>
            <a:ln w="19050">
              <a:solidFill>
                <a:srgbClr val="CC9610"/>
              </a:solidFill>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'G1-SR-příjmy-příspěvky'!$E$42:$V$42</c:f>
              <c:numCache>
                <c:formatCode>#\ ##0.0</c:formatCode>
                <c:ptCount val="18"/>
                <c:pt idx="0">
                  <c:v>-20.003</c:v>
                </c:pt>
                <c:pt idx="1">
                  <c:v>-192.39400000000001</c:v>
                </c:pt>
                <c:pt idx="2">
                  <c:v>-156.416</c:v>
                </c:pt>
                <c:pt idx="3">
                  <c:v>-142.77099999999999</c:v>
                </c:pt>
                <c:pt idx="4">
                  <c:v>-101</c:v>
                </c:pt>
                <c:pt idx="5">
                  <c:v>-81.263999999999996</c:v>
                </c:pt>
                <c:pt idx="6">
                  <c:v>-77.78</c:v>
                </c:pt>
                <c:pt idx="7">
                  <c:v>-62.8</c:v>
                </c:pt>
                <c:pt idx="8">
                  <c:v>61.77</c:v>
                </c:pt>
                <c:pt idx="9">
                  <c:v>-6.15</c:v>
                </c:pt>
                <c:pt idx="10">
                  <c:v>2.94</c:v>
                </c:pt>
                <c:pt idx="11">
                  <c:v>-28.52</c:v>
                </c:pt>
                <c:pt idx="12">
                  <c:v>-367.44914888590029</c:v>
                </c:pt>
                <c:pt idx="13">
                  <c:v>-419.6878585549</c:v>
                </c:pt>
                <c:pt idx="14">
                  <c:v>-360.40048457025</c:v>
                </c:pt>
                <c:pt idx="15">
                  <c:v>-288.51503705804953</c:v>
                </c:pt>
                <c:pt idx="16">
                  <c:v>-271.39878275976116</c:v>
                </c:pt>
                <c:pt idx="17">
                  <c:v>-290.68456390893016</c:v>
                </c:pt>
              </c:numCache>
            </c:numRef>
          </c:val>
          <c:smooth val="0"/>
          <c:extLst>
            <c:ext xmlns:c16="http://schemas.microsoft.com/office/drawing/2014/chart" uri="{C3380CC4-5D6E-409C-BE32-E72D297353CC}">
              <c16:uniqueId val="{00000008-B8D6-4DDB-9234-FFAC6912DDC9}"/>
            </c:ext>
          </c:extLst>
        </c:ser>
        <c:ser>
          <c:idx val="9"/>
          <c:order val="9"/>
          <c:tx>
            <c:strRef>
              <c:f>'G1-SR-příjmy-příspěvky'!$A$43</c:f>
              <c:strCache>
                <c:ptCount val="1"/>
                <c:pt idx="0">
                  <c:v>SB balance adjusted for EU and FM effect**</c:v>
                </c:pt>
              </c:strCache>
            </c:strRef>
          </c:tx>
          <c:spPr>
            <a:ln w="19050">
              <a:solidFill>
                <a:srgbClr val="CC9610"/>
              </a:solidFill>
              <a:prstDash val="sysDash"/>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'G1-SR-příjmy-příspěvky'!$E$43:$V$43</c:f>
              <c:numCache>
                <c:formatCode>General</c:formatCode>
                <c:ptCount val="18"/>
                <c:pt idx="2" formatCode="#\ ##0.0">
                  <c:v>-139.30000000000001</c:v>
                </c:pt>
                <c:pt idx="3" formatCode="#\ ##0.0">
                  <c:v>-117.5</c:v>
                </c:pt>
                <c:pt idx="4" formatCode="#\ ##0.0">
                  <c:v>-70.599999999999994</c:v>
                </c:pt>
                <c:pt idx="5" formatCode="#\ ##0.0">
                  <c:v>-81.73296260617991</c:v>
                </c:pt>
                <c:pt idx="6" formatCode="#\ ##0.0">
                  <c:v>-64.099999999999994</c:v>
                </c:pt>
                <c:pt idx="7" formatCode="#\ ##0.0">
                  <c:v>-41.7</c:v>
                </c:pt>
                <c:pt idx="8" formatCode="#\ ##0.0">
                  <c:v>-13.6</c:v>
                </c:pt>
                <c:pt idx="9" formatCode="#\ ##0.0">
                  <c:v>-1.3</c:v>
                </c:pt>
                <c:pt idx="10" formatCode="#\ ##0.0">
                  <c:v>-3.5</c:v>
                </c:pt>
                <c:pt idx="11" formatCode="#\ ##0.0">
                  <c:v>-29.2</c:v>
                </c:pt>
                <c:pt idx="12" formatCode="#\ ##0.0">
                  <c:v>-364.9</c:v>
                </c:pt>
                <c:pt idx="13" formatCode="#\ ##0.0">
                  <c:v>-408.62534300788002</c:v>
                </c:pt>
                <c:pt idx="14" formatCode="#\ ##0.0">
                  <c:v>-316.78614650160944</c:v>
                </c:pt>
                <c:pt idx="15" formatCode="#\ ##0.0">
                  <c:v>-300.61728585086007</c:v>
                </c:pt>
                <c:pt idx="16" formatCode="#\ ##0.0">
                  <c:v>-288.86586302725118</c:v>
                </c:pt>
                <c:pt idx="17" formatCode="#\ ##0.0">
                  <c:v>-249.91807521373039</c:v>
                </c:pt>
              </c:numCache>
            </c:numRef>
          </c:val>
          <c:smooth val="0"/>
          <c:extLst>
            <c:ext xmlns:c16="http://schemas.microsoft.com/office/drawing/2014/chart" uri="{C3380CC4-5D6E-409C-BE32-E72D297353CC}">
              <c16:uniqueId val="{00000009-B8D6-4DDB-9234-FFAC6912DDC9}"/>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18"/>
          <c:min val="-27"/>
        </c:scaling>
        <c:delete val="0"/>
        <c:axPos val="l"/>
        <c:majorGridlines>
          <c:spPr>
            <a:ln w="6350">
              <a:solidFill>
                <a:schemeClr val="bg1">
                  <a:lumMod val="75000"/>
                </a:schemeClr>
              </a:solidFill>
            </a:ln>
          </c:spPr>
        </c:majorGridlines>
        <c:title>
          <c:tx>
            <c:rich>
              <a:bodyPr/>
              <a:lstStyle/>
              <a:p>
                <a:pPr>
                  <a:defRPr b="0"/>
                </a:pPr>
                <a:r>
                  <a:rPr lang="cs-CZ" b="0"/>
                  <a:t>Insurance revenue growth, Contribution to rax revenue growth </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300"/>
          <c:min val="-450"/>
        </c:scaling>
        <c:delete val="0"/>
        <c:axPos val="r"/>
        <c:title>
          <c:tx>
            <c:rich>
              <a:bodyPr/>
              <a:lstStyle/>
              <a:p>
                <a:pPr>
                  <a:defRPr b="0"/>
                </a:pPr>
                <a:r>
                  <a:rPr lang="cs-CZ" b="0"/>
                  <a:t>State budget balance</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5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noFill/>
        </a:ln>
      </c:spPr>
    </c:plotArea>
    <c:legend>
      <c:legendPos val="b"/>
      <c:layout>
        <c:manualLayout>
          <c:xMode val="edge"/>
          <c:yMode val="edge"/>
          <c:x val="4.3946120565914737E-3"/>
          <c:y val="0.83886939230239155"/>
          <c:w val="0.99003206827722934"/>
          <c:h val="0.1536733294810981"/>
        </c:manualLayout>
      </c:layout>
      <c:overlay val="0"/>
      <c:spPr>
        <a:ln w="6350">
          <a:solidFill>
            <a:schemeClr val="tx1"/>
          </a:solidFill>
        </a:ln>
      </c:spPr>
      <c:txPr>
        <a:bodyPr/>
        <a:lstStyle/>
        <a:p>
          <a:pPr>
            <a:defRPr sz="73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631741153750356E-2"/>
          <c:y val="1.7698902479006788E-2"/>
          <c:w val="0.82413891400339601"/>
          <c:h val="0.72727915094472939"/>
        </c:manualLayout>
      </c:layout>
      <c:barChart>
        <c:barDir val="col"/>
        <c:grouping val="clustered"/>
        <c:varyColors val="0"/>
        <c:ser>
          <c:idx val="0"/>
          <c:order val="0"/>
          <c:tx>
            <c:strRef>
              <c:f>'G2-St.rozpočet-výdaje-2024'!$B$32</c:f>
              <c:strCache>
                <c:ptCount val="1"/>
                <c:pt idx="0">
                  <c:v>Total current expenditures (right axis)</c:v>
                </c:pt>
              </c:strCache>
            </c:strRef>
          </c:tx>
          <c:spPr>
            <a:solidFill>
              <a:schemeClr val="bg1">
                <a:lumMod val="95000"/>
              </a:schemeClr>
            </a:solidFill>
            <a:ln w="6350">
              <a:solidFill>
                <a:schemeClr val="bg1">
                  <a:lumMod val="65000"/>
                </a:schemeClr>
              </a:solidFill>
            </a:ln>
          </c:spPr>
          <c:invertIfNegative val="0"/>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'G2-St.rozpočet-výdaje-2024'!$B$36:$B$53</c:f>
              <c:numCache>
                <c:formatCode>0.0</c:formatCode>
                <c:ptCount val="18"/>
                <c:pt idx="0">
                  <c:v>975.86</c:v>
                </c:pt>
                <c:pt idx="1">
                  <c:v>1032.78</c:v>
                </c:pt>
                <c:pt idx="2">
                  <c:v>1021.89</c:v>
                </c:pt>
                <c:pt idx="3">
                  <c:v>1031.83</c:v>
                </c:pt>
                <c:pt idx="4">
                  <c:v>1038.76</c:v>
                </c:pt>
                <c:pt idx="5">
                  <c:v>1070.8130000000001</c:v>
                </c:pt>
                <c:pt idx="6">
                  <c:v>1100.1020000000001</c:v>
                </c:pt>
                <c:pt idx="7">
                  <c:v>1121.6600000000001</c:v>
                </c:pt>
                <c:pt idx="8">
                  <c:v>1135.57</c:v>
                </c:pt>
                <c:pt idx="9">
                  <c:v>1198.05</c:v>
                </c:pt>
                <c:pt idx="10">
                  <c:v>1284.5</c:v>
                </c:pt>
                <c:pt idx="11">
                  <c:v>1412.5989294339895</c:v>
                </c:pt>
                <c:pt idx="12">
                  <c:v>1670.3085864663701</c:v>
                </c:pt>
                <c:pt idx="13">
                  <c:v>1729.78958897348</c:v>
                </c:pt>
                <c:pt idx="14">
                  <c:v>1797.9543482348001</c:v>
                </c:pt>
                <c:pt idx="15">
                  <c:v>1992.17183615831</c:v>
                </c:pt>
                <c:pt idx="16">
                  <c:v>2024.29896954112</c:v>
                </c:pt>
                <c:pt idx="17">
                  <c:v>2109.4088252373499</c:v>
                </c:pt>
              </c:numCache>
            </c:numRef>
          </c:val>
          <c:extLst>
            <c:ext xmlns:c16="http://schemas.microsoft.com/office/drawing/2014/chart" uri="{C3380CC4-5D6E-409C-BE32-E72D297353CC}">
              <c16:uniqueId val="{00000000-0617-4BFD-ACF5-5C7F5B366F5E}"/>
            </c:ext>
          </c:extLst>
        </c:ser>
        <c:ser>
          <c:idx val="1"/>
          <c:order val="1"/>
          <c:tx>
            <c:strRef>
              <c:f>'G2-St.rozpočet-výdaje-2024'!$C$32</c:f>
              <c:strCache>
                <c:ptCount val="1"/>
                <c:pt idx="0">
                  <c:v>In that expend. on pensions (right axis)</c:v>
                </c:pt>
              </c:strCache>
            </c:strRef>
          </c:tx>
          <c:spPr>
            <a:solidFill>
              <a:srgbClr val="D1D1D1"/>
            </a:solidFill>
            <a:ln w="6350">
              <a:solidFill>
                <a:schemeClr val="bg1">
                  <a:lumMod val="75000"/>
                </a:schemeClr>
              </a:solidFill>
            </a:ln>
          </c:spPr>
          <c:invertIfNegative val="0"/>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'G2-St.rozpočet-výdaje-2024'!$C$36:$C$53</c:f>
              <c:numCache>
                <c:formatCode>0.0</c:formatCode>
                <c:ptCount val="18"/>
                <c:pt idx="0">
                  <c:v>312.53199999999998</c:v>
                </c:pt>
                <c:pt idx="1">
                  <c:v>339.78800000000001</c:v>
                </c:pt>
                <c:pt idx="2">
                  <c:v>346.21300000000002</c:v>
                </c:pt>
                <c:pt idx="3">
                  <c:v>368.06900000000002</c:v>
                </c:pt>
                <c:pt idx="4">
                  <c:v>382.03100000000001</c:v>
                </c:pt>
                <c:pt idx="5">
                  <c:v>382.77300000000002</c:v>
                </c:pt>
                <c:pt idx="6">
                  <c:v>385.84</c:v>
                </c:pt>
                <c:pt idx="7">
                  <c:v>395.22</c:v>
                </c:pt>
                <c:pt idx="8">
                  <c:v>398.97</c:v>
                </c:pt>
                <c:pt idx="9">
                  <c:v>414.39</c:v>
                </c:pt>
                <c:pt idx="10">
                  <c:v>433.84407565780998</c:v>
                </c:pt>
                <c:pt idx="11">
                  <c:v>471.57754787601999</c:v>
                </c:pt>
                <c:pt idx="12">
                  <c:v>519.56821115258003</c:v>
                </c:pt>
                <c:pt idx="13">
                  <c:v>530.49962626152001</c:v>
                </c:pt>
                <c:pt idx="14">
                  <c:v>588.08604572466004</c:v>
                </c:pt>
                <c:pt idx="15">
                  <c:v>685.32250789549005</c:v>
                </c:pt>
                <c:pt idx="16">
                  <c:v>709.96444188773</c:v>
                </c:pt>
                <c:pt idx="17">
                  <c:v>715.82688185897007</c:v>
                </c:pt>
              </c:numCache>
            </c:numRef>
          </c:val>
          <c:extLst>
            <c:ext xmlns:c16="http://schemas.microsoft.com/office/drawing/2014/chart" uri="{C3380CC4-5D6E-409C-BE32-E72D297353CC}">
              <c16:uniqueId val="{00000001-0617-4BFD-ACF5-5C7F5B366F5E}"/>
            </c:ext>
          </c:extLst>
        </c:ser>
        <c:dLbls>
          <c:showLegendKey val="0"/>
          <c:showVal val="0"/>
          <c:showCatName val="0"/>
          <c:showSerName val="0"/>
          <c:showPercent val="0"/>
          <c:showBubbleSize val="0"/>
        </c:dLbls>
        <c:gapWidth val="85"/>
        <c:overlap val="62"/>
        <c:axId val="72836608"/>
        <c:axId val="72835072"/>
      </c:barChart>
      <c:lineChart>
        <c:grouping val="standard"/>
        <c:varyColors val="0"/>
        <c:ser>
          <c:idx val="6"/>
          <c:order val="2"/>
          <c:tx>
            <c:strRef>
              <c:f>'G2-St.rozpočet-výdaje-2024'!$D$32</c:f>
              <c:strCache>
                <c:ptCount val="1"/>
                <c:pt idx="0">
                  <c:v>Wages of employees in publ. admin.*</c:v>
                </c:pt>
              </c:strCache>
            </c:strRef>
          </c:tx>
          <c:spPr>
            <a:ln w="15875">
              <a:solidFill>
                <a:srgbClr val="E6C483"/>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'G2-St.rozpočet-výdaje-2024'!$D$36:$D$53</c:f>
              <c:numCache>
                <c:formatCode>0.0</c:formatCode>
                <c:ptCount val="18"/>
                <c:pt idx="0">
                  <c:v>97.33</c:v>
                </c:pt>
                <c:pt idx="1">
                  <c:v>100.19</c:v>
                </c:pt>
                <c:pt idx="2">
                  <c:v>97.67</c:v>
                </c:pt>
                <c:pt idx="3">
                  <c:v>89.6</c:v>
                </c:pt>
                <c:pt idx="4">
                  <c:v>90.45</c:v>
                </c:pt>
                <c:pt idx="5">
                  <c:v>92.375</c:v>
                </c:pt>
                <c:pt idx="6">
                  <c:v>96.582999999999998</c:v>
                </c:pt>
                <c:pt idx="7">
                  <c:v>104.19</c:v>
                </c:pt>
                <c:pt idx="8">
                  <c:v>109.86</c:v>
                </c:pt>
                <c:pt idx="9">
                  <c:v>120.08</c:v>
                </c:pt>
                <c:pt idx="10">
                  <c:v>133.9</c:v>
                </c:pt>
                <c:pt idx="11">
                  <c:v>143.72754730148006</c:v>
                </c:pt>
                <c:pt idx="12">
                  <c:v>150.49796216553</c:v>
                </c:pt>
                <c:pt idx="13">
                  <c:v>152.83601356255002</c:v>
                </c:pt>
                <c:pt idx="14">
                  <c:v>153.60033768561999</c:v>
                </c:pt>
                <c:pt idx="15">
                  <c:v>165.85338141482998</c:v>
                </c:pt>
                <c:pt idx="16">
                  <c:v>167.94144594688996</c:v>
                </c:pt>
                <c:pt idx="17">
                  <c:v>180.02784240655998</c:v>
                </c:pt>
              </c:numCache>
            </c:numRef>
          </c:val>
          <c:smooth val="0"/>
          <c:extLst>
            <c:ext xmlns:c16="http://schemas.microsoft.com/office/drawing/2014/chart" uri="{C3380CC4-5D6E-409C-BE32-E72D297353CC}">
              <c16:uniqueId val="{00000002-0617-4BFD-ACF5-5C7F5B366F5E}"/>
            </c:ext>
          </c:extLst>
        </c:ser>
        <c:ser>
          <c:idx val="7"/>
          <c:order val="3"/>
          <c:tx>
            <c:strRef>
              <c:f>'G2-St.rozpočet-výdaje-2024'!$E$32</c:f>
              <c:strCache>
                <c:ptCount val="1"/>
                <c:pt idx="0">
                  <c:v>Unemployment benefits</c:v>
                </c:pt>
              </c:strCache>
            </c:strRef>
          </c:tx>
          <c:spPr>
            <a:ln w="15875">
              <a:solidFill>
                <a:srgbClr val="D8A7B7"/>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'G2-St.rozpočet-výdaje-2024'!$E$36:$E$53</c:f>
              <c:numCache>
                <c:formatCode>0.0</c:formatCode>
                <c:ptCount val="18"/>
                <c:pt idx="0">
                  <c:v>7.11</c:v>
                </c:pt>
                <c:pt idx="1">
                  <c:v>15.077999999999999</c:v>
                </c:pt>
                <c:pt idx="2">
                  <c:v>13.355</c:v>
                </c:pt>
                <c:pt idx="3">
                  <c:v>10.349</c:v>
                </c:pt>
                <c:pt idx="4">
                  <c:v>8.76</c:v>
                </c:pt>
                <c:pt idx="5">
                  <c:v>9.65</c:v>
                </c:pt>
                <c:pt idx="6">
                  <c:v>9.2620000000000005</c:v>
                </c:pt>
                <c:pt idx="7">
                  <c:v>8.2759999999999998</c:v>
                </c:pt>
                <c:pt idx="8">
                  <c:v>8.2200000000000006</c:v>
                </c:pt>
                <c:pt idx="9">
                  <c:v>7.82</c:v>
                </c:pt>
                <c:pt idx="10">
                  <c:v>7.51</c:v>
                </c:pt>
                <c:pt idx="11">
                  <c:v>8.1136251569399995</c:v>
                </c:pt>
                <c:pt idx="12">
                  <c:v>10.524849742540001</c:v>
                </c:pt>
                <c:pt idx="13">
                  <c:v>9.9694941281400009</c:v>
                </c:pt>
                <c:pt idx="14">
                  <c:v>9.8510506837400005</c:v>
                </c:pt>
                <c:pt idx="15">
                  <c:v>10.449400058329999</c:v>
                </c:pt>
                <c:pt idx="16">
                  <c:v>12.86098902494</c:v>
                </c:pt>
                <c:pt idx="17">
                  <c:v>14.887388856789999</c:v>
                </c:pt>
              </c:numCache>
            </c:numRef>
          </c:val>
          <c:smooth val="0"/>
          <c:extLst>
            <c:ext xmlns:c16="http://schemas.microsoft.com/office/drawing/2014/chart" uri="{C3380CC4-5D6E-409C-BE32-E72D297353CC}">
              <c16:uniqueId val="{00000003-0617-4BFD-ACF5-5C7F5B366F5E}"/>
            </c:ext>
          </c:extLst>
        </c:ser>
        <c:ser>
          <c:idx val="2"/>
          <c:order val="4"/>
          <c:tx>
            <c:strRef>
              <c:f>'G2-St.rozpočet-výdaje-2024'!$F$32</c:f>
              <c:strCache>
                <c:ptCount val="1"/>
                <c:pt idx="0">
                  <c:v>State social support**</c:v>
                </c:pt>
              </c:strCache>
            </c:strRef>
          </c:tx>
          <c:spPr>
            <a:ln w="15875">
              <a:solidFill>
                <a:srgbClr val="BC5B80"/>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'G2-St.rozpočet-výdaje-2024'!$F$36:$F$53</c:f>
              <c:numCache>
                <c:formatCode>0.0</c:formatCode>
                <c:ptCount val="18"/>
                <c:pt idx="0">
                  <c:v>41.97</c:v>
                </c:pt>
                <c:pt idx="1">
                  <c:v>41.167999999999999</c:v>
                </c:pt>
                <c:pt idx="2">
                  <c:v>40.881</c:v>
                </c:pt>
                <c:pt idx="3">
                  <c:v>36.094000000000001</c:v>
                </c:pt>
                <c:pt idx="4">
                  <c:v>35.554000000000002</c:v>
                </c:pt>
                <c:pt idx="5">
                  <c:v>37.423000000000002</c:v>
                </c:pt>
                <c:pt idx="6">
                  <c:v>37.543999999999997</c:v>
                </c:pt>
                <c:pt idx="7">
                  <c:v>37.65</c:v>
                </c:pt>
                <c:pt idx="8">
                  <c:v>37.78</c:v>
                </c:pt>
                <c:pt idx="9">
                  <c:v>37.22</c:v>
                </c:pt>
                <c:pt idx="10">
                  <c:v>39.22</c:v>
                </c:pt>
                <c:pt idx="11">
                  <c:v>37.87859106618</c:v>
                </c:pt>
                <c:pt idx="12">
                  <c:v>51.685289497479999</c:v>
                </c:pt>
                <c:pt idx="13">
                  <c:v>48.771589956349999</c:v>
                </c:pt>
                <c:pt idx="14">
                  <c:v>56.352518862019998</c:v>
                </c:pt>
                <c:pt idx="15">
                  <c:v>59.946979211910005</c:v>
                </c:pt>
                <c:pt idx="16">
                  <c:v>60.254299653700002</c:v>
                </c:pt>
                <c:pt idx="17">
                  <c:v>62.688521025519996</c:v>
                </c:pt>
              </c:numCache>
            </c:numRef>
          </c:val>
          <c:smooth val="0"/>
          <c:extLst>
            <c:ext xmlns:c16="http://schemas.microsoft.com/office/drawing/2014/chart" uri="{C3380CC4-5D6E-409C-BE32-E72D297353CC}">
              <c16:uniqueId val="{00000004-0617-4BFD-ACF5-5C7F5B366F5E}"/>
            </c:ext>
          </c:extLst>
        </c:ser>
        <c:ser>
          <c:idx val="3"/>
          <c:order val="5"/>
          <c:tx>
            <c:strRef>
              <c:f>'G2-St.rozpočet-výdaje-2024'!$G$32</c:f>
              <c:strCache>
                <c:ptCount val="1"/>
                <c:pt idx="0">
                  <c:v>Sickness benefits</c:v>
                </c:pt>
              </c:strCache>
            </c:strRef>
          </c:tx>
          <c:spPr>
            <a:ln w="15875">
              <a:solidFill>
                <a:srgbClr val="009CB5"/>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'G2-St.rozpočet-výdaje-2024'!$G$36:$G$53</c:f>
              <c:numCache>
                <c:formatCode>0.0</c:formatCode>
                <c:ptCount val="18"/>
                <c:pt idx="0">
                  <c:v>31.882000000000001</c:v>
                </c:pt>
                <c:pt idx="1">
                  <c:v>26.233000000000001</c:v>
                </c:pt>
                <c:pt idx="2">
                  <c:v>22.995999999999999</c:v>
                </c:pt>
                <c:pt idx="3">
                  <c:v>21.734000000000002</c:v>
                </c:pt>
                <c:pt idx="4">
                  <c:v>19.602</c:v>
                </c:pt>
                <c:pt idx="5">
                  <c:v>20.350000000000001</c:v>
                </c:pt>
                <c:pt idx="6">
                  <c:v>22.283000000000001</c:v>
                </c:pt>
                <c:pt idx="7">
                  <c:v>24.31</c:v>
                </c:pt>
                <c:pt idx="8">
                  <c:v>26.5</c:v>
                </c:pt>
                <c:pt idx="9">
                  <c:v>28.57</c:v>
                </c:pt>
                <c:pt idx="10">
                  <c:v>34.261000000000003</c:v>
                </c:pt>
                <c:pt idx="11">
                  <c:v>39.229999999999997</c:v>
                </c:pt>
                <c:pt idx="12">
                  <c:v>55.610999999999997</c:v>
                </c:pt>
                <c:pt idx="13">
                  <c:v>51.904000000000003</c:v>
                </c:pt>
                <c:pt idx="14">
                  <c:v>48.125999999999998</c:v>
                </c:pt>
                <c:pt idx="15">
                  <c:v>45.918999999999997</c:v>
                </c:pt>
                <c:pt idx="16">
                  <c:v>48.03</c:v>
                </c:pt>
                <c:pt idx="17">
                  <c:v>49.4</c:v>
                </c:pt>
              </c:numCache>
            </c:numRef>
          </c:val>
          <c:smooth val="0"/>
          <c:extLst>
            <c:ext xmlns:c16="http://schemas.microsoft.com/office/drawing/2014/chart" uri="{C3380CC4-5D6E-409C-BE32-E72D297353CC}">
              <c16:uniqueId val="{00000005-0617-4BFD-ACF5-5C7F5B366F5E}"/>
            </c:ext>
          </c:extLst>
        </c:ser>
        <c:ser>
          <c:idx val="4"/>
          <c:order val="6"/>
          <c:tx>
            <c:strRef>
              <c:f>'G2-St.rozpočet-výdaje-2024'!$H$32</c:f>
              <c:strCache>
                <c:ptCount val="1"/>
                <c:pt idx="0">
                  <c:v>Social care benefits***</c:v>
                </c:pt>
              </c:strCache>
            </c:strRef>
          </c:tx>
          <c:spPr>
            <a:ln w="15875">
              <a:solidFill>
                <a:srgbClr val="86BF04"/>
              </a:solidFill>
              <a:prstDash val="solid"/>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'G2-St.rozpočet-výdaje-2024'!$H$36:$H$53</c:f>
              <c:numCache>
                <c:formatCode>General</c:formatCode>
                <c:ptCount val="18"/>
                <c:pt idx="4" formatCode="0.0">
                  <c:v>27.695499999999999</c:v>
                </c:pt>
                <c:pt idx="5" formatCode="0.0">
                  <c:v>31.978999999999999</c:v>
                </c:pt>
                <c:pt idx="6" formatCode="0.0">
                  <c:v>33.622</c:v>
                </c:pt>
                <c:pt idx="7" formatCode="0.0">
                  <c:v>33.621000000000002</c:v>
                </c:pt>
                <c:pt idx="8" formatCode="0.0">
                  <c:v>34.295000000000002</c:v>
                </c:pt>
                <c:pt idx="9" formatCode="0.0">
                  <c:v>34.439</c:v>
                </c:pt>
                <c:pt idx="10" formatCode="0.0">
                  <c:v>33.990400000000001</c:v>
                </c:pt>
                <c:pt idx="11" formatCode="0.0">
                  <c:v>36.831099999999999</c:v>
                </c:pt>
                <c:pt idx="12" formatCode="0.0">
                  <c:v>40.510200000000005</c:v>
                </c:pt>
                <c:pt idx="13" formatCode="0.0">
                  <c:v>40.520200000000003</c:v>
                </c:pt>
                <c:pt idx="14" formatCode="0.0">
                  <c:v>53.4238</c:v>
                </c:pt>
                <c:pt idx="15" formatCode="0.0">
                  <c:v>53.747900000000001</c:v>
                </c:pt>
                <c:pt idx="16" formatCode="0.0">
                  <c:v>59.666800000000002</c:v>
                </c:pt>
                <c:pt idx="17" formatCode="0.0">
                  <c:v>65.991480800000005</c:v>
                </c:pt>
              </c:numCache>
            </c:numRef>
          </c:val>
          <c:smooth val="0"/>
          <c:extLst>
            <c:ext xmlns:c16="http://schemas.microsoft.com/office/drawing/2014/chart" uri="{C3380CC4-5D6E-409C-BE32-E72D297353CC}">
              <c16:uniqueId val="{00000006-0617-4BFD-ACF5-5C7F5B366F5E}"/>
            </c:ext>
          </c:extLst>
        </c:ser>
        <c:ser>
          <c:idx val="5"/>
          <c:order val="7"/>
          <c:tx>
            <c:strRef>
              <c:f>'G2-St.rozpočet-výdaje-2024'!$I$32</c:f>
              <c:strCache>
                <c:ptCount val="1"/>
                <c:pt idx="0">
                  <c:v>Non-investment transfers to commercial ent.</c:v>
                </c:pt>
              </c:strCache>
            </c:strRef>
          </c:tx>
          <c:spPr>
            <a:ln w="9525">
              <a:solidFill>
                <a:srgbClr val="CC9610"/>
              </a:solidFill>
              <a:prstDash val="sysDot"/>
            </a:ln>
          </c:spPr>
          <c:marker>
            <c:symbol val="circle"/>
            <c:size val="5"/>
            <c:spPr>
              <a:solidFill>
                <a:schemeClr val="bg1"/>
              </a:solidFill>
              <a:ln>
                <a:solidFill>
                  <a:srgbClr val="CC9610"/>
                </a:solidFill>
              </a:ln>
            </c:spPr>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'G2-St.rozpočet-výdaje-2024'!$I$36:$I$53</c:f>
              <c:numCache>
                <c:formatCode>0.0</c:formatCode>
                <c:ptCount val="18"/>
                <c:pt idx="0">
                  <c:v>26.108000000000001</c:v>
                </c:pt>
                <c:pt idx="1">
                  <c:v>28.491</c:v>
                </c:pt>
                <c:pt idx="2">
                  <c:v>28.100999999999999</c:v>
                </c:pt>
                <c:pt idx="3">
                  <c:v>33.262999999999998</c:v>
                </c:pt>
                <c:pt idx="4">
                  <c:v>35.61</c:v>
                </c:pt>
                <c:pt idx="5">
                  <c:v>35.03</c:v>
                </c:pt>
                <c:pt idx="6">
                  <c:v>41.23</c:v>
                </c:pt>
                <c:pt idx="7">
                  <c:v>39.14</c:v>
                </c:pt>
                <c:pt idx="8">
                  <c:v>44.23</c:v>
                </c:pt>
                <c:pt idx="9">
                  <c:v>48.3</c:v>
                </c:pt>
                <c:pt idx="10">
                  <c:v>57.32</c:v>
                </c:pt>
                <c:pt idx="11">
                  <c:v>57.932912725290002</c:v>
                </c:pt>
                <c:pt idx="12">
                  <c:v>106.75302514385</c:v>
                </c:pt>
                <c:pt idx="13">
                  <c:v>125.41352918255001</c:v>
                </c:pt>
                <c:pt idx="14">
                  <c:v>89.292856818779995</c:v>
                </c:pt>
                <c:pt idx="15">
                  <c:v>137.69890614772999</c:v>
                </c:pt>
                <c:pt idx="16">
                  <c:v>66.535549576650013</c:v>
                </c:pt>
                <c:pt idx="17">
                  <c:v>69.279952920100001</c:v>
                </c:pt>
              </c:numCache>
            </c:numRef>
          </c:val>
          <c:smooth val="0"/>
          <c:extLst>
            <c:ext xmlns:c16="http://schemas.microsoft.com/office/drawing/2014/chart" uri="{C3380CC4-5D6E-409C-BE32-E72D297353CC}">
              <c16:uniqueId val="{00000007-0617-4BFD-ACF5-5C7F5B366F5E}"/>
            </c:ext>
          </c:extLst>
        </c:ser>
        <c:ser>
          <c:idx val="9"/>
          <c:order val="8"/>
          <c:tx>
            <c:strRef>
              <c:f>'G2-St.rozpočet-výdaje-2024'!$J$32</c:f>
              <c:strCache>
                <c:ptCount val="1"/>
                <c:pt idx="0">
                  <c:v>Non-investment purchases****</c:v>
                </c:pt>
              </c:strCache>
            </c:strRef>
          </c:tx>
          <c:spPr>
            <a:ln w="15875">
              <a:solidFill>
                <a:srgbClr val="8390A7"/>
              </a:solidFill>
              <a:prstDash val="solid"/>
            </a:ln>
          </c:spPr>
          <c:marker>
            <c:symbol val="none"/>
          </c:marker>
          <c:dPt>
            <c:idx val="4"/>
            <c:bubble3D val="0"/>
            <c:extLst>
              <c:ext xmlns:c16="http://schemas.microsoft.com/office/drawing/2014/chart" uri="{C3380CC4-5D6E-409C-BE32-E72D297353CC}">
                <c16:uniqueId val="{00000008-0617-4BFD-ACF5-5C7F5B366F5E}"/>
              </c:ext>
            </c:extLst>
          </c:dPt>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'G2-St.rozpočet-výdaje-2024'!$J$36:$J$53</c:f>
              <c:numCache>
                <c:formatCode>0.0</c:formatCode>
                <c:ptCount val="18"/>
                <c:pt idx="0">
                  <c:v>71.581999999999994</c:v>
                </c:pt>
                <c:pt idx="1">
                  <c:v>69.73</c:v>
                </c:pt>
                <c:pt idx="2">
                  <c:v>65.116</c:v>
                </c:pt>
                <c:pt idx="3">
                  <c:v>57.98</c:v>
                </c:pt>
                <c:pt idx="4">
                  <c:v>53.174999999999997</c:v>
                </c:pt>
                <c:pt idx="5">
                  <c:v>54.192999999999998</c:v>
                </c:pt>
                <c:pt idx="6">
                  <c:v>54.751000000000005</c:v>
                </c:pt>
                <c:pt idx="7">
                  <c:v>62.36</c:v>
                </c:pt>
                <c:pt idx="8">
                  <c:v>57.560000000000009</c:v>
                </c:pt>
                <c:pt idx="9">
                  <c:v>62.76</c:v>
                </c:pt>
                <c:pt idx="10">
                  <c:v>68.41</c:v>
                </c:pt>
                <c:pt idx="11">
                  <c:v>66.430000000000007</c:v>
                </c:pt>
                <c:pt idx="12">
                  <c:v>77.884951001920001</c:v>
                </c:pt>
                <c:pt idx="13">
                  <c:v>78.966372350420002</c:v>
                </c:pt>
                <c:pt idx="14">
                  <c:v>91.193704519299956</c:v>
                </c:pt>
                <c:pt idx="15">
                  <c:v>81.520509210230003</c:v>
                </c:pt>
                <c:pt idx="16">
                  <c:v>94.458819465009967</c:v>
                </c:pt>
                <c:pt idx="17">
                  <c:v>109.43083630714</c:v>
                </c:pt>
              </c:numCache>
            </c:numRef>
          </c:val>
          <c:smooth val="0"/>
          <c:extLst>
            <c:ext xmlns:c16="http://schemas.microsoft.com/office/drawing/2014/chart" uri="{C3380CC4-5D6E-409C-BE32-E72D297353CC}">
              <c16:uniqueId val="{00000009-0617-4BFD-ACF5-5C7F5B366F5E}"/>
            </c:ext>
          </c:extLst>
        </c:ser>
        <c:ser>
          <c:idx val="8"/>
          <c:order val="9"/>
          <c:tx>
            <c:strRef>
              <c:f>'G2-St.rozpočet-výdaje-2024'!$K$32</c:f>
              <c:strCache>
                <c:ptCount val="1"/>
                <c:pt idx="0">
                  <c:v>State debt (net expenditures)****</c:v>
                </c:pt>
              </c:strCache>
            </c:strRef>
          </c:tx>
          <c:spPr>
            <a:ln w="6350">
              <a:solidFill>
                <a:srgbClr val="BC5B80"/>
              </a:solidFill>
              <a:prstDash val="sysDot"/>
            </a:ln>
          </c:spPr>
          <c:marker>
            <c:symbol val="diamond"/>
            <c:size val="5"/>
            <c:spPr>
              <a:solidFill>
                <a:srgbClr val="BC5B80"/>
              </a:solidFill>
              <a:ln>
                <a:noFill/>
              </a:ln>
            </c:spPr>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'G2-St.rozpočet-výdaje-2024'!$K$36:$K$53</c:f>
              <c:numCache>
                <c:formatCode>0.0</c:formatCode>
                <c:ptCount val="18"/>
                <c:pt idx="0">
                  <c:v>37.64</c:v>
                </c:pt>
                <c:pt idx="1">
                  <c:v>44.46</c:v>
                </c:pt>
                <c:pt idx="2">
                  <c:v>35.840000000000003</c:v>
                </c:pt>
                <c:pt idx="3">
                  <c:v>45.120000000000005</c:v>
                </c:pt>
                <c:pt idx="4">
                  <c:v>41.400000000000006</c:v>
                </c:pt>
                <c:pt idx="5">
                  <c:v>50.89</c:v>
                </c:pt>
                <c:pt idx="6">
                  <c:v>48.49</c:v>
                </c:pt>
                <c:pt idx="7">
                  <c:v>45.28</c:v>
                </c:pt>
                <c:pt idx="8">
                  <c:v>40.65</c:v>
                </c:pt>
                <c:pt idx="9">
                  <c:v>39.769999999999996</c:v>
                </c:pt>
                <c:pt idx="10">
                  <c:v>40.729999999999997</c:v>
                </c:pt>
                <c:pt idx="11">
                  <c:v>39.550577993799998</c:v>
                </c:pt>
                <c:pt idx="12">
                  <c:v>40.145474011320005</c:v>
                </c:pt>
                <c:pt idx="13">
                  <c:v>42.233847726199997</c:v>
                </c:pt>
                <c:pt idx="14">
                  <c:v>49.705483243529997</c:v>
                </c:pt>
                <c:pt idx="15">
                  <c:v>68.31769375044</c:v>
                </c:pt>
                <c:pt idx="16">
                  <c:v>88.457587403429997</c:v>
                </c:pt>
                <c:pt idx="17">
                  <c:v>98.126376340890005</c:v>
                </c:pt>
              </c:numCache>
            </c:numRef>
          </c:val>
          <c:smooth val="0"/>
          <c:extLst>
            <c:ext xmlns:c16="http://schemas.microsoft.com/office/drawing/2014/chart" uri="{C3380CC4-5D6E-409C-BE32-E72D297353CC}">
              <c16:uniqueId val="{0000000A-0617-4BFD-ACF5-5C7F5B366F5E}"/>
            </c:ext>
          </c:extLst>
        </c:ser>
        <c:ser>
          <c:idx val="10"/>
          <c:order val="10"/>
          <c:tx>
            <c:strRef>
              <c:f>'G2-St.rozpočet-výdaje-2024'!$L$32</c:f>
              <c:strCache>
                <c:ptCount val="1"/>
                <c:pt idx="0">
                  <c:v>Capital expenditures</c:v>
                </c:pt>
              </c:strCache>
            </c:strRef>
          </c:tx>
          <c:spPr>
            <a:ln w="15875">
              <a:solidFill>
                <a:srgbClr val="8390A7"/>
              </a:solidFill>
              <a:prstDash val="sysDash"/>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'G2-St.rozpočet-výdaje-2024'!$L$36:$L$53</c:f>
              <c:numCache>
                <c:formatCode>0.0</c:formatCode>
                <c:ptCount val="18"/>
                <c:pt idx="0">
                  <c:v>108.08</c:v>
                </c:pt>
                <c:pt idx="1">
                  <c:v>134.22999999999999</c:v>
                </c:pt>
                <c:pt idx="2">
                  <c:v>134.91</c:v>
                </c:pt>
                <c:pt idx="3">
                  <c:v>123.69</c:v>
                </c:pt>
                <c:pt idx="4">
                  <c:v>113.62</c:v>
                </c:pt>
                <c:pt idx="5">
                  <c:v>102.315</c:v>
                </c:pt>
                <c:pt idx="6">
                  <c:v>111.50700000000001</c:v>
                </c:pt>
                <c:pt idx="7">
                  <c:v>175.66</c:v>
                </c:pt>
                <c:pt idx="8">
                  <c:v>84.27</c:v>
                </c:pt>
                <c:pt idx="9">
                  <c:v>81.75</c:v>
                </c:pt>
                <c:pt idx="10">
                  <c:v>116.46</c:v>
                </c:pt>
                <c:pt idx="11">
                  <c:v>139.13928546782003</c:v>
                </c:pt>
                <c:pt idx="12">
                  <c:v>172.62079654905</c:v>
                </c:pt>
                <c:pt idx="13">
                  <c:v>177.13556603782001</c:v>
                </c:pt>
                <c:pt idx="14">
                  <c:v>186.85457144361001</c:v>
                </c:pt>
                <c:pt idx="15">
                  <c:v>210.46592558279002</c:v>
                </c:pt>
                <c:pt idx="16">
                  <c:v>212.49180793746041</c:v>
                </c:pt>
                <c:pt idx="17">
                  <c:v>262.36460534138001</c:v>
                </c:pt>
              </c:numCache>
            </c:numRef>
          </c:val>
          <c:smooth val="0"/>
          <c:extLst>
            <c:ext xmlns:c16="http://schemas.microsoft.com/office/drawing/2014/chart" uri="{C3380CC4-5D6E-409C-BE32-E72D297353CC}">
              <c16:uniqueId val="{0000000B-0617-4BFD-ACF5-5C7F5B366F5E}"/>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sz="750"/>
            </a:pPr>
            <a:endParaRPr lang="cs-CZ"/>
          </a:p>
        </c:txPr>
        <c:crossAx val="72829184"/>
        <c:crosses val="autoZero"/>
        <c:auto val="1"/>
        <c:lblAlgn val="ctr"/>
        <c:lblOffset val="0"/>
        <c:noMultiLvlLbl val="0"/>
      </c:catAx>
      <c:valAx>
        <c:axId val="72829184"/>
        <c:scaling>
          <c:orientation val="minMax"/>
          <c:max val="270"/>
          <c:min val="0"/>
        </c:scaling>
        <c:delete val="0"/>
        <c:axPos val="l"/>
        <c:majorGridlines>
          <c:spPr>
            <a:ln w="6350">
              <a:solidFill>
                <a:schemeClr val="bg1">
                  <a:lumMod val="75000"/>
                </a:schemeClr>
              </a:solidFill>
            </a:ln>
          </c:spPr>
        </c:majorGridlines>
        <c:title>
          <c:tx>
            <c:rich>
              <a:bodyPr/>
              <a:lstStyle/>
              <a:p>
                <a:pPr>
                  <a:defRPr sz="700" b="0" i="1"/>
                </a:pPr>
                <a:r>
                  <a:rPr lang="cs-CZ" sz="700" b="0" i="1"/>
                  <a:t>Selected expenditures</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15"/>
      </c:valAx>
      <c:valAx>
        <c:axId val="72835072"/>
        <c:scaling>
          <c:orientation val="minMax"/>
          <c:max val="2250"/>
          <c:min val="0"/>
        </c:scaling>
        <c:delete val="0"/>
        <c:axPos val="r"/>
        <c:title>
          <c:tx>
            <c:rich>
              <a:bodyPr/>
              <a:lstStyle/>
              <a:p>
                <a:pPr>
                  <a:defRPr sz="700" b="0" i="1"/>
                </a:pPr>
                <a:r>
                  <a:rPr lang="cs-CZ" sz="700" b="0" i="1"/>
                  <a:t>Total current expenditures, Pensions</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25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6.1276612843142756E-3"/>
          <c:y val="0.81180120948849488"/>
          <c:w val="0.98597083668527008"/>
          <c:h val="0.18112677235287147"/>
        </c:manualLayout>
      </c:layout>
      <c:overlay val="0"/>
      <c:spPr>
        <a:ln w="6350">
          <a:solidFill>
            <a:schemeClr val="tx1"/>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55893706870088E-2"/>
          <c:y val="2.0804998806967311E-2"/>
          <c:w val="0.85715869620290541"/>
          <c:h val="0.73234263185050585"/>
        </c:manualLayout>
      </c:layout>
      <c:barChart>
        <c:barDir val="col"/>
        <c:grouping val="clustered"/>
        <c:varyColors val="0"/>
        <c:ser>
          <c:idx val="0"/>
          <c:order val="0"/>
          <c:tx>
            <c:strRef>
              <c:f>'G3-Sektor vlád.institucí (2)'!$A$117</c:f>
              <c:strCache>
                <c:ptCount val="1"/>
                <c:pt idx="0">
                  <c:v>Budget balance (EU27)</c:v>
                </c:pt>
              </c:strCache>
            </c:strRef>
          </c:tx>
          <c:spPr>
            <a:solidFill>
              <a:schemeClr val="bg2">
                <a:lumMod val="90000"/>
              </a:schemeClr>
            </a:solidFill>
            <a:ln>
              <a:solidFill>
                <a:schemeClr val="bg2">
                  <a:lumMod val="75000"/>
                </a:schemeClr>
              </a:solidFill>
            </a:ln>
            <a:effectLst/>
          </c:spPr>
          <c:invertIfNegative val="0"/>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(2)'!$F$117:$AR$117</c:f>
              <c:numCache>
                <c:formatCode>#\ ##0.##########</c:formatCode>
                <c:ptCount val="39"/>
                <c:pt idx="0">
                  <c:v>-1.6</c:v>
                </c:pt>
                <c:pt idx="1">
                  <c:v>-1.4</c:v>
                </c:pt>
                <c:pt idx="2">
                  <c:v>-1.6</c:v>
                </c:pt>
                <c:pt idx="3">
                  <c:v>-0.9</c:v>
                </c:pt>
                <c:pt idx="4">
                  <c:v>-0.9</c:v>
                </c:pt>
                <c:pt idx="5">
                  <c:v>-1.3</c:v>
                </c:pt>
                <c:pt idx="6">
                  <c:v>-0.8</c:v>
                </c:pt>
                <c:pt idx="7">
                  <c:v>-0.5</c:v>
                </c:pt>
                <c:pt idx="8">
                  <c:v>-0.2</c:v>
                </c:pt>
                <c:pt idx="9">
                  <c:v>-0.1</c:v>
                </c:pt>
                <c:pt idx="10">
                  <c:v>-0.5</c:v>
                </c:pt>
                <c:pt idx="11">
                  <c:v>-0.7</c:v>
                </c:pt>
                <c:pt idx="12">
                  <c:v>-0.2</c:v>
                </c:pt>
                <c:pt idx="13">
                  <c:v>-0.3</c:v>
                </c:pt>
                <c:pt idx="14">
                  <c:v>-0.7</c:v>
                </c:pt>
                <c:pt idx="15">
                  <c:v>-0.7</c:v>
                </c:pt>
                <c:pt idx="16">
                  <c:v>-2.8</c:v>
                </c:pt>
                <c:pt idx="17">
                  <c:v>-11.7</c:v>
                </c:pt>
                <c:pt idx="18">
                  <c:v>-6.1</c:v>
                </c:pt>
                <c:pt idx="19">
                  <c:v>-6.6</c:v>
                </c:pt>
                <c:pt idx="20">
                  <c:v>-6.2</c:v>
                </c:pt>
                <c:pt idx="21">
                  <c:v>-5.9</c:v>
                </c:pt>
                <c:pt idx="22">
                  <c:v>-3.5</c:v>
                </c:pt>
                <c:pt idx="23">
                  <c:v>-3.1</c:v>
                </c:pt>
                <c:pt idx="24">
                  <c:v>-2.2999999999999998</c:v>
                </c:pt>
                <c:pt idx="25">
                  <c:v>-2.2000000000000002</c:v>
                </c:pt>
                <c:pt idx="26">
                  <c:v>-3.7</c:v>
                </c:pt>
                <c:pt idx="27">
                  <c:v>-4.4000000000000004</c:v>
                </c:pt>
                <c:pt idx="28" formatCode="#\ ##0.0">
                  <c:v>-3.1</c:v>
                </c:pt>
                <c:pt idx="29">
                  <c:v>-3.2</c:v>
                </c:pt>
                <c:pt idx="30">
                  <c:v>-3.5</c:v>
                </c:pt>
                <c:pt idx="31">
                  <c:v>-3.9</c:v>
                </c:pt>
                <c:pt idx="32" formatCode="#\ ##0.0">
                  <c:v>-3</c:v>
                </c:pt>
                <c:pt idx="33">
                  <c:v>-3.2</c:v>
                </c:pt>
                <c:pt idx="34">
                  <c:v>-3</c:v>
                </c:pt>
                <c:pt idx="35">
                  <c:v>-3.4</c:v>
                </c:pt>
                <c:pt idx="36">
                  <c:v>-2.8</c:v>
                </c:pt>
                <c:pt idx="37" formatCode="General">
                  <c:v>-2.9</c:v>
                </c:pt>
                <c:pt idx="38" formatCode="General">
                  <c:v>-3.2</c:v>
                </c:pt>
              </c:numCache>
            </c:numRef>
          </c:val>
          <c:extLst>
            <c:ext xmlns:c16="http://schemas.microsoft.com/office/drawing/2014/chart" uri="{C3380CC4-5D6E-409C-BE32-E72D297353CC}">
              <c16:uniqueId val="{00000000-EB22-4E17-B7AA-D457F799FC46}"/>
            </c:ext>
          </c:extLst>
        </c:ser>
        <c:ser>
          <c:idx val="1"/>
          <c:order val="1"/>
          <c:tx>
            <c:strRef>
              <c:f>'G3-Sektor vlád.institucí (2)'!$A$118</c:f>
              <c:strCache>
                <c:ptCount val="1"/>
                <c:pt idx="0">
                  <c:v>Budget balance (Czechia)</c:v>
                </c:pt>
              </c:strCache>
            </c:strRef>
          </c:tx>
          <c:spPr>
            <a:solidFill>
              <a:schemeClr val="bg2">
                <a:lumMod val="50000"/>
              </a:schemeClr>
            </a:solidFill>
            <a:ln>
              <a:noFill/>
            </a:ln>
            <a:effectLst/>
          </c:spPr>
          <c:invertIfNegative val="0"/>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(2)'!$F$118:$AR$118</c:f>
              <c:numCache>
                <c:formatCode>#\ ##0.##########</c:formatCode>
                <c:ptCount val="39"/>
                <c:pt idx="0">
                  <c:v>0.7</c:v>
                </c:pt>
                <c:pt idx="1">
                  <c:v>0.7</c:v>
                </c:pt>
                <c:pt idx="2" formatCode="#\ ##0.0">
                  <c:v>0.9</c:v>
                </c:pt>
                <c:pt idx="3">
                  <c:v>0.4</c:v>
                </c:pt>
                <c:pt idx="4">
                  <c:v>1.1000000000000001</c:v>
                </c:pt>
                <c:pt idx="5">
                  <c:v>1.5</c:v>
                </c:pt>
                <c:pt idx="6">
                  <c:v>1.5</c:v>
                </c:pt>
                <c:pt idx="7">
                  <c:v>1.7</c:v>
                </c:pt>
                <c:pt idx="8">
                  <c:v>1.2</c:v>
                </c:pt>
                <c:pt idx="9">
                  <c:v>1.3</c:v>
                </c:pt>
                <c:pt idx="10">
                  <c:v>0.1</c:v>
                </c:pt>
                <c:pt idx="11">
                  <c:v>1</c:v>
                </c:pt>
                <c:pt idx="12">
                  <c:v>1</c:v>
                </c:pt>
                <c:pt idx="13">
                  <c:v>0.5</c:v>
                </c:pt>
                <c:pt idx="14">
                  <c:v>-0.2</c:v>
                </c:pt>
                <c:pt idx="15">
                  <c:v>-0.2</c:v>
                </c:pt>
                <c:pt idx="16">
                  <c:v>-2.6</c:v>
                </c:pt>
                <c:pt idx="17">
                  <c:v>-9.1</c:v>
                </c:pt>
                <c:pt idx="18" formatCode="#\ ##0.0">
                  <c:v>-4.5</c:v>
                </c:pt>
                <c:pt idx="19" formatCode="#\ ##0.0">
                  <c:v>-6.7</c:v>
                </c:pt>
                <c:pt idx="20" formatCode="#\ ##0.0">
                  <c:v>-7.4</c:v>
                </c:pt>
                <c:pt idx="21" formatCode="#\ ##0.0">
                  <c:v>-5.4</c:v>
                </c:pt>
                <c:pt idx="22">
                  <c:v>-3.7</c:v>
                </c:pt>
                <c:pt idx="23">
                  <c:v>-3.4</c:v>
                </c:pt>
                <c:pt idx="24">
                  <c:v>-2.4</c:v>
                </c:pt>
                <c:pt idx="25">
                  <c:v>-2.6</c:v>
                </c:pt>
                <c:pt idx="26">
                  <c:v>-3.9</c:v>
                </c:pt>
                <c:pt idx="27">
                  <c:v>-3.3</c:v>
                </c:pt>
                <c:pt idx="28">
                  <c:v>-4.5</c:v>
                </c:pt>
                <c:pt idx="29">
                  <c:v>-3.4</c:v>
                </c:pt>
                <c:pt idx="30">
                  <c:v>-3.2</c:v>
                </c:pt>
                <c:pt idx="31">
                  <c:v>-3.9</c:v>
                </c:pt>
                <c:pt idx="32" formatCode="#\ ##0.0">
                  <c:v>-1.7</c:v>
                </c:pt>
                <c:pt idx="33">
                  <c:v>-2.2999999999999998</c:v>
                </c:pt>
                <c:pt idx="34">
                  <c:v>-2.2999999999999998</c:v>
                </c:pt>
                <c:pt idx="35">
                  <c:v>-1.8</c:v>
                </c:pt>
                <c:pt idx="36">
                  <c:v>-2.2000000000000002</c:v>
                </c:pt>
                <c:pt idx="37" formatCode="General">
                  <c:v>-1.9</c:v>
                </c:pt>
                <c:pt idx="38" formatCode="General">
                  <c:v>-1.9</c:v>
                </c:pt>
              </c:numCache>
            </c:numRef>
          </c:val>
          <c:extLst>
            <c:ext xmlns:c16="http://schemas.microsoft.com/office/drawing/2014/chart" uri="{C3380CC4-5D6E-409C-BE32-E72D297353CC}">
              <c16:uniqueId val="{00000001-EB22-4E17-B7AA-D457F799FC46}"/>
            </c:ext>
          </c:extLst>
        </c:ser>
        <c:dLbls>
          <c:showLegendKey val="0"/>
          <c:showVal val="0"/>
          <c:showCatName val="0"/>
          <c:showSerName val="0"/>
          <c:showPercent val="0"/>
          <c:showBubbleSize val="0"/>
        </c:dLbls>
        <c:gapWidth val="150"/>
        <c:axId val="531992144"/>
        <c:axId val="531997552"/>
      </c:barChart>
      <c:lineChart>
        <c:grouping val="standard"/>
        <c:varyColors val="0"/>
        <c:ser>
          <c:idx val="3"/>
          <c:order val="2"/>
          <c:tx>
            <c:strRef>
              <c:f>'G3-Sektor vlád.institucí (2)'!$A$119</c:f>
              <c:strCache>
                <c:ptCount val="1"/>
                <c:pt idx="0">
                  <c:v>Debt rate (Austria)</c:v>
                </c:pt>
              </c:strCache>
            </c:strRef>
          </c:tx>
          <c:spPr>
            <a:ln w="15875" cap="rnd">
              <a:solidFill>
                <a:srgbClr val="89898E"/>
              </a:solidFill>
              <a:prstDash val="dash"/>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(2)'!$F$119:$AR$119</c:f>
              <c:numCache>
                <c:formatCode>#\ ##0.##########</c:formatCode>
                <c:ptCount val="39"/>
                <c:pt idx="0">
                  <c:v>86.2</c:v>
                </c:pt>
                <c:pt idx="1">
                  <c:v>85.2</c:v>
                </c:pt>
                <c:pt idx="2">
                  <c:v>82.7</c:v>
                </c:pt>
                <c:pt idx="3">
                  <c:v>83.4</c:v>
                </c:pt>
                <c:pt idx="4">
                  <c:v>81.900000000000006</c:v>
                </c:pt>
                <c:pt idx="5">
                  <c:v>81.8</c:v>
                </c:pt>
                <c:pt idx="6">
                  <c:v>80.7</c:v>
                </c:pt>
                <c:pt idx="7">
                  <c:v>79.099999999999994</c:v>
                </c:pt>
                <c:pt idx="8" formatCode="#\ ##0.0">
                  <c:v>78</c:v>
                </c:pt>
                <c:pt idx="9">
                  <c:v>77.3</c:v>
                </c:pt>
                <c:pt idx="10">
                  <c:v>76.400000000000006</c:v>
                </c:pt>
                <c:pt idx="11">
                  <c:v>74.599999999999994</c:v>
                </c:pt>
                <c:pt idx="12">
                  <c:v>73.400000000000006</c:v>
                </c:pt>
                <c:pt idx="13">
                  <c:v>72.400000000000006</c:v>
                </c:pt>
                <c:pt idx="14">
                  <c:v>71.7</c:v>
                </c:pt>
                <c:pt idx="15" formatCode="#\ ##0.0">
                  <c:v>71</c:v>
                </c:pt>
                <c:pt idx="16">
                  <c:v>73.3</c:v>
                </c:pt>
                <c:pt idx="17">
                  <c:v>82.3</c:v>
                </c:pt>
                <c:pt idx="18">
                  <c:v>78.599999999999994</c:v>
                </c:pt>
                <c:pt idx="19">
                  <c:v>83.2</c:v>
                </c:pt>
                <c:pt idx="20" formatCode="#\ ##0.0">
                  <c:v>87</c:v>
                </c:pt>
                <c:pt idx="21">
                  <c:v>85.9</c:v>
                </c:pt>
                <c:pt idx="22" formatCode="#\ ##0.0">
                  <c:v>84</c:v>
                </c:pt>
                <c:pt idx="23">
                  <c:v>82.4</c:v>
                </c:pt>
                <c:pt idx="24">
                  <c:v>83.2</c:v>
                </c:pt>
                <c:pt idx="25">
                  <c:v>82.3</c:v>
                </c:pt>
                <c:pt idx="26">
                  <c:v>80.900000000000006</c:v>
                </c:pt>
                <c:pt idx="27">
                  <c:v>78.099999999999994</c:v>
                </c:pt>
                <c:pt idx="28">
                  <c:v>79.900000000000006</c:v>
                </c:pt>
                <c:pt idx="29">
                  <c:v>78.3</c:v>
                </c:pt>
                <c:pt idx="30">
                  <c:v>78.2</c:v>
                </c:pt>
                <c:pt idx="31">
                  <c:v>77.8</c:v>
                </c:pt>
                <c:pt idx="32">
                  <c:v>79.900000000000006</c:v>
                </c:pt>
                <c:pt idx="33">
                  <c:v>81.5</c:v>
                </c:pt>
                <c:pt idx="34">
                  <c:v>81.599999999999994</c:v>
                </c:pt>
                <c:pt idx="35">
                  <c:v>79.900000000000006</c:v>
                </c:pt>
                <c:pt idx="36" formatCode="#\ ##0.0">
                  <c:v>83</c:v>
                </c:pt>
                <c:pt idx="37">
                  <c:v>82.2</c:v>
                </c:pt>
                <c:pt idx="38">
                  <c:v>83.7</c:v>
                </c:pt>
              </c:numCache>
            </c:numRef>
          </c:val>
          <c:smooth val="0"/>
          <c:extLst>
            <c:ext xmlns:c16="http://schemas.microsoft.com/office/drawing/2014/chart" uri="{C3380CC4-5D6E-409C-BE32-E72D297353CC}">
              <c16:uniqueId val="{00000002-EB22-4E17-B7AA-D457F799FC46}"/>
            </c:ext>
          </c:extLst>
        </c:ser>
        <c:ser>
          <c:idx val="4"/>
          <c:order val="3"/>
          <c:tx>
            <c:strRef>
              <c:f>'G3-Sektor vlád.institucí (2)'!$A$120</c:f>
              <c:strCache>
                <c:ptCount val="1"/>
                <c:pt idx="0">
                  <c:v>Debt rate (EU)</c:v>
                </c:pt>
              </c:strCache>
            </c:strRef>
          </c:tx>
          <c:spPr>
            <a:ln w="12700" cap="rnd">
              <a:solidFill>
                <a:schemeClr val="bg2">
                  <a:lumMod val="50000"/>
                </a:schemeClr>
              </a:solidFill>
              <a:prstDash val="sysDot"/>
              <a:round/>
            </a:ln>
            <a:effectLst/>
          </c:spPr>
          <c:marker>
            <c:symbol val="circle"/>
            <c:size val="4"/>
            <c:spPr>
              <a:solidFill>
                <a:schemeClr val="bg1"/>
              </a:solidFill>
              <a:ln w="6350">
                <a:solidFill>
                  <a:schemeClr val="tx1"/>
                </a:solidFill>
              </a:ln>
              <a:effectLst/>
            </c:spPr>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(2)'!$F$120:$AR$120</c:f>
              <c:numCache>
                <c:formatCode>#\ ##0.##########</c:formatCode>
                <c:ptCount val="39"/>
                <c:pt idx="0">
                  <c:v>85.9</c:v>
                </c:pt>
                <c:pt idx="1">
                  <c:v>85.8</c:v>
                </c:pt>
                <c:pt idx="2">
                  <c:v>84.8</c:v>
                </c:pt>
                <c:pt idx="3">
                  <c:v>84.1</c:v>
                </c:pt>
                <c:pt idx="4">
                  <c:v>84.2</c:v>
                </c:pt>
                <c:pt idx="5">
                  <c:v>84.1</c:v>
                </c:pt>
                <c:pt idx="6" formatCode="#\ ##0.0">
                  <c:v>83</c:v>
                </c:pt>
                <c:pt idx="7">
                  <c:v>81.5</c:v>
                </c:pt>
                <c:pt idx="8">
                  <c:v>81.400000000000006</c:v>
                </c:pt>
                <c:pt idx="9">
                  <c:v>80.8</c:v>
                </c:pt>
                <c:pt idx="10">
                  <c:v>80.7</c:v>
                </c:pt>
                <c:pt idx="11">
                  <c:v>79.5</c:v>
                </c:pt>
                <c:pt idx="12">
                  <c:v>79.8</c:v>
                </c:pt>
                <c:pt idx="13">
                  <c:v>79.599999999999994</c:v>
                </c:pt>
                <c:pt idx="14" formatCode="#\ ##0.0">
                  <c:v>79</c:v>
                </c:pt>
                <c:pt idx="15">
                  <c:v>77.5</c:v>
                </c:pt>
                <c:pt idx="16" formatCode="#\ ##0.0">
                  <c:v>79</c:v>
                </c:pt>
                <c:pt idx="17">
                  <c:v>87.1</c:v>
                </c:pt>
                <c:pt idx="18" formatCode="#\ ##0.0">
                  <c:v>89</c:v>
                </c:pt>
                <c:pt idx="19">
                  <c:v>89.5</c:v>
                </c:pt>
                <c:pt idx="20">
                  <c:v>91.5</c:v>
                </c:pt>
                <c:pt idx="21">
                  <c:v>89.7</c:v>
                </c:pt>
                <c:pt idx="22">
                  <c:v>88.7</c:v>
                </c:pt>
                <c:pt idx="23">
                  <c:v>86.7</c:v>
                </c:pt>
                <c:pt idx="24">
                  <c:v>86.2</c:v>
                </c:pt>
                <c:pt idx="25" formatCode="#\ ##0.0">
                  <c:v>85</c:v>
                </c:pt>
                <c:pt idx="26">
                  <c:v>83.5</c:v>
                </c:pt>
                <c:pt idx="27">
                  <c:v>82.3</c:v>
                </c:pt>
                <c:pt idx="28">
                  <c:v>82.2</c:v>
                </c:pt>
                <c:pt idx="29">
                  <c:v>81.7</c:v>
                </c:pt>
                <c:pt idx="30">
                  <c:v>81.2</c:v>
                </c:pt>
                <c:pt idx="31">
                  <c:v>80.5</c:v>
                </c:pt>
                <c:pt idx="32" formatCode="#\ ##0.0">
                  <c:v>81</c:v>
                </c:pt>
                <c:pt idx="33">
                  <c:v>81.2</c:v>
                </c:pt>
                <c:pt idx="34">
                  <c:v>81.3</c:v>
                </c:pt>
                <c:pt idx="35">
                  <c:v>80.7</c:v>
                </c:pt>
                <c:pt idx="36">
                  <c:v>81.5</c:v>
                </c:pt>
                <c:pt idx="37">
                  <c:v>81.900000000000006</c:v>
                </c:pt>
                <c:pt idx="38">
                  <c:v>82.1</c:v>
                </c:pt>
              </c:numCache>
            </c:numRef>
          </c:val>
          <c:smooth val="0"/>
          <c:extLst>
            <c:ext xmlns:c16="http://schemas.microsoft.com/office/drawing/2014/chart" uri="{C3380CC4-5D6E-409C-BE32-E72D297353CC}">
              <c16:uniqueId val="{00000003-EB22-4E17-B7AA-D457F799FC46}"/>
            </c:ext>
          </c:extLst>
        </c:ser>
        <c:ser>
          <c:idx val="5"/>
          <c:order val="4"/>
          <c:tx>
            <c:strRef>
              <c:f>'G3-Sektor vlád.institucí (2)'!$A$121</c:f>
              <c:strCache>
                <c:ptCount val="1"/>
                <c:pt idx="0">
                  <c:v>Debt rate (Czechia)</c:v>
                </c:pt>
              </c:strCache>
            </c:strRef>
          </c:tx>
          <c:spPr>
            <a:ln w="12700" cap="rnd">
              <a:solidFill>
                <a:srgbClr val="89898E"/>
              </a:solidFill>
              <a:prstDash val="sysDot"/>
              <a:round/>
            </a:ln>
            <a:effectLst/>
          </c:spPr>
          <c:marker>
            <c:symbol val="circle"/>
            <c:size val="4"/>
            <c:spPr>
              <a:solidFill>
                <a:srgbClr val="89898E"/>
              </a:solidFill>
              <a:ln w="9525">
                <a:noFill/>
              </a:ln>
              <a:effectLst/>
            </c:spPr>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(2)'!$F$121:$AR$121</c:f>
              <c:numCache>
                <c:formatCode>#\ ##0.##########</c:formatCode>
                <c:ptCount val="39"/>
                <c:pt idx="0">
                  <c:v>39.5</c:v>
                </c:pt>
                <c:pt idx="1">
                  <c:v>38.9</c:v>
                </c:pt>
                <c:pt idx="2">
                  <c:v>37.799999999999997</c:v>
                </c:pt>
                <c:pt idx="3">
                  <c:v>36.200000000000003</c:v>
                </c:pt>
                <c:pt idx="4">
                  <c:v>39.200000000000003</c:v>
                </c:pt>
                <c:pt idx="5">
                  <c:v>38.6</c:v>
                </c:pt>
                <c:pt idx="6">
                  <c:v>34.299999999999997</c:v>
                </c:pt>
                <c:pt idx="7">
                  <c:v>33.799999999999997</c:v>
                </c:pt>
                <c:pt idx="8">
                  <c:v>34.9</c:v>
                </c:pt>
                <c:pt idx="9">
                  <c:v>34.299999999999997</c:v>
                </c:pt>
                <c:pt idx="10">
                  <c:v>32.9</c:v>
                </c:pt>
                <c:pt idx="11">
                  <c:v>31.7</c:v>
                </c:pt>
                <c:pt idx="12" formatCode="#\ ##0.0">
                  <c:v>33</c:v>
                </c:pt>
                <c:pt idx="13">
                  <c:v>32.1</c:v>
                </c:pt>
                <c:pt idx="14">
                  <c:v>30.8</c:v>
                </c:pt>
                <c:pt idx="15">
                  <c:v>29.6</c:v>
                </c:pt>
                <c:pt idx="16">
                  <c:v>31.9</c:v>
                </c:pt>
                <c:pt idx="17">
                  <c:v>38.9</c:v>
                </c:pt>
                <c:pt idx="18">
                  <c:v>37.4</c:v>
                </c:pt>
                <c:pt idx="19">
                  <c:v>36.9</c:v>
                </c:pt>
                <c:pt idx="20">
                  <c:v>42.9</c:v>
                </c:pt>
                <c:pt idx="21">
                  <c:v>41.5</c:v>
                </c:pt>
                <c:pt idx="22">
                  <c:v>39.299999999999997</c:v>
                </c:pt>
                <c:pt idx="23">
                  <c:v>40.700000000000003</c:v>
                </c:pt>
                <c:pt idx="24">
                  <c:v>41.4</c:v>
                </c:pt>
                <c:pt idx="25">
                  <c:v>41.9</c:v>
                </c:pt>
                <c:pt idx="26">
                  <c:v>43.5</c:v>
                </c:pt>
                <c:pt idx="27">
                  <c:v>42.5</c:v>
                </c:pt>
                <c:pt idx="28">
                  <c:v>42.8</c:v>
                </c:pt>
                <c:pt idx="29">
                  <c:v>42.5</c:v>
                </c:pt>
                <c:pt idx="30">
                  <c:v>42.7</c:v>
                </c:pt>
                <c:pt idx="31">
                  <c:v>42.2</c:v>
                </c:pt>
                <c:pt idx="32">
                  <c:v>43.1</c:v>
                </c:pt>
                <c:pt idx="33">
                  <c:v>42.4</c:v>
                </c:pt>
                <c:pt idx="34">
                  <c:v>43.4</c:v>
                </c:pt>
                <c:pt idx="35">
                  <c:v>43.3</c:v>
                </c:pt>
                <c:pt idx="36">
                  <c:v>43.3</c:v>
                </c:pt>
                <c:pt idx="37">
                  <c:v>43.8</c:v>
                </c:pt>
                <c:pt idx="38">
                  <c:v>43.1</c:v>
                </c:pt>
              </c:numCache>
            </c:numRef>
          </c:val>
          <c:smooth val="0"/>
          <c:extLst>
            <c:ext xmlns:c16="http://schemas.microsoft.com/office/drawing/2014/chart" uri="{C3380CC4-5D6E-409C-BE32-E72D297353CC}">
              <c16:uniqueId val="{00000004-EB22-4E17-B7AA-D457F799FC46}"/>
            </c:ext>
          </c:extLst>
        </c:ser>
        <c:ser>
          <c:idx val="2"/>
          <c:order val="5"/>
          <c:tx>
            <c:strRef>
              <c:f>'G3-Sektor vlád.institucí (2)'!$A$122</c:f>
              <c:strCache>
                <c:ptCount val="1"/>
                <c:pt idx="0">
                  <c:v>Debt rate (Germany)</c:v>
                </c:pt>
              </c:strCache>
            </c:strRef>
          </c:tx>
          <c:spPr>
            <a:ln w="15875" cap="rnd">
              <a:solidFill>
                <a:srgbClr val="1B4F70"/>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(2)'!$F$122:$AR$122</c:f>
              <c:numCache>
                <c:formatCode>#\ ##0.##########</c:formatCode>
                <c:ptCount val="39"/>
                <c:pt idx="0">
                  <c:v>70.900000000000006</c:v>
                </c:pt>
                <c:pt idx="1">
                  <c:v>70.2</c:v>
                </c:pt>
                <c:pt idx="2">
                  <c:v>69.5</c:v>
                </c:pt>
                <c:pt idx="3">
                  <c:v>68.3</c:v>
                </c:pt>
                <c:pt idx="4">
                  <c:v>66.8</c:v>
                </c:pt>
                <c:pt idx="5">
                  <c:v>66.099999999999994</c:v>
                </c:pt>
                <c:pt idx="6">
                  <c:v>65.2</c:v>
                </c:pt>
                <c:pt idx="7" formatCode="#\ ##0.0">
                  <c:v>64</c:v>
                </c:pt>
                <c:pt idx="8">
                  <c:v>62.9</c:v>
                </c:pt>
                <c:pt idx="9">
                  <c:v>61.8</c:v>
                </c:pt>
                <c:pt idx="10">
                  <c:v>61.5</c:v>
                </c:pt>
                <c:pt idx="11">
                  <c:v>60.8</c:v>
                </c:pt>
                <c:pt idx="12">
                  <c:v>60.6</c:v>
                </c:pt>
                <c:pt idx="13" formatCode="#\ ##0.0">
                  <c:v>60</c:v>
                </c:pt>
                <c:pt idx="14">
                  <c:v>59.9</c:v>
                </c:pt>
                <c:pt idx="15">
                  <c:v>58.7</c:v>
                </c:pt>
                <c:pt idx="16">
                  <c:v>59.8</c:v>
                </c:pt>
                <c:pt idx="17" formatCode="#\ ##0.0">
                  <c:v>66</c:v>
                </c:pt>
                <c:pt idx="18">
                  <c:v>68.5</c:v>
                </c:pt>
                <c:pt idx="19" formatCode="#\ ##0.0">
                  <c:v>68</c:v>
                </c:pt>
                <c:pt idx="20">
                  <c:v>68.8</c:v>
                </c:pt>
                <c:pt idx="21">
                  <c:v>68.2</c:v>
                </c:pt>
                <c:pt idx="22" formatCode="#\ ##0.0">
                  <c:v>68</c:v>
                </c:pt>
                <c:pt idx="23">
                  <c:v>67.900000000000006</c:v>
                </c:pt>
                <c:pt idx="24">
                  <c:v>66.5</c:v>
                </c:pt>
                <c:pt idx="25">
                  <c:v>66.099999999999994</c:v>
                </c:pt>
                <c:pt idx="26">
                  <c:v>65.2</c:v>
                </c:pt>
                <c:pt idx="27">
                  <c:v>64.400000000000006</c:v>
                </c:pt>
                <c:pt idx="28">
                  <c:v>63.9</c:v>
                </c:pt>
                <c:pt idx="29" formatCode="#\ ##0.0">
                  <c:v>63</c:v>
                </c:pt>
                <c:pt idx="30">
                  <c:v>63.2</c:v>
                </c:pt>
                <c:pt idx="31">
                  <c:v>62.3</c:v>
                </c:pt>
                <c:pt idx="32">
                  <c:v>62.1</c:v>
                </c:pt>
                <c:pt idx="33">
                  <c:v>61.6</c:v>
                </c:pt>
                <c:pt idx="34" formatCode="#\ ##0.0">
                  <c:v>62</c:v>
                </c:pt>
                <c:pt idx="35">
                  <c:v>62.2</c:v>
                </c:pt>
                <c:pt idx="36" formatCode="#\ ##0.0">
                  <c:v>62</c:v>
                </c:pt>
                <c:pt idx="37">
                  <c:v>62.3</c:v>
                </c:pt>
                <c:pt idx="38" formatCode="#\ ##0.0">
                  <c:v>63</c:v>
                </c:pt>
              </c:numCache>
            </c:numRef>
          </c:val>
          <c:smooth val="0"/>
          <c:extLst>
            <c:ext xmlns:c16="http://schemas.microsoft.com/office/drawing/2014/chart" uri="{C3380CC4-5D6E-409C-BE32-E72D297353CC}">
              <c16:uniqueId val="{00000005-EB22-4E17-B7AA-D457F799FC46}"/>
            </c:ext>
          </c:extLst>
        </c:ser>
        <c:ser>
          <c:idx val="6"/>
          <c:order val="6"/>
          <c:tx>
            <c:strRef>
              <c:f>'G3-Sektor vlád.institucí (2)'!$A$123</c:f>
              <c:strCache>
                <c:ptCount val="1"/>
                <c:pt idx="0">
                  <c:v>Debt rate (Slovakia)</c:v>
                </c:pt>
              </c:strCache>
            </c:strRef>
          </c:tx>
          <c:spPr>
            <a:ln w="15875" cap="rnd">
              <a:solidFill>
                <a:srgbClr val="BC5B80"/>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(2)'!$F$123:$AR$123</c:f>
              <c:numCache>
                <c:formatCode>#\ ##0.##########</c:formatCode>
                <c:ptCount val="39"/>
                <c:pt idx="0">
                  <c:v>51.3</c:v>
                </c:pt>
                <c:pt idx="1">
                  <c:v>52.6</c:v>
                </c:pt>
                <c:pt idx="2">
                  <c:v>52.7</c:v>
                </c:pt>
                <c:pt idx="3">
                  <c:v>52.1</c:v>
                </c:pt>
                <c:pt idx="4">
                  <c:v>53.7</c:v>
                </c:pt>
                <c:pt idx="5">
                  <c:v>52.1</c:v>
                </c:pt>
                <c:pt idx="6">
                  <c:v>51.7</c:v>
                </c:pt>
                <c:pt idx="7">
                  <c:v>51.4</c:v>
                </c:pt>
                <c:pt idx="8">
                  <c:v>51.3</c:v>
                </c:pt>
                <c:pt idx="9">
                  <c:v>52.3</c:v>
                </c:pt>
                <c:pt idx="10">
                  <c:v>51.9</c:v>
                </c:pt>
                <c:pt idx="11">
                  <c:v>49.3</c:v>
                </c:pt>
                <c:pt idx="12">
                  <c:v>49.2</c:v>
                </c:pt>
                <c:pt idx="13">
                  <c:v>48.6</c:v>
                </c:pt>
                <c:pt idx="14">
                  <c:v>48.4</c:v>
                </c:pt>
                <c:pt idx="15" formatCode="#\ ##0.0">
                  <c:v>48</c:v>
                </c:pt>
                <c:pt idx="16" formatCode="#\ ##0.0">
                  <c:v>49</c:v>
                </c:pt>
                <c:pt idx="17">
                  <c:v>58.9</c:v>
                </c:pt>
                <c:pt idx="18">
                  <c:v>58.9</c:v>
                </c:pt>
                <c:pt idx="19">
                  <c:v>58.4</c:v>
                </c:pt>
                <c:pt idx="20">
                  <c:v>58.2</c:v>
                </c:pt>
                <c:pt idx="21" formatCode="#\ ##0.0">
                  <c:v>59</c:v>
                </c:pt>
                <c:pt idx="22">
                  <c:v>58.8</c:v>
                </c:pt>
                <c:pt idx="23">
                  <c:v>60.2</c:v>
                </c:pt>
                <c:pt idx="24">
                  <c:v>59.8</c:v>
                </c:pt>
                <c:pt idx="25">
                  <c:v>58.8</c:v>
                </c:pt>
                <c:pt idx="26">
                  <c:v>57.3</c:v>
                </c:pt>
                <c:pt idx="27">
                  <c:v>57.8</c:v>
                </c:pt>
                <c:pt idx="28">
                  <c:v>57.8</c:v>
                </c:pt>
                <c:pt idx="29">
                  <c:v>59.3</c:v>
                </c:pt>
                <c:pt idx="30">
                  <c:v>58.1</c:v>
                </c:pt>
                <c:pt idx="31">
                  <c:v>55.8</c:v>
                </c:pt>
                <c:pt idx="32">
                  <c:v>60.3</c:v>
                </c:pt>
                <c:pt idx="33">
                  <c:v>60.2</c:v>
                </c:pt>
                <c:pt idx="34">
                  <c:v>60.1</c:v>
                </c:pt>
                <c:pt idx="35">
                  <c:v>59.7</c:v>
                </c:pt>
                <c:pt idx="36">
                  <c:v>63.2</c:v>
                </c:pt>
                <c:pt idx="37">
                  <c:v>62.9</c:v>
                </c:pt>
                <c:pt idx="38">
                  <c:v>62.3</c:v>
                </c:pt>
              </c:numCache>
            </c:numRef>
          </c:val>
          <c:smooth val="0"/>
          <c:extLst>
            <c:ext xmlns:c16="http://schemas.microsoft.com/office/drawing/2014/chart" uri="{C3380CC4-5D6E-409C-BE32-E72D297353CC}">
              <c16:uniqueId val="{00000006-EB22-4E17-B7AA-D457F799FC46}"/>
            </c:ext>
          </c:extLst>
        </c:ser>
        <c:ser>
          <c:idx val="7"/>
          <c:order val="7"/>
          <c:tx>
            <c:strRef>
              <c:f>'G3-Sektor vlád.institucí (2)'!$A$124</c:f>
              <c:strCache>
                <c:ptCount val="1"/>
                <c:pt idx="0">
                  <c:v>Debt rate (Poland)</c:v>
                </c:pt>
              </c:strCache>
            </c:strRef>
          </c:tx>
          <c:spPr>
            <a:ln w="15875" cap="rnd">
              <a:solidFill>
                <a:srgbClr val="009CB5"/>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(2)'!$F$124:$AR$124</c:f>
              <c:numCache>
                <c:formatCode>#\ ##0.##########</c:formatCode>
                <c:ptCount val="39"/>
                <c:pt idx="0">
                  <c:v>51.6</c:v>
                </c:pt>
                <c:pt idx="1">
                  <c:v>53.4</c:v>
                </c:pt>
                <c:pt idx="2" formatCode="#\ ##0.0">
                  <c:v>53</c:v>
                </c:pt>
                <c:pt idx="3">
                  <c:v>54.1</c:v>
                </c:pt>
                <c:pt idx="4">
                  <c:v>53.6</c:v>
                </c:pt>
                <c:pt idx="5" formatCode="#\ ##0.0">
                  <c:v>53</c:v>
                </c:pt>
                <c:pt idx="6">
                  <c:v>51.7</c:v>
                </c:pt>
                <c:pt idx="7">
                  <c:v>50.4</c:v>
                </c:pt>
                <c:pt idx="8">
                  <c:v>50.9</c:v>
                </c:pt>
                <c:pt idx="9">
                  <c:v>50.1</c:v>
                </c:pt>
                <c:pt idx="10" formatCode="#\ ##0.0">
                  <c:v>49</c:v>
                </c:pt>
                <c:pt idx="11">
                  <c:v>48.2</c:v>
                </c:pt>
                <c:pt idx="12">
                  <c:v>48.3</c:v>
                </c:pt>
                <c:pt idx="13">
                  <c:v>47.2</c:v>
                </c:pt>
                <c:pt idx="14">
                  <c:v>46.5</c:v>
                </c:pt>
                <c:pt idx="15">
                  <c:v>45.2</c:v>
                </c:pt>
                <c:pt idx="16">
                  <c:v>47.1</c:v>
                </c:pt>
                <c:pt idx="17">
                  <c:v>54.1</c:v>
                </c:pt>
                <c:pt idx="18">
                  <c:v>55.8</c:v>
                </c:pt>
                <c:pt idx="19">
                  <c:v>56.6</c:v>
                </c:pt>
                <c:pt idx="20">
                  <c:v>57.9</c:v>
                </c:pt>
                <c:pt idx="21">
                  <c:v>56.3</c:v>
                </c:pt>
                <c:pt idx="22">
                  <c:v>55.2</c:v>
                </c:pt>
                <c:pt idx="23" formatCode="#\ ##0.0">
                  <c:v>53</c:v>
                </c:pt>
                <c:pt idx="24">
                  <c:v>51.4</c:v>
                </c:pt>
                <c:pt idx="25">
                  <c:v>50.9</c:v>
                </c:pt>
                <c:pt idx="26">
                  <c:v>49.8</c:v>
                </c:pt>
                <c:pt idx="27">
                  <c:v>48.8</c:v>
                </c:pt>
                <c:pt idx="28">
                  <c:v>47.9</c:v>
                </c:pt>
                <c:pt idx="29">
                  <c:v>48.1</c:v>
                </c:pt>
                <c:pt idx="30">
                  <c:v>48.5</c:v>
                </c:pt>
                <c:pt idx="31">
                  <c:v>49.5</c:v>
                </c:pt>
                <c:pt idx="32">
                  <c:v>51.3</c:v>
                </c:pt>
                <c:pt idx="33" formatCode="#\ ##0.0">
                  <c:v>52</c:v>
                </c:pt>
                <c:pt idx="34">
                  <c:v>53.2</c:v>
                </c:pt>
                <c:pt idx="35">
                  <c:v>55.1</c:v>
                </c:pt>
                <c:pt idx="36">
                  <c:v>57.3</c:v>
                </c:pt>
                <c:pt idx="37">
                  <c:v>58.1</c:v>
                </c:pt>
                <c:pt idx="38">
                  <c:v>58.1</c:v>
                </c:pt>
              </c:numCache>
            </c:numRef>
          </c:val>
          <c:smooth val="0"/>
          <c:extLst>
            <c:ext xmlns:c16="http://schemas.microsoft.com/office/drawing/2014/chart" uri="{C3380CC4-5D6E-409C-BE32-E72D297353CC}">
              <c16:uniqueId val="{00000007-EB22-4E17-B7AA-D457F799FC46}"/>
            </c:ext>
          </c:extLst>
        </c:ser>
        <c:ser>
          <c:idx val="8"/>
          <c:order val="8"/>
          <c:tx>
            <c:strRef>
              <c:f>'G3-Sektor vlád.institucí (2)'!$A$125</c:f>
              <c:strCache>
                <c:ptCount val="1"/>
                <c:pt idx="0">
                  <c:v>Debt rate (Hungary)</c:v>
                </c:pt>
              </c:strCache>
            </c:strRef>
          </c:tx>
          <c:spPr>
            <a:ln w="15875" cap="rnd">
              <a:solidFill>
                <a:srgbClr val="CC9610"/>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(2)'!$F$125:$AR$125</c:f>
              <c:numCache>
                <c:formatCode>#\ ##0.##########</c:formatCode>
                <c:ptCount val="39"/>
                <c:pt idx="0">
                  <c:v>77.2</c:v>
                </c:pt>
                <c:pt idx="1">
                  <c:v>75.599999999999994</c:v>
                </c:pt>
                <c:pt idx="2">
                  <c:v>74.8</c:v>
                </c:pt>
                <c:pt idx="3">
                  <c:v>74.599999999999994</c:v>
                </c:pt>
                <c:pt idx="4">
                  <c:v>74.900000000000006</c:v>
                </c:pt>
                <c:pt idx="5">
                  <c:v>74.3</c:v>
                </c:pt>
                <c:pt idx="6">
                  <c:v>72.900000000000006</c:v>
                </c:pt>
                <c:pt idx="7" formatCode="#\ ##0.0">
                  <c:v>72</c:v>
                </c:pt>
                <c:pt idx="8">
                  <c:v>72.2</c:v>
                </c:pt>
                <c:pt idx="9">
                  <c:v>72.3</c:v>
                </c:pt>
                <c:pt idx="10">
                  <c:v>70.7</c:v>
                </c:pt>
                <c:pt idx="11">
                  <c:v>68.8</c:v>
                </c:pt>
                <c:pt idx="12">
                  <c:v>68.099999999999994</c:v>
                </c:pt>
                <c:pt idx="13">
                  <c:v>66.8</c:v>
                </c:pt>
                <c:pt idx="14">
                  <c:v>66.7</c:v>
                </c:pt>
                <c:pt idx="15" formatCode="#\ ##0.0">
                  <c:v>65</c:v>
                </c:pt>
                <c:pt idx="16">
                  <c:v>65.2</c:v>
                </c:pt>
                <c:pt idx="17">
                  <c:v>69.400000000000006</c:v>
                </c:pt>
                <c:pt idx="18">
                  <c:v>72.8</c:v>
                </c:pt>
                <c:pt idx="19">
                  <c:v>78.7</c:v>
                </c:pt>
                <c:pt idx="20">
                  <c:v>79.7</c:v>
                </c:pt>
                <c:pt idx="21">
                  <c:v>76.2</c:v>
                </c:pt>
                <c:pt idx="22" formatCode="#\ ##0.0">
                  <c:v>79</c:v>
                </c:pt>
                <c:pt idx="23">
                  <c:v>76.2</c:v>
                </c:pt>
                <c:pt idx="24">
                  <c:v>76.7</c:v>
                </c:pt>
                <c:pt idx="25">
                  <c:v>76.5</c:v>
                </c:pt>
                <c:pt idx="26">
                  <c:v>75.5</c:v>
                </c:pt>
                <c:pt idx="27">
                  <c:v>74.099999999999994</c:v>
                </c:pt>
                <c:pt idx="28">
                  <c:v>75.400000000000006</c:v>
                </c:pt>
                <c:pt idx="29" formatCode="#\ ##0.0">
                  <c:v>75</c:v>
                </c:pt>
                <c:pt idx="30">
                  <c:v>74.599999999999994</c:v>
                </c:pt>
                <c:pt idx="31">
                  <c:v>73.2</c:v>
                </c:pt>
                <c:pt idx="32">
                  <c:v>76.5</c:v>
                </c:pt>
                <c:pt idx="33">
                  <c:v>76.3</c:v>
                </c:pt>
                <c:pt idx="34">
                  <c:v>76.099999999999994</c:v>
                </c:pt>
                <c:pt idx="35">
                  <c:v>73.5</c:v>
                </c:pt>
                <c:pt idx="36">
                  <c:v>75.400000000000006</c:v>
                </c:pt>
                <c:pt idx="37">
                  <c:v>76.2</c:v>
                </c:pt>
                <c:pt idx="38">
                  <c:v>75.2</c:v>
                </c:pt>
              </c:numCache>
            </c:numRef>
          </c:val>
          <c:smooth val="0"/>
          <c:extLst>
            <c:ext xmlns:c16="http://schemas.microsoft.com/office/drawing/2014/chart" uri="{C3380CC4-5D6E-409C-BE32-E72D297353CC}">
              <c16:uniqueId val="{00000008-EB22-4E17-B7AA-D457F799FC46}"/>
            </c:ext>
          </c:extLst>
        </c:ser>
        <c:ser>
          <c:idx val="9"/>
          <c:order val="9"/>
          <c:tx>
            <c:strRef>
              <c:f>'G3-Sektor vlád.institucí (2)'!$A$126</c:f>
              <c:strCache>
                <c:ptCount val="1"/>
                <c:pt idx="0">
                  <c:v>Debt rate (Slovenia)</c:v>
                </c:pt>
              </c:strCache>
            </c:strRef>
          </c:tx>
          <c:spPr>
            <a:ln w="15875" cap="rnd">
              <a:solidFill>
                <a:srgbClr val="86BF5E"/>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(2)'!$F$126:$AR$126</c:f>
              <c:numCache>
                <c:formatCode>#\ ##0.##########</c:formatCode>
                <c:ptCount val="39"/>
                <c:pt idx="0">
                  <c:v>83.8</c:v>
                </c:pt>
                <c:pt idx="1">
                  <c:v>82.5</c:v>
                </c:pt>
                <c:pt idx="2">
                  <c:v>82.5</c:v>
                </c:pt>
                <c:pt idx="3">
                  <c:v>79.400000000000006</c:v>
                </c:pt>
                <c:pt idx="4">
                  <c:v>81.400000000000006</c:v>
                </c:pt>
                <c:pt idx="5">
                  <c:v>81.099999999999994</c:v>
                </c:pt>
                <c:pt idx="6">
                  <c:v>79.900000000000006</c:v>
                </c:pt>
                <c:pt idx="7">
                  <c:v>74.900000000000006</c:v>
                </c:pt>
                <c:pt idx="8">
                  <c:v>76.400000000000006</c:v>
                </c:pt>
                <c:pt idx="9">
                  <c:v>73.7</c:v>
                </c:pt>
                <c:pt idx="10">
                  <c:v>72.099999999999994</c:v>
                </c:pt>
                <c:pt idx="11" formatCode="#\ ##0.0">
                  <c:v>71</c:v>
                </c:pt>
                <c:pt idx="12">
                  <c:v>68.5</c:v>
                </c:pt>
                <c:pt idx="13">
                  <c:v>68.099999999999994</c:v>
                </c:pt>
                <c:pt idx="14">
                  <c:v>68.3</c:v>
                </c:pt>
                <c:pt idx="15" formatCode="#\ ##0.0">
                  <c:v>66</c:v>
                </c:pt>
                <c:pt idx="16">
                  <c:v>69.2</c:v>
                </c:pt>
                <c:pt idx="17">
                  <c:v>78.3</c:v>
                </c:pt>
                <c:pt idx="18">
                  <c:v>78.3</c:v>
                </c:pt>
                <c:pt idx="19">
                  <c:v>80.2</c:v>
                </c:pt>
                <c:pt idx="20">
                  <c:v>85.5</c:v>
                </c:pt>
                <c:pt idx="21">
                  <c:v>80.400000000000006</c:v>
                </c:pt>
                <c:pt idx="22">
                  <c:v>79.7</c:v>
                </c:pt>
                <c:pt idx="23">
                  <c:v>74.8</c:v>
                </c:pt>
                <c:pt idx="24">
                  <c:v>75.900000000000006</c:v>
                </c:pt>
                <c:pt idx="25">
                  <c:v>75.599999999999994</c:v>
                </c:pt>
                <c:pt idx="26">
                  <c:v>75.099999999999994</c:v>
                </c:pt>
                <c:pt idx="27">
                  <c:v>72.8</c:v>
                </c:pt>
                <c:pt idx="28" formatCode="#\ ##0.0">
                  <c:v>72</c:v>
                </c:pt>
                <c:pt idx="29">
                  <c:v>70.099999999999994</c:v>
                </c:pt>
                <c:pt idx="30" formatCode="#\ ##0.0">
                  <c:v>71</c:v>
                </c:pt>
                <c:pt idx="31">
                  <c:v>68.3</c:v>
                </c:pt>
                <c:pt idx="32">
                  <c:v>69.8</c:v>
                </c:pt>
                <c:pt idx="33" formatCode="#\ ##0.0">
                  <c:v>69</c:v>
                </c:pt>
                <c:pt idx="34">
                  <c:v>66.3</c:v>
                </c:pt>
                <c:pt idx="35">
                  <c:v>66.599999999999994</c:v>
                </c:pt>
                <c:pt idx="36">
                  <c:v>69.5</c:v>
                </c:pt>
                <c:pt idx="37">
                  <c:v>69.3</c:v>
                </c:pt>
                <c:pt idx="38">
                  <c:v>67.599999999999994</c:v>
                </c:pt>
              </c:numCache>
            </c:numRef>
          </c:val>
          <c:smooth val="0"/>
          <c:extLst>
            <c:ext xmlns:c16="http://schemas.microsoft.com/office/drawing/2014/chart" uri="{C3380CC4-5D6E-409C-BE32-E72D297353CC}">
              <c16:uniqueId val="{00000009-EB22-4E17-B7AA-D457F799FC46}"/>
            </c:ext>
          </c:extLst>
        </c:ser>
        <c:ser>
          <c:idx val="10"/>
          <c:order val="10"/>
          <c:tx>
            <c:strRef>
              <c:f>'G3-Sektor vlád.institucí (2)'!$A$127</c:f>
              <c:strCache>
                <c:ptCount val="1"/>
                <c:pt idx="0">
                  <c:v>Debt rate (Romania)</c:v>
                </c:pt>
              </c:strCache>
            </c:strRef>
          </c:tx>
          <c:spPr>
            <a:ln w="15875" cap="rnd">
              <a:solidFill>
                <a:srgbClr val="86BF04"/>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(2)'!$F$127:$AR$127</c:f>
              <c:numCache>
                <c:formatCode>#\ ##0.##########</c:formatCode>
                <c:ptCount val="39"/>
                <c:pt idx="0" formatCode="#\ ##0.0">
                  <c:v>37</c:v>
                </c:pt>
                <c:pt idx="1">
                  <c:v>36.700000000000003</c:v>
                </c:pt>
                <c:pt idx="2">
                  <c:v>36.299999999999997</c:v>
                </c:pt>
                <c:pt idx="3">
                  <c:v>37.799999999999997</c:v>
                </c:pt>
                <c:pt idx="4">
                  <c:v>37.299999999999997</c:v>
                </c:pt>
                <c:pt idx="5">
                  <c:v>37.4</c:v>
                </c:pt>
                <c:pt idx="6">
                  <c:v>35.799999999999997</c:v>
                </c:pt>
                <c:pt idx="7">
                  <c:v>35.299999999999997</c:v>
                </c:pt>
                <c:pt idx="8">
                  <c:v>34.6</c:v>
                </c:pt>
                <c:pt idx="9">
                  <c:v>34.1</c:v>
                </c:pt>
                <c:pt idx="10" formatCode="#\ ##0.0">
                  <c:v>34</c:v>
                </c:pt>
                <c:pt idx="11">
                  <c:v>34.6</c:v>
                </c:pt>
                <c:pt idx="12">
                  <c:v>33.799999999999997</c:v>
                </c:pt>
                <c:pt idx="13">
                  <c:v>33.700000000000003</c:v>
                </c:pt>
                <c:pt idx="14" formatCode="#\ ##0.0">
                  <c:v>35</c:v>
                </c:pt>
                <c:pt idx="15">
                  <c:v>35.200000000000003</c:v>
                </c:pt>
                <c:pt idx="16">
                  <c:v>37.299999999999997</c:v>
                </c:pt>
                <c:pt idx="17">
                  <c:v>40.5</c:v>
                </c:pt>
                <c:pt idx="18">
                  <c:v>42.7</c:v>
                </c:pt>
                <c:pt idx="19">
                  <c:v>46.9</c:v>
                </c:pt>
                <c:pt idx="20" formatCode="#\ ##0.0">
                  <c:v>47</c:v>
                </c:pt>
                <c:pt idx="21">
                  <c:v>46.8</c:v>
                </c:pt>
                <c:pt idx="22" formatCode="#\ ##0.0">
                  <c:v>48</c:v>
                </c:pt>
                <c:pt idx="23">
                  <c:v>48.6</c:v>
                </c:pt>
                <c:pt idx="24">
                  <c:v>48.4</c:v>
                </c:pt>
                <c:pt idx="25">
                  <c:v>48.6</c:v>
                </c:pt>
                <c:pt idx="26">
                  <c:v>48.6</c:v>
                </c:pt>
                <c:pt idx="27">
                  <c:v>48.1</c:v>
                </c:pt>
                <c:pt idx="28" formatCode="#\ ##0.0">
                  <c:v>50</c:v>
                </c:pt>
                <c:pt idx="29">
                  <c:v>49.1</c:v>
                </c:pt>
                <c:pt idx="30">
                  <c:v>49.9</c:v>
                </c:pt>
                <c:pt idx="31">
                  <c:v>49.3</c:v>
                </c:pt>
                <c:pt idx="32">
                  <c:v>52.1</c:v>
                </c:pt>
                <c:pt idx="33">
                  <c:v>51.5</c:v>
                </c:pt>
                <c:pt idx="34">
                  <c:v>53.3</c:v>
                </c:pt>
                <c:pt idx="35">
                  <c:v>54.8</c:v>
                </c:pt>
                <c:pt idx="36">
                  <c:v>55.9</c:v>
                </c:pt>
                <c:pt idx="37">
                  <c:v>57.3</c:v>
                </c:pt>
                <c:pt idx="38">
                  <c:v>58.9</c:v>
                </c:pt>
              </c:numCache>
            </c:numRef>
          </c:val>
          <c:smooth val="0"/>
          <c:extLst>
            <c:ext xmlns:c16="http://schemas.microsoft.com/office/drawing/2014/chart" uri="{C3380CC4-5D6E-409C-BE32-E72D297353CC}">
              <c16:uniqueId val="{0000000A-EB22-4E17-B7AA-D457F799FC46}"/>
            </c:ext>
          </c:extLst>
        </c:ser>
        <c:ser>
          <c:idx val="11"/>
          <c:order val="11"/>
          <c:tx>
            <c:strRef>
              <c:f>'G3-Sektor vlád.institucí (2)'!$A$128</c:f>
              <c:strCache>
                <c:ptCount val="1"/>
                <c:pt idx="0">
                  <c:v>Debt rate (Estonia)</c:v>
                </c:pt>
              </c:strCache>
            </c:strRef>
          </c:tx>
          <c:spPr>
            <a:ln w="15875" cap="rnd">
              <a:solidFill>
                <a:srgbClr val="D8A7B7"/>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(2)'!$F$128:$AR$128</c:f>
              <c:numCache>
                <c:formatCode>#\ ##0.0</c:formatCode>
                <c:ptCount val="39"/>
                <c:pt idx="0" formatCode="#\ ##0.##########">
                  <c:v>10.3</c:v>
                </c:pt>
                <c:pt idx="1">
                  <c:v>10</c:v>
                </c:pt>
                <c:pt idx="2">
                  <c:v>10</c:v>
                </c:pt>
                <c:pt idx="3" formatCode="#\ ##0.##########">
                  <c:v>10.199999999999999</c:v>
                </c:pt>
                <c:pt idx="4" formatCode="#\ ##0.##########">
                  <c:v>9.8000000000000007</c:v>
                </c:pt>
                <c:pt idx="5" formatCode="#\ ##0.##########">
                  <c:v>9.6</c:v>
                </c:pt>
                <c:pt idx="6" formatCode="#\ ##0.##########">
                  <c:v>9.5</c:v>
                </c:pt>
                <c:pt idx="7" formatCode="#\ ##0.##########">
                  <c:v>9.4</c:v>
                </c:pt>
                <c:pt idx="8" formatCode="#\ ##0.##########">
                  <c:v>9.1</c:v>
                </c:pt>
                <c:pt idx="9" formatCode="#\ ##0.##########">
                  <c:v>8.9</c:v>
                </c:pt>
                <c:pt idx="10" formatCode="#\ ##0.##########">
                  <c:v>8.6999999999999993</c:v>
                </c:pt>
                <c:pt idx="11" formatCode="#\ ##0.##########">
                  <c:v>8.5</c:v>
                </c:pt>
                <c:pt idx="12" formatCode="#\ ##0.##########">
                  <c:v>8.3000000000000007</c:v>
                </c:pt>
                <c:pt idx="13" formatCode="#\ ##0.##########">
                  <c:v>9.6999999999999993</c:v>
                </c:pt>
                <c:pt idx="14" formatCode="#\ ##0.##########">
                  <c:v>9.6</c:v>
                </c:pt>
                <c:pt idx="15">
                  <c:v>9</c:v>
                </c:pt>
                <c:pt idx="16" formatCode="#\ ##0.##########">
                  <c:v>9.5</c:v>
                </c:pt>
                <c:pt idx="17">
                  <c:v>19</c:v>
                </c:pt>
                <c:pt idx="18" formatCode="#\ ##0.##########">
                  <c:v>19.2</c:v>
                </c:pt>
                <c:pt idx="19" formatCode="#\ ##0.##########">
                  <c:v>19.100000000000001</c:v>
                </c:pt>
                <c:pt idx="20" formatCode="#\ ##0.##########">
                  <c:v>19.7</c:v>
                </c:pt>
                <c:pt idx="21" formatCode="#\ ##0.##########">
                  <c:v>19.7</c:v>
                </c:pt>
                <c:pt idx="22" formatCode="#\ ##0.##########">
                  <c:v>19.8</c:v>
                </c:pt>
                <c:pt idx="23" formatCode="#\ ##0.##########">
                  <c:v>18.399999999999999</c:v>
                </c:pt>
                <c:pt idx="24" formatCode="#\ ##0.##########">
                  <c:v>18.100000000000001</c:v>
                </c:pt>
                <c:pt idx="25" formatCode="#\ ##0.##########">
                  <c:v>17.7</c:v>
                </c:pt>
                <c:pt idx="26" formatCode="#\ ##0.##########">
                  <c:v>16.7</c:v>
                </c:pt>
                <c:pt idx="27" formatCode="#\ ##0.##########">
                  <c:v>19.2</c:v>
                </c:pt>
                <c:pt idx="28" formatCode="#\ ##0.##########">
                  <c:v>17.8</c:v>
                </c:pt>
                <c:pt idx="29">
                  <c:v>19</c:v>
                </c:pt>
                <c:pt idx="30" formatCode="#\ ##0.##########">
                  <c:v>18.7</c:v>
                </c:pt>
                <c:pt idx="31" formatCode="#\ ##0.##########">
                  <c:v>20.2</c:v>
                </c:pt>
                <c:pt idx="32">
                  <c:v>24</c:v>
                </c:pt>
                <c:pt idx="33" formatCode="#\ ##0.##########">
                  <c:v>23.6</c:v>
                </c:pt>
                <c:pt idx="34" formatCode="#\ ##0.##########">
                  <c:v>23.8</c:v>
                </c:pt>
                <c:pt idx="35" formatCode="#\ ##0.##########">
                  <c:v>23.5</c:v>
                </c:pt>
                <c:pt idx="36" formatCode="#\ ##0.##########">
                  <c:v>23.9</c:v>
                </c:pt>
                <c:pt idx="37" formatCode="#\ ##0.##########">
                  <c:v>23.2</c:v>
                </c:pt>
                <c:pt idx="38" formatCode="#\ ##0.##########">
                  <c:v>22.9</c:v>
                </c:pt>
              </c:numCache>
            </c:numRef>
          </c:val>
          <c:smooth val="0"/>
          <c:extLst>
            <c:ext xmlns:c16="http://schemas.microsoft.com/office/drawing/2014/chart" uri="{C3380CC4-5D6E-409C-BE32-E72D297353CC}">
              <c16:uniqueId val="{0000000B-EB22-4E17-B7AA-D457F799FC46}"/>
            </c:ext>
          </c:extLst>
        </c:ser>
        <c:dLbls>
          <c:showLegendKey val="0"/>
          <c:showVal val="0"/>
          <c:showCatName val="0"/>
          <c:showSerName val="0"/>
          <c:showPercent val="0"/>
          <c:showBubbleSize val="0"/>
        </c:dLbls>
        <c:marker val="1"/>
        <c:smooth val="0"/>
        <c:axId val="531949712"/>
        <c:axId val="531963024"/>
      </c:lineChart>
      <c:catAx>
        <c:axId val="531992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7552"/>
        <c:crosses val="autoZero"/>
        <c:auto val="1"/>
        <c:lblAlgn val="ctr"/>
        <c:lblOffset val="0"/>
        <c:noMultiLvlLbl val="0"/>
      </c:catAx>
      <c:valAx>
        <c:axId val="531997552"/>
        <c:scaling>
          <c:orientation val="minMax"/>
          <c:max val="2"/>
          <c:min val="-2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Budget balance</a:t>
                </a:r>
              </a:p>
            </c:rich>
          </c:tx>
          <c:layout>
            <c:manualLayout>
              <c:xMode val="edge"/>
              <c:yMode val="edge"/>
              <c:x val="0"/>
              <c:y val="0.27608885992954735"/>
            </c:manualLayout>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2144"/>
        <c:crosses val="autoZero"/>
        <c:crossBetween val="between"/>
        <c:majorUnit val="2"/>
      </c:valAx>
      <c:valAx>
        <c:axId val="531963024"/>
        <c:scaling>
          <c:orientation val="minMax"/>
          <c:max val="120"/>
          <c:min val="0"/>
        </c:scaling>
        <c:delete val="0"/>
        <c:axPos val="r"/>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Debt rate</a:t>
                </a:r>
              </a:p>
            </c:rich>
          </c:tx>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1949712"/>
        <c:crosses val="max"/>
        <c:crossBetween val="between"/>
        <c:majorUnit val="10"/>
      </c:valAx>
      <c:catAx>
        <c:axId val="531949712"/>
        <c:scaling>
          <c:orientation val="minMax"/>
        </c:scaling>
        <c:delete val="1"/>
        <c:axPos val="b"/>
        <c:numFmt formatCode="General" sourceLinked="1"/>
        <c:majorTickMark val="out"/>
        <c:minorTickMark val="none"/>
        <c:tickLblPos val="nextTo"/>
        <c:crossAx val="531963024"/>
        <c:crosses val="autoZero"/>
        <c:auto val="1"/>
        <c:lblAlgn val="ctr"/>
        <c:lblOffset val="100"/>
        <c:noMultiLvlLbl val="0"/>
      </c:catAx>
      <c:spPr>
        <a:noFill/>
        <a:ln w="6350">
          <a:solidFill>
            <a:schemeClr val="tx1"/>
          </a:solidFill>
        </a:ln>
        <a:effectLst/>
      </c:spPr>
    </c:plotArea>
    <c:legend>
      <c:legendPos val="b"/>
      <c:layout>
        <c:manualLayout>
          <c:xMode val="edge"/>
          <c:yMode val="edge"/>
          <c:x val="1.3141700567023604E-3"/>
          <c:y val="0.84180434977679075"/>
          <c:w val="0.99173696911936216"/>
          <c:h val="0.1489361105502838"/>
        </c:manualLayout>
      </c:layout>
      <c:overlay val="0"/>
      <c:spPr>
        <a:noFill/>
        <a:ln w="6350">
          <a:solidFill>
            <a:schemeClr val="tx1"/>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6350"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4.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9</Pages>
  <Words>4581</Words>
  <Characters>27034</Characters>
  <Application>Microsoft Office Word</Application>
  <DocSecurity>0</DocSecurity>
  <Lines>225</Lines>
  <Paragraphs>63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CSU</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49</cp:revision>
  <cp:lastPrinted>2014-07-17T14:07:00Z</cp:lastPrinted>
  <dcterms:created xsi:type="dcterms:W3CDTF">2026-04-14T10:07:00Z</dcterms:created>
  <dcterms:modified xsi:type="dcterms:W3CDTF">2026-04-16T10:37:00Z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29db9e61-aac5-4f6e-805d-ceb8cb9983a1_Enabled">
    <vt:lpwstr>true</vt:lpwstr>
  </property>
  <property fmtid="{D5CDD505-2E9C-101B-9397-08002B2CF9AE}" pid="17" name="MSIP_Label_29db9e61-aac5-4f6e-805d-ceb8cb9983a1_SetDate">
    <vt:lpwstr>2026-03-20T16:21:23Z</vt:lpwstr>
  </property>
  <property fmtid="{D5CDD505-2E9C-101B-9397-08002B2CF9AE}" pid="18" name="MSIP_Label_29db9e61-aac5-4f6e-805d-ceb8cb9983a1_Method">
    <vt:lpwstr>Standard</vt:lpwstr>
  </property>
  <property fmtid="{D5CDD505-2E9C-101B-9397-08002B2CF9AE}" pid="19" name="MSIP_Label_29db9e61-aac5-4f6e-805d-ceb8cb9983a1_Name">
    <vt:lpwstr>UniCredit - Internal Use Only - no visual markings</vt:lpwstr>
  </property>
  <property fmtid="{D5CDD505-2E9C-101B-9397-08002B2CF9AE}" pid="20" name="MSIP_Label_29db9e61-aac5-4f6e-805d-ceb8cb9983a1_SiteId">
    <vt:lpwstr>2cc49ce9-66a1-41ac-a96b-bdc54247696a</vt:lpwstr>
  </property>
  <property fmtid="{D5CDD505-2E9C-101B-9397-08002B2CF9AE}" pid="21" name="MSIP_Label_29db9e61-aac5-4f6e-805d-ceb8cb9983a1_ActionId">
    <vt:lpwstr>0aa2fcd6-2b26-4770-b8b2-cc6b4d35ce54</vt:lpwstr>
  </property>
  <property fmtid="{D5CDD505-2E9C-101B-9397-08002B2CF9AE}" pid="22" name="MSIP_Label_29db9e61-aac5-4f6e-805d-ceb8cb9983a1_ContentBits">
    <vt:lpwstr>0</vt:lpwstr>
  </property>
  <property fmtid="{D5CDD505-2E9C-101B-9397-08002B2CF9AE}" pid="23" name="MSIP_Label_29db9e61-aac5-4f6e-805d-ceb8cb9983a1_Tag">
    <vt:lpwstr>10, 3, 0, 1</vt:lpwstr>
  </property>
</Properties>
</file>