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D40" w:rsidRPr="00B4301A" w:rsidRDefault="006C3D40"/>
    <w:p w:rsidR="006C3D40" w:rsidRPr="00B4301A" w:rsidRDefault="006C3D40">
      <w:pPr>
        <w:pStyle w:val="Zhlav"/>
        <w:tabs>
          <w:tab w:val="clear" w:pos="4536"/>
          <w:tab w:val="clear" w:pos="9072"/>
        </w:tabs>
      </w:pPr>
    </w:p>
    <w:p w:rsidR="006C3D40" w:rsidRPr="001D15BD" w:rsidRDefault="006C3D40">
      <w:pPr>
        <w:pStyle w:val="Nadpis9"/>
        <w:rPr>
          <w:iCs/>
        </w:rPr>
      </w:pPr>
      <w:r w:rsidRPr="001D15BD">
        <w:rPr>
          <w:iCs/>
        </w:rPr>
        <w:t>Brief analytical comments</w:t>
      </w:r>
    </w:p>
    <w:p w:rsidR="006C3D40" w:rsidRPr="001D15BD" w:rsidRDefault="006C3D40">
      <w:pPr>
        <w:rPr>
          <w:b/>
          <w:bCs/>
          <w:iCs/>
        </w:rPr>
      </w:pPr>
    </w:p>
    <w:p w:rsidR="006C3D40" w:rsidRPr="001D15BD" w:rsidRDefault="006C3D40">
      <w:pPr>
        <w:rPr>
          <w:b/>
          <w:bCs/>
          <w:iCs/>
        </w:rPr>
      </w:pPr>
    </w:p>
    <w:p w:rsidR="006C3D40" w:rsidRPr="00410674" w:rsidRDefault="006C3D40">
      <w:pPr>
        <w:rPr>
          <w:rFonts w:ascii="Arial" w:hAnsi="Arial" w:cs="Arial"/>
          <w:iCs/>
          <w:sz w:val="20"/>
        </w:rPr>
      </w:pPr>
      <w:r w:rsidRPr="00410674">
        <w:rPr>
          <w:rFonts w:ascii="Arial" w:hAnsi="Arial" w:cs="Arial"/>
          <w:b/>
          <w:bCs/>
          <w:iCs/>
          <w:sz w:val="20"/>
        </w:rPr>
        <w:t xml:space="preserve">In </w:t>
      </w:r>
      <w:r w:rsidR="00E82667" w:rsidRPr="00410674">
        <w:rPr>
          <w:rFonts w:ascii="Arial" w:hAnsi="Arial" w:cs="Arial"/>
          <w:b/>
          <w:bCs/>
          <w:iCs/>
          <w:sz w:val="20"/>
        </w:rPr>
        <w:t>Q</w:t>
      </w:r>
      <w:r w:rsidR="00526EB6" w:rsidRPr="00410674">
        <w:rPr>
          <w:rFonts w:ascii="Arial" w:hAnsi="Arial" w:cs="Arial"/>
          <w:b/>
          <w:bCs/>
          <w:iCs/>
          <w:sz w:val="20"/>
        </w:rPr>
        <w:t xml:space="preserve">4 </w:t>
      </w:r>
      <w:r w:rsidR="00E918E7" w:rsidRPr="00410674">
        <w:rPr>
          <w:rFonts w:ascii="Arial" w:hAnsi="Arial" w:cs="Arial"/>
          <w:b/>
          <w:bCs/>
          <w:iCs/>
          <w:sz w:val="20"/>
        </w:rPr>
        <w:t>201</w:t>
      </w:r>
      <w:r w:rsidR="00F15353" w:rsidRPr="00410674">
        <w:rPr>
          <w:rFonts w:ascii="Arial" w:hAnsi="Arial" w:cs="Arial"/>
          <w:b/>
          <w:bCs/>
          <w:iCs/>
          <w:sz w:val="20"/>
        </w:rPr>
        <w:t>4</w:t>
      </w:r>
      <w:r w:rsidR="00937CCE">
        <w:rPr>
          <w:rFonts w:ascii="Arial" w:hAnsi="Arial" w:cs="Arial"/>
          <w:b/>
          <w:bCs/>
          <w:iCs/>
          <w:sz w:val="20"/>
        </w:rPr>
        <w:t xml:space="preserve"> </w:t>
      </w:r>
      <w:r w:rsidRPr="00410674">
        <w:rPr>
          <w:rFonts w:ascii="Arial" w:hAnsi="Arial" w:cs="Arial"/>
          <w:iCs/>
          <w:sz w:val="20"/>
        </w:rPr>
        <w:t xml:space="preserve">there is a total of </w:t>
      </w:r>
      <w:r w:rsidR="00E918E7" w:rsidRPr="00410674">
        <w:rPr>
          <w:rFonts w:ascii="Arial" w:hAnsi="Arial" w:cs="Arial"/>
          <w:iCs/>
          <w:sz w:val="20"/>
        </w:rPr>
        <w:t xml:space="preserve">seven </w:t>
      </w:r>
      <w:r w:rsidRPr="00410674">
        <w:rPr>
          <w:rFonts w:ascii="Arial" w:hAnsi="Arial" w:cs="Arial"/>
          <w:b/>
          <w:bCs/>
          <w:iCs/>
          <w:sz w:val="20"/>
        </w:rPr>
        <w:t>health insurance companies</w:t>
      </w:r>
      <w:r w:rsidR="00FB4089" w:rsidRPr="00410674">
        <w:rPr>
          <w:rFonts w:ascii="Arial" w:hAnsi="Arial" w:cs="Arial"/>
          <w:b/>
          <w:bCs/>
          <w:iCs/>
          <w:sz w:val="20"/>
        </w:rPr>
        <w:t>,</w:t>
      </w:r>
      <w:r w:rsidR="00526EB6" w:rsidRPr="00410674">
        <w:rPr>
          <w:rFonts w:ascii="Arial" w:hAnsi="Arial" w:cs="Arial"/>
          <w:b/>
          <w:bCs/>
          <w:iCs/>
          <w:sz w:val="20"/>
        </w:rPr>
        <w:t xml:space="preserve"> </w:t>
      </w:r>
      <w:r w:rsidR="00F15353" w:rsidRPr="00410674">
        <w:rPr>
          <w:rFonts w:ascii="Arial" w:hAnsi="Arial" w:cs="Arial"/>
          <w:iCs/>
          <w:sz w:val="20"/>
        </w:rPr>
        <w:t xml:space="preserve">which </w:t>
      </w:r>
      <w:r w:rsidR="00FB4089" w:rsidRPr="00410674">
        <w:rPr>
          <w:rFonts w:ascii="Arial" w:hAnsi="Arial" w:cs="Arial"/>
          <w:iCs/>
          <w:sz w:val="20"/>
        </w:rPr>
        <w:t xml:space="preserve">employed </w:t>
      </w:r>
      <w:r w:rsidR="00F15353" w:rsidRPr="00410674">
        <w:rPr>
          <w:rFonts w:ascii="Arial" w:hAnsi="Arial" w:cs="Arial"/>
          <w:iCs/>
          <w:sz w:val="20"/>
        </w:rPr>
        <w:t>58</w:t>
      </w:r>
      <w:r w:rsidR="00526EB6" w:rsidRPr="00410674">
        <w:rPr>
          <w:rFonts w:ascii="Arial" w:hAnsi="Arial" w:cs="Arial"/>
          <w:iCs/>
          <w:sz w:val="20"/>
        </w:rPr>
        <w:t>21</w:t>
      </w:r>
      <w:r w:rsidR="00F15353" w:rsidRPr="00410674">
        <w:rPr>
          <w:rFonts w:ascii="Arial" w:hAnsi="Arial" w:cs="Arial"/>
          <w:iCs/>
          <w:sz w:val="20"/>
        </w:rPr>
        <w:t xml:space="preserve"> persons (FTE) </w:t>
      </w:r>
      <w:r w:rsidR="00FB4089" w:rsidRPr="00410674">
        <w:rPr>
          <w:rFonts w:ascii="Arial" w:hAnsi="Arial" w:cs="Arial"/>
          <w:iCs/>
          <w:sz w:val="20"/>
        </w:rPr>
        <w:t xml:space="preserve">- </w:t>
      </w:r>
      <w:r w:rsidRPr="00410674">
        <w:rPr>
          <w:rFonts w:ascii="Arial" w:hAnsi="Arial" w:cs="Arial"/>
          <w:iCs/>
          <w:sz w:val="20"/>
        </w:rPr>
        <w:t>which was</w:t>
      </w:r>
      <w:r w:rsidR="00DB3E63" w:rsidRPr="00410674">
        <w:rPr>
          <w:rFonts w:ascii="Arial" w:hAnsi="Arial" w:cs="Arial"/>
          <w:iCs/>
          <w:sz w:val="20"/>
        </w:rPr>
        <w:t xml:space="preserve"> by</w:t>
      </w:r>
      <w:r w:rsidR="00526EB6" w:rsidRPr="00410674">
        <w:rPr>
          <w:rFonts w:ascii="Arial" w:hAnsi="Arial" w:cs="Arial"/>
          <w:iCs/>
          <w:sz w:val="20"/>
        </w:rPr>
        <w:t xml:space="preserve"> </w:t>
      </w:r>
      <w:r w:rsidR="00370FF0" w:rsidRPr="00410674">
        <w:rPr>
          <w:rFonts w:ascii="Arial" w:hAnsi="Arial" w:cs="Arial"/>
          <w:iCs/>
          <w:sz w:val="20"/>
        </w:rPr>
        <w:t>0,2</w:t>
      </w:r>
      <w:r w:rsidRPr="00410674">
        <w:rPr>
          <w:rFonts w:ascii="Arial" w:hAnsi="Arial" w:cs="Arial"/>
          <w:iCs/>
          <w:sz w:val="20"/>
        </w:rPr>
        <w:t>% less than in Q</w:t>
      </w:r>
      <w:r w:rsidR="00370FF0" w:rsidRPr="00410674">
        <w:rPr>
          <w:rFonts w:ascii="Arial" w:hAnsi="Arial" w:cs="Arial"/>
          <w:iCs/>
          <w:sz w:val="20"/>
        </w:rPr>
        <w:t>3</w:t>
      </w:r>
      <w:r w:rsidR="00E918E7" w:rsidRPr="00410674">
        <w:rPr>
          <w:rFonts w:ascii="Arial" w:hAnsi="Arial" w:cs="Arial"/>
          <w:iCs/>
          <w:sz w:val="20"/>
        </w:rPr>
        <w:t>201</w:t>
      </w:r>
      <w:r w:rsidR="00FB4089" w:rsidRPr="00410674">
        <w:rPr>
          <w:rFonts w:ascii="Arial" w:hAnsi="Arial" w:cs="Arial"/>
          <w:iCs/>
          <w:sz w:val="20"/>
        </w:rPr>
        <w:t>3</w:t>
      </w:r>
      <w:r w:rsidR="00E82667" w:rsidRPr="00410674">
        <w:rPr>
          <w:rFonts w:ascii="Arial" w:hAnsi="Arial" w:cs="Arial"/>
          <w:iCs/>
          <w:sz w:val="20"/>
        </w:rPr>
        <w:t xml:space="preserve"> (</w:t>
      </w:r>
      <w:r w:rsidR="00FB4089" w:rsidRPr="00410674">
        <w:rPr>
          <w:rFonts w:ascii="Arial" w:hAnsi="Arial" w:cs="Arial"/>
          <w:iCs/>
          <w:sz w:val="20"/>
        </w:rPr>
        <w:t>58</w:t>
      </w:r>
      <w:r w:rsidR="00370FF0" w:rsidRPr="00410674">
        <w:rPr>
          <w:rFonts w:ascii="Arial" w:hAnsi="Arial" w:cs="Arial"/>
          <w:iCs/>
          <w:sz w:val="20"/>
        </w:rPr>
        <w:t>31</w:t>
      </w:r>
      <w:r w:rsidRPr="00410674">
        <w:rPr>
          <w:rFonts w:ascii="Arial" w:hAnsi="Arial" w:cs="Arial"/>
          <w:iCs/>
          <w:sz w:val="20"/>
        </w:rPr>
        <w:t>persons).</w:t>
      </w:r>
    </w:p>
    <w:p w:rsidR="006C3D40" w:rsidRPr="00410674" w:rsidRDefault="006C3D40">
      <w:pPr>
        <w:ind w:firstLine="708"/>
        <w:rPr>
          <w:rFonts w:ascii="Arial" w:hAnsi="Arial" w:cs="Arial"/>
          <w:iCs/>
          <w:sz w:val="20"/>
        </w:rPr>
      </w:pPr>
    </w:p>
    <w:p w:rsidR="00B631C1" w:rsidRPr="00410674" w:rsidRDefault="006C3D40">
      <w:pPr>
        <w:rPr>
          <w:rFonts w:ascii="Arial" w:hAnsi="Arial" w:cs="Arial"/>
          <w:iCs/>
          <w:sz w:val="20"/>
        </w:rPr>
      </w:pPr>
      <w:r w:rsidRPr="00410674">
        <w:rPr>
          <w:rFonts w:ascii="Arial" w:hAnsi="Arial" w:cs="Arial"/>
          <w:b/>
          <w:bCs/>
          <w:iCs/>
          <w:sz w:val="20"/>
        </w:rPr>
        <w:t>The average monthly wage</w:t>
      </w:r>
      <w:r w:rsidRPr="00410674">
        <w:rPr>
          <w:rFonts w:ascii="Arial" w:hAnsi="Arial" w:cs="Arial"/>
          <w:iCs/>
          <w:sz w:val="20"/>
        </w:rPr>
        <w:t xml:space="preserve"> (calculated from wages </w:t>
      </w:r>
      <w:r w:rsidR="006A08FF" w:rsidRPr="00410674">
        <w:rPr>
          <w:rFonts w:ascii="Arial" w:hAnsi="Arial" w:cs="Arial"/>
          <w:iCs/>
          <w:sz w:val="20"/>
        </w:rPr>
        <w:t>excl.</w:t>
      </w:r>
      <w:r w:rsidRPr="00410674">
        <w:rPr>
          <w:rFonts w:ascii="Arial" w:hAnsi="Arial" w:cs="Arial"/>
          <w:iCs/>
          <w:sz w:val="20"/>
        </w:rPr>
        <w:t xml:space="preserve"> other personnel expenses and from the above number of employed persons) increased from CZK </w:t>
      </w:r>
      <w:r w:rsidR="00410674" w:rsidRPr="00410674">
        <w:rPr>
          <w:rFonts w:ascii="Arial" w:hAnsi="Arial" w:cs="Arial"/>
          <w:iCs/>
          <w:sz w:val="20"/>
        </w:rPr>
        <w:t xml:space="preserve">44 017 </w:t>
      </w:r>
      <w:r w:rsidRPr="00410674">
        <w:rPr>
          <w:rFonts w:ascii="Arial" w:hAnsi="Arial" w:cs="Arial"/>
          <w:iCs/>
          <w:sz w:val="20"/>
        </w:rPr>
        <w:t>in Q</w:t>
      </w:r>
      <w:r w:rsidR="00410674" w:rsidRPr="00410674">
        <w:rPr>
          <w:rFonts w:ascii="Arial" w:hAnsi="Arial" w:cs="Arial"/>
          <w:iCs/>
          <w:sz w:val="20"/>
        </w:rPr>
        <w:t>4</w:t>
      </w:r>
      <w:r w:rsidR="00E918E7" w:rsidRPr="00410674">
        <w:rPr>
          <w:rFonts w:ascii="Arial" w:hAnsi="Arial" w:cs="Arial"/>
          <w:iCs/>
          <w:sz w:val="20"/>
        </w:rPr>
        <w:t>201</w:t>
      </w:r>
      <w:r w:rsidR="00FB4089" w:rsidRPr="00410674">
        <w:rPr>
          <w:rFonts w:ascii="Arial" w:hAnsi="Arial" w:cs="Arial"/>
          <w:iCs/>
          <w:sz w:val="20"/>
        </w:rPr>
        <w:t>3</w:t>
      </w:r>
      <w:r w:rsidRPr="00410674">
        <w:rPr>
          <w:rFonts w:ascii="Arial" w:hAnsi="Arial" w:cs="Arial"/>
          <w:iCs/>
          <w:sz w:val="20"/>
        </w:rPr>
        <w:t xml:space="preserve"> to CZK </w:t>
      </w:r>
      <w:r w:rsidR="00410674" w:rsidRPr="00410674">
        <w:rPr>
          <w:rFonts w:ascii="Arial" w:hAnsi="Arial" w:cs="Arial"/>
          <w:iCs/>
          <w:sz w:val="20"/>
        </w:rPr>
        <w:t>4</w:t>
      </w:r>
      <w:r w:rsidR="00370FF0" w:rsidRPr="00410674">
        <w:rPr>
          <w:rFonts w:ascii="Arial" w:hAnsi="Arial" w:cs="Arial"/>
          <w:iCs/>
          <w:sz w:val="20"/>
        </w:rPr>
        <w:t>4</w:t>
      </w:r>
      <w:r w:rsidR="00410674" w:rsidRPr="00410674">
        <w:rPr>
          <w:rFonts w:ascii="Arial" w:hAnsi="Arial" w:cs="Arial"/>
          <w:iCs/>
          <w:sz w:val="20"/>
        </w:rPr>
        <w:t xml:space="preserve"> 075</w:t>
      </w:r>
      <w:r w:rsidR="00370FF0" w:rsidRPr="00410674">
        <w:rPr>
          <w:rFonts w:ascii="Arial" w:hAnsi="Arial" w:cs="Arial"/>
          <w:iCs/>
          <w:sz w:val="20"/>
        </w:rPr>
        <w:t xml:space="preserve"> </w:t>
      </w:r>
      <w:r w:rsidRPr="00410674">
        <w:rPr>
          <w:rFonts w:ascii="Arial" w:hAnsi="Arial" w:cs="Arial"/>
          <w:iCs/>
          <w:sz w:val="20"/>
        </w:rPr>
        <w:t xml:space="preserve">in </w:t>
      </w:r>
      <w:r w:rsidR="00E82667" w:rsidRPr="00410674">
        <w:rPr>
          <w:rFonts w:ascii="Arial" w:hAnsi="Arial" w:cs="Arial"/>
          <w:iCs/>
          <w:sz w:val="20"/>
        </w:rPr>
        <w:t>Q</w:t>
      </w:r>
      <w:r w:rsidR="00410674" w:rsidRPr="00410674">
        <w:rPr>
          <w:rFonts w:ascii="Arial" w:hAnsi="Arial" w:cs="Arial"/>
          <w:iCs/>
          <w:sz w:val="20"/>
        </w:rPr>
        <w:t>4</w:t>
      </w:r>
      <w:r w:rsidR="00E918E7" w:rsidRPr="00410674">
        <w:rPr>
          <w:rFonts w:ascii="Arial" w:hAnsi="Arial" w:cs="Arial"/>
          <w:iCs/>
          <w:sz w:val="20"/>
        </w:rPr>
        <w:t>201</w:t>
      </w:r>
      <w:r w:rsidR="00FB4089" w:rsidRPr="00410674">
        <w:rPr>
          <w:rFonts w:ascii="Arial" w:hAnsi="Arial" w:cs="Arial"/>
          <w:iCs/>
          <w:sz w:val="20"/>
        </w:rPr>
        <w:t>4</w:t>
      </w:r>
      <w:r w:rsidR="00410674" w:rsidRPr="00410674">
        <w:rPr>
          <w:rFonts w:ascii="Arial" w:hAnsi="Arial" w:cs="Arial"/>
          <w:iCs/>
          <w:sz w:val="20"/>
        </w:rPr>
        <w:t>.</w:t>
      </w:r>
      <w:r w:rsidR="00F036A9" w:rsidRPr="00410674">
        <w:rPr>
          <w:rFonts w:ascii="Arial" w:hAnsi="Arial" w:cs="Arial"/>
          <w:bCs/>
          <w:iCs/>
          <w:sz w:val="20"/>
        </w:rPr>
        <w:t xml:space="preserve"> Wage compensations provided by the employer </w:t>
      </w:r>
      <w:r w:rsidR="00F036A9" w:rsidRPr="00410674">
        <w:rPr>
          <w:rFonts w:ascii="Arial" w:hAnsi="Arial" w:cs="Arial"/>
          <w:iCs/>
          <w:sz w:val="20"/>
        </w:rPr>
        <w:t xml:space="preserve">for the first </w:t>
      </w:r>
      <w:r w:rsidR="007375A6" w:rsidRPr="00410674">
        <w:rPr>
          <w:rFonts w:ascii="Arial" w:hAnsi="Arial" w:cs="Arial"/>
          <w:iCs/>
          <w:sz w:val="20"/>
        </w:rPr>
        <w:t>14 calendar</w:t>
      </w:r>
      <w:r w:rsidR="00F036A9" w:rsidRPr="00410674">
        <w:rPr>
          <w:rFonts w:ascii="Arial" w:hAnsi="Arial" w:cs="Arial"/>
          <w:iCs/>
          <w:sz w:val="20"/>
        </w:rPr>
        <w:t xml:space="preserve"> days of temporary incapacity for </w:t>
      </w:r>
      <w:r w:rsidR="00410674" w:rsidRPr="00410674">
        <w:rPr>
          <w:rFonts w:ascii="Arial" w:hAnsi="Arial" w:cs="Arial"/>
          <w:iCs/>
          <w:sz w:val="20"/>
        </w:rPr>
        <w:t>work in Q4</w:t>
      </w:r>
      <w:r w:rsidR="00F036A9" w:rsidRPr="00410674">
        <w:rPr>
          <w:rFonts w:ascii="Arial" w:hAnsi="Arial" w:cs="Arial"/>
          <w:iCs/>
          <w:sz w:val="20"/>
        </w:rPr>
        <w:t xml:space="preserve"> 2013 accounted for CZK 1</w:t>
      </w:r>
      <w:proofErr w:type="gramStart"/>
      <w:r w:rsidR="00F036A9" w:rsidRPr="00410674">
        <w:rPr>
          <w:rFonts w:ascii="Arial" w:hAnsi="Arial" w:cs="Arial"/>
          <w:iCs/>
          <w:sz w:val="20"/>
        </w:rPr>
        <w:t>,</w:t>
      </w:r>
      <w:r w:rsidR="00410674" w:rsidRPr="00410674">
        <w:rPr>
          <w:rFonts w:ascii="Arial" w:hAnsi="Arial" w:cs="Arial"/>
          <w:iCs/>
          <w:sz w:val="20"/>
        </w:rPr>
        <w:t>8</w:t>
      </w:r>
      <w:proofErr w:type="gramEnd"/>
      <w:r w:rsidR="00F036A9" w:rsidRPr="00410674">
        <w:rPr>
          <w:rFonts w:ascii="Arial" w:hAnsi="Arial" w:cs="Arial"/>
          <w:iCs/>
          <w:sz w:val="20"/>
        </w:rPr>
        <w:t xml:space="preserve"> million. These wage compensations (for the first days of temporary incapacity for work) are paid out by the employer in compli</w:t>
      </w:r>
      <w:r w:rsidR="00937CCE">
        <w:rPr>
          <w:rFonts w:ascii="Arial" w:hAnsi="Arial" w:cs="Arial"/>
          <w:iCs/>
          <w:sz w:val="20"/>
        </w:rPr>
        <w:t>ance with relevant legislation.</w:t>
      </w:r>
    </w:p>
    <w:p w:rsidR="00C163BA" w:rsidRPr="00410674" w:rsidRDefault="006C3D40">
      <w:pPr>
        <w:pStyle w:val="Zkladntext2"/>
        <w:rPr>
          <w:iCs/>
        </w:rPr>
      </w:pPr>
      <w:r w:rsidRPr="00410674">
        <w:rPr>
          <w:iCs/>
        </w:rPr>
        <w:br/>
      </w:r>
      <w:r w:rsidRPr="00410674">
        <w:rPr>
          <w:b/>
          <w:bCs/>
          <w:iCs/>
        </w:rPr>
        <w:t>Premiums written</w:t>
      </w:r>
      <w:r w:rsidRPr="00410674">
        <w:rPr>
          <w:iCs/>
        </w:rPr>
        <w:t xml:space="preserve"> (excl. those paid by the state</w:t>
      </w:r>
      <w:r w:rsidR="00F85B40" w:rsidRPr="00410674">
        <w:rPr>
          <w:iCs/>
        </w:rPr>
        <w:t>-</w:t>
      </w:r>
      <w:r w:rsidR="00E364FC" w:rsidRPr="00410674">
        <w:rPr>
          <w:iCs/>
        </w:rPr>
        <w:t>insured persons</w:t>
      </w:r>
      <w:r w:rsidRPr="00410674">
        <w:rPr>
          <w:iCs/>
        </w:rPr>
        <w:t xml:space="preserve">) make up a substantial part of </w:t>
      </w:r>
      <w:r w:rsidR="00FB4089" w:rsidRPr="00410674">
        <w:rPr>
          <w:iCs/>
        </w:rPr>
        <w:t xml:space="preserve">the </w:t>
      </w:r>
      <w:r w:rsidRPr="00410674">
        <w:rPr>
          <w:iCs/>
        </w:rPr>
        <w:t xml:space="preserve">total revenues of health insurance companies. In the reported period they amounted to </w:t>
      </w:r>
      <w:r w:rsidR="00DD06D6" w:rsidRPr="00410674">
        <w:rPr>
          <w:iCs/>
        </w:rPr>
        <w:t xml:space="preserve">CZK 46 947 </w:t>
      </w:r>
      <w:r w:rsidR="00D66E2C" w:rsidRPr="00410674">
        <w:rPr>
          <w:iCs/>
        </w:rPr>
        <w:t>million</w:t>
      </w:r>
      <w:r w:rsidR="00DD06D6" w:rsidRPr="00410674">
        <w:rPr>
          <w:iCs/>
        </w:rPr>
        <w:t>, it</w:t>
      </w:r>
      <w:r w:rsidR="00DD06D6" w:rsidRPr="00410674">
        <w:t xml:space="preserve"> </w:t>
      </w:r>
      <w:r w:rsidR="00DD06D6" w:rsidRPr="00410674">
        <w:rPr>
          <w:rStyle w:val="hps"/>
        </w:rPr>
        <w:t>is</w:t>
      </w:r>
      <w:r w:rsidR="00DD06D6" w:rsidRPr="00410674">
        <w:t xml:space="preserve"> </w:t>
      </w:r>
      <w:r w:rsidR="00DD06D6" w:rsidRPr="00410674">
        <w:rPr>
          <w:rStyle w:val="hps"/>
        </w:rPr>
        <w:t>at the</w:t>
      </w:r>
      <w:r w:rsidR="00DD06D6" w:rsidRPr="00410674">
        <w:t xml:space="preserve"> </w:t>
      </w:r>
      <w:r w:rsidR="00DD06D6" w:rsidRPr="00410674">
        <w:rPr>
          <w:rStyle w:val="hps"/>
        </w:rPr>
        <w:t xml:space="preserve">same level </w:t>
      </w:r>
      <w:r w:rsidRPr="00410674">
        <w:rPr>
          <w:iCs/>
        </w:rPr>
        <w:t xml:space="preserve">to the corresponding period of </w:t>
      </w:r>
      <w:r w:rsidR="00E918E7" w:rsidRPr="00410674">
        <w:rPr>
          <w:iCs/>
        </w:rPr>
        <w:t>201</w:t>
      </w:r>
      <w:r w:rsidR="00FB4089" w:rsidRPr="00410674">
        <w:rPr>
          <w:iCs/>
        </w:rPr>
        <w:t>3</w:t>
      </w:r>
      <w:r w:rsidRPr="00410674">
        <w:rPr>
          <w:iCs/>
        </w:rPr>
        <w:t xml:space="preserve">. The amount of premiums is regulated by the General Health Insurance Premiums Act No. 592/1992 Sb., whose amendment referring, among other things, also to the assessment base determination, has been applicable since 2008. </w:t>
      </w:r>
      <w:r w:rsidR="00C32003" w:rsidRPr="00410674">
        <w:rPr>
          <w:rStyle w:val="hps"/>
        </w:rPr>
        <w:t>Premiums written measured</w:t>
      </w:r>
      <w:r w:rsidR="00937CCE">
        <w:rPr>
          <w:rStyle w:val="hps"/>
        </w:rPr>
        <w:t xml:space="preserve"> </w:t>
      </w:r>
      <w:r w:rsidR="00C32003" w:rsidRPr="00410674">
        <w:rPr>
          <w:rStyle w:val="hps"/>
        </w:rPr>
        <w:t>on an accrual basis</w:t>
      </w:r>
      <w:r w:rsidR="00937CCE">
        <w:rPr>
          <w:rStyle w:val="hps"/>
        </w:rPr>
        <w:t xml:space="preserve"> </w:t>
      </w:r>
      <w:r w:rsidR="00C32003" w:rsidRPr="00410674">
        <w:rPr>
          <w:rStyle w:val="hps"/>
        </w:rPr>
        <w:t>but</w:t>
      </w:r>
      <w:r w:rsidR="00937CCE">
        <w:rPr>
          <w:rStyle w:val="hps"/>
        </w:rPr>
        <w:t xml:space="preserve"> </w:t>
      </w:r>
      <w:r w:rsidR="00C32003" w:rsidRPr="00410674">
        <w:rPr>
          <w:rStyle w:val="hps"/>
        </w:rPr>
        <w:t>not actual revenues</w:t>
      </w:r>
      <w:r w:rsidR="00937CCE">
        <w:rPr>
          <w:rStyle w:val="hps"/>
        </w:rPr>
        <w:t xml:space="preserve"> </w:t>
      </w:r>
      <w:r w:rsidR="00C32003" w:rsidRPr="00410674">
        <w:rPr>
          <w:rStyle w:val="hps"/>
        </w:rPr>
        <w:t>of health insurance</w:t>
      </w:r>
      <w:r w:rsidR="00937CCE">
        <w:rPr>
          <w:rStyle w:val="hps"/>
        </w:rPr>
        <w:t xml:space="preserve"> companies </w:t>
      </w:r>
      <w:r w:rsidR="00C32003" w:rsidRPr="00410674">
        <w:rPr>
          <w:rStyle w:val="hps"/>
        </w:rPr>
        <w:t xml:space="preserve">for </w:t>
      </w:r>
      <w:r w:rsidR="00937CCE">
        <w:rPr>
          <w:rStyle w:val="hps"/>
        </w:rPr>
        <w:t>public</w:t>
      </w:r>
      <w:r w:rsidR="00C32003" w:rsidRPr="00410674">
        <w:rPr>
          <w:rStyle w:val="hps"/>
        </w:rPr>
        <w:t xml:space="preserve"> health insurance</w:t>
      </w:r>
      <w:r w:rsidR="00C32003" w:rsidRPr="00410674">
        <w:t>.</w:t>
      </w:r>
      <w:r w:rsidR="00937CCE">
        <w:t xml:space="preserve"> </w:t>
      </w:r>
      <w:r w:rsidRPr="00410674">
        <w:rPr>
          <w:iCs/>
        </w:rPr>
        <w:t>Actual revenues</w:t>
      </w:r>
      <w:r w:rsidR="00E364FC" w:rsidRPr="00410674">
        <w:rPr>
          <w:iCs/>
        </w:rPr>
        <w:t xml:space="preserve"> are lower, as evidenced by the </w:t>
      </w:r>
      <w:r w:rsidR="00121424" w:rsidRPr="00410674">
        <w:rPr>
          <w:iCs/>
        </w:rPr>
        <w:t>amount</w:t>
      </w:r>
      <w:r w:rsidR="00E364FC" w:rsidRPr="00410674">
        <w:rPr>
          <w:iCs/>
        </w:rPr>
        <w:t xml:space="preserve"> of</w:t>
      </w:r>
      <w:r w:rsidR="00E66D92" w:rsidRPr="00410674">
        <w:rPr>
          <w:iCs/>
        </w:rPr>
        <w:t xml:space="preserve"> accrued fines and penalties on unpaid insurance.</w:t>
      </w:r>
    </w:p>
    <w:p w:rsidR="00C163BA" w:rsidRPr="00410674" w:rsidRDefault="00C163BA">
      <w:pPr>
        <w:pStyle w:val="Zkladntext2"/>
        <w:rPr>
          <w:iCs/>
        </w:rPr>
      </w:pPr>
    </w:p>
    <w:p w:rsidR="001E5237" w:rsidRPr="00410674" w:rsidRDefault="00E423F3" w:rsidP="00E364FC">
      <w:pPr>
        <w:rPr>
          <w:rFonts w:ascii="Arial" w:hAnsi="Arial" w:cs="Arial"/>
          <w:iCs/>
          <w:sz w:val="20"/>
          <w:szCs w:val="20"/>
        </w:rPr>
      </w:pPr>
      <w:r w:rsidRPr="00410674">
        <w:rPr>
          <w:rFonts w:ascii="Arial" w:hAnsi="Arial" w:cs="Arial"/>
          <w:iCs/>
          <w:sz w:val="20"/>
          <w:szCs w:val="20"/>
        </w:rPr>
        <w:t xml:space="preserve">According to the data of the </w:t>
      </w:r>
      <w:r w:rsidRPr="00410674">
        <w:rPr>
          <w:rFonts w:ascii="Arial" w:hAnsi="Arial" w:cs="Arial"/>
          <w:b/>
          <w:iCs/>
          <w:sz w:val="20"/>
          <w:szCs w:val="20"/>
        </w:rPr>
        <w:t>Ministry of Health of the CR</w:t>
      </w:r>
      <w:r w:rsidRPr="00410674">
        <w:rPr>
          <w:rFonts w:ascii="Arial" w:hAnsi="Arial" w:cs="Arial"/>
          <w:iCs/>
          <w:sz w:val="20"/>
          <w:szCs w:val="20"/>
        </w:rPr>
        <w:t xml:space="preserve">, </w:t>
      </w:r>
      <w:r w:rsidR="007D2950" w:rsidRPr="00410674">
        <w:rPr>
          <w:rFonts w:ascii="Arial" w:hAnsi="Arial" w:cs="Arial"/>
          <w:iCs/>
          <w:sz w:val="20"/>
          <w:szCs w:val="20"/>
        </w:rPr>
        <w:t xml:space="preserve">from the </w:t>
      </w:r>
      <w:proofErr w:type="gramStart"/>
      <w:r w:rsidR="007D2950" w:rsidRPr="00410674">
        <w:rPr>
          <w:rFonts w:ascii="Arial" w:hAnsi="Arial" w:cs="Arial"/>
          <w:iCs/>
          <w:sz w:val="20"/>
          <w:szCs w:val="20"/>
        </w:rPr>
        <w:t xml:space="preserve">beginning </w:t>
      </w:r>
      <w:r w:rsidRPr="00410674">
        <w:rPr>
          <w:rFonts w:ascii="Arial" w:hAnsi="Arial" w:cs="Arial"/>
          <w:iCs/>
          <w:sz w:val="20"/>
          <w:szCs w:val="20"/>
        </w:rPr>
        <w:t xml:space="preserve"> 201</w:t>
      </w:r>
      <w:r w:rsidR="008D030D" w:rsidRPr="00410674">
        <w:rPr>
          <w:rFonts w:ascii="Arial" w:hAnsi="Arial" w:cs="Arial"/>
          <w:iCs/>
          <w:sz w:val="20"/>
          <w:szCs w:val="20"/>
        </w:rPr>
        <w:t>4</w:t>
      </w:r>
      <w:proofErr w:type="gramEnd"/>
      <w:r w:rsidRPr="00410674">
        <w:rPr>
          <w:rFonts w:ascii="Arial" w:hAnsi="Arial" w:cs="Arial"/>
          <w:iCs/>
          <w:sz w:val="20"/>
          <w:szCs w:val="20"/>
        </w:rPr>
        <w:t xml:space="preserve"> the frequency of payments by the state for persons insured by the state ch</w:t>
      </w:r>
      <w:r w:rsidR="00DB01CD" w:rsidRPr="00410674">
        <w:rPr>
          <w:rFonts w:ascii="Arial" w:hAnsi="Arial" w:cs="Arial"/>
          <w:iCs/>
          <w:sz w:val="20"/>
          <w:szCs w:val="20"/>
        </w:rPr>
        <w:t>anged (</w:t>
      </w:r>
      <w:r w:rsidRPr="00410674">
        <w:rPr>
          <w:rFonts w:ascii="Arial" w:hAnsi="Arial" w:cs="Arial"/>
          <w:iCs/>
          <w:sz w:val="20"/>
          <w:szCs w:val="20"/>
        </w:rPr>
        <w:t xml:space="preserve">the so-called </w:t>
      </w:r>
      <w:r w:rsidRPr="00410674">
        <w:rPr>
          <w:rFonts w:ascii="Arial" w:hAnsi="Arial" w:cs="Arial"/>
          <w:b/>
          <w:iCs/>
          <w:sz w:val="20"/>
          <w:szCs w:val="20"/>
        </w:rPr>
        <w:t>“advance payment</w:t>
      </w:r>
      <w:r w:rsidRPr="00410674">
        <w:rPr>
          <w:rFonts w:ascii="Arial" w:hAnsi="Arial" w:cs="Arial"/>
          <w:iCs/>
          <w:sz w:val="20"/>
          <w:szCs w:val="20"/>
        </w:rPr>
        <w:t xml:space="preserve">” from the state budget within the meaning of the Section 12(2) of the Act No. 592/1992 Sb.) in the </w:t>
      </w:r>
      <w:r w:rsidRPr="00410674">
        <w:rPr>
          <w:rFonts w:ascii="Arial" w:hAnsi="Arial" w:cs="Arial"/>
          <w:b/>
          <w:iCs/>
          <w:sz w:val="20"/>
          <w:szCs w:val="20"/>
        </w:rPr>
        <w:t xml:space="preserve">amount of CZK </w:t>
      </w:r>
      <w:r w:rsidR="007953B2" w:rsidRPr="00410674">
        <w:rPr>
          <w:rFonts w:ascii="Arial" w:hAnsi="Arial" w:cs="Arial"/>
          <w:b/>
          <w:iCs/>
          <w:sz w:val="20"/>
          <w:szCs w:val="20"/>
        </w:rPr>
        <w:t>4 800 million</w:t>
      </w:r>
      <w:r w:rsidRPr="00410674">
        <w:rPr>
          <w:rFonts w:ascii="Arial" w:hAnsi="Arial" w:cs="Arial"/>
          <w:iCs/>
          <w:sz w:val="20"/>
          <w:szCs w:val="20"/>
        </w:rPr>
        <w:t xml:space="preserve">. In the corresponding period of </w:t>
      </w:r>
      <w:proofErr w:type="gramStart"/>
      <w:r w:rsidR="008D030D" w:rsidRPr="00410674">
        <w:rPr>
          <w:rFonts w:ascii="Arial" w:hAnsi="Arial" w:cs="Arial"/>
          <w:iCs/>
          <w:sz w:val="20"/>
          <w:szCs w:val="20"/>
        </w:rPr>
        <w:t xml:space="preserve">2013 </w:t>
      </w:r>
      <w:r w:rsidRPr="00410674">
        <w:rPr>
          <w:rFonts w:ascii="Arial" w:hAnsi="Arial" w:cs="Arial"/>
          <w:iCs/>
          <w:sz w:val="20"/>
          <w:szCs w:val="20"/>
        </w:rPr>
        <w:t>,</w:t>
      </w:r>
      <w:proofErr w:type="gramEnd"/>
      <w:r w:rsidRPr="00410674">
        <w:rPr>
          <w:rFonts w:ascii="Arial" w:hAnsi="Arial" w:cs="Arial"/>
          <w:iCs/>
          <w:sz w:val="20"/>
          <w:szCs w:val="20"/>
        </w:rPr>
        <w:t xml:space="preserve"> the first reallocation included an extraordinary amount of CZK </w:t>
      </w:r>
      <w:r w:rsidR="008D030D" w:rsidRPr="00410674">
        <w:rPr>
          <w:rFonts w:ascii="Arial" w:hAnsi="Arial" w:cs="Arial"/>
          <w:iCs/>
          <w:sz w:val="20"/>
          <w:szCs w:val="20"/>
        </w:rPr>
        <w:t>  4 000</w:t>
      </w:r>
      <w:r w:rsidRPr="00410674">
        <w:rPr>
          <w:rFonts w:ascii="Arial" w:hAnsi="Arial" w:cs="Arial"/>
          <w:iCs/>
          <w:sz w:val="20"/>
          <w:szCs w:val="20"/>
        </w:rPr>
        <w:t xml:space="preserve"> million. </w:t>
      </w:r>
      <w:r w:rsidR="001E5237" w:rsidRPr="00410674">
        <w:rPr>
          <w:rFonts w:ascii="Arial" w:hAnsi="Arial" w:cs="Arial"/>
          <w:iCs/>
          <w:sz w:val="20"/>
          <w:szCs w:val="20"/>
        </w:rPr>
        <w:t xml:space="preserve">With effect </w:t>
      </w:r>
      <w:proofErr w:type="gramStart"/>
      <w:r w:rsidR="001E5237" w:rsidRPr="00410674">
        <w:rPr>
          <w:rFonts w:ascii="Arial" w:hAnsi="Arial" w:cs="Arial"/>
          <w:iCs/>
          <w:sz w:val="20"/>
          <w:szCs w:val="20"/>
        </w:rPr>
        <w:t xml:space="preserve">from 11 redistribution in 2013 payment </w:t>
      </w:r>
      <w:r w:rsidR="00D82F4E" w:rsidRPr="00410674">
        <w:rPr>
          <w:rFonts w:ascii="Arial" w:hAnsi="Arial" w:cs="Arial"/>
          <w:iCs/>
          <w:sz w:val="20"/>
          <w:szCs w:val="20"/>
        </w:rPr>
        <w:t>forstate-insured</w:t>
      </w:r>
      <w:proofErr w:type="gramEnd"/>
      <w:r w:rsidR="00D82F4E" w:rsidRPr="00410674">
        <w:rPr>
          <w:rFonts w:ascii="Arial" w:hAnsi="Arial" w:cs="Arial"/>
          <w:iCs/>
          <w:sz w:val="20"/>
          <w:szCs w:val="20"/>
        </w:rPr>
        <w:t xml:space="preserve"> persons increased from CZK 723 to 787 for person per month.</w:t>
      </w:r>
      <w:r w:rsidR="00D36427" w:rsidRPr="00410674">
        <w:rPr>
          <w:rFonts w:ascii="Arial" w:hAnsi="Arial" w:cs="Arial"/>
          <w:iCs/>
          <w:sz w:val="20"/>
          <w:szCs w:val="20"/>
        </w:rPr>
        <w:t>Beginning with 7 or 6 redistribution in 2014 then to CZK 845 for person per month.</w:t>
      </w:r>
    </w:p>
    <w:p w:rsidR="001E5237" w:rsidRPr="00410674" w:rsidRDefault="001E5237" w:rsidP="00E364FC">
      <w:pPr>
        <w:rPr>
          <w:rFonts w:ascii="Arial" w:hAnsi="Arial" w:cs="Arial"/>
          <w:iCs/>
          <w:sz w:val="20"/>
          <w:szCs w:val="20"/>
        </w:rPr>
      </w:pPr>
    </w:p>
    <w:p w:rsidR="002F142C" w:rsidRPr="00410674" w:rsidRDefault="002F142C" w:rsidP="00E364FC">
      <w:pPr>
        <w:rPr>
          <w:rStyle w:val="hps"/>
          <w:rFonts w:ascii="Arial" w:hAnsi="Arial" w:cs="Arial"/>
          <w:sz w:val="20"/>
          <w:szCs w:val="20"/>
        </w:rPr>
      </w:pPr>
      <w:r w:rsidRPr="00410674">
        <w:rPr>
          <w:rStyle w:val="hps"/>
          <w:rFonts w:ascii="Arial" w:hAnsi="Arial" w:cs="Arial"/>
          <w:sz w:val="20"/>
          <w:szCs w:val="20"/>
        </w:rPr>
        <w:t>It should be noted</w:t>
      </w:r>
      <w:r w:rsidRPr="00410674">
        <w:rPr>
          <w:rFonts w:ascii="Arial" w:hAnsi="Arial" w:cs="Arial"/>
          <w:sz w:val="20"/>
          <w:szCs w:val="20"/>
        </w:rPr>
        <w:t xml:space="preserve"> </w:t>
      </w:r>
      <w:r w:rsidRPr="00410674">
        <w:rPr>
          <w:rStyle w:val="hps"/>
          <w:rFonts w:ascii="Arial" w:hAnsi="Arial" w:cs="Arial"/>
          <w:sz w:val="20"/>
          <w:szCs w:val="20"/>
        </w:rPr>
        <w:t>that the</w:t>
      </w:r>
      <w:r w:rsidRPr="00410674">
        <w:rPr>
          <w:rFonts w:ascii="Arial" w:hAnsi="Arial" w:cs="Arial"/>
          <w:sz w:val="20"/>
          <w:szCs w:val="20"/>
        </w:rPr>
        <w:t xml:space="preserve"> </w:t>
      </w:r>
      <w:r w:rsidRPr="00410674">
        <w:rPr>
          <w:rStyle w:val="hps"/>
          <w:rFonts w:ascii="Arial" w:hAnsi="Arial" w:cs="Arial"/>
          <w:sz w:val="20"/>
          <w:szCs w:val="20"/>
        </w:rPr>
        <w:t>advance payment</w:t>
      </w:r>
      <w:r w:rsidRPr="00410674">
        <w:rPr>
          <w:rFonts w:ascii="Arial" w:hAnsi="Arial" w:cs="Arial"/>
          <w:sz w:val="20"/>
          <w:szCs w:val="20"/>
        </w:rPr>
        <w:t xml:space="preserve"> </w:t>
      </w:r>
      <w:r w:rsidRPr="00410674">
        <w:rPr>
          <w:rStyle w:val="hps"/>
          <w:rFonts w:ascii="Arial" w:hAnsi="Arial" w:cs="Arial"/>
          <w:sz w:val="20"/>
          <w:szCs w:val="20"/>
        </w:rPr>
        <w:t>entering the</w:t>
      </w:r>
      <w:r w:rsidRPr="00410674">
        <w:rPr>
          <w:rFonts w:ascii="Arial" w:hAnsi="Arial" w:cs="Arial"/>
          <w:sz w:val="20"/>
          <w:szCs w:val="20"/>
        </w:rPr>
        <w:t xml:space="preserve"> </w:t>
      </w:r>
      <w:r w:rsidRPr="00410674">
        <w:rPr>
          <w:rStyle w:val="hps"/>
          <w:rFonts w:ascii="Arial" w:hAnsi="Arial" w:cs="Arial"/>
          <w:sz w:val="20"/>
          <w:szCs w:val="20"/>
        </w:rPr>
        <w:t>first</w:t>
      </w:r>
      <w:r w:rsidRPr="00410674">
        <w:rPr>
          <w:rFonts w:ascii="Arial" w:hAnsi="Arial" w:cs="Arial"/>
          <w:sz w:val="20"/>
          <w:szCs w:val="20"/>
        </w:rPr>
        <w:t xml:space="preserve"> </w:t>
      </w:r>
      <w:r w:rsidRPr="00410674">
        <w:rPr>
          <w:rStyle w:val="hps"/>
          <w:rFonts w:ascii="Arial" w:hAnsi="Arial" w:cs="Arial"/>
          <w:sz w:val="20"/>
          <w:szCs w:val="20"/>
        </w:rPr>
        <w:t>redistribution</w:t>
      </w:r>
      <w:r w:rsidRPr="00410674">
        <w:rPr>
          <w:rFonts w:ascii="Arial" w:hAnsi="Arial" w:cs="Arial"/>
          <w:sz w:val="20"/>
          <w:szCs w:val="20"/>
        </w:rPr>
        <w:t xml:space="preserve"> </w:t>
      </w:r>
      <w:r w:rsidR="00937CCE">
        <w:rPr>
          <w:rFonts w:ascii="Arial" w:hAnsi="Arial" w:cs="Arial"/>
          <w:sz w:val="20"/>
          <w:szCs w:val="20"/>
        </w:rPr>
        <w:t xml:space="preserve">in </w:t>
      </w:r>
      <w:r w:rsidRPr="00410674">
        <w:rPr>
          <w:rStyle w:val="hps"/>
          <w:rFonts w:ascii="Arial" w:hAnsi="Arial" w:cs="Arial"/>
          <w:sz w:val="20"/>
          <w:szCs w:val="20"/>
        </w:rPr>
        <w:t>2013 and 2014</w:t>
      </w:r>
      <w:r w:rsidRPr="00410674">
        <w:rPr>
          <w:rFonts w:ascii="Arial" w:hAnsi="Arial" w:cs="Arial"/>
          <w:sz w:val="20"/>
          <w:szCs w:val="20"/>
        </w:rPr>
        <w:t xml:space="preserve"> </w:t>
      </w:r>
      <w:r w:rsidRPr="00410674">
        <w:rPr>
          <w:rStyle w:val="hps"/>
          <w:rFonts w:ascii="Arial" w:hAnsi="Arial" w:cs="Arial"/>
          <w:sz w:val="20"/>
          <w:szCs w:val="20"/>
        </w:rPr>
        <w:t>were returned</w:t>
      </w:r>
      <w:r w:rsidRPr="00410674">
        <w:rPr>
          <w:rFonts w:ascii="Arial" w:hAnsi="Arial" w:cs="Arial"/>
          <w:sz w:val="20"/>
          <w:szCs w:val="20"/>
        </w:rPr>
        <w:t xml:space="preserve"> even in </w:t>
      </w:r>
      <w:r w:rsidRPr="00410674">
        <w:rPr>
          <w:rStyle w:val="hps"/>
          <w:rFonts w:ascii="Arial" w:hAnsi="Arial" w:cs="Arial"/>
          <w:sz w:val="20"/>
          <w:szCs w:val="20"/>
        </w:rPr>
        <w:t>the year in which</w:t>
      </w:r>
      <w:r w:rsidRPr="00410674">
        <w:rPr>
          <w:rFonts w:ascii="Arial" w:hAnsi="Arial" w:cs="Arial"/>
          <w:sz w:val="20"/>
          <w:szCs w:val="20"/>
        </w:rPr>
        <w:t xml:space="preserve"> </w:t>
      </w:r>
      <w:r w:rsidR="00937CCE">
        <w:rPr>
          <w:rStyle w:val="hps"/>
          <w:rFonts w:ascii="Arial" w:hAnsi="Arial" w:cs="Arial"/>
          <w:sz w:val="20"/>
          <w:szCs w:val="20"/>
        </w:rPr>
        <w:t>they were provided</w:t>
      </w:r>
      <w:r w:rsidRPr="00410674">
        <w:rPr>
          <w:rFonts w:ascii="Arial" w:hAnsi="Arial" w:cs="Arial"/>
          <w:sz w:val="20"/>
          <w:szCs w:val="20"/>
        </w:rPr>
        <w:t xml:space="preserve"> </w:t>
      </w:r>
      <w:r w:rsidRPr="00410674">
        <w:rPr>
          <w:rStyle w:val="hps"/>
          <w:rFonts w:ascii="Arial" w:hAnsi="Arial" w:cs="Arial"/>
          <w:sz w:val="20"/>
          <w:szCs w:val="20"/>
        </w:rPr>
        <w:t>(</w:t>
      </w:r>
      <w:r w:rsidRPr="00410674">
        <w:rPr>
          <w:rFonts w:ascii="Arial" w:hAnsi="Arial" w:cs="Arial"/>
          <w:sz w:val="20"/>
          <w:szCs w:val="20"/>
        </w:rPr>
        <w:t xml:space="preserve">by reducing </w:t>
      </w:r>
      <w:r w:rsidR="00937CCE">
        <w:rPr>
          <w:rFonts w:ascii="Arial" w:hAnsi="Arial" w:cs="Arial"/>
          <w:sz w:val="20"/>
          <w:szCs w:val="20"/>
        </w:rPr>
        <w:t xml:space="preserve">state </w:t>
      </w:r>
      <w:r w:rsidRPr="00410674">
        <w:rPr>
          <w:rStyle w:val="hps"/>
          <w:rFonts w:ascii="Arial" w:hAnsi="Arial" w:cs="Arial"/>
          <w:sz w:val="20"/>
          <w:szCs w:val="20"/>
        </w:rPr>
        <w:t>payments in the 12th</w:t>
      </w:r>
      <w:r w:rsidRPr="00410674">
        <w:rPr>
          <w:rFonts w:ascii="Arial" w:hAnsi="Arial" w:cs="Arial"/>
          <w:sz w:val="20"/>
          <w:szCs w:val="20"/>
        </w:rPr>
        <w:t xml:space="preserve"> </w:t>
      </w:r>
      <w:r w:rsidRPr="00410674">
        <w:rPr>
          <w:rStyle w:val="hps"/>
          <w:rFonts w:ascii="Arial" w:hAnsi="Arial" w:cs="Arial"/>
          <w:sz w:val="20"/>
          <w:szCs w:val="20"/>
        </w:rPr>
        <w:t>redistribution</w:t>
      </w:r>
      <w:r w:rsidRPr="00410674">
        <w:rPr>
          <w:rFonts w:ascii="Arial" w:hAnsi="Arial" w:cs="Arial"/>
          <w:sz w:val="20"/>
          <w:szCs w:val="20"/>
        </w:rPr>
        <w:t xml:space="preserve"> </w:t>
      </w:r>
      <w:r w:rsidRPr="00410674">
        <w:rPr>
          <w:rStyle w:val="hps"/>
          <w:rFonts w:ascii="Arial" w:hAnsi="Arial" w:cs="Arial"/>
          <w:sz w:val="20"/>
          <w:szCs w:val="20"/>
        </w:rPr>
        <w:t>2013</w:t>
      </w:r>
      <w:r w:rsidRPr="00410674">
        <w:rPr>
          <w:rFonts w:ascii="Arial" w:hAnsi="Arial" w:cs="Arial"/>
          <w:sz w:val="20"/>
          <w:szCs w:val="20"/>
        </w:rPr>
        <w:t xml:space="preserve"> </w:t>
      </w:r>
      <w:r w:rsidRPr="00410674">
        <w:rPr>
          <w:rStyle w:val="hps"/>
          <w:rFonts w:ascii="Arial" w:hAnsi="Arial" w:cs="Arial"/>
          <w:sz w:val="20"/>
          <w:szCs w:val="20"/>
        </w:rPr>
        <w:t>resp.</w:t>
      </w:r>
      <w:r w:rsidRPr="00410674">
        <w:rPr>
          <w:rFonts w:ascii="Arial" w:hAnsi="Arial" w:cs="Arial"/>
          <w:sz w:val="20"/>
          <w:szCs w:val="20"/>
        </w:rPr>
        <w:t xml:space="preserve"> </w:t>
      </w:r>
      <w:r w:rsidRPr="00410674">
        <w:rPr>
          <w:rStyle w:val="hps"/>
          <w:rFonts w:ascii="Arial" w:hAnsi="Arial" w:cs="Arial"/>
          <w:sz w:val="20"/>
          <w:szCs w:val="20"/>
        </w:rPr>
        <w:t>11 and 12</w:t>
      </w:r>
      <w:r w:rsidRPr="00410674">
        <w:rPr>
          <w:rFonts w:ascii="Arial" w:hAnsi="Arial" w:cs="Arial"/>
          <w:sz w:val="20"/>
          <w:szCs w:val="20"/>
        </w:rPr>
        <w:t xml:space="preserve"> </w:t>
      </w:r>
      <w:r w:rsidRPr="00410674">
        <w:rPr>
          <w:rStyle w:val="hps"/>
          <w:rFonts w:ascii="Arial" w:hAnsi="Arial" w:cs="Arial"/>
          <w:sz w:val="20"/>
          <w:szCs w:val="20"/>
        </w:rPr>
        <w:t>redistribution</w:t>
      </w:r>
      <w:r w:rsidRPr="00410674">
        <w:rPr>
          <w:rFonts w:ascii="Arial" w:hAnsi="Arial" w:cs="Arial"/>
          <w:sz w:val="20"/>
          <w:szCs w:val="20"/>
        </w:rPr>
        <w:t xml:space="preserve"> </w:t>
      </w:r>
      <w:r w:rsidRPr="00410674">
        <w:rPr>
          <w:rStyle w:val="hps"/>
          <w:rFonts w:ascii="Arial" w:hAnsi="Arial" w:cs="Arial"/>
          <w:sz w:val="20"/>
          <w:szCs w:val="20"/>
        </w:rPr>
        <w:t>2014)</w:t>
      </w:r>
      <w:r w:rsidRPr="00410674">
        <w:rPr>
          <w:rFonts w:ascii="Arial" w:hAnsi="Arial" w:cs="Arial"/>
          <w:sz w:val="20"/>
          <w:szCs w:val="20"/>
        </w:rPr>
        <w:t xml:space="preserve">, </w:t>
      </w:r>
      <w:r w:rsidRPr="00410674">
        <w:rPr>
          <w:rStyle w:val="hps"/>
          <w:rFonts w:ascii="Arial" w:hAnsi="Arial" w:cs="Arial"/>
          <w:sz w:val="20"/>
          <w:szCs w:val="20"/>
        </w:rPr>
        <w:t>and</w:t>
      </w:r>
      <w:r w:rsidRPr="00410674">
        <w:rPr>
          <w:rFonts w:ascii="Arial" w:hAnsi="Arial" w:cs="Arial"/>
          <w:sz w:val="20"/>
          <w:szCs w:val="20"/>
        </w:rPr>
        <w:t xml:space="preserve"> </w:t>
      </w:r>
      <w:r w:rsidRPr="00410674">
        <w:rPr>
          <w:rStyle w:val="hps"/>
          <w:rFonts w:ascii="Arial" w:hAnsi="Arial" w:cs="Arial"/>
          <w:sz w:val="20"/>
          <w:szCs w:val="20"/>
        </w:rPr>
        <w:t>consequently</w:t>
      </w:r>
      <w:r w:rsidRPr="00410674">
        <w:rPr>
          <w:rFonts w:ascii="Arial" w:hAnsi="Arial" w:cs="Arial"/>
          <w:sz w:val="20"/>
          <w:szCs w:val="20"/>
        </w:rPr>
        <w:t xml:space="preserve"> did not </w:t>
      </w:r>
      <w:r w:rsidRPr="00410674">
        <w:rPr>
          <w:rStyle w:val="hps"/>
          <w:rFonts w:ascii="Arial" w:hAnsi="Arial" w:cs="Arial"/>
          <w:sz w:val="20"/>
          <w:szCs w:val="20"/>
        </w:rPr>
        <w:t>affect the overall</w:t>
      </w:r>
      <w:r w:rsidRPr="00410674">
        <w:rPr>
          <w:rFonts w:ascii="Arial" w:hAnsi="Arial" w:cs="Arial"/>
          <w:sz w:val="20"/>
          <w:szCs w:val="20"/>
        </w:rPr>
        <w:t xml:space="preserve"> </w:t>
      </w:r>
      <w:r w:rsidRPr="00410674">
        <w:rPr>
          <w:rStyle w:val="hps"/>
          <w:rFonts w:ascii="Arial" w:hAnsi="Arial" w:cs="Arial"/>
          <w:sz w:val="20"/>
          <w:szCs w:val="20"/>
        </w:rPr>
        <w:t>revenues of the health</w:t>
      </w:r>
      <w:r w:rsidRPr="00410674">
        <w:rPr>
          <w:rFonts w:ascii="Arial" w:hAnsi="Arial" w:cs="Arial"/>
          <w:sz w:val="20"/>
          <w:szCs w:val="20"/>
        </w:rPr>
        <w:t xml:space="preserve"> </w:t>
      </w:r>
      <w:r w:rsidRPr="00410674">
        <w:rPr>
          <w:rStyle w:val="hps"/>
          <w:rFonts w:ascii="Arial" w:hAnsi="Arial" w:cs="Arial"/>
          <w:sz w:val="20"/>
          <w:szCs w:val="20"/>
        </w:rPr>
        <w:t>insurance companies</w:t>
      </w:r>
      <w:r w:rsidRPr="00410674">
        <w:rPr>
          <w:rFonts w:ascii="Arial" w:hAnsi="Arial" w:cs="Arial"/>
          <w:sz w:val="20"/>
          <w:szCs w:val="20"/>
        </w:rPr>
        <w:t xml:space="preserve"> </w:t>
      </w:r>
      <w:r w:rsidRPr="00410674">
        <w:rPr>
          <w:rStyle w:val="hps"/>
          <w:rFonts w:ascii="Arial" w:hAnsi="Arial" w:cs="Arial"/>
          <w:sz w:val="20"/>
          <w:szCs w:val="20"/>
        </w:rPr>
        <w:t>for these years.</w:t>
      </w:r>
    </w:p>
    <w:p w:rsidR="002F142C" w:rsidRPr="00410674" w:rsidRDefault="002F142C" w:rsidP="00E364FC">
      <w:pPr>
        <w:rPr>
          <w:rFonts w:ascii="Arial" w:hAnsi="Arial" w:cs="Arial"/>
          <w:iCs/>
          <w:sz w:val="20"/>
          <w:szCs w:val="20"/>
        </w:rPr>
      </w:pPr>
    </w:p>
    <w:p w:rsidR="001E5237" w:rsidRPr="002F142C" w:rsidRDefault="00E423F3" w:rsidP="00E364FC">
      <w:pPr>
        <w:rPr>
          <w:rFonts w:ascii="Arial" w:hAnsi="Arial" w:cs="Arial"/>
          <w:iCs/>
          <w:sz w:val="20"/>
          <w:szCs w:val="20"/>
        </w:rPr>
      </w:pPr>
      <w:r w:rsidRPr="00410674">
        <w:rPr>
          <w:rFonts w:ascii="Arial" w:hAnsi="Arial" w:cs="Arial"/>
          <w:iCs/>
          <w:sz w:val="20"/>
          <w:szCs w:val="20"/>
        </w:rPr>
        <w:t xml:space="preserve">From the aforementioned it results that </w:t>
      </w:r>
      <w:r w:rsidR="00D2627F" w:rsidRPr="00410674">
        <w:rPr>
          <w:rFonts w:ascii="Arial" w:hAnsi="Arial" w:cs="Arial"/>
          <w:iCs/>
          <w:sz w:val="20"/>
          <w:szCs w:val="20"/>
        </w:rPr>
        <w:t>in</w:t>
      </w:r>
      <w:r w:rsidRPr="00410674">
        <w:rPr>
          <w:rFonts w:ascii="Arial" w:hAnsi="Arial" w:cs="Arial"/>
          <w:iCs/>
          <w:sz w:val="20"/>
          <w:szCs w:val="20"/>
        </w:rPr>
        <w:t xml:space="preserve"> </w:t>
      </w:r>
      <w:r w:rsidR="00D2627F" w:rsidRPr="00410674">
        <w:rPr>
          <w:rFonts w:ascii="Arial" w:hAnsi="Arial" w:cs="Arial"/>
          <w:iCs/>
          <w:sz w:val="20"/>
          <w:szCs w:val="20"/>
        </w:rPr>
        <w:t xml:space="preserve">the year </w:t>
      </w:r>
      <w:r w:rsidR="008D030D" w:rsidRPr="00410674">
        <w:rPr>
          <w:rFonts w:ascii="Arial" w:hAnsi="Arial" w:cs="Arial"/>
          <w:iCs/>
          <w:sz w:val="20"/>
          <w:szCs w:val="20"/>
        </w:rPr>
        <w:t>2014</w:t>
      </w:r>
      <w:r w:rsidRPr="00410674">
        <w:rPr>
          <w:rFonts w:ascii="Arial" w:hAnsi="Arial" w:cs="Arial"/>
          <w:iCs/>
          <w:sz w:val="20"/>
          <w:szCs w:val="20"/>
        </w:rPr>
        <w:t xml:space="preserve"> sources in the amount of CZK </w:t>
      </w:r>
      <w:r w:rsidR="00D2627F" w:rsidRPr="00410674">
        <w:rPr>
          <w:rFonts w:ascii="Arial" w:hAnsi="Arial" w:cs="Arial"/>
          <w:iCs/>
          <w:sz w:val="20"/>
          <w:szCs w:val="20"/>
        </w:rPr>
        <w:t xml:space="preserve">237 836 </w:t>
      </w:r>
      <w:r w:rsidRPr="00410674">
        <w:rPr>
          <w:rFonts w:ascii="Arial" w:hAnsi="Arial" w:cs="Arial"/>
          <w:iCs/>
          <w:sz w:val="20"/>
          <w:szCs w:val="20"/>
        </w:rPr>
        <w:t>million were reallocated, which means compared to the corresponding</w:t>
      </w:r>
      <w:r w:rsidRPr="00410674">
        <w:rPr>
          <w:rFonts w:ascii="Arial" w:hAnsi="Arial" w:cs="Arial"/>
          <w:b/>
          <w:iCs/>
          <w:sz w:val="20"/>
          <w:szCs w:val="20"/>
        </w:rPr>
        <w:t xml:space="preserve"> of 201</w:t>
      </w:r>
      <w:r w:rsidR="007745A4" w:rsidRPr="00410674">
        <w:rPr>
          <w:rFonts w:ascii="Arial" w:hAnsi="Arial" w:cs="Arial"/>
          <w:b/>
          <w:iCs/>
          <w:sz w:val="20"/>
          <w:szCs w:val="20"/>
        </w:rPr>
        <w:t>3</w:t>
      </w:r>
      <w:r w:rsidRPr="00410674">
        <w:rPr>
          <w:rFonts w:ascii="Arial" w:hAnsi="Arial" w:cs="Arial"/>
          <w:b/>
          <w:iCs/>
          <w:sz w:val="20"/>
          <w:szCs w:val="20"/>
        </w:rPr>
        <w:t xml:space="preserve"> (when the revenue including the “advance payment” was CZK </w:t>
      </w:r>
      <w:r w:rsidR="00D2627F" w:rsidRPr="00410674">
        <w:rPr>
          <w:rFonts w:ascii="Arial" w:hAnsi="Arial" w:cs="Arial"/>
          <w:iCs/>
          <w:sz w:val="20"/>
          <w:szCs w:val="20"/>
        </w:rPr>
        <w:t xml:space="preserve">225 738 </w:t>
      </w:r>
      <w:r w:rsidRPr="00410674">
        <w:rPr>
          <w:rFonts w:ascii="Arial" w:hAnsi="Arial" w:cs="Arial"/>
          <w:b/>
          <w:iCs/>
          <w:sz w:val="20"/>
          <w:szCs w:val="20"/>
        </w:rPr>
        <w:t xml:space="preserve">million) a </w:t>
      </w:r>
      <w:r w:rsidR="00FB6A9A" w:rsidRPr="00410674">
        <w:rPr>
          <w:rFonts w:ascii="Arial" w:hAnsi="Arial" w:cs="Arial"/>
          <w:b/>
          <w:iCs/>
          <w:sz w:val="20"/>
          <w:szCs w:val="20"/>
        </w:rPr>
        <w:t xml:space="preserve">increase </w:t>
      </w:r>
      <w:r w:rsidRPr="00410674">
        <w:rPr>
          <w:rFonts w:ascii="Arial" w:hAnsi="Arial" w:cs="Arial"/>
          <w:b/>
          <w:iCs/>
          <w:sz w:val="20"/>
          <w:szCs w:val="20"/>
        </w:rPr>
        <w:t xml:space="preserve">in available </w:t>
      </w:r>
      <w:proofErr w:type="gramStart"/>
      <w:r w:rsidRPr="00410674">
        <w:rPr>
          <w:rFonts w:ascii="Arial" w:hAnsi="Arial" w:cs="Arial"/>
          <w:b/>
          <w:iCs/>
          <w:sz w:val="20"/>
          <w:szCs w:val="20"/>
        </w:rPr>
        <w:t xml:space="preserve">resources </w:t>
      </w:r>
      <w:r w:rsidR="00D2627F" w:rsidRPr="00410674">
        <w:rPr>
          <w:rFonts w:ascii="Arial" w:hAnsi="Arial" w:cs="Arial"/>
          <w:iCs/>
          <w:sz w:val="20"/>
          <w:szCs w:val="20"/>
        </w:rPr>
        <w:t xml:space="preserve"> by</w:t>
      </w:r>
      <w:proofErr w:type="gramEnd"/>
      <w:r w:rsidR="00D2627F" w:rsidRPr="00410674">
        <w:rPr>
          <w:rFonts w:ascii="Arial" w:hAnsi="Arial" w:cs="Arial"/>
          <w:iCs/>
          <w:sz w:val="20"/>
          <w:szCs w:val="20"/>
        </w:rPr>
        <w:t xml:space="preserve"> 5,36 </w:t>
      </w:r>
      <w:r w:rsidR="00FB6A9A" w:rsidRPr="00410674">
        <w:rPr>
          <w:rFonts w:ascii="Arial" w:hAnsi="Arial" w:cs="Arial"/>
          <w:iCs/>
          <w:sz w:val="20"/>
          <w:szCs w:val="20"/>
        </w:rPr>
        <w:t xml:space="preserve">% </w:t>
      </w:r>
      <w:r w:rsidRPr="00410674">
        <w:rPr>
          <w:rFonts w:ascii="Arial" w:hAnsi="Arial" w:cs="Arial"/>
          <w:iCs/>
          <w:sz w:val="20"/>
          <w:szCs w:val="20"/>
        </w:rPr>
        <w:t xml:space="preserve">(source: the Ministry of Health of the CR from the results of the </w:t>
      </w:r>
      <w:r w:rsidR="00E07CA1" w:rsidRPr="00410674">
        <w:rPr>
          <w:rFonts w:ascii="Arial" w:hAnsi="Arial" w:cs="Arial"/>
          <w:iCs/>
          <w:sz w:val="20"/>
          <w:szCs w:val="20"/>
        </w:rPr>
        <w:t xml:space="preserve">1st </w:t>
      </w:r>
      <w:r w:rsidRPr="00410674">
        <w:rPr>
          <w:rFonts w:ascii="Arial" w:hAnsi="Arial" w:cs="Arial"/>
          <w:iCs/>
          <w:sz w:val="20"/>
          <w:szCs w:val="20"/>
        </w:rPr>
        <w:t xml:space="preserve">to the </w:t>
      </w:r>
      <w:r w:rsidR="00D2627F" w:rsidRPr="00410674">
        <w:rPr>
          <w:rFonts w:ascii="Arial" w:hAnsi="Arial" w:cs="Arial"/>
          <w:iCs/>
          <w:sz w:val="20"/>
          <w:szCs w:val="20"/>
        </w:rPr>
        <w:t>12</w:t>
      </w:r>
      <w:r w:rsidR="00E07CA1" w:rsidRPr="00410674">
        <w:rPr>
          <w:rFonts w:ascii="Arial" w:hAnsi="Arial" w:cs="Arial"/>
          <w:iCs/>
          <w:sz w:val="20"/>
          <w:szCs w:val="20"/>
        </w:rPr>
        <w:t xml:space="preserve">th </w:t>
      </w:r>
      <w:r w:rsidRPr="00410674">
        <w:rPr>
          <w:rFonts w:ascii="Arial" w:hAnsi="Arial" w:cs="Arial"/>
          <w:iCs/>
          <w:sz w:val="20"/>
          <w:szCs w:val="20"/>
        </w:rPr>
        <w:t>reallocation of the public health insurance premiums in 201</w:t>
      </w:r>
      <w:r w:rsidR="00D82F4E" w:rsidRPr="00410674">
        <w:rPr>
          <w:rFonts w:ascii="Arial" w:hAnsi="Arial" w:cs="Arial"/>
          <w:iCs/>
          <w:sz w:val="20"/>
          <w:szCs w:val="20"/>
        </w:rPr>
        <w:t>3</w:t>
      </w:r>
      <w:r w:rsidRPr="00410674">
        <w:rPr>
          <w:rFonts w:ascii="Arial" w:hAnsi="Arial" w:cs="Arial"/>
          <w:iCs/>
          <w:sz w:val="20"/>
          <w:szCs w:val="20"/>
        </w:rPr>
        <w:t xml:space="preserve"> and 201</w:t>
      </w:r>
      <w:r w:rsidR="00D82F4E" w:rsidRPr="00410674">
        <w:rPr>
          <w:rFonts w:ascii="Arial" w:hAnsi="Arial" w:cs="Arial"/>
          <w:iCs/>
          <w:sz w:val="20"/>
          <w:szCs w:val="20"/>
        </w:rPr>
        <w:t>4</w:t>
      </w:r>
      <w:r w:rsidRPr="00410674">
        <w:rPr>
          <w:rFonts w:ascii="Arial" w:hAnsi="Arial" w:cs="Arial"/>
          <w:iCs/>
          <w:sz w:val="20"/>
          <w:szCs w:val="20"/>
        </w:rPr>
        <w:t xml:space="preserve"> – available resources).</w:t>
      </w:r>
      <w:r w:rsidRPr="002F142C">
        <w:rPr>
          <w:rFonts w:ascii="Arial" w:hAnsi="Arial" w:cs="Arial"/>
          <w:iCs/>
          <w:sz w:val="20"/>
          <w:szCs w:val="20"/>
        </w:rPr>
        <w:t xml:space="preserve"> </w:t>
      </w:r>
    </w:p>
    <w:p w:rsidR="00E364FC" w:rsidRPr="001D15BD" w:rsidRDefault="00E364FC" w:rsidP="00250D4C">
      <w:pPr>
        <w:rPr>
          <w:rFonts w:ascii="Arial" w:hAnsi="Arial" w:cs="Arial"/>
          <w:iCs/>
          <w:sz w:val="20"/>
        </w:rPr>
      </w:pPr>
    </w:p>
    <w:p w:rsidR="006C3D40" w:rsidRPr="00A03CE6" w:rsidRDefault="006C3D40" w:rsidP="00324EEB">
      <w:pPr>
        <w:rPr>
          <w:rFonts w:ascii="Arial" w:hAnsi="Arial" w:cs="Arial"/>
          <w:iCs/>
          <w:sz w:val="20"/>
          <w:szCs w:val="20"/>
        </w:rPr>
      </w:pPr>
      <w:r w:rsidRPr="006A5ED7">
        <w:rPr>
          <w:rFonts w:ascii="Arial" w:hAnsi="Arial" w:cs="Arial"/>
          <w:iCs/>
          <w:sz w:val="20"/>
        </w:rPr>
        <w:t xml:space="preserve">Of the </w:t>
      </w:r>
      <w:r w:rsidRPr="006A5ED7">
        <w:rPr>
          <w:rFonts w:ascii="Arial" w:hAnsi="Arial" w:cs="Arial"/>
          <w:b/>
          <w:bCs/>
          <w:iCs/>
          <w:sz w:val="20"/>
        </w:rPr>
        <w:t>total costs</w:t>
      </w:r>
      <w:r w:rsidRPr="001D15BD">
        <w:rPr>
          <w:rFonts w:ascii="Arial" w:hAnsi="Arial" w:cs="Arial"/>
          <w:b/>
          <w:bCs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>of health insurance companies</w:t>
      </w:r>
      <w:r w:rsidR="00D85B54">
        <w:rPr>
          <w:rFonts w:ascii="Arial" w:hAnsi="Arial" w:cs="Arial"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 xml:space="preserve">in </w:t>
      </w:r>
      <w:r w:rsidR="00E82667" w:rsidRPr="001D15BD">
        <w:rPr>
          <w:rFonts w:ascii="Arial" w:hAnsi="Arial" w:cs="Arial"/>
          <w:b/>
          <w:bCs/>
          <w:iCs/>
          <w:sz w:val="20"/>
        </w:rPr>
        <w:t>Q</w:t>
      </w:r>
      <w:r w:rsidR="00D85B54">
        <w:rPr>
          <w:rFonts w:ascii="Arial" w:hAnsi="Arial" w:cs="Arial"/>
          <w:b/>
          <w:bCs/>
          <w:iCs/>
          <w:sz w:val="20"/>
        </w:rPr>
        <w:t xml:space="preserve">4 </w:t>
      </w:r>
      <w:r w:rsidR="00E918E7" w:rsidRPr="001D15BD">
        <w:rPr>
          <w:rFonts w:ascii="Arial" w:hAnsi="Arial" w:cs="Arial"/>
          <w:b/>
          <w:bCs/>
          <w:iCs/>
          <w:sz w:val="20"/>
        </w:rPr>
        <w:t>201</w:t>
      </w:r>
      <w:r w:rsidR="00FD5D30" w:rsidRPr="001D15BD">
        <w:rPr>
          <w:rFonts w:ascii="Arial" w:hAnsi="Arial" w:cs="Arial"/>
          <w:b/>
          <w:bCs/>
          <w:iCs/>
          <w:sz w:val="20"/>
        </w:rPr>
        <w:t>4</w:t>
      </w:r>
      <w:r w:rsidR="00937CCE">
        <w:rPr>
          <w:rFonts w:ascii="Arial" w:hAnsi="Arial" w:cs="Arial"/>
          <w:b/>
          <w:bCs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 xml:space="preserve">(from respective funds of health insurance companies), </w:t>
      </w:r>
      <w:r w:rsidRPr="001D15BD">
        <w:rPr>
          <w:rFonts w:ascii="Arial" w:hAnsi="Arial" w:cs="Arial"/>
          <w:b/>
          <w:iCs/>
          <w:sz w:val="20"/>
        </w:rPr>
        <w:t xml:space="preserve">health </w:t>
      </w:r>
      <w:r w:rsidR="002C5EB1" w:rsidRPr="001D15BD">
        <w:rPr>
          <w:rFonts w:ascii="Arial" w:hAnsi="Arial" w:cs="Arial"/>
          <w:b/>
          <w:iCs/>
          <w:sz w:val="20"/>
        </w:rPr>
        <w:t>services</w:t>
      </w:r>
      <w:r w:rsidRPr="001D15BD">
        <w:rPr>
          <w:rFonts w:ascii="Arial" w:hAnsi="Arial" w:cs="Arial"/>
          <w:b/>
          <w:iCs/>
          <w:sz w:val="20"/>
        </w:rPr>
        <w:t xml:space="preserve"> costs</w:t>
      </w:r>
      <w:r w:rsidRPr="001D15BD">
        <w:rPr>
          <w:rFonts w:ascii="Arial" w:hAnsi="Arial" w:cs="Arial"/>
          <w:iCs/>
          <w:sz w:val="20"/>
        </w:rPr>
        <w:t xml:space="preserve"> paid from the basic health insurance fund and the prevention fund made up </w:t>
      </w:r>
      <w:r w:rsidR="002C5EB1" w:rsidRPr="001D15BD">
        <w:rPr>
          <w:rFonts w:ascii="Arial" w:hAnsi="Arial" w:cs="Arial"/>
          <w:iCs/>
          <w:sz w:val="20"/>
        </w:rPr>
        <w:t>9</w:t>
      </w:r>
      <w:r w:rsidR="00410674">
        <w:rPr>
          <w:rFonts w:ascii="Arial" w:hAnsi="Arial" w:cs="Arial"/>
          <w:iCs/>
          <w:sz w:val="20"/>
        </w:rPr>
        <w:t>3</w:t>
      </w:r>
      <w:r w:rsidR="00A14A0B" w:rsidRPr="001D15BD">
        <w:rPr>
          <w:rFonts w:ascii="Arial" w:hAnsi="Arial" w:cs="Arial"/>
          <w:iCs/>
          <w:sz w:val="20"/>
        </w:rPr>
        <w:t>,</w:t>
      </w:r>
      <w:r w:rsidR="00410674">
        <w:rPr>
          <w:rFonts w:ascii="Arial" w:hAnsi="Arial" w:cs="Arial"/>
          <w:iCs/>
          <w:sz w:val="20"/>
        </w:rPr>
        <w:t>7</w:t>
      </w:r>
      <w:r w:rsidR="002C5EB1" w:rsidRPr="001D15BD">
        <w:rPr>
          <w:rFonts w:ascii="Arial" w:hAnsi="Arial" w:cs="Arial"/>
          <w:iCs/>
          <w:sz w:val="20"/>
        </w:rPr>
        <w:t>%.</w:t>
      </w:r>
      <w:r w:rsidR="00174B52">
        <w:rPr>
          <w:rFonts w:ascii="Arial" w:hAnsi="Arial" w:cs="Arial"/>
          <w:iCs/>
          <w:sz w:val="20"/>
        </w:rPr>
        <w:t xml:space="preserve"> </w:t>
      </w:r>
      <w:r w:rsidR="00FD5D30" w:rsidRPr="001D15BD">
        <w:rPr>
          <w:rFonts w:ascii="Arial" w:hAnsi="Arial" w:cs="Arial"/>
          <w:iCs/>
          <w:sz w:val="20"/>
        </w:rPr>
        <w:t>Health services cos</w:t>
      </w:r>
      <w:r w:rsidR="002C5EB1" w:rsidRPr="001D15BD">
        <w:rPr>
          <w:rFonts w:ascii="Arial" w:hAnsi="Arial" w:cs="Arial"/>
          <w:iCs/>
          <w:sz w:val="20"/>
        </w:rPr>
        <w:t>ts increas</w:t>
      </w:r>
      <w:r w:rsidR="00A14A0B" w:rsidRPr="001D15BD">
        <w:rPr>
          <w:rFonts w:ascii="Arial" w:hAnsi="Arial" w:cs="Arial"/>
          <w:iCs/>
          <w:sz w:val="20"/>
        </w:rPr>
        <w:t>e</w:t>
      </w:r>
      <w:r w:rsidR="002C5EB1" w:rsidRPr="001D15BD">
        <w:rPr>
          <w:rFonts w:ascii="Arial" w:hAnsi="Arial" w:cs="Arial"/>
          <w:iCs/>
          <w:sz w:val="20"/>
        </w:rPr>
        <w:t>d</w:t>
      </w:r>
      <w:r w:rsidR="00410674">
        <w:rPr>
          <w:rFonts w:ascii="Arial" w:hAnsi="Arial" w:cs="Arial"/>
          <w:iCs/>
          <w:sz w:val="20"/>
        </w:rPr>
        <w:t xml:space="preserve"> by 2</w:t>
      </w:r>
      <w:proofErr w:type="gramStart"/>
      <w:r w:rsidR="00410674">
        <w:rPr>
          <w:rFonts w:ascii="Arial" w:hAnsi="Arial" w:cs="Arial"/>
          <w:iCs/>
          <w:sz w:val="20"/>
        </w:rPr>
        <w:t>,9</w:t>
      </w:r>
      <w:proofErr w:type="gramEnd"/>
      <w:r w:rsidR="00FD5D30" w:rsidRPr="001D15BD">
        <w:rPr>
          <w:rFonts w:ascii="Arial" w:hAnsi="Arial" w:cs="Arial"/>
          <w:iCs/>
          <w:sz w:val="20"/>
        </w:rPr>
        <w:t xml:space="preserve">% </w:t>
      </w:r>
      <w:r w:rsidRPr="001D15BD">
        <w:rPr>
          <w:rFonts w:ascii="Arial" w:hAnsi="Arial" w:cs="Arial"/>
          <w:iCs/>
          <w:sz w:val="20"/>
        </w:rPr>
        <w:t xml:space="preserve">with the corresponding period of </w:t>
      </w:r>
      <w:r w:rsidR="00E918E7" w:rsidRPr="001D15BD">
        <w:rPr>
          <w:rFonts w:ascii="Arial" w:hAnsi="Arial" w:cs="Arial"/>
          <w:iCs/>
          <w:sz w:val="20"/>
        </w:rPr>
        <w:t>201</w:t>
      </w:r>
      <w:r w:rsidR="00FD5D30" w:rsidRPr="001D15BD">
        <w:rPr>
          <w:rFonts w:ascii="Arial" w:hAnsi="Arial" w:cs="Arial"/>
          <w:iCs/>
          <w:sz w:val="20"/>
        </w:rPr>
        <w:t>3</w:t>
      </w:r>
      <w:r w:rsidRPr="001D15BD">
        <w:rPr>
          <w:rFonts w:ascii="Arial" w:hAnsi="Arial" w:cs="Arial"/>
          <w:iCs/>
          <w:sz w:val="20"/>
        </w:rPr>
        <w:t xml:space="preserve"> (see Table 3). Costs of in-patient services make up a key proportion of health care costs (</w:t>
      </w:r>
      <w:r w:rsidR="00410674">
        <w:rPr>
          <w:rFonts w:ascii="Arial" w:hAnsi="Arial" w:cs="Arial"/>
          <w:iCs/>
          <w:sz w:val="20"/>
        </w:rPr>
        <w:t>52</w:t>
      </w:r>
      <w:proofErr w:type="gramStart"/>
      <w:r w:rsidR="002C5EB1" w:rsidRPr="001D15BD">
        <w:rPr>
          <w:rFonts w:ascii="Arial" w:hAnsi="Arial" w:cs="Arial"/>
          <w:iCs/>
          <w:sz w:val="20"/>
        </w:rPr>
        <w:t>,</w:t>
      </w:r>
      <w:r w:rsidR="00410674">
        <w:rPr>
          <w:rFonts w:ascii="Arial" w:hAnsi="Arial" w:cs="Arial"/>
          <w:iCs/>
          <w:sz w:val="20"/>
        </w:rPr>
        <w:t>2</w:t>
      </w:r>
      <w:proofErr w:type="gramEnd"/>
      <w:r w:rsidR="00174B52">
        <w:rPr>
          <w:rFonts w:ascii="Arial" w:hAnsi="Arial" w:cs="Arial"/>
          <w:iCs/>
          <w:sz w:val="20"/>
        </w:rPr>
        <w:t>%),</w:t>
      </w:r>
      <w:r w:rsidRPr="001D15BD">
        <w:rPr>
          <w:rFonts w:ascii="Arial" w:hAnsi="Arial" w:cs="Arial"/>
          <w:iCs/>
          <w:sz w:val="20"/>
        </w:rPr>
        <w:t xml:space="preserve"> </w:t>
      </w:r>
      <w:r w:rsidR="004C648F" w:rsidRPr="001D15BD">
        <w:rPr>
          <w:rFonts w:ascii="Arial" w:hAnsi="Arial" w:cs="Arial"/>
          <w:iCs/>
          <w:sz w:val="20"/>
        </w:rPr>
        <w:t xml:space="preserve">which </w:t>
      </w:r>
      <w:r w:rsidR="008D402D" w:rsidRPr="001D15BD">
        <w:rPr>
          <w:rFonts w:ascii="Arial" w:hAnsi="Arial" w:cs="Arial"/>
          <w:iCs/>
          <w:sz w:val="20"/>
        </w:rPr>
        <w:t xml:space="preserve"> </w:t>
      </w:r>
      <w:r w:rsidR="00FD5D30" w:rsidRPr="001D15BD">
        <w:rPr>
          <w:rFonts w:ascii="Arial" w:hAnsi="Arial" w:cs="Arial"/>
          <w:iCs/>
          <w:sz w:val="20"/>
        </w:rPr>
        <w:t xml:space="preserve">increased </w:t>
      </w:r>
      <w:r w:rsidRPr="001D15BD">
        <w:rPr>
          <w:rFonts w:ascii="Arial" w:hAnsi="Arial" w:cs="Arial"/>
          <w:iCs/>
          <w:sz w:val="20"/>
        </w:rPr>
        <w:t xml:space="preserve">by </w:t>
      </w:r>
      <w:r w:rsidR="00410674">
        <w:rPr>
          <w:rFonts w:ascii="Arial" w:hAnsi="Arial" w:cs="Arial"/>
          <w:iCs/>
          <w:sz w:val="20"/>
        </w:rPr>
        <w:t>3</w:t>
      </w:r>
      <w:r w:rsidR="00FD5D30" w:rsidRPr="001D15BD">
        <w:rPr>
          <w:rFonts w:ascii="Arial" w:hAnsi="Arial" w:cs="Arial"/>
          <w:iCs/>
          <w:sz w:val="20"/>
        </w:rPr>
        <w:t>,</w:t>
      </w:r>
      <w:r w:rsidR="00410674">
        <w:rPr>
          <w:rFonts w:ascii="Arial" w:hAnsi="Arial" w:cs="Arial"/>
          <w:iCs/>
          <w:sz w:val="20"/>
        </w:rPr>
        <w:t>5</w:t>
      </w:r>
      <w:r w:rsidRPr="001D15BD">
        <w:rPr>
          <w:rFonts w:ascii="Arial" w:hAnsi="Arial" w:cs="Arial"/>
          <w:iCs/>
          <w:sz w:val="20"/>
        </w:rPr>
        <w:t xml:space="preserve">% compared to the corresponding period of </w:t>
      </w:r>
      <w:r w:rsidR="00E918E7" w:rsidRPr="001D15BD">
        <w:rPr>
          <w:rFonts w:ascii="Arial" w:hAnsi="Arial" w:cs="Arial"/>
          <w:iCs/>
          <w:sz w:val="20"/>
        </w:rPr>
        <w:t>201</w:t>
      </w:r>
      <w:r w:rsidR="005624E5" w:rsidRPr="001D15BD">
        <w:rPr>
          <w:rFonts w:ascii="Arial" w:hAnsi="Arial" w:cs="Arial"/>
          <w:iCs/>
          <w:sz w:val="20"/>
        </w:rPr>
        <w:t>3</w:t>
      </w:r>
      <w:r w:rsidRPr="001D15BD">
        <w:rPr>
          <w:rFonts w:ascii="Arial" w:hAnsi="Arial" w:cs="Arial"/>
          <w:iCs/>
          <w:sz w:val="20"/>
        </w:rPr>
        <w:t>.</w:t>
      </w:r>
      <w:r w:rsidR="00410674">
        <w:rPr>
          <w:rFonts w:ascii="Arial" w:hAnsi="Arial" w:cs="Arial"/>
          <w:iCs/>
          <w:sz w:val="20"/>
        </w:rPr>
        <w:t xml:space="preserve"> </w:t>
      </w:r>
      <w:r w:rsidR="00A14A0B" w:rsidRPr="00A03CE6">
        <w:rPr>
          <w:rStyle w:val="hps"/>
          <w:rFonts w:ascii="Arial" w:hAnsi="Arial" w:cs="Arial"/>
          <w:sz w:val="20"/>
          <w:szCs w:val="20"/>
        </w:rPr>
        <w:t>This was due</w:t>
      </w:r>
      <w:r w:rsidR="004350C9">
        <w:rPr>
          <w:rStyle w:val="hps"/>
          <w:rFonts w:ascii="Arial" w:hAnsi="Arial" w:cs="Arial"/>
          <w:sz w:val="20"/>
          <w:szCs w:val="20"/>
        </w:rPr>
        <w:t xml:space="preserve"> </w:t>
      </w:r>
      <w:r w:rsidR="006616A4">
        <w:rPr>
          <w:rStyle w:val="hps"/>
          <w:rFonts w:ascii="Arial" w:hAnsi="Arial" w:cs="Arial"/>
          <w:sz w:val="20"/>
          <w:szCs w:val="20"/>
        </w:rPr>
        <w:t xml:space="preserve">to </w:t>
      </w:r>
      <w:r w:rsidR="00A14A0B" w:rsidRPr="00A03CE6">
        <w:rPr>
          <w:rStyle w:val="hps"/>
          <w:rFonts w:ascii="Arial" w:hAnsi="Arial" w:cs="Arial"/>
          <w:sz w:val="20"/>
          <w:szCs w:val="20"/>
        </w:rPr>
        <w:t>compensation</w:t>
      </w:r>
      <w:r w:rsidR="004350C9">
        <w:rPr>
          <w:rStyle w:val="hps"/>
          <w:rFonts w:ascii="Arial" w:hAnsi="Arial" w:cs="Arial"/>
          <w:sz w:val="20"/>
          <w:szCs w:val="20"/>
        </w:rPr>
        <w:t xml:space="preserve"> </w:t>
      </w:r>
      <w:r w:rsidR="00A14A0B" w:rsidRPr="00A03CE6">
        <w:rPr>
          <w:rStyle w:val="hps"/>
          <w:rFonts w:ascii="Arial" w:hAnsi="Arial" w:cs="Arial"/>
          <w:sz w:val="20"/>
          <w:szCs w:val="20"/>
        </w:rPr>
        <w:t>for the abolition of</w:t>
      </w:r>
      <w:r w:rsidR="004350C9">
        <w:rPr>
          <w:rStyle w:val="hps"/>
          <w:rFonts w:ascii="Arial" w:hAnsi="Arial" w:cs="Arial"/>
          <w:sz w:val="20"/>
          <w:szCs w:val="20"/>
        </w:rPr>
        <w:t xml:space="preserve"> </w:t>
      </w:r>
      <w:r w:rsidR="00A14A0B" w:rsidRPr="00A03CE6">
        <w:rPr>
          <w:rStyle w:val="hps"/>
          <w:rFonts w:ascii="Arial" w:hAnsi="Arial" w:cs="Arial"/>
          <w:sz w:val="20"/>
          <w:szCs w:val="20"/>
        </w:rPr>
        <w:t>regulatory fees</w:t>
      </w:r>
      <w:r w:rsidR="004350C9">
        <w:rPr>
          <w:rStyle w:val="hps"/>
          <w:rFonts w:ascii="Arial" w:hAnsi="Arial" w:cs="Arial"/>
          <w:sz w:val="20"/>
          <w:szCs w:val="20"/>
        </w:rPr>
        <w:t xml:space="preserve"> in </w:t>
      </w:r>
      <w:r w:rsidR="00A14A0B" w:rsidRPr="00A03CE6">
        <w:rPr>
          <w:rStyle w:val="hps"/>
          <w:rFonts w:ascii="Arial" w:hAnsi="Arial" w:cs="Arial"/>
          <w:sz w:val="20"/>
          <w:szCs w:val="20"/>
        </w:rPr>
        <w:t xml:space="preserve">medical facilities </w:t>
      </w:r>
      <w:r w:rsidR="004350C9">
        <w:rPr>
          <w:rStyle w:val="hps"/>
          <w:rFonts w:ascii="Arial" w:hAnsi="Arial" w:cs="Arial"/>
          <w:sz w:val="20"/>
          <w:szCs w:val="20"/>
        </w:rPr>
        <w:t>and pharmacies.</w:t>
      </w:r>
    </w:p>
    <w:p w:rsidR="006C3D40" w:rsidRPr="001D15BD" w:rsidRDefault="006C3D40" w:rsidP="004A0421">
      <w:pPr>
        <w:ind w:firstLine="708"/>
        <w:rPr>
          <w:rFonts w:ascii="Arial" w:hAnsi="Arial"/>
        </w:rPr>
      </w:pPr>
      <w:r w:rsidRPr="001D15BD">
        <w:rPr>
          <w:rFonts w:ascii="Arial" w:hAnsi="Arial" w:cs="Arial"/>
          <w:iCs/>
          <w:sz w:val="20"/>
        </w:rPr>
        <w:br/>
        <w:t>In Q</w:t>
      </w:r>
      <w:r w:rsidR="006A5ED7">
        <w:rPr>
          <w:rFonts w:ascii="Arial" w:hAnsi="Arial" w:cs="Arial"/>
          <w:iCs/>
          <w:sz w:val="20"/>
        </w:rPr>
        <w:t>4</w:t>
      </w:r>
      <w:r w:rsidR="00174B52">
        <w:rPr>
          <w:rFonts w:ascii="Arial" w:hAnsi="Arial" w:cs="Arial"/>
          <w:iCs/>
          <w:sz w:val="20"/>
        </w:rPr>
        <w:t xml:space="preserve"> </w:t>
      </w:r>
      <w:r w:rsidR="00E918E7" w:rsidRPr="001D15BD">
        <w:rPr>
          <w:rFonts w:ascii="Arial" w:hAnsi="Arial" w:cs="Arial"/>
          <w:iCs/>
          <w:sz w:val="20"/>
        </w:rPr>
        <w:t>201</w:t>
      </w:r>
      <w:r w:rsidR="00D66E2C" w:rsidRPr="001D15BD">
        <w:rPr>
          <w:rFonts w:ascii="Arial" w:hAnsi="Arial" w:cs="Arial"/>
          <w:iCs/>
          <w:sz w:val="20"/>
        </w:rPr>
        <w:t>4</w:t>
      </w:r>
      <w:r w:rsidRPr="001D15BD">
        <w:rPr>
          <w:rFonts w:ascii="Arial" w:hAnsi="Arial" w:cs="Arial"/>
          <w:iCs/>
          <w:sz w:val="20"/>
        </w:rPr>
        <w:t xml:space="preserve">, the health insurance companies </w:t>
      </w:r>
      <w:r w:rsidRPr="001D15BD">
        <w:rPr>
          <w:rFonts w:ascii="Arial" w:hAnsi="Arial" w:cs="Arial"/>
          <w:b/>
          <w:bCs/>
          <w:iCs/>
          <w:sz w:val="20"/>
        </w:rPr>
        <w:t>acquired</w:t>
      </w:r>
      <w:r w:rsidRPr="001D15BD">
        <w:rPr>
          <w:rFonts w:ascii="Arial" w:hAnsi="Arial" w:cs="Arial"/>
          <w:iCs/>
          <w:sz w:val="20"/>
        </w:rPr>
        <w:t xml:space="preserve"> intangible and tangible </w:t>
      </w:r>
      <w:r w:rsidRPr="001D15BD">
        <w:rPr>
          <w:rFonts w:ascii="Arial" w:hAnsi="Arial" w:cs="Arial"/>
          <w:b/>
          <w:bCs/>
          <w:iCs/>
          <w:sz w:val="20"/>
        </w:rPr>
        <w:t>fixed assets</w:t>
      </w:r>
      <w:r w:rsidRPr="001D15BD">
        <w:rPr>
          <w:rFonts w:ascii="Arial" w:hAnsi="Arial" w:cs="Arial"/>
          <w:iCs/>
          <w:sz w:val="20"/>
        </w:rPr>
        <w:t xml:space="preserve"> (incl. land) worth CZK </w:t>
      </w:r>
      <w:r w:rsidR="006A5ED7">
        <w:rPr>
          <w:rFonts w:ascii="Arial" w:hAnsi="Arial" w:cs="Arial"/>
          <w:iCs/>
          <w:sz w:val="20"/>
        </w:rPr>
        <w:t>120</w:t>
      </w:r>
      <w:proofErr w:type="gramStart"/>
      <w:r w:rsidR="006A5ED7">
        <w:rPr>
          <w:rFonts w:ascii="Arial" w:hAnsi="Arial" w:cs="Arial"/>
          <w:iCs/>
          <w:sz w:val="20"/>
        </w:rPr>
        <w:t>,7</w:t>
      </w:r>
      <w:proofErr w:type="gramEnd"/>
      <w:r w:rsidR="006A5ED7">
        <w:rPr>
          <w:rFonts w:ascii="Arial" w:hAnsi="Arial" w:cs="Arial"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>million and CZK</w:t>
      </w:r>
      <w:r w:rsidR="006A5ED7">
        <w:rPr>
          <w:rFonts w:ascii="Arial" w:hAnsi="Arial" w:cs="Arial"/>
          <w:iCs/>
          <w:sz w:val="20"/>
        </w:rPr>
        <w:t xml:space="preserve"> 42</w:t>
      </w:r>
      <w:r w:rsidR="00A03CE6">
        <w:rPr>
          <w:rFonts w:ascii="Arial" w:hAnsi="Arial" w:cs="Arial"/>
          <w:iCs/>
          <w:sz w:val="20"/>
        </w:rPr>
        <w:t>,4</w:t>
      </w:r>
      <w:r w:rsidR="006A5ED7">
        <w:rPr>
          <w:rFonts w:ascii="Arial" w:hAnsi="Arial" w:cs="Arial"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 xml:space="preserve">million, respectively. The </w:t>
      </w:r>
      <w:r w:rsidRPr="001D15BD">
        <w:rPr>
          <w:rFonts w:ascii="Arial" w:hAnsi="Arial" w:cs="Arial"/>
          <w:b/>
          <w:bCs/>
          <w:iCs/>
          <w:sz w:val="20"/>
        </w:rPr>
        <w:t>balance sum</w:t>
      </w:r>
      <w:r w:rsidRPr="001D15BD">
        <w:rPr>
          <w:rFonts w:ascii="Arial" w:hAnsi="Arial" w:cs="Arial"/>
          <w:iCs/>
          <w:sz w:val="20"/>
        </w:rPr>
        <w:t xml:space="preserve"> of the health insurance companies (the total of assets or liabilities) reached CZK </w:t>
      </w:r>
      <w:r w:rsidR="006A5ED7">
        <w:rPr>
          <w:rFonts w:ascii="Arial" w:hAnsi="Arial" w:cs="Arial"/>
          <w:iCs/>
          <w:sz w:val="20"/>
        </w:rPr>
        <w:t>54 337</w:t>
      </w:r>
      <w:r w:rsidR="00D66E2C" w:rsidRPr="001D15BD">
        <w:rPr>
          <w:rFonts w:ascii="Arial" w:hAnsi="Arial" w:cs="Arial"/>
          <w:iCs/>
          <w:sz w:val="20"/>
        </w:rPr>
        <w:t xml:space="preserve"> million</w:t>
      </w:r>
      <w:r w:rsidRPr="001D15BD">
        <w:rPr>
          <w:rFonts w:ascii="Arial" w:hAnsi="Arial" w:cs="Arial"/>
          <w:iCs/>
          <w:sz w:val="20"/>
        </w:rPr>
        <w:t xml:space="preserve"> at the end of </w:t>
      </w:r>
      <w:r w:rsidR="00E82667" w:rsidRPr="001D15BD">
        <w:rPr>
          <w:rFonts w:ascii="Arial" w:hAnsi="Arial" w:cs="Arial"/>
          <w:iCs/>
          <w:sz w:val="20"/>
        </w:rPr>
        <w:t>Q</w:t>
      </w:r>
      <w:r w:rsidR="006A5ED7">
        <w:rPr>
          <w:rFonts w:ascii="Arial" w:hAnsi="Arial" w:cs="Arial"/>
          <w:iCs/>
          <w:sz w:val="20"/>
        </w:rPr>
        <w:t>4</w:t>
      </w:r>
      <w:r w:rsidR="006616A4">
        <w:rPr>
          <w:rFonts w:ascii="Arial" w:hAnsi="Arial" w:cs="Arial"/>
          <w:iCs/>
          <w:sz w:val="20"/>
        </w:rPr>
        <w:t xml:space="preserve"> </w:t>
      </w:r>
      <w:r w:rsidR="00E918E7" w:rsidRPr="001D15BD">
        <w:rPr>
          <w:rFonts w:ascii="Arial" w:hAnsi="Arial" w:cs="Arial"/>
          <w:iCs/>
          <w:sz w:val="20"/>
        </w:rPr>
        <w:t>201</w:t>
      </w:r>
      <w:r w:rsidR="00D66E2C" w:rsidRPr="001D15BD">
        <w:rPr>
          <w:rFonts w:ascii="Arial" w:hAnsi="Arial" w:cs="Arial"/>
          <w:iCs/>
          <w:sz w:val="20"/>
        </w:rPr>
        <w:t>4</w:t>
      </w:r>
      <w:r w:rsidR="006A5ED7">
        <w:rPr>
          <w:rFonts w:ascii="Arial" w:hAnsi="Arial" w:cs="Arial"/>
          <w:iCs/>
          <w:sz w:val="20"/>
        </w:rPr>
        <w:t xml:space="preserve"> </w:t>
      </w:r>
      <w:r w:rsidR="006616A4">
        <w:rPr>
          <w:rFonts w:ascii="Arial" w:hAnsi="Arial" w:cs="Arial"/>
          <w:iCs/>
          <w:sz w:val="20"/>
        </w:rPr>
        <w:t>and</w:t>
      </w:r>
      <w:r w:rsidRPr="001D15BD">
        <w:rPr>
          <w:rFonts w:ascii="Arial" w:hAnsi="Arial" w:cs="Arial"/>
          <w:iCs/>
          <w:sz w:val="20"/>
        </w:rPr>
        <w:t xml:space="preserve"> compared to the end of Q</w:t>
      </w:r>
      <w:r w:rsidR="006A5ED7">
        <w:rPr>
          <w:rFonts w:ascii="Arial" w:hAnsi="Arial" w:cs="Arial"/>
          <w:iCs/>
          <w:sz w:val="20"/>
        </w:rPr>
        <w:t>3</w:t>
      </w:r>
      <w:r w:rsidR="006616A4">
        <w:rPr>
          <w:rFonts w:ascii="Arial" w:hAnsi="Arial" w:cs="Arial"/>
          <w:iCs/>
          <w:sz w:val="20"/>
        </w:rPr>
        <w:t xml:space="preserve"> </w:t>
      </w:r>
      <w:bookmarkStart w:id="0" w:name="_GoBack"/>
      <w:bookmarkEnd w:id="0"/>
      <w:r w:rsidR="00233F39" w:rsidRPr="001D15BD">
        <w:rPr>
          <w:rFonts w:ascii="Arial" w:hAnsi="Arial" w:cs="Arial"/>
          <w:iCs/>
          <w:sz w:val="20"/>
        </w:rPr>
        <w:t>201</w:t>
      </w:r>
      <w:r w:rsidR="00D66E2C" w:rsidRPr="001D15BD">
        <w:rPr>
          <w:rFonts w:ascii="Arial" w:hAnsi="Arial" w:cs="Arial"/>
          <w:iCs/>
          <w:sz w:val="20"/>
        </w:rPr>
        <w:t>4</w:t>
      </w:r>
      <w:r w:rsidRPr="001D15BD">
        <w:rPr>
          <w:rFonts w:ascii="Arial" w:hAnsi="Arial" w:cs="Arial"/>
          <w:iCs/>
          <w:sz w:val="20"/>
        </w:rPr>
        <w:t xml:space="preserve">, it </w:t>
      </w:r>
      <w:r w:rsidR="00A03CE6">
        <w:rPr>
          <w:rFonts w:ascii="Arial" w:hAnsi="Arial" w:cs="Arial"/>
          <w:iCs/>
          <w:sz w:val="20"/>
        </w:rPr>
        <w:t>de</w:t>
      </w:r>
      <w:r w:rsidRPr="001D15BD">
        <w:rPr>
          <w:rFonts w:ascii="Arial" w:hAnsi="Arial" w:cs="Arial"/>
          <w:iCs/>
          <w:sz w:val="20"/>
        </w:rPr>
        <w:t xml:space="preserve">creased by CZK </w:t>
      </w:r>
      <w:r w:rsidR="00D44320">
        <w:rPr>
          <w:rFonts w:ascii="Arial" w:hAnsi="Arial" w:cs="Arial"/>
          <w:iCs/>
          <w:sz w:val="20"/>
        </w:rPr>
        <w:t>6 860</w:t>
      </w:r>
      <w:r w:rsidR="00D66E2C" w:rsidRPr="001D15BD">
        <w:rPr>
          <w:rFonts w:ascii="Arial" w:hAnsi="Arial" w:cs="Arial"/>
          <w:iCs/>
          <w:sz w:val="20"/>
        </w:rPr>
        <w:t xml:space="preserve"> million</w:t>
      </w:r>
      <w:r w:rsidRPr="001D15BD">
        <w:rPr>
          <w:rFonts w:ascii="Arial" w:hAnsi="Arial" w:cs="Arial"/>
          <w:iCs/>
          <w:sz w:val="20"/>
        </w:rPr>
        <w:t xml:space="preserve">. The </w:t>
      </w:r>
      <w:r w:rsidRPr="001D15BD">
        <w:rPr>
          <w:rFonts w:ascii="Arial" w:hAnsi="Arial" w:cs="Arial"/>
          <w:b/>
          <w:bCs/>
          <w:iCs/>
          <w:sz w:val="20"/>
        </w:rPr>
        <w:t>value of intang</w:t>
      </w:r>
      <w:r w:rsidR="006616A4">
        <w:rPr>
          <w:rFonts w:ascii="Arial" w:hAnsi="Arial" w:cs="Arial"/>
          <w:b/>
          <w:bCs/>
          <w:iCs/>
          <w:sz w:val="20"/>
        </w:rPr>
        <w:t>ible and tangible fixed assets–</w:t>
      </w:r>
      <w:r w:rsidRPr="001D15BD">
        <w:rPr>
          <w:rFonts w:ascii="Arial" w:hAnsi="Arial" w:cs="Arial"/>
          <w:b/>
          <w:bCs/>
          <w:iCs/>
          <w:sz w:val="20"/>
        </w:rPr>
        <w:t xml:space="preserve">net </w:t>
      </w:r>
      <w:r w:rsidRPr="001D15BD">
        <w:rPr>
          <w:rFonts w:ascii="Arial" w:hAnsi="Arial" w:cs="Arial"/>
          <w:iCs/>
          <w:sz w:val="20"/>
        </w:rPr>
        <w:t>in assets</w:t>
      </w:r>
      <w:r w:rsidR="006616A4">
        <w:rPr>
          <w:rFonts w:ascii="Arial" w:hAnsi="Arial" w:cs="Arial"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 xml:space="preserve">of the health insurance companies was CZK </w:t>
      </w:r>
      <w:r w:rsidR="00D44320">
        <w:rPr>
          <w:rFonts w:ascii="Arial" w:hAnsi="Arial" w:cs="Arial"/>
          <w:iCs/>
          <w:sz w:val="20"/>
        </w:rPr>
        <w:t xml:space="preserve">643 </w:t>
      </w:r>
      <w:r w:rsidRPr="001D15BD">
        <w:rPr>
          <w:rFonts w:ascii="Arial" w:hAnsi="Arial" w:cs="Arial"/>
          <w:iCs/>
          <w:sz w:val="20"/>
        </w:rPr>
        <w:t xml:space="preserve">million </w:t>
      </w:r>
      <w:r w:rsidR="004928F7" w:rsidRPr="001D15BD">
        <w:rPr>
          <w:rFonts w:ascii="Arial" w:hAnsi="Arial" w:cs="Arial"/>
          <w:iCs/>
          <w:sz w:val="20"/>
        </w:rPr>
        <w:t>down</w:t>
      </w:r>
      <w:r w:rsidRPr="001D15BD">
        <w:rPr>
          <w:rFonts w:ascii="Arial" w:hAnsi="Arial" w:cs="Arial"/>
          <w:iCs/>
          <w:sz w:val="20"/>
        </w:rPr>
        <w:t xml:space="preserve"> compared with the previous quarter.</w:t>
      </w:r>
    </w:p>
    <w:sectPr w:rsidR="006C3D40" w:rsidRPr="001D15BD" w:rsidSect="00EA14BC">
      <w:footerReference w:type="even" r:id="rId7"/>
      <w:pgSz w:w="11905" w:h="16837"/>
      <w:pgMar w:top="1134" w:right="1225" w:bottom="1134" w:left="1200" w:header="1134" w:footer="851" w:gutter="0"/>
      <w:pgNumType w:start="7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950" w:rsidRDefault="007D2950">
      <w:r>
        <w:separator/>
      </w:r>
    </w:p>
  </w:endnote>
  <w:endnote w:type="continuationSeparator" w:id="0">
    <w:p w:rsidR="007D2950" w:rsidRDefault="007D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obyčejné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950" w:rsidRDefault="0009625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D295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D2950" w:rsidRDefault="007D295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950" w:rsidRDefault="007D2950">
      <w:r>
        <w:separator/>
      </w:r>
    </w:p>
  </w:footnote>
  <w:footnote w:type="continuationSeparator" w:id="0">
    <w:p w:rsidR="007D2950" w:rsidRDefault="007D2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82667"/>
    <w:rsid w:val="00015091"/>
    <w:rsid w:val="000216C7"/>
    <w:rsid w:val="00026E69"/>
    <w:rsid w:val="0006079A"/>
    <w:rsid w:val="00086878"/>
    <w:rsid w:val="0009625F"/>
    <w:rsid w:val="000A5A9D"/>
    <w:rsid w:val="000D6A1C"/>
    <w:rsid w:val="00102805"/>
    <w:rsid w:val="0010645E"/>
    <w:rsid w:val="00121424"/>
    <w:rsid w:val="0013334B"/>
    <w:rsid w:val="00136997"/>
    <w:rsid w:val="00174B52"/>
    <w:rsid w:val="00174F3D"/>
    <w:rsid w:val="001D15BD"/>
    <w:rsid w:val="001E5237"/>
    <w:rsid w:val="00203C88"/>
    <w:rsid w:val="00232379"/>
    <w:rsid w:val="00233F39"/>
    <w:rsid w:val="00235BBB"/>
    <w:rsid w:val="00250D4C"/>
    <w:rsid w:val="00267574"/>
    <w:rsid w:val="00271101"/>
    <w:rsid w:val="002A6059"/>
    <w:rsid w:val="002B4DBE"/>
    <w:rsid w:val="002C4821"/>
    <w:rsid w:val="002C5EB1"/>
    <w:rsid w:val="002D59D9"/>
    <w:rsid w:val="002F142C"/>
    <w:rsid w:val="003119BB"/>
    <w:rsid w:val="00324EEB"/>
    <w:rsid w:val="00343D46"/>
    <w:rsid w:val="0034434F"/>
    <w:rsid w:val="00353920"/>
    <w:rsid w:val="00355DF1"/>
    <w:rsid w:val="00370FF0"/>
    <w:rsid w:val="003814FC"/>
    <w:rsid w:val="0038632A"/>
    <w:rsid w:val="003873FD"/>
    <w:rsid w:val="003B1C65"/>
    <w:rsid w:val="003C61C2"/>
    <w:rsid w:val="003E7094"/>
    <w:rsid w:val="00410674"/>
    <w:rsid w:val="00431C86"/>
    <w:rsid w:val="004350C9"/>
    <w:rsid w:val="00474A9B"/>
    <w:rsid w:val="00475CD4"/>
    <w:rsid w:val="00485F0B"/>
    <w:rsid w:val="004928F7"/>
    <w:rsid w:val="004A0421"/>
    <w:rsid w:val="004A690A"/>
    <w:rsid w:val="004C21FD"/>
    <w:rsid w:val="004C648F"/>
    <w:rsid w:val="004E7BF0"/>
    <w:rsid w:val="0051000B"/>
    <w:rsid w:val="00513260"/>
    <w:rsid w:val="00526EB6"/>
    <w:rsid w:val="00531ABB"/>
    <w:rsid w:val="005624E5"/>
    <w:rsid w:val="00562DE8"/>
    <w:rsid w:val="00576EBB"/>
    <w:rsid w:val="005910BC"/>
    <w:rsid w:val="00594376"/>
    <w:rsid w:val="005A70E2"/>
    <w:rsid w:val="005B111F"/>
    <w:rsid w:val="005C4F0C"/>
    <w:rsid w:val="00626425"/>
    <w:rsid w:val="00657FD0"/>
    <w:rsid w:val="006616A4"/>
    <w:rsid w:val="006637F5"/>
    <w:rsid w:val="006A08FF"/>
    <w:rsid w:val="006A5ED7"/>
    <w:rsid w:val="006C3D40"/>
    <w:rsid w:val="006D2A36"/>
    <w:rsid w:val="006D4828"/>
    <w:rsid w:val="006E6124"/>
    <w:rsid w:val="007100B8"/>
    <w:rsid w:val="007315C2"/>
    <w:rsid w:val="007375A6"/>
    <w:rsid w:val="00750170"/>
    <w:rsid w:val="007745A4"/>
    <w:rsid w:val="007751F5"/>
    <w:rsid w:val="007953B2"/>
    <w:rsid w:val="00795E6A"/>
    <w:rsid w:val="007D2950"/>
    <w:rsid w:val="007E16DA"/>
    <w:rsid w:val="00803676"/>
    <w:rsid w:val="008112A0"/>
    <w:rsid w:val="00851723"/>
    <w:rsid w:val="00851AC0"/>
    <w:rsid w:val="008563B9"/>
    <w:rsid w:val="00862F55"/>
    <w:rsid w:val="00876C46"/>
    <w:rsid w:val="00886422"/>
    <w:rsid w:val="00892B19"/>
    <w:rsid w:val="008A1C16"/>
    <w:rsid w:val="008D030D"/>
    <w:rsid w:val="008D402D"/>
    <w:rsid w:val="008E36BF"/>
    <w:rsid w:val="008F4EB3"/>
    <w:rsid w:val="00902526"/>
    <w:rsid w:val="00937CCE"/>
    <w:rsid w:val="0095332C"/>
    <w:rsid w:val="009647F9"/>
    <w:rsid w:val="009912FB"/>
    <w:rsid w:val="00997833"/>
    <w:rsid w:val="009B4635"/>
    <w:rsid w:val="009D79B2"/>
    <w:rsid w:val="00A03CE6"/>
    <w:rsid w:val="00A14A0B"/>
    <w:rsid w:val="00A2341F"/>
    <w:rsid w:val="00A2583A"/>
    <w:rsid w:val="00A8684F"/>
    <w:rsid w:val="00A93969"/>
    <w:rsid w:val="00AD58D4"/>
    <w:rsid w:val="00AF5CFD"/>
    <w:rsid w:val="00B1368E"/>
    <w:rsid w:val="00B16C53"/>
    <w:rsid w:val="00B4301A"/>
    <w:rsid w:val="00B631C1"/>
    <w:rsid w:val="00B76E42"/>
    <w:rsid w:val="00B96C43"/>
    <w:rsid w:val="00BB47A8"/>
    <w:rsid w:val="00BB6D1D"/>
    <w:rsid w:val="00BC6D4B"/>
    <w:rsid w:val="00BF05B4"/>
    <w:rsid w:val="00C04A87"/>
    <w:rsid w:val="00C163BA"/>
    <w:rsid w:val="00C32003"/>
    <w:rsid w:val="00CE747D"/>
    <w:rsid w:val="00CE7FF9"/>
    <w:rsid w:val="00D2627F"/>
    <w:rsid w:val="00D36427"/>
    <w:rsid w:val="00D44320"/>
    <w:rsid w:val="00D66E2C"/>
    <w:rsid w:val="00D7162E"/>
    <w:rsid w:val="00D82F4E"/>
    <w:rsid w:val="00D85B54"/>
    <w:rsid w:val="00D9599C"/>
    <w:rsid w:val="00DA22E6"/>
    <w:rsid w:val="00DA39DA"/>
    <w:rsid w:val="00DA7DF1"/>
    <w:rsid w:val="00DB01CD"/>
    <w:rsid w:val="00DB3E63"/>
    <w:rsid w:val="00DC5683"/>
    <w:rsid w:val="00DD06D6"/>
    <w:rsid w:val="00DF2896"/>
    <w:rsid w:val="00DF3405"/>
    <w:rsid w:val="00DF3EC4"/>
    <w:rsid w:val="00DF4101"/>
    <w:rsid w:val="00DF55E5"/>
    <w:rsid w:val="00E07CA1"/>
    <w:rsid w:val="00E134A1"/>
    <w:rsid w:val="00E25A92"/>
    <w:rsid w:val="00E32FB9"/>
    <w:rsid w:val="00E364FC"/>
    <w:rsid w:val="00E423F3"/>
    <w:rsid w:val="00E5074D"/>
    <w:rsid w:val="00E65E65"/>
    <w:rsid w:val="00E66D92"/>
    <w:rsid w:val="00E82667"/>
    <w:rsid w:val="00E918E7"/>
    <w:rsid w:val="00EA14BC"/>
    <w:rsid w:val="00EC2BF4"/>
    <w:rsid w:val="00ED7140"/>
    <w:rsid w:val="00F036A9"/>
    <w:rsid w:val="00F15353"/>
    <w:rsid w:val="00F81BC5"/>
    <w:rsid w:val="00F85B40"/>
    <w:rsid w:val="00F87612"/>
    <w:rsid w:val="00FB4089"/>
    <w:rsid w:val="00FB6A9A"/>
    <w:rsid w:val="00FD5D30"/>
    <w:rsid w:val="00FF1E0F"/>
    <w:rsid w:val="00FF5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14BC"/>
    <w:pPr>
      <w:jc w:val="both"/>
    </w:pPr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EA14BC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pacing w:line="1" w:lineRule="atLeast"/>
      <w:jc w:val="center"/>
      <w:outlineLvl w:val="0"/>
    </w:pPr>
    <w:rPr>
      <w:i/>
      <w:iCs/>
      <w:sz w:val="26"/>
      <w:szCs w:val="26"/>
    </w:rPr>
  </w:style>
  <w:style w:type="paragraph" w:styleId="Nadpis2">
    <w:name w:val="heading 2"/>
    <w:basedOn w:val="Normln"/>
    <w:next w:val="Normln"/>
    <w:qFormat/>
    <w:rsid w:val="00EA14BC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pacing w:line="1" w:lineRule="atLeast"/>
      <w:jc w:val="center"/>
      <w:outlineLvl w:val="1"/>
    </w:pPr>
    <w:rPr>
      <w:b/>
      <w:bCs/>
      <w:i/>
      <w:iCs/>
      <w:sz w:val="32"/>
      <w:szCs w:val="26"/>
    </w:rPr>
  </w:style>
  <w:style w:type="paragraph" w:styleId="Nadpis3">
    <w:name w:val="heading 3"/>
    <w:basedOn w:val="Normln"/>
    <w:next w:val="Normln"/>
    <w:qFormat/>
    <w:rsid w:val="00EA14BC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pacing w:line="1" w:lineRule="atLeast"/>
      <w:jc w:val="center"/>
      <w:outlineLvl w:val="2"/>
    </w:pPr>
    <w:rPr>
      <w:sz w:val="32"/>
      <w:lang w:val="cs-CZ"/>
    </w:rPr>
  </w:style>
  <w:style w:type="paragraph" w:styleId="Nadpis4">
    <w:name w:val="heading 4"/>
    <w:basedOn w:val="Normln"/>
    <w:next w:val="Normln"/>
    <w:qFormat/>
    <w:rsid w:val="00EA14BC"/>
    <w:pPr>
      <w:keepNext/>
      <w:jc w:val="center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EA14BC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outlineLvl w:val="4"/>
    </w:pPr>
    <w:rPr>
      <w:rFonts w:ascii="Arial" w:hAnsi="Arial"/>
      <w:b/>
      <w:bCs/>
      <w:szCs w:val="20"/>
      <w:lang w:val="cs-CZ"/>
    </w:rPr>
  </w:style>
  <w:style w:type="paragraph" w:styleId="Nadpis6">
    <w:name w:val="heading 6"/>
    <w:basedOn w:val="Normln"/>
    <w:next w:val="Normln"/>
    <w:qFormat/>
    <w:rsid w:val="00EA14BC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center"/>
      <w:outlineLvl w:val="5"/>
    </w:pPr>
    <w:rPr>
      <w:rFonts w:ascii="Arial" w:hAnsi="Arial"/>
      <w:b/>
      <w:bCs/>
      <w:sz w:val="28"/>
      <w:szCs w:val="20"/>
      <w:lang w:val="cs-CZ"/>
    </w:rPr>
  </w:style>
  <w:style w:type="paragraph" w:styleId="Nadpis7">
    <w:name w:val="heading 7"/>
    <w:basedOn w:val="Normln"/>
    <w:next w:val="Normln"/>
    <w:qFormat/>
    <w:rsid w:val="00EA14BC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outlineLvl w:val="6"/>
    </w:pPr>
    <w:rPr>
      <w:rFonts w:ascii="Arial" w:hAnsi="Arial" w:cs="Arial"/>
      <w:szCs w:val="20"/>
      <w:u w:val="single"/>
    </w:rPr>
  </w:style>
  <w:style w:type="paragraph" w:styleId="Nadpis8">
    <w:name w:val="heading 8"/>
    <w:basedOn w:val="Normln"/>
    <w:next w:val="Normln"/>
    <w:qFormat/>
    <w:rsid w:val="00EA14BC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outlineLvl w:val="7"/>
    </w:pPr>
    <w:rPr>
      <w:rFonts w:ascii="Arial" w:hAnsi="Arial" w:cs="Arial"/>
      <w:sz w:val="28"/>
      <w:u w:val="single"/>
    </w:rPr>
  </w:style>
  <w:style w:type="paragraph" w:styleId="Nadpis9">
    <w:name w:val="heading 9"/>
    <w:basedOn w:val="Normln"/>
    <w:next w:val="Normln"/>
    <w:qFormat/>
    <w:rsid w:val="00EA14BC"/>
    <w:pPr>
      <w:keepNext/>
      <w:jc w:val="center"/>
      <w:outlineLvl w:val="8"/>
    </w:pPr>
    <w:rPr>
      <w:rFonts w:ascii="Arial" w:hAnsi="Arial" w:cs="Arial"/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rsid w:val="00EA14BC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left"/>
    </w:pPr>
    <w:rPr>
      <w:rFonts w:ascii="Times New Roman obyčejné" w:hAnsi="Times New Roman obyčejné"/>
      <w:sz w:val="20"/>
      <w:szCs w:val="20"/>
      <w:lang w:val="cs-CZ"/>
    </w:rPr>
  </w:style>
  <w:style w:type="character" w:styleId="Hypertextovodkaz">
    <w:name w:val="Hyperlink"/>
    <w:semiHidden/>
    <w:rsid w:val="00EA14BC"/>
    <w:rPr>
      <w:color w:val="0000FF"/>
      <w:u w:val="single"/>
    </w:rPr>
  </w:style>
  <w:style w:type="paragraph" w:styleId="Zhlav">
    <w:name w:val="header"/>
    <w:basedOn w:val="Normln"/>
    <w:semiHidden/>
    <w:rsid w:val="00EA14BC"/>
    <w:pPr>
      <w:tabs>
        <w:tab w:val="center" w:pos="4536"/>
        <w:tab w:val="right" w:pos="9072"/>
      </w:tabs>
    </w:pPr>
  </w:style>
  <w:style w:type="character" w:styleId="Sledovanodkaz">
    <w:name w:val="FollowedHyperlink"/>
    <w:semiHidden/>
    <w:rsid w:val="00EA14BC"/>
    <w:rPr>
      <w:color w:val="800080"/>
      <w:u w:val="single"/>
    </w:rPr>
  </w:style>
  <w:style w:type="character" w:styleId="slostrnky">
    <w:name w:val="page number"/>
    <w:basedOn w:val="Standardnpsmoodstavce"/>
    <w:semiHidden/>
    <w:rsid w:val="00EA14BC"/>
  </w:style>
  <w:style w:type="paragraph" w:styleId="Zkladntext">
    <w:name w:val="Body Text"/>
    <w:basedOn w:val="Normln"/>
    <w:semiHidden/>
    <w:rsid w:val="00EA14BC"/>
    <w:pPr>
      <w:spacing w:before="120" w:line="360" w:lineRule="auto"/>
    </w:pPr>
    <w:rPr>
      <w:rFonts w:ascii="Arial" w:hAnsi="Arial"/>
      <w:b/>
      <w:szCs w:val="20"/>
      <w:lang w:val="cs-CZ"/>
    </w:rPr>
  </w:style>
  <w:style w:type="paragraph" w:styleId="Zkladntextodsazen">
    <w:name w:val="Body Text Indent"/>
    <w:basedOn w:val="Normln"/>
    <w:semiHidden/>
    <w:rsid w:val="00EA14BC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line="360" w:lineRule="auto"/>
      <w:ind w:firstLine="708"/>
    </w:pPr>
    <w:rPr>
      <w:rFonts w:ascii="Arial" w:hAnsi="Arial"/>
      <w:szCs w:val="20"/>
    </w:rPr>
  </w:style>
  <w:style w:type="paragraph" w:customStyle="1" w:styleId="Styl1">
    <w:name w:val="Styl1"/>
    <w:rsid w:val="00EA14BC"/>
    <w:pPr>
      <w:suppressAutoHyphens/>
      <w:autoSpaceDE w:val="0"/>
    </w:pPr>
    <w:rPr>
      <w:rFonts w:ascii="Arial" w:hAnsi="Arial"/>
      <w:sz w:val="24"/>
      <w:szCs w:val="24"/>
      <w:lang w:eastAsia="ar-SA"/>
    </w:rPr>
  </w:style>
  <w:style w:type="paragraph" w:styleId="Zkladntextodsazen2">
    <w:name w:val="Body Text Indent 2"/>
    <w:basedOn w:val="Normln"/>
    <w:semiHidden/>
    <w:rsid w:val="00EA14BC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firstLine="708"/>
    </w:pPr>
    <w:rPr>
      <w:rFonts w:ascii="Arial" w:hAnsi="Arial" w:cs="Arial"/>
      <w:sz w:val="20"/>
      <w:szCs w:val="20"/>
      <w:lang w:val="cs-CZ"/>
    </w:rPr>
  </w:style>
  <w:style w:type="paragraph" w:styleId="Zkladntextodsazen3">
    <w:name w:val="Body Text Indent 3"/>
    <w:basedOn w:val="Normln"/>
    <w:semiHidden/>
    <w:rsid w:val="00EA14BC"/>
    <w:pPr>
      <w:ind w:left="240" w:hanging="240"/>
    </w:pPr>
    <w:rPr>
      <w:rFonts w:ascii="Arial" w:hAnsi="Arial" w:cs="Arial"/>
      <w:i/>
      <w:iCs/>
      <w:sz w:val="20"/>
    </w:rPr>
  </w:style>
  <w:style w:type="paragraph" w:styleId="Zkladntext2">
    <w:name w:val="Body Text 2"/>
    <w:basedOn w:val="Normln"/>
    <w:semiHidden/>
    <w:rsid w:val="00EA14BC"/>
    <w:rPr>
      <w:rFonts w:ascii="Arial" w:hAnsi="Arial" w:cs="Arial"/>
      <w:sz w:val="20"/>
    </w:rPr>
  </w:style>
  <w:style w:type="paragraph" w:styleId="Textpoznpodarou">
    <w:name w:val="footnote text"/>
    <w:aliases w:val="Text pozn. pod čarou_martin_ang"/>
    <w:basedOn w:val="Normln"/>
    <w:semiHidden/>
    <w:rsid w:val="00EA14BC"/>
    <w:rPr>
      <w:sz w:val="20"/>
      <w:szCs w:val="20"/>
    </w:rPr>
  </w:style>
  <w:style w:type="character" w:styleId="Znakapoznpodarou">
    <w:name w:val="footnote reference"/>
    <w:semiHidden/>
    <w:rsid w:val="00EA14BC"/>
    <w:rPr>
      <w:vertAlign w:val="superscript"/>
    </w:rPr>
  </w:style>
  <w:style w:type="character" w:styleId="Odkaznakoment">
    <w:name w:val="annotation reference"/>
    <w:semiHidden/>
    <w:rsid w:val="00EA14BC"/>
    <w:rPr>
      <w:sz w:val="16"/>
      <w:szCs w:val="16"/>
    </w:rPr>
  </w:style>
  <w:style w:type="paragraph" w:styleId="Textkomente">
    <w:name w:val="annotation text"/>
    <w:basedOn w:val="Normln"/>
    <w:semiHidden/>
    <w:rsid w:val="00EA14B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EA14BC"/>
    <w:rPr>
      <w:b/>
      <w:bCs/>
    </w:rPr>
  </w:style>
  <w:style w:type="paragraph" w:styleId="Textbubliny">
    <w:name w:val="Balloon Text"/>
    <w:basedOn w:val="Normln"/>
    <w:semiHidden/>
    <w:rsid w:val="00EA14BC"/>
    <w:rPr>
      <w:rFonts w:ascii="Tahoma" w:hAnsi="Tahoma" w:cs="Tahoma"/>
      <w:sz w:val="16"/>
      <w:szCs w:val="16"/>
    </w:rPr>
  </w:style>
  <w:style w:type="character" w:customStyle="1" w:styleId="hps">
    <w:name w:val="hps"/>
    <w:rsid w:val="00C320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3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yrpekl\Data%20aplikac&#237;\Microsoft\&#352;ablony\Normal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90</TotalTime>
  <Pages>1</Pages>
  <Words>655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TEMATICKÉ SKUPINY ČESKY</vt:lpstr>
    </vt:vector>
  </TitlesOfParts>
  <Company>csu</Company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TEMATICKÉ SKUPINY ČESKY</dc:title>
  <dc:creator>csu</dc:creator>
  <cp:lastModifiedBy>bus830</cp:lastModifiedBy>
  <cp:revision>11</cp:revision>
  <cp:lastPrinted>2014-09-04T08:14:00Z</cp:lastPrinted>
  <dcterms:created xsi:type="dcterms:W3CDTF">2014-12-08T07:42:00Z</dcterms:created>
  <dcterms:modified xsi:type="dcterms:W3CDTF">2015-03-03T07:03:00Z</dcterms:modified>
</cp:coreProperties>
</file>