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EBBA" w14:textId="05F28921" w:rsidR="00E41131" w:rsidRPr="009110F7" w:rsidRDefault="00E41131" w:rsidP="00E41131">
      <w:pPr>
        <w:pStyle w:val="Nadpis11"/>
      </w:pPr>
      <w:bookmarkStart w:id="0" w:name="_Toc114134048"/>
      <w:bookmarkStart w:id="1" w:name="_Toc97736119"/>
      <w:bookmarkStart w:id="2" w:name="_Toc74643859"/>
      <w:bookmarkStart w:id="3" w:name="_Toc90395915"/>
      <w:bookmarkStart w:id="4" w:name="_Toc98245446"/>
      <w:bookmarkStart w:id="5" w:name="_Toc74643860"/>
      <w:bookmarkStart w:id="6" w:name="_Toc121993821"/>
      <w:r w:rsidRPr="009110F7">
        <w:t>5</w:t>
      </w:r>
      <w:r>
        <w:t>. </w:t>
      </w:r>
      <w:r w:rsidRPr="009110F7">
        <w:t>Ceny</w:t>
      </w:r>
      <w:bookmarkEnd w:id="0"/>
      <w:bookmarkEnd w:id="6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05"/>
        <w:gridCol w:w="224"/>
        <w:gridCol w:w="7610"/>
      </w:tblGrid>
      <w:tr w:rsidR="00E41131" w:rsidRPr="009110F7" w14:paraId="31DE5C79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54F423CC" w14:textId="77777777" w:rsidR="00E41131" w:rsidRPr="00793D78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Růst celkové cenové hladiny posílil.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50E3229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CA71BB1" w14:textId="77777777" w:rsidR="00E41131" w:rsidRPr="00793D78" w:rsidRDefault="00E41131" w:rsidP="002036E6">
            <w:pPr>
              <w:rPr>
                <w:szCs w:val="20"/>
              </w:rPr>
            </w:pPr>
            <w:r>
              <w:rPr>
                <w:szCs w:val="20"/>
              </w:rPr>
              <w:t xml:space="preserve">Celkový meziroční růst cenové hladiny podle deflátoru HDP ve 3. čtvrtletí dosáhl 9,8 %. To představuje výrazné zrychlení oproti předchozímu kvartálu. Ceny spotřebního zboží vzrostly o 13,8 %, z toho ceny spotřeby domácností byly meziročně vyšší o 19,2 %, zatímco vládních institucí o 3,2 %. Cenová hladina kapitálových statků se meziročně zvýšila o 13,9 %. Směnné relace zahraničního obchodu se zbožím a službami zůstaly záporné a dosáhly 95,3 %. Z toho směnné relace obchodu se zbožím činily 93,9 %, zatímco u obchodu se službami byly výrazně kladné (105,4 %). Mezičtvrtletně se cenová hladina v ekonomice zvýšila o 4,0 %. Mezičtvrtletní přírůstek cen spotřebních statků zrychlil na 3,6 % a kapitálových statků na 4,6 %.  </w:t>
            </w:r>
          </w:p>
        </w:tc>
      </w:tr>
      <w:tr w:rsidR="00E41131" w:rsidRPr="009110F7" w14:paraId="3C4D4155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3A8E5B82" w14:textId="77777777" w:rsidR="00E41131" w:rsidRPr="00793D78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růst spotřebitelských cen nadále zrychloval.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25963FF" w14:textId="77777777" w:rsidR="00E41131" w:rsidRPr="00793D78" w:rsidRDefault="00E41131" w:rsidP="002036E6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A5DD1FA" w14:textId="77777777" w:rsidR="00E41131" w:rsidRPr="000316FC" w:rsidRDefault="00E41131" w:rsidP="002036E6">
            <w:r>
              <w:t xml:space="preserve">Meziroční růst spotřebitelských cen ve 3. čtvrtletí 2022 zrychlil na 17,6 %. Největší podíl na celkovém růstu měly nadále ceny bydlení, vody, energií a paliv (bydlení </w:t>
            </w:r>
            <w:r>
              <w:br/>
              <w:t>a energie), potravin a nealkoholických nápojů a dopravy. Tyto tři položky přispěly dohromady k meziročnímu přírůstku ze dvou třetin. K pokračujícímu zrychlování meziroční dynamiky, které trvá již šest čtvrtletí, přispělo nejvíce posílení cenového růstu u potravin a energií. U většiny ostatních oddílů spotřebního koše se přírůstky také zvyšovaly. Výjimkou byly ceny dopravy. Mezičtvrtletní přírůstek spotřebitelských cen ve 3. čtvrtletí zpomalil na 3,6 %. Mezikvartálně vyšší byly ceny ve všech oddílech spotřebního koše a na zpomalení celkového přírůstku se podílelo zejména zastavení prudkého růstu cen dopravy. V kumulaci od začátku roku byly spotřebitelské ceny oproti stejnému období roku 2021 vyšší o 14,9 %.</w:t>
            </w:r>
          </w:p>
        </w:tc>
      </w:tr>
      <w:tr w:rsidR="00E41131" w:rsidRPr="009110F7" w14:paraId="0A22EBE0" w14:textId="77777777" w:rsidTr="002036E6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7AD03EBB" w14:textId="77777777" w:rsidR="00E41131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22037882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7A32CE57" w14:textId="77777777" w:rsidR="00E41131" w:rsidRDefault="00E41131" w:rsidP="002036E6">
            <w:pPr>
              <w:spacing w:after="0"/>
            </w:pP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Graf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č. 10 </w:t>
            </w:r>
            <w:r w:rsidRPr="00793D78">
              <w:rPr>
                <w:rFonts w:cs="Arial"/>
                <w:b/>
                <w:bCs/>
                <w:color w:val="000000"/>
                <w:sz w:val="18"/>
                <w:szCs w:val="18"/>
              </w:rPr>
              <w:t>Ceny ve vybraných oddílech indexu spotřebitelských cen</w:t>
            </w:r>
            <w:r w:rsidRPr="00793D78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9067EA">
              <w:rPr>
                <w:rFonts w:cs="Arial"/>
                <w:color w:val="000000"/>
                <w:sz w:val="18"/>
                <w:szCs w:val="18"/>
              </w:rPr>
              <w:t>(meziročně v %)</w:t>
            </w:r>
          </w:p>
        </w:tc>
      </w:tr>
      <w:tr w:rsidR="00E41131" w:rsidRPr="009110F7" w14:paraId="636681EB" w14:textId="77777777" w:rsidTr="002036E6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78BFA50C" w14:textId="77777777" w:rsidR="00E41131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6B2BB1CC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0650C371" w14:textId="77777777" w:rsidR="00E41131" w:rsidRDefault="00E41131" w:rsidP="002036E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ED646FB" wp14:editId="6D6DDC54">
                  <wp:extent cx="4737600" cy="3553200"/>
                  <wp:effectExtent l="0" t="0" r="6350" b="0"/>
                  <wp:docPr id="23" name="Graf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E41131" w:rsidRPr="009110F7" w14:paraId="04A3F01D" w14:textId="77777777" w:rsidTr="002036E6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6E92F33A" w14:textId="77777777" w:rsidR="00E41131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1689F6A1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5C72A06" w14:textId="77777777" w:rsidR="00E41131" w:rsidRDefault="00E41131" w:rsidP="002036E6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E41131" w:rsidRPr="009110F7" w14:paraId="7200E696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203F4A66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K celkovému růstu nejvíce přispěly ceny bydlení a energií, hlavně ceny elektřiny.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715F7EF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0D54D3C" w14:textId="77777777" w:rsidR="00E41131" w:rsidRDefault="00E41131" w:rsidP="002036E6">
            <w:r>
              <w:t xml:space="preserve">Ceny bydlení a energií se ve 3. čtvrtletí meziročně zvýšily o 23,6 %. Růst nákladů na bydlení tak opět zrychlil, především pod vlivem prudce rostoucích cen energií. Ceny elektrické a tepelné energie, plynu a ostatních paliv byly totiž meziročně vyšší </w:t>
            </w:r>
            <w:r>
              <w:br/>
              <w:t xml:space="preserve">o 42,6 % (ve 2. čtvrtletí přírůstek činil 34,1 %) a nejvíce přispěly ke zrychlení </w:t>
            </w:r>
            <w:r>
              <w:br/>
            </w:r>
            <w:r>
              <w:lastRenderedPageBreak/>
              <w:t>i celkovému přírůstku. Druhý nejvyšší vliv mělo imputované nájemné</w:t>
            </w:r>
            <w:r>
              <w:rPr>
                <w:rStyle w:val="Znakapoznpodarou"/>
              </w:rPr>
              <w:footnoteReference w:id="1"/>
            </w:r>
            <w:r>
              <w:t xml:space="preserve">, které bylo vyšší o 17,9 %, což představuje mírné zpomalení meziročního tempa. Naopak vyšší byl meziroční růst cen běžné údržby a oprav (21,4 %), nájemného z bytu (5,1 %) </w:t>
            </w:r>
            <w:r>
              <w:br/>
              <w:t xml:space="preserve">a ostatních služeb souvisejících s bydlením (5,1 %). Mezičtvrtletně se ceny bydlení </w:t>
            </w:r>
            <w:r>
              <w:br/>
              <w:t>a energií ve 3. čtvrtletí zvýšily o 4,3 %, což bylo mírně méně než v předchozím kvartálu.</w:t>
            </w:r>
          </w:p>
        </w:tc>
      </w:tr>
      <w:tr w:rsidR="00E41131" w:rsidRPr="009110F7" w14:paraId="392D21C8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279B08FF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Dál sílil meziroční růst cen potravin </w:t>
            </w:r>
            <w:r>
              <w:rPr>
                <w:spacing w:val="0"/>
              </w:rPr>
              <w:br/>
              <w:t>a nealkoholických nápojů.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1B4E5E6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3E45211" w14:textId="2E16241C" w:rsidR="00E41131" w:rsidRDefault="00E41131" w:rsidP="002036E6">
            <w:r>
              <w:t>Ceny potravin a nealkoholických nápojů byly ve 3. čtvrtletí meziročně vyšší o 20,0 %. Výrazné zrychlení tempa růstu se týkalo všech skupin potravin. Nejvíce rostly ceny olejů a tuků (50,7 %), pekárenských výrobků a obilovin (25,1 %), mléka, sýrů a vajec (24,1 %) a masa (22,4 %). Silný přírůstek cen se dotýkal i potravinářských výrobků</w:t>
            </w:r>
            <w:r w:rsidR="00B674C7">
              <w:t xml:space="preserve"> jinde neuvedených</w:t>
            </w:r>
            <w:r>
              <w:t xml:space="preserve"> (19,0 %), cukru, marmelády, medu, čokolády a jiných cukrovinek (15,4 %) a nealkoholických nápojů (13,7 %). Ryby a mořské plody byly meziročně dražší o 10,7 %, zelenina o 8,8 %. Nejmírněji rostly ceny ovoce (3,5 %). Oproti 2. čtvrtletí 2022 se ceny potravin a nealkoholických nápojů zvýšily o 4,6 %. To je nižší přírůstek než v předchozím kvartálu. </w:t>
            </w:r>
          </w:p>
        </w:tc>
      </w:tr>
      <w:tr w:rsidR="00E41131" w:rsidRPr="009110F7" w14:paraId="682E741A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1375CAB4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 xml:space="preserve">Pod vlivem nižšího růstu cen pohonných hmot zpomalil i přírůstek cen dopravy. 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8EE1516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0ABC196" w14:textId="49B6E13E" w:rsidR="00E41131" w:rsidRDefault="00E41131" w:rsidP="002036E6">
            <w:r>
              <w:t xml:space="preserve">U cen dopravy došlo k mírnému zpomalení meziročního přírůstku na 19,7 %. Důvodem byl nižší růst nákladů na provoz osobních dopravních prostředků (24,5 %). Ceny automobilů, motocyklů a jízdních kol stouply o 15,0 % a dopravních služeb o 17,8 %. Na mírnějším meziročním tempu měla svůj podíl vysoká srovnávací základna loňského roku, ale mezičtvrtletní růst cen dopravy také zmírnil až na 0,3 %. Významný vliv na celkový růst spotřebitelských cen měly i ceny stravování a ubytování, které ve 3. čtvrtletí meziročně vzrostly o 24,3 %. Ceny stravovacích služeb zdražily o 24,9 %, zatímco ubytovací služby o 20,3 %. Mezičtvrtletně se v ubytování a stravování ceny zvýšily o 5,3 %. </w:t>
            </w:r>
          </w:p>
        </w:tc>
      </w:tr>
      <w:tr w:rsidR="00E41131" w:rsidRPr="009110F7" w14:paraId="203728BF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5928F6C4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Pokračoval silný růst cen rekreací a kultury.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138F9792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6B671C4" w14:textId="3F785377" w:rsidR="00E41131" w:rsidRDefault="00E41131" w:rsidP="002036E6">
            <w:r>
              <w:t>Ceny rekreací a kultury byly vyšší o 12,6 %. Růst byl poháněn zejména zdražováním předmětů pro rekreaci a volný čas včetně zahradnic</w:t>
            </w:r>
            <w:r w:rsidR="00B674C7">
              <w:t>tví</w:t>
            </w:r>
            <w:r>
              <w:t xml:space="preserve"> a domácích zvířat (18,2 %) a dovolených s komplexními službami (15,3 %). Mezičtvrtletně byly ceny rekreací a kultury vyšší o 7,1 %. Pokračoval silný růst cen bytového vybavení, zařízení domácnosti a oprav (13,7 %) a odívání a obuvi (19,0 %). Obě položky navzdory relativně nižší váze ve spotřebním koši tak netypicky silně působily ve směru růstu spotřebitelských cen. Mezičtvrtletně přitom ceny bytového vybavení, zařízení a oprav rostly o 3,9 % a růst tedy mírně zrychlil, zatímco v případě odívání a obuvi přírůstek zpomalil na 1,9 %. U ostatního zboží a služeb</w:t>
            </w:r>
            <w:r>
              <w:rPr>
                <w:rStyle w:val="Znakapoznpodarou"/>
              </w:rPr>
              <w:footnoteReference w:id="2"/>
            </w:r>
            <w:r>
              <w:t xml:space="preserve"> meziroční růst cen zrychlil na 11,4 % a mezičtvrtletně se zvýšily o 2,8 %. Ceny alkoholických nápojů a tabáku meziročně vzrostly o 6,3 % a mezikvartálně o 1,3 %.   </w:t>
            </w:r>
          </w:p>
        </w:tc>
      </w:tr>
      <w:tr w:rsidR="00E41131" w:rsidRPr="009110F7" w14:paraId="59DFB937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7F22F83B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růst spotřebitelských cen v EU zrychlil.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7B99EF42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B7CB2AF" w14:textId="77777777" w:rsidR="00E41131" w:rsidRDefault="00E41131" w:rsidP="002036E6">
            <w:pPr>
              <w:spacing w:after="0"/>
            </w:pPr>
            <w:r>
              <w:t>Harmonizovaný index spotřebitelských cen (HICP)</w:t>
            </w:r>
            <w:r>
              <w:rPr>
                <w:rStyle w:val="Znakapoznpodarou"/>
              </w:rPr>
              <w:footnoteReference w:id="3"/>
            </w:r>
            <w:r>
              <w:t xml:space="preserve"> v EU ve 3. čtvrtletí meziročně vzrostl o 10,3 %. Meziroční dynamika spotřebitelských cen tak dál sílila (v 1. a 2. čtvrtletí přírůstek dosáhl 6,5 % a 8,8 %). Za posílením stály hlavně ceny potravin a nealkoholických nápojů a dále bydlení a energie. Mezičtvrtletně se HICP v EU celkově zvýšil o 2,0 %. Meziročně spotřebitelské ceny ve 3. čtvrtletí rostly ve všech zemích Unie a s výjimkou Lucemburska také přírůstky všude posílily. Přes úroveň 10 % se dostala dynamika v šestnácti zemích EU. Nejvíce se index zvýšil v Estonsku (24,1 %), Lotyšsku (21,6 %) a Litvě (21,5 %), kde se do něj propisují prudce rostoucí ceny energií a paliv, ve 3. čtvrtletí zde ale zrychloval i růst cen potravin. Česko mělo z pohledu HICP pátý nejvyšší meziroční růst cen (17,4 %) po Maďarsku (18,0 %). Naopak nejnižší přírůstky zaznamenaly Francie (6,5 %), Malta (7,1 %) a Finsko (8,1 %).    </w:t>
            </w:r>
          </w:p>
        </w:tc>
      </w:tr>
      <w:tr w:rsidR="00E41131" w:rsidRPr="009110F7" w14:paraId="64475B71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76D1646B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Meziroční tempo nabídkových</w:t>
            </w:r>
            <w:r>
              <w:rPr>
                <w:spacing w:val="0"/>
              </w:rPr>
              <w:br/>
              <w:t xml:space="preserve"> i realizovaných cen bytů zpomalilo.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A065D39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41333364" w14:textId="77777777" w:rsidR="00E41131" w:rsidRDefault="00E41131" w:rsidP="002036E6">
            <w:r>
              <w:t xml:space="preserve">Meziroční přírůstek nabídkových cen bytů v Česku ve 3. čtvrtletí dosáhl 22,9 % a poprvé od 4. čtvrtletí 2020 tempo zpomalilo. Zvolnění se přitom týkalo cen bytů v Praze (18,5 %) i v ČR bez Prahy (28,1 %). Prudce zpomalil mezičtvrtletní růst indexu nabídkových cen bytů. Ten dosáhl 2,4 % za celou ČR (8,7 % ve 2. čtvrtletí) </w:t>
            </w:r>
            <w:r>
              <w:br/>
              <w:t xml:space="preserve">a 1,9 % za Prahu (8,0 % ve 2. čtvrtletí). Realizované ceny starších bytů v ČR se ve </w:t>
            </w:r>
            <w:r>
              <w:br/>
              <w:t xml:space="preserve">3. čtvrtletí meziročně zvýšily o 23,4 %, což také představuje výrazné zpomalení, první od 2. čtvrtletí 2020. U realizovaných cen starších bytů v Praze je zvolnění dynamiky patrné již od přelomu let 2021 a 2022. Ve 3. čtvrtletí se zde realizované ceny starších bytů meziročně zvýšily o 15,7 %, což je nejméně od 1. kvartálu 2021. Mezičtvrtletně se realizované ceny starších bytů v ČR zvýšily o 2,8 %, nejméně od 2. čtvrtletí 2020. Realizované ceny nových bytů v Praze byly meziročně vyšší o 13,7 %, což je výrazně méně než v předchozích čtyřech kvartálech. Zároveň index mezičtvrtletně klesl o 1,0 %, poprvé od 4. čtvrtletí 2017.     </w:t>
            </w:r>
          </w:p>
        </w:tc>
      </w:tr>
      <w:tr w:rsidR="00E41131" w:rsidRPr="009110F7" w14:paraId="5F805251" w14:textId="77777777" w:rsidTr="002036E6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208BEF45" w14:textId="77777777" w:rsidR="00E41131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3366EF27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EF170C8" w14:textId="77777777" w:rsidR="00E41131" w:rsidRDefault="00E41131" w:rsidP="002036E6">
            <w:pPr>
              <w:spacing w:after="0"/>
            </w:pPr>
            <w:r>
              <w:rPr>
                <w:b/>
                <w:sz w:val="18"/>
                <w:szCs w:val="18"/>
                <w:lang w:eastAsia="en-US"/>
              </w:rPr>
              <w:t>Graf č. 11</w:t>
            </w:r>
            <w:r w:rsidRPr="00793D78">
              <w:rPr>
                <w:b/>
                <w:sz w:val="18"/>
                <w:szCs w:val="18"/>
                <w:lang w:eastAsia="en-US"/>
              </w:rPr>
              <w:t xml:space="preserve"> Ceny nemovitostí </w:t>
            </w:r>
            <w:r w:rsidRPr="009067EA">
              <w:rPr>
                <w:sz w:val="18"/>
                <w:szCs w:val="18"/>
                <w:lang w:eastAsia="en-US"/>
              </w:rPr>
              <w:t>(meziroční změna, v %)</w:t>
            </w:r>
          </w:p>
        </w:tc>
      </w:tr>
      <w:tr w:rsidR="00E41131" w:rsidRPr="009110F7" w14:paraId="1E22FF1F" w14:textId="77777777" w:rsidTr="002036E6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58E2C6F7" w14:textId="77777777" w:rsidR="00E41131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0EF7CDE5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53A28DB3" w14:textId="77777777" w:rsidR="00E41131" w:rsidRDefault="00E41131" w:rsidP="002036E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AAA77DB" wp14:editId="68C4D16A">
                  <wp:extent cx="4737600" cy="3553200"/>
                  <wp:effectExtent l="0" t="0" r="6350" b="0"/>
                  <wp:docPr id="25" name="Graf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E41131" w:rsidRPr="009110F7" w14:paraId="79C9CE4A" w14:textId="77777777" w:rsidTr="002036E6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3FA1FBBD" w14:textId="77777777" w:rsidR="00E41131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44435355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5E0BD44" w14:textId="77777777" w:rsidR="00E41131" w:rsidRDefault="00E41131" w:rsidP="002036E6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E41131" w:rsidRPr="009110F7" w14:paraId="20AF90CD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4DFBDF00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přírůstek cen průmyslových výrobců mírně zpomalil.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52A6CF0D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4620D92" w14:textId="77777777" w:rsidR="00E41131" w:rsidRDefault="00E41131" w:rsidP="002036E6">
            <w:r>
              <w:t xml:space="preserve">Meziroční růst cen průmyslových výrobců ve 3. čtvrtletí 2022 mírně zpomalil na 25,9 %. Důvodem byl hlavně částečný útlum meziroční dynamiky cen ropy a dalších surovin. Na tom měla podíl i vysoká srovnávací základna loňského léta, kdy cenový růst začal výrazně zrychlovat. Mezičtvrtletně byly ceny průmyslových výrobců vyšší </w:t>
            </w:r>
            <w:r>
              <w:br/>
              <w:t>o 2,1 %. Největší vliv na celkový vývoj měly ceny výrobků a služeb zpracovatelského průmyslu. Jejich meziroční přírůstek ve 3. čtvrtletí zmírnil na 20,5 % (z předchozích 24,2 %). Růst cen koksu a rafinovaných ropných výrobků navzdory oslabení nadále nejvíce přispíval</w:t>
            </w:r>
            <w:r>
              <w:rPr>
                <w:rStyle w:val="Znakapoznpodarou"/>
              </w:rPr>
              <w:footnoteReference w:id="4"/>
            </w:r>
            <w:r>
              <w:t xml:space="preserve"> k navýšení. Posílil významný vliv meziročního přírůstku cen potravinářských výrobků, nápojů a tabáku (22,9 %). Ve směru navýšení cen průmyslových výrobců velmi významně působily ceny obecných kovů a kovodělných výrobků (růst přitom oslabil na 18,8 %), pryžových a plastových výrobků, </w:t>
            </w:r>
            <w:r w:rsidRPr="00BB2FF4">
              <w:t>ostatních nekovových minerálních výrobků</w:t>
            </w:r>
            <w:r>
              <w:t xml:space="preserve"> (posílení na 22,2 %) a chemických látek a výrobků (zpomalení na 39,1 %). Výrazně se zmírnil meziroční růst cen dřeva, papíru a tisku (19,9 %). K </w:t>
            </w:r>
            <w:proofErr w:type="spellStart"/>
            <w:r>
              <w:t>subsekcím</w:t>
            </w:r>
            <w:proofErr w:type="spellEnd"/>
            <w:r>
              <w:t xml:space="preserve">, které měly významnější vliv na cenový růst, patřily stroje a </w:t>
            </w:r>
            <w:r>
              <w:lastRenderedPageBreak/>
              <w:t>zařízení jinde neuvedené (12,7 %) a nábytek a ostatní výrobky zpracovatelského průmyslu (9,4 %), které si držely silnou úroveň meziroční dynamiky, a pak váhově významné dopravní prostředky, u nichž navýšení posílilo na 2,9 %. Ceny textilu, oděvů a usní se ve 3. čtvrtletí zvýšily o 14,0 %, počítačů, elektronických a optických přístrojů o 8,5 %, základních farmaceutických výrobků o 6,4 % a elektrických zařízení o 5,5 %. Mezičtvrtletně byly ceny ve zpracovatelském průmyslu vyšší o 1,2 %.</w:t>
            </w:r>
          </w:p>
        </w:tc>
      </w:tr>
      <w:tr w:rsidR="00E41131" w:rsidRPr="009110F7" w14:paraId="6A562CD2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0A52DE7E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Nadále akceleroval meziroční růst cen elektřiny.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82E4F55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13A63544" w14:textId="77777777" w:rsidR="00E41131" w:rsidRDefault="00E41131" w:rsidP="002036E6">
            <w:r>
              <w:t xml:space="preserve">Meziroční růst cen elektřiny, plynu, páry a klimatizovaného vzduchu ve 3. čtvrtletí posílil na 56,0 %. Vyšší byl také jejich mezičtvrtletní přírůstek (6,7 %), i když nedosáhl tak vysoké úrovně jako na začátku roku (38,8 % v 1. čtvrtletí). Ceny těžby a dobývání byly meziročně vyšší o 30,2 %, což představuje mírné zpomalení tempa. Také zde se v tomto ohledu projevil vliv zmírnění růstu cen ropy. Mezičtvrtletně ceny těžby a dobývání rostly o 0,7 %. Zásobování vodou a služby související s odpadními vodami zdražily meziročně o 5,3 %. </w:t>
            </w:r>
          </w:p>
        </w:tc>
      </w:tr>
      <w:tr w:rsidR="00E41131" w:rsidRPr="009110F7" w14:paraId="4A73FAE4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07025A32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průmyslových výrobců v EU.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04AE4D8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5439DA2E" w14:textId="77777777" w:rsidR="00E41131" w:rsidRDefault="00E41131" w:rsidP="002036E6">
            <w:r>
              <w:t>Meziroční přírůstek cen průmyslových výrobců v EU</w:t>
            </w:r>
            <w:r>
              <w:rPr>
                <w:rStyle w:val="Znakapoznpodarou"/>
              </w:rPr>
              <w:footnoteReference w:id="5"/>
            </w:r>
            <w:r>
              <w:t xml:space="preserve"> zrychlil ve 3. čtvrtletí na 40,9 %. Růst cen byl poháněn zejména vývojem u surovin a energií. Ve 3. čtvrtletí tak posílil v EU meziroční přírůstek cen těžby a dobývání (95,4 %) i elektřiny, plynu, páry a klimatizovaného vzduchu (124,3 %). Naopak u cen ve zpracovatelském průmyslu došlo ke zvolnění meziročního růstu na 18,6 %. Nejvíce se meziročně zvyšovaly ceny průmyslových výrobců v Bulharsku (67,7 %), Rumunsku (67,1 %) a v Maďarsku (63,0 %). Naopak nejnižší přírůstky cen byly zaznamenány na Maltě (9,4 %), ve Švédsku (21,2 %) a v Portugalsku (21,2 %). Oproti 2. čtvrtletí se ceny průmyslových výrobců zvýšily o 9,0 %. Přitom ceny těžby a dobývání byly vyšší o 22,0 % a elektřiny, plynu, páry a klimatizovaného vzduchu o 29,6 %. Od 4. kvartálu 2020 byl nejslabší mezičtvrtletní přírůstek cen ve zpracovatelském průmyslu (1,2 %).</w:t>
            </w:r>
          </w:p>
        </w:tc>
      </w:tr>
      <w:tr w:rsidR="00E41131" w:rsidRPr="009110F7" w14:paraId="2AD4ACAA" w14:textId="77777777" w:rsidTr="002036E6">
        <w:trPr>
          <w:trHeight w:val="170"/>
        </w:trPr>
        <w:tc>
          <w:tcPr>
            <w:tcW w:w="1805" w:type="dxa"/>
            <w:vMerge w:val="restart"/>
            <w:shd w:val="clear" w:color="auto" w:fill="auto"/>
            <w:tcMar>
              <w:left w:w="0" w:type="dxa"/>
            </w:tcMar>
          </w:tcPr>
          <w:p w14:paraId="5E6CDF6F" w14:textId="77777777" w:rsidR="00E41131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 w:val="restart"/>
            <w:shd w:val="clear" w:color="auto" w:fill="auto"/>
            <w:tcMar>
              <w:left w:w="0" w:type="dxa"/>
            </w:tcMar>
          </w:tcPr>
          <w:p w14:paraId="11C480AA" w14:textId="77777777" w:rsidR="00E41131" w:rsidRPr="00793D78" w:rsidRDefault="00E41131" w:rsidP="002036E6">
            <w:pPr>
              <w:pStyle w:val="Textpoznpodarou1"/>
              <w:jc w:val="both"/>
              <w:rPr>
                <w:highlight w:val="yellow"/>
              </w:rPr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A88BD58" w14:textId="77777777" w:rsidR="00E41131" w:rsidRPr="00D75AC1" w:rsidRDefault="00E41131" w:rsidP="002036E6">
            <w:pPr>
              <w:spacing w:after="0"/>
              <w:rPr>
                <w:b/>
                <w:szCs w:val="20"/>
              </w:rPr>
            </w:pPr>
            <w:r>
              <w:rPr>
                <w:b/>
                <w:sz w:val="18"/>
                <w:szCs w:val="18"/>
              </w:rPr>
              <w:t>Graf č. 12</w:t>
            </w:r>
            <w:r w:rsidRPr="00793D78">
              <w:rPr>
                <w:b/>
                <w:sz w:val="18"/>
                <w:szCs w:val="18"/>
              </w:rPr>
              <w:t xml:space="preserve"> </w:t>
            </w:r>
            <w:r w:rsidRPr="00793D78">
              <w:rPr>
                <w:b/>
                <w:sz w:val="18"/>
                <w:szCs w:val="18"/>
                <w:lang w:eastAsia="en-US"/>
              </w:rPr>
              <w:t xml:space="preserve">Ceny hlavních skupin průmyslových výrobců </w:t>
            </w:r>
            <w:r w:rsidRPr="009067EA">
              <w:rPr>
                <w:sz w:val="18"/>
                <w:szCs w:val="18"/>
                <w:lang w:eastAsia="en-US"/>
              </w:rPr>
              <w:t>(meziroční změna, v %, podle klasifikace CPA)</w:t>
            </w:r>
          </w:p>
        </w:tc>
      </w:tr>
      <w:tr w:rsidR="00E41131" w:rsidRPr="009110F7" w14:paraId="35C69670" w14:textId="77777777" w:rsidTr="002036E6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805" w:type="dxa"/>
            <w:vMerge/>
            <w:shd w:val="clear" w:color="auto" w:fill="auto"/>
          </w:tcPr>
          <w:p w14:paraId="3BF0CB7A" w14:textId="77777777" w:rsidR="00E41131" w:rsidRPr="00793D78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</w:tcPr>
          <w:p w14:paraId="1FBAD95E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</w:tcPr>
          <w:p w14:paraId="5E31C104" w14:textId="77777777" w:rsidR="00E41131" w:rsidRPr="00793D78" w:rsidRDefault="00E41131" w:rsidP="002036E6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1A2CCF0" wp14:editId="3D9CEF93">
                  <wp:extent cx="4737600" cy="3553200"/>
                  <wp:effectExtent l="0" t="0" r="6350" b="0"/>
                  <wp:docPr id="29" name="Graf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E41131" w:rsidRPr="009110F7" w14:paraId="41E34530" w14:textId="77777777" w:rsidTr="002036E6">
        <w:trPr>
          <w:trHeight w:val="170"/>
        </w:trPr>
        <w:tc>
          <w:tcPr>
            <w:tcW w:w="1805" w:type="dxa"/>
            <w:vMerge/>
            <w:shd w:val="clear" w:color="auto" w:fill="auto"/>
            <w:tcMar>
              <w:left w:w="0" w:type="dxa"/>
            </w:tcMar>
          </w:tcPr>
          <w:p w14:paraId="1E861451" w14:textId="77777777" w:rsidR="00E41131" w:rsidRPr="00793D78" w:rsidRDefault="00E41131" w:rsidP="002036E6">
            <w:pPr>
              <w:pStyle w:val="Marginlie"/>
              <w:rPr>
                <w:spacing w:val="0"/>
              </w:rPr>
            </w:pPr>
          </w:p>
        </w:tc>
        <w:tc>
          <w:tcPr>
            <w:tcW w:w="224" w:type="dxa"/>
            <w:vMerge/>
            <w:shd w:val="clear" w:color="auto" w:fill="auto"/>
            <w:tcMar>
              <w:left w:w="0" w:type="dxa"/>
            </w:tcMar>
          </w:tcPr>
          <w:p w14:paraId="18C621CC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40B55B2" w14:textId="77777777" w:rsidR="00E41131" w:rsidRPr="00793D78" w:rsidRDefault="00E41131" w:rsidP="002036E6">
            <w:r w:rsidRPr="00793D78">
              <w:rPr>
                <w:sz w:val="14"/>
                <w:szCs w:val="14"/>
              </w:rPr>
              <w:t>Zdroj: ČSÚ</w:t>
            </w:r>
          </w:p>
        </w:tc>
      </w:tr>
      <w:tr w:rsidR="00E41131" w:rsidRPr="009110F7" w14:paraId="567F6703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46E20CC4" w14:textId="77777777" w:rsidR="00E41131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lastRenderedPageBreak/>
              <w:t>Zrychlování meziroční dynamiky cen stavebních prací se zastavilo.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69109C3C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D468C41" w14:textId="77777777" w:rsidR="00E41131" w:rsidRPr="00793D78" w:rsidRDefault="00E41131" w:rsidP="002036E6">
            <w:r>
              <w:t>Ve 3. čtvrtletí došlo ke zpomalení meziročního růstu cen stavebních prací. Ty se podle odhadů meziročně zvýšily o 13,1 %. Ceny materiálů a výrobků spotřebovávaných ve stavebnictví vzrostly o</w:t>
            </w:r>
            <w:r>
              <w:rPr>
                <w:szCs w:val="20"/>
              </w:rPr>
              <w:t xml:space="preserve"> 19,6 %, což představovalo výrazné zvolnění tempa. Mezičtvrtletně se ceny stavebních prací podle odhadů zvýšily o 3,0 % a </w:t>
            </w:r>
            <w:r>
              <w:t xml:space="preserve">ceny materiálů a výrobků spotřebovávaných ve stavebnictví o 1,4 %. </w:t>
            </w:r>
          </w:p>
        </w:tc>
      </w:tr>
      <w:tr w:rsidR="00E41131" w:rsidRPr="009110F7" w14:paraId="420C7505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709FD047" w14:textId="77777777" w:rsidR="00E41131" w:rsidRPr="00793D78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Posiloval růst cen tržních služeb.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3E062D1A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DFD1B49" w14:textId="77777777" w:rsidR="00E41131" w:rsidRPr="00793D78" w:rsidRDefault="00E41131" w:rsidP="002036E6">
            <w:r>
              <w:t xml:space="preserve">Ceny tržních služeb se ve 3. čtvrtletí meziročně zvýšily o 6,5 %. Došlo tak k dalšímu zrychlení, pátému v řadě. Nejvíce k celkovému navýšení přispěly ceny reklamních služeb a průzkumu trhu, jejichž přírůstek se vyhoupl na 22,1 %. Posílil také růst cen váhově významné pozemní a potrubní dopravy (7,4 %) a velmi silně na celkový růst působily i ceny skladování a podpůrných služeb v dopravě (15,3 %). Významným přispěvatelem k růstu byl i vyšší meziroční přírůstek cen služeb v oblasti programování a souvisejícího poradenství (6,2 %), služeb v oblasti zaměstnání (17,6 %), dále ceny architektonických a inženýrských služeb a technických zkoušek a analýz (5,2 %), služeb v oblasti nemovitostí (3,0 %) a služeb v oblasti pronájmu a operativního leasingu (10,8 %). Drtivá většina </w:t>
            </w:r>
            <w:proofErr w:type="spellStart"/>
            <w:r>
              <w:t>subsekcí</w:t>
            </w:r>
            <w:proofErr w:type="spellEnd"/>
            <w:r>
              <w:t xml:space="preserve"> zaznamenala cenový růst a jedinou výjimkou byly telekomunikační služby, kde byly ceny meziročně nižší o 0,6 %.</w:t>
            </w:r>
          </w:p>
        </w:tc>
      </w:tr>
      <w:tr w:rsidR="00E41131" w:rsidRPr="009110F7" w14:paraId="091980D9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72F20ED0" w14:textId="77777777" w:rsidR="00E41131" w:rsidRPr="00793D78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Meziroční růst cen rostlinné výroby mírně zpomalil, zatímco v živočišné výrobě pokračovalo zrychlování.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4B2F4523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6F7C280D" w14:textId="77777777" w:rsidR="00E41131" w:rsidRPr="00CB64E1" w:rsidRDefault="00E41131" w:rsidP="002036E6">
            <w:pPr>
              <w:rPr>
                <w:spacing w:val="-2"/>
              </w:rPr>
            </w:pPr>
            <w:r>
              <w:rPr>
                <w:spacing w:val="-2"/>
              </w:rPr>
              <w:t xml:space="preserve">Také v případě cen zemědělské výroby (včetně ryb) došlo ke zmírnění meziročního přírůstku, který ale i tak dosáhl výrazných 37,0 %. Nižší byl růst cen rostlinné výroby (43,0 %), naopak navýšení cen živočišné výroby posílilo na 28,9 %. V rostlinné výrobě mírně oslabil meziroční růst cen obilovin (57,7 %), zejména pšenice (60,1 %) a kukuřice (39,6 %). Naopak silnější bylo navýšení cen žita (91,5 %), ječmene (56,3 %) </w:t>
            </w:r>
            <w:r>
              <w:rPr>
                <w:spacing w:val="-2"/>
              </w:rPr>
              <w:br/>
              <w:t xml:space="preserve">i ovsa (55,8 %). Slabší byl také růst cen průmyslových plodin (37,7 %), hlavně olejnin (43,1 %), kde méně rostly ceny semen řepky (45,1 %). Na 13,5 % posílil meziroční přírůstek cen krmných plodin. Mírně nižší bylo navýšení cen zeleniny a zahradnických produktů (15,4 %). Ceny brambor byly meziročně vyšší o 34,6 % a ovoce o 8,2 %. Za posílením růstu cen živočišné výroby stál vývoj cen hospodářských zvířat (27,4 %), především prasat (27,3 %) a drůbeže (28,3 %). Ceny skotu byly vyšší o 26,6 %. Výrazně posílil také meziroční růst cen mléka (30,0 %) a vajec (31,9 %).    </w:t>
            </w:r>
          </w:p>
        </w:tc>
      </w:tr>
      <w:tr w:rsidR="00E41131" w:rsidRPr="009110F7" w14:paraId="6CF21BBD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3270BDB4" w14:textId="77777777" w:rsidR="00E41131" w:rsidRPr="00793D78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Ceny exportu dál silně meziročně rostly.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2A2A7710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3A265E08" w14:textId="77777777" w:rsidR="00E41131" w:rsidRPr="00793D78" w:rsidRDefault="00E41131" w:rsidP="002036E6">
            <w:r>
              <w:t>Meziroční přírůstek cen vývozu ve 3. čtvrtletí mírně zpomalil na stále velmi výrazných 14,9 %. Šlo z velké části o vliv loňské srovnávací základny, která právě ve druhé polovině roku posilovala. Ceny vývozu mezičtvrtletně vzrostly o 3,3 %. Na ceny vývozu má hlavní vliv kurz koruny vůči euru, který meziročně posílil, takže výsledný meziroční přírůstek cen exportu byl vývojem kurzu tlumen.</w:t>
            </w:r>
            <w:r>
              <w:rPr>
                <w:rStyle w:val="Znakapoznpodarou"/>
              </w:rPr>
              <w:footnoteReference w:id="6"/>
            </w:r>
            <w:r>
              <w:t xml:space="preserve"> Nejvíce se meziročně zvýšily ceny vývozu minerálních paliv (168,4 %), u kterých přírůstek dál posiloval. Výrazně rostly ceny exportu potravin a živých zvířat (24,7 %), chemikálií a příbuzných výrobků (19,2 %) a polotovarů</w:t>
            </w:r>
            <w:r>
              <w:rPr>
                <w:rStyle w:val="Znakapoznpodarou"/>
              </w:rPr>
              <w:footnoteReference w:id="7"/>
            </w:r>
            <w:r>
              <w:t xml:space="preserve"> (18,5 %). Ceny exportu nápojů a tabáku byly meziročně vyšší o 7,4 %, průmyslového spotřebního zboží o 6,0 %, ostatních surovin</w:t>
            </w:r>
            <w:r>
              <w:rPr>
                <w:rStyle w:val="Znakapoznpodarou"/>
              </w:rPr>
              <w:footnoteReference w:id="8"/>
            </w:r>
            <w:r>
              <w:t xml:space="preserve"> o 4,3 % (tempo se prudce propadlo) a strojů a dopravních prostředků o 2,8 %. </w:t>
            </w:r>
          </w:p>
        </w:tc>
      </w:tr>
      <w:tr w:rsidR="00E41131" w:rsidRPr="009110F7" w14:paraId="1F3EB93E" w14:textId="77777777" w:rsidTr="002036E6">
        <w:trPr>
          <w:trHeight w:val="145"/>
        </w:trPr>
        <w:tc>
          <w:tcPr>
            <w:tcW w:w="1805" w:type="dxa"/>
            <w:shd w:val="clear" w:color="auto" w:fill="auto"/>
            <w:tcMar>
              <w:left w:w="0" w:type="dxa"/>
            </w:tcMar>
          </w:tcPr>
          <w:p w14:paraId="1F1F22C4" w14:textId="77777777" w:rsidR="00E41131" w:rsidRPr="00793D78" w:rsidRDefault="00E41131" w:rsidP="002036E6">
            <w:pPr>
              <w:pStyle w:val="Marginlie"/>
              <w:rPr>
                <w:spacing w:val="0"/>
              </w:rPr>
            </w:pPr>
            <w:r>
              <w:rPr>
                <w:spacing w:val="0"/>
              </w:rPr>
              <w:t>Směnné relace byly nadále výrazně záporné.</w:t>
            </w:r>
          </w:p>
        </w:tc>
        <w:tc>
          <w:tcPr>
            <w:tcW w:w="224" w:type="dxa"/>
            <w:shd w:val="clear" w:color="auto" w:fill="auto"/>
            <w:tcMar>
              <w:left w:w="0" w:type="dxa"/>
            </w:tcMar>
          </w:tcPr>
          <w:p w14:paraId="08856B7C" w14:textId="77777777" w:rsidR="00E41131" w:rsidRPr="00793D78" w:rsidRDefault="00E41131" w:rsidP="002036E6">
            <w:pPr>
              <w:pStyle w:val="Textpoznpodarou1"/>
              <w:jc w:val="both"/>
            </w:pPr>
          </w:p>
        </w:tc>
        <w:tc>
          <w:tcPr>
            <w:tcW w:w="7610" w:type="dxa"/>
            <w:shd w:val="clear" w:color="auto" w:fill="auto"/>
            <w:tcMar>
              <w:left w:w="0" w:type="dxa"/>
            </w:tcMar>
          </w:tcPr>
          <w:p w14:paraId="017922F5" w14:textId="77777777" w:rsidR="00E41131" w:rsidRDefault="00E41131" w:rsidP="002036E6">
            <w:r>
              <w:t xml:space="preserve">Ceny dovozu ve 3. čtvrtletí meziročně rostly o 21,8 %. Mezičtvrtletně se ceny importu zvýšily o 5,4 %. Kurz koruny vůči dolaru má v české ekonomice na ceny dovozu silnější vliv než u exportu a došlo také k výraznému oslabení. Ve výsledku ale převážilo posílení koruny vůči euru a celkový vliv kurzu na meziroční růst cen dovozu měl tlumící efekt. Nejvíce se meziročně zvýšily ceny importu minerálních paliv (147,2 %). Velmi výrazné přírůstky měly ceny dovozu potravin a živých zvířat (19,1 %), nápojů a tabáku (17,4 %), polotovarů (15,0 %), chemikálií a příbuzných výrobků (13,6 %) a průmyslového spotřebního zboží (10,5 %). Velmi oslabil meziroční růst cen ostatních </w:t>
            </w:r>
            <w:r>
              <w:lastRenderedPageBreak/>
              <w:t xml:space="preserve">surovin (4,4 %) a mírněji než ostatní třídy zboží rostly i ceny dovozu strojů a dopravních prostředků (3,4 %). Směnné relace zahraničního obchodu se zbožím byly šesté čtvrtletí v řadě meziročně záporné a dosáhly 94,3 %. Záporných směnných relací přitom dosáhl obchod s nápoji a tabákem (91,5 %), průmyslovým spotřebním zbožím (95,9 %), stroji a dopravními prostředky (99,4 %) a ostatními surovinami (99,9 %). Kladné směnné relace měl obchod s minerálními palivy (108,6 %), chemikáliemi a příbuznými výrobky (104,9 %), potravinami a živými zvířaty (104,7 %) a polotovary (103,0 %).   </w:t>
            </w:r>
          </w:p>
        </w:tc>
      </w:tr>
    </w:tbl>
    <w:p w14:paraId="445547C1" w14:textId="77777777" w:rsidR="00E41131" w:rsidRPr="00E42054" w:rsidRDefault="00E41131" w:rsidP="00E41131">
      <w:pPr>
        <w:pStyle w:val="Nadpis11"/>
        <w:rPr>
          <w:b w:val="0"/>
          <w:sz w:val="2"/>
          <w:szCs w:val="2"/>
        </w:rPr>
      </w:pPr>
    </w:p>
    <w:p w14:paraId="16AEA05A" w14:textId="77777777" w:rsidR="00E41131" w:rsidRDefault="00E41131" w:rsidP="00E41131">
      <w:pPr>
        <w:spacing w:after="0" w:line="240" w:lineRule="auto"/>
        <w:jc w:val="left"/>
        <w:rPr>
          <w:rFonts w:eastAsia="MS Gothic"/>
          <w:b/>
          <w:bCs/>
          <w:color w:val="71818C"/>
          <w:sz w:val="32"/>
          <w:szCs w:val="28"/>
        </w:rPr>
      </w:pPr>
    </w:p>
    <w:p w14:paraId="444A67C6" w14:textId="77777777" w:rsidR="00E41131" w:rsidRPr="000F45E7" w:rsidRDefault="00E41131" w:rsidP="00E41131">
      <w:pPr>
        <w:pStyle w:val="Nadpis11"/>
        <w:spacing w:after="0"/>
        <w:rPr>
          <w:b w:val="0"/>
          <w:sz w:val="2"/>
          <w:szCs w:val="2"/>
        </w:rPr>
      </w:pPr>
    </w:p>
    <w:p w14:paraId="757BF0EA" w14:textId="77777777" w:rsidR="00E41131" w:rsidRPr="00E42054" w:rsidRDefault="00E41131" w:rsidP="00E41131">
      <w:pPr>
        <w:pStyle w:val="Nadpis11"/>
        <w:rPr>
          <w:b w:val="0"/>
          <w:sz w:val="2"/>
          <w:szCs w:val="2"/>
        </w:rPr>
      </w:pPr>
    </w:p>
    <w:bookmarkEnd w:id="1"/>
    <w:bookmarkEnd w:id="2"/>
    <w:bookmarkEnd w:id="3"/>
    <w:bookmarkEnd w:id="4"/>
    <w:bookmarkEnd w:id="5"/>
    <w:sectPr w:rsidR="00E41131" w:rsidRPr="00E42054" w:rsidSect="00427895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9558" w14:textId="77777777" w:rsidR="00665501" w:rsidRDefault="00665501" w:rsidP="00E71A58">
      <w:r>
        <w:separator/>
      </w:r>
    </w:p>
  </w:endnote>
  <w:endnote w:type="continuationSeparator" w:id="0">
    <w:p w14:paraId="1D4B7205" w14:textId="77777777" w:rsidR="00665501" w:rsidRDefault="0066550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B6C8" w14:textId="1E100CD2" w:rsidR="00275E43" w:rsidRPr="00932443" w:rsidRDefault="00275E4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B42902">
      <w:rPr>
        <w:szCs w:val="16"/>
      </w:rPr>
      <w:t>20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FAF" w14:textId="720FC4B9" w:rsidR="00275E43" w:rsidRPr="00932443" w:rsidRDefault="00275E43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B42902">
      <w:rPr>
        <w:rStyle w:val="ZpatChar"/>
        <w:szCs w:val="16"/>
      </w:rPr>
      <w:t>21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C823" w14:textId="77777777" w:rsidR="00665501" w:rsidRDefault="00665501" w:rsidP="00A21B4D">
      <w:pPr>
        <w:spacing w:after="0"/>
      </w:pPr>
      <w:r>
        <w:separator/>
      </w:r>
    </w:p>
  </w:footnote>
  <w:footnote w:type="continuationSeparator" w:id="0">
    <w:p w14:paraId="01B4EBFF" w14:textId="77777777" w:rsidR="00665501" w:rsidRDefault="00665501" w:rsidP="00E71A58">
      <w:r>
        <w:continuationSeparator/>
      </w:r>
    </w:p>
  </w:footnote>
  <w:footnote w:id="1">
    <w:p w14:paraId="489FB2D1" w14:textId="77777777" w:rsidR="00275E43" w:rsidRPr="00114669" w:rsidRDefault="00275E43" w:rsidP="00E41131">
      <w:pPr>
        <w:pStyle w:val="Textpoznpodarou"/>
        <w:rPr>
          <w:sz w:val="16"/>
          <w:szCs w:val="16"/>
        </w:rPr>
      </w:pPr>
      <w:r w:rsidRPr="000A4298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I</w:t>
      </w:r>
      <w:r w:rsidRPr="000A4298">
        <w:rPr>
          <w:sz w:val="16"/>
          <w:szCs w:val="16"/>
        </w:rPr>
        <w:t>mputované nájemné vyjadřuje náklady vlastnického bydlení.</w:t>
      </w:r>
      <w:r>
        <w:rPr>
          <w:sz w:val="16"/>
          <w:szCs w:val="16"/>
        </w:rPr>
        <w:t xml:space="preserve"> Kromě samotných cen bydlení zahrnuje i náklady na výstavbu a renovace a další poplatky. Více na:</w:t>
      </w:r>
      <w:r w:rsidRPr="000A4298">
        <w:rPr>
          <w:sz w:val="16"/>
          <w:szCs w:val="16"/>
        </w:rPr>
        <w:t xml:space="preserve"> </w:t>
      </w:r>
      <w:hyperlink r:id="rId1" w:history="1">
        <w:r w:rsidRPr="000A4298">
          <w:rPr>
            <w:rStyle w:val="Hypertextovodkaz"/>
            <w:sz w:val="16"/>
            <w:szCs w:val="16"/>
          </w:rPr>
          <w:t>https://www.czso.cz/csu/czso/metodicka-poznamka-k-indexu-spotrebitelskych-cen-imputovane-najemne</w:t>
        </w:r>
      </w:hyperlink>
      <w:r>
        <w:rPr>
          <w:rStyle w:val="Hypertextovodkaz"/>
          <w:sz w:val="16"/>
          <w:szCs w:val="16"/>
          <w:u w:val="none"/>
        </w:rPr>
        <w:t>.</w:t>
      </w:r>
    </w:p>
  </w:footnote>
  <w:footnote w:id="2">
    <w:p w14:paraId="319BE2A7" w14:textId="77777777" w:rsidR="00275E43" w:rsidRPr="00720921" w:rsidRDefault="00275E43" w:rsidP="00E41131">
      <w:pPr>
        <w:pStyle w:val="Textpoznpodarou"/>
        <w:rPr>
          <w:sz w:val="16"/>
          <w:szCs w:val="16"/>
        </w:rPr>
      </w:pPr>
      <w:r w:rsidRPr="00720921">
        <w:rPr>
          <w:rStyle w:val="Znakapoznpodarou"/>
          <w:sz w:val="16"/>
          <w:szCs w:val="16"/>
        </w:rPr>
        <w:footnoteRef/>
      </w:r>
      <w:r w:rsidRPr="00720921">
        <w:rPr>
          <w:sz w:val="16"/>
          <w:szCs w:val="16"/>
        </w:rPr>
        <w:t xml:space="preserve"> Zahrnuje služby osobní péče</w:t>
      </w:r>
      <w:r>
        <w:rPr>
          <w:sz w:val="16"/>
          <w:szCs w:val="16"/>
        </w:rPr>
        <w:t xml:space="preserve"> a osobní potřeby a doplňky</w:t>
      </w:r>
      <w:r w:rsidRPr="00720921">
        <w:rPr>
          <w:sz w:val="16"/>
          <w:szCs w:val="16"/>
        </w:rPr>
        <w:t xml:space="preserve">, sociální péči, pojištění a další finanční </w:t>
      </w:r>
      <w:proofErr w:type="gramStart"/>
      <w:r w:rsidRPr="00720921">
        <w:rPr>
          <w:sz w:val="16"/>
          <w:szCs w:val="16"/>
        </w:rPr>
        <w:t>služby,</w:t>
      </w:r>
      <w:proofErr w:type="gramEnd"/>
      <w:r w:rsidRPr="00720921">
        <w:rPr>
          <w:sz w:val="16"/>
          <w:szCs w:val="16"/>
        </w:rPr>
        <w:t xml:space="preserve"> apod.</w:t>
      </w:r>
    </w:p>
  </w:footnote>
  <w:footnote w:id="3">
    <w:p w14:paraId="4452FBA2" w14:textId="77777777" w:rsidR="00275E43" w:rsidRPr="00C055FA" w:rsidRDefault="00275E43" w:rsidP="00E41131">
      <w:pPr>
        <w:pStyle w:val="Textpoznpodarou"/>
        <w:rPr>
          <w:sz w:val="16"/>
          <w:szCs w:val="16"/>
        </w:rPr>
      </w:pPr>
      <w:r w:rsidRPr="00C055FA">
        <w:rPr>
          <w:rStyle w:val="Znakapoznpodarou"/>
          <w:sz w:val="16"/>
          <w:szCs w:val="16"/>
        </w:rPr>
        <w:footnoteRef/>
      </w:r>
      <w:r w:rsidRPr="00C055F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Oproti indexu spotřebitelských cen, který ČSÚ pro českou ekonomiku sestavuje, </w:t>
      </w:r>
      <w:r w:rsidRPr="00C055FA">
        <w:rPr>
          <w:sz w:val="16"/>
          <w:szCs w:val="16"/>
        </w:rPr>
        <w:t>HICP neobsahuje imputované nájemné</w:t>
      </w:r>
      <w:r>
        <w:rPr>
          <w:sz w:val="16"/>
          <w:szCs w:val="16"/>
        </w:rPr>
        <w:t>, což je hlavním důvodem aktuálního rozdílu mezi naměřenými tempy růstu cen</w:t>
      </w:r>
      <w:r w:rsidRPr="00C055FA">
        <w:rPr>
          <w:sz w:val="16"/>
          <w:szCs w:val="16"/>
        </w:rPr>
        <w:t>.</w:t>
      </w:r>
    </w:p>
  </w:footnote>
  <w:footnote w:id="4">
    <w:p w14:paraId="3E8C3CF5" w14:textId="77777777" w:rsidR="00275E43" w:rsidRPr="005F66A4" w:rsidRDefault="00275E43" w:rsidP="00E41131">
      <w:pPr>
        <w:pStyle w:val="Textpoznpodarou"/>
        <w:rPr>
          <w:sz w:val="16"/>
          <w:szCs w:val="16"/>
        </w:rPr>
      </w:pPr>
      <w:r w:rsidRPr="005F66A4">
        <w:rPr>
          <w:rStyle w:val="Znakapoznpodarou"/>
          <w:sz w:val="16"/>
          <w:szCs w:val="16"/>
        </w:rPr>
        <w:footnoteRef/>
      </w:r>
      <w:r w:rsidRPr="005F66A4">
        <w:rPr>
          <w:sz w:val="16"/>
          <w:szCs w:val="16"/>
        </w:rPr>
        <w:t xml:space="preserve"> </w:t>
      </w:r>
      <w:r>
        <w:rPr>
          <w:sz w:val="16"/>
          <w:szCs w:val="16"/>
        </w:rPr>
        <w:t>Přesné hodnoty ukazatele nejsou uvedeny kvůli ochraně i</w:t>
      </w:r>
      <w:r w:rsidRPr="005F66A4">
        <w:rPr>
          <w:sz w:val="16"/>
          <w:szCs w:val="16"/>
        </w:rPr>
        <w:t>ndividuální</w:t>
      </w:r>
      <w:r>
        <w:rPr>
          <w:sz w:val="16"/>
          <w:szCs w:val="16"/>
        </w:rPr>
        <w:t>ch</w:t>
      </w:r>
      <w:r w:rsidRPr="005F66A4">
        <w:rPr>
          <w:sz w:val="16"/>
          <w:szCs w:val="16"/>
        </w:rPr>
        <w:t xml:space="preserve"> dat.</w:t>
      </w:r>
    </w:p>
  </w:footnote>
  <w:footnote w:id="5">
    <w:p w14:paraId="250B6B4E" w14:textId="77777777" w:rsidR="00275E43" w:rsidRPr="000C5F73" w:rsidRDefault="00275E43" w:rsidP="00E41131">
      <w:pPr>
        <w:pStyle w:val="Textpoznpodarou"/>
        <w:rPr>
          <w:sz w:val="16"/>
          <w:szCs w:val="16"/>
        </w:rPr>
      </w:pPr>
      <w:r w:rsidRPr="000C5F73">
        <w:rPr>
          <w:rStyle w:val="Znakapoznpodarou"/>
          <w:sz w:val="16"/>
          <w:szCs w:val="16"/>
        </w:rPr>
        <w:footnoteRef/>
      </w:r>
      <w:r w:rsidRPr="000C5F73">
        <w:rPr>
          <w:sz w:val="16"/>
          <w:szCs w:val="16"/>
        </w:rPr>
        <w:t xml:space="preserve"> Bez cen zásobování vodou a</w:t>
      </w:r>
      <w:r>
        <w:rPr>
          <w:sz w:val="16"/>
          <w:szCs w:val="16"/>
        </w:rPr>
        <w:t> </w:t>
      </w:r>
      <w:r w:rsidRPr="000C5F73">
        <w:rPr>
          <w:sz w:val="16"/>
          <w:szCs w:val="16"/>
        </w:rPr>
        <w:t>služeb souvisejících s odpadními vodami.</w:t>
      </w:r>
    </w:p>
  </w:footnote>
  <w:footnote w:id="6">
    <w:p w14:paraId="4220632E" w14:textId="77777777" w:rsidR="00275E43" w:rsidRPr="00C11C5A" w:rsidRDefault="00275E43" w:rsidP="00E41131">
      <w:pPr>
        <w:pStyle w:val="Textpoznpodarou"/>
        <w:rPr>
          <w:sz w:val="16"/>
          <w:szCs w:val="16"/>
        </w:rPr>
      </w:pPr>
      <w:r w:rsidRPr="00C11C5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Podle údajů ČNB dosáhl ve 3. čtvrtletí 2022 </w:t>
      </w:r>
      <w:r w:rsidRPr="00C11C5A">
        <w:rPr>
          <w:sz w:val="16"/>
          <w:szCs w:val="16"/>
        </w:rPr>
        <w:t xml:space="preserve">průměrný kurz koruny vůči euru </w:t>
      </w:r>
      <w:r>
        <w:rPr>
          <w:sz w:val="16"/>
          <w:szCs w:val="16"/>
        </w:rPr>
        <w:t>24,573 </w:t>
      </w:r>
      <w:r w:rsidRPr="00C11C5A">
        <w:rPr>
          <w:sz w:val="16"/>
          <w:szCs w:val="16"/>
        </w:rPr>
        <w:t xml:space="preserve">CZK/EUR. </w:t>
      </w:r>
      <w:r>
        <w:rPr>
          <w:sz w:val="16"/>
          <w:szCs w:val="16"/>
        </w:rPr>
        <w:t>Loni</w:t>
      </w:r>
      <w:r w:rsidRPr="00C11C5A">
        <w:rPr>
          <w:sz w:val="16"/>
          <w:szCs w:val="16"/>
        </w:rPr>
        <w:t xml:space="preserve"> to bylo </w:t>
      </w:r>
      <w:r>
        <w:rPr>
          <w:sz w:val="16"/>
          <w:szCs w:val="16"/>
        </w:rPr>
        <w:t>25,496 </w:t>
      </w:r>
      <w:r w:rsidRPr="00C11C5A">
        <w:rPr>
          <w:sz w:val="16"/>
          <w:szCs w:val="16"/>
        </w:rPr>
        <w:t xml:space="preserve">CZK/EUR. </w:t>
      </w:r>
      <w:r>
        <w:rPr>
          <w:sz w:val="16"/>
          <w:szCs w:val="16"/>
        </w:rPr>
        <w:t>Kurz dolaru meziročně výrazně oslabil</w:t>
      </w:r>
      <w:r w:rsidRPr="00C11C5A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Ve 3. čtvrtletí 2021 </w:t>
      </w:r>
      <w:r w:rsidRPr="00C11C5A">
        <w:rPr>
          <w:sz w:val="16"/>
          <w:szCs w:val="16"/>
        </w:rPr>
        <w:t xml:space="preserve">činil </w:t>
      </w:r>
      <w:r>
        <w:rPr>
          <w:sz w:val="16"/>
          <w:szCs w:val="16"/>
        </w:rPr>
        <w:t>průměr 21,629 </w:t>
      </w:r>
      <w:r w:rsidRPr="00C11C5A">
        <w:rPr>
          <w:sz w:val="16"/>
          <w:szCs w:val="16"/>
        </w:rPr>
        <w:t>CZK/USD</w:t>
      </w:r>
      <w:r>
        <w:rPr>
          <w:sz w:val="16"/>
          <w:szCs w:val="16"/>
        </w:rPr>
        <w:t xml:space="preserve"> a letos</w:t>
      </w:r>
      <w:r w:rsidRPr="00C11C5A">
        <w:rPr>
          <w:sz w:val="16"/>
          <w:szCs w:val="16"/>
        </w:rPr>
        <w:t xml:space="preserve"> 2</w:t>
      </w:r>
      <w:r>
        <w:rPr>
          <w:sz w:val="16"/>
          <w:szCs w:val="16"/>
        </w:rPr>
        <w:t>4</w:t>
      </w:r>
      <w:r w:rsidRPr="00C11C5A">
        <w:rPr>
          <w:sz w:val="16"/>
          <w:szCs w:val="16"/>
        </w:rPr>
        <w:t>,</w:t>
      </w:r>
      <w:r>
        <w:rPr>
          <w:sz w:val="16"/>
          <w:szCs w:val="16"/>
        </w:rPr>
        <w:t>402 </w:t>
      </w:r>
      <w:r w:rsidRPr="00C11C5A">
        <w:rPr>
          <w:sz w:val="16"/>
          <w:szCs w:val="16"/>
        </w:rPr>
        <w:t>CZK/U</w:t>
      </w:r>
      <w:r>
        <w:rPr>
          <w:sz w:val="16"/>
          <w:szCs w:val="16"/>
        </w:rPr>
        <w:t>SD</w:t>
      </w:r>
      <w:r w:rsidRPr="00C11C5A">
        <w:rPr>
          <w:sz w:val="16"/>
          <w:szCs w:val="16"/>
        </w:rPr>
        <w:t>.</w:t>
      </w:r>
    </w:p>
  </w:footnote>
  <w:footnote w:id="7">
    <w:p w14:paraId="6F89BF5D" w14:textId="77777777" w:rsidR="00275E43" w:rsidRPr="00940B11" w:rsidRDefault="00275E43" w:rsidP="00E41131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6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– tržní výrobky tříděné hlavně podle materiálu</w:t>
      </w:r>
      <w:r>
        <w:rPr>
          <w:sz w:val="16"/>
          <w:szCs w:val="16"/>
        </w:rPr>
        <w:t>.</w:t>
      </w:r>
    </w:p>
  </w:footnote>
  <w:footnote w:id="8">
    <w:p w14:paraId="127F42F5" w14:textId="77777777" w:rsidR="00275E43" w:rsidRPr="00940B11" w:rsidRDefault="00275E43" w:rsidP="00E41131">
      <w:pPr>
        <w:pStyle w:val="Textpoznpodarou"/>
        <w:rPr>
          <w:sz w:val="16"/>
          <w:szCs w:val="16"/>
        </w:rPr>
      </w:pPr>
      <w:r w:rsidRPr="00940B11">
        <w:rPr>
          <w:rStyle w:val="Znakapoznpodarou"/>
          <w:sz w:val="16"/>
          <w:szCs w:val="16"/>
        </w:rPr>
        <w:footnoteRef/>
      </w:r>
      <w:r w:rsidRPr="00940B11">
        <w:rPr>
          <w:sz w:val="16"/>
          <w:szCs w:val="16"/>
        </w:rPr>
        <w:t xml:space="preserve"> SITC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2</w:t>
      </w:r>
      <w:r>
        <w:rPr>
          <w:sz w:val="16"/>
          <w:szCs w:val="16"/>
        </w:rPr>
        <w:t> </w:t>
      </w:r>
      <w:r w:rsidRPr="00940B11">
        <w:rPr>
          <w:sz w:val="16"/>
          <w:szCs w:val="16"/>
        </w:rPr>
        <w:t>– suroviny nepoživatelné s výjimkou paliv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A67" w14:textId="77777777" w:rsidR="00275E43" w:rsidRDefault="00275E43" w:rsidP="00937AE2">
    <w:pPr>
      <w:pStyle w:val="Zhlav"/>
    </w:pPr>
    <w:r>
      <w:t>Vývoj ekonomiky České republiky</w:t>
    </w:r>
  </w:p>
  <w:p w14:paraId="3E881AB3" w14:textId="77777777" w:rsidR="00275E43" w:rsidRPr="006F5416" w:rsidRDefault="00275E43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3DB" w14:textId="77777777" w:rsidR="00275E43" w:rsidRDefault="00275E43" w:rsidP="00937AE2">
    <w:pPr>
      <w:pStyle w:val="Zhlav"/>
    </w:pPr>
    <w:r>
      <w:t>Vývoj ekonomiky České republiky</w:t>
    </w:r>
  </w:p>
  <w:p w14:paraId="57266714" w14:textId="77777777" w:rsidR="00275E43" w:rsidRPr="006F5416" w:rsidRDefault="00275E43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337598">
    <w:abstractNumId w:val="24"/>
  </w:num>
  <w:num w:numId="2" w16cid:durableId="352264853">
    <w:abstractNumId w:val="8"/>
  </w:num>
  <w:num w:numId="3" w16cid:durableId="1115095472">
    <w:abstractNumId w:val="3"/>
  </w:num>
  <w:num w:numId="4" w16cid:durableId="1962372938">
    <w:abstractNumId w:val="2"/>
  </w:num>
  <w:num w:numId="5" w16cid:durableId="1958753753">
    <w:abstractNumId w:val="1"/>
  </w:num>
  <w:num w:numId="6" w16cid:durableId="125127467">
    <w:abstractNumId w:val="0"/>
  </w:num>
  <w:num w:numId="7" w16cid:durableId="113912191">
    <w:abstractNumId w:val="9"/>
  </w:num>
  <w:num w:numId="8" w16cid:durableId="625045448">
    <w:abstractNumId w:val="7"/>
  </w:num>
  <w:num w:numId="9" w16cid:durableId="1352488717">
    <w:abstractNumId w:val="6"/>
  </w:num>
  <w:num w:numId="10" w16cid:durableId="987368208">
    <w:abstractNumId w:val="5"/>
  </w:num>
  <w:num w:numId="11" w16cid:durableId="1039932949">
    <w:abstractNumId w:val="4"/>
  </w:num>
  <w:num w:numId="12" w16cid:durableId="1043288693">
    <w:abstractNumId w:val="14"/>
  </w:num>
  <w:num w:numId="13" w16cid:durableId="72968187">
    <w:abstractNumId w:val="26"/>
  </w:num>
  <w:num w:numId="14" w16cid:durableId="1649672820">
    <w:abstractNumId w:val="13"/>
  </w:num>
  <w:num w:numId="15" w16cid:durableId="1176924891">
    <w:abstractNumId w:val="19"/>
  </w:num>
  <w:num w:numId="16" w16cid:durableId="752629986">
    <w:abstractNumId w:val="15"/>
  </w:num>
  <w:num w:numId="17" w16cid:durableId="22023024">
    <w:abstractNumId w:val="27"/>
  </w:num>
  <w:num w:numId="18" w16cid:durableId="1387415516">
    <w:abstractNumId w:val="20"/>
  </w:num>
  <w:num w:numId="19" w16cid:durableId="676268872">
    <w:abstractNumId w:val="28"/>
  </w:num>
  <w:num w:numId="20" w16cid:durableId="429356725">
    <w:abstractNumId w:val="29"/>
  </w:num>
  <w:num w:numId="21" w16cid:durableId="909655302">
    <w:abstractNumId w:val="25"/>
  </w:num>
  <w:num w:numId="22" w16cid:durableId="1461801755">
    <w:abstractNumId w:val="18"/>
  </w:num>
  <w:num w:numId="23" w16cid:durableId="103696176">
    <w:abstractNumId w:val="16"/>
  </w:num>
  <w:num w:numId="24" w16cid:durableId="1816952523">
    <w:abstractNumId w:val="17"/>
  </w:num>
  <w:num w:numId="25" w16cid:durableId="1339426053">
    <w:abstractNumId w:val="12"/>
  </w:num>
  <w:num w:numId="26" w16cid:durableId="230043571">
    <w:abstractNumId w:val="22"/>
  </w:num>
  <w:num w:numId="27" w16cid:durableId="1841390614">
    <w:abstractNumId w:val="21"/>
  </w:num>
  <w:num w:numId="28" w16cid:durableId="347297665">
    <w:abstractNumId w:val="10"/>
  </w:num>
  <w:num w:numId="29" w16cid:durableId="1643383695">
    <w:abstractNumId w:val="29"/>
  </w:num>
  <w:num w:numId="30" w16cid:durableId="1728843360">
    <w:abstractNumId w:val="23"/>
  </w:num>
  <w:num w:numId="31" w16cid:durableId="1247303207">
    <w:abstractNumId w:val="11"/>
  </w:num>
  <w:num w:numId="32" w16cid:durableId="1867449779">
    <w:abstractNumId w:val="30"/>
  </w:num>
  <w:num w:numId="33" w16cid:durableId="4588386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370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50ECA"/>
    <w:rsid w:val="0015108F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6077F"/>
    <w:rsid w:val="00360A35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27895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8A9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0FA7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302"/>
    <w:rsid w:val="00D95889"/>
    <w:rsid w:val="00D95C5D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3E5D"/>
    <w:rsid w:val="00DE450F"/>
    <w:rsid w:val="00DE4865"/>
    <w:rsid w:val="00DE5CA6"/>
    <w:rsid w:val="00DE5E55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730A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metodicka-poznamka-k-indexu-spotrebitelskych-cen-imputovane-najem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3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zabojnikova31519\Documents\Anal&#253;za\Q\2022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568840579710145E-2"/>
          <c:y val="2.1811315924220327E-2"/>
          <c:w val="0.92237743255066085"/>
          <c:h val="0.71471575213004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2'!$C$5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2'!$A$26:$B$48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2'!$C$26:$C$48</c:f>
              <c:numCache>
                <c:formatCode>General</c:formatCode>
                <c:ptCount val="23"/>
                <c:pt idx="0">
                  <c:v>2.4000000000000057</c:v>
                </c:pt>
                <c:pt idx="1">
                  <c:v>2.2000000000000037</c:v>
                </c:pt>
                <c:pt idx="2" formatCode="0.0">
                  <c:v>2.5</c:v>
                </c:pt>
                <c:pt idx="3" formatCode="0.0">
                  <c:v>2.6</c:v>
                </c:pt>
                <c:pt idx="4" formatCode="0.0">
                  <c:v>1.9000000000000001</c:v>
                </c:pt>
                <c:pt idx="5" formatCode="0.0">
                  <c:v>2.2999999999999998</c:v>
                </c:pt>
                <c:pt idx="6" formatCode="0.0">
                  <c:v>2.4</c:v>
                </c:pt>
                <c:pt idx="7" formatCode="0.0">
                  <c:v>2.1</c:v>
                </c:pt>
                <c:pt idx="8" formatCode="0.0">
                  <c:v>2.7</c:v>
                </c:pt>
                <c:pt idx="9" formatCode="0.0">
                  <c:v>2.8</c:v>
                </c:pt>
                <c:pt idx="10" formatCode="0.0">
                  <c:v>2.8</c:v>
                </c:pt>
                <c:pt idx="11" formatCode="0.0">
                  <c:v>3</c:v>
                </c:pt>
                <c:pt idx="12" formatCode="0.0">
                  <c:v>3.6</c:v>
                </c:pt>
                <c:pt idx="13" formatCode="0.0">
                  <c:v>3.1</c:v>
                </c:pt>
                <c:pt idx="14" formatCode="0.0">
                  <c:v>3.3</c:v>
                </c:pt>
                <c:pt idx="15" formatCode="0.0">
                  <c:v>2.6</c:v>
                </c:pt>
                <c:pt idx="16" formatCode="0.0">
                  <c:v>2.2000000000000002</c:v>
                </c:pt>
                <c:pt idx="17" formatCode="0.0">
                  <c:v>2.9</c:v>
                </c:pt>
                <c:pt idx="18" formatCode="0.0">
                  <c:v>4.0999999999999996</c:v>
                </c:pt>
                <c:pt idx="19" formatCode="0.0">
                  <c:v>6.1</c:v>
                </c:pt>
                <c:pt idx="20" formatCode="0.0">
                  <c:v>11.2</c:v>
                </c:pt>
                <c:pt idx="21" formatCode="0.0">
                  <c:v>15.8</c:v>
                </c:pt>
                <c:pt idx="22" formatCode="0.0">
                  <c:v>17.600000000000001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02-4E0E-8D13-4EA1CDCD8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23425920"/>
        <c:axId val="123427840"/>
      </c:barChart>
      <c:lineChart>
        <c:grouping val="standard"/>
        <c:varyColors val="0"/>
        <c:ser>
          <c:idx val="1"/>
          <c:order val="1"/>
          <c:tx>
            <c:strRef>
              <c:f>'Ceny 2'!$D$5</c:f>
              <c:strCache>
                <c:ptCount val="1"/>
                <c:pt idx="0">
                  <c:v>Potraviny a nealkoholické nápoje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'Ceny 2'!$A$26:$B$48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2'!$D$26:$D$48</c:f>
              <c:numCache>
                <c:formatCode>General</c:formatCode>
                <c:ptCount val="23"/>
                <c:pt idx="0">
                  <c:v>4.2000000000000028</c:v>
                </c:pt>
                <c:pt idx="1">
                  <c:v>4.5</c:v>
                </c:pt>
                <c:pt idx="2" formatCode="0.0">
                  <c:v>5.7</c:v>
                </c:pt>
                <c:pt idx="3" formatCode="0.0">
                  <c:v>6.3</c:v>
                </c:pt>
                <c:pt idx="4" formatCode="0.0">
                  <c:v>2.9</c:v>
                </c:pt>
                <c:pt idx="5" formatCode="#\ ##0.0_ ;\-#\ ##0.0\ ">
                  <c:v>2.2999999999999998</c:v>
                </c:pt>
                <c:pt idx="6" formatCode="0.0">
                  <c:v>0.6000000000000002</c:v>
                </c:pt>
                <c:pt idx="7" formatCode="0.0">
                  <c:v>-0.5</c:v>
                </c:pt>
                <c:pt idx="8" formatCode="0.0">
                  <c:v>1</c:v>
                </c:pt>
                <c:pt idx="9" formatCode="0.0">
                  <c:v>2.5</c:v>
                </c:pt>
                <c:pt idx="10" formatCode="0.0">
                  <c:v>3.5</c:v>
                </c:pt>
                <c:pt idx="11" formatCode="0.0">
                  <c:v>4.3</c:v>
                </c:pt>
                <c:pt idx="12" formatCode="0.0">
                  <c:v>6.1</c:v>
                </c:pt>
                <c:pt idx="13" formatCode="0.0">
                  <c:v>6.5</c:v>
                </c:pt>
                <c:pt idx="14" formatCode="0.0">
                  <c:v>4</c:v>
                </c:pt>
                <c:pt idx="15" formatCode="0.0">
                  <c:v>1.7000000000000002</c:v>
                </c:pt>
                <c:pt idx="16" formatCode="0.0">
                  <c:v>0.3000000000000001</c:v>
                </c:pt>
                <c:pt idx="17" formatCode="0.0">
                  <c:v>-0.8</c:v>
                </c:pt>
                <c:pt idx="18" formatCode="0.0">
                  <c:v>1.4</c:v>
                </c:pt>
                <c:pt idx="19" formatCode="0.0">
                  <c:v>2.2999999999999998</c:v>
                </c:pt>
                <c:pt idx="20" formatCode="0.0">
                  <c:v>6.7</c:v>
                </c:pt>
                <c:pt idx="21" formatCode="0.0">
                  <c:v>14.6</c:v>
                </c:pt>
                <c:pt idx="22" formatCode="0.0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02-4E0E-8D13-4EA1CDCD82D6}"/>
            </c:ext>
          </c:extLst>
        </c:ser>
        <c:ser>
          <c:idx val="3"/>
          <c:order val="2"/>
          <c:tx>
            <c:strRef>
              <c:f>'Ceny 2'!$F$5</c:f>
              <c:strCache>
                <c:ptCount val="1"/>
                <c:pt idx="0">
                  <c:v>Bydlení a energie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2'!$A$26:$B$48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2'!$F$26:$F$48</c:f>
              <c:numCache>
                <c:formatCode>General</c:formatCode>
                <c:ptCount val="23"/>
                <c:pt idx="0">
                  <c:v>0.79999999999999738</c:v>
                </c:pt>
                <c:pt idx="1">
                  <c:v>1.5</c:v>
                </c:pt>
                <c:pt idx="2" formatCode="0.0">
                  <c:v>2.1</c:v>
                </c:pt>
                <c:pt idx="3" formatCode="0.0">
                  <c:v>2.2000000000000002</c:v>
                </c:pt>
                <c:pt idx="4" formatCode="0.0">
                  <c:v>2.2999999999999998</c:v>
                </c:pt>
                <c:pt idx="5" formatCode="0.0">
                  <c:v>2.6</c:v>
                </c:pt>
                <c:pt idx="6" formatCode="0.0">
                  <c:v>3.2</c:v>
                </c:pt>
                <c:pt idx="7" formatCode="0.0">
                  <c:v>3.8</c:v>
                </c:pt>
                <c:pt idx="8" formatCode="0.0">
                  <c:v>5.4</c:v>
                </c:pt>
                <c:pt idx="9" formatCode="0.0">
                  <c:v>5.7</c:v>
                </c:pt>
                <c:pt idx="10" formatCode="0.0">
                  <c:v>5.2</c:v>
                </c:pt>
                <c:pt idx="11" formatCode="0.0">
                  <c:v>5</c:v>
                </c:pt>
                <c:pt idx="12" formatCode="0.0">
                  <c:v>4.2</c:v>
                </c:pt>
                <c:pt idx="13" formatCode="0.0">
                  <c:v>3.2</c:v>
                </c:pt>
                <c:pt idx="14" formatCode="0.0">
                  <c:v>2.7</c:v>
                </c:pt>
                <c:pt idx="15" formatCode="0.0">
                  <c:v>1.4</c:v>
                </c:pt>
                <c:pt idx="16" formatCode="0.0">
                  <c:v>0.6000000000000002</c:v>
                </c:pt>
                <c:pt idx="17" formatCode="0.0">
                  <c:v>1.3</c:v>
                </c:pt>
                <c:pt idx="18" formatCode="0.0">
                  <c:v>3.6</c:v>
                </c:pt>
                <c:pt idx="19" formatCode="0.0">
                  <c:v>5.6</c:v>
                </c:pt>
                <c:pt idx="20" formatCode="0.0">
                  <c:v>16</c:v>
                </c:pt>
                <c:pt idx="21" formatCode="0.0">
                  <c:v>21.4</c:v>
                </c:pt>
                <c:pt idx="22" formatCode="0.0">
                  <c:v>23.6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B02-4E0E-8D13-4EA1CDCD82D6}"/>
            </c:ext>
          </c:extLst>
        </c:ser>
        <c:ser>
          <c:idx val="4"/>
          <c:order val="3"/>
          <c:tx>
            <c:strRef>
              <c:f>'Ceny 2'!$G$5</c:f>
              <c:strCache>
                <c:ptCount val="1"/>
                <c:pt idx="0">
                  <c:v>Doprava</c:v>
                </c:pt>
              </c:strCache>
            </c:strRef>
          </c:tx>
          <c:spPr>
            <a:ln w="19050">
              <a:solidFill>
                <a:srgbClr val="FFC000"/>
              </a:solidFill>
            </a:ln>
          </c:spPr>
          <c:marker>
            <c:symbol val="none"/>
          </c:marker>
          <c:cat>
            <c:multiLvlStrRef>
              <c:f>'Ceny 2'!$A$26:$B$48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2'!$G$26:$G$48</c:f>
              <c:numCache>
                <c:formatCode>General</c:formatCode>
                <c:ptCount val="23"/>
                <c:pt idx="0">
                  <c:v>6</c:v>
                </c:pt>
                <c:pt idx="1">
                  <c:v>3.9000000000000057</c:v>
                </c:pt>
                <c:pt idx="2" formatCode="0.0">
                  <c:v>2.5</c:v>
                </c:pt>
                <c:pt idx="3" formatCode="0.0">
                  <c:v>2.5</c:v>
                </c:pt>
                <c:pt idx="4" formatCode="0.0">
                  <c:v>1</c:v>
                </c:pt>
                <c:pt idx="5" formatCode="0.0">
                  <c:v>3</c:v>
                </c:pt>
                <c:pt idx="6" formatCode="0.0">
                  <c:v>4.5</c:v>
                </c:pt>
                <c:pt idx="7" formatCode="0.0">
                  <c:v>2.6</c:v>
                </c:pt>
                <c:pt idx="8" formatCode="0.0">
                  <c:v>0.6000000000000002</c:v>
                </c:pt>
                <c:pt idx="9" formatCode="0.0">
                  <c:v>0.8</c:v>
                </c:pt>
                <c:pt idx="10" formatCode="0.0">
                  <c:v>-0.2</c:v>
                </c:pt>
                <c:pt idx="11" formatCode="0.0">
                  <c:v>0.5</c:v>
                </c:pt>
                <c:pt idx="12">
                  <c:v>1.7000000000000002</c:v>
                </c:pt>
                <c:pt idx="13" formatCode="0.0">
                  <c:v>-3.4</c:v>
                </c:pt>
                <c:pt idx="14" formatCode="0.0">
                  <c:v>-0.2</c:v>
                </c:pt>
                <c:pt idx="15" formatCode="0.0">
                  <c:v>0.6000000000000002</c:v>
                </c:pt>
                <c:pt idx="16" formatCode="0.0">
                  <c:v>2.4</c:v>
                </c:pt>
                <c:pt idx="17" formatCode="0.0">
                  <c:v>9.1</c:v>
                </c:pt>
                <c:pt idx="18" formatCode="0.0">
                  <c:v>8.8000000000000007</c:v>
                </c:pt>
                <c:pt idx="19" formatCode="0.0">
                  <c:v>13.1</c:v>
                </c:pt>
                <c:pt idx="20" formatCode="0.0">
                  <c:v>17.2</c:v>
                </c:pt>
                <c:pt idx="21" formatCode="0.0">
                  <c:v>22.7</c:v>
                </c:pt>
                <c:pt idx="22" formatCode="0.0">
                  <c:v>19.7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B02-4E0E-8D13-4EA1CDCD82D6}"/>
            </c:ext>
          </c:extLst>
        </c:ser>
        <c:ser>
          <c:idx val="5"/>
          <c:order val="5"/>
          <c:tx>
            <c:strRef>
              <c:f>'Ceny 2'!$H$5</c:f>
              <c:strCache>
                <c:ptCount val="1"/>
                <c:pt idx="0">
                  <c:v>Stravování a ubytování</c:v>
                </c:pt>
              </c:strCache>
            </c:strRef>
          </c:tx>
          <c:spPr>
            <a:ln w="19050">
              <a:solidFill>
                <a:srgbClr val="7030A0"/>
              </a:solidFill>
            </a:ln>
          </c:spPr>
          <c:marker>
            <c:symbol val="none"/>
          </c:marker>
          <c:cat>
            <c:multiLvlStrRef>
              <c:f>'Ceny 2'!$A$26:$B$48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2'!$H$26:$H$48</c:f>
              <c:numCache>
                <c:formatCode>###\ ###\ ##0.0</c:formatCode>
                <c:ptCount val="23"/>
                <c:pt idx="0">
                  <c:v>5.2000000000000028</c:v>
                </c:pt>
                <c:pt idx="1">
                  <c:v>5.7999999999999972</c:v>
                </c:pt>
                <c:pt idx="2">
                  <c:v>6.2999999999999972</c:v>
                </c:pt>
                <c:pt idx="3" formatCode="0.0">
                  <c:v>5.6</c:v>
                </c:pt>
                <c:pt idx="4" formatCode="0.0">
                  <c:v>3.5</c:v>
                </c:pt>
                <c:pt idx="5" formatCode="0.0">
                  <c:v>3.6</c:v>
                </c:pt>
                <c:pt idx="6" formatCode="0.0">
                  <c:v>3.5</c:v>
                </c:pt>
                <c:pt idx="7" formatCode="0.0">
                  <c:v>3.7</c:v>
                </c:pt>
                <c:pt idx="8" formatCode="0.0">
                  <c:v>3.8</c:v>
                </c:pt>
                <c:pt idx="9" formatCode="0.0">
                  <c:v>4</c:v>
                </c:pt>
                <c:pt idx="10" formatCode="0.0">
                  <c:v>4.5</c:v>
                </c:pt>
                <c:pt idx="11" formatCode="0.0">
                  <c:v>4.5999999999999996</c:v>
                </c:pt>
                <c:pt idx="12" formatCode="0.0">
                  <c:v>5.5</c:v>
                </c:pt>
                <c:pt idx="13" formatCode="0.0">
                  <c:v>5.0999999999999996</c:v>
                </c:pt>
                <c:pt idx="14" formatCode="0.0">
                  <c:v>4.9000000000000004</c:v>
                </c:pt>
                <c:pt idx="15" formatCode="0.0">
                  <c:v>4.3</c:v>
                </c:pt>
                <c:pt idx="16" formatCode="0.0">
                  <c:v>3</c:v>
                </c:pt>
                <c:pt idx="17" formatCode="0.0">
                  <c:v>2.9</c:v>
                </c:pt>
                <c:pt idx="18" formatCode="0.0">
                  <c:v>4.5999999999999996</c:v>
                </c:pt>
                <c:pt idx="19" formatCode="0.0">
                  <c:v>6.8</c:v>
                </c:pt>
                <c:pt idx="20" formatCode="0.0">
                  <c:v>12.3</c:v>
                </c:pt>
                <c:pt idx="21" formatCode="0.0">
                  <c:v>21.4</c:v>
                </c:pt>
                <c:pt idx="22" formatCode="0.0">
                  <c:v>24.3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B02-4E0E-8D13-4EA1CDCD82D6}"/>
            </c:ext>
          </c:extLst>
        </c:ser>
        <c:ser>
          <c:idx val="6"/>
          <c:order val="6"/>
          <c:tx>
            <c:strRef>
              <c:f>'Ceny 2'!$I$5</c:f>
              <c:strCache>
                <c:ptCount val="1"/>
                <c:pt idx="0">
                  <c:v>Rekreace a kultura</c:v>
                </c:pt>
              </c:strCache>
            </c:strRef>
          </c:tx>
          <c:spPr>
            <a:ln w="19050">
              <a:solidFill>
                <a:srgbClr val="FF0000"/>
              </a:solidFill>
            </a:ln>
          </c:spPr>
          <c:marker>
            <c:symbol val="none"/>
          </c:marker>
          <c:cat>
            <c:multiLvlStrRef>
              <c:f>'Ceny 2'!$A$26:$B$48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2'!$I$26:$I$48</c:f>
              <c:numCache>
                <c:formatCode>###\ ###\ ##0.0</c:formatCode>
                <c:ptCount val="23"/>
                <c:pt idx="0">
                  <c:v>0.70000000000000018</c:v>
                </c:pt>
                <c:pt idx="1">
                  <c:v>1.1000000000000001</c:v>
                </c:pt>
                <c:pt idx="2">
                  <c:v>1.3</c:v>
                </c:pt>
                <c:pt idx="3">
                  <c:v>0.9</c:v>
                </c:pt>
                <c:pt idx="4" formatCode="General">
                  <c:v>0.5</c:v>
                </c:pt>
                <c:pt idx="5" formatCode="General">
                  <c:v>0.59999999999999443</c:v>
                </c:pt>
                <c:pt idx="6" formatCode="General">
                  <c:v>2.2000000000000037</c:v>
                </c:pt>
                <c:pt idx="7" formatCode="General">
                  <c:v>0.5</c:v>
                </c:pt>
                <c:pt idx="8" formatCode="General">
                  <c:v>1.7000000000000031</c:v>
                </c:pt>
                <c:pt idx="9" formatCode="General">
                  <c:v>1</c:v>
                </c:pt>
                <c:pt idx="10" formatCode="General">
                  <c:v>1.7000000000000031</c:v>
                </c:pt>
                <c:pt idx="11" formatCode="General">
                  <c:v>2.0999999999999943</c:v>
                </c:pt>
                <c:pt idx="12" formatCode="General">
                  <c:v>2.0999999999999943</c:v>
                </c:pt>
                <c:pt idx="13" formatCode="General">
                  <c:v>2</c:v>
                </c:pt>
                <c:pt idx="14" formatCode="General">
                  <c:v>2.2000000000000037</c:v>
                </c:pt>
                <c:pt idx="15" formatCode="General">
                  <c:v>2.5</c:v>
                </c:pt>
                <c:pt idx="16" formatCode="General">
                  <c:v>1.4000000000000057</c:v>
                </c:pt>
                <c:pt idx="17" formatCode="General">
                  <c:v>2</c:v>
                </c:pt>
                <c:pt idx="18" formatCode="General">
                  <c:v>3.0999999999999943</c:v>
                </c:pt>
                <c:pt idx="19" formatCode="General">
                  <c:v>5.2999999999999972</c:v>
                </c:pt>
                <c:pt idx="20" formatCode="General">
                  <c:v>8.5</c:v>
                </c:pt>
                <c:pt idx="21" formatCode="General">
                  <c:v>11.3</c:v>
                </c:pt>
                <c:pt idx="22" formatCode="General">
                  <c:v>12.599999999999998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B02-4E0E-8D13-4EA1CDCD8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425920"/>
        <c:axId val="123427840"/>
        <c:extLst>
          <c:ext xmlns:c15="http://schemas.microsoft.com/office/drawing/2012/chart" uri="{02D57815-91ED-43cb-92C2-25804820EDAC}">
            <c15:filteredLineSeries>
              <c15:ser>
                <c:idx val="2"/>
                <c:order val="4"/>
                <c:tx>
                  <c:strRef>
                    <c:extLst>
                      <c:ext uri="{02D57815-91ED-43cb-92C2-25804820EDAC}">
                        <c15:formulaRef>
                          <c15:sqref>'Ceny 2'!$E$5</c15:sqref>
                        </c15:formulaRef>
                      </c:ext>
                    </c:extLst>
                    <c:strCache>
                      <c:ptCount val="1"/>
                      <c:pt idx="0">
                        <c:v>Alkoholické nápoje a tabák</c:v>
                      </c:pt>
                    </c:strCache>
                  </c:strRef>
                </c:tx>
                <c:spPr>
                  <a:ln w="19050">
                    <a:solidFill>
                      <a:schemeClr val="accent2"/>
                    </a:solidFill>
                  </a:ln>
                </c:spPr>
                <c:marker>
                  <c:symbol val="none"/>
                </c:marker>
                <c:cat>
                  <c:multiLvlStrRef>
                    <c:extLst>
                      <c:ext uri="{02D57815-91ED-43cb-92C2-25804820EDAC}">
                        <c15:formulaRef>
                          <c15:sqref>'Ceny 2'!$A$26:$B$48</c15:sqref>
                        </c15:formulaRef>
                      </c:ext>
                    </c:extLst>
                    <c:multiLvlStrCache>
                      <c:ptCount val="23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  <c:pt idx="22">
                          <c:v>3</c:v>
                        </c:pt>
                      </c:lvl>
                      <c:lvl>
                        <c:pt idx="0">
                          <c:v>2017</c:v>
                        </c:pt>
                        <c:pt idx="4">
                          <c:v>2018</c:v>
                        </c:pt>
                        <c:pt idx="8">
                          <c:v>2019</c:v>
                        </c:pt>
                        <c:pt idx="12">
                          <c:v>2020</c:v>
                        </c:pt>
                        <c:pt idx="16">
                          <c:v>2021</c:v>
                        </c:pt>
                        <c:pt idx="20">
                          <c:v>2022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'Ceny 2'!$E$26:$E$48</c15:sqref>
                        </c15:formulaRef>
                      </c:ext>
                    </c:extLst>
                    <c:numCache>
                      <c:formatCode>General</c:formatCode>
                      <c:ptCount val="23"/>
                      <c:pt idx="0">
                        <c:v>3.4000000000000057</c:v>
                      </c:pt>
                      <c:pt idx="1">
                        <c:v>0.79999999999999716</c:v>
                      </c:pt>
                      <c:pt idx="2" formatCode="0.0">
                        <c:v>1.3</c:v>
                      </c:pt>
                      <c:pt idx="3" formatCode="0.0">
                        <c:v>1.5</c:v>
                      </c:pt>
                      <c:pt idx="4" formatCode="0.0">
                        <c:v>2.5</c:v>
                      </c:pt>
                      <c:pt idx="5" formatCode="0.0">
                        <c:v>3.6</c:v>
                      </c:pt>
                      <c:pt idx="6" formatCode="0.0">
                        <c:v>2.8</c:v>
                      </c:pt>
                      <c:pt idx="7" formatCode="0.0">
                        <c:v>3.1</c:v>
                      </c:pt>
                      <c:pt idx="8" formatCode="0.0">
                        <c:v>3.3</c:v>
                      </c:pt>
                      <c:pt idx="9" formatCode="0.0">
                        <c:v>1.7</c:v>
                      </c:pt>
                      <c:pt idx="10" formatCode="0.0">
                        <c:v>1.9</c:v>
                      </c:pt>
                      <c:pt idx="11" formatCode="0.0">
                        <c:v>1.8</c:v>
                      </c:pt>
                      <c:pt idx="12">
                        <c:v>3.5</c:v>
                      </c:pt>
                      <c:pt idx="13" formatCode="0.0">
                        <c:v>6.6</c:v>
                      </c:pt>
                      <c:pt idx="14" formatCode="0.0">
                        <c:v>10.3</c:v>
                      </c:pt>
                      <c:pt idx="15" formatCode="0.0">
                        <c:v>9.9</c:v>
                      </c:pt>
                      <c:pt idx="16" formatCode="0.0">
                        <c:v>9.9</c:v>
                      </c:pt>
                      <c:pt idx="17" formatCode="0.0">
                        <c:v>9.8000000000000007</c:v>
                      </c:pt>
                      <c:pt idx="18" formatCode="0.0">
                        <c:v>6.5</c:v>
                      </c:pt>
                      <c:pt idx="19" formatCode="0.0">
                        <c:v>7.7</c:v>
                      </c:pt>
                      <c:pt idx="20" formatCode="0.0">
                        <c:v>7.1</c:v>
                      </c:pt>
                      <c:pt idx="21" formatCode="0.0">
                        <c:v>5.6</c:v>
                      </c:pt>
                      <c:pt idx="22" formatCode="0.0">
                        <c:v>6.3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4B02-4E0E-8D13-4EA1CDCD82D6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2'!$J$5</c15:sqref>
                        </c15:formulaRef>
                      </c:ext>
                    </c:extLst>
                    <c:strCache>
                      <c:ptCount val="1"/>
                      <c:pt idx="0">
                        <c:v>Odívání a obuv</c:v>
                      </c:pt>
                    </c:strCache>
                  </c:strRef>
                </c:tx>
                <c:spPr>
                  <a:ln w="19050">
                    <a:solidFill>
                      <a:srgbClr val="E8AFB2"/>
                    </a:solidFill>
                  </a:ln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2'!$A$26:$B$48</c15:sqref>
                        </c15:formulaRef>
                      </c:ext>
                    </c:extLst>
                    <c:multiLvlStrCache>
                      <c:ptCount val="23"/>
                      <c:lvl>
                        <c:pt idx="0">
                          <c:v>1</c:v>
                        </c:pt>
                        <c:pt idx="1">
                          <c:v>2</c:v>
                        </c:pt>
                        <c:pt idx="2">
                          <c:v>3</c:v>
                        </c:pt>
                        <c:pt idx="3">
                          <c:v>4</c:v>
                        </c:pt>
                        <c:pt idx="4">
                          <c:v>1</c:v>
                        </c:pt>
                        <c:pt idx="5">
                          <c:v>2</c:v>
                        </c:pt>
                        <c:pt idx="6">
                          <c:v>3</c:v>
                        </c:pt>
                        <c:pt idx="7">
                          <c:v>4</c:v>
                        </c:pt>
                        <c:pt idx="8">
                          <c:v>1</c:v>
                        </c:pt>
                        <c:pt idx="9">
                          <c:v>2</c:v>
                        </c:pt>
                        <c:pt idx="10">
                          <c:v>3</c:v>
                        </c:pt>
                        <c:pt idx="11">
                          <c:v>4</c:v>
                        </c:pt>
                        <c:pt idx="12">
                          <c:v>1</c:v>
                        </c:pt>
                        <c:pt idx="13">
                          <c:v>2</c:v>
                        </c:pt>
                        <c:pt idx="14">
                          <c:v>3</c:v>
                        </c:pt>
                        <c:pt idx="15">
                          <c:v>4</c:v>
                        </c:pt>
                        <c:pt idx="16">
                          <c:v>1</c:v>
                        </c:pt>
                        <c:pt idx="17">
                          <c:v>2</c:v>
                        </c:pt>
                        <c:pt idx="18">
                          <c:v>3</c:v>
                        </c:pt>
                        <c:pt idx="19">
                          <c:v>4</c:v>
                        </c:pt>
                        <c:pt idx="20">
                          <c:v>1</c:v>
                        </c:pt>
                        <c:pt idx="21">
                          <c:v>2</c:v>
                        </c:pt>
                        <c:pt idx="22">
                          <c:v>3</c:v>
                        </c:pt>
                      </c:lvl>
                      <c:lvl>
                        <c:pt idx="0">
                          <c:v>2017</c:v>
                        </c:pt>
                        <c:pt idx="4">
                          <c:v>2018</c:v>
                        </c:pt>
                        <c:pt idx="8">
                          <c:v>2019</c:v>
                        </c:pt>
                        <c:pt idx="12">
                          <c:v>2020</c:v>
                        </c:pt>
                        <c:pt idx="16">
                          <c:v>2021</c:v>
                        </c:pt>
                        <c:pt idx="20">
                          <c:v>2022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'Ceny 2'!$J$26:$J$48</c15:sqref>
                        </c15:formulaRef>
                      </c:ext>
                    </c:extLst>
                    <c:numCache>
                      <c:formatCode>General</c:formatCode>
                      <c:ptCount val="23"/>
                      <c:pt idx="0">
                        <c:v>0.5</c:v>
                      </c:pt>
                      <c:pt idx="1">
                        <c:v>1</c:v>
                      </c:pt>
                      <c:pt idx="2" formatCode="0.0">
                        <c:v>0.5</c:v>
                      </c:pt>
                      <c:pt idx="3" formatCode="0.0">
                        <c:v>-0.8</c:v>
                      </c:pt>
                      <c:pt idx="4">
                        <c:v>-0.29999999999999716</c:v>
                      </c:pt>
                      <c:pt idx="5">
                        <c:v>-1</c:v>
                      </c:pt>
                      <c:pt idx="6">
                        <c:v>-1.4000000000000057</c:v>
                      </c:pt>
                      <c:pt idx="7">
                        <c:v>-1.7000000000000028</c:v>
                      </c:pt>
                      <c:pt idx="8">
                        <c:v>-1.0999999999999943</c:v>
                      </c:pt>
                      <c:pt idx="9">
                        <c:v>-1.9000000000000057</c:v>
                      </c:pt>
                      <c:pt idx="10">
                        <c:v>-1.5</c:v>
                      </c:pt>
                      <c:pt idx="11">
                        <c:v>-0.29999999999999716</c:v>
                      </c:pt>
                      <c:pt idx="12">
                        <c:v>3.5</c:v>
                      </c:pt>
                      <c:pt idx="13">
                        <c:v>3.4000000000000057</c:v>
                      </c:pt>
                      <c:pt idx="14">
                        <c:v>4.5</c:v>
                      </c:pt>
                      <c:pt idx="15">
                        <c:v>3.4000000000000057</c:v>
                      </c:pt>
                      <c:pt idx="16">
                        <c:v>2.7000000000000028</c:v>
                      </c:pt>
                      <c:pt idx="17">
                        <c:v>2.9000000000000057</c:v>
                      </c:pt>
                      <c:pt idx="18">
                        <c:v>7.7999999999999972</c:v>
                      </c:pt>
                      <c:pt idx="19">
                        <c:v>12.599999999999994</c:v>
                      </c:pt>
                      <c:pt idx="20">
                        <c:v>16.900000000000006</c:v>
                      </c:pt>
                      <c:pt idx="21">
                        <c:v>20</c:v>
                      </c:pt>
                      <c:pt idx="22">
                        <c:v>19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B02-4E0E-8D13-4EA1CDCD82D6}"/>
                  </c:ext>
                </c:extLst>
              </c15:ser>
            </c15:filteredLineSeries>
          </c:ext>
        </c:extLst>
      </c:lineChart>
      <c:catAx>
        <c:axId val="123425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3427840"/>
        <c:crosses val="autoZero"/>
        <c:auto val="1"/>
        <c:lblAlgn val="ctr"/>
        <c:lblOffset val="100"/>
        <c:noMultiLvlLbl val="0"/>
      </c:catAx>
      <c:valAx>
        <c:axId val="123427840"/>
        <c:scaling>
          <c:orientation val="minMax"/>
          <c:max val="2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2342592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3882134414049342E-2"/>
          <c:y val="0.85802375323651958"/>
          <c:w val="0.92470364741641364"/>
          <c:h val="0.13125351795564555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703731847348919E-2"/>
          <c:y val="2.9569886214146503E-2"/>
          <c:w val="0.90493308848362042"/>
          <c:h val="0.735566531577169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1'!$C$5</c:f>
              <c:strCache>
                <c:ptCount val="1"/>
                <c:pt idx="0">
                  <c:v>Realizované ceny starších bytů, ČR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1'!$A$26:$B$48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1'!$C$26:$C$48</c:f>
              <c:numCache>
                <c:formatCode>General</c:formatCode>
                <c:ptCount val="23"/>
                <c:pt idx="0">
                  <c:v>17.200000000000003</c:v>
                </c:pt>
                <c:pt idx="1">
                  <c:v>18.700000000000003</c:v>
                </c:pt>
                <c:pt idx="2">
                  <c:v>15.8</c:v>
                </c:pt>
                <c:pt idx="3">
                  <c:v>12</c:v>
                </c:pt>
                <c:pt idx="4">
                  <c:v>9.2000000000000011</c:v>
                </c:pt>
                <c:pt idx="5">
                  <c:v>8</c:v>
                </c:pt>
                <c:pt idx="6">
                  <c:v>9.4000000000000057</c:v>
                </c:pt>
                <c:pt idx="7">
                  <c:v>11.400000000000006</c:v>
                </c:pt>
                <c:pt idx="8">
                  <c:v>11.3</c:v>
                </c:pt>
                <c:pt idx="9">
                  <c:v>10.599999999999998</c:v>
                </c:pt>
                <c:pt idx="10">
                  <c:v>9.5</c:v>
                </c:pt>
                <c:pt idx="11">
                  <c:v>9.4000000000000057</c:v>
                </c:pt>
                <c:pt idx="12">
                  <c:v>10.599999999999998</c:v>
                </c:pt>
                <c:pt idx="13">
                  <c:v>10.200000000000003</c:v>
                </c:pt>
                <c:pt idx="14">
                  <c:v>11.200000000000003</c:v>
                </c:pt>
                <c:pt idx="15">
                  <c:v>13.3</c:v>
                </c:pt>
                <c:pt idx="16">
                  <c:v>15.200000000000003</c:v>
                </c:pt>
                <c:pt idx="17">
                  <c:v>17.900000000000006</c:v>
                </c:pt>
                <c:pt idx="18">
                  <c:v>21.29999999999999</c:v>
                </c:pt>
                <c:pt idx="19">
                  <c:v>25.200000000000003</c:v>
                </c:pt>
                <c:pt idx="20">
                  <c:v>27.29999999999999</c:v>
                </c:pt>
                <c:pt idx="21">
                  <c:v>27.599999999999987</c:v>
                </c:pt>
                <c:pt idx="22">
                  <c:v>23.400000000000006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A2-4EB6-9A71-76B24B940D83}"/>
            </c:ext>
          </c:extLst>
        </c:ser>
        <c:ser>
          <c:idx val="1"/>
          <c:order val="1"/>
          <c:tx>
            <c:strRef>
              <c:f>'Ceny 1'!$D$5</c:f>
              <c:strCache>
                <c:ptCount val="1"/>
                <c:pt idx="0">
                  <c:v>Realizované ceny starších bytů, Praha</c:v>
                </c:pt>
              </c:strCache>
            </c:strRef>
          </c:tx>
          <c:spPr>
            <a:solidFill>
              <a:prstClr val="black">
                <a:lumMod val="50000"/>
                <a:lumOff val="50000"/>
              </a:prstClr>
            </a:solidFill>
            <a:ln w="19050">
              <a:noFill/>
            </a:ln>
          </c:spPr>
          <c:invertIfNegative val="0"/>
          <c:cat>
            <c:multiLvlStrRef>
              <c:f>'Ceny 1'!$A$26:$B$48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1'!$D$26:$D$48</c:f>
              <c:numCache>
                <c:formatCode>General</c:formatCode>
                <c:ptCount val="23"/>
                <c:pt idx="0">
                  <c:v>16.200000000000003</c:v>
                </c:pt>
                <c:pt idx="1">
                  <c:v>19</c:v>
                </c:pt>
                <c:pt idx="2">
                  <c:v>16.400000000000006</c:v>
                </c:pt>
                <c:pt idx="3">
                  <c:v>11.099999999999998</c:v>
                </c:pt>
                <c:pt idx="4">
                  <c:v>8.3000000000000025</c:v>
                </c:pt>
                <c:pt idx="5">
                  <c:v>4</c:v>
                </c:pt>
                <c:pt idx="6">
                  <c:v>6</c:v>
                </c:pt>
                <c:pt idx="7">
                  <c:v>8.7000000000000011</c:v>
                </c:pt>
                <c:pt idx="8">
                  <c:v>9.4000000000000057</c:v>
                </c:pt>
                <c:pt idx="9">
                  <c:v>8.7000000000000011</c:v>
                </c:pt>
                <c:pt idx="10">
                  <c:v>6.5</c:v>
                </c:pt>
                <c:pt idx="11">
                  <c:v>7.0999999999999943</c:v>
                </c:pt>
                <c:pt idx="12">
                  <c:v>6.2000000000000028</c:v>
                </c:pt>
                <c:pt idx="13">
                  <c:v>8</c:v>
                </c:pt>
                <c:pt idx="14">
                  <c:v>9.4000000000000057</c:v>
                </c:pt>
                <c:pt idx="15">
                  <c:v>10.599999999999998</c:v>
                </c:pt>
                <c:pt idx="16">
                  <c:v>14.3</c:v>
                </c:pt>
                <c:pt idx="17">
                  <c:v>15.8</c:v>
                </c:pt>
                <c:pt idx="18">
                  <c:v>16.599999999999987</c:v>
                </c:pt>
                <c:pt idx="19">
                  <c:v>20</c:v>
                </c:pt>
                <c:pt idx="20">
                  <c:v>19</c:v>
                </c:pt>
                <c:pt idx="21">
                  <c:v>16.700000000000003</c:v>
                </c:pt>
                <c:pt idx="22">
                  <c:v>15.700000000000003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A2-4EB6-9A71-76B24B940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axId val="123492992"/>
        <c:axId val="123515264"/>
      </c:barChart>
      <c:lineChart>
        <c:grouping val="standard"/>
        <c:varyColors val="0"/>
        <c:ser>
          <c:idx val="2"/>
          <c:order val="2"/>
          <c:tx>
            <c:strRef>
              <c:f>'Ceny 1'!$E$5</c:f>
              <c:strCache>
                <c:ptCount val="1"/>
                <c:pt idx="0">
                  <c:v>Nabídkové ceny bytů, ČR</c:v>
                </c:pt>
              </c:strCache>
            </c:strRef>
          </c:tx>
          <c:spPr>
            <a:ln w="19050">
              <a:solidFill>
                <a:schemeClr val="accent2"/>
              </a:solidFill>
            </a:ln>
          </c:spPr>
          <c:marker>
            <c:symbol val="none"/>
          </c:marker>
          <c:cat>
            <c:multiLvlStrRef>
              <c:f>'Ceny 1'!$A$26:$B$48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1'!$E$26:$E$48</c:f>
              <c:numCache>
                <c:formatCode>General</c:formatCode>
                <c:ptCount val="23"/>
                <c:pt idx="0" formatCode="0.0">
                  <c:v>9.5238095238095202</c:v>
                </c:pt>
                <c:pt idx="1">
                  <c:v>9.5278969957081507</c:v>
                </c:pt>
                <c:pt idx="2">
                  <c:v>12.542087542087547</c:v>
                </c:pt>
                <c:pt idx="3">
                  <c:v>12.469237079573423</c:v>
                </c:pt>
                <c:pt idx="4">
                  <c:v>12.801932367149751</c:v>
                </c:pt>
                <c:pt idx="5">
                  <c:v>12.22570532915358</c:v>
                </c:pt>
                <c:pt idx="6">
                  <c:v>9.4988780852655257</c:v>
                </c:pt>
                <c:pt idx="7">
                  <c:v>8.4609773887673203</c:v>
                </c:pt>
                <c:pt idx="8">
                  <c:v>7.4232690935046488</c:v>
                </c:pt>
                <c:pt idx="9">
                  <c:v>5.7262569832402352</c:v>
                </c:pt>
                <c:pt idx="10">
                  <c:v>5.1912568306010893</c:v>
                </c:pt>
                <c:pt idx="11">
                  <c:v>5.5144586415601955</c:v>
                </c:pt>
                <c:pt idx="12">
                  <c:v>6.0465116279069644</c:v>
                </c:pt>
                <c:pt idx="13">
                  <c:v>7.1334214002641847</c:v>
                </c:pt>
                <c:pt idx="14">
                  <c:v>7.9870129870129887</c:v>
                </c:pt>
                <c:pt idx="15">
                  <c:v>7.6481835564053533</c:v>
                </c:pt>
                <c:pt idx="16">
                  <c:v>7.6441102756892256</c:v>
                </c:pt>
                <c:pt idx="17">
                  <c:v>7.9531442663378558</c:v>
                </c:pt>
                <c:pt idx="18">
                  <c:v>9.3205051112447475</c:v>
                </c:pt>
                <c:pt idx="19">
                  <c:v>12.433392539964474</c:v>
                </c:pt>
                <c:pt idx="20">
                  <c:v>16.8800931315483</c:v>
                </c:pt>
                <c:pt idx="21">
                  <c:v>24.671616219303267</c:v>
                </c:pt>
                <c:pt idx="22">
                  <c:v>22.937293729372925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2-4EB6-9A71-76B24B940D83}"/>
            </c:ext>
          </c:extLst>
        </c:ser>
        <c:ser>
          <c:idx val="3"/>
          <c:order val="3"/>
          <c:tx>
            <c:strRef>
              <c:f>'Ceny 1'!$F$5</c:f>
              <c:strCache>
                <c:ptCount val="1"/>
                <c:pt idx="0">
                  <c:v>Nabídkové ceny bytů, Praha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1'!$A$26:$B$48</c:f>
              <c:multiLvlStrCache>
                <c:ptCount val="23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  <c:pt idx="20">
                    <c:v>2022</c:v>
                  </c:pt>
                </c:lvl>
              </c:multiLvlStrCache>
            </c:multiLvlStrRef>
          </c:cat>
          <c:val>
            <c:numRef>
              <c:f>'Ceny 1'!$F$26:$F$48</c:f>
              <c:numCache>
                <c:formatCode>General</c:formatCode>
                <c:ptCount val="23"/>
                <c:pt idx="0" formatCode="0.0">
                  <c:v>13.636363636363622</c:v>
                </c:pt>
                <c:pt idx="1">
                  <c:v>14.589905362776051</c:v>
                </c:pt>
                <c:pt idx="2">
                  <c:v>18.266253869969038</c:v>
                </c:pt>
                <c:pt idx="3">
                  <c:v>18.773373223635019</c:v>
                </c:pt>
                <c:pt idx="4">
                  <c:v>15.071428571428555</c:v>
                </c:pt>
                <c:pt idx="5">
                  <c:v>14.246386785960068</c:v>
                </c:pt>
                <c:pt idx="6">
                  <c:v>10.732984293193699</c:v>
                </c:pt>
                <c:pt idx="7">
                  <c:v>8.7531486146095574</c:v>
                </c:pt>
                <c:pt idx="8">
                  <c:v>8.3178150217256377</c:v>
                </c:pt>
                <c:pt idx="9">
                  <c:v>4.9397590361445687</c:v>
                </c:pt>
                <c:pt idx="10">
                  <c:v>3.3096926713947985</c:v>
                </c:pt>
                <c:pt idx="11">
                  <c:v>2.9530978575564593</c:v>
                </c:pt>
                <c:pt idx="12">
                  <c:v>3.5530085959885289</c:v>
                </c:pt>
                <c:pt idx="13">
                  <c:v>5.2812858783008068</c:v>
                </c:pt>
                <c:pt idx="14">
                  <c:v>6.2356979405034298</c:v>
                </c:pt>
                <c:pt idx="15">
                  <c:v>5.1743532058492718</c:v>
                </c:pt>
                <c:pt idx="16">
                  <c:v>4.7592695074709628</c:v>
                </c:pt>
                <c:pt idx="17">
                  <c:v>4.5256270447110012</c:v>
                </c:pt>
                <c:pt idx="18">
                  <c:v>6.2466343564889808</c:v>
                </c:pt>
                <c:pt idx="19">
                  <c:v>9.1443850267379485</c:v>
                </c:pt>
                <c:pt idx="20">
                  <c:v>12.255678816693077</c:v>
                </c:pt>
                <c:pt idx="21">
                  <c:v>19.718309859154935</c:v>
                </c:pt>
                <c:pt idx="22">
                  <c:v>18.49974657881398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CA2-4EB6-9A71-76B24B940D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492992"/>
        <c:axId val="123515264"/>
      </c:lineChart>
      <c:catAx>
        <c:axId val="123492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23515264"/>
        <c:crosses val="autoZero"/>
        <c:auto val="1"/>
        <c:lblAlgn val="ctr"/>
        <c:lblOffset val="100"/>
        <c:noMultiLvlLbl val="0"/>
      </c:catAx>
      <c:valAx>
        <c:axId val="123515264"/>
        <c:scaling>
          <c:orientation val="minMax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23492992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3334810874704504E-2"/>
          <c:y val="0.88817854328492629"/>
          <c:w val="0.89999282337048314"/>
          <c:h val="9.8380614657210319E-2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510469436001386E-2"/>
          <c:y val="2.1811315924220448E-2"/>
          <c:w val="0.90860161263086836"/>
          <c:h val="0.716632331419565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'Ceny 4'!$C$5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9050">
              <a:noFill/>
            </a:ln>
          </c:spPr>
          <c:invertIfNegative val="0"/>
          <c:cat>
            <c:multiLvlStrRef>
              <c:f>'Ceny 4'!$A$54:$B$122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4'!$C$54:$C$122</c:f>
              <c:numCache>
                <c:formatCode>General</c:formatCode>
                <c:ptCount val="69"/>
                <c:pt idx="0">
                  <c:v>2.0999999999999943</c:v>
                </c:pt>
                <c:pt idx="1">
                  <c:v>3.0999999999999943</c:v>
                </c:pt>
                <c:pt idx="2" formatCode="0.0">
                  <c:v>3</c:v>
                </c:pt>
                <c:pt idx="3" formatCode="0.0">
                  <c:v>3.2000000000000037</c:v>
                </c:pt>
                <c:pt idx="4">
                  <c:v>2.2999999999999972</c:v>
                </c:pt>
                <c:pt idx="5">
                  <c:v>1.2999999999999965</c:v>
                </c:pt>
                <c:pt idx="6">
                  <c:v>1.1000000000000001</c:v>
                </c:pt>
                <c:pt idx="7">
                  <c:v>1.4</c:v>
                </c:pt>
                <c:pt idx="8">
                  <c:v>1.7</c:v>
                </c:pt>
                <c:pt idx="9">
                  <c:v>1.1000000000000001</c:v>
                </c:pt>
                <c:pt idx="10">
                  <c:v>0.9</c:v>
                </c:pt>
                <c:pt idx="11">
                  <c:v>0.70000000000000018</c:v>
                </c:pt>
                <c:pt idx="12">
                  <c:v>0.5</c:v>
                </c:pt>
                <c:pt idx="13">
                  <c:v>-0.3000000000000001</c:v>
                </c:pt>
                <c:pt idx="14">
                  <c:v>0.1</c:v>
                </c:pt>
                <c:pt idx="15">
                  <c:v>0</c:v>
                </c:pt>
                <c:pt idx="16">
                  <c:v>1.5</c:v>
                </c:pt>
                <c:pt idx="17">
                  <c:v>2.9</c:v>
                </c:pt>
                <c:pt idx="18">
                  <c:v>3.4</c:v>
                </c:pt>
                <c:pt idx="19">
                  <c:v>3.3</c:v>
                </c:pt>
                <c:pt idx="20">
                  <c:v>3.2</c:v>
                </c:pt>
                <c:pt idx="21">
                  <c:v>3.9</c:v>
                </c:pt>
                <c:pt idx="22">
                  <c:v>3.9</c:v>
                </c:pt>
                <c:pt idx="23">
                  <c:v>2.4</c:v>
                </c:pt>
                <c:pt idx="24">
                  <c:v>2.9</c:v>
                </c:pt>
                <c:pt idx="25">
                  <c:v>3.6</c:v>
                </c:pt>
                <c:pt idx="26">
                  <c:v>3.8</c:v>
                </c:pt>
                <c:pt idx="27">
                  <c:v>4.3</c:v>
                </c:pt>
                <c:pt idx="28">
                  <c:v>3.8</c:v>
                </c:pt>
                <c:pt idx="29">
                  <c:v>2.5</c:v>
                </c:pt>
                <c:pt idx="30">
                  <c:v>2.1</c:v>
                </c:pt>
                <c:pt idx="31">
                  <c:v>2.1</c:v>
                </c:pt>
                <c:pt idx="32">
                  <c:v>1.9000000000000001</c:v>
                </c:pt>
                <c:pt idx="33">
                  <c:v>0.9</c:v>
                </c:pt>
                <c:pt idx="34">
                  <c:v>0.9</c:v>
                </c:pt>
                <c:pt idx="35">
                  <c:v>2.1</c:v>
                </c:pt>
                <c:pt idx="36">
                  <c:v>2.4</c:v>
                </c:pt>
                <c:pt idx="37">
                  <c:v>1.4</c:v>
                </c:pt>
                <c:pt idx="38">
                  <c:v>0.4</c:v>
                </c:pt>
                <c:pt idx="39">
                  <c:v>-0.8</c:v>
                </c:pt>
                <c:pt idx="40">
                  <c:v>-0.9</c:v>
                </c:pt>
                <c:pt idx="41">
                  <c:v>-0.3000000000000001</c:v>
                </c:pt>
                <c:pt idx="42">
                  <c:v>-0.1</c:v>
                </c:pt>
                <c:pt idx="43">
                  <c:v>-0.5</c:v>
                </c:pt>
                <c:pt idx="44">
                  <c:v>-0.4</c:v>
                </c:pt>
                <c:pt idx="45">
                  <c:v>0.3000000000000001</c:v>
                </c:pt>
                <c:pt idx="46">
                  <c:v>-0.1</c:v>
                </c:pt>
                <c:pt idx="47">
                  <c:v>0</c:v>
                </c:pt>
                <c:pt idx="48">
                  <c:v>0</c:v>
                </c:pt>
                <c:pt idx="49">
                  <c:v>1.4</c:v>
                </c:pt>
                <c:pt idx="50">
                  <c:v>3.3</c:v>
                </c:pt>
                <c:pt idx="51">
                  <c:v>4.5999999999999996</c:v>
                </c:pt>
                <c:pt idx="52">
                  <c:v>5.0999999999999996</c:v>
                </c:pt>
                <c:pt idx="53">
                  <c:v>6.1</c:v>
                </c:pt>
                <c:pt idx="54">
                  <c:v>7.8</c:v>
                </c:pt>
                <c:pt idx="55">
                  <c:v>9.3000000000000007</c:v>
                </c:pt>
                <c:pt idx="56">
                  <c:v>9.9</c:v>
                </c:pt>
                <c:pt idx="57">
                  <c:v>11.6</c:v>
                </c:pt>
                <c:pt idx="58">
                  <c:v>13.5</c:v>
                </c:pt>
                <c:pt idx="59">
                  <c:v>13.2</c:v>
                </c:pt>
                <c:pt idx="60">
                  <c:v>19.399999999999999</c:v>
                </c:pt>
                <c:pt idx="61">
                  <c:v>21.3</c:v>
                </c:pt>
                <c:pt idx="62">
                  <c:v>24.7</c:v>
                </c:pt>
                <c:pt idx="63">
                  <c:v>26.6</c:v>
                </c:pt>
                <c:pt idx="64">
                  <c:v>27.9</c:v>
                </c:pt>
                <c:pt idx="65">
                  <c:v>28.5</c:v>
                </c:pt>
                <c:pt idx="66">
                  <c:v>26.8</c:v>
                </c:pt>
                <c:pt idx="67">
                  <c:v>25.2</c:v>
                </c:pt>
                <c:pt idx="68">
                  <c:v>25.8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43-41CF-90FE-A1D1F7E4F9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6"/>
        <c:axId val="124935552"/>
        <c:axId val="124986112"/>
      </c:barChart>
      <c:lineChart>
        <c:grouping val="standard"/>
        <c:varyColors val="0"/>
        <c:ser>
          <c:idx val="1"/>
          <c:order val="1"/>
          <c:tx>
            <c:strRef>
              <c:f>'Ceny 4'!$D$5</c:f>
              <c:strCache>
                <c:ptCount val="1"/>
                <c:pt idx="0">
                  <c:v>Těžba a dobývání</c:v>
                </c:pt>
              </c:strCache>
            </c:strRef>
          </c:tx>
          <c:spPr>
            <a:ln w="19050">
              <a:solidFill>
                <a:srgbClr val="7DBB2D"/>
              </a:solidFill>
            </a:ln>
          </c:spPr>
          <c:marker>
            <c:symbol val="none"/>
          </c:marker>
          <c:cat>
            <c:multiLvlStrRef>
              <c:f>'Ceny 4'!$A$54:$B$122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4'!$D$54:$D$122</c:f>
              <c:numCache>
                <c:formatCode>General</c:formatCode>
                <c:ptCount val="69"/>
                <c:pt idx="0">
                  <c:v>2.2999999999999972</c:v>
                </c:pt>
                <c:pt idx="1">
                  <c:v>5.7999999999999972</c:v>
                </c:pt>
                <c:pt idx="2" formatCode="0.0">
                  <c:v>6.2000000000000028</c:v>
                </c:pt>
                <c:pt idx="3" formatCode="0.0">
                  <c:v>6.4000000000000075</c:v>
                </c:pt>
                <c:pt idx="4">
                  <c:v>4.2999999999999972</c:v>
                </c:pt>
                <c:pt idx="5">
                  <c:v>4.0999999999999943</c:v>
                </c:pt>
                <c:pt idx="6">
                  <c:v>2.9</c:v>
                </c:pt>
                <c:pt idx="7">
                  <c:v>1.7</c:v>
                </c:pt>
                <c:pt idx="8">
                  <c:v>1.9000000000000001</c:v>
                </c:pt>
                <c:pt idx="9">
                  <c:v>3.4</c:v>
                </c:pt>
                <c:pt idx="10">
                  <c:v>3.3</c:v>
                </c:pt>
                <c:pt idx="11">
                  <c:v>3.6</c:v>
                </c:pt>
                <c:pt idx="12">
                  <c:v>6.7</c:v>
                </c:pt>
                <c:pt idx="13">
                  <c:v>5</c:v>
                </c:pt>
                <c:pt idx="14">
                  <c:v>4.3</c:v>
                </c:pt>
                <c:pt idx="15">
                  <c:v>4.5999999999999996</c:v>
                </c:pt>
                <c:pt idx="16">
                  <c:v>7.4</c:v>
                </c:pt>
                <c:pt idx="17">
                  <c:v>8</c:v>
                </c:pt>
                <c:pt idx="18">
                  <c:v>8.4</c:v>
                </c:pt>
                <c:pt idx="19">
                  <c:v>10.1</c:v>
                </c:pt>
                <c:pt idx="20">
                  <c:v>9.9</c:v>
                </c:pt>
                <c:pt idx="21">
                  <c:v>9</c:v>
                </c:pt>
                <c:pt idx="22">
                  <c:v>9.2000000000000011</c:v>
                </c:pt>
                <c:pt idx="23">
                  <c:v>8.3000000000000007</c:v>
                </c:pt>
                <c:pt idx="24">
                  <c:v>7.9</c:v>
                </c:pt>
                <c:pt idx="25">
                  <c:v>7.4</c:v>
                </c:pt>
                <c:pt idx="26">
                  <c:v>8</c:v>
                </c:pt>
                <c:pt idx="27">
                  <c:v>8.4</c:v>
                </c:pt>
                <c:pt idx="28">
                  <c:v>7.5</c:v>
                </c:pt>
                <c:pt idx="29">
                  <c:v>7.1</c:v>
                </c:pt>
                <c:pt idx="30">
                  <c:v>6.9</c:v>
                </c:pt>
                <c:pt idx="31">
                  <c:v>6.8</c:v>
                </c:pt>
                <c:pt idx="32">
                  <c:v>6.6</c:v>
                </c:pt>
                <c:pt idx="33">
                  <c:v>3.6</c:v>
                </c:pt>
                <c:pt idx="34">
                  <c:v>3.2</c:v>
                </c:pt>
                <c:pt idx="35">
                  <c:v>4.3</c:v>
                </c:pt>
                <c:pt idx="36">
                  <c:v>-2.1</c:v>
                </c:pt>
                <c:pt idx="37">
                  <c:v>-1.8</c:v>
                </c:pt>
                <c:pt idx="38">
                  <c:v>-2.6</c:v>
                </c:pt>
                <c:pt idx="39">
                  <c:v>-3.7</c:v>
                </c:pt>
                <c:pt idx="40">
                  <c:v>-3.1</c:v>
                </c:pt>
                <c:pt idx="41">
                  <c:v>-3.6</c:v>
                </c:pt>
                <c:pt idx="42">
                  <c:v>-3.5</c:v>
                </c:pt>
                <c:pt idx="43">
                  <c:v>-3.5</c:v>
                </c:pt>
                <c:pt idx="44">
                  <c:v>-3.7</c:v>
                </c:pt>
                <c:pt idx="45">
                  <c:v>-1.9000000000000001</c:v>
                </c:pt>
                <c:pt idx="46">
                  <c:v>-1.8</c:v>
                </c:pt>
                <c:pt idx="47">
                  <c:v>-2.2000000000000002</c:v>
                </c:pt>
                <c:pt idx="48">
                  <c:v>-0.3000000000000001</c:v>
                </c:pt>
                <c:pt idx="49">
                  <c:v>-0.8</c:v>
                </c:pt>
                <c:pt idx="50">
                  <c:v>-0.3000000000000001</c:v>
                </c:pt>
                <c:pt idx="51">
                  <c:v>1</c:v>
                </c:pt>
                <c:pt idx="52">
                  <c:v>0.3000000000000001</c:v>
                </c:pt>
                <c:pt idx="53">
                  <c:v>1.1000000000000001</c:v>
                </c:pt>
                <c:pt idx="54">
                  <c:v>2</c:v>
                </c:pt>
                <c:pt idx="55">
                  <c:v>3.6</c:v>
                </c:pt>
                <c:pt idx="56">
                  <c:v>4.3</c:v>
                </c:pt>
                <c:pt idx="57">
                  <c:v>12.7</c:v>
                </c:pt>
                <c:pt idx="58">
                  <c:v>14</c:v>
                </c:pt>
                <c:pt idx="59">
                  <c:v>14.6</c:v>
                </c:pt>
                <c:pt idx="60">
                  <c:v>24.2</c:v>
                </c:pt>
                <c:pt idx="61">
                  <c:v>25.1</c:v>
                </c:pt>
                <c:pt idx="62">
                  <c:v>26.3</c:v>
                </c:pt>
                <c:pt idx="63">
                  <c:v>28.3</c:v>
                </c:pt>
                <c:pt idx="64">
                  <c:v>34</c:v>
                </c:pt>
                <c:pt idx="65">
                  <c:v>33.300000000000004</c:v>
                </c:pt>
                <c:pt idx="66">
                  <c:v>30.4</c:v>
                </c:pt>
                <c:pt idx="67">
                  <c:v>28.8</c:v>
                </c:pt>
                <c:pt idx="68">
                  <c:v>31.3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43-41CF-90FE-A1D1F7E4F9F0}"/>
            </c:ext>
          </c:extLst>
        </c:ser>
        <c:ser>
          <c:idx val="2"/>
          <c:order val="2"/>
          <c:tx>
            <c:strRef>
              <c:f>'Ceny 4'!$E$5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'Ceny 4'!$A$54:$B$122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4'!$E$54:$E$122</c:f>
              <c:numCache>
                <c:formatCode>General</c:formatCode>
                <c:ptCount val="69"/>
                <c:pt idx="0">
                  <c:v>2.5999999999999943</c:v>
                </c:pt>
                <c:pt idx="1">
                  <c:v>4</c:v>
                </c:pt>
                <c:pt idx="2" formatCode="0.0">
                  <c:v>3.7999999999999972</c:v>
                </c:pt>
                <c:pt idx="3" formatCode="0.0">
                  <c:v>4</c:v>
                </c:pt>
                <c:pt idx="4">
                  <c:v>2.7999999999999972</c:v>
                </c:pt>
                <c:pt idx="5">
                  <c:v>1.5</c:v>
                </c:pt>
                <c:pt idx="6">
                  <c:v>1.4</c:v>
                </c:pt>
                <c:pt idx="7">
                  <c:v>2</c:v>
                </c:pt>
                <c:pt idx="8">
                  <c:v>2.1</c:v>
                </c:pt>
                <c:pt idx="9">
                  <c:v>1.4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0.2</c:v>
                </c:pt>
                <c:pt idx="13">
                  <c:v>-0.9</c:v>
                </c:pt>
                <c:pt idx="14">
                  <c:v>-0.5</c:v>
                </c:pt>
                <c:pt idx="15">
                  <c:v>-0.5</c:v>
                </c:pt>
                <c:pt idx="16">
                  <c:v>1.3</c:v>
                </c:pt>
                <c:pt idx="17">
                  <c:v>2.8</c:v>
                </c:pt>
                <c:pt idx="18">
                  <c:v>3.4</c:v>
                </c:pt>
                <c:pt idx="19">
                  <c:v>3.2</c:v>
                </c:pt>
                <c:pt idx="20">
                  <c:v>3</c:v>
                </c:pt>
                <c:pt idx="21">
                  <c:v>3.8</c:v>
                </c:pt>
                <c:pt idx="22">
                  <c:v>3.9</c:v>
                </c:pt>
                <c:pt idx="23">
                  <c:v>2.2000000000000002</c:v>
                </c:pt>
                <c:pt idx="24">
                  <c:v>1.9000000000000001</c:v>
                </c:pt>
                <c:pt idx="25">
                  <c:v>2.9</c:v>
                </c:pt>
                <c:pt idx="26">
                  <c:v>3</c:v>
                </c:pt>
                <c:pt idx="27">
                  <c:v>3.5</c:v>
                </c:pt>
                <c:pt idx="28">
                  <c:v>2.9</c:v>
                </c:pt>
                <c:pt idx="29">
                  <c:v>1.4</c:v>
                </c:pt>
                <c:pt idx="30">
                  <c:v>0.9</c:v>
                </c:pt>
                <c:pt idx="31">
                  <c:v>0.8</c:v>
                </c:pt>
                <c:pt idx="32">
                  <c:v>0.70000000000000018</c:v>
                </c:pt>
                <c:pt idx="33">
                  <c:v>-0.4</c:v>
                </c:pt>
                <c:pt idx="34">
                  <c:v>-0.70000000000000018</c:v>
                </c:pt>
                <c:pt idx="35">
                  <c:v>0.8</c:v>
                </c:pt>
                <c:pt idx="36">
                  <c:v>1.2</c:v>
                </c:pt>
                <c:pt idx="37">
                  <c:v>-0.1</c:v>
                </c:pt>
                <c:pt idx="38">
                  <c:v>-1.2</c:v>
                </c:pt>
                <c:pt idx="39">
                  <c:v>-2.5</c:v>
                </c:pt>
                <c:pt idx="40">
                  <c:v>-2.6</c:v>
                </c:pt>
                <c:pt idx="41">
                  <c:v>-1.9000000000000001</c:v>
                </c:pt>
                <c:pt idx="42">
                  <c:v>-1.6</c:v>
                </c:pt>
                <c:pt idx="43">
                  <c:v>-2</c:v>
                </c:pt>
                <c:pt idx="44">
                  <c:v>-1.9000000000000001</c:v>
                </c:pt>
                <c:pt idx="45">
                  <c:v>-1.1000000000000001</c:v>
                </c:pt>
                <c:pt idx="46">
                  <c:v>-1.4</c:v>
                </c:pt>
                <c:pt idx="47">
                  <c:v>-1.2</c:v>
                </c:pt>
                <c:pt idx="48">
                  <c:v>-0.3000000000000001</c:v>
                </c:pt>
                <c:pt idx="49">
                  <c:v>1.6</c:v>
                </c:pt>
                <c:pt idx="50">
                  <c:v>4.0999999999999996</c:v>
                </c:pt>
                <c:pt idx="51">
                  <c:v>5.6</c:v>
                </c:pt>
                <c:pt idx="52">
                  <c:v>6.3</c:v>
                </c:pt>
                <c:pt idx="53">
                  <c:v>7.4</c:v>
                </c:pt>
                <c:pt idx="54">
                  <c:v>9.5</c:v>
                </c:pt>
                <c:pt idx="55">
                  <c:v>11.4</c:v>
                </c:pt>
                <c:pt idx="56">
                  <c:v>12</c:v>
                </c:pt>
                <c:pt idx="57">
                  <c:v>13.4</c:v>
                </c:pt>
                <c:pt idx="58">
                  <c:v>15.4</c:v>
                </c:pt>
                <c:pt idx="59">
                  <c:v>14.7</c:v>
                </c:pt>
                <c:pt idx="60">
                  <c:v>15.5</c:v>
                </c:pt>
                <c:pt idx="61">
                  <c:v>16.600000000000001</c:v>
                </c:pt>
                <c:pt idx="62">
                  <c:v>20.3</c:v>
                </c:pt>
                <c:pt idx="63">
                  <c:v>22.3</c:v>
                </c:pt>
                <c:pt idx="64">
                  <c:v>24.6</c:v>
                </c:pt>
                <c:pt idx="65">
                  <c:v>25.8</c:v>
                </c:pt>
                <c:pt idx="66">
                  <c:v>22.7</c:v>
                </c:pt>
                <c:pt idx="67">
                  <c:v>20</c:v>
                </c:pt>
                <c:pt idx="68">
                  <c:v>18.899999999999999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43-41CF-90FE-A1D1F7E4F9F0}"/>
            </c:ext>
          </c:extLst>
        </c:ser>
        <c:ser>
          <c:idx val="3"/>
          <c:order val="3"/>
          <c:tx>
            <c:strRef>
              <c:f>'Ceny 4'!$F$5</c:f>
              <c:strCache>
                <c:ptCount val="1"/>
                <c:pt idx="0">
                  <c:v>Elektřina, plyn, pára a klim. vzduch</c:v>
                </c:pt>
              </c:strCache>
            </c:strRef>
          </c:tx>
          <c:spPr>
            <a:ln w="19050">
              <a:solidFill>
                <a:srgbClr val="F8A124"/>
              </a:solidFill>
            </a:ln>
          </c:spPr>
          <c:marker>
            <c:symbol val="none"/>
          </c:marker>
          <c:cat>
            <c:multiLvlStrRef>
              <c:f>'Ceny 4'!$A$54:$B$122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4'!$F$54:$F$122</c:f>
              <c:numCache>
                <c:formatCode>General</c:formatCode>
                <c:ptCount val="69"/>
                <c:pt idx="0">
                  <c:v>-1.0999999999999936</c:v>
                </c:pt>
                <c:pt idx="1">
                  <c:v>-1.2000000000000028</c:v>
                </c:pt>
                <c:pt idx="2" formatCode="0.0">
                  <c:v>-1.2000000000000028</c:v>
                </c:pt>
                <c:pt idx="3" formatCode="0.0">
                  <c:v>-1.4000000000000057</c:v>
                </c:pt>
                <c:pt idx="4">
                  <c:v>-1.2999999999999965</c:v>
                </c:pt>
                <c:pt idx="5">
                  <c:v>-1.0999999999999936</c:v>
                </c:pt>
                <c:pt idx="6">
                  <c:v>-1.1000000000000001</c:v>
                </c:pt>
                <c:pt idx="7">
                  <c:v>-1.3</c:v>
                </c:pt>
                <c:pt idx="8">
                  <c:v>-1.1000000000000001</c:v>
                </c:pt>
                <c:pt idx="9">
                  <c:v>-1.1000000000000001</c:v>
                </c:pt>
                <c:pt idx="10">
                  <c:v>-1.1000000000000001</c:v>
                </c:pt>
                <c:pt idx="11">
                  <c:v>-1.1000000000000001</c:v>
                </c:pt>
                <c:pt idx="12">
                  <c:v>1.5</c:v>
                </c:pt>
                <c:pt idx="13">
                  <c:v>1.6</c:v>
                </c:pt>
                <c:pt idx="14">
                  <c:v>1.6</c:v>
                </c:pt>
                <c:pt idx="15">
                  <c:v>1.7</c:v>
                </c:pt>
                <c:pt idx="16">
                  <c:v>1.7</c:v>
                </c:pt>
                <c:pt idx="17">
                  <c:v>2.2999999999999998</c:v>
                </c:pt>
                <c:pt idx="18">
                  <c:v>2.2999999999999998</c:v>
                </c:pt>
                <c:pt idx="19">
                  <c:v>2.6</c:v>
                </c:pt>
                <c:pt idx="20">
                  <c:v>2.7</c:v>
                </c:pt>
                <c:pt idx="21">
                  <c:v>2.8</c:v>
                </c:pt>
                <c:pt idx="22">
                  <c:v>2.8</c:v>
                </c:pt>
                <c:pt idx="23">
                  <c:v>2.8</c:v>
                </c:pt>
                <c:pt idx="24">
                  <c:v>7.2</c:v>
                </c:pt>
                <c:pt idx="25">
                  <c:v>7.5</c:v>
                </c:pt>
                <c:pt idx="26">
                  <c:v>8.4</c:v>
                </c:pt>
                <c:pt idx="27">
                  <c:v>8.2000000000000011</c:v>
                </c:pt>
                <c:pt idx="28">
                  <c:v>8.6</c:v>
                </c:pt>
                <c:pt idx="29">
                  <c:v>7.9</c:v>
                </c:pt>
                <c:pt idx="30">
                  <c:v>8</c:v>
                </c:pt>
                <c:pt idx="31">
                  <c:v>7.7</c:v>
                </c:pt>
                <c:pt idx="32">
                  <c:v>7.7</c:v>
                </c:pt>
                <c:pt idx="33">
                  <c:v>7.5</c:v>
                </c:pt>
                <c:pt idx="34">
                  <c:v>8.7000000000000011</c:v>
                </c:pt>
                <c:pt idx="35">
                  <c:v>8.8000000000000007</c:v>
                </c:pt>
                <c:pt idx="36">
                  <c:v>9.3000000000000007</c:v>
                </c:pt>
                <c:pt idx="37">
                  <c:v>9</c:v>
                </c:pt>
                <c:pt idx="38">
                  <c:v>8.3000000000000007</c:v>
                </c:pt>
                <c:pt idx="39">
                  <c:v>8.6</c:v>
                </c:pt>
                <c:pt idx="40">
                  <c:v>8</c:v>
                </c:pt>
                <c:pt idx="41">
                  <c:v>8</c:v>
                </c:pt>
                <c:pt idx="42">
                  <c:v>7.7</c:v>
                </c:pt>
                <c:pt idx="43">
                  <c:v>7.9</c:v>
                </c:pt>
                <c:pt idx="44">
                  <c:v>7.7</c:v>
                </c:pt>
                <c:pt idx="45">
                  <c:v>7</c:v>
                </c:pt>
                <c:pt idx="46">
                  <c:v>5.8</c:v>
                </c:pt>
                <c:pt idx="47">
                  <c:v>5.6</c:v>
                </c:pt>
                <c:pt idx="48">
                  <c:v>0.4</c:v>
                </c:pt>
                <c:pt idx="49">
                  <c:v>0.4</c:v>
                </c:pt>
                <c:pt idx="50">
                  <c:v>0.1</c:v>
                </c:pt>
                <c:pt idx="51">
                  <c:v>-0.1</c:v>
                </c:pt>
                <c:pt idx="52">
                  <c:v>0.2</c:v>
                </c:pt>
                <c:pt idx="53">
                  <c:v>0.2</c:v>
                </c:pt>
                <c:pt idx="54">
                  <c:v>0.5</c:v>
                </c:pt>
                <c:pt idx="55">
                  <c:v>0.70000000000000018</c:v>
                </c:pt>
                <c:pt idx="56">
                  <c:v>1.2</c:v>
                </c:pt>
                <c:pt idx="57">
                  <c:v>3.7</c:v>
                </c:pt>
                <c:pt idx="58">
                  <c:v>5.6</c:v>
                </c:pt>
                <c:pt idx="59">
                  <c:v>7.1</c:v>
                </c:pt>
                <c:pt idx="60">
                  <c:v>40.6</c:v>
                </c:pt>
                <c:pt idx="61">
                  <c:v>45.5</c:v>
                </c:pt>
                <c:pt idx="62">
                  <c:v>48.9</c:v>
                </c:pt>
                <c:pt idx="63">
                  <c:v>51.4</c:v>
                </c:pt>
                <c:pt idx="64">
                  <c:v>45.8</c:v>
                </c:pt>
                <c:pt idx="65">
                  <c:v>44.6</c:v>
                </c:pt>
                <c:pt idx="66">
                  <c:v>49.8</c:v>
                </c:pt>
                <c:pt idx="67">
                  <c:v>54.3</c:v>
                </c:pt>
                <c:pt idx="68">
                  <c:v>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43-41CF-90FE-A1D1F7E4F9F0}"/>
            </c:ext>
          </c:extLst>
        </c:ser>
        <c:ser>
          <c:idx val="4"/>
          <c:order val="4"/>
          <c:tx>
            <c:strRef>
              <c:f>'Ceny 4'!$G$5</c:f>
              <c:strCache>
                <c:ptCount val="1"/>
                <c:pt idx="0">
                  <c:v>Zás. vodou; odpadní vody</c:v>
                </c:pt>
              </c:strCache>
            </c:strRef>
          </c:tx>
          <c:spPr>
            <a:ln w="1905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'Ceny 4'!$A$54:$B$122</c:f>
              <c:multiLvlStrCache>
                <c:ptCount val="6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  <c:pt idx="57">
                    <c:v>10</c:v>
                  </c:pt>
                  <c:pt idx="58">
                    <c:v>11</c:v>
                  </c:pt>
                  <c:pt idx="59">
                    <c:v>12</c:v>
                  </c:pt>
                  <c:pt idx="60">
                    <c:v>1</c:v>
                  </c:pt>
                  <c:pt idx="61">
                    <c:v>2</c:v>
                  </c:pt>
                  <c:pt idx="62">
                    <c:v>3</c:v>
                  </c:pt>
                  <c:pt idx="63">
                    <c:v>4</c:v>
                  </c:pt>
                  <c:pt idx="64">
                    <c:v>5</c:v>
                  </c:pt>
                  <c:pt idx="65">
                    <c:v>6</c:v>
                  </c:pt>
                  <c:pt idx="66">
                    <c:v>7</c:v>
                  </c:pt>
                  <c:pt idx="67">
                    <c:v>8</c:v>
                  </c:pt>
                  <c:pt idx="68">
                    <c:v>9</c:v>
                  </c:pt>
                </c:lvl>
                <c:lvl>
                  <c:pt idx="0">
                    <c:v>2017</c:v>
                  </c:pt>
                  <c:pt idx="12">
                    <c:v>2018</c:v>
                  </c:pt>
                  <c:pt idx="24">
                    <c:v>2019</c:v>
                  </c:pt>
                  <c:pt idx="36">
                    <c:v>2020</c:v>
                  </c:pt>
                  <c:pt idx="48">
                    <c:v>2021</c:v>
                  </c:pt>
                  <c:pt idx="60">
                    <c:v>2022</c:v>
                  </c:pt>
                </c:lvl>
              </c:multiLvlStrCache>
            </c:multiLvlStrRef>
          </c:cat>
          <c:val>
            <c:numRef>
              <c:f>'Ceny 4'!$G$54:$G$122</c:f>
              <c:numCache>
                <c:formatCode>General</c:formatCode>
                <c:ptCount val="69"/>
                <c:pt idx="0">
                  <c:v>2.0999999999999943</c:v>
                </c:pt>
                <c:pt idx="1">
                  <c:v>2.0999999999999943</c:v>
                </c:pt>
                <c:pt idx="2" formatCode="0.0">
                  <c:v>2.0999999999999943</c:v>
                </c:pt>
                <c:pt idx="3" formatCode="0.0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1.9000000000000001</c:v>
                </c:pt>
                <c:pt idx="13">
                  <c:v>1.9000000000000001</c:v>
                </c:pt>
                <c:pt idx="14">
                  <c:v>1.9000000000000001</c:v>
                </c:pt>
                <c:pt idx="15">
                  <c:v>1.9000000000000001</c:v>
                </c:pt>
                <c:pt idx="16">
                  <c:v>1.9000000000000001</c:v>
                </c:pt>
                <c:pt idx="17">
                  <c:v>1.9000000000000001</c:v>
                </c:pt>
                <c:pt idx="18">
                  <c:v>1.9000000000000001</c:v>
                </c:pt>
                <c:pt idx="19">
                  <c:v>1.9000000000000001</c:v>
                </c:pt>
                <c:pt idx="20">
                  <c:v>1.9000000000000001</c:v>
                </c:pt>
                <c:pt idx="21">
                  <c:v>1.9000000000000001</c:v>
                </c:pt>
                <c:pt idx="22">
                  <c:v>1.9000000000000001</c:v>
                </c:pt>
                <c:pt idx="23">
                  <c:v>1.9000000000000001</c:v>
                </c:pt>
                <c:pt idx="24">
                  <c:v>2.9</c:v>
                </c:pt>
                <c:pt idx="25">
                  <c:v>2.9</c:v>
                </c:pt>
                <c:pt idx="26">
                  <c:v>2.9</c:v>
                </c:pt>
                <c:pt idx="27">
                  <c:v>2.9</c:v>
                </c:pt>
                <c:pt idx="28">
                  <c:v>2.9</c:v>
                </c:pt>
                <c:pt idx="29">
                  <c:v>2.9</c:v>
                </c:pt>
                <c:pt idx="30">
                  <c:v>2.9</c:v>
                </c:pt>
                <c:pt idx="31">
                  <c:v>2.9</c:v>
                </c:pt>
                <c:pt idx="32">
                  <c:v>2.9</c:v>
                </c:pt>
                <c:pt idx="33">
                  <c:v>2.9</c:v>
                </c:pt>
                <c:pt idx="34">
                  <c:v>2.9</c:v>
                </c:pt>
                <c:pt idx="35">
                  <c:v>2.9</c:v>
                </c:pt>
                <c:pt idx="36">
                  <c:v>5.4</c:v>
                </c:pt>
                <c:pt idx="37">
                  <c:v>5.4</c:v>
                </c:pt>
                <c:pt idx="38">
                  <c:v>5.4</c:v>
                </c:pt>
                <c:pt idx="39">
                  <c:v>5.4</c:v>
                </c:pt>
                <c:pt idx="40">
                  <c:v>6.4</c:v>
                </c:pt>
                <c:pt idx="41">
                  <c:v>6.4</c:v>
                </c:pt>
                <c:pt idx="42">
                  <c:v>6.4</c:v>
                </c:pt>
                <c:pt idx="43">
                  <c:v>6.4</c:v>
                </c:pt>
                <c:pt idx="44">
                  <c:v>6.4</c:v>
                </c:pt>
                <c:pt idx="45">
                  <c:v>6.4</c:v>
                </c:pt>
                <c:pt idx="46">
                  <c:v>6.4</c:v>
                </c:pt>
                <c:pt idx="47">
                  <c:v>6.4</c:v>
                </c:pt>
                <c:pt idx="48">
                  <c:v>6.9</c:v>
                </c:pt>
                <c:pt idx="49">
                  <c:v>6.9</c:v>
                </c:pt>
                <c:pt idx="50">
                  <c:v>6.9</c:v>
                </c:pt>
                <c:pt idx="51">
                  <c:v>6.9</c:v>
                </c:pt>
                <c:pt idx="52">
                  <c:v>5.9</c:v>
                </c:pt>
                <c:pt idx="53">
                  <c:v>5.9</c:v>
                </c:pt>
                <c:pt idx="54">
                  <c:v>5.9</c:v>
                </c:pt>
                <c:pt idx="55">
                  <c:v>5.9</c:v>
                </c:pt>
                <c:pt idx="56">
                  <c:v>5.9</c:v>
                </c:pt>
                <c:pt idx="57">
                  <c:v>5.9</c:v>
                </c:pt>
                <c:pt idx="58">
                  <c:v>5.9</c:v>
                </c:pt>
                <c:pt idx="59">
                  <c:v>5.9</c:v>
                </c:pt>
                <c:pt idx="60">
                  <c:v>5.3</c:v>
                </c:pt>
                <c:pt idx="61">
                  <c:v>5.3</c:v>
                </c:pt>
                <c:pt idx="62">
                  <c:v>5.3</c:v>
                </c:pt>
                <c:pt idx="63">
                  <c:v>5.3</c:v>
                </c:pt>
                <c:pt idx="64">
                  <c:v>5.3</c:v>
                </c:pt>
                <c:pt idx="65">
                  <c:v>5.3</c:v>
                </c:pt>
                <c:pt idx="66">
                  <c:v>5.3</c:v>
                </c:pt>
                <c:pt idx="67">
                  <c:v>5.3</c:v>
                </c:pt>
                <c:pt idx="68">
                  <c:v>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C43-41CF-90FE-A1D1F7E4F9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4935552"/>
        <c:axId val="124986112"/>
      </c:lineChart>
      <c:catAx>
        <c:axId val="12493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24986112"/>
        <c:crosses val="autoZero"/>
        <c:auto val="1"/>
        <c:lblAlgn val="ctr"/>
        <c:lblOffset val="100"/>
        <c:noMultiLvlLbl val="0"/>
      </c:catAx>
      <c:valAx>
        <c:axId val="124986112"/>
        <c:scaling>
          <c:orientation val="minMax"/>
          <c:max val="65"/>
          <c:min val="-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24935552"/>
        <c:crosses val="autoZero"/>
        <c:crossBetween val="between"/>
        <c:majorUnit val="5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1319022289766968E-2"/>
          <c:y val="0.86223931272106069"/>
          <c:w val="0.90901046943600139"/>
          <c:h val="0.12109402425765231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02EAB-49C7-4DE4-9ED7-50D36407C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79350-D56E-4794-82D9-60659CC7F9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167F67-FDA3-49CB-8EF4-F09F78583693}"/>
</file>

<file path=customXml/itemProps4.xml><?xml version="1.0" encoding="utf-8"?>
<ds:datastoreItem xmlns:ds="http://schemas.openxmlformats.org/officeDocument/2006/customXml" ds:itemID="{BF3E4C8B-3541-4830-96DC-7E65F2C9CE7D}"/>
</file>

<file path=customXml/itemProps5.xml><?xml version="1.0" encoding="utf-8"?>
<ds:datastoreItem xmlns:ds="http://schemas.openxmlformats.org/officeDocument/2006/customXml" ds:itemID="{5188CA10-751E-465F-939A-D732D289D1D5}"/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2</TotalTime>
  <Pages>6</Pages>
  <Words>2204</Words>
  <Characters>13007</Characters>
  <Application>Microsoft Office Word</Application>
  <DocSecurity>0</DocSecurity>
  <Lines>108</Lines>
  <Paragraphs>30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15181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3</cp:revision>
  <cp:lastPrinted>2019-04-08T10:52:00Z</cp:lastPrinted>
  <dcterms:created xsi:type="dcterms:W3CDTF">2022-12-15T09:52:00Z</dcterms:created>
  <dcterms:modified xsi:type="dcterms:W3CDTF">2022-12-15T09:59:00Z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