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4729" w14:textId="0889F023" w:rsidR="00C118A9" w:rsidRPr="00A00994" w:rsidRDefault="00C118A9" w:rsidP="00C118A9">
      <w:pPr>
        <w:pStyle w:val="Nadpis11"/>
        <w:spacing w:after="120"/>
        <w:rPr>
          <w:lang w:val="en-GB"/>
        </w:rPr>
      </w:pPr>
      <w:bookmarkStart w:id="0" w:name="_Toc74643859"/>
      <w:bookmarkStart w:id="1" w:name="_Toc90395915"/>
      <w:bookmarkStart w:id="2" w:name="_Toc98245446"/>
      <w:bookmarkStart w:id="3" w:name="_Toc74643860"/>
      <w:bookmarkStart w:id="4" w:name="_Toc116642875"/>
      <w:r w:rsidRPr="00A00994">
        <w:rPr>
          <w:lang w:val="en-GB"/>
        </w:rPr>
        <w:t>6. </w:t>
      </w:r>
      <w:r w:rsidR="00C139F8" w:rsidRPr="00A00994">
        <w:rPr>
          <w:lang w:val="en-GB"/>
        </w:rPr>
        <w:t>Labour Market</w:t>
      </w:r>
      <w:bookmarkEnd w:id="4"/>
    </w:p>
    <w:tbl>
      <w:tblPr>
        <w:tblW w:w="9674" w:type="dxa"/>
        <w:tblInd w:w="-35" w:type="dxa"/>
        <w:tblCellMar>
          <w:left w:w="0" w:type="dxa"/>
          <w:right w:w="0" w:type="dxa"/>
        </w:tblCellMar>
        <w:tblLook w:val="00A0" w:firstRow="1" w:lastRow="0" w:firstColumn="1" w:lastColumn="0" w:noHBand="0" w:noVBand="0"/>
      </w:tblPr>
      <w:tblGrid>
        <w:gridCol w:w="1739"/>
        <w:gridCol w:w="220"/>
        <w:gridCol w:w="7715"/>
      </w:tblGrid>
      <w:tr w:rsidR="000C62C0" w:rsidRPr="00A00994" w14:paraId="2FB18B8A" w14:textId="77777777" w:rsidTr="00BC060A">
        <w:trPr>
          <w:trHeight w:val="155"/>
        </w:trPr>
        <w:tc>
          <w:tcPr>
            <w:tcW w:w="1739" w:type="dxa"/>
            <w:shd w:val="clear" w:color="auto" w:fill="auto"/>
            <w:tcMar>
              <w:left w:w="0" w:type="dxa"/>
            </w:tcMar>
          </w:tcPr>
          <w:p w14:paraId="771BBB1F" w14:textId="4C06F93C" w:rsidR="00C118A9" w:rsidRPr="00A00994" w:rsidRDefault="00F809C0" w:rsidP="00621190">
            <w:pPr>
              <w:pStyle w:val="Marginlie"/>
              <w:spacing w:after="120"/>
              <w:rPr>
                <w:color w:val="0D0D0D" w:themeColor="text1" w:themeTint="F2"/>
                <w:spacing w:val="-4"/>
                <w:lang w:val="en-GB"/>
              </w:rPr>
            </w:pPr>
            <w:r w:rsidRPr="00A00994">
              <w:rPr>
                <w:color w:val="0D0D0D" w:themeColor="text1" w:themeTint="F2"/>
                <w:spacing w:val="-4"/>
                <w:lang w:val="en-GB"/>
              </w:rPr>
              <w:t xml:space="preserve">Labour market </w:t>
            </w:r>
            <w:r w:rsidR="002A6FCC" w:rsidRPr="00A00994">
              <w:rPr>
                <w:color w:val="0D0D0D" w:themeColor="text1" w:themeTint="F2"/>
                <w:spacing w:val="-4"/>
                <w:lang w:val="en-GB"/>
              </w:rPr>
              <w:t>was further developing in the CR in Q</w:t>
            </w:r>
            <w:r w:rsidR="00C118A9" w:rsidRPr="00A00994">
              <w:rPr>
                <w:color w:val="0D0D0D" w:themeColor="text1" w:themeTint="F2"/>
                <w:spacing w:val="-4"/>
                <w:lang w:val="en-GB"/>
              </w:rPr>
              <w:t xml:space="preserve">2, </w:t>
            </w:r>
            <w:r w:rsidRPr="00A00994">
              <w:rPr>
                <w:color w:val="0D0D0D" w:themeColor="text1" w:themeTint="F2"/>
                <w:spacing w:val="-4"/>
                <w:lang w:val="en-GB"/>
              </w:rPr>
              <w:t>demand for workers remained high</w:t>
            </w:r>
            <w:r w:rsidR="00C118A9" w:rsidRPr="00A00994">
              <w:rPr>
                <w:color w:val="0D0D0D" w:themeColor="text1" w:themeTint="F2"/>
                <w:spacing w:val="-4"/>
                <w:lang w:val="en-GB"/>
              </w:rPr>
              <w:t>.</w:t>
            </w:r>
          </w:p>
          <w:p w14:paraId="7DE67C2F" w14:textId="77777777" w:rsidR="00C118A9" w:rsidRPr="00A00994" w:rsidRDefault="00C118A9" w:rsidP="00621190">
            <w:pPr>
              <w:pStyle w:val="Marginlie"/>
              <w:spacing w:after="120"/>
              <w:rPr>
                <w:color w:val="0D0D0D" w:themeColor="text1" w:themeTint="F2"/>
                <w:spacing w:val="-4"/>
                <w:lang w:val="en-GB"/>
              </w:rPr>
            </w:pPr>
          </w:p>
          <w:p w14:paraId="0E3714E2" w14:textId="3A59ABA0" w:rsidR="00C118A9" w:rsidRPr="00A00994" w:rsidRDefault="00F809C0" w:rsidP="00621190">
            <w:pPr>
              <w:pStyle w:val="Marginlie"/>
              <w:spacing w:after="120"/>
              <w:rPr>
                <w:color w:val="0D0D0D" w:themeColor="text1" w:themeTint="F2"/>
                <w:spacing w:val="-4"/>
                <w:lang w:val="en-GB"/>
              </w:rPr>
            </w:pPr>
            <w:r w:rsidRPr="00A00994">
              <w:rPr>
                <w:color w:val="0D0D0D" w:themeColor="text1" w:themeTint="F2"/>
                <w:spacing w:val="-4"/>
                <w:lang w:val="en-GB"/>
              </w:rPr>
              <w:t xml:space="preserve">Unprecedented high growth of prices pervading whole economy essentially influenced the economic situation of business as well as purchasing power of wages. </w:t>
            </w:r>
            <w:r w:rsidR="00C118A9" w:rsidRPr="00A00994">
              <w:rPr>
                <w:color w:val="0D0D0D" w:themeColor="text1" w:themeTint="F2"/>
                <w:spacing w:val="-4"/>
                <w:lang w:val="en-GB"/>
              </w:rPr>
              <w:t xml:space="preserve"> </w:t>
            </w:r>
          </w:p>
        </w:tc>
        <w:tc>
          <w:tcPr>
            <w:tcW w:w="220" w:type="dxa"/>
            <w:shd w:val="clear" w:color="auto" w:fill="auto"/>
            <w:tcMar>
              <w:left w:w="0" w:type="dxa"/>
            </w:tcMar>
          </w:tcPr>
          <w:p w14:paraId="7228D4AD"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373E1FE" w14:textId="0617C2D1" w:rsidR="00C118A9" w:rsidRPr="009E74B3" w:rsidRDefault="00E03805" w:rsidP="00621190">
            <w:pPr>
              <w:rPr>
                <w:color w:val="0D0D0D" w:themeColor="text1" w:themeTint="F2"/>
                <w:lang w:val="en-GB"/>
              </w:rPr>
            </w:pPr>
            <w:r w:rsidRPr="009E74B3">
              <w:rPr>
                <w:color w:val="0D0D0D" w:themeColor="text1" w:themeTint="F2"/>
                <w:lang w:val="en-GB"/>
              </w:rPr>
              <w:t>Domestic labour market was further developing in Q2 2022</w:t>
            </w:r>
            <w:r w:rsidR="00C118A9" w:rsidRPr="009E74B3">
              <w:rPr>
                <w:color w:val="0D0D0D" w:themeColor="text1" w:themeTint="F2"/>
                <w:lang w:val="en-GB"/>
              </w:rPr>
              <w:t xml:space="preserve">. </w:t>
            </w:r>
            <w:r w:rsidR="00F375CB" w:rsidRPr="009E74B3">
              <w:rPr>
                <w:color w:val="0D0D0D" w:themeColor="text1" w:themeTint="F2"/>
                <w:lang w:val="en-GB"/>
              </w:rPr>
              <w:t>Ongoing recovery of the part of services hit by the slump of consumption during the pandemic period played a role</w:t>
            </w:r>
            <w:r w:rsidR="00C118A9" w:rsidRPr="009E74B3">
              <w:rPr>
                <w:color w:val="0D0D0D" w:themeColor="text1" w:themeTint="F2"/>
                <w:lang w:val="en-GB"/>
              </w:rPr>
              <w:t xml:space="preserve">, </w:t>
            </w:r>
            <w:r w:rsidR="00F375CB" w:rsidRPr="009E74B3">
              <w:rPr>
                <w:color w:val="0D0D0D" w:themeColor="text1" w:themeTint="F2"/>
                <w:lang w:val="en-GB"/>
              </w:rPr>
              <w:t xml:space="preserve">in addition the difficulties with the supplies of production components in part of industry were mitigated during </w:t>
            </w:r>
            <w:r w:rsidR="00DC1A3D" w:rsidRPr="009E74B3">
              <w:rPr>
                <w:color w:val="0D0D0D" w:themeColor="text1" w:themeTint="F2"/>
                <w:lang w:val="en-GB"/>
              </w:rPr>
              <w:t>s</w:t>
            </w:r>
            <w:r w:rsidR="00E846B0" w:rsidRPr="009E74B3">
              <w:rPr>
                <w:color w:val="0D0D0D" w:themeColor="text1" w:themeTint="F2"/>
                <w:lang w:val="en-GB"/>
              </w:rPr>
              <w:t>pring</w:t>
            </w:r>
            <w:r w:rsidR="00F375CB" w:rsidRPr="009E74B3">
              <w:rPr>
                <w:color w:val="0D0D0D" w:themeColor="text1" w:themeTint="F2"/>
                <w:lang w:val="en-GB"/>
              </w:rPr>
              <w:t xml:space="preserve">. </w:t>
            </w:r>
            <w:r w:rsidR="005C771D" w:rsidRPr="009E74B3">
              <w:rPr>
                <w:color w:val="0D0D0D" w:themeColor="text1" w:themeTint="F2"/>
                <w:lang w:val="en-GB"/>
              </w:rPr>
              <w:t>The large refugee wave from Ukraine undoubtedly also contributed to the revival of the labour market, even though the integration of these persons into the working processes took place more gradually. Demand of businesses for workers remained</w:t>
            </w:r>
            <w:r w:rsidR="00DC1A3D" w:rsidRPr="009E74B3">
              <w:rPr>
                <w:color w:val="0D0D0D" w:themeColor="text1" w:themeTint="F2"/>
                <w:lang w:val="en-GB"/>
              </w:rPr>
              <w:t xml:space="preserve"> high also at the beginning of s</w:t>
            </w:r>
            <w:r w:rsidR="005C771D" w:rsidRPr="009E74B3">
              <w:rPr>
                <w:color w:val="0D0D0D" w:themeColor="text1" w:themeTint="F2"/>
                <w:lang w:val="en-GB"/>
              </w:rPr>
              <w:t>ummer</w:t>
            </w:r>
            <w:r w:rsidR="00C118A9" w:rsidRPr="009E74B3">
              <w:rPr>
                <w:color w:val="0D0D0D" w:themeColor="text1" w:themeTint="F2"/>
                <w:lang w:val="en-GB"/>
              </w:rPr>
              <w:t xml:space="preserve">, </w:t>
            </w:r>
            <w:r w:rsidR="00F375CB" w:rsidRPr="009E74B3">
              <w:rPr>
                <w:color w:val="0D0D0D" w:themeColor="text1" w:themeTint="F2"/>
                <w:lang w:val="en-GB"/>
              </w:rPr>
              <w:t xml:space="preserve">their shortage presented a substantial growth barrier in the number of branches. The unemployment was thus around its historical minimum, especially for males. </w:t>
            </w:r>
            <w:r w:rsidR="006E7410" w:rsidRPr="009E74B3">
              <w:rPr>
                <w:color w:val="0D0D0D" w:themeColor="text1" w:themeTint="F2"/>
                <w:lang w:val="en-GB"/>
              </w:rPr>
              <w:t xml:space="preserve">In contrast to the pre-pandemic period however, a substantial drop of the purchasing power of wages manifested this year. In Q1, it already attained the fastest pace in the current millennium, </w:t>
            </w:r>
            <w:r w:rsidR="00A12D93" w:rsidRPr="009E74B3">
              <w:rPr>
                <w:color w:val="0D0D0D" w:themeColor="text1" w:themeTint="F2"/>
                <w:lang w:val="en-GB"/>
              </w:rPr>
              <w:t xml:space="preserve">due to the impact of the sharp acceleration of the consumer inflation it reached such an intensity in the subsequent quarter, which is completely unprecedented in the history of the independent CR. </w:t>
            </w:r>
            <w:r w:rsidR="006E7410" w:rsidRPr="009E74B3">
              <w:rPr>
                <w:color w:val="0D0D0D" w:themeColor="text1" w:themeTint="F2"/>
                <w:lang w:val="en-GB"/>
              </w:rPr>
              <w:t>Thus not only the entire main branches of the economy were afflicted by lowered purchasing power of wages</w:t>
            </w:r>
            <w:r w:rsidR="00C118A9" w:rsidRPr="009E74B3">
              <w:rPr>
                <w:color w:val="0D0D0D" w:themeColor="text1" w:themeTint="F2"/>
                <w:lang w:val="en-GB"/>
              </w:rPr>
              <w:t>,</w:t>
            </w:r>
            <w:r w:rsidR="006E7410" w:rsidRPr="009E74B3">
              <w:rPr>
                <w:color w:val="0D0D0D" w:themeColor="text1" w:themeTint="F2"/>
                <w:lang w:val="en-GB"/>
              </w:rPr>
              <w:t xml:space="preserve"> but likely also the vast majority of their employees. </w:t>
            </w:r>
          </w:p>
        </w:tc>
      </w:tr>
      <w:tr w:rsidR="000C62C0" w:rsidRPr="00A00994" w14:paraId="5B42C948" w14:textId="77777777" w:rsidTr="00BC060A">
        <w:trPr>
          <w:trHeight w:val="155"/>
        </w:trPr>
        <w:tc>
          <w:tcPr>
            <w:tcW w:w="1739" w:type="dxa"/>
            <w:shd w:val="clear" w:color="auto" w:fill="auto"/>
            <w:tcMar>
              <w:left w:w="0" w:type="dxa"/>
            </w:tcMar>
          </w:tcPr>
          <w:p w14:paraId="494304CC" w14:textId="026C07DB" w:rsidR="00C118A9" w:rsidRPr="00A00994" w:rsidRDefault="00B8792C" w:rsidP="00621190">
            <w:pPr>
              <w:pStyle w:val="Marginlie"/>
              <w:spacing w:after="120"/>
              <w:rPr>
                <w:color w:val="0D0D0D" w:themeColor="text1" w:themeTint="F2"/>
                <w:spacing w:val="-4"/>
                <w:lang w:val="en-GB"/>
              </w:rPr>
            </w:pPr>
            <w:r w:rsidRPr="00A00994">
              <w:rPr>
                <w:color w:val="0D0D0D" w:themeColor="text1" w:themeTint="F2"/>
                <w:spacing w:val="-4"/>
                <w:lang w:val="en-GB"/>
              </w:rPr>
              <w:t>Employment grew swiftly in both year-on-year and quarter-on-quarter view. There was record number of workers in Q2</w:t>
            </w:r>
            <w:r w:rsidR="00C118A9" w:rsidRPr="00A00994">
              <w:rPr>
                <w:color w:val="0D0D0D" w:themeColor="text1" w:themeTint="F2"/>
                <w:spacing w:val="-4"/>
                <w:lang w:val="en-GB"/>
              </w:rPr>
              <w:t>.</w:t>
            </w:r>
          </w:p>
          <w:p w14:paraId="2B1BF3E2" w14:textId="77777777" w:rsidR="00C118A9" w:rsidRPr="00A00994" w:rsidRDefault="00C118A9" w:rsidP="00621190">
            <w:pPr>
              <w:pStyle w:val="Marginlie"/>
              <w:spacing w:after="120"/>
              <w:rPr>
                <w:color w:val="0D0D0D" w:themeColor="text1" w:themeTint="F2"/>
                <w:spacing w:val="-4"/>
                <w:lang w:val="en-GB"/>
              </w:rPr>
            </w:pPr>
          </w:p>
        </w:tc>
        <w:tc>
          <w:tcPr>
            <w:tcW w:w="220" w:type="dxa"/>
            <w:shd w:val="clear" w:color="auto" w:fill="auto"/>
            <w:tcMar>
              <w:left w:w="0" w:type="dxa"/>
            </w:tcMar>
          </w:tcPr>
          <w:p w14:paraId="6A67DC8C"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D84D096" w14:textId="21F50F45" w:rsidR="00C118A9" w:rsidRPr="009E74B3" w:rsidRDefault="00B8792C" w:rsidP="00621190">
            <w:pPr>
              <w:rPr>
                <w:color w:val="0D0D0D" w:themeColor="text1" w:themeTint="F2"/>
                <w:lang w:val="en-GB"/>
              </w:rPr>
            </w:pPr>
            <w:r w:rsidRPr="009E74B3">
              <w:rPr>
                <w:color w:val="0D0D0D" w:themeColor="text1" w:themeTint="F2"/>
                <w:lang w:val="en-GB"/>
              </w:rPr>
              <w:t>The employment growth</w:t>
            </w:r>
            <w:r w:rsidR="00C118A9" w:rsidRPr="009E74B3">
              <w:rPr>
                <w:color w:val="0D0D0D" w:themeColor="text1" w:themeTint="F2"/>
                <w:vertAlign w:val="superscript"/>
                <w:lang w:val="en-GB"/>
              </w:rPr>
              <w:footnoteReference w:id="1"/>
            </w:r>
            <w:r w:rsidRPr="009E74B3">
              <w:rPr>
                <w:color w:val="0D0D0D" w:themeColor="text1" w:themeTint="F2"/>
                <w:lang w:val="en-GB"/>
              </w:rPr>
              <w:t xml:space="preserve"> accelerated in Q</w:t>
            </w:r>
            <w:r w:rsidR="00C118A9" w:rsidRPr="009E74B3">
              <w:rPr>
                <w:color w:val="0D0D0D" w:themeColor="text1" w:themeTint="F2"/>
                <w:lang w:val="en-GB"/>
              </w:rPr>
              <w:t>2</w:t>
            </w:r>
            <w:r w:rsidRPr="009E74B3">
              <w:rPr>
                <w:color w:val="0D0D0D" w:themeColor="text1" w:themeTint="F2"/>
                <w:lang w:val="en-GB"/>
              </w:rPr>
              <w:t xml:space="preserve"> </w:t>
            </w:r>
            <w:r w:rsidR="00C118A9" w:rsidRPr="009E74B3">
              <w:rPr>
                <w:color w:val="0D0D0D" w:themeColor="text1" w:themeTint="F2"/>
                <w:lang w:val="en-GB"/>
              </w:rPr>
              <w:t>2022</w:t>
            </w:r>
            <w:r w:rsidRPr="009E74B3">
              <w:rPr>
                <w:color w:val="0D0D0D" w:themeColor="text1" w:themeTint="F2"/>
                <w:lang w:val="en-GB"/>
              </w:rPr>
              <w:t xml:space="preserve">, it reached swift </w:t>
            </w:r>
            <w:r w:rsidR="00C118A9" w:rsidRPr="009E74B3">
              <w:rPr>
                <w:color w:val="0D0D0D" w:themeColor="text1" w:themeTint="F2"/>
                <w:lang w:val="en-GB"/>
              </w:rPr>
              <w:t>1</w:t>
            </w:r>
            <w:r w:rsidRPr="009E74B3">
              <w:rPr>
                <w:color w:val="0D0D0D" w:themeColor="text1" w:themeTint="F2"/>
                <w:lang w:val="en-GB"/>
              </w:rPr>
              <w:t>.</w:t>
            </w:r>
            <w:r w:rsidR="00C118A9" w:rsidRPr="009E74B3">
              <w:rPr>
                <w:color w:val="0D0D0D" w:themeColor="text1" w:themeTint="F2"/>
                <w:lang w:val="en-GB"/>
              </w:rPr>
              <w:t>6%</w:t>
            </w:r>
            <w:r w:rsidRPr="009E74B3">
              <w:rPr>
                <w:color w:val="0D0D0D" w:themeColor="text1" w:themeTint="F2"/>
                <w:lang w:val="en-GB"/>
              </w:rPr>
              <w:t xml:space="preserve"> quarter-on-quarter</w:t>
            </w:r>
            <w:r w:rsidR="00C118A9" w:rsidRPr="009E74B3">
              <w:rPr>
                <w:color w:val="0D0D0D" w:themeColor="text1" w:themeTint="F2"/>
                <w:lang w:val="en-GB"/>
              </w:rPr>
              <w:t xml:space="preserve">. </w:t>
            </w:r>
            <w:r w:rsidRPr="009E74B3">
              <w:rPr>
                <w:color w:val="0D0D0D" w:themeColor="text1" w:themeTint="F2"/>
                <w:lang w:val="en-GB"/>
              </w:rPr>
              <w:t>The group trade, transportation, accommodation and restaurants was the most instrumental in this result</w:t>
            </w:r>
            <w:r w:rsidR="00C118A9" w:rsidRPr="009E74B3">
              <w:rPr>
                <w:color w:val="0D0D0D" w:themeColor="text1" w:themeTint="F2"/>
                <w:lang w:val="en-GB"/>
              </w:rPr>
              <w:t>,</w:t>
            </w:r>
            <w:r w:rsidRPr="009E74B3">
              <w:rPr>
                <w:color w:val="0D0D0D" w:themeColor="text1" w:themeTint="F2"/>
                <w:lang w:val="en-GB"/>
              </w:rPr>
              <w:t xml:space="preserve"> manufacturing also contributed significantly. </w:t>
            </w:r>
            <w:r w:rsidR="00E16FC8" w:rsidRPr="009E74B3">
              <w:rPr>
                <w:color w:val="0D0D0D" w:themeColor="text1" w:themeTint="F2"/>
                <w:lang w:val="en-GB"/>
              </w:rPr>
              <w:t>But practically a</w:t>
            </w:r>
            <w:r w:rsidR="00B74306" w:rsidRPr="009E74B3">
              <w:rPr>
                <w:color w:val="0D0D0D" w:themeColor="text1" w:themeTint="F2"/>
                <w:lang w:val="en-GB"/>
              </w:rPr>
              <w:t xml:space="preserve">ll </w:t>
            </w:r>
            <w:r w:rsidR="00E16FC8" w:rsidRPr="009E74B3">
              <w:rPr>
                <w:color w:val="0D0D0D" w:themeColor="text1" w:themeTint="F2"/>
                <w:lang w:val="en-GB"/>
              </w:rPr>
              <w:t xml:space="preserve">main </w:t>
            </w:r>
            <w:r w:rsidR="00B74306" w:rsidRPr="009E74B3">
              <w:rPr>
                <w:color w:val="0D0D0D" w:themeColor="text1" w:themeTint="F2"/>
                <w:lang w:val="en-GB"/>
              </w:rPr>
              <w:t>branches</w:t>
            </w:r>
            <w:r w:rsidR="00E16FC8" w:rsidRPr="009E74B3">
              <w:rPr>
                <w:color w:val="0D0D0D" w:themeColor="text1" w:themeTint="F2"/>
                <w:lang w:val="en-GB"/>
              </w:rPr>
              <w:t xml:space="preserve"> revived</w:t>
            </w:r>
            <w:r w:rsidR="00C118A9" w:rsidRPr="009E74B3">
              <w:rPr>
                <w:color w:val="0D0D0D" w:themeColor="text1" w:themeTint="F2"/>
                <w:lang w:val="en-GB"/>
              </w:rPr>
              <w:t xml:space="preserve">. </w:t>
            </w:r>
            <w:r w:rsidR="00E16FC8" w:rsidRPr="009E74B3">
              <w:rPr>
                <w:color w:val="0D0D0D" w:themeColor="text1" w:themeTint="F2"/>
                <w:lang w:val="en-GB"/>
              </w:rPr>
              <w:t xml:space="preserve">Total number of workers reached </w:t>
            </w:r>
            <w:r w:rsidR="00C118A9" w:rsidRPr="009E74B3">
              <w:rPr>
                <w:lang w:val="en-GB"/>
              </w:rPr>
              <w:t>5</w:t>
            </w:r>
            <w:r w:rsidR="00E16FC8" w:rsidRPr="009E74B3">
              <w:rPr>
                <w:lang w:val="en-GB"/>
              </w:rPr>
              <w:t>.</w:t>
            </w:r>
            <w:r w:rsidR="00C118A9" w:rsidRPr="009E74B3">
              <w:rPr>
                <w:lang w:val="en-GB"/>
              </w:rPr>
              <w:t>48 mil</w:t>
            </w:r>
            <w:r w:rsidR="00E16FC8" w:rsidRPr="009E74B3">
              <w:rPr>
                <w:lang w:val="en-GB"/>
              </w:rPr>
              <w:t xml:space="preserve"> in the whole economy and exceeded the record level from year </w:t>
            </w:r>
            <w:r w:rsidR="00C118A9" w:rsidRPr="009E74B3">
              <w:rPr>
                <w:lang w:val="en-GB"/>
              </w:rPr>
              <w:t>2019</w:t>
            </w:r>
            <w:r w:rsidR="00E16FC8" w:rsidRPr="009E74B3">
              <w:rPr>
                <w:lang w:val="en-GB"/>
              </w:rPr>
              <w:t xml:space="preserve"> for the first time</w:t>
            </w:r>
            <w:r w:rsidR="00C118A9" w:rsidRPr="009E74B3">
              <w:rPr>
                <w:lang w:val="en-GB"/>
              </w:rPr>
              <w:t xml:space="preserve">. </w:t>
            </w:r>
            <w:r w:rsidR="00E16FC8" w:rsidRPr="009E74B3">
              <w:rPr>
                <w:lang w:val="en-GB"/>
              </w:rPr>
              <w:t>2.5% persons more thus worked compared to last year’s Q</w:t>
            </w:r>
            <w:r w:rsidR="00C118A9" w:rsidRPr="009E74B3">
              <w:rPr>
                <w:lang w:val="en-GB"/>
              </w:rPr>
              <w:t>2.</w:t>
            </w:r>
            <w:r w:rsidR="00E16FC8" w:rsidRPr="009E74B3">
              <w:rPr>
                <w:lang w:val="en-GB"/>
              </w:rPr>
              <w:t xml:space="preserve"> It is positive, that both employees and self-employed persons participated on this growth, self-employed persons increased in number for the first time since year </w:t>
            </w:r>
            <w:r w:rsidR="00C118A9" w:rsidRPr="009E74B3">
              <w:rPr>
                <w:lang w:val="en-GB"/>
              </w:rPr>
              <w:t xml:space="preserve">2017. </w:t>
            </w:r>
          </w:p>
        </w:tc>
      </w:tr>
      <w:tr w:rsidR="000C62C0" w:rsidRPr="00A00994" w14:paraId="34903DB1" w14:textId="77777777" w:rsidTr="00BC060A">
        <w:trPr>
          <w:trHeight w:val="155"/>
        </w:trPr>
        <w:tc>
          <w:tcPr>
            <w:tcW w:w="1739" w:type="dxa"/>
            <w:shd w:val="clear" w:color="auto" w:fill="auto"/>
            <w:tcMar>
              <w:left w:w="0" w:type="dxa"/>
            </w:tcMar>
          </w:tcPr>
          <w:p w14:paraId="2C30B13D" w14:textId="7878426E" w:rsidR="00C118A9" w:rsidRPr="00A00994" w:rsidRDefault="00C118A9" w:rsidP="00621190">
            <w:pPr>
              <w:pStyle w:val="Marginlie"/>
              <w:rPr>
                <w:color w:val="0D0D0D" w:themeColor="text1" w:themeTint="F2"/>
                <w:spacing w:val="-4"/>
                <w:lang w:val="en-GB"/>
              </w:rPr>
            </w:pPr>
            <w:r w:rsidRPr="00A00994">
              <w:rPr>
                <w:color w:val="0D0D0D" w:themeColor="text1" w:themeTint="F2"/>
                <w:spacing w:val="-4"/>
                <w:lang w:val="en-GB"/>
              </w:rPr>
              <w:t>N</w:t>
            </w:r>
            <w:r w:rsidR="00FE0292" w:rsidRPr="00A00994">
              <w:rPr>
                <w:color w:val="0D0D0D" w:themeColor="text1" w:themeTint="F2"/>
                <w:spacing w:val="-4"/>
                <w:lang w:val="en-GB"/>
              </w:rPr>
              <w:t>ew job positions were created the most in</w:t>
            </w:r>
            <w:r w:rsidR="009E74B3">
              <w:rPr>
                <w:color w:val="0D0D0D" w:themeColor="text1" w:themeTint="F2"/>
                <w:spacing w:val="-4"/>
                <w:lang w:val="en-GB"/>
              </w:rPr>
              <w:t xml:space="preserve"> services, mainly in</w:t>
            </w:r>
            <w:r w:rsidR="00FE0292" w:rsidRPr="00A00994">
              <w:rPr>
                <w:color w:val="0D0D0D" w:themeColor="text1" w:themeTint="F2"/>
                <w:spacing w:val="-4"/>
                <w:lang w:val="en-GB"/>
              </w:rPr>
              <w:t xml:space="preserve"> trade and activities associated with tourism and with real estate. </w:t>
            </w:r>
          </w:p>
          <w:p w14:paraId="630C4215" w14:textId="77777777" w:rsidR="00C118A9" w:rsidRPr="00A00994" w:rsidRDefault="00C118A9" w:rsidP="00621190">
            <w:pPr>
              <w:pStyle w:val="Marginlie"/>
              <w:rPr>
                <w:color w:val="0D0D0D" w:themeColor="text1" w:themeTint="F2"/>
                <w:spacing w:val="-4"/>
                <w:lang w:val="en-GB"/>
              </w:rPr>
            </w:pPr>
          </w:p>
          <w:p w14:paraId="6850000F" w14:textId="77777777" w:rsidR="00C118A9" w:rsidRPr="00A00994" w:rsidRDefault="00C118A9" w:rsidP="00621190">
            <w:pPr>
              <w:pStyle w:val="Marginlie"/>
              <w:rPr>
                <w:color w:val="0D0D0D" w:themeColor="text1" w:themeTint="F2"/>
                <w:spacing w:val="-4"/>
                <w:lang w:val="en-GB"/>
              </w:rPr>
            </w:pPr>
          </w:p>
          <w:p w14:paraId="601F36E2" w14:textId="77777777" w:rsidR="00C118A9" w:rsidRPr="00A00994" w:rsidRDefault="00C118A9" w:rsidP="00621190">
            <w:pPr>
              <w:pStyle w:val="Marginlie"/>
              <w:rPr>
                <w:color w:val="0D0D0D" w:themeColor="text1" w:themeTint="F2"/>
                <w:spacing w:val="-4"/>
                <w:lang w:val="en-GB"/>
              </w:rPr>
            </w:pPr>
          </w:p>
          <w:p w14:paraId="28896A79" w14:textId="77777777" w:rsidR="00C118A9" w:rsidRPr="00A00994" w:rsidRDefault="00C118A9" w:rsidP="00621190">
            <w:pPr>
              <w:pStyle w:val="Marginlie"/>
              <w:rPr>
                <w:color w:val="0D0D0D" w:themeColor="text1" w:themeTint="F2"/>
                <w:spacing w:val="-4"/>
                <w:lang w:val="en-GB"/>
              </w:rPr>
            </w:pPr>
          </w:p>
          <w:p w14:paraId="3AC66CCA" w14:textId="77777777" w:rsidR="00C118A9" w:rsidRPr="00A00994" w:rsidRDefault="00C118A9" w:rsidP="00621190">
            <w:pPr>
              <w:pStyle w:val="Marginlie"/>
              <w:rPr>
                <w:color w:val="0D0D0D" w:themeColor="text1" w:themeTint="F2"/>
                <w:spacing w:val="-4"/>
                <w:lang w:val="en-GB"/>
              </w:rPr>
            </w:pPr>
          </w:p>
          <w:p w14:paraId="69484A23" w14:textId="77777777" w:rsidR="00C118A9" w:rsidRPr="00A00994" w:rsidRDefault="00C118A9" w:rsidP="00621190">
            <w:pPr>
              <w:pStyle w:val="Marginlie"/>
              <w:rPr>
                <w:color w:val="0D0D0D" w:themeColor="text1" w:themeTint="F2"/>
                <w:spacing w:val="-4"/>
                <w:lang w:val="en-GB"/>
              </w:rPr>
            </w:pPr>
          </w:p>
          <w:p w14:paraId="155108DE" w14:textId="77777777" w:rsidR="00C118A9" w:rsidRPr="00A00994" w:rsidRDefault="00C118A9" w:rsidP="00621190">
            <w:pPr>
              <w:pStyle w:val="Marginlie"/>
              <w:rPr>
                <w:color w:val="0D0D0D" w:themeColor="text1" w:themeTint="F2"/>
                <w:spacing w:val="-4"/>
                <w:lang w:val="en-GB"/>
              </w:rPr>
            </w:pPr>
          </w:p>
          <w:p w14:paraId="60CDF28E" w14:textId="77777777" w:rsidR="00C118A9" w:rsidRPr="00A00994" w:rsidRDefault="00C118A9" w:rsidP="00621190">
            <w:pPr>
              <w:pStyle w:val="Marginlie"/>
              <w:rPr>
                <w:color w:val="0D0D0D" w:themeColor="text1" w:themeTint="F2"/>
                <w:spacing w:val="-4"/>
                <w:lang w:val="en-GB"/>
              </w:rPr>
            </w:pPr>
          </w:p>
          <w:p w14:paraId="57DF1D7B" w14:textId="77777777" w:rsidR="00C118A9" w:rsidRPr="00A00994" w:rsidRDefault="00C118A9" w:rsidP="00621190">
            <w:pPr>
              <w:pStyle w:val="Marginlie"/>
              <w:rPr>
                <w:color w:val="0D0D0D" w:themeColor="text1" w:themeTint="F2"/>
                <w:spacing w:val="-4"/>
                <w:lang w:val="en-GB"/>
              </w:rPr>
            </w:pPr>
          </w:p>
          <w:p w14:paraId="257AE71B" w14:textId="0BFB442A" w:rsidR="00C118A9" w:rsidRPr="00A00994" w:rsidRDefault="00FE0292" w:rsidP="00621190">
            <w:pPr>
              <w:pStyle w:val="Marginlie"/>
              <w:spacing w:after="120"/>
              <w:rPr>
                <w:color w:val="0D0D0D" w:themeColor="text1" w:themeTint="F2"/>
                <w:spacing w:val="-4"/>
                <w:lang w:val="en-GB"/>
              </w:rPr>
            </w:pPr>
            <w:r w:rsidRPr="00A00994">
              <w:rPr>
                <w:color w:val="0D0D0D" w:themeColor="text1" w:themeTint="F2"/>
                <w:spacing w:val="-4"/>
                <w:lang w:val="en-GB"/>
              </w:rPr>
              <w:t>Employment increased more gradually in manufacturing;</w:t>
            </w:r>
            <w:r w:rsidR="00C118A9" w:rsidRPr="00A00994">
              <w:rPr>
                <w:color w:val="0D0D0D" w:themeColor="text1" w:themeTint="F2"/>
                <w:spacing w:val="-4"/>
                <w:lang w:val="en-GB"/>
              </w:rPr>
              <w:t xml:space="preserve"> s</w:t>
            </w:r>
            <w:r w:rsidR="00E16FC8" w:rsidRPr="00A00994">
              <w:rPr>
                <w:color w:val="0D0D0D" w:themeColor="text1" w:themeTint="F2"/>
                <w:spacing w:val="-4"/>
                <w:lang w:val="en-GB"/>
              </w:rPr>
              <w:t xml:space="preserve">ituation varied at the levels of sub-branches. </w:t>
            </w:r>
          </w:p>
        </w:tc>
        <w:tc>
          <w:tcPr>
            <w:tcW w:w="220" w:type="dxa"/>
            <w:shd w:val="clear" w:color="auto" w:fill="auto"/>
            <w:tcMar>
              <w:left w:w="0" w:type="dxa"/>
            </w:tcMar>
          </w:tcPr>
          <w:p w14:paraId="7700AE1A"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70241D98" w14:textId="79D6C27B" w:rsidR="00C118A9" w:rsidRPr="009E74B3" w:rsidRDefault="00C118A9" w:rsidP="009E74B3">
            <w:pPr>
              <w:spacing w:after="200"/>
              <w:rPr>
                <w:color w:val="0D0D0D" w:themeColor="text1" w:themeTint="F2"/>
                <w:lang w:val="en-GB"/>
              </w:rPr>
            </w:pPr>
            <w:r w:rsidRPr="009E74B3">
              <w:rPr>
                <w:lang w:val="en-GB"/>
              </w:rPr>
              <w:t>N</w:t>
            </w:r>
            <w:r w:rsidR="00FE0292" w:rsidRPr="009E74B3">
              <w:rPr>
                <w:lang w:val="en-GB"/>
              </w:rPr>
              <w:t xml:space="preserve">ew job positions were created mainly in services, </w:t>
            </w:r>
            <w:r w:rsidRPr="009E74B3">
              <w:rPr>
                <w:lang w:val="en-GB"/>
              </w:rPr>
              <w:t>90 t</w:t>
            </w:r>
            <w:r w:rsidR="00FE0292" w:rsidRPr="009E74B3">
              <w:rPr>
                <w:lang w:val="en-GB"/>
              </w:rPr>
              <w:t>housand persons more worked here year-on-year in Q2</w:t>
            </w:r>
            <w:r w:rsidRPr="009E74B3">
              <w:rPr>
                <w:lang w:val="en-GB"/>
              </w:rPr>
              <w:t xml:space="preserve"> – </w:t>
            </w:r>
            <w:r w:rsidR="00FE0292" w:rsidRPr="009E74B3">
              <w:rPr>
                <w:lang w:val="en-GB"/>
              </w:rPr>
              <w:t xml:space="preserve">partially it was an expected effect of the post crisis revival. </w:t>
            </w:r>
            <w:r w:rsidR="0067623E" w:rsidRPr="009E74B3">
              <w:rPr>
                <w:lang w:val="en-GB"/>
              </w:rPr>
              <w:t xml:space="preserve">Activities in the real estate area thrived the most </w:t>
            </w:r>
            <w:r w:rsidRPr="009E74B3">
              <w:rPr>
                <w:lang w:val="en-GB"/>
              </w:rPr>
              <w:t>(+6</w:t>
            </w:r>
            <w:r w:rsidR="0067623E" w:rsidRPr="009E74B3">
              <w:rPr>
                <w:lang w:val="en-GB"/>
              </w:rPr>
              <w:t>.</w:t>
            </w:r>
            <w:r w:rsidRPr="009E74B3">
              <w:rPr>
                <w:lang w:val="en-GB"/>
              </w:rPr>
              <w:t>4%)</w:t>
            </w:r>
            <w:r w:rsidR="0067623E" w:rsidRPr="009E74B3">
              <w:rPr>
                <w:lang w:val="en-GB"/>
              </w:rPr>
              <w:t xml:space="preserve"> similarly to the total for the whole last year</w:t>
            </w:r>
            <w:r w:rsidRPr="009E74B3">
              <w:rPr>
                <w:lang w:val="en-GB"/>
              </w:rPr>
              <w:t xml:space="preserve">. </w:t>
            </w:r>
            <w:r w:rsidR="00686DFB" w:rsidRPr="009E74B3">
              <w:rPr>
                <w:lang w:val="en-GB"/>
              </w:rPr>
              <w:t xml:space="preserve">The vigorous recovery in the area of trade, transportation, accommodation and restaurant, where the levels of employed elevated by 4.1% and mildly also </w:t>
            </w:r>
            <w:r w:rsidR="00A95A5C" w:rsidRPr="009E74B3">
              <w:rPr>
                <w:lang w:val="en-GB"/>
              </w:rPr>
              <w:t>surpassed</w:t>
            </w:r>
            <w:r w:rsidR="00686DFB" w:rsidRPr="009E74B3">
              <w:rPr>
                <w:lang w:val="en-GB"/>
              </w:rPr>
              <w:t xml:space="preserve"> the so far highest value from the pre-crisis period, </w:t>
            </w:r>
            <w:r w:rsidR="00686DFB" w:rsidRPr="009E74B3">
              <w:rPr>
                <w:color w:val="0D0D0D" w:themeColor="text1" w:themeTint="F2"/>
                <w:lang w:val="en-GB"/>
              </w:rPr>
              <w:t>was however decisive for the whole tertiary sector. Growth of employment slightly quickened in the long-time growing public services</w:t>
            </w:r>
            <w:r w:rsidRPr="009E74B3">
              <w:rPr>
                <w:rStyle w:val="Znakapoznpodarou"/>
                <w:lang w:val="en-GB"/>
              </w:rPr>
              <w:footnoteReference w:id="2"/>
            </w:r>
            <w:r w:rsidR="00686DFB" w:rsidRPr="009E74B3">
              <w:rPr>
                <w:color w:val="0D0D0D" w:themeColor="text1" w:themeTint="F2"/>
                <w:lang w:val="en-GB"/>
              </w:rPr>
              <w:t xml:space="preserve"> </w:t>
            </w:r>
            <w:r w:rsidRPr="009E74B3">
              <w:rPr>
                <w:lang w:val="en-GB"/>
              </w:rPr>
              <w:t>(</w:t>
            </w:r>
            <w:r w:rsidR="00686DFB" w:rsidRPr="009E74B3">
              <w:rPr>
                <w:lang w:val="en-GB"/>
              </w:rPr>
              <w:t xml:space="preserve">to even </w:t>
            </w:r>
            <w:r w:rsidRPr="009E74B3">
              <w:rPr>
                <w:lang w:val="en-GB"/>
              </w:rPr>
              <w:t>2%).</w:t>
            </w:r>
            <w:r w:rsidR="00120F97" w:rsidRPr="009E74B3">
              <w:rPr>
                <w:lang w:val="en-GB"/>
              </w:rPr>
              <w:t xml:space="preserve"> The state reacted here to the heightened demand especially in the area of education and health and social work similarly to the previous years.</w:t>
            </w:r>
            <w:r w:rsidRPr="009E74B3">
              <w:rPr>
                <w:lang w:val="en-GB"/>
              </w:rPr>
              <w:t xml:space="preserve"> 3</w:t>
            </w:r>
            <w:r w:rsidR="00120F97" w:rsidRPr="009E74B3">
              <w:rPr>
                <w:lang w:val="en-GB"/>
              </w:rPr>
              <w:t>.</w:t>
            </w:r>
            <w:r w:rsidRPr="009E74B3">
              <w:rPr>
                <w:lang w:val="en-GB"/>
              </w:rPr>
              <w:t>3%</w:t>
            </w:r>
            <w:r w:rsidR="00120F97" w:rsidRPr="009E74B3">
              <w:rPr>
                <w:lang w:val="en-GB"/>
              </w:rPr>
              <w:t xml:space="preserve"> persons more worked in the long-term flourishing information and communication year-on-year, nevertheless only exclusively due to the higher number of employees this year. Progressing digitalisation</w:t>
            </w:r>
            <w:r w:rsidR="00ED0702" w:rsidRPr="009E74B3">
              <w:rPr>
                <w:lang w:val="en-GB"/>
              </w:rPr>
              <w:t xml:space="preserve"> levies a tax on the employment in the financial activities i</w:t>
            </w:r>
            <w:r w:rsidR="00120F97" w:rsidRPr="009E74B3">
              <w:rPr>
                <w:lang w:val="en-GB"/>
              </w:rPr>
              <w:t>n the past years</w:t>
            </w:r>
            <w:r w:rsidRPr="009E74B3">
              <w:rPr>
                <w:lang w:val="en-GB"/>
              </w:rPr>
              <w:t xml:space="preserve">, </w:t>
            </w:r>
            <w:r w:rsidR="00120F97" w:rsidRPr="009E74B3">
              <w:rPr>
                <w:lang w:val="en-GB"/>
              </w:rPr>
              <w:t xml:space="preserve">positions diminish relative more for the small </w:t>
            </w:r>
            <w:r w:rsidR="00ED0702" w:rsidRPr="009E74B3">
              <w:rPr>
                <w:lang w:val="en-GB"/>
              </w:rPr>
              <w:t>entrepreneurs</w:t>
            </w:r>
            <w:r w:rsidR="00120F97" w:rsidRPr="009E74B3">
              <w:rPr>
                <w:lang w:val="en-GB"/>
              </w:rPr>
              <w:t xml:space="preserve"> here. </w:t>
            </w:r>
            <w:r w:rsidR="00ED0702" w:rsidRPr="009E74B3">
              <w:rPr>
                <w:lang w:val="en-GB"/>
              </w:rPr>
              <w:t>Outside the tertiary sector, construction thrived the most, the large stock of public orders was also reflected in the higher employment here in Q</w:t>
            </w:r>
            <w:r w:rsidR="00770AB9" w:rsidRPr="009E74B3">
              <w:rPr>
                <w:lang w:val="en-GB"/>
              </w:rPr>
              <w:t>2</w:t>
            </w:r>
            <w:r w:rsidR="00ED0702" w:rsidRPr="009E74B3">
              <w:rPr>
                <w:lang w:val="en-GB"/>
              </w:rPr>
              <w:t xml:space="preserve"> </w:t>
            </w:r>
            <w:r w:rsidRPr="009E74B3">
              <w:rPr>
                <w:lang w:val="en-GB"/>
              </w:rPr>
              <w:t>(+3</w:t>
            </w:r>
            <w:r w:rsidR="00ED0702" w:rsidRPr="009E74B3">
              <w:rPr>
                <w:lang w:val="en-GB"/>
              </w:rPr>
              <w:t>.</w:t>
            </w:r>
            <w:r w:rsidRPr="009E74B3">
              <w:rPr>
                <w:lang w:val="en-GB"/>
              </w:rPr>
              <w:t>8%),</w:t>
            </w:r>
            <w:r w:rsidR="00ED0702" w:rsidRPr="009E74B3">
              <w:rPr>
                <w:lang w:val="en-GB"/>
              </w:rPr>
              <w:t xml:space="preserve"> also supported by the increase of the number of self-employed.</w:t>
            </w:r>
            <w:r w:rsidR="00D50C95" w:rsidRPr="009E74B3">
              <w:rPr>
                <w:lang w:val="en-GB"/>
              </w:rPr>
              <w:t xml:space="preserve"> Number of workers was expanding in manufacturing already since half of the last year, but only by a slower pace, which was also valid for Q</w:t>
            </w:r>
            <w:r w:rsidRPr="009E74B3">
              <w:rPr>
                <w:lang w:val="en-GB"/>
              </w:rPr>
              <w:t>2</w:t>
            </w:r>
            <w:r w:rsidR="00D50C95" w:rsidRPr="009E74B3">
              <w:rPr>
                <w:lang w:val="en-GB"/>
              </w:rPr>
              <w:t xml:space="preserve"> </w:t>
            </w:r>
            <w:r w:rsidRPr="009E74B3">
              <w:rPr>
                <w:lang w:val="en-GB"/>
              </w:rPr>
              <w:t>(+1</w:t>
            </w:r>
            <w:r w:rsidR="00D50C95" w:rsidRPr="009E74B3">
              <w:rPr>
                <w:lang w:val="en-GB"/>
              </w:rPr>
              <w:t>.</w:t>
            </w:r>
            <w:r w:rsidRPr="009E74B3">
              <w:rPr>
                <w:lang w:val="en-GB"/>
              </w:rPr>
              <w:t>6%). Situa</w:t>
            </w:r>
            <w:r w:rsidR="0005621E" w:rsidRPr="009E74B3">
              <w:rPr>
                <w:lang w:val="en-GB"/>
              </w:rPr>
              <w:t>tion varied in the individual industrial activities, next to the current demand for output, the energy performance of the production as well as the business strategy of individual businesses in the area of securing supplies of energies also likely played a role</w:t>
            </w:r>
            <w:r w:rsidRPr="009E74B3">
              <w:rPr>
                <w:lang w:val="en-GB"/>
              </w:rPr>
              <w:t xml:space="preserve">. </w:t>
            </w:r>
            <w:r w:rsidR="00D50C95" w:rsidRPr="009E74B3">
              <w:rPr>
                <w:lang w:val="en-GB"/>
              </w:rPr>
              <w:t xml:space="preserve">Businesses in industry, construction as well as some </w:t>
            </w:r>
            <w:r w:rsidR="00CD2AF5" w:rsidRPr="009E74B3">
              <w:rPr>
                <w:color w:val="0D0D0D" w:themeColor="text1" w:themeTint="F2"/>
                <w:lang w:val="en-GB"/>
              </w:rPr>
              <w:t>“</w:t>
            </w:r>
            <w:r w:rsidR="00D50C95" w:rsidRPr="009E74B3">
              <w:rPr>
                <w:color w:val="0D0D0D" w:themeColor="text1" w:themeTint="F2"/>
                <w:lang w:val="en-GB"/>
              </w:rPr>
              <w:t>low-income</w:t>
            </w:r>
            <w:r w:rsidR="00CD2AF5" w:rsidRPr="009E74B3">
              <w:rPr>
                <w:color w:val="0D0D0D" w:themeColor="text1" w:themeTint="F2"/>
                <w:lang w:val="en-GB"/>
              </w:rPr>
              <w:t>”</w:t>
            </w:r>
            <w:r w:rsidR="00D50C95" w:rsidRPr="009E74B3">
              <w:rPr>
                <w:color w:val="0D0D0D" w:themeColor="text1" w:themeTint="F2"/>
                <w:lang w:val="en-GB"/>
              </w:rPr>
              <w:t xml:space="preserve"> branches of services to a significant extent </w:t>
            </w:r>
            <w:r w:rsidR="00D50C95" w:rsidRPr="009E74B3">
              <w:rPr>
                <w:color w:val="0D0D0D" w:themeColor="text1" w:themeTint="F2"/>
                <w:lang w:val="en-GB"/>
              </w:rPr>
              <w:lastRenderedPageBreak/>
              <w:t>saturated the demand for available labour force by recruitment</w:t>
            </w:r>
            <w:r w:rsidRPr="009E74B3">
              <w:rPr>
                <w:rStyle w:val="Znakapoznpodarou"/>
                <w:color w:val="0D0D0D" w:themeColor="text1" w:themeTint="F2"/>
                <w:lang w:val="en-GB"/>
              </w:rPr>
              <w:footnoteReference w:id="3"/>
            </w:r>
            <w:r w:rsidRPr="009E74B3">
              <w:rPr>
                <w:color w:val="0D0D0D" w:themeColor="text1" w:themeTint="F2"/>
                <w:lang w:val="en-GB"/>
              </w:rPr>
              <w:t xml:space="preserve">, </w:t>
            </w:r>
            <w:r w:rsidR="00D50C95" w:rsidRPr="009E74B3">
              <w:rPr>
                <w:color w:val="0D0D0D" w:themeColor="text1" w:themeTint="F2"/>
                <w:lang w:val="en-GB"/>
              </w:rPr>
              <w:t>since the reservoir of the local potential labour force was nearly exhausted</w:t>
            </w:r>
            <w:r w:rsidRPr="009E74B3">
              <w:rPr>
                <w:rStyle w:val="Znakapoznpodarou"/>
                <w:color w:val="0D0D0D" w:themeColor="text1" w:themeTint="F2"/>
                <w:lang w:val="en-GB"/>
              </w:rPr>
              <w:footnoteReference w:id="4"/>
            </w:r>
            <w:r w:rsidRPr="009E74B3">
              <w:rPr>
                <w:color w:val="0D0D0D" w:themeColor="text1" w:themeTint="F2"/>
                <w:lang w:val="en-GB"/>
              </w:rPr>
              <w:t>.</w:t>
            </w:r>
          </w:p>
        </w:tc>
      </w:tr>
      <w:tr w:rsidR="000C62C0" w:rsidRPr="00A00994" w14:paraId="083B68D4" w14:textId="77777777" w:rsidTr="00BC060A">
        <w:trPr>
          <w:trHeight w:val="155"/>
        </w:trPr>
        <w:tc>
          <w:tcPr>
            <w:tcW w:w="1739" w:type="dxa"/>
            <w:shd w:val="clear" w:color="auto" w:fill="auto"/>
            <w:tcMar>
              <w:left w:w="0" w:type="dxa"/>
            </w:tcMar>
          </w:tcPr>
          <w:p w14:paraId="1C9B7151" w14:textId="14DEB1B0" w:rsidR="00C118A9" w:rsidRPr="00A00994" w:rsidRDefault="00F73AA6" w:rsidP="00621190">
            <w:pPr>
              <w:pStyle w:val="Marginlie"/>
              <w:spacing w:after="120"/>
              <w:rPr>
                <w:color w:val="0D0D0D" w:themeColor="text1" w:themeTint="F2"/>
                <w:spacing w:val="-4"/>
                <w:lang w:val="en-GB"/>
              </w:rPr>
            </w:pPr>
            <w:r w:rsidRPr="00A00994">
              <w:rPr>
                <w:color w:val="0D0D0D" w:themeColor="text1" w:themeTint="F2"/>
                <w:spacing w:val="-4"/>
                <w:lang w:val="en-GB"/>
              </w:rPr>
              <w:lastRenderedPageBreak/>
              <w:t>Number of hours worked</w:t>
            </w:r>
            <w:r w:rsidR="0092276B" w:rsidRPr="00A00994">
              <w:rPr>
                <w:color w:val="0D0D0D" w:themeColor="text1" w:themeTint="F2"/>
                <w:spacing w:val="-4"/>
                <w:lang w:val="en-GB"/>
              </w:rPr>
              <w:t xml:space="preserve"> only stagnated compared to the beginning of the year. </w:t>
            </w:r>
          </w:p>
        </w:tc>
        <w:tc>
          <w:tcPr>
            <w:tcW w:w="220" w:type="dxa"/>
            <w:shd w:val="clear" w:color="auto" w:fill="auto"/>
            <w:tcMar>
              <w:left w:w="0" w:type="dxa"/>
            </w:tcMar>
          </w:tcPr>
          <w:p w14:paraId="1256E4E1"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A9744E9" w14:textId="3F8BFCC2" w:rsidR="00C118A9" w:rsidRPr="00A00994" w:rsidRDefault="0092276B" w:rsidP="00621190">
            <w:pPr>
              <w:rPr>
                <w:color w:val="0D0D0D" w:themeColor="text1" w:themeTint="F2"/>
                <w:spacing w:val="-4"/>
                <w:lang w:val="en-GB"/>
              </w:rPr>
            </w:pPr>
            <w:r w:rsidRPr="00A00994">
              <w:rPr>
                <w:spacing w:val="-4"/>
                <w:lang w:val="en-GB"/>
              </w:rPr>
              <w:t>Number of hours worked compared to the previous quarter only stagnated in the whole economy in Q</w:t>
            </w:r>
            <w:r w:rsidR="00C118A9" w:rsidRPr="00A00994">
              <w:rPr>
                <w:spacing w:val="-4"/>
                <w:lang w:val="en-GB"/>
              </w:rPr>
              <w:t>2</w:t>
            </w:r>
            <w:r w:rsidRPr="00A00994">
              <w:rPr>
                <w:spacing w:val="-4"/>
                <w:lang w:val="en-GB"/>
              </w:rPr>
              <w:t xml:space="preserve"> </w:t>
            </w:r>
            <w:r w:rsidR="00C118A9" w:rsidRPr="00A00994">
              <w:rPr>
                <w:spacing w:val="-4"/>
                <w:lang w:val="en-GB"/>
              </w:rPr>
              <w:t xml:space="preserve">2022. </w:t>
            </w:r>
            <w:r w:rsidR="0064123E" w:rsidRPr="00A00994">
              <w:rPr>
                <w:spacing w:val="-4"/>
                <w:lang w:val="en-GB"/>
              </w:rPr>
              <w:t xml:space="preserve">The employment growth </w:t>
            </w:r>
            <w:r w:rsidR="00C118A9" w:rsidRPr="00A00994">
              <w:rPr>
                <w:spacing w:val="-4"/>
                <w:lang w:val="en-GB"/>
              </w:rPr>
              <w:t>(</w:t>
            </w:r>
            <w:r w:rsidR="0064123E" w:rsidRPr="00A00994">
              <w:rPr>
                <w:spacing w:val="-4"/>
                <w:lang w:val="en-GB"/>
              </w:rPr>
              <w:t>for natural persons</w:t>
            </w:r>
            <w:r w:rsidR="00C118A9" w:rsidRPr="00A00994">
              <w:rPr>
                <w:spacing w:val="-4"/>
                <w:lang w:val="en-GB"/>
              </w:rPr>
              <w:t>)</w:t>
            </w:r>
            <w:r w:rsidR="0064123E" w:rsidRPr="00A00994">
              <w:rPr>
                <w:spacing w:val="-4"/>
                <w:lang w:val="en-GB"/>
              </w:rPr>
              <w:t xml:space="preserve"> thus presumably came about via higher supply of part-time contracts, alternatively other forms (e.g. contract for work</w:t>
            </w:r>
            <w:r w:rsidR="00C118A9" w:rsidRPr="00A00994">
              <w:rPr>
                <w:spacing w:val="-4"/>
                <w:lang w:val="en-GB"/>
              </w:rPr>
              <w:t xml:space="preserve">), </w:t>
            </w:r>
            <w:r w:rsidR="00253ED9" w:rsidRPr="00A00994">
              <w:rPr>
                <w:spacing w:val="-4"/>
                <w:lang w:val="en-GB"/>
              </w:rPr>
              <w:t xml:space="preserve">which could have been linked to the integration of refuges into the labour market. </w:t>
            </w:r>
            <w:r w:rsidR="00126A48" w:rsidRPr="00A00994">
              <w:rPr>
                <w:spacing w:val="-4"/>
                <w:lang w:val="en-GB"/>
              </w:rPr>
              <w:t xml:space="preserve">The growth of the hours worked was compared to employment nearly double </w:t>
            </w:r>
            <w:r w:rsidR="00C118A9" w:rsidRPr="00A00994">
              <w:rPr>
                <w:spacing w:val="-4"/>
                <w:lang w:val="en-GB"/>
              </w:rPr>
              <w:t>(4</w:t>
            </w:r>
            <w:r w:rsidR="00126A48" w:rsidRPr="00A00994">
              <w:rPr>
                <w:spacing w:val="-4"/>
                <w:lang w:val="en-GB"/>
              </w:rPr>
              <w:t>.</w:t>
            </w:r>
            <w:r w:rsidR="00C118A9" w:rsidRPr="00A00994">
              <w:rPr>
                <w:spacing w:val="-4"/>
                <w:lang w:val="en-GB"/>
              </w:rPr>
              <w:t>8%)</w:t>
            </w:r>
            <w:r w:rsidR="00126A48" w:rsidRPr="00A00994">
              <w:rPr>
                <w:spacing w:val="-4"/>
                <w:lang w:val="en-GB"/>
              </w:rPr>
              <w:t xml:space="preserve"> in the year-on-year comparison</w:t>
            </w:r>
            <w:r w:rsidR="00C118A9" w:rsidRPr="00A00994">
              <w:rPr>
                <w:spacing w:val="-4"/>
                <w:lang w:val="en-GB"/>
              </w:rPr>
              <w:t>,</w:t>
            </w:r>
            <w:r w:rsidR="00126A48" w:rsidRPr="00A00994">
              <w:rPr>
                <w:spacing w:val="-4"/>
                <w:lang w:val="en-GB"/>
              </w:rPr>
              <w:t xml:space="preserve"> </w:t>
            </w:r>
            <w:r w:rsidR="00253ED9" w:rsidRPr="00A00994">
              <w:rPr>
                <w:spacing w:val="-4"/>
                <w:lang w:val="en-GB"/>
              </w:rPr>
              <w:t>s</w:t>
            </w:r>
            <w:r w:rsidR="00126A48" w:rsidRPr="00A00994">
              <w:rPr>
                <w:spacing w:val="-4"/>
                <w:lang w:val="en-GB"/>
              </w:rPr>
              <w:t>ince</w:t>
            </w:r>
            <w:r w:rsidR="00253ED9" w:rsidRPr="00A00994">
              <w:rPr>
                <w:spacing w:val="-4"/>
                <w:lang w:val="en-GB"/>
              </w:rPr>
              <w:t xml:space="preserve"> </w:t>
            </w:r>
            <w:r w:rsidR="00D70700" w:rsidRPr="00A00994">
              <w:rPr>
                <w:spacing w:val="-4"/>
                <w:lang w:val="en-GB"/>
              </w:rPr>
              <w:t>part of servi</w:t>
            </w:r>
            <w:r w:rsidR="008E0C88" w:rsidRPr="00A00994">
              <w:rPr>
                <w:spacing w:val="-4"/>
                <w:lang w:val="en-GB"/>
              </w:rPr>
              <w:t>c</w:t>
            </w:r>
            <w:r w:rsidR="00D70700" w:rsidRPr="00A00994">
              <w:rPr>
                <w:spacing w:val="-4"/>
                <w:lang w:val="en-GB"/>
              </w:rPr>
              <w:t xml:space="preserve">es was still troubled last year in </w:t>
            </w:r>
            <w:r w:rsidR="00DC1A3D">
              <w:rPr>
                <w:spacing w:val="-4"/>
                <w:lang w:val="en-GB"/>
              </w:rPr>
              <w:t>s</w:t>
            </w:r>
            <w:r w:rsidR="00E846B0" w:rsidRPr="00A00994">
              <w:rPr>
                <w:spacing w:val="-4"/>
                <w:lang w:val="en-GB"/>
              </w:rPr>
              <w:t>pring</w:t>
            </w:r>
            <w:r w:rsidR="00D70700" w:rsidRPr="00A00994">
              <w:rPr>
                <w:spacing w:val="-4"/>
                <w:lang w:val="en-GB"/>
              </w:rPr>
              <w:t>, due to the</w:t>
            </w:r>
            <w:r w:rsidR="008E0C88" w:rsidRPr="00A00994">
              <w:rPr>
                <w:spacing w:val="-4"/>
                <w:lang w:val="en-GB"/>
              </w:rPr>
              <w:t xml:space="preserve"> aftermath of the counter pandemic measures, by a weak demand</w:t>
            </w:r>
            <w:r w:rsidR="00C118A9" w:rsidRPr="00A00994">
              <w:rPr>
                <w:rStyle w:val="Znakapoznpodarou"/>
                <w:spacing w:val="-4"/>
                <w:lang w:val="en-GB"/>
              </w:rPr>
              <w:footnoteReference w:id="5"/>
            </w:r>
            <w:r w:rsidR="00C118A9" w:rsidRPr="00A00994">
              <w:rPr>
                <w:spacing w:val="-4"/>
                <w:lang w:val="en-GB"/>
              </w:rPr>
              <w:t xml:space="preserve">. </w:t>
            </w:r>
          </w:p>
        </w:tc>
      </w:tr>
      <w:tr w:rsidR="000C62C0" w:rsidRPr="00A00994" w14:paraId="4A8BBBE3" w14:textId="77777777" w:rsidTr="00BC060A">
        <w:trPr>
          <w:trHeight w:val="155"/>
        </w:trPr>
        <w:tc>
          <w:tcPr>
            <w:tcW w:w="1739" w:type="dxa"/>
            <w:vMerge w:val="restart"/>
            <w:shd w:val="clear" w:color="auto" w:fill="auto"/>
            <w:tcMar>
              <w:left w:w="0" w:type="dxa"/>
            </w:tcMar>
          </w:tcPr>
          <w:p w14:paraId="6A3139BF" w14:textId="77777777" w:rsidR="00C118A9" w:rsidRPr="00A00994" w:rsidRDefault="00C118A9" w:rsidP="00621190">
            <w:pPr>
              <w:pStyle w:val="Marginlie"/>
              <w:spacing w:after="120"/>
              <w:rPr>
                <w:spacing w:val="-4"/>
                <w:lang w:val="en-GB"/>
              </w:rPr>
            </w:pPr>
          </w:p>
        </w:tc>
        <w:tc>
          <w:tcPr>
            <w:tcW w:w="220" w:type="dxa"/>
            <w:vMerge w:val="restart"/>
            <w:shd w:val="clear" w:color="auto" w:fill="auto"/>
            <w:tcMar>
              <w:left w:w="0" w:type="dxa"/>
            </w:tcMar>
          </w:tcPr>
          <w:p w14:paraId="7D813F15" w14:textId="77777777" w:rsidR="00C118A9" w:rsidRPr="00A00994" w:rsidRDefault="00C118A9" w:rsidP="00621190">
            <w:pPr>
              <w:pStyle w:val="Textpoznpodarou"/>
              <w:spacing w:after="120"/>
              <w:jc w:val="both"/>
              <w:rPr>
                <w:spacing w:val="-4"/>
                <w:lang w:val="en-GB"/>
              </w:rPr>
            </w:pPr>
          </w:p>
        </w:tc>
        <w:tc>
          <w:tcPr>
            <w:tcW w:w="7715" w:type="dxa"/>
            <w:shd w:val="clear" w:color="auto" w:fill="auto"/>
            <w:tcMar>
              <w:left w:w="0" w:type="dxa"/>
            </w:tcMar>
          </w:tcPr>
          <w:p w14:paraId="625DFBA4" w14:textId="28CAE28D" w:rsidR="00C118A9" w:rsidRPr="001D4E19" w:rsidRDefault="00D50C95" w:rsidP="00621190">
            <w:pPr>
              <w:spacing w:after="0"/>
              <w:rPr>
                <w:spacing w:val="-3"/>
                <w:szCs w:val="20"/>
                <w:lang w:val="en-GB"/>
              </w:rPr>
            </w:pPr>
            <w:r w:rsidRPr="001D4E19">
              <w:rPr>
                <w:rFonts w:cs="Arial"/>
                <w:b/>
                <w:bCs/>
                <w:color w:val="000000"/>
                <w:spacing w:val="-3"/>
                <w:szCs w:val="20"/>
                <w:lang w:val="en-GB"/>
              </w:rPr>
              <w:t xml:space="preserve">Chart </w:t>
            </w:r>
            <w:r w:rsidR="00C118A9" w:rsidRPr="001D4E19">
              <w:rPr>
                <w:rFonts w:cs="Arial"/>
                <w:b/>
                <w:bCs/>
                <w:color w:val="000000"/>
                <w:spacing w:val="-3"/>
                <w:szCs w:val="20"/>
                <w:lang w:val="en-GB"/>
              </w:rPr>
              <w:t xml:space="preserve">13 </w:t>
            </w:r>
            <w:r w:rsidR="00B233BF" w:rsidRPr="001D4E19">
              <w:rPr>
                <w:rFonts w:cs="Arial"/>
                <w:b/>
                <w:bCs/>
                <w:color w:val="000000"/>
                <w:spacing w:val="-3"/>
                <w:szCs w:val="20"/>
                <w:lang w:val="en-GB"/>
              </w:rPr>
              <w:t xml:space="preserve">Total employment </w:t>
            </w:r>
            <w:r w:rsidR="00B233BF" w:rsidRPr="001D4E19">
              <w:rPr>
                <w:rFonts w:cs="Arial"/>
                <w:color w:val="000000"/>
                <w:spacing w:val="-3"/>
                <w:szCs w:val="20"/>
                <w:lang w:val="en-GB"/>
              </w:rPr>
              <w:t>(year-on-year in %),</w:t>
            </w:r>
            <w:r w:rsidR="00B233BF" w:rsidRPr="001D4E19">
              <w:rPr>
                <w:rFonts w:cs="Arial"/>
                <w:b/>
                <w:bCs/>
                <w:color w:val="000000"/>
                <w:spacing w:val="-3"/>
                <w:szCs w:val="20"/>
                <w:lang w:val="en-GB"/>
              </w:rPr>
              <w:t xml:space="preserve"> contributions of branches to year-on-year change of employment </w:t>
            </w:r>
            <w:r w:rsidR="00B233BF" w:rsidRPr="001D4E19">
              <w:rPr>
                <w:rFonts w:cs="Arial"/>
                <w:color w:val="000000"/>
                <w:spacing w:val="-3"/>
                <w:szCs w:val="20"/>
                <w:lang w:val="en-GB"/>
              </w:rPr>
              <w:t>(in p.p.)</w:t>
            </w:r>
            <w:r w:rsidR="00B233BF" w:rsidRPr="001D4E19">
              <w:rPr>
                <w:rFonts w:cs="Arial"/>
                <w:b/>
                <w:bCs/>
                <w:color w:val="000000"/>
                <w:spacing w:val="-3"/>
                <w:szCs w:val="20"/>
                <w:lang w:val="en-GB"/>
              </w:rPr>
              <w:t xml:space="preserve"> and expectations of employment </w:t>
            </w:r>
            <w:r w:rsidR="00B233BF" w:rsidRPr="001D4E19">
              <w:rPr>
                <w:rFonts w:cs="Arial"/>
                <w:color w:val="000000"/>
                <w:spacing w:val="-3"/>
                <w:szCs w:val="20"/>
                <w:lang w:val="en-GB"/>
              </w:rPr>
              <w:t>development (balance in p. p.)</w:t>
            </w:r>
          </w:p>
        </w:tc>
      </w:tr>
      <w:tr w:rsidR="000C62C0" w:rsidRPr="00A00994" w14:paraId="530245E7" w14:textId="77777777" w:rsidTr="00BC060A">
        <w:tblPrEx>
          <w:tblCellMar>
            <w:left w:w="70" w:type="dxa"/>
            <w:right w:w="70" w:type="dxa"/>
          </w:tblCellMar>
        </w:tblPrEx>
        <w:trPr>
          <w:trHeight w:val="155"/>
        </w:trPr>
        <w:tc>
          <w:tcPr>
            <w:tcW w:w="1739" w:type="dxa"/>
            <w:vMerge/>
            <w:shd w:val="clear" w:color="auto" w:fill="auto"/>
          </w:tcPr>
          <w:p w14:paraId="6DB3D039" w14:textId="77777777" w:rsidR="00C118A9" w:rsidRPr="00A00994" w:rsidRDefault="00C118A9" w:rsidP="00621190">
            <w:pPr>
              <w:pStyle w:val="Marginlie"/>
              <w:spacing w:after="120"/>
              <w:rPr>
                <w:spacing w:val="-4"/>
                <w:lang w:val="en-GB"/>
              </w:rPr>
            </w:pPr>
          </w:p>
        </w:tc>
        <w:tc>
          <w:tcPr>
            <w:tcW w:w="220" w:type="dxa"/>
            <w:vMerge/>
            <w:shd w:val="clear" w:color="auto" w:fill="auto"/>
          </w:tcPr>
          <w:p w14:paraId="264815F7" w14:textId="77777777" w:rsidR="00C118A9" w:rsidRPr="00A00994" w:rsidRDefault="00C118A9" w:rsidP="00621190">
            <w:pPr>
              <w:pStyle w:val="Textpoznpodarou"/>
              <w:spacing w:after="120"/>
              <w:jc w:val="both"/>
              <w:rPr>
                <w:spacing w:val="-4"/>
                <w:lang w:val="en-GB"/>
              </w:rPr>
            </w:pPr>
          </w:p>
        </w:tc>
        <w:tc>
          <w:tcPr>
            <w:tcW w:w="7715" w:type="dxa"/>
            <w:shd w:val="clear" w:color="auto" w:fill="auto"/>
          </w:tcPr>
          <w:p w14:paraId="367F76ED" w14:textId="548CBB04" w:rsidR="00C118A9" w:rsidRPr="00A00994" w:rsidRDefault="00822490" w:rsidP="00621190">
            <w:pPr>
              <w:spacing w:after="0"/>
              <w:rPr>
                <w:spacing w:val="-4"/>
                <w:lang w:val="en-GB"/>
              </w:rPr>
            </w:pPr>
            <w:r>
              <w:rPr>
                <w:noProof/>
              </w:rPr>
              <w:drawing>
                <wp:inline distT="0" distB="0" distL="0" distR="0" wp14:anchorId="35EF6657" wp14:editId="053FC199">
                  <wp:extent cx="4683125" cy="3657600"/>
                  <wp:effectExtent l="0" t="0" r="317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C62C0" w:rsidRPr="00A00994" w14:paraId="6D35B739" w14:textId="77777777" w:rsidTr="00BC060A">
        <w:trPr>
          <w:trHeight w:val="671"/>
        </w:trPr>
        <w:tc>
          <w:tcPr>
            <w:tcW w:w="1739" w:type="dxa"/>
            <w:vMerge/>
            <w:shd w:val="clear" w:color="auto" w:fill="auto"/>
            <w:tcMar>
              <w:left w:w="0" w:type="dxa"/>
            </w:tcMar>
          </w:tcPr>
          <w:p w14:paraId="194086A9" w14:textId="77777777" w:rsidR="00C118A9" w:rsidRPr="00A00994" w:rsidRDefault="00C118A9" w:rsidP="00621190">
            <w:pPr>
              <w:pStyle w:val="Marginlie"/>
              <w:spacing w:after="120"/>
              <w:rPr>
                <w:spacing w:val="-4"/>
                <w:lang w:val="en-GB"/>
              </w:rPr>
            </w:pPr>
          </w:p>
        </w:tc>
        <w:tc>
          <w:tcPr>
            <w:tcW w:w="220" w:type="dxa"/>
            <w:vMerge/>
            <w:shd w:val="clear" w:color="auto" w:fill="auto"/>
            <w:tcMar>
              <w:left w:w="0" w:type="dxa"/>
            </w:tcMar>
          </w:tcPr>
          <w:p w14:paraId="5B7ACFC5" w14:textId="77777777" w:rsidR="00C118A9" w:rsidRPr="00A00994" w:rsidRDefault="00C118A9" w:rsidP="00621190">
            <w:pPr>
              <w:pStyle w:val="Textpoznpodarou"/>
              <w:spacing w:after="120"/>
              <w:jc w:val="both"/>
              <w:rPr>
                <w:spacing w:val="-4"/>
                <w:lang w:val="en-GB"/>
              </w:rPr>
            </w:pPr>
          </w:p>
        </w:tc>
        <w:tc>
          <w:tcPr>
            <w:tcW w:w="7715" w:type="dxa"/>
            <w:shd w:val="clear" w:color="auto" w:fill="auto"/>
            <w:tcMar>
              <w:left w:w="0" w:type="dxa"/>
            </w:tcMar>
          </w:tcPr>
          <w:p w14:paraId="11819242" w14:textId="21EC63BC" w:rsidR="00C118A9" w:rsidRPr="00A00994" w:rsidRDefault="00C118A9" w:rsidP="00621190">
            <w:pPr>
              <w:spacing w:after="0" w:line="240" w:lineRule="auto"/>
              <w:rPr>
                <w:rFonts w:cs="Arial"/>
                <w:sz w:val="14"/>
                <w:szCs w:val="14"/>
                <w:lang w:val="en-GB"/>
              </w:rPr>
            </w:pPr>
            <w:r w:rsidRPr="00A00994">
              <w:rPr>
                <w:rFonts w:cs="Arial"/>
                <w:color w:val="0D0D0D" w:themeColor="text1" w:themeTint="F2"/>
                <w:spacing w:val="-2"/>
                <w:sz w:val="14"/>
                <w:szCs w:val="14"/>
                <w:lang w:val="en-GB"/>
              </w:rPr>
              <w:t>*</w:t>
            </w:r>
            <w:r w:rsidRPr="00A00994">
              <w:rPr>
                <w:rFonts w:cs="Arial"/>
                <w:sz w:val="14"/>
                <w:szCs w:val="14"/>
                <w:lang w:val="en-GB"/>
              </w:rPr>
              <w:t xml:space="preserve"> </w:t>
            </w:r>
            <w:r w:rsidR="00B233BF" w:rsidRPr="00A00994">
              <w:rPr>
                <w:rFonts w:cs="Arial"/>
                <w:sz w:val="14"/>
                <w:szCs w:val="14"/>
                <w:lang w:val="en-GB"/>
              </w:rPr>
              <w:t xml:space="preserve">Mining and energetics; Financial and insurance activities; Real estate activities; Arts, entertainment and recreation activities. </w:t>
            </w:r>
          </w:p>
          <w:p w14:paraId="32D4B1B6" w14:textId="63FBA970" w:rsidR="00C118A9" w:rsidRPr="00A00994" w:rsidRDefault="00B233BF" w:rsidP="00621190">
            <w:pPr>
              <w:spacing w:after="0" w:line="240" w:lineRule="auto"/>
              <w:rPr>
                <w:rFonts w:cs="Arial"/>
                <w:sz w:val="14"/>
                <w:szCs w:val="14"/>
                <w:lang w:val="en-GB"/>
              </w:rPr>
            </w:pPr>
            <w:r w:rsidRPr="00A00994">
              <w:rPr>
                <w:rFonts w:cs="Arial"/>
                <w:sz w:val="14"/>
                <w:szCs w:val="14"/>
                <w:lang w:val="en-GB"/>
              </w:rPr>
              <w:t>Note</w:t>
            </w:r>
            <w:r w:rsidR="00C118A9" w:rsidRPr="00A00994">
              <w:rPr>
                <w:rFonts w:cs="Arial"/>
                <w:sz w:val="14"/>
                <w:szCs w:val="14"/>
                <w:lang w:val="en-GB"/>
              </w:rPr>
              <w:t xml:space="preserve">: </w:t>
            </w:r>
            <w:r w:rsidRPr="00A00994">
              <w:rPr>
                <w:rFonts w:cs="Arial"/>
                <w:sz w:val="14"/>
                <w:szCs w:val="14"/>
                <w:lang w:val="en-GB"/>
              </w:rPr>
              <w:t xml:space="preserve">Balance of expectations expresses the difference in p.p. between categories growth vs. decrease of employment in the nearest three months. Data are seasonally adjusted and relate to the second month of the given quarter. </w:t>
            </w:r>
          </w:p>
          <w:p w14:paraId="24B274C0" w14:textId="7EC1269D" w:rsidR="00B233BF" w:rsidRPr="00822490" w:rsidRDefault="00B233BF" w:rsidP="00822490">
            <w:pPr>
              <w:spacing w:after="200" w:line="240" w:lineRule="auto"/>
              <w:rPr>
                <w:rFonts w:cs="Arial"/>
                <w:sz w:val="14"/>
                <w:szCs w:val="14"/>
                <w:lang w:val="en-GB"/>
              </w:rPr>
            </w:pPr>
            <w:r w:rsidRPr="00A00994">
              <w:rPr>
                <w:rFonts w:cs="Arial"/>
                <w:sz w:val="14"/>
                <w:szCs w:val="14"/>
                <w:lang w:val="en-GB"/>
              </w:rPr>
              <w:t>Source</w:t>
            </w:r>
            <w:r w:rsidR="00C118A9" w:rsidRPr="00A00994">
              <w:rPr>
                <w:rFonts w:cs="Arial"/>
                <w:sz w:val="14"/>
                <w:szCs w:val="14"/>
                <w:lang w:val="en-GB"/>
              </w:rPr>
              <w:t xml:space="preserve">: </w:t>
            </w:r>
            <w:r w:rsidRPr="00A00994">
              <w:rPr>
                <w:rFonts w:cs="Arial"/>
                <w:sz w:val="14"/>
                <w:szCs w:val="14"/>
                <w:lang w:val="en-GB"/>
              </w:rPr>
              <w:t>CZSO</w:t>
            </w:r>
            <w:r w:rsidR="00C118A9" w:rsidRPr="00A00994">
              <w:rPr>
                <w:rFonts w:cs="Arial"/>
                <w:sz w:val="14"/>
                <w:szCs w:val="14"/>
                <w:lang w:val="en-GB"/>
              </w:rPr>
              <w:t>, Eurostat (</w:t>
            </w:r>
            <w:r w:rsidRPr="00A00994">
              <w:rPr>
                <w:rFonts w:cs="Arial"/>
                <w:sz w:val="14"/>
                <w:szCs w:val="14"/>
                <w:lang w:val="en-GB"/>
              </w:rPr>
              <w:t>LFSS</w:t>
            </w:r>
            <w:r w:rsidR="00C118A9" w:rsidRPr="00A00994">
              <w:rPr>
                <w:rFonts w:cs="Arial"/>
                <w:sz w:val="14"/>
                <w:szCs w:val="14"/>
                <w:lang w:val="en-GB"/>
              </w:rPr>
              <w:t xml:space="preserve">, </w:t>
            </w:r>
            <w:r w:rsidRPr="00A00994">
              <w:rPr>
                <w:rFonts w:cs="Arial"/>
                <w:sz w:val="14"/>
                <w:szCs w:val="14"/>
                <w:lang w:val="en-GB"/>
              </w:rPr>
              <w:t>business cycle surveys</w:t>
            </w:r>
            <w:r w:rsidR="00822490">
              <w:rPr>
                <w:rFonts w:cs="Arial"/>
                <w:sz w:val="14"/>
                <w:szCs w:val="14"/>
                <w:lang w:val="en-GB"/>
              </w:rPr>
              <w:t>)</w:t>
            </w:r>
          </w:p>
        </w:tc>
      </w:tr>
      <w:tr w:rsidR="000C62C0" w:rsidRPr="00A00994" w14:paraId="79E657FA" w14:textId="77777777" w:rsidTr="00BC060A">
        <w:trPr>
          <w:trHeight w:val="145"/>
        </w:trPr>
        <w:tc>
          <w:tcPr>
            <w:tcW w:w="1739" w:type="dxa"/>
            <w:shd w:val="clear" w:color="auto" w:fill="auto"/>
            <w:tcMar>
              <w:left w:w="0" w:type="dxa"/>
            </w:tcMar>
          </w:tcPr>
          <w:p w14:paraId="40C2FEDE" w14:textId="5E80F93E" w:rsidR="00C118A9" w:rsidRPr="00A00994" w:rsidRDefault="007B561F" w:rsidP="00621190">
            <w:pPr>
              <w:pStyle w:val="Marginlie"/>
              <w:rPr>
                <w:color w:val="0D0D0D" w:themeColor="text1" w:themeTint="F2"/>
                <w:spacing w:val="-5"/>
                <w:lang w:val="en-GB"/>
              </w:rPr>
            </w:pPr>
            <w:r w:rsidRPr="00A00994">
              <w:rPr>
                <w:spacing w:val="-4"/>
                <w:lang w:val="en-GB"/>
              </w:rPr>
              <w:t>Employment grew similarly to the CR in the EU in Q2</w:t>
            </w:r>
            <w:r w:rsidR="00C118A9" w:rsidRPr="00A00994">
              <w:rPr>
                <w:spacing w:val="-4"/>
                <w:lang w:val="en-GB"/>
              </w:rPr>
              <w:t xml:space="preserve"> 2022</w:t>
            </w:r>
            <w:r w:rsidRPr="00A00994">
              <w:rPr>
                <w:spacing w:val="-4"/>
                <w:lang w:val="en-GB"/>
              </w:rPr>
              <w:t xml:space="preserve">, it </w:t>
            </w:r>
            <w:r w:rsidRPr="00A00994">
              <w:rPr>
                <w:spacing w:val="-4"/>
                <w:lang w:val="en-GB"/>
              </w:rPr>
              <w:lastRenderedPageBreak/>
              <w:t xml:space="preserve">however recovered faster for the whole pandemic period. </w:t>
            </w:r>
          </w:p>
        </w:tc>
        <w:tc>
          <w:tcPr>
            <w:tcW w:w="220" w:type="dxa"/>
            <w:shd w:val="clear" w:color="auto" w:fill="auto"/>
            <w:tcMar>
              <w:left w:w="0" w:type="dxa"/>
            </w:tcMar>
          </w:tcPr>
          <w:p w14:paraId="13B8598D"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25033F7" w14:textId="17C7ABB1" w:rsidR="00C118A9" w:rsidRPr="00A00994" w:rsidRDefault="007B561F" w:rsidP="00621190">
            <w:pPr>
              <w:spacing w:after="200"/>
              <w:rPr>
                <w:color w:val="1D1B11" w:themeColor="background2" w:themeShade="1A"/>
                <w:spacing w:val="-4"/>
                <w:lang w:val="en-GB"/>
              </w:rPr>
            </w:pPr>
            <w:r w:rsidRPr="00A00994">
              <w:rPr>
                <w:spacing w:val="-4"/>
                <w:lang w:val="en-GB"/>
              </w:rPr>
              <w:t>Renewed economic growth accompanied by high demand of businesses for labour force was favourably reflected in the employment also in the EU</w:t>
            </w:r>
            <w:r w:rsidR="00C118A9" w:rsidRPr="00A00994">
              <w:rPr>
                <w:spacing w:val="-4"/>
                <w:lang w:val="en-GB"/>
              </w:rPr>
              <w:t xml:space="preserve">. </w:t>
            </w:r>
            <w:r w:rsidR="00D86677" w:rsidRPr="00A00994">
              <w:rPr>
                <w:spacing w:val="-4"/>
                <w:lang w:val="en-GB"/>
              </w:rPr>
              <w:t xml:space="preserve">It increased by </w:t>
            </w:r>
            <w:r w:rsidR="00C118A9" w:rsidRPr="00A00994">
              <w:rPr>
                <w:spacing w:val="-4"/>
                <w:lang w:val="en-GB"/>
              </w:rPr>
              <w:t>0</w:t>
            </w:r>
            <w:r w:rsidR="00D86677" w:rsidRPr="00A00994">
              <w:rPr>
                <w:spacing w:val="-4"/>
                <w:lang w:val="en-GB"/>
              </w:rPr>
              <w:t>.</w:t>
            </w:r>
            <w:r w:rsidR="00C118A9" w:rsidRPr="00A00994">
              <w:rPr>
                <w:spacing w:val="-4"/>
                <w:lang w:val="en-GB"/>
              </w:rPr>
              <w:t>5%</w:t>
            </w:r>
            <w:r w:rsidR="00D86677" w:rsidRPr="00A00994">
              <w:rPr>
                <w:spacing w:val="-4"/>
                <w:lang w:val="en-GB"/>
              </w:rPr>
              <w:t xml:space="preserve"> quarter-on-quarter in Q2 and by </w:t>
            </w:r>
            <w:r w:rsidR="00C118A9" w:rsidRPr="00A00994">
              <w:rPr>
                <w:spacing w:val="-4"/>
                <w:lang w:val="en-GB"/>
              </w:rPr>
              <w:t>2</w:t>
            </w:r>
            <w:r w:rsidR="00D86677" w:rsidRPr="00A00994">
              <w:rPr>
                <w:spacing w:val="-4"/>
                <w:lang w:val="en-GB"/>
              </w:rPr>
              <w:t>.</w:t>
            </w:r>
            <w:r w:rsidR="00C118A9" w:rsidRPr="00A00994">
              <w:rPr>
                <w:spacing w:val="-4"/>
                <w:lang w:val="en-GB"/>
              </w:rPr>
              <w:t>2%</w:t>
            </w:r>
            <w:r w:rsidR="00D86677" w:rsidRPr="00A00994">
              <w:rPr>
                <w:spacing w:val="-4"/>
                <w:lang w:val="en-GB"/>
              </w:rPr>
              <w:t xml:space="preserve"> compared to the same period of the last year</w:t>
            </w:r>
            <w:r w:rsidR="00C118A9" w:rsidRPr="00A00994">
              <w:rPr>
                <w:spacing w:val="-4"/>
                <w:lang w:val="en-GB"/>
              </w:rPr>
              <w:t xml:space="preserve">. </w:t>
            </w:r>
            <w:r w:rsidR="00471533" w:rsidRPr="00A00994">
              <w:rPr>
                <w:spacing w:val="-4"/>
                <w:lang w:val="en-GB"/>
              </w:rPr>
              <w:t xml:space="preserve">Year-on-year, in </w:t>
            </w:r>
            <w:r w:rsidR="00471533" w:rsidRPr="00A00994">
              <w:rPr>
                <w:spacing w:val="-4"/>
                <w:lang w:val="en-GB"/>
              </w:rPr>
              <w:lastRenderedPageBreak/>
              <w:t xml:space="preserve">rose the most in Ireland </w:t>
            </w:r>
            <w:r w:rsidR="00C118A9" w:rsidRPr="00A00994">
              <w:rPr>
                <w:spacing w:val="-4"/>
                <w:lang w:val="en-GB"/>
              </w:rPr>
              <w:t>(8</w:t>
            </w:r>
            <w:r w:rsidR="00471533" w:rsidRPr="00A00994">
              <w:rPr>
                <w:spacing w:val="-4"/>
                <w:lang w:val="en-GB"/>
              </w:rPr>
              <w:t>.</w:t>
            </w:r>
            <w:r w:rsidR="00C118A9" w:rsidRPr="00A00994">
              <w:rPr>
                <w:spacing w:val="-4"/>
                <w:lang w:val="en-GB"/>
              </w:rPr>
              <w:t>8%), L</w:t>
            </w:r>
            <w:r w:rsidR="00471533" w:rsidRPr="00A00994">
              <w:rPr>
                <w:spacing w:val="-4"/>
                <w:lang w:val="en-GB"/>
              </w:rPr>
              <w:t xml:space="preserve">ithuania </w:t>
            </w:r>
            <w:r w:rsidR="00C118A9" w:rsidRPr="00A00994">
              <w:rPr>
                <w:spacing w:val="-4"/>
                <w:lang w:val="en-GB"/>
              </w:rPr>
              <w:t>(6</w:t>
            </w:r>
            <w:r w:rsidR="00471533" w:rsidRPr="00A00994">
              <w:rPr>
                <w:spacing w:val="-4"/>
                <w:lang w:val="en-GB"/>
              </w:rPr>
              <w:t>.</w:t>
            </w:r>
            <w:r w:rsidR="00C118A9" w:rsidRPr="00A00994">
              <w:rPr>
                <w:spacing w:val="-4"/>
                <w:lang w:val="en-GB"/>
              </w:rPr>
              <w:t>6%) a</w:t>
            </w:r>
            <w:r w:rsidR="00471533" w:rsidRPr="00A00994">
              <w:rPr>
                <w:spacing w:val="-4"/>
                <w:lang w:val="en-GB"/>
              </w:rPr>
              <w:t xml:space="preserve">nd Estonia </w:t>
            </w:r>
            <w:r w:rsidR="00C118A9" w:rsidRPr="00A00994">
              <w:rPr>
                <w:spacing w:val="-4"/>
                <w:lang w:val="en-GB"/>
              </w:rPr>
              <w:t>(5</w:t>
            </w:r>
            <w:r w:rsidR="00471533" w:rsidRPr="00A00994">
              <w:rPr>
                <w:spacing w:val="-4"/>
                <w:lang w:val="en-GB"/>
              </w:rPr>
              <w:t>.</w:t>
            </w:r>
            <w:r w:rsidR="00C118A9" w:rsidRPr="00A00994">
              <w:rPr>
                <w:spacing w:val="-4"/>
                <w:lang w:val="en-GB"/>
              </w:rPr>
              <w:t xml:space="preserve">6%), </w:t>
            </w:r>
            <w:r w:rsidR="00471533" w:rsidRPr="00A00994">
              <w:rPr>
                <w:spacing w:val="-4"/>
                <w:lang w:val="en-GB"/>
              </w:rPr>
              <w:t>among more significant economic</w:t>
            </w:r>
            <w:r w:rsidR="00E25304" w:rsidRPr="00A00994">
              <w:rPr>
                <w:spacing w:val="-4"/>
                <w:lang w:val="en-GB"/>
              </w:rPr>
              <w:t>s</w:t>
            </w:r>
            <w:r w:rsidR="00471533" w:rsidRPr="00A00994">
              <w:rPr>
                <w:spacing w:val="-4"/>
                <w:lang w:val="en-GB"/>
              </w:rPr>
              <w:t xml:space="preserve"> then in Spain </w:t>
            </w:r>
            <w:r w:rsidR="00464BF5" w:rsidRPr="00A00994">
              <w:rPr>
                <w:spacing w:val="-4"/>
                <w:lang w:val="en-GB"/>
              </w:rPr>
              <w:t>(3</w:t>
            </w:r>
            <w:r w:rsidR="00471533" w:rsidRPr="00A00994">
              <w:rPr>
                <w:spacing w:val="-4"/>
                <w:lang w:val="en-GB"/>
              </w:rPr>
              <w:t>.</w:t>
            </w:r>
            <w:r w:rsidR="00464BF5" w:rsidRPr="00A00994">
              <w:rPr>
                <w:spacing w:val="-4"/>
                <w:lang w:val="en-GB"/>
              </w:rPr>
              <w:t>8</w:t>
            </w:r>
            <w:r w:rsidR="00C118A9" w:rsidRPr="00A00994">
              <w:rPr>
                <w:spacing w:val="-4"/>
                <w:lang w:val="en-GB"/>
              </w:rPr>
              <w:t>%),</w:t>
            </w:r>
            <w:r w:rsidR="00471533" w:rsidRPr="00A00994">
              <w:rPr>
                <w:spacing w:val="-4"/>
                <w:lang w:val="en-GB"/>
              </w:rPr>
              <w:t xml:space="preserve"> the least on contrary in Poland </w:t>
            </w:r>
            <w:r w:rsidR="00C118A9" w:rsidRPr="00A00994">
              <w:rPr>
                <w:spacing w:val="-4"/>
                <w:lang w:val="en-GB"/>
              </w:rPr>
              <w:t>(1</w:t>
            </w:r>
            <w:r w:rsidR="00471533" w:rsidRPr="00A00994">
              <w:rPr>
                <w:spacing w:val="-4"/>
                <w:lang w:val="en-GB"/>
              </w:rPr>
              <w:t>.</w:t>
            </w:r>
            <w:r w:rsidR="00C118A9" w:rsidRPr="00A00994">
              <w:rPr>
                <w:spacing w:val="-4"/>
                <w:lang w:val="en-GB"/>
              </w:rPr>
              <w:t>0%), L</w:t>
            </w:r>
            <w:r w:rsidR="002A5D3A" w:rsidRPr="00A00994">
              <w:rPr>
                <w:spacing w:val="-4"/>
                <w:lang w:val="en-GB"/>
              </w:rPr>
              <w:t xml:space="preserve">atvia </w:t>
            </w:r>
            <w:r w:rsidR="00C118A9" w:rsidRPr="00A00994">
              <w:rPr>
                <w:spacing w:val="-4"/>
                <w:lang w:val="en-GB"/>
              </w:rPr>
              <w:t>(1</w:t>
            </w:r>
            <w:r w:rsidR="002A5D3A" w:rsidRPr="00A00994">
              <w:rPr>
                <w:spacing w:val="-4"/>
                <w:lang w:val="en-GB"/>
              </w:rPr>
              <w:t>.</w:t>
            </w:r>
            <w:r w:rsidR="00C118A9" w:rsidRPr="00A00994">
              <w:rPr>
                <w:spacing w:val="-4"/>
                <w:lang w:val="en-GB"/>
              </w:rPr>
              <w:t>2%)</w:t>
            </w:r>
            <w:r w:rsidR="002A5D3A" w:rsidRPr="00A00994">
              <w:rPr>
                <w:spacing w:val="-4"/>
                <w:lang w:val="en-GB"/>
              </w:rPr>
              <w:t xml:space="preserve"> and Germany </w:t>
            </w:r>
            <w:r w:rsidR="00C118A9" w:rsidRPr="00A00994">
              <w:rPr>
                <w:spacing w:val="-4"/>
                <w:lang w:val="en-GB"/>
              </w:rPr>
              <w:t>(1</w:t>
            </w:r>
            <w:r w:rsidR="002A5D3A" w:rsidRPr="00A00994">
              <w:rPr>
                <w:spacing w:val="-4"/>
                <w:lang w:val="en-GB"/>
              </w:rPr>
              <w:t>.</w:t>
            </w:r>
            <w:r w:rsidR="00C118A9" w:rsidRPr="00A00994">
              <w:rPr>
                <w:spacing w:val="-4"/>
                <w:lang w:val="en-GB"/>
              </w:rPr>
              <w:t xml:space="preserve">5%). </w:t>
            </w:r>
            <w:r w:rsidR="002A5D3A" w:rsidRPr="00A00994">
              <w:rPr>
                <w:spacing w:val="-4"/>
                <w:lang w:val="en-GB"/>
              </w:rPr>
              <w:t xml:space="preserve">Despite relatively low weight of services, the Czech economy belonged to a distinctive minority within the EU, </w:t>
            </w:r>
            <w:r w:rsidR="00743DB7" w:rsidRPr="00A00994">
              <w:rPr>
                <w:spacing w:val="-4"/>
                <w:lang w:val="en-GB"/>
              </w:rPr>
              <w:t xml:space="preserve">where the precrisis level of employment </w:t>
            </w:r>
            <w:r w:rsidR="00C118A9" w:rsidRPr="00A00994">
              <w:rPr>
                <w:spacing w:val="-4"/>
                <w:lang w:val="en-GB"/>
              </w:rPr>
              <w:t>(</w:t>
            </w:r>
            <w:r w:rsidR="00743DB7" w:rsidRPr="00A00994">
              <w:rPr>
                <w:spacing w:val="-4"/>
                <w:lang w:val="en-GB"/>
              </w:rPr>
              <w:t xml:space="preserve">from year </w:t>
            </w:r>
            <w:r w:rsidR="00C118A9" w:rsidRPr="00A00994">
              <w:rPr>
                <w:spacing w:val="-4"/>
                <w:lang w:val="en-GB"/>
              </w:rPr>
              <w:t>2019)</w:t>
            </w:r>
            <w:r w:rsidR="00C107F8" w:rsidRPr="00A00994">
              <w:rPr>
                <w:spacing w:val="-4"/>
                <w:lang w:val="en-GB"/>
              </w:rPr>
              <w:t xml:space="preserve"> was overcome only this year </w:t>
            </w:r>
            <w:r w:rsidR="00C118A9" w:rsidRPr="00A00994">
              <w:rPr>
                <w:spacing w:val="-4"/>
                <w:lang w:val="en-GB"/>
              </w:rPr>
              <w:t>(</w:t>
            </w:r>
            <w:r w:rsidR="00C107F8" w:rsidRPr="00A00994">
              <w:rPr>
                <w:spacing w:val="-4"/>
                <w:lang w:val="en-GB"/>
              </w:rPr>
              <w:t>only Slovakia, Latvia and Bulgaria did not manage to do that yet</w:t>
            </w:r>
            <w:r w:rsidR="00C118A9" w:rsidRPr="00A00994">
              <w:rPr>
                <w:spacing w:val="-4"/>
                <w:lang w:val="en-GB"/>
              </w:rPr>
              <w:t xml:space="preserve">). </w:t>
            </w:r>
            <w:r w:rsidR="00C107F8" w:rsidRPr="00A00994">
              <w:rPr>
                <w:spacing w:val="-4"/>
                <w:lang w:val="en-GB"/>
              </w:rPr>
              <w:t>Still the CR preserved a front position in the EU from the view of the participation of population on the labour market</w:t>
            </w:r>
            <w:r w:rsidR="00C118A9" w:rsidRPr="00A00994">
              <w:rPr>
                <w:rStyle w:val="Znakapoznpodarou"/>
                <w:spacing w:val="-4"/>
                <w:lang w:val="en-GB"/>
              </w:rPr>
              <w:footnoteReference w:id="6"/>
            </w:r>
            <w:r w:rsidR="00C118A9" w:rsidRPr="00A00994">
              <w:rPr>
                <w:spacing w:val="-4"/>
                <w:lang w:val="en-GB"/>
              </w:rPr>
              <w:t xml:space="preserve">. </w:t>
            </w:r>
          </w:p>
        </w:tc>
      </w:tr>
      <w:tr w:rsidR="000C62C0" w:rsidRPr="00A00994" w14:paraId="6622A5AE" w14:textId="77777777" w:rsidTr="00BC060A">
        <w:trPr>
          <w:trHeight w:val="145"/>
        </w:trPr>
        <w:tc>
          <w:tcPr>
            <w:tcW w:w="1739" w:type="dxa"/>
            <w:shd w:val="clear" w:color="auto" w:fill="auto"/>
            <w:tcMar>
              <w:left w:w="0" w:type="dxa"/>
            </w:tcMar>
          </w:tcPr>
          <w:p w14:paraId="14CA1C71" w14:textId="782CD529" w:rsidR="00C118A9" w:rsidRPr="00A00994" w:rsidRDefault="00587D30" w:rsidP="00621190">
            <w:pPr>
              <w:pStyle w:val="Marginlie"/>
              <w:rPr>
                <w:color w:val="0D0D0D" w:themeColor="text1" w:themeTint="F2"/>
                <w:spacing w:val="-5"/>
                <w:lang w:val="en-GB"/>
              </w:rPr>
            </w:pPr>
            <w:r w:rsidRPr="00A00994">
              <w:rPr>
                <w:color w:val="0D0D0D" w:themeColor="text1" w:themeTint="F2"/>
                <w:spacing w:val="-5"/>
                <w:lang w:val="en-GB"/>
              </w:rPr>
              <w:lastRenderedPageBreak/>
              <w:t xml:space="preserve">Expectations of businesses in the area of own employment gradually mildly deteriorated this year. Businesses in trade maintained the highest optimism. </w:t>
            </w:r>
          </w:p>
        </w:tc>
        <w:tc>
          <w:tcPr>
            <w:tcW w:w="220" w:type="dxa"/>
            <w:shd w:val="clear" w:color="auto" w:fill="auto"/>
            <w:tcMar>
              <w:left w:w="0" w:type="dxa"/>
            </w:tcMar>
          </w:tcPr>
          <w:p w14:paraId="28B1D007"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48866021" w14:textId="6C73586B" w:rsidR="00C118A9" w:rsidRPr="00A00994" w:rsidRDefault="00804D33" w:rsidP="00621190">
            <w:pPr>
              <w:spacing w:after="200"/>
              <w:rPr>
                <w:color w:val="1D1B11" w:themeColor="background2" w:themeShade="1A"/>
                <w:spacing w:val="-4"/>
                <w:lang w:val="en-GB"/>
              </w:rPr>
            </w:pPr>
            <w:r w:rsidRPr="00A00994">
              <w:rPr>
                <w:color w:val="1D1B11" w:themeColor="background2" w:themeShade="1A"/>
                <w:spacing w:val="-4"/>
                <w:lang w:val="en-GB"/>
              </w:rPr>
              <w:t xml:space="preserve">Short term expectations of businesses in the whole economy in the area of employment later mildly deteriorated following the optimistic outlooks from the beginning of this year. Still it stayed more positive in August compared to the period just before the onset of pandemics. </w:t>
            </w:r>
            <w:r w:rsidR="00867934" w:rsidRPr="00A00994">
              <w:rPr>
                <w:color w:val="1D1B11" w:themeColor="background2" w:themeShade="1A"/>
                <w:spacing w:val="-4"/>
                <w:lang w:val="en-GB"/>
              </w:rPr>
              <w:t xml:space="preserve">The businesses in trade maintained the highest optimism. </w:t>
            </w:r>
            <w:r w:rsidR="00464BF5" w:rsidRPr="00A00994">
              <w:rPr>
                <w:color w:val="1D1B11" w:themeColor="background2" w:themeShade="1A"/>
                <w:spacing w:val="-4"/>
                <w:lang w:val="en-GB"/>
              </w:rPr>
              <w:t>15</w:t>
            </w:r>
            <w:r w:rsidR="00C118A9" w:rsidRPr="00A00994">
              <w:rPr>
                <w:color w:val="1D1B11" w:themeColor="background2" w:themeShade="1A"/>
                <w:spacing w:val="-4"/>
                <w:lang w:val="en-GB"/>
              </w:rPr>
              <w:t>%</w:t>
            </w:r>
            <w:r w:rsidR="00867934" w:rsidRPr="00A00994">
              <w:rPr>
                <w:color w:val="1D1B11" w:themeColor="background2" w:themeShade="1A"/>
                <w:spacing w:val="-4"/>
                <w:lang w:val="en-GB"/>
              </w:rPr>
              <w:t xml:space="preserve"> of them planned to create new job positions in the next 3 months, 10% then lowering of the employee levels. </w:t>
            </w:r>
            <w:r w:rsidR="00BC4A8C" w:rsidRPr="00A00994">
              <w:rPr>
                <w:color w:val="1D1B11" w:themeColor="background2" w:themeShade="1A"/>
                <w:spacing w:val="-4"/>
                <w:lang w:val="en-GB"/>
              </w:rPr>
              <w:t xml:space="preserve">The share of both above-mentioned categories was comparable in industry as well as construction </w:t>
            </w:r>
            <w:r w:rsidR="00C118A9" w:rsidRPr="00A00994">
              <w:rPr>
                <w:color w:val="1D1B11" w:themeColor="background2" w:themeShade="1A"/>
                <w:spacing w:val="-4"/>
                <w:lang w:val="en-GB"/>
              </w:rPr>
              <w:t>(</w:t>
            </w:r>
            <w:r w:rsidR="00BC4A8C" w:rsidRPr="00A00994">
              <w:rPr>
                <w:color w:val="1D1B11" w:themeColor="background2" w:themeShade="1A"/>
                <w:spacing w:val="-4"/>
                <w:lang w:val="en-GB"/>
              </w:rPr>
              <w:t xml:space="preserve">it always slightly exceeded </w:t>
            </w:r>
            <w:r w:rsidR="00C118A9" w:rsidRPr="00A00994">
              <w:rPr>
                <w:color w:val="1D1B11" w:themeColor="background2" w:themeShade="1A"/>
                <w:spacing w:val="-4"/>
                <w:lang w:val="en-GB"/>
              </w:rPr>
              <w:t>10%)</w:t>
            </w:r>
            <w:r w:rsidR="00C118A9" w:rsidRPr="00A00994">
              <w:rPr>
                <w:rStyle w:val="Znakapoznpodarou"/>
                <w:color w:val="1D1B11" w:themeColor="background2" w:themeShade="1A"/>
                <w:spacing w:val="-4"/>
                <w:lang w:val="en-GB"/>
              </w:rPr>
              <w:footnoteReference w:id="7"/>
            </w:r>
            <w:r w:rsidR="00C118A9" w:rsidRPr="00A00994">
              <w:rPr>
                <w:color w:val="1D1B11" w:themeColor="background2" w:themeShade="1A"/>
                <w:spacing w:val="-4"/>
                <w:lang w:val="en-GB"/>
              </w:rPr>
              <w:t xml:space="preserve">. </w:t>
            </w:r>
            <w:r w:rsidR="00BC4A8C" w:rsidRPr="00A00994">
              <w:rPr>
                <w:color w:val="1D1B11" w:themeColor="background2" w:themeShade="1A"/>
                <w:spacing w:val="-4"/>
                <w:lang w:val="en-GB"/>
              </w:rPr>
              <w:t xml:space="preserve">The last year’s pessimism perceptibly shrank in services, still the anticipations of further reduction prevailed here </w:t>
            </w:r>
            <w:r w:rsidR="00C118A9" w:rsidRPr="00A00994">
              <w:rPr>
                <w:color w:val="1D1B11" w:themeColor="background2" w:themeShade="1A"/>
                <w:spacing w:val="-4"/>
                <w:lang w:val="en-GB"/>
              </w:rPr>
              <w:t>(16%)</w:t>
            </w:r>
            <w:r w:rsidR="00BC4A8C" w:rsidRPr="00A00994">
              <w:rPr>
                <w:color w:val="1D1B11" w:themeColor="background2" w:themeShade="1A"/>
                <w:spacing w:val="-4"/>
                <w:lang w:val="en-GB"/>
              </w:rPr>
              <w:t xml:space="preserve"> over growth </w:t>
            </w:r>
            <w:r w:rsidR="00C118A9" w:rsidRPr="00A00994">
              <w:rPr>
                <w:color w:val="1D1B11" w:themeColor="background2" w:themeShade="1A"/>
                <w:spacing w:val="-4"/>
                <w:lang w:val="en-GB"/>
              </w:rPr>
              <w:t>(10%)</w:t>
            </w:r>
            <w:r w:rsidR="00C118A9" w:rsidRPr="00A00994">
              <w:rPr>
                <w:rStyle w:val="Znakapoznpodarou"/>
                <w:color w:val="1D1B11" w:themeColor="background2" w:themeShade="1A"/>
                <w:spacing w:val="-4"/>
                <w:lang w:val="en-GB"/>
              </w:rPr>
              <w:footnoteReference w:id="8"/>
            </w:r>
            <w:r w:rsidR="00C118A9" w:rsidRPr="00A00994">
              <w:rPr>
                <w:color w:val="1D1B11" w:themeColor="background2" w:themeShade="1A"/>
                <w:spacing w:val="-4"/>
                <w:lang w:val="en-GB"/>
              </w:rPr>
              <w:t xml:space="preserve">. </w:t>
            </w:r>
            <w:r w:rsidR="009757EA" w:rsidRPr="00A00994">
              <w:rPr>
                <w:color w:val="1D1B11" w:themeColor="background2" w:themeShade="1A"/>
                <w:spacing w:val="-4"/>
                <w:lang w:val="en-GB"/>
              </w:rPr>
              <w:t xml:space="preserve">Both in </w:t>
            </w:r>
            <w:r w:rsidR="00DC1A3D">
              <w:rPr>
                <w:color w:val="1D1B11" w:themeColor="background2" w:themeShade="1A"/>
                <w:spacing w:val="-4"/>
                <w:lang w:val="en-GB"/>
              </w:rPr>
              <w:t>s</w:t>
            </w:r>
            <w:r w:rsidR="00E846B0" w:rsidRPr="00A00994">
              <w:rPr>
                <w:color w:val="1D1B11" w:themeColor="background2" w:themeShade="1A"/>
                <w:spacing w:val="-4"/>
                <w:lang w:val="en-GB"/>
              </w:rPr>
              <w:t>pring</w:t>
            </w:r>
            <w:r w:rsidR="00DC1A3D">
              <w:rPr>
                <w:color w:val="1D1B11" w:themeColor="background2" w:themeShade="1A"/>
                <w:spacing w:val="-4"/>
                <w:lang w:val="en-GB"/>
              </w:rPr>
              <w:t xml:space="preserve"> and s</w:t>
            </w:r>
            <w:r w:rsidR="009757EA" w:rsidRPr="00A00994">
              <w:rPr>
                <w:color w:val="1D1B11" w:themeColor="background2" w:themeShade="1A"/>
                <w:spacing w:val="-4"/>
                <w:lang w:val="en-GB"/>
              </w:rPr>
              <w:t>ummer this year, in connection with the worsening of the overall economic outlooks, the proportion of businesses where the shortage of labour force presents one of the important growth barriers slightly decreased. This problem however kept playing a key role in construction</w:t>
            </w:r>
            <w:r w:rsidR="00C118A9" w:rsidRPr="00A00994">
              <w:rPr>
                <w:color w:val="1D1B11" w:themeColor="background2" w:themeShade="1A"/>
                <w:spacing w:val="-4"/>
                <w:lang w:val="en-GB"/>
              </w:rPr>
              <w:t xml:space="preserve">, </w:t>
            </w:r>
            <w:r w:rsidR="009757EA" w:rsidRPr="00A00994">
              <w:rPr>
                <w:color w:val="1D1B11" w:themeColor="background2" w:themeShade="1A"/>
                <w:spacing w:val="-4"/>
                <w:lang w:val="en-GB"/>
              </w:rPr>
              <w:t xml:space="preserve">since it still limited around </w:t>
            </w:r>
            <w:r w:rsidR="00C118A9" w:rsidRPr="00A00994">
              <w:rPr>
                <w:color w:val="1D1B11" w:themeColor="background2" w:themeShade="1A"/>
                <w:spacing w:val="-4"/>
                <w:lang w:val="en-GB"/>
              </w:rPr>
              <w:t>40%</w:t>
            </w:r>
            <w:r w:rsidR="009757EA" w:rsidRPr="00A00994">
              <w:rPr>
                <w:color w:val="1D1B11" w:themeColor="background2" w:themeShade="1A"/>
                <w:spacing w:val="-4"/>
                <w:lang w:val="en-GB"/>
              </w:rPr>
              <w:t xml:space="preserve"> of businesses</w:t>
            </w:r>
            <w:r w:rsidR="00C118A9" w:rsidRPr="00A00994">
              <w:rPr>
                <w:color w:val="1D1B11" w:themeColor="background2" w:themeShade="1A"/>
                <w:spacing w:val="-4"/>
                <w:lang w:val="en-GB"/>
              </w:rPr>
              <w:t>.</w:t>
            </w:r>
            <w:r w:rsidR="009757EA" w:rsidRPr="00A00994">
              <w:rPr>
                <w:color w:val="1D1B11" w:themeColor="background2" w:themeShade="1A"/>
                <w:spacing w:val="-4"/>
                <w:lang w:val="en-GB"/>
              </w:rPr>
              <w:t xml:space="preserve"> It did not even evade some sub-branches in industry or services,</w:t>
            </w:r>
            <w:r w:rsidR="00C118A9" w:rsidRPr="00A00994">
              <w:rPr>
                <w:color w:val="1D1B11" w:themeColor="background2" w:themeShade="1A"/>
                <w:spacing w:val="-4"/>
                <w:lang w:val="en-GB"/>
              </w:rPr>
              <w:t xml:space="preserve"> </w:t>
            </w:r>
            <w:r w:rsidR="009757EA" w:rsidRPr="00A00994">
              <w:rPr>
                <w:color w:val="1D1B11" w:themeColor="background2" w:themeShade="1A"/>
                <w:spacing w:val="-4"/>
                <w:lang w:val="en-GB"/>
              </w:rPr>
              <w:t>especially those with low level of earnings</w:t>
            </w:r>
            <w:r w:rsidR="00C118A9" w:rsidRPr="00A00994">
              <w:rPr>
                <w:color w:val="1D1B11" w:themeColor="background2" w:themeShade="1A"/>
                <w:spacing w:val="-4"/>
                <w:lang w:val="en-GB"/>
              </w:rPr>
              <w:t>.</w:t>
            </w:r>
          </w:p>
        </w:tc>
      </w:tr>
      <w:tr w:rsidR="000C62C0" w:rsidRPr="00A00994" w14:paraId="75C9C131" w14:textId="77777777" w:rsidTr="00BC060A">
        <w:trPr>
          <w:trHeight w:val="145"/>
        </w:trPr>
        <w:tc>
          <w:tcPr>
            <w:tcW w:w="1739" w:type="dxa"/>
            <w:shd w:val="clear" w:color="auto" w:fill="auto"/>
            <w:tcMar>
              <w:left w:w="0" w:type="dxa"/>
            </w:tcMar>
          </w:tcPr>
          <w:p w14:paraId="24870F4B" w14:textId="44F5205F" w:rsidR="00C118A9" w:rsidRPr="00A00994" w:rsidRDefault="00D3008B" w:rsidP="00D3008B">
            <w:pPr>
              <w:pStyle w:val="Marginlie"/>
              <w:rPr>
                <w:color w:val="0D0D0D" w:themeColor="text1" w:themeTint="F2"/>
                <w:spacing w:val="-5"/>
                <w:lang w:val="en-GB"/>
              </w:rPr>
            </w:pPr>
            <w:r w:rsidRPr="00A00994">
              <w:rPr>
                <w:color w:val="0D0D0D" w:themeColor="text1" w:themeTint="F2"/>
                <w:spacing w:val="-5"/>
                <w:lang w:val="en-GB"/>
              </w:rPr>
              <w:t xml:space="preserve">Unemployment rate slightly lowered year-on-year, it was falling faster for males. Number of long-term unemployed however mildly increased. </w:t>
            </w:r>
          </w:p>
          <w:p w14:paraId="0486082B" w14:textId="77777777" w:rsidR="00D3008B" w:rsidRPr="00A00994" w:rsidRDefault="00D3008B" w:rsidP="00D3008B">
            <w:pPr>
              <w:pStyle w:val="Marginlie"/>
              <w:rPr>
                <w:color w:val="0D0D0D" w:themeColor="text1" w:themeTint="F2"/>
                <w:spacing w:val="-5"/>
                <w:lang w:val="en-GB"/>
              </w:rPr>
            </w:pPr>
          </w:p>
          <w:p w14:paraId="6C62861D" w14:textId="77777777" w:rsidR="00C118A9" w:rsidRPr="00A00994" w:rsidRDefault="00C118A9" w:rsidP="00621190">
            <w:pPr>
              <w:pStyle w:val="Marginlie"/>
              <w:rPr>
                <w:color w:val="0D0D0D" w:themeColor="text1" w:themeTint="F2"/>
                <w:spacing w:val="-5"/>
                <w:lang w:val="en-GB"/>
              </w:rPr>
            </w:pPr>
          </w:p>
          <w:p w14:paraId="1ABFE685" w14:textId="77777777" w:rsidR="00C118A9" w:rsidRPr="00A00994" w:rsidRDefault="00C118A9" w:rsidP="00621190">
            <w:pPr>
              <w:pStyle w:val="Marginlie"/>
              <w:rPr>
                <w:color w:val="0D0D0D" w:themeColor="text1" w:themeTint="F2"/>
                <w:spacing w:val="-5"/>
                <w:lang w:val="en-GB"/>
              </w:rPr>
            </w:pPr>
          </w:p>
          <w:p w14:paraId="4EFB4A04" w14:textId="77777777" w:rsidR="00C118A9" w:rsidRPr="00A00994" w:rsidRDefault="00C118A9" w:rsidP="00621190">
            <w:pPr>
              <w:pStyle w:val="Marginlie"/>
              <w:rPr>
                <w:color w:val="0D0D0D" w:themeColor="text1" w:themeTint="F2"/>
                <w:spacing w:val="-5"/>
                <w:lang w:val="en-GB"/>
              </w:rPr>
            </w:pPr>
          </w:p>
          <w:p w14:paraId="19536328" w14:textId="77777777" w:rsidR="00C118A9" w:rsidRPr="00A00994" w:rsidRDefault="00C118A9" w:rsidP="00621190">
            <w:pPr>
              <w:pStyle w:val="Marginlie"/>
              <w:rPr>
                <w:color w:val="0D0D0D" w:themeColor="text1" w:themeTint="F2"/>
                <w:spacing w:val="-5"/>
                <w:lang w:val="en-GB"/>
              </w:rPr>
            </w:pPr>
          </w:p>
          <w:p w14:paraId="2F0FB7FE" w14:textId="5E482176" w:rsidR="00C118A9" w:rsidRPr="00A00994" w:rsidRDefault="00D3008B" w:rsidP="00621190">
            <w:pPr>
              <w:pStyle w:val="Marginlie"/>
              <w:rPr>
                <w:color w:val="0D0D0D" w:themeColor="text1" w:themeTint="F2"/>
                <w:lang w:val="en-GB"/>
              </w:rPr>
            </w:pPr>
            <w:r w:rsidRPr="00A00994">
              <w:rPr>
                <w:color w:val="0D0D0D" w:themeColor="text1" w:themeTint="F2"/>
                <w:lang w:val="en-GB"/>
              </w:rPr>
              <w:t xml:space="preserve">Concerns of people regarding the unemployment slowly started to heighten. </w:t>
            </w:r>
          </w:p>
        </w:tc>
        <w:tc>
          <w:tcPr>
            <w:tcW w:w="220" w:type="dxa"/>
            <w:shd w:val="clear" w:color="auto" w:fill="auto"/>
            <w:tcMar>
              <w:left w:w="0" w:type="dxa"/>
            </w:tcMar>
          </w:tcPr>
          <w:p w14:paraId="09126989" w14:textId="77777777" w:rsidR="00C118A9" w:rsidRPr="00A00994" w:rsidRDefault="00C118A9" w:rsidP="00621190">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22677394" w14:textId="693F8F04" w:rsidR="00C118A9" w:rsidRPr="00A00994" w:rsidRDefault="00D3008B" w:rsidP="00621190">
            <w:pPr>
              <w:spacing w:after="200"/>
              <w:rPr>
                <w:color w:val="1D1B11" w:themeColor="background2" w:themeShade="1A"/>
                <w:spacing w:val="-4"/>
                <w:lang w:val="en-GB"/>
              </w:rPr>
            </w:pPr>
            <w:r w:rsidRPr="00A00994">
              <w:rPr>
                <w:color w:val="1D1B11" w:themeColor="background2" w:themeShade="1A"/>
                <w:spacing w:val="-4"/>
                <w:lang w:val="en-GB"/>
              </w:rPr>
              <w:t>The general unemployment rate</w:t>
            </w:r>
            <w:r w:rsidR="00C118A9" w:rsidRPr="00A00994">
              <w:rPr>
                <w:rStyle w:val="Znakapoznpodarou"/>
                <w:color w:val="1D1B11" w:themeColor="background2" w:themeShade="1A"/>
                <w:spacing w:val="-4"/>
                <w:lang w:val="en-GB"/>
              </w:rPr>
              <w:footnoteReference w:id="9"/>
            </w:r>
            <w:r w:rsidR="00C118A9" w:rsidRPr="00A00994">
              <w:rPr>
                <w:color w:val="1D1B11" w:themeColor="background2" w:themeShade="1A"/>
                <w:spacing w:val="-4"/>
                <w:lang w:val="en-GB"/>
              </w:rPr>
              <w:t xml:space="preserve"> (</w:t>
            </w:r>
            <w:r w:rsidRPr="00A00994">
              <w:rPr>
                <w:color w:val="1D1B11" w:themeColor="background2" w:themeShade="1A"/>
                <w:spacing w:val="-4"/>
                <w:lang w:val="en-GB"/>
              </w:rPr>
              <w:t xml:space="preserve">persons aged </w:t>
            </w:r>
            <w:r w:rsidR="00C118A9" w:rsidRPr="00A00994">
              <w:rPr>
                <w:color w:val="1D1B11" w:themeColor="background2" w:themeShade="1A"/>
                <w:spacing w:val="-4"/>
                <w:lang w:val="en-GB"/>
              </w:rPr>
              <w:t>15</w:t>
            </w:r>
            <w:r w:rsidRPr="00A00994">
              <w:rPr>
                <w:color w:val="1D1B11" w:themeColor="background2" w:themeShade="1A"/>
                <w:spacing w:val="-4"/>
                <w:lang w:val="en-GB"/>
              </w:rPr>
              <w:t xml:space="preserve"> to </w:t>
            </w:r>
            <w:r w:rsidR="00C118A9" w:rsidRPr="00A00994">
              <w:rPr>
                <w:color w:val="1D1B11" w:themeColor="background2" w:themeShade="1A"/>
                <w:spacing w:val="-4"/>
                <w:lang w:val="en-GB"/>
              </w:rPr>
              <w:t>64</w:t>
            </w:r>
            <w:r w:rsidRPr="00A00994">
              <w:rPr>
                <w:color w:val="1D1B11" w:themeColor="background2" w:themeShade="1A"/>
                <w:spacing w:val="-4"/>
                <w:lang w:val="en-GB"/>
              </w:rPr>
              <w:t xml:space="preserve"> years</w:t>
            </w:r>
            <w:r w:rsidR="00C118A9" w:rsidRPr="00A00994">
              <w:rPr>
                <w:color w:val="1D1B11" w:themeColor="background2" w:themeShade="1A"/>
                <w:spacing w:val="-4"/>
                <w:lang w:val="en-GB"/>
              </w:rPr>
              <w:t>)</w:t>
            </w:r>
            <w:r w:rsidR="00DB13EF" w:rsidRPr="00A00994">
              <w:rPr>
                <w:color w:val="1D1B11" w:themeColor="background2" w:themeShade="1A"/>
                <w:spacing w:val="-4"/>
                <w:lang w:val="en-GB"/>
              </w:rPr>
              <w:t xml:space="preserve"> </w:t>
            </w:r>
            <w:r w:rsidR="00C34430" w:rsidRPr="00A00994">
              <w:rPr>
                <w:color w:val="1D1B11" w:themeColor="background2" w:themeShade="1A"/>
                <w:spacing w:val="-4"/>
                <w:lang w:val="en-GB"/>
              </w:rPr>
              <w:t xml:space="preserve">arrived at </w:t>
            </w:r>
            <w:r w:rsidR="00C118A9" w:rsidRPr="00A00994">
              <w:rPr>
                <w:color w:val="1D1B11" w:themeColor="background2" w:themeShade="1A"/>
                <w:spacing w:val="-4"/>
                <w:lang w:val="en-GB"/>
              </w:rPr>
              <w:t>2</w:t>
            </w:r>
            <w:r w:rsidR="00C34430" w:rsidRPr="00A00994">
              <w:rPr>
                <w:color w:val="1D1B11" w:themeColor="background2" w:themeShade="1A"/>
                <w:spacing w:val="-4"/>
                <w:lang w:val="en-GB"/>
              </w:rPr>
              <w:t>.</w:t>
            </w:r>
            <w:r w:rsidR="00C118A9" w:rsidRPr="00A00994">
              <w:rPr>
                <w:color w:val="1D1B11" w:themeColor="background2" w:themeShade="1A"/>
                <w:spacing w:val="-4"/>
                <w:lang w:val="en-GB"/>
              </w:rPr>
              <w:t>3%</w:t>
            </w:r>
            <w:r w:rsidR="00C34430" w:rsidRPr="00A00994">
              <w:rPr>
                <w:color w:val="1D1B11" w:themeColor="background2" w:themeShade="1A"/>
                <w:spacing w:val="-4"/>
                <w:lang w:val="en-GB"/>
              </w:rPr>
              <w:t xml:space="preserve"> this year in July</w:t>
            </w:r>
            <w:r w:rsidR="00C118A9" w:rsidRPr="00A00994">
              <w:rPr>
                <w:color w:val="1D1B11" w:themeColor="background2" w:themeShade="1A"/>
                <w:spacing w:val="-4"/>
                <w:lang w:val="en-GB"/>
              </w:rPr>
              <w:t xml:space="preserve">. </w:t>
            </w:r>
            <w:r w:rsidR="00C34430" w:rsidRPr="00A00994">
              <w:rPr>
                <w:color w:val="1D1B11" w:themeColor="background2" w:themeShade="1A"/>
                <w:spacing w:val="-4"/>
                <w:lang w:val="en-GB"/>
              </w:rPr>
              <w:t>It mildly decreased year-on-year, mainly thanks to the more favourable development in H</w:t>
            </w:r>
            <w:r w:rsidR="00C118A9" w:rsidRPr="00A00994">
              <w:rPr>
                <w:color w:val="1D1B11" w:themeColor="background2" w:themeShade="1A"/>
                <w:spacing w:val="-4"/>
                <w:lang w:val="en-GB"/>
              </w:rPr>
              <w:t>2</w:t>
            </w:r>
            <w:r w:rsidR="00C34430" w:rsidRPr="00A00994">
              <w:rPr>
                <w:color w:val="1D1B11" w:themeColor="background2" w:themeShade="1A"/>
                <w:spacing w:val="-4"/>
                <w:lang w:val="en-GB"/>
              </w:rPr>
              <w:t xml:space="preserve"> </w:t>
            </w:r>
            <w:r w:rsidR="00C118A9" w:rsidRPr="00A00994">
              <w:rPr>
                <w:color w:val="1D1B11" w:themeColor="background2" w:themeShade="1A"/>
                <w:spacing w:val="-4"/>
                <w:lang w:val="en-GB"/>
              </w:rPr>
              <w:t xml:space="preserve">2021. </w:t>
            </w:r>
            <w:r w:rsidR="00E411F9" w:rsidRPr="00A00994">
              <w:rPr>
                <w:color w:val="1D1B11" w:themeColor="background2" w:themeShade="1A"/>
                <w:spacing w:val="-4"/>
                <w:lang w:val="en-GB"/>
              </w:rPr>
              <w:t xml:space="preserve">It was falling faster for males </w:t>
            </w:r>
            <w:r w:rsidR="00C118A9" w:rsidRPr="00A00994">
              <w:rPr>
                <w:color w:val="1D1B11" w:themeColor="background2" w:themeShade="1A"/>
                <w:spacing w:val="-4"/>
                <w:lang w:val="en-GB"/>
              </w:rPr>
              <w:t>(</w:t>
            </w:r>
            <w:r w:rsidR="00E411F9" w:rsidRPr="00A00994">
              <w:rPr>
                <w:color w:val="1D1B11" w:themeColor="background2" w:themeShade="1A"/>
                <w:spacing w:val="-4"/>
                <w:lang w:val="en-GB"/>
              </w:rPr>
              <w:t xml:space="preserve">by </w:t>
            </w:r>
            <w:r w:rsidR="00C118A9" w:rsidRPr="00A00994">
              <w:rPr>
                <w:color w:val="1D1B11" w:themeColor="background2" w:themeShade="1A"/>
                <w:spacing w:val="-4"/>
                <w:lang w:val="en-GB"/>
              </w:rPr>
              <w:t>0</w:t>
            </w:r>
            <w:r w:rsidR="00E411F9" w:rsidRPr="00A00994">
              <w:rPr>
                <w:color w:val="1D1B11" w:themeColor="background2" w:themeShade="1A"/>
                <w:spacing w:val="-4"/>
                <w:lang w:val="en-GB"/>
              </w:rPr>
              <w:t>.</w:t>
            </w:r>
            <w:r w:rsidR="00C118A9" w:rsidRPr="00A00994">
              <w:rPr>
                <w:color w:val="1D1B11" w:themeColor="background2" w:themeShade="1A"/>
                <w:spacing w:val="-4"/>
                <w:lang w:val="en-GB"/>
              </w:rPr>
              <w:t>5</w:t>
            </w:r>
            <w:r w:rsidR="00E411F9" w:rsidRPr="00A00994">
              <w:rPr>
                <w:color w:val="1D1B11" w:themeColor="background2" w:themeShade="1A"/>
                <w:spacing w:val="-4"/>
                <w:lang w:val="en-GB"/>
              </w:rPr>
              <w:t xml:space="preserve"> p.p. to </w:t>
            </w:r>
            <w:r w:rsidR="00DB13EF" w:rsidRPr="00A00994">
              <w:rPr>
                <w:color w:val="1D1B11" w:themeColor="background2" w:themeShade="1A"/>
                <w:spacing w:val="-4"/>
                <w:lang w:val="en-GB"/>
              </w:rPr>
              <w:t>1</w:t>
            </w:r>
            <w:r w:rsidR="00E411F9" w:rsidRPr="00A00994">
              <w:rPr>
                <w:color w:val="1D1B11" w:themeColor="background2" w:themeShade="1A"/>
                <w:spacing w:val="-4"/>
                <w:lang w:val="en-GB"/>
              </w:rPr>
              <w:t>.</w:t>
            </w:r>
            <w:r w:rsidR="00DB13EF" w:rsidRPr="00A00994">
              <w:rPr>
                <w:color w:val="1D1B11" w:themeColor="background2" w:themeShade="1A"/>
                <w:spacing w:val="-4"/>
                <w:lang w:val="en-GB"/>
              </w:rPr>
              <w:t xml:space="preserve">8%) </w:t>
            </w:r>
            <w:r w:rsidR="00E411F9" w:rsidRPr="00A00994">
              <w:rPr>
                <w:color w:val="1D1B11" w:themeColor="background2" w:themeShade="1A"/>
                <w:spacing w:val="-4"/>
                <w:lang w:val="en-GB"/>
              </w:rPr>
              <w:t xml:space="preserve">than females </w:t>
            </w:r>
            <w:r w:rsidR="00DB13EF" w:rsidRPr="00A00994">
              <w:rPr>
                <w:color w:val="1D1B11" w:themeColor="background2" w:themeShade="1A"/>
                <w:spacing w:val="-4"/>
                <w:lang w:val="en-GB"/>
              </w:rPr>
              <w:t>(</w:t>
            </w:r>
            <w:r w:rsidR="00E411F9" w:rsidRPr="00A00994">
              <w:rPr>
                <w:color w:val="1D1B11" w:themeColor="background2" w:themeShade="1A"/>
                <w:spacing w:val="-4"/>
                <w:lang w:val="en-GB"/>
              </w:rPr>
              <w:t xml:space="preserve">by </w:t>
            </w:r>
            <w:r w:rsidR="00DB13EF" w:rsidRPr="00A00994">
              <w:rPr>
                <w:color w:val="1D1B11" w:themeColor="background2" w:themeShade="1A"/>
                <w:spacing w:val="-4"/>
                <w:lang w:val="en-GB"/>
              </w:rPr>
              <w:t>0</w:t>
            </w:r>
            <w:r w:rsidR="00E411F9" w:rsidRPr="00A00994">
              <w:rPr>
                <w:color w:val="1D1B11" w:themeColor="background2" w:themeShade="1A"/>
                <w:spacing w:val="-4"/>
                <w:lang w:val="en-GB"/>
              </w:rPr>
              <w:t>.</w:t>
            </w:r>
            <w:r w:rsidR="00DB13EF" w:rsidRPr="00A00994">
              <w:rPr>
                <w:color w:val="1D1B11" w:themeColor="background2" w:themeShade="1A"/>
                <w:spacing w:val="-4"/>
                <w:lang w:val="en-GB"/>
              </w:rPr>
              <w:t>1</w:t>
            </w:r>
            <w:r w:rsidR="00C118A9" w:rsidRPr="00A00994">
              <w:rPr>
                <w:color w:val="1D1B11" w:themeColor="background2" w:themeShade="1A"/>
                <w:spacing w:val="-4"/>
                <w:lang w:val="en-GB"/>
              </w:rPr>
              <w:t xml:space="preserve"> p.</w:t>
            </w:r>
            <w:r w:rsidR="00E411F9" w:rsidRPr="00A00994">
              <w:rPr>
                <w:color w:val="1D1B11" w:themeColor="background2" w:themeShade="1A"/>
                <w:spacing w:val="-4"/>
                <w:lang w:val="en-GB"/>
              </w:rPr>
              <w:t xml:space="preserve">p. to </w:t>
            </w:r>
            <w:r w:rsidR="00C118A9" w:rsidRPr="00A00994">
              <w:rPr>
                <w:color w:val="1D1B11" w:themeColor="background2" w:themeShade="1A"/>
                <w:spacing w:val="-4"/>
                <w:lang w:val="en-GB"/>
              </w:rPr>
              <w:t>3</w:t>
            </w:r>
            <w:r w:rsidR="00E411F9" w:rsidRPr="00A00994">
              <w:rPr>
                <w:color w:val="1D1B11" w:themeColor="background2" w:themeShade="1A"/>
                <w:spacing w:val="-4"/>
                <w:lang w:val="en-GB"/>
              </w:rPr>
              <w:t>.</w:t>
            </w:r>
            <w:r w:rsidR="00C118A9" w:rsidRPr="00A00994">
              <w:rPr>
                <w:color w:val="1D1B11" w:themeColor="background2" w:themeShade="1A"/>
                <w:spacing w:val="-4"/>
                <w:lang w:val="en-GB"/>
              </w:rPr>
              <w:t xml:space="preserve">0%). </w:t>
            </w:r>
            <w:r w:rsidR="00E411F9" w:rsidRPr="00A00994">
              <w:rPr>
                <w:color w:val="1D1B11" w:themeColor="background2" w:themeShade="1A"/>
                <w:spacing w:val="-4"/>
                <w:lang w:val="en-GB"/>
              </w:rPr>
              <w:t xml:space="preserve">Data regarding the registered job applicants also confirmed this development. </w:t>
            </w:r>
            <w:r w:rsidR="00F11C1D" w:rsidRPr="00A00994">
              <w:rPr>
                <w:color w:val="1D1B11" w:themeColor="background2" w:themeShade="1A"/>
                <w:spacing w:val="-4"/>
                <w:lang w:val="en-GB"/>
              </w:rPr>
              <w:t xml:space="preserve">The unemployment rate of females still remained slightly above the level of peak of the pre-pandemic boom, which was linked to the slower recovery of </w:t>
            </w:r>
            <w:r w:rsidR="006305F7" w:rsidRPr="00A00994">
              <w:rPr>
                <w:color w:val="1D1B11" w:themeColor="background2" w:themeShade="1A"/>
                <w:spacing w:val="-4"/>
                <w:lang w:val="en-GB"/>
              </w:rPr>
              <w:t>employment</w:t>
            </w:r>
            <w:r w:rsidR="00F11C1D" w:rsidRPr="00A00994">
              <w:rPr>
                <w:color w:val="1D1B11" w:themeColor="background2" w:themeShade="1A"/>
                <w:spacing w:val="-4"/>
                <w:lang w:val="en-GB"/>
              </w:rPr>
              <w:t xml:space="preserve"> in some services activities </w:t>
            </w:r>
            <w:r w:rsidR="006305F7" w:rsidRPr="00A00994">
              <w:rPr>
                <w:color w:val="1D1B11" w:themeColor="background2" w:themeShade="1A"/>
                <w:spacing w:val="-4"/>
                <w:lang w:val="en-GB"/>
              </w:rPr>
              <w:t>strongly</w:t>
            </w:r>
            <w:r w:rsidR="00F11C1D" w:rsidRPr="00A00994">
              <w:rPr>
                <w:color w:val="1D1B11" w:themeColor="background2" w:themeShade="1A"/>
                <w:spacing w:val="-4"/>
                <w:lang w:val="en-GB"/>
              </w:rPr>
              <w:t xml:space="preserve"> hit by the slump of demand during the pandemics and further also to the inadequate supply of short-term jobs.</w:t>
            </w:r>
            <w:r w:rsidR="006305F7" w:rsidRPr="00A00994">
              <w:rPr>
                <w:color w:val="1D1B11" w:themeColor="background2" w:themeShade="1A"/>
                <w:spacing w:val="-4"/>
                <w:lang w:val="en-GB"/>
              </w:rPr>
              <w:t xml:space="preserve"> The number of long-term unemployed mildly increased year-on-year</w:t>
            </w:r>
            <w:r w:rsidR="00C118A9" w:rsidRPr="00A00994">
              <w:rPr>
                <w:color w:val="0D0D0D" w:themeColor="text1" w:themeTint="F2"/>
                <w:spacing w:val="-4"/>
                <w:lang w:val="en-GB"/>
              </w:rPr>
              <w:t>. 40%</w:t>
            </w:r>
            <w:r w:rsidR="006305F7" w:rsidRPr="00A00994">
              <w:rPr>
                <w:color w:val="0D0D0D" w:themeColor="text1" w:themeTint="F2"/>
                <w:spacing w:val="-4"/>
                <w:lang w:val="en-GB"/>
              </w:rPr>
              <w:t xml:space="preserve"> of all unemployed thus was more than one year without a job in Q2, i.e. approximately by </w:t>
            </w:r>
            <w:r w:rsidR="00C118A9" w:rsidRPr="00A00994">
              <w:rPr>
                <w:color w:val="0D0D0D" w:themeColor="text1" w:themeTint="F2"/>
                <w:spacing w:val="-4"/>
                <w:lang w:val="en-GB"/>
              </w:rPr>
              <w:t>10 p.</w:t>
            </w:r>
            <w:r w:rsidR="006305F7" w:rsidRPr="00A00994">
              <w:rPr>
                <w:color w:val="0D0D0D" w:themeColor="text1" w:themeTint="F2"/>
                <w:spacing w:val="-4"/>
                <w:lang w:val="en-GB"/>
              </w:rPr>
              <w:t xml:space="preserve">p. more than in year </w:t>
            </w:r>
            <w:r w:rsidR="00C118A9" w:rsidRPr="00A00994">
              <w:rPr>
                <w:color w:val="0D0D0D" w:themeColor="text1" w:themeTint="F2"/>
                <w:spacing w:val="-4"/>
                <w:lang w:val="en-GB"/>
              </w:rPr>
              <w:t xml:space="preserve">2019. </w:t>
            </w:r>
            <w:r w:rsidR="006305F7" w:rsidRPr="00A00994">
              <w:rPr>
                <w:color w:val="0D0D0D" w:themeColor="text1" w:themeTint="F2"/>
                <w:spacing w:val="-4"/>
                <w:lang w:val="en-GB"/>
              </w:rPr>
              <w:t xml:space="preserve">Number of households expecting worsening of the economic situation in the CR in the upcoming 12 months considerably increased during this year’s </w:t>
            </w:r>
            <w:r w:rsidR="00DC1A3D">
              <w:rPr>
                <w:color w:val="0D0D0D" w:themeColor="text1" w:themeTint="F2"/>
                <w:spacing w:val="-4"/>
                <w:lang w:val="en-GB"/>
              </w:rPr>
              <w:t>s</w:t>
            </w:r>
            <w:r w:rsidR="00E846B0" w:rsidRPr="00A00994">
              <w:rPr>
                <w:color w:val="0D0D0D" w:themeColor="text1" w:themeTint="F2"/>
                <w:spacing w:val="-4"/>
                <w:lang w:val="en-GB"/>
              </w:rPr>
              <w:t>pring</w:t>
            </w:r>
            <w:r w:rsidR="006305F7" w:rsidRPr="00A00994">
              <w:rPr>
                <w:color w:val="0D0D0D" w:themeColor="text1" w:themeTint="F2"/>
                <w:spacing w:val="-4"/>
                <w:lang w:val="en-GB"/>
              </w:rPr>
              <w:t xml:space="preserve">, which </w:t>
            </w:r>
            <w:r w:rsidR="00E62287" w:rsidRPr="00A00994">
              <w:rPr>
                <w:color w:val="0D0D0D" w:themeColor="text1" w:themeTint="F2"/>
                <w:spacing w:val="-4"/>
                <w:lang w:val="en-GB"/>
              </w:rPr>
              <w:t xml:space="preserve">was also mirrored in the mild increase of concerns of people about the rise of unemployment. </w:t>
            </w:r>
            <w:r w:rsidR="00C118A9" w:rsidRPr="00A00994">
              <w:rPr>
                <w:color w:val="0D0D0D" w:themeColor="text1" w:themeTint="F2"/>
                <w:spacing w:val="-4"/>
                <w:lang w:val="en-GB"/>
              </w:rPr>
              <w:t>T</w:t>
            </w:r>
            <w:r w:rsidR="00E62287" w:rsidRPr="00A00994">
              <w:rPr>
                <w:color w:val="0D0D0D" w:themeColor="text1" w:themeTint="F2"/>
                <w:spacing w:val="-4"/>
                <w:lang w:val="en-GB"/>
              </w:rPr>
              <w:t xml:space="preserve">hey were stronger compared to year 2019 this year in </w:t>
            </w:r>
            <w:r w:rsidR="008B5068" w:rsidRPr="00A00994">
              <w:rPr>
                <w:color w:val="0D0D0D" w:themeColor="text1" w:themeTint="F2"/>
                <w:spacing w:val="-4"/>
                <w:lang w:val="en-GB"/>
              </w:rPr>
              <w:t>August but</w:t>
            </w:r>
            <w:r w:rsidR="00E62287" w:rsidRPr="00A00994">
              <w:rPr>
                <w:color w:val="0D0D0D" w:themeColor="text1" w:themeTint="F2"/>
                <w:spacing w:val="-4"/>
                <w:lang w:val="en-GB"/>
              </w:rPr>
              <w:t xml:space="preserve"> were far from reaching the intensity from the acute phase of the pandemics or the previous periods of economic recession so far. </w:t>
            </w:r>
          </w:p>
        </w:tc>
      </w:tr>
      <w:tr w:rsidR="001D4E19" w:rsidRPr="00A00994" w14:paraId="438FEA41" w14:textId="77777777" w:rsidTr="00BC060A">
        <w:trPr>
          <w:trHeight w:val="145"/>
        </w:trPr>
        <w:tc>
          <w:tcPr>
            <w:tcW w:w="1739" w:type="dxa"/>
            <w:shd w:val="clear" w:color="auto" w:fill="auto"/>
            <w:tcMar>
              <w:left w:w="0" w:type="dxa"/>
            </w:tcMar>
          </w:tcPr>
          <w:p w14:paraId="5D3710D1" w14:textId="158A1BD8" w:rsidR="001D4E19" w:rsidRPr="00A00994" w:rsidRDefault="001D4E19" w:rsidP="001D4E19">
            <w:pPr>
              <w:pStyle w:val="Marginlie"/>
              <w:rPr>
                <w:color w:val="0D0D0D" w:themeColor="text1" w:themeTint="F2"/>
                <w:spacing w:val="-5"/>
                <w:lang w:val="en-GB"/>
              </w:rPr>
            </w:pPr>
            <w:r w:rsidRPr="00A00994">
              <w:rPr>
                <w:color w:val="0D0D0D" w:themeColor="text1" w:themeTint="F2"/>
                <w:spacing w:val="-5"/>
                <w:lang w:val="en-GB"/>
              </w:rPr>
              <w:t xml:space="preserve">Supply of job vacancies for persons with lower qualification started decreasing at LO since </w:t>
            </w:r>
            <w:r>
              <w:rPr>
                <w:color w:val="0D0D0D" w:themeColor="text1" w:themeTint="F2"/>
                <w:spacing w:val="-5"/>
                <w:lang w:val="en-GB"/>
              </w:rPr>
              <w:t>s</w:t>
            </w:r>
            <w:r w:rsidRPr="00A00994">
              <w:rPr>
                <w:color w:val="0D0D0D" w:themeColor="text1" w:themeTint="F2"/>
                <w:spacing w:val="-5"/>
                <w:lang w:val="en-GB"/>
              </w:rPr>
              <w:t xml:space="preserve">pring. </w:t>
            </w:r>
          </w:p>
        </w:tc>
        <w:tc>
          <w:tcPr>
            <w:tcW w:w="220" w:type="dxa"/>
            <w:shd w:val="clear" w:color="auto" w:fill="auto"/>
            <w:tcMar>
              <w:left w:w="0" w:type="dxa"/>
            </w:tcMar>
          </w:tcPr>
          <w:p w14:paraId="248D0249" w14:textId="77777777" w:rsidR="001D4E19" w:rsidRPr="00A00994" w:rsidRDefault="001D4E19" w:rsidP="001D4E19">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509D749F" w14:textId="7B7DC75E" w:rsidR="001D4E19" w:rsidRPr="001D4E19" w:rsidRDefault="001D4E19" w:rsidP="001D4E19">
            <w:pPr>
              <w:spacing w:after="200"/>
              <w:rPr>
                <w:color w:val="0D0D0D" w:themeColor="text1" w:themeTint="F2"/>
                <w:spacing w:val="-4"/>
                <w:lang w:val="en-GB"/>
              </w:rPr>
            </w:pPr>
            <w:r w:rsidRPr="00A00994">
              <w:rPr>
                <w:color w:val="0D0D0D" w:themeColor="text1" w:themeTint="F2"/>
                <w:spacing w:val="-4"/>
                <w:lang w:val="en-GB"/>
              </w:rPr>
              <w:t>Growth of the number of job vacancies offered by the LO ceased in May this year. It amounted to 319 thousand</w:t>
            </w:r>
            <w:r w:rsidRPr="00A00994">
              <w:rPr>
                <w:rStyle w:val="Znakapoznpodarou"/>
                <w:color w:val="0D0D0D" w:themeColor="text1" w:themeTint="F2"/>
                <w:spacing w:val="-4"/>
                <w:lang w:val="en-GB"/>
              </w:rPr>
              <w:footnoteReference w:id="10"/>
            </w:r>
            <w:r w:rsidRPr="00A00994">
              <w:rPr>
                <w:color w:val="0D0D0D" w:themeColor="text1" w:themeTint="F2"/>
                <w:spacing w:val="-4"/>
                <w:lang w:val="en-GB"/>
              </w:rPr>
              <w:t xml:space="preserve"> in June and it was already by one tenth lower year-on-year. While the number of positions requiring tertiary education stagnated (to 16 thousand) and the offer for secondary school graduates went slightly up (+5%, to 25</w:t>
            </w:r>
            <w:r w:rsidRPr="00A00994">
              <w:rPr>
                <w:bCs/>
                <w:color w:val="0D0D0D" w:themeColor="text1" w:themeTint="F2"/>
                <w:spacing w:val="-4"/>
                <w:lang w:val="en-GB"/>
              </w:rPr>
              <w:t> </w:t>
            </w:r>
            <w:r w:rsidRPr="00A00994">
              <w:rPr>
                <w:color w:val="0D0D0D" w:themeColor="text1" w:themeTint="F2"/>
                <w:spacing w:val="-4"/>
                <w:lang w:val="en-GB"/>
              </w:rPr>
              <w:t xml:space="preserve">thousand), number of </w:t>
            </w:r>
            <w:r w:rsidRPr="00A00994">
              <w:rPr>
                <w:color w:val="0D0D0D" w:themeColor="text1" w:themeTint="F2"/>
                <w:spacing w:val="-4"/>
                <w:lang w:val="en-GB"/>
              </w:rPr>
              <w:lastRenderedPageBreak/>
              <w:t xml:space="preserve">positions for secondary school leavers without certificate shrank by 5% and the least qualified positions even by 13% (still they formed more than 70% of total offer of LO vacancies). It can be assumed, that part of the less qualified positions could have been accepted by the refugees from Ukraine during the </w:t>
            </w:r>
            <w:r>
              <w:rPr>
                <w:color w:val="0D0D0D" w:themeColor="text1" w:themeTint="F2"/>
                <w:spacing w:val="-4"/>
                <w:lang w:val="en-GB"/>
              </w:rPr>
              <w:t>s</w:t>
            </w:r>
            <w:r w:rsidRPr="00A00994">
              <w:rPr>
                <w:color w:val="0D0D0D" w:themeColor="text1" w:themeTint="F2"/>
                <w:spacing w:val="-4"/>
                <w:lang w:val="en-GB"/>
              </w:rPr>
              <w:t>pring. The excess of all supply of job vacancies over the number of registered job applications manifested in nearly two thirds of the CR regions and in more than one half of municipalities this year in July</w:t>
            </w:r>
            <w:r w:rsidRPr="00A00994">
              <w:rPr>
                <w:rStyle w:val="Znakapoznpodarou"/>
                <w:color w:val="0D0D0D" w:themeColor="text1" w:themeTint="F2"/>
                <w:spacing w:val="-4"/>
                <w:lang w:val="en-GB"/>
              </w:rPr>
              <w:footnoteReference w:id="11"/>
            </w:r>
            <w:r>
              <w:rPr>
                <w:color w:val="0D0D0D" w:themeColor="text1" w:themeTint="F2"/>
                <w:spacing w:val="-4"/>
                <w:lang w:val="en-GB"/>
              </w:rPr>
              <w:t xml:space="preserve">. </w:t>
            </w:r>
          </w:p>
        </w:tc>
      </w:tr>
      <w:tr w:rsidR="001D4E19" w:rsidRPr="00A00994" w14:paraId="70E62B14" w14:textId="77777777" w:rsidTr="00BC060A">
        <w:trPr>
          <w:trHeight w:val="155"/>
        </w:trPr>
        <w:tc>
          <w:tcPr>
            <w:tcW w:w="1739" w:type="dxa"/>
            <w:vMerge w:val="restart"/>
            <w:shd w:val="clear" w:color="auto" w:fill="auto"/>
            <w:tcMar>
              <w:left w:w="0" w:type="dxa"/>
            </w:tcMar>
          </w:tcPr>
          <w:p w14:paraId="58055921" w14:textId="77777777" w:rsidR="001D4E19" w:rsidRPr="00A00994" w:rsidRDefault="001D4E19" w:rsidP="001D4E19">
            <w:pPr>
              <w:pStyle w:val="Marginlie"/>
              <w:spacing w:after="120"/>
              <w:rPr>
                <w:spacing w:val="-4"/>
                <w:lang w:val="en-GB"/>
              </w:rPr>
            </w:pPr>
          </w:p>
        </w:tc>
        <w:tc>
          <w:tcPr>
            <w:tcW w:w="220" w:type="dxa"/>
            <w:vMerge w:val="restart"/>
            <w:shd w:val="clear" w:color="auto" w:fill="auto"/>
            <w:tcMar>
              <w:left w:w="0" w:type="dxa"/>
            </w:tcMar>
          </w:tcPr>
          <w:p w14:paraId="60392938"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0BEF2835" w14:textId="1FCF2804" w:rsidR="001D4E19" w:rsidRPr="00A00994" w:rsidRDefault="001D4E19" w:rsidP="001D4E19">
            <w:pPr>
              <w:spacing w:after="0"/>
              <w:rPr>
                <w:b/>
                <w:spacing w:val="-4"/>
                <w:lang w:val="en-GB"/>
              </w:rPr>
            </w:pPr>
            <w:r w:rsidRPr="00A00994">
              <w:rPr>
                <w:b/>
                <w:spacing w:val="-4"/>
                <w:lang w:val="en-GB"/>
              </w:rPr>
              <w:t xml:space="preserve">Chart 14 </w:t>
            </w:r>
            <w:r w:rsidRPr="00A00994">
              <w:rPr>
                <w:rFonts w:cs="Arial"/>
                <w:b/>
                <w:spacing w:val="-3"/>
                <w:lang w:val="en-GB"/>
              </w:rPr>
              <w:t xml:space="preserve">General unemployment rate </w:t>
            </w:r>
            <w:r w:rsidRPr="00A00994">
              <w:rPr>
                <w:rFonts w:cs="Arial"/>
                <w:bCs/>
                <w:spacing w:val="-3"/>
                <w:lang w:val="en-GB"/>
              </w:rPr>
              <w:t>(in %, age 15 to 64 years)</w:t>
            </w:r>
            <w:r w:rsidRPr="00A00994">
              <w:rPr>
                <w:rFonts w:cs="Arial"/>
                <w:b/>
                <w:spacing w:val="-3"/>
                <w:lang w:val="en-GB"/>
              </w:rPr>
              <w:t xml:space="preserve">, rate of economic activity </w:t>
            </w:r>
            <w:r w:rsidRPr="00A00994">
              <w:rPr>
                <w:rFonts w:cs="Arial"/>
                <w:bCs/>
                <w:spacing w:val="-3"/>
                <w:lang w:val="en-GB"/>
              </w:rPr>
              <w:t>(in %, age 15 to 64 years)</w:t>
            </w:r>
            <w:r w:rsidRPr="00A00994">
              <w:rPr>
                <w:rFonts w:cs="Arial"/>
                <w:b/>
                <w:spacing w:val="-3"/>
                <w:lang w:val="en-GB"/>
              </w:rPr>
              <w:t xml:space="preserve">, economically inactive willing to work </w:t>
            </w:r>
            <w:r w:rsidRPr="00A00994">
              <w:rPr>
                <w:rFonts w:cs="Arial"/>
                <w:bCs/>
                <w:spacing w:val="-3"/>
                <w:lang w:val="en-GB"/>
              </w:rPr>
              <w:t>(in thousand persons)</w:t>
            </w:r>
            <w:r w:rsidRPr="00A00994">
              <w:rPr>
                <w:rFonts w:cs="Arial"/>
                <w:bCs/>
                <w:spacing w:val="-4"/>
                <w:lang w:val="en-GB"/>
              </w:rPr>
              <w:t>*</w:t>
            </w:r>
            <w:r w:rsidRPr="00A00994">
              <w:rPr>
                <w:rFonts w:cs="Arial"/>
                <w:b/>
                <w:spacing w:val="-3"/>
                <w:lang w:val="en-GB"/>
              </w:rPr>
              <w:t xml:space="preserve"> and unemployment expectations of households </w:t>
            </w:r>
            <w:r w:rsidRPr="00A00994">
              <w:rPr>
                <w:rFonts w:cs="Arial"/>
                <w:bCs/>
                <w:spacing w:val="-4"/>
                <w:lang w:val="en-GB"/>
              </w:rPr>
              <w:t>(in p. p.)**</w:t>
            </w:r>
          </w:p>
        </w:tc>
      </w:tr>
      <w:tr w:rsidR="001D4E19" w:rsidRPr="00A00994" w14:paraId="534B8E66" w14:textId="77777777" w:rsidTr="00BC060A">
        <w:tblPrEx>
          <w:tblCellMar>
            <w:left w:w="70" w:type="dxa"/>
            <w:right w:w="70" w:type="dxa"/>
          </w:tblCellMar>
        </w:tblPrEx>
        <w:trPr>
          <w:trHeight w:val="155"/>
        </w:trPr>
        <w:tc>
          <w:tcPr>
            <w:tcW w:w="1739" w:type="dxa"/>
            <w:vMerge/>
            <w:shd w:val="clear" w:color="auto" w:fill="auto"/>
          </w:tcPr>
          <w:p w14:paraId="490F9673" w14:textId="77777777" w:rsidR="001D4E19" w:rsidRPr="00A00994" w:rsidRDefault="001D4E19" w:rsidP="001D4E19">
            <w:pPr>
              <w:pStyle w:val="Marginlie"/>
              <w:spacing w:after="120"/>
              <w:rPr>
                <w:spacing w:val="-4"/>
                <w:lang w:val="en-GB"/>
              </w:rPr>
            </w:pPr>
          </w:p>
        </w:tc>
        <w:tc>
          <w:tcPr>
            <w:tcW w:w="220" w:type="dxa"/>
            <w:vMerge/>
            <w:shd w:val="clear" w:color="auto" w:fill="auto"/>
          </w:tcPr>
          <w:p w14:paraId="760BA11A" w14:textId="77777777" w:rsidR="001D4E19" w:rsidRPr="00A00994" w:rsidRDefault="001D4E19" w:rsidP="001D4E19">
            <w:pPr>
              <w:pStyle w:val="Textpoznpodarou"/>
              <w:spacing w:after="120"/>
              <w:jc w:val="both"/>
              <w:rPr>
                <w:spacing w:val="-4"/>
                <w:lang w:val="en-GB"/>
              </w:rPr>
            </w:pPr>
          </w:p>
        </w:tc>
        <w:tc>
          <w:tcPr>
            <w:tcW w:w="7715" w:type="dxa"/>
            <w:shd w:val="clear" w:color="auto" w:fill="auto"/>
          </w:tcPr>
          <w:p w14:paraId="37304ECB" w14:textId="0D2EA30B" w:rsidR="001D4E19" w:rsidRPr="00A00994" w:rsidRDefault="001D4E19" w:rsidP="001D4E19">
            <w:pPr>
              <w:spacing w:after="0"/>
              <w:rPr>
                <w:spacing w:val="-4"/>
                <w:lang w:val="en-GB"/>
              </w:rPr>
            </w:pPr>
            <w:r>
              <w:rPr>
                <w:noProof/>
              </w:rPr>
              <w:drawing>
                <wp:inline distT="0" distB="0" distL="0" distR="0" wp14:anchorId="5131A18E" wp14:editId="251028D7">
                  <wp:extent cx="4753999" cy="3528000"/>
                  <wp:effectExtent l="0" t="0" r="8890" b="0"/>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D4E19" w:rsidRPr="00A00994" w14:paraId="3A60583F" w14:textId="77777777" w:rsidTr="00BC060A">
        <w:trPr>
          <w:trHeight w:val="132"/>
        </w:trPr>
        <w:tc>
          <w:tcPr>
            <w:tcW w:w="1739" w:type="dxa"/>
            <w:vMerge/>
            <w:shd w:val="clear" w:color="auto" w:fill="auto"/>
            <w:tcMar>
              <w:left w:w="0" w:type="dxa"/>
            </w:tcMar>
          </w:tcPr>
          <w:p w14:paraId="14A2B1EE" w14:textId="77777777" w:rsidR="001D4E19" w:rsidRPr="00A00994" w:rsidRDefault="001D4E19" w:rsidP="001D4E19">
            <w:pPr>
              <w:pStyle w:val="Marginlie"/>
              <w:rPr>
                <w:spacing w:val="-4"/>
                <w:lang w:val="en-GB"/>
              </w:rPr>
            </w:pPr>
          </w:p>
        </w:tc>
        <w:tc>
          <w:tcPr>
            <w:tcW w:w="220" w:type="dxa"/>
            <w:vMerge/>
            <w:shd w:val="clear" w:color="auto" w:fill="auto"/>
            <w:tcMar>
              <w:left w:w="0" w:type="dxa"/>
            </w:tcMar>
          </w:tcPr>
          <w:p w14:paraId="4090A6E4" w14:textId="77777777" w:rsidR="001D4E19" w:rsidRPr="00A00994" w:rsidRDefault="001D4E19" w:rsidP="001D4E19">
            <w:pPr>
              <w:pStyle w:val="Textpoznpodarou"/>
              <w:jc w:val="both"/>
              <w:rPr>
                <w:spacing w:val="-4"/>
                <w:lang w:val="en-GB"/>
              </w:rPr>
            </w:pPr>
          </w:p>
        </w:tc>
        <w:tc>
          <w:tcPr>
            <w:tcW w:w="7715" w:type="dxa"/>
            <w:shd w:val="clear" w:color="auto" w:fill="auto"/>
            <w:tcMar>
              <w:left w:w="0" w:type="dxa"/>
            </w:tcMar>
          </w:tcPr>
          <w:p w14:paraId="792549E7" w14:textId="5470C70F" w:rsidR="001D4E19" w:rsidRPr="00A00994" w:rsidRDefault="001D4E19" w:rsidP="001D4E19">
            <w:pPr>
              <w:spacing w:after="0" w:line="240" w:lineRule="auto"/>
              <w:rPr>
                <w:rFonts w:cs="Arial"/>
                <w:color w:val="0D0D0D" w:themeColor="text1" w:themeTint="F2"/>
                <w:sz w:val="14"/>
                <w:szCs w:val="14"/>
                <w:lang w:val="en-GB"/>
              </w:rPr>
            </w:pPr>
            <w:r w:rsidRPr="00A00994">
              <w:rPr>
                <w:rFonts w:cs="Arial"/>
                <w:color w:val="0D0D0D" w:themeColor="text1" w:themeTint="F2"/>
                <w:sz w:val="14"/>
                <w:szCs w:val="14"/>
                <w:lang w:val="en-GB"/>
              </w:rPr>
              <w:t>Note: Figures regarding the unemployment rate as well as economic activity are seasonally adjusted.</w:t>
            </w:r>
          </w:p>
          <w:p w14:paraId="26910C0B" w14:textId="77777777" w:rsidR="001D4E19" w:rsidRPr="00A00994" w:rsidRDefault="001D4E19" w:rsidP="001D4E19">
            <w:pPr>
              <w:spacing w:after="0" w:line="240" w:lineRule="auto"/>
              <w:rPr>
                <w:rFonts w:cs="Arial"/>
                <w:bCs/>
                <w:color w:val="0D0D0D" w:themeColor="text1" w:themeTint="F2"/>
                <w:sz w:val="14"/>
                <w:szCs w:val="14"/>
                <w:lang w:val="en-GB"/>
              </w:rPr>
            </w:pPr>
            <w:r w:rsidRPr="00A00994">
              <w:rPr>
                <w:rFonts w:cs="Arial"/>
                <w:bCs/>
                <w:color w:val="0D0D0D" w:themeColor="text1" w:themeTint="F2"/>
                <w:sz w:val="14"/>
                <w:szCs w:val="14"/>
                <w:lang w:val="en-GB"/>
              </w:rPr>
              <w:t xml:space="preserve">*Persons not in employment, not seeking work, but expressing the willingness to work. </w:t>
            </w:r>
          </w:p>
          <w:p w14:paraId="2587D5D8" w14:textId="3A8284B0" w:rsidR="001D4E19" w:rsidRPr="00A00994" w:rsidRDefault="001D4E19" w:rsidP="001D4E19">
            <w:pPr>
              <w:spacing w:after="0" w:line="240" w:lineRule="auto"/>
              <w:rPr>
                <w:rFonts w:cs="Arial"/>
                <w:color w:val="0D0D0D" w:themeColor="text1" w:themeTint="F2"/>
                <w:spacing w:val="-2"/>
                <w:sz w:val="14"/>
                <w:szCs w:val="14"/>
                <w:lang w:val="en-GB"/>
              </w:rPr>
            </w:pPr>
            <w:r w:rsidRPr="00A00994">
              <w:rPr>
                <w:rFonts w:cs="Arial"/>
                <w:color w:val="0D0D0D" w:themeColor="text1" w:themeTint="F2"/>
                <w:spacing w:val="-2"/>
                <w:sz w:val="14"/>
                <w:szCs w:val="14"/>
                <w:lang w:val="en-GB"/>
              </w:rPr>
              <w:t xml:space="preserve">**Seasonally adjusted balance of expectations of unemployment in the next 12 months (difference between percentage frequency of answers of households “growth” and “decrease” expressed in percentage points). Data relates to the middle month of the given quarter. </w:t>
            </w:r>
          </w:p>
          <w:p w14:paraId="7B48FEB5" w14:textId="21B8F7BA" w:rsidR="001D4E19" w:rsidRPr="00BC060A" w:rsidRDefault="001D4E19" w:rsidP="001D4E19">
            <w:pPr>
              <w:spacing w:after="220" w:line="240" w:lineRule="auto"/>
              <w:rPr>
                <w:rFonts w:cs="Arial"/>
                <w:color w:val="0D0D0D" w:themeColor="text1" w:themeTint="F2"/>
                <w:sz w:val="14"/>
                <w:szCs w:val="14"/>
                <w:lang w:val="en-GB"/>
              </w:rPr>
            </w:pPr>
            <w:r w:rsidRPr="00A00994">
              <w:rPr>
                <w:rFonts w:cs="Arial"/>
                <w:color w:val="0D0D0D" w:themeColor="text1" w:themeTint="F2"/>
                <w:sz w:val="14"/>
                <w:szCs w:val="14"/>
                <w:lang w:val="en-GB"/>
              </w:rPr>
              <w:t>Source: CZSO (LFSS, business cycle surveys)</w:t>
            </w:r>
          </w:p>
        </w:tc>
      </w:tr>
      <w:tr w:rsidR="001D4E19" w:rsidRPr="00A00994" w14:paraId="0C6E3E3D" w14:textId="77777777" w:rsidTr="00BC060A">
        <w:trPr>
          <w:trHeight w:val="671"/>
        </w:trPr>
        <w:tc>
          <w:tcPr>
            <w:tcW w:w="1739" w:type="dxa"/>
            <w:shd w:val="clear" w:color="auto" w:fill="auto"/>
            <w:tcMar>
              <w:left w:w="0" w:type="dxa"/>
            </w:tcMar>
          </w:tcPr>
          <w:p w14:paraId="6A87B0E7" w14:textId="5925E9B6" w:rsidR="001D4E19" w:rsidRPr="00A00994" w:rsidRDefault="001D4E19" w:rsidP="001D4E19">
            <w:pPr>
              <w:pStyle w:val="Marginlie"/>
              <w:rPr>
                <w:color w:val="0D0D0D" w:themeColor="text1" w:themeTint="F2"/>
                <w:spacing w:val="-5"/>
                <w:lang w:val="en-GB"/>
              </w:rPr>
            </w:pPr>
            <w:r w:rsidRPr="00A00994">
              <w:rPr>
                <w:color w:val="0D0D0D" w:themeColor="text1" w:themeTint="F2"/>
                <w:spacing w:val="-5"/>
                <w:lang w:val="en-GB"/>
              </w:rPr>
              <w:t xml:space="preserve">The effect of the last year’ high basis caused by the pay out of extraordinary bonuses in health care stood behind the slowdown of year-on-year growth of wages. </w:t>
            </w:r>
          </w:p>
        </w:tc>
        <w:tc>
          <w:tcPr>
            <w:tcW w:w="220" w:type="dxa"/>
            <w:shd w:val="clear" w:color="auto" w:fill="auto"/>
            <w:tcMar>
              <w:left w:w="0" w:type="dxa"/>
            </w:tcMar>
          </w:tcPr>
          <w:p w14:paraId="729A88B9" w14:textId="77777777" w:rsidR="001D4E19" w:rsidRPr="00A00994" w:rsidRDefault="001D4E19" w:rsidP="001D4E19">
            <w:pPr>
              <w:pStyle w:val="Textpoznpodarou"/>
              <w:spacing w:line="276" w:lineRule="auto"/>
              <w:jc w:val="both"/>
              <w:rPr>
                <w:spacing w:val="-4"/>
                <w:lang w:val="en-GB"/>
              </w:rPr>
            </w:pPr>
          </w:p>
        </w:tc>
        <w:tc>
          <w:tcPr>
            <w:tcW w:w="7715" w:type="dxa"/>
            <w:shd w:val="clear" w:color="auto" w:fill="auto"/>
            <w:tcMar>
              <w:left w:w="0" w:type="dxa"/>
            </w:tcMar>
          </w:tcPr>
          <w:p w14:paraId="2D7C163F" w14:textId="33CFC163" w:rsidR="001D4E19" w:rsidRPr="00A00994" w:rsidRDefault="001D4E19" w:rsidP="001D4E19">
            <w:pPr>
              <w:spacing w:after="200"/>
              <w:rPr>
                <w:color w:val="0D0D0D" w:themeColor="text1" w:themeTint="F2"/>
                <w:spacing w:val="-4"/>
                <w:lang w:val="en-GB"/>
              </w:rPr>
            </w:pPr>
            <w:r w:rsidRPr="00A00994">
              <w:rPr>
                <w:color w:val="0D0D0D" w:themeColor="text1" w:themeTint="F2"/>
                <w:spacing w:val="-5"/>
                <w:lang w:val="en-GB"/>
              </w:rPr>
              <w:t xml:space="preserve">The average gross monthly nominal wage (per employee, with the view to the length of the job contract) ascended narrowly below the 40 CZK thousand level in Q2 2022. Its year-on-year pace decelerated to 4.4% (from 7.3% in Q1). Nevertheless, after exclusion of the branch health and social works, where its development was essentially influenced by the pay out of extraordinary cumulative </w:t>
            </w:r>
            <w:r>
              <w:rPr>
                <w:color w:val="0D0D0D" w:themeColor="text1" w:themeTint="F2"/>
                <w:spacing w:val="-5"/>
                <w:lang w:val="en-GB"/>
              </w:rPr>
              <w:t>“covid”</w:t>
            </w:r>
            <w:r w:rsidRPr="00A00994">
              <w:rPr>
                <w:color w:val="0D0D0D" w:themeColor="text1" w:themeTint="F2"/>
                <w:spacing w:val="-5"/>
                <w:lang w:val="en-GB"/>
              </w:rPr>
              <w:t xml:space="preserve"> bonuses last year in </w:t>
            </w:r>
            <w:r>
              <w:rPr>
                <w:color w:val="0D0D0D" w:themeColor="text1" w:themeTint="F2"/>
                <w:spacing w:val="-5"/>
                <w:lang w:val="en-GB"/>
              </w:rPr>
              <w:t>s</w:t>
            </w:r>
            <w:r w:rsidRPr="00A00994">
              <w:rPr>
                <w:color w:val="0D0D0D" w:themeColor="text1" w:themeTint="F2"/>
                <w:spacing w:val="-5"/>
                <w:lang w:val="en-GB"/>
              </w:rPr>
              <w:t xml:space="preserve">pring, the wage growth was at the level slightly above 7.5% – that is at a similar level as at the beginning of this year. Wage after adjustment for seasonal effect increased by </w:t>
            </w:r>
            <w:r w:rsidRPr="00A00994">
              <w:rPr>
                <w:spacing w:val="-5"/>
                <w:lang w:val="en-GB"/>
              </w:rPr>
              <w:t xml:space="preserve">1.3% quarter-on-quarter in Q2 and also this pace was not notably deviating from the development of the recent period.  </w:t>
            </w:r>
          </w:p>
        </w:tc>
      </w:tr>
      <w:tr w:rsidR="001D4E19" w:rsidRPr="00A00994" w14:paraId="2452AD31" w14:textId="77777777" w:rsidTr="00BC060A">
        <w:trPr>
          <w:trHeight w:val="671"/>
        </w:trPr>
        <w:tc>
          <w:tcPr>
            <w:tcW w:w="1739" w:type="dxa"/>
            <w:shd w:val="clear" w:color="auto" w:fill="auto"/>
            <w:tcMar>
              <w:left w:w="0" w:type="dxa"/>
            </w:tcMar>
          </w:tcPr>
          <w:p w14:paraId="69ED9CC2" w14:textId="7FACC8CA" w:rsidR="001D4E19" w:rsidRPr="00A00994" w:rsidRDefault="001D4E19" w:rsidP="001D4E19">
            <w:pPr>
              <w:pStyle w:val="Marginlie"/>
              <w:rPr>
                <w:spacing w:val="-4"/>
                <w:lang w:val="en-GB"/>
              </w:rPr>
            </w:pPr>
            <w:r w:rsidRPr="00A00994">
              <w:rPr>
                <w:spacing w:val="-4"/>
                <w:lang w:val="en-GB"/>
              </w:rPr>
              <w:t xml:space="preserve">Mainly market branches were behind the wage growth. The effect of saving measures was evident in branches with the dominance of state. </w:t>
            </w:r>
          </w:p>
          <w:p w14:paraId="4D3BD466" w14:textId="0B50216D" w:rsidR="001D4E19" w:rsidRPr="00A00994" w:rsidRDefault="001D4E19" w:rsidP="001D4E19">
            <w:pPr>
              <w:pStyle w:val="Marginlie"/>
              <w:rPr>
                <w:spacing w:val="-4"/>
                <w:lang w:val="en-GB"/>
              </w:rPr>
            </w:pPr>
          </w:p>
          <w:p w14:paraId="1C1F1A4E" w14:textId="77777777" w:rsidR="001D4E19" w:rsidRPr="00A00994" w:rsidRDefault="001D4E19" w:rsidP="001D4E19">
            <w:pPr>
              <w:pStyle w:val="Marginlie"/>
              <w:rPr>
                <w:spacing w:val="-4"/>
                <w:lang w:val="en-GB"/>
              </w:rPr>
            </w:pPr>
          </w:p>
          <w:p w14:paraId="5BA3B430" w14:textId="77777777" w:rsidR="001D4E19" w:rsidRPr="00A00994" w:rsidRDefault="001D4E19" w:rsidP="001D4E19">
            <w:pPr>
              <w:pStyle w:val="Marginlie"/>
              <w:rPr>
                <w:spacing w:val="-4"/>
                <w:lang w:val="en-GB"/>
              </w:rPr>
            </w:pPr>
          </w:p>
          <w:p w14:paraId="087BD0CD" w14:textId="1FAF621C" w:rsidR="001D4E19" w:rsidRPr="00A00994" w:rsidRDefault="001D4E19" w:rsidP="001D4E19">
            <w:pPr>
              <w:pStyle w:val="Marginlie"/>
              <w:rPr>
                <w:spacing w:val="-4"/>
                <w:lang w:val="en-GB"/>
              </w:rPr>
            </w:pPr>
            <w:r w:rsidRPr="00A00994">
              <w:rPr>
                <w:spacing w:val="-4"/>
                <w:lang w:val="en-GB"/>
              </w:rPr>
              <w:lastRenderedPageBreak/>
              <w:t xml:space="preserve">Fast and difficult to predict for the future expansion of production costs narrowed room for larger increase of wages to the businesses. </w:t>
            </w:r>
          </w:p>
        </w:tc>
        <w:tc>
          <w:tcPr>
            <w:tcW w:w="220" w:type="dxa"/>
            <w:shd w:val="clear" w:color="auto" w:fill="auto"/>
            <w:tcMar>
              <w:left w:w="0" w:type="dxa"/>
            </w:tcMar>
          </w:tcPr>
          <w:p w14:paraId="1106089D" w14:textId="77777777" w:rsidR="001D4E19" w:rsidRPr="00A00994" w:rsidRDefault="001D4E19" w:rsidP="001D4E19">
            <w:pPr>
              <w:pStyle w:val="Textpoznpodarou"/>
              <w:spacing w:line="276" w:lineRule="auto"/>
              <w:jc w:val="both"/>
              <w:rPr>
                <w:spacing w:val="-4"/>
                <w:lang w:val="en-GB"/>
              </w:rPr>
            </w:pPr>
          </w:p>
        </w:tc>
        <w:tc>
          <w:tcPr>
            <w:tcW w:w="7715" w:type="dxa"/>
            <w:shd w:val="clear" w:color="auto" w:fill="auto"/>
            <w:tcMar>
              <w:left w:w="0" w:type="dxa"/>
            </w:tcMar>
          </w:tcPr>
          <w:p w14:paraId="2F853518" w14:textId="4F051946" w:rsidR="001D4E19" w:rsidRPr="00A00994" w:rsidRDefault="001D4E19" w:rsidP="001D4E19">
            <w:pPr>
              <w:spacing w:after="220"/>
              <w:rPr>
                <w:spacing w:val="-4"/>
                <w:lang w:val="en-GB"/>
              </w:rPr>
            </w:pPr>
            <w:r w:rsidRPr="00A00994">
              <w:rPr>
                <w:spacing w:val="-4"/>
                <w:lang w:val="en-GB"/>
              </w:rPr>
              <w:t>Year-on-year rate of growth of wages reflected the ongoing recovery of the economy in Q</w:t>
            </w:r>
            <w:r w:rsidRPr="00A00994">
              <w:rPr>
                <w:color w:val="0D0D0D" w:themeColor="text1" w:themeTint="F2"/>
                <w:spacing w:val="-4"/>
                <w:lang w:val="en-GB"/>
              </w:rPr>
              <w:t>2 (mainly of some services</w:t>
            </w:r>
            <w:r w:rsidRPr="00A00994">
              <w:rPr>
                <w:spacing w:val="-4"/>
                <w:lang w:val="en-GB"/>
              </w:rPr>
              <w:t xml:space="preserve">) also expressed by the swift growth of the number of hours worked. Tension on the labour market connected to the low unemployment, still high number of job vacancies as well as fact, that the lack of employees limited production in the number of significant branches, also had a pro-growth effect. The continuing rise of the minimum wage had an impact mostly in branches with low level of earnings. On the contrary, the arrival of Ukrainian refugees did not affect the level of average wages practically even in these </w:t>
            </w:r>
            <w:r w:rsidRPr="00A00994">
              <w:rPr>
                <w:spacing w:val="-4"/>
                <w:lang w:val="en-GB"/>
              </w:rPr>
              <w:lastRenderedPageBreak/>
              <w:t xml:space="preserve">branches so far since these persons joined the labour market gradually and often apparently via shortened job contracts or only in the form of various contracts. Growth of wages in the whole economy was inhibited mainly by the setting of the wage tariffs in the budget sphere (freeze or only a very small growth for the majority of employee groups). High inflationary anticipations showed ambiguously in the wage area so far. It did lead to the increasing pressure of employees on fast wage growth, it however collided with the difficult situation of employers. Pressure on the growth on non-wage production costs due to the significant increase of practically or intermediate inputs considerably intensified in the last quarters and was even amplified by the marked uncertainties related to the future development of both prices and the availability of energies itself. Situation of businesses however varied widely, even within individual branches.  </w:t>
            </w:r>
          </w:p>
        </w:tc>
      </w:tr>
      <w:tr w:rsidR="001D4E19" w:rsidRPr="00A00994" w14:paraId="0A06FD59" w14:textId="77777777" w:rsidTr="00BC060A">
        <w:trPr>
          <w:trHeight w:val="145"/>
        </w:trPr>
        <w:tc>
          <w:tcPr>
            <w:tcW w:w="1739" w:type="dxa"/>
            <w:shd w:val="clear" w:color="auto" w:fill="auto"/>
            <w:tcMar>
              <w:left w:w="0" w:type="dxa"/>
            </w:tcMar>
          </w:tcPr>
          <w:p w14:paraId="12CAF19E" w14:textId="6311712C" w:rsidR="001D4E19" w:rsidRPr="00A00994" w:rsidRDefault="001D4E19" w:rsidP="001D4E19">
            <w:pPr>
              <w:pStyle w:val="Marginlie"/>
              <w:spacing w:after="120"/>
              <w:rPr>
                <w:color w:val="0D0D0D" w:themeColor="text1" w:themeTint="F2"/>
                <w:spacing w:val="-5"/>
                <w:lang w:val="en-GB"/>
              </w:rPr>
            </w:pPr>
            <w:r w:rsidRPr="00A00994">
              <w:rPr>
                <w:color w:val="0D0D0D" w:themeColor="text1" w:themeTint="F2"/>
                <w:spacing w:val="-5"/>
                <w:lang w:val="en-GB"/>
              </w:rPr>
              <w:lastRenderedPageBreak/>
              <w:t xml:space="preserve">Deep real decrease of average wage continued third quarter in a row. </w:t>
            </w:r>
          </w:p>
        </w:tc>
        <w:tc>
          <w:tcPr>
            <w:tcW w:w="220" w:type="dxa"/>
            <w:shd w:val="clear" w:color="auto" w:fill="auto"/>
            <w:tcMar>
              <w:left w:w="0" w:type="dxa"/>
            </w:tcMar>
          </w:tcPr>
          <w:p w14:paraId="0EA3F273" w14:textId="77777777" w:rsidR="001D4E19" w:rsidRPr="00A00994" w:rsidRDefault="001D4E19" w:rsidP="001D4E19">
            <w:pPr>
              <w:pStyle w:val="Textpoznpodarou"/>
              <w:spacing w:after="120"/>
              <w:jc w:val="both"/>
              <w:rPr>
                <w:color w:val="0D0D0D" w:themeColor="text1" w:themeTint="F2"/>
                <w:spacing w:val="-4"/>
                <w:lang w:val="en-GB"/>
              </w:rPr>
            </w:pPr>
          </w:p>
        </w:tc>
        <w:tc>
          <w:tcPr>
            <w:tcW w:w="7715" w:type="dxa"/>
            <w:shd w:val="clear" w:color="auto" w:fill="auto"/>
            <w:tcMar>
              <w:left w:w="0" w:type="dxa"/>
            </w:tcMar>
          </w:tcPr>
          <w:p w14:paraId="4298D428" w14:textId="2B3F3FEC" w:rsidR="001D4E19" w:rsidRPr="00A00994" w:rsidRDefault="001D4E19" w:rsidP="001D4E19">
            <w:pPr>
              <w:spacing w:after="0"/>
              <w:rPr>
                <w:spacing w:val="-5"/>
                <w:lang w:val="en-GB"/>
              </w:rPr>
            </w:pPr>
            <w:r w:rsidRPr="00A00994">
              <w:rPr>
                <w:spacing w:val="-5"/>
                <w:lang w:val="en-GB"/>
              </w:rPr>
              <w:t>Real decrease of average wages continued a third quarter in a row. Due to the acceleration of the growth of consumer prices, this decrease deepened in Q2 (to 9.8%). Even though it was the deepest in the current millennium already in the preceding quarter (3.5%) and afflicted vast majority of branches. Simultaneously it had a major effect on the reduction of the total purchasing power of domestic households</w:t>
            </w:r>
            <w:r w:rsidRPr="00A00994">
              <w:rPr>
                <w:rStyle w:val="Znakapoznpodarou"/>
                <w:spacing w:val="-5"/>
                <w:lang w:val="en-GB"/>
              </w:rPr>
              <w:footnoteReference w:id="12"/>
            </w:r>
            <w:r w:rsidRPr="00A00994">
              <w:rPr>
                <w:spacing w:val="-5"/>
                <w:lang w:val="en-GB"/>
              </w:rPr>
              <w:t>.</w:t>
            </w:r>
          </w:p>
          <w:p w14:paraId="7C0FED13" w14:textId="77777777" w:rsidR="001D4E19" w:rsidRPr="00A00994" w:rsidRDefault="001D4E19" w:rsidP="001D4E19">
            <w:pPr>
              <w:spacing w:after="0"/>
              <w:rPr>
                <w:spacing w:val="-4"/>
                <w:lang w:val="en-GB"/>
              </w:rPr>
            </w:pPr>
          </w:p>
        </w:tc>
      </w:tr>
      <w:tr w:rsidR="001D4E19" w:rsidRPr="00A00994" w14:paraId="1B7BF757" w14:textId="77777777" w:rsidTr="00BC060A">
        <w:trPr>
          <w:trHeight w:val="145"/>
        </w:trPr>
        <w:tc>
          <w:tcPr>
            <w:tcW w:w="1739" w:type="dxa"/>
            <w:shd w:val="clear" w:color="auto" w:fill="auto"/>
            <w:tcMar>
              <w:left w:w="0" w:type="dxa"/>
            </w:tcMar>
          </w:tcPr>
          <w:p w14:paraId="4931F428" w14:textId="7D90AC82" w:rsidR="001D4E19" w:rsidRPr="00A00994" w:rsidRDefault="001D4E19" w:rsidP="001D4E19">
            <w:pPr>
              <w:pStyle w:val="Marginlie"/>
              <w:spacing w:after="120"/>
              <w:rPr>
                <w:lang w:val="en-GB"/>
              </w:rPr>
            </w:pPr>
            <w:r w:rsidRPr="00A00994">
              <w:rPr>
                <w:lang w:val="en-GB"/>
              </w:rPr>
              <w:t xml:space="preserve">Average wages grew the fastest in accommodation, food service and restaurants. Vast majority of other market services also attained a swift growth. </w:t>
            </w:r>
          </w:p>
          <w:p w14:paraId="02161C99" w14:textId="2553D5FA" w:rsidR="001D4E19" w:rsidRPr="00A00994" w:rsidRDefault="001D4E19" w:rsidP="001D4E19">
            <w:pPr>
              <w:pStyle w:val="Marginlie"/>
              <w:spacing w:after="120"/>
              <w:rPr>
                <w:lang w:val="en-GB"/>
              </w:rPr>
            </w:pPr>
          </w:p>
          <w:p w14:paraId="1C449ABC" w14:textId="0EF0F0A5" w:rsidR="001D4E19" w:rsidRPr="00A00994" w:rsidRDefault="001D4E19" w:rsidP="001D4E19">
            <w:pPr>
              <w:pStyle w:val="Marginlie"/>
              <w:spacing w:after="120"/>
              <w:rPr>
                <w:lang w:val="en-GB"/>
              </w:rPr>
            </w:pPr>
          </w:p>
          <w:p w14:paraId="4C4CB552" w14:textId="35D4DA4A" w:rsidR="001D4E19" w:rsidRPr="00A00994" w:rsidRDefault="001D4E19" w:rsidP="001D4E19">
            <w:pPr>
              <w:pStyle w:val="Marginlie"/>
              <w:spacing w:after="120"/>
              <w:rPr>
                <w:lang w:val="en-GB"/>
              </w:rPr>
            </w:pPr>
          </w:p>
          <w:p w14:paraId="41C71802" w14:textId="77777777" w:rsidR="001D4E19" w:rsidRPr="00A00994" w:rsidRDefault="001D4E19" w:rsidP="001D4E19">
            <w:pPr>
              <w:pStyle w:val="Marginlie"/>
              <w:spacing w:after="120"/>
              <w:rPr>
                <w:lang w:val="en-GB"/>
              </w:rPr>
            </w:pPr>
          </w:p>
          <w:p w14:paraId="1C707E8C" w14:textId="1B3D7E08" w:rsidR="001D4E19" w:rsidRPr="00A00994" w:rsidRDefault="001D4E19" w:rsidP="001D4E19">
            <w:pPr>
              <w:pStyle w:val="Marginlie"/>
              <w:spacing w:after="120"/>
              <w:rPr>
                <w:lang w:val="en-GB"/>
              </w:rPr>
            </w:pPr>
            <w:r w:rsidRPr="00A00994">
              <w:rPr>
                <w:lang w:val="en-GB"/>
              </w:rPr>
              <w:t xml:space="preserve">Wage growth was accelerating in both industry and construction during H1. The size of average earnings however did not reach the level of the whole economy here. </w:t>
            </w:r>
          </w:p>
        </w:tc>
        <w:tc>
          <w:tcPr>
            <w:tcW w:w="220" w:type="dxa"/>
            <w:shd w:val="clear" w:color="auto" w:fill="auto"/>
            <w:tcMar>
              <w:left w:w="0" w:type="dxa"/>
            </w:tcMar>
          </w:tcPr>
          <w:p w14:paraId="22B3766F"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59D3554B" w14:textId="116D527A" w:rsidR="001D4E19" w:rsidRPr="00A00994" w:rsidRDefault="001D4E19" w:rsidP="001D4E19">
            <w:pPr>
              <w:rPr>
                <w:spacing w:val="-6"/>
                <w:lang w:val="en-GB"/>
              </w:rPr>
            </w:pPr>
            <w:r w:rsidRPr="00A00994">
              <w:rPr>
                <w:spacing w:val="-6"/>
                <w:lang w:val="en-GB"/>
              </w:rPr>
              <w:t xml:space="preserve">In Q2, the average wages grew at the highest year-on-year pace in the branch accommodation, food service and restaurants (11.3%). This size did not reach even three fifths of the level of the whole economy and thus it still represented a branch with the lowest level of wages. Weight significant branches of trade or transportation and storage, where earnings strengthened by nearly 9%, also benefited from the post crisis revival of demand also associated with the realisation of the postponed private consumption. It was also valid about the cultural, amusement and recreational activities (9.6%), where the wage growth was however hampered by the development in the segment of public cultural institutions. Budget savings measures also stood behind lower growth in education (2.6%) and also in the branch public administration, health and social work (3.8%), where in addition the earnings grew at below average pace throughout the whole last year as well. The thriving branch information and communication in contrast continued in swift growth (11.0%) and the average monthly wage approached the 70 thousand boundary here. Employees in financial activities could have also counted on similar average earnings, the wage growth nevertheless notably lagged behind compared to the information and communication area here in both years 2020 and 2021. Wage growth accelerated to even 8% in the key branch – manufacturing – in Q2, specifically mainly due to the production of motor vehicles, where monthly earnings reached on average nearly 51 thousand CZK. The whole branch did fare well also last year in </w:t>
            </w:r>
            <w:r>
              <w:rPr>
                <w:spacing w:val="-6"/>
                <w:lang w:val="en-GB"/>
              </w:rPr>
              <w:t>s</w:t>
            </w:r>
            <w:r w:rsidRPr="00A00994">
              <w:rPr>
                <w:spacing w:val="-6"/>
                <w:lang w:val="en-GB"/>
              </w:rPr>
              <w:t>pring, which was also positively reflected in the wage area at that time. Despite of this fact, the average wages remained still below the level of the national economy in the whole industry (by 1 %) also this year. The same was valid to an even larger extent also for construction (</w:t>
            </w:r>
            <w:r w:rsidRPr="00A00994">
              <w:rPr>
                <w:i/>
                <w:iCs/>
                <w:spacing w:val="-6"/>
                <w:lang w:val="en-GB"/>
              </w:rPr>
              <w:t>–</w:t>
            </w:r>
            <w:r w:rsidRPr="00A00994">
              <w:rPr>
                <w:spacing w:val="-6"/>
                <w:lang w:val="en-GB"/>
              </w:rPr>
              <w:t>14%), which was recovering from the pandemic recession gradually. The wage growth however accelerated here this year and it was 7.8% in Q2.</w:t>
            </w:r>
          </w:p>
        </w:tc>
      </w:tr>
      <w:tr w:rsidR="001D4E19" w:rsidRPr="00A00994" w14:paraId="4CD528D7" w14:textId="77777777" w:rsidTr="00BC060A">
        <w:trPr>
          <w:trHeight w:val="145"/>
        </w:trPr>
        <w:tc>
          <w:tcPr>
            <w:tcW w:w="1739" w:type="dxa"/>
            <w:shd w:val="clear" w:color="auto" w:fill="auto"/>
            <w:tcMar>
              <w:left w:w="0" w:type="dxa"/>
            </w:tcMar>
          </w:tcPr>
          <w:p w14:paraId="7DCC76F4" w14:textId="738E0595" w:rsidR="001D4E19" w:rsidRPr="00A00994" w:rsidRDefault="001D4E19" w:rsidP="001D4E19">
            <w:pPr>
              <w:pStyle w:val="Marginlie"/>
              <w:spacing w:after="120"/>
              <w:rPr>
                <w:lang w:val="en-GB"/>
              </w:rPr>
            </w:pPr>
            <w:r w:rsidRPr="00A00994">
              <w:rPr>
                <w:lang w:val="en-GB"/>
              </w:rPr>
              <w:t xml:space="preserve">Above average wage growth reflected the revival of majority of market services in Prague. </w:t>
            </w:r>
          </w:p>
        </w:tc>
        <w:tc>
          <w:tcPr>
            <w:tcW w:w="220" w:type="dxa"/>
            <w:shd w:val="clear" w:color="auto" w:fill="auto"/>
            <w:tcMar>
              <w:left w:w="0" w:type="dxa"/>
            </w:tcMar>
          </w:tcPr>
          <w:p w14:paraId="27FC713E"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1A912214" w14:textId="5D3627D0" w:rsidR="001D4E19" w:rsidRPr="00A00994" w:rsidRDefault="001D4E19" w:rsidP="001D4E19">
            <w:pPr>
              <w:rPr>
                <w:spacing w:val="-5"/>
                <w:lang w:val="en-GB"/>
              </w:rPr>
            </w:pPr>
            <w:r w:rsidRPr="00A00994">
              <w:rPr>
                <w:spacing w:val="-5"/>
                <w:lang w:val="en-GB"/>
              </w:rPr>
              <w:t xml:space="preserve">Regarding the average wage, employees in Prague improved their position the most year-on-year in Q2 (by 5.7%), the least in </w:t>
            </w:r>
            <w:r>
              <w:rPr>
                <w:spacing w:val="-5"/>
                <w:lang w:val="en-GB"/>
              </w:rPr>
              <w:t>Ústí nad Labem</w:t>
            </w:r>
            <w:r w:rsidRPr="00A00994">
              <w:rPr>
                <w:spacing w:val="-5"/>
                <w:lang w:val="en-GB"/>
              </w:rPr>
              <w:t xml:space="preserve"> region (1.6%). The higher wage pace likely mirrored the improved economic situation in branches of market services in the metropolis (concentrated here more than in other regions). The wage growth was traditionally supported by more favourable development of employment in Prague. The ongoing downturn of the mining industry was evident in Moravia-Silesian region and Karlovy Vary region, even though less than last year. Size of average wages in the Karlovy Vary region belonged to the lowest </w:t>
            </w:r>
            <w:r w:rsidRPr="00A00994">
              <w:rPr>
                <w:spacing w:val="-5"/>
                <w:lang w:val="en-GB"/>
              </w:rPr>
              <w:lastRenderedPageBreak/>
              <w:t>among regions, since it lagged by 13% behind the state-wide level. The wages in Prague in contrast exceeded it by 23%. The situation was similar in the pre-pandemic year 2019.</w:t>
            </w:r>
          </w:p>
        </w:tc>
      </w:tr>
      <w:tr w:rsidR="001D4E19" w:rsidRPr="00A00994" w14:paraId="0EBFA331" w14:textId="77777777" w:rsidTr="00BC060A">
        <w:trPr>
          <w:trHeight w:val="145"/>
        </w:trPr>
        <w:tc>
          <w:tcPr>
            <w:tcW w:w="1739" w:type="dxa"/>
            <w:shd w:val="clear" w:color="auto" w:fill="auto"/>
            <w:tcMar>
              <w:left w:w="0" w:type="dxa"/>
            </w:tcMar>
          </w:tcPr>
          <w:p w14:paraId="288C9633" w14:textId="5665062B" w:rsidR="001D4E19" w:rsidRPr="00A00994" w:rsidRDefault="001D4E19" w:rsidP="001D4E19">
            <w:pPr>
              <w:pStyle w:val="Marginlie"/>
              <w:spacing w:after="120"/>
              <w:rPr>
                <w:lang w:val="en-GB"/>
              </w:rPr>
            </w:pPr>
            <w:r w:rsidRPr="00A00994">
              <w:rPr>
                <w:lang w:val="en-GB"/>
              </w:rPr>
              <w:lastRenderedPageBreak/>
              <w:t xml:space="preserve">The wage differentiation narrowed this year. </w:t>
            </w:r>
          </w:p>
        </w:tc>
        <w:tc>
          <w:tcPr>
            <w:tcW w:w="220" w:type="dxa"/>
            <w:shd w:val="clear" w:color="auto" w:fill="auto"/>
            <w:tcMar>
              <w:left w:w="0" w:type="dxa"/>
            </w:tcMar>
          </w:tcPr>
          <w:p w14:paraId="346AF10E"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05AE675A" w14:textId="72C4D874" w:rsidR="001D4E19" w:rsidRPr="00A00994" w:rsidRDefault="001D4E19" w:rsidP="001D4E19">
            <w:pPr>
              <w:rPr>
                <w:spacing w:val="-4"/>
                <w:lang w:val="en-GB"/>
              </w:rPr>
            </w:pPr>
            <w:r w:rsidRPr="00A00994">
              <w:rPr>
                <w:bCs/>
                <w:color w:val="0D0D0D" w:themeColor="text1" w:themeTint="F2"/>
                <w:spacing w:val="-4"/>
                <w:lang w:val="en-GB"/>
              </w:rPr>
              <w:t xml:space="preserve">The wage median climbed up to </w:t>
            </w:r>
            <w:r w:rsidRPr="00A00994">
              <w:rPr>
                <w:bCs/>
                <w:spacing w:val="-4"/>
                <w:lang w:val="en-GB"/>
              </w:rPr>
              <w:t>36.9 CZK thousand for males, 31.2 CZK thousand for females in Q2 2022. Unlike the previous years, it increased more for males (7.3%) than females (3.7</w:t>
            </w:r>
            <w:r w:rsidRPr="00A00994">
              <w:rPr>
                <w:spacing w:val="-4"/>
                <w:lang w:val="en-GB"/>
              </w:rPr>
              <w:t xml:space="preserve">%). The wage distribution for males did not change year-on-year. Growth of earnings of females was in the large extent driven by strengthening of below average wages (in connection to the revival of the majority of market services branches), while the average and above average wages were increasing relatively slower (mainly because of perceptible slowdown of growth in education and health and social works). Total wage distribution narrowed in both Q1 and 2 this year compared to the last year. </w:t>
            </w:r>
          </w:p>
        </w:tc>
      </w:tr>
      <w:tr w:rsidR="001D4E19" w:rsidRPr="00A00994" w14:paraId="22EAB61B" w14:textId="77777777" w:rsidTr="00BC060A">
        <w:trPr>
          <w:trHeight w:val="145"/>
        </w:trPr>
        <w:tc>
          <w:tcPr>
            <w:tcW w:w="1739" w:type="dxa"/>
            <w:shd w:val="clear" w:color="auto" w:fill="auto"/>
            <w:tcMar>
              <w:left w:w="0" w:type="dxa"/>
            </w:tcMar>
          </w:tcPr>
          <w:p w14:paraId="68E44AD1" w14:textId="77777777" w:rsidR="001D4E19" w:rsidRPr="00A00994" w:rsidRDefault="001D4E19" w:rsidP="001D4E19">
            <w:pPr>
              <w:pStyle w:val="Marginlie"/>
              <w:spacing w:after="120"/>
              <w:rPr>
                <w:lang w:val="en-GB"/>
              </w:rPr>
            </w:pPr>
          </w:p>
        </w:tc>
        <w:tc>
          <w:tcPr>
            <w:tcW w:w="220" w:type="dxa"/>
            <w:shd w:val="clear" w:color="auto" w:fill="auto"/>
            <w:tcMar>
              <w:left w:w="0" w:type="dxa"/>
            </w:tcMar>
          </w:tcPr>
          <w:p w14:paraId="191720B9"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274F2928" w14:textId="50983C58" w:rsidR="001D4E19" w:rsidRPr="00A00994" w:rsidRDefault="001D4E19" w:rsidP="001D4E19">
            <w:pPr>
              <w:spacing w:after="0"/>
              <w:rPr>
                <w:spacing w:val="-4"/>
                <w:lang w:val="en-GB"/>
              </w:rPr>
            </w:pPr>
            <w:r w:rsidRPr="00A00994">
              <w:rPr>
                <w:b/>
                <w:spacing w:val="-4"/>
                <w:lang w:val="en-GB"/>
              </w:rPr>
              <w:t xml:space="preserve">Chart 15 </w:t>
            </w:r>
            <w:r w:rsidRPr="00A00994">
              <w:rPr>
                <w:b/>
                <w:spacing w:val="-2"/>
                <w:lang w:val="en-GB"/>
              </w:rPr>
              <w:t xml:space="preserve">Average nominal and real wage and wage median </w:t>
            </w:r>
            <w:r w:rsidRPr="00A00994">
              <w:rPr>
                <w:spacing w:val="-2"/>
                <w:lang w:val="en-GB"/>
              </w:rPr>
              <w:t>(year-on-year, in %)</w:t>
            </w:r>
          </w:p>
        </w:tc>
      </w:tr>
      <w:tr w:rsidR="001D4E19" w:rsidRPr="00A00994" w14:paraId="54988777" w14:textId="77777777" w:rsidTr="00BC060A">
        <w:tblPrEx>
          <w:tblCellMar>
            <w:left w:w="70" w:type="dxa"/>
            <w:right w:w="70" w:type="dxa"/>
          </w:tblCellMar>
        </w:tblPrEx>
        <w:trPr>
          <w:trHeight w:val="145"/>
        </w:trPr>
        <w:tc>
          <w:tcPr>
            <w:tcW w:w="1739" w:type="dxa"/>
            <w:shd w:val="clear" w:color="auto" w:fill="auto"/>
          </w:tcPr>
          <w:p w14:paraId="2158E3BB" w14:textId="77777777" w:rsidR="001D4E19" w:rsidRPr="00A00994" w:rsidRDefault="001D4E19" w:rsidP="001D4E19">
            <w:pPr>
              <w:pStyle w:val="Marginlie"/>
              <w:spacing w:after="120"/>
              <w:rPr>
                <w:lang w:val="en-GB"/>
              </w:rPr>
            </w:pPr>
          </w:p>
        </w:tc>
        <w:tc>
          <w:tcPr>
            <w:tcW w:w="220" w:type="dxa"/>
            <w:shd w:val="clear" w:color="auto" w:fill="auto"/>
          </w:tcPr>
          <w:p w14:paraId="6A254011" w14:textId="77777777" w:rsidR="001D4E19" w:rsidRPr="00A00994" w:rsidRDefault="001D4E19" w:rsidP="001D4E19">
            <w:pPr>
              <w:pStyle w:val="Textpoznpodarou"/>
              <w:spacing w:after="120"/>
              <w:jc w:val="both"/>
              <w:rPr>
                <w:spacing w:val="-4"/>
                <w:lang w:val="en-GB"/>
              </w:rPr>
            </w:pPr>
          </w:p>
        </w:tc>
        <w:tc>
          <w:tcPr>
            <w:tcW w:w="7715" w:type="dxa"/>
            <w:shd w:val="clear" w:color="auto" w:fill="auto"/>
          </w:tcPr>
          <w:p w14:paraId="3217C2CA" w14:textId="47E26592" w:rsidR="001D4E19" w:rsidRPr="00A00994" w:rsidRDefault="001D4E19" w:rsidP="001D4E19">
            <w:pPr>
              <w:spacing w:after="0"/>
              <w:rPr>
                <w:b/>
                <w:spacing w:val="-4"/>
                <w:lang w:val="en-GB"/>
              </w:rPr>
            </w:pPr>
            <w:r>
              <w:rPr>
                <w:noProof/>
              </w:rPr>
              <w:drawing>
                <wp:inline distT="0" distB="0" distL="0" distR="0" wp14:anchorId="535F7C5D" wp14:editId="2F6E6398">
                  <wp:extent cx="4810540" cy="3724386"/>
                  <wp:effectExtent l="0" t="0" r="0" b="0"/>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D4E19" w:rsidRPr="00A00994" w14:paraId="5639B9F2" w14:textId="77777777" w:rsidTr="00BC060A">
        <w:trPr>
          <w:trHeight w:val="145"/>
        </w:trPr>
        <w:tc>
          <w:tcPr>
            <w:tcW w:w="1739" w:type="dxa"/>
            <w:shd w:val="clear" w:color="auto" w:fill="auto"/>
            <w:tcMar>
              <w:left w:w="0" w:type="dxa"/>
            </w:tcMar>
          </w:tcPr>
          <w:p w14:paraId="7A91B007" w14:textId="77777777" w:rsidR="001D4E19" w:rsidRPr="00A00994" w:rsidRDefault="001D4E19" w:rsidP="001D4E19">
            <w:pPr>
              <w:pStyle w:val="Marginlie"/>
              <w:spacing w:after="120"/>
              <w:rPr>
                <w:lang w:val="en-GB"/>
              </w:rPr>
            </w:pPr>
          </w:p>
        </w:tc>
        <w:tc>
          <w:tcPr>
            <w:tcW w:w="220" w:type="dxa"/>
            <w:shd w:val="clear" w:color="auto" w:fill="auto"/>
            <w:tcMar>
              <w:left w:w="0" w:type="dxa"/>
            </w:tcMar>
          </w:tcPr>
          <w:p w14:paraId="421AE78A" w14:textId="77777777" w:rsidR="001D4E19" w:rsidRPr="00A00994" w:rsidRDefault="001D4E19" w:rsidP="001D4E19">
            <w:pPr>
              <w:pStyle w:val="Textpoznpodarou"/>
              <w:spacing w:after="120"/>
              <w:jc w:val="both"/>
              <w:rPr>
                <w:spacing w:val="-4"/>
                <w:lang w:val="en-GB"/>
              </w:rPr>
            </w:pPr>
          </w:p>
        </w:tc>
        <w:tc>
          <w:tcPr>
            <w:tcW w:w="7715" w:type="dxa"/>
            <w:shd w:val="clear" w:color="auto" w:fill="auto"/>
            <w:tcMar>
              <w:left w:w="0" w:type="dxa"/>
            </w:tcMar>
          </w:tcPr>
          <w:p w14:paraId="1D3181A9" w14:textId="403AB29B" w:rsidR="001D4E19" w:rsidRPr="00A00994" w:rsidRDefault="001D4E19" w:rsidP="001D4E19">
            <w:pPr>
              <w:tabs>
                <w:tab w:val="right" w:pos="7683"/>
              </w:tabs>
              <w:spacing w:after="0"/>
              <w:rPr>
                <w:bCs/>
                <w:sz w:val="14"/>
                <w:szCs w:val="14"/>
                <w:lang w:val="en-GB"/>
              </w:rPr>
            </w:pPr>
            <w:r w:rsidRPr="00A00994">
              <w:rPr>
                <w:bCs/>
                <w:sz w:val="14"/>
                <w:szCs w:val="14"/>
                <w:lang w:val="en-GB"/>
              </w:rPr>
              <w:t>Note: Date are given for individual half-years.</w:t>
            </w:r>
          </w:p>
          <w:p w14:paraId="0E9B8065" w14:textId="51357F1F" w:rsidR="001D4E19" w:rsidRPr="00A00994" w:rsidRDefault="001D4E19" w:rsidP="001D4E19">
            <w:pPr>
              <w:tabs>
                <w:tab w:val="right" w:pos="7683"/>
              </w:tabs>
              <w:spacing w:after="0"/>
              <w:rPr>
                <w:bCs/>
                <w:sz w:val="14"/>
                <w:szCs w:val="14"/>
                <w:lang w:val="en-GB"/>
              </w:rPr>
            </w:pPr>
            <w:r w:rsidRPr="00A00994">
              <w:rPr>
                <w:bCs/>
                <w:sz w:val="14"/>
                <w:szCs w:val="14"/>
                <w:lang w:val="en-GB"/>
              </w:rPr>
              <w:t>*</w:t>
            </w:r>
            <w:r w:rsidRPr="00A00994">
              <w:rPr>
                <w:rFonts w:cs="Arial"/>
                <w:spacing w:val="-3"/>
                <w:sz w:val="14"/>
                <w:szCs w:val="14"/>
                <w:lang w:val="en-GB"/>
              </w:rPr>
              <w:t xml:space="preserve"> Includes branches with a significant state involvement: Public administration, defence, social security; Education; Human health and social work activities; Cultural, amusement and recreational activities.</w:t>
            </w:r>
            <w:r w:rsidRPr="00A00994">
              <w:rPr>
                <w:bCs/>
                <w:sz w:val="14"/>
                <w:szCs w:val="14"/>
                <w:lang w:val="en-GB"/>
              </w:rPr>
              <w:tab/>
              <w:t>Source</w:t>
            </w:r>
            <w:r w:rsidRPr="00A00994">
              <w:rPr>
                <w:rFonts w:cs="Arial"/>
                <w:color w:val="0D0D0D" w:themeColor="text1" w:themeTint="F2"/>
                <w:spacing w:val="-2"/>
                <w:sz w:val="14"/>
                <w:szCs w:val="14"/>
                <w:lang w:val="en-GB"/>
              </w:rPr>
              <w:t>: CZSO</w:t>
            </w:r>
          </w:p>
          <w:p w14:paraId="68E54D0A" w14:textId="59C0BC56" w:rsidR="001D4E19" w:rsidRPr="00A00994" w:rsidRDefault="001D4E19" w:rsidP="001D4E19">
            <w:pPr>
              <w:tabs>
                <w:tab w:val="right" w:pos="7683"/>
              </w:tabs>
              <w:spacing w:after="0"/>
              <w:rPr>
                <w:rFonts w:cs="Arial"/>
                <w:b/>
                <w:bCs/>
                <w:noProof/>
                <w:color w:val="0D0D0D" w:themeColor="text1" w:themeTint="F2"/>
                <w:spacing w:val="-2"/>
                <w:sz w:val="16"/>
                <w:szCs w:val="16"/>
                <w:lang w:val="en-GB"/>
              </w:rPr>
            </w:pPr>
          </w:p>
          <w:p w14:paraId="0CD9BB74" w14:textId="77777777" w:rsidR="001D4E19" w:rsidRPr="00A00994" w:rsidRDefault="001D4E19" w:rsidP="001D4E19">
            <w:pPr>
              <w:tabs>
                <w:tab w:val="right" w:pos="7683"/>
              </w:tabs>
              <w:spacing w:after="0"/>
              <w:rPr>
                <w:rFonts w:cs="Arial"/>
                <w:noProof/>
                <w:color w:val="0D0D0D" w:themeColor="text1" w:themeTint="F2"/>
                <w:spacing w:val="-2"/>
                <w:sz w:val="14"/>
                <w:szCs w:val="14"/>
                <w:lang w:val="en-GB"/>
              </w:rPr>
            </w:pPr>
          </w:p>
          <w:p w14:paraId="0F47F2C9" w14:textId="28923A77" w:rsidR="001D4E19" w:rsidRPr="00A00994" w:rsidRDefault="001D4E19" w:rsidP="001D4E19">
            <w:pPr>
              <w:tabs>
                <w:tab w:val="right" w:pos="7683"/>
              </w:tabs>
              <w:spacing w:after="0"/>
              <w:rPr>
                <w:noProof/>
                <w:sz w:val="14"/>
                <w:szCs w:val="14"/>
                <w:lang w:val="en-GB"/>
              </w:rPr>
            </w:pPr>
          </w:p>
        </w:tc>
      </w:tr>
    </w:tbl>
    <w:p w14:paraId="5BAB8EA3" w14:textId="23A06DC9" w:rsidR="000663F0" w:rsidRPr="00A00994" w:rsidRDefault="000663F0" w:rsidP="008F5022">
      <w:pPr>
        <w:pStyle w:val="Nadpis11"/>
        <w:spacing w:after="120"/>
        <w:rPr>
          <w:b w:val="0"/>
          <w:sz w:val="2"/>
          <w:szCs w:val="2"/>
          <w:lang w:val="en-GB"/>
        </w:rPr>
      </w:pPr>
      <w:bookmarkStart w:id="5" w:name="_GoBack"/>
      <w:bookmarkEnd w:id="0"/>
      <w:bookmarkEnd w:id="1"/>
      <w:bookmarkEnd w:id="2"/>
      <w:bookmarkEnd w:id="3"/>
      <w:bookmarkEnd w:id="5"/>
    </w:p>
    <w:sectPr w:rsidR="000663F0" w:rsidRPr="00A00994" w:rsidSect="008F5022">
      <w:headerReference w:type="even" r:id="rId12"/>
      <w:headerReference w:type="default" r:id="rId13"/>
      <w:footerReference w:type="even" r:id="rId14"/>
      <w:footerReference w:type="default" r:id="rId15"/>
      <w:pgSz w:w="11906" w:h="16838" w:code="9"/>
      <w:pgMar w:top="1134" w:right="1134" w:bottom="1418" w:left="1134" w:header="680" w:footer="737" w:gutter="0"/>
      <w:pgNumType w:start="29"/>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577CA" w16cid:durableId="26F133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91B07" w14:textId="77777777" w:rsidR="0016692D" w:rsidRDefault="0016692D" w:rsidP="00E71A58">
      <w:r>
        <w:separator/>
      </w:r>
    </w:p>
  </w:endnote>
  <w:endnote w:type="continuationSeparator" w:id="0">
    <w:p w14:paraId="4F405411" w14:textId="77777777" w:rsidR="0016692D" w:rsidRDefault="0016692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6395804A" w:rsidR="00073B58" w:rsidRPr="00932443" w:rsidRDefault="00073B58"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8F5022">
      <w:rPr>
        <w:szCs w:val="16"/>
      </w:rPr>
      <w:t>32</w:t>
    </w:r>
    <w:r w:rsidRPr="00932443">
      <w:rPr>
        <w:szCs w:val="16"/>
      </w:rPr>
      <w:fldChar w:fldCharType="end"/>
    </w:r>
    <w:r w:rsidRPr="00932443">
      <w:rPr>
        <w:szCs w:val="16"/>
      </w:rPr>
      <w:tab/>
    </w:r>
    <w:r w:rsidRPr="00D060D1">
      <w:rPr>
        <w:szCs w:val="16"/>
        <w:lang w:val="en-GB"/>
      </w:rPr>
      <w:t>First half of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4A31787A" w:rsidR="00073B58" w:rsidRPr="00932443" w:rsidRDefault="00073B58" w:rsidP="00FA6CB6">
    <w:pPr>
      <w:pStyle w:val="Zpat"/>
      <w:rPr>
        <w:szCs w:val="16"/>
      </w:rPr>
    </w:pPr>
    <w:r w:rsidRPr="00FA6CB6">
      <w:rPr>
        <w:szCs w:val="16"/>
      </w:rPr>
      <w:tab/>
    </w:r>
    <w:r w:rsidRPr="00D060D1">
      <w:rPr>
        <w:szCs w:val="16"/>
        <w:lang w:val="en-GB"/>
      </w:rPr>
      <w:t xml:space="preserve">First </w:t>
    </w:r>
    <w:r>
      <w:rPr>
        <w:szCs w:val="16"/>
        <w:lang w:val="en-GB"/>
      </w:rPr>
      <w:t>h</w:t>
    </w:r>
    <w:r w:rsidRPr="00D060D1">
      <w:rPr>
        <w:szCs w:val="16"/>
        <w:lang w:val="en-GB"/>
      </w:rPr>
      <w:t>alf of 202</w:t>
    </w:r>
    <w:r>
      <w:rPr>
        <w:lang w:eastAsia="cs-CZ"/>
      </w:rPr>
      <w:drawing>
        <wp:anchor distT="0" distB="0" distL="114300" distR="114300" simplePos="0" relativeHeight="251670016" behindDoc="0" locked="0" layoutInCell="1" allowOverlap="1" wp14:anchorId="3E4346EB" wp14:editId="36046FDA">
          <wp:simplePos x="0" y="0"/>
          <wp:positionH relativeFrom="margin">
            <wp:posOffset>0</wp:posOffset>
          </wp:positionH>
          <wp:positionV relativeFrom="paragraph">
            <wp:posOffset>0</wp:posOffset>
          </wp:positionV>
          <wp:extent cx="676910" cy="201930"/>
          <wp:effectExtent l="0" t="0" r="8890" b="7620"/>
          <wp:wrapNone/>
          <wp:docPr id="12" name="Picture 12"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EN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20193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8F5022">
      <w:rPr>
        <w:rStyle w:val="ZpatChar"/>
        <w:szCs w:val="16"/>
      </w:rPr>
      <w:t>31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9B05" w14:textId="77777777" w:rsidR="0016692D" w:rsidRDefault="0016692D" w:rsidP="00A21B4D">
      <w:pPr>
        <w:spacing w:after="0"/>
      </w:pPr>
      <w:r>
        <w:separator/>
      </w:r>
    </w:p>
  </w:footnote>
  <w:footnote w:type="continuationSeparator" w:id="0">
    <w:p w14:paraId="55EA2149" w14:textId="77777777" w:rsidR="0016692D" w:rsidRDefault="0016692D" w:rsidP="00E71A58">
      <w:r>
        <w:continuationSeparator/>
      </w:r>
    </w:p>
  </w:footnote>
  <w:footnote w:id="1">
    <w:p w14:paraId="0AF240DC" w14:textId="723CE1EB" w:rsidR="00073B58" w:rsidRPr="009E74B3" w:rsidRDefault="00073B58" w:rsidP="00B51B36">
      <w:pPr>
        <w:pStyle w:val="Textpoznpodarou"/>
        <w:jc w:val="both"/>
        <w:rPr>
          <w:color w:val="0D0D0D" w:themeColor="text1" w:themeTint="F2"/>
          <w:spacing w:val="-6"/>
          <w:sz w:val="16"/>
          <w:szCs w:val="16"/>
          <w:lang w:val="en-GB"/>
        </w:rPr>
      </w:pPr>
      <w:r w:rsidRPr="009E74B3">
        <w:rPr>
          <w:rStyle w:val="Znakapoznpodarou"/>
          <w:color w:val="0D0D0D" w:themeColor="text1" w:themeTint="F2"/>
          <w:sz w:val="16"/>
          <w:szCs w:val="16"/>
        </w:rPr>
        <w:footnoteRef/>
      </w:r>
      <w:r w:rsidRPr="009E74B3">
        <w:rPr>
          <w:color w:val="0D0D0D" w:themeColor="text1" w:themeTint="F2"/>
          <w:sz w:val="16"/>
          <w:szCs w:val="16"/>
        </w:rPr>
        <w:t xml:space="preserve"> </w:t>
      </w:r>
      <w:r w:rsidRPr="009E74B3">
        <w:rPr>
          <w:sz w:val="16"/>
          <w:szCs w:val="16"/>
          <w:lang w:val="en-GB"/>
        </w:rPr>
        <w:t>Data regarding employment stem from the national accounts’ conception. They are expressed in physical persons and adjusted for seasonal effects</w:t>
      </w:r>
      <w:r w:rsidRPr="009E74B3">
        <w:rPr>
          <w:spacing w:val="-6"/>
          <w:sz w:val="16"/>
          <w:szCs w:val="16"/>
          <w:lang w:val="en-GB"/>
        </w:rPr>
        <w:t xml:space="preserve">. </w:t>
      </w:r>
    </w:p>
  </w:footnote>
  <w:footnote w:id="2">
    <w:p w14:paraId="0AAEFDAF" w14:textId="7D26D86B" w:rsidR="00073B58" w:rsidRPr="00C723DE" w:rsidRDefault="00073B58" w:rsidP="00C723DE">
      <w:pPr>
        <w:pStyle w:val="Textpoznpodarou"/>
        <w:jc w:val="both"/>
        <w:rPr>
          <w:color w:val="0D0D0D" w:themeColor="text1" w:themeTint="F2"/>
          <w:sz w:val="16"/>
          <w:szCs w:val="16"/>
          <w:lang w:val="en-GB"/>
        </w:rPr>
      </w:pPr>
      <w:r w:rsidRPr="00C723DE">
        <w:rPr>
          <w:rStyle w:val="Znakapoznpodarou"/>
          <w:color w:val="0D0D0D" w:themeColor="text1" w:themeTint="F2"/>
          <w:sz w:val="16"/>
          <w:szCs w:val="16"/>
          <w:lang w:val="en-GB"/>
        </w:rPr>
        <w:footnoteRef/>
      </w:r>
      <w:r w:rsidRPr="00C723DE">
        <w:rPr>
          <w:color w:val="0D0D0D" w:themeColor="text1" w:themeTint="F2"/>
          <w:sz w:val="16"/>
          <w:szCs w:val="16"/>
          <w:lang w:val="en-GB"/>
        </w:rPr>
        <w:t xml:space="preserve"> </w:t>
      </w:r>
      <w:r>
        <w:rPr>
          <w:color w:val="0D0D0D" w:themeColor="text1" w:themeTint="F2"/>
          <w:sz w:val="16"/>
          <w:szCs w:val="16"/>
          <w:lang w:val="en-GB"/>
        </w:rPr>
        <w:t>Branches with the prevalent public services, including p</w:t>
      </w:r>
      <w:r w:rsidRPr="00FC3DB2">
        <w:rPr>
          <w:sz w:val="16"/>
          <w:szCs w:val="16"/>
          <w:lang w:val="en-GB"/>
        </w:rPr>
        <w:t>ublic administration</w:t>
      </w:r>
      <w:r>
        <w:rPr>
          <w:sz w:val="16"/>
          <w:szCs w:val="16"/>
          <w:lang w:val="en-GB"/>
        </w:rPr>
        <w:t xml:space="preserve"> and social security and also </w:t>
      </w:r>
      <w:r w:rsidRPr="00FC3DB2">
        <w:rPr>
          <w:sz w:val="16"/>
          <w:szCs w:val="16"/>
          <w:lang w:val="en-GB"/>
        </w:rPr>
        <w:t>education</w:t>
      </w:r>
      <w:r>
        <w:rPr>
          <w:sz w:val="16"/>
          <w:szCs w:val="16"/>
          <w:lang w:val="en-GB"/>
        </w:rPr>
        <w:t xml:space="preserve"> and </w:t>
      </w:r>
      <w:r w:rsidRPr="00FC3DB2">
        <w:rPr>
          <w:sz w:val="16"/>
          <w:szCs w:val="16"/>
          <w:lang w:val="en-GB"/>
        </w:rPr>
        <w:t>health and social work</w:t>
      </w:r>
      <w:r>
        <w:rPr>
          <w:sz w:val="16"/>
          <w:szCs w:val="16"/>
          <w:lang w:val="en-GB"/>
        </w:rPr>
        <w:t xml:space="preserve">, had the most pro-growth effect on the employment out of all key branches also for the whole period of years </w:t>
      </w:r>
      <w:r w:rsidRPr="00C723DE">
        <w:rPr>
          <w:color w:val="0D0D0D" w:themeColor="text1" w:themeTint="F2"/>
          <w:sz w:val="16"/>
          <w:szCs w:val="16"/>
          <w:lang w:val="en-GB"/>
        </w:rPr>
        <w:t>2020 a</w:t>
      </w:r>
      <w:r>
        <w:rPr>
          <w:color w:val="0D0D0D" w:themeColor="text1" w:themeTint="F2"/>
          <w:sz w:val="16"/>
          <w:szCs w:val="16"/>
          <w:lang w:val="en-GB"/>
        </w:rPr>
        <w:t>nd</w:t>
      </w:r>
      <w:r w:rsidRPr="00C723DE">
        <w:rPr>
          <w:color w:val="0D0D0D" w:themeColor="text1" w:themeTint="F2"/>
          <w:sz w:val="16"/>
          <w:szCs w:val="16"/>
          <w:lang w:val="en-GB"/>
        </w:rPr>
        <w:t> 2021.</w:t>
      </w:r>
    </w:p>
  </w:footnote>
  <w:footnote w:id="3">
    <w:p w14:paraId="7646DA2B" w14:textId="545B03AF" w:rsidR="00073B58" w:rsidRPr="00424B72" w:rsidRDefault="00073B58" w:rsidP="00E25304">
      <w:pPr>
        <w:pStyle w:val="Textpoznpodarou"/>
        <w:jc w:val="both"/>
        <w:rPr>
          <w:color w:val="0D0D0D" w:themeColor="text1" w:themeTint="F2"/>
          <w:spacing w:val="-6"/>
          <w:sz w:val="16"/>
          <w:szCs w:val="16"/>
          <w:lang w:val="en-GB"/>
        </w:rPr>
      </w:pPr>
      <w:r w:rsidRPr="00F41731">
        <w:rPr>
          <w:rStyle w:val="Znakapoznpodarou"/>
          <w:color w:val="0D0D0D" w:themeColor="text1" w:themeTint="F2"/>
          <w:spacing w:val="-6"/>
          <w:sz w:val="16"/>
          <w:szCs w:val="16"/>
        </w:rPr>
        <w:footnoteRef/>
      </w:r>
      <w:r w:rsidRPr="00F41731">
        <w:rPr>
          <w:color w:val="0D0D0D" w:themeColor="text1" w:themeTint="F2"/>
          <w:spacing w:val="-6"/>
          <w:sz w:val="16"/>
          <w:szCs w:val="16"/>
        </w:rPr>
        <w:t xml:space="preserve"> </w:t>
      </w:r>
      <w:r w:rsidRPr="00424B72">
        <w:rPr>
          <w:color w:val="0D0D0D" w:themeColor="text1" w:themeTint="F2"/>
          <w:spacing w:val="-6"/>
          <w:sz w:val="16"/>
          <w:szCs w:val="16"/>
          <w:lang w:val="en-GB"/>
        </w:rPr>
        <w:t xml:space="preserve">Growth of the number of foreigners working in the CR distinctly accelerated this year during </w:t>
      </w:r>
      <w:r>
        <w:rPr>
          <w:color w:val="0D0D0D" w:themeColor="text1" w:themeTint="F2"/>
          <w:spacing w:val="-6"/>
          <w:sz w:val="16"/>
          <w:szCs w:val="16"/>
          <w:lang w:val="en-GB"/>
        </w:rPr>
        <w:t>spring</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It was assisted by the beginning integration of the refugees from Ukraine, ongoing economic migration from the economically weaker regions of the EU as well as countries outside the EU had an effect of a smaller magnitude. The labour offices (LO) registered </w:t>
      </w:r>
      <w:r w:rsidRPr="00424B72">
        <w:rPr>
          <w:color w:val="0D0D0D" w:themeColor="text1" w:themeTint="F2"/>
          <w:spacing w:val="-6"/>
          <w:sz w:val="16"/>
          <w:szCs w:val="16"/>
          <w:lang w:val="en-GB"/>
        </w:rPr>
        <w:t>767 t</w:t>
      </w:r>
      <w:r>
        <w:rPr>
          <w:color w:val="0D0D0D" w:themeColor="text1" w:themeTint="F2"/>
          <w:spacing w:val="-6"/>
          <w:sz w:val="16"/>
          <w:szCs w:val="16"/>
          <w:lang w:val="en-GB"/>
        </w:rPr>
        <w:t xml:space="preserve">housand foreign nationals in the employee status on the territory of the CR this year in July. It was by </w:t>
      </w:r>
      <w:r w:rsidRPr="00424B72">
        <w:rPr>
          <w:color w:val="0D0D0D" w:themeColor="text1" w:themeTint="F2"/>
          <w:spacing w:val="-6"/>
          <w:sz w:val="16"/>
          <w:szCs w:val="16"/>
          <w:lang w:val="en-GB"/>
        </w:rPr>
        <w:t>9%</w:t>
      </w:r>
      <w:r>
        <w:rPr>
          <w:color w:val="0D0D0D" w:themeColor="text1" w:themeTint="F2"/>
          <w:spacing w:val="-6"/>
          <w:sz w:val="16"/>
          <w:szCs w:val="16"/>
          <w:lang w:val="en-GB"/>
        </w:rPr>
        <w:t xml:space="preserve"> more than at the end of year 2</w:t>
      </w:r>
      <w:r w:rsidRPr="00424B72">
        <w:rPr>
          <w:color w:val="0D0D0D" w:themeColor="text1" w:themeTint="F2"/>
          <w:spacing w:val="-6"/>
          <w:sz w:val="16"/>
          <w:szCs w:val="16"/>
          <w:lang w:val="en-GB"/>
        </w:rPr>
        <w:t>021 (</w:t>
      </w:r>
      <w:r>
        <w:rPr>
          <w:color w:val="0D0D0D" w:themeColor="text1" w:themeTint="F2"/>
          <w:spacing w:val="-6"/>
          <w:sz w:val="16"/>
          <w:szCs w:val="16"/>
          <w:lang w:val="en-GB"/>
        </w:rPr>
        <w:t xml:space="preserve">and by </w:t>
      </w:r>
      <w:r w:rsidRPr="00424B72">
        <w:rPr>
          <w:color w:val="0D0D0D" w:themeColor="text1" w:themeTint="F2"/>
          <w:spacing w:val="-6"/>
          <w:sz w:val="16"/>
          <w:szCs w:val="16"/>
          <w:lang w:val="en-GB"/>
        </w:rPr>
        <w:t xml:space="preserve">12% </w:t>
      </w:r>
      <w:r>
        <w:rPr>
          <w:color w:val="0D0D0D" w:themeColor="text1" w:themeTint="F2"/>
          <w:spacing w:val="-6"/>
          <w:sz w:val="16"/>
          <w:szCs w:val="16"/>
          <w:lang w:val="en-GB"/>
        </w:rPr>
        <w:t>more than last year in July</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In addition also foreigners, which are holders of the trade licence were active in the CR (</w:t>
      </w:r>
      <w:r w:rsidRPr="00424B72">
        <w:rPr>
          <w:color w:val="0D0D0D" w:themeColor="text1" w:themeTint="F2"/>
          <w:spacing w:val="-6"/>
          <w:sz w:val="16"/>
          <w:szCs w:val="16"/>
          <w:lang w:val="en-GB"/>
        </w:rPr>
        <w:t>106 t</w:t>
      </w:r>
      <w:r>
        <w:rPr>
          <w:color w:val="0D0D0D" w:themeColor="text1" w:themeTint="F2"/>
          <w:spacing w:val="-6"/>
          <w:sz w:val="16"/>
          <w:szCs w:val="16"/>
          <w:lang w:val="en-GB"/>
        </w:rPr>
        <w:t>housand</w:t>
      </w:r>
      <w:r w:rsidRPr="00424B72">
        <w:rPr>
          <w:color w:val="0D0D0D" w:themeColor="text1" w:themeTint="F2"/>
          <w:spacing w:val="-6"/>
          <w:sz w:val="16"/>
          <w:szCs w:val="16"/>
          <w:lang w:val="en-GB"/>
        </w:rPr>
        <w:t>). T</w:t>
      </w:r>
      <w:r>
        <w:rPr>
          <w:color w:val="0D0D0D" w:themeColor="text1" w:themeTint="F2"/>
          <w:spacing w:val="-6"/>
          <w:sz w:val="16"/>
          <w:szCs w:val="16"/>
          <w:lang w:val="en-GB"/>
        </w:rPr>
        <w:t xml:space="preserve">hese were increasing slower year-on-year </w:t>
      </w:r>
      <w:r w:rsidRPr="00424B72">
        <w:rPr>
          <w:color w:val="0D0D0D" w:themeColor="text1" w:themeTint="F2"/>
          <w:spacing w:val="-6"/>
          <w:sz w:val="16"/>
          <w:szCs w:val="16"/>
          <w:lang w:val="en-GB"/>
        </w:rPr>
        <w:t>(+6%),</w:t>
      </w:r>
      <w:r>
        <w:rPr>
          <w:color w:val="0D0D0D" w:themeColor="text1" w:themeTint="F2"/>
          <w:spacing w:val="-6"/>
          <w:sz w:val="16"/>
          <w:szCs w:val="16"/>
          <w:lang w:val="en-GB"/>
        </w:rPr>
        <w:t xml:space="preserve"> because it primarily concerns foreigners settled in the long-term </w:t>
      </w:r>
      <w:r w:rsidRPr="00424B72">
        <w:rPr>
          <w:color w:val="0D0D0D" w:themeColor="text1" w:themeTint="F2"/>
          <w:spacing w:val="-6"/>
          <w:sz w:val="16"/>
          <w:szCs w:val="16"/>
          <w:lang w:val="en-GB"/>
        </w:rPr>
        <w:t>(</w:t>
      </w:r>
      <w:r>
        <w:rPr>
          <w:color w:val="0D0D0D" w:themeColor="text1" w:themeTint="F2"/>
          <w:spacing w:val="-6"/>
          <w:sz w:val="16"/>
          <w:szCs w:val="16"/>
          <w:lang w:val="en-GB"/>
        </w:rPr>
        <w:t>largely from Ukraine, Slovakia and Vietnam</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Workers from Ukraine added to the growth of the number of foreigners in the employee positions from more than 80% from January till July </w:t>
      </w:r>
      <w:r w:rsidRPr="00424B72">
        <w:rPr>
          <w:color w:val="0D0D0D" w:themeColor="text1" w:themeTint="F2"/>
          <w:spacing w:val="-6"/>
          <w:sz w:val="16"/>
          <w:szCs w:val="16"/>
          <w:lang w:val="en-GB"/>
        </w:rPr>
        <w:t xml:space="preserve">2022, </w:t>
      </w:r>
      <w:r>
        <w:rPr>
          <w:color w:val="0D0D0D" w:themeColor="text1" w:themeTint="F2"/>
          <w:spacing w:val="-6"/>
          <w:sz w:val="16"/>
          <w:szCs w:val="16"/>
          <w:lang w:val="en-GB"/>
        </w:rPr>
        <w:t xml:space="preserve">their number expanded by more than one quarter </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to </w:t>
      </w:r>
      <w:r w:rsidRPr="00424B72">
        <w:rPr>
          <w:color w:val="0D0D0D" w:themeColor="text1" w:themeTint="F2"/>
          <w:spacing w:val="-6"/>
          <w:sz w:val="16"/>
          <w:szCs w:val="16"/>
          <w:lang w:val="en-GB"/>
        </w:rPr>
        <w:t>249 t</w:t>
      </w:r>
      <w:r>
        <w:rPr>
          <w:color w:val="0D0D0D" w:themeColor="text1" w:themeTint="F2"/>
          <w:spacing w:val="-6"/>
          <w:sz w:val="16"/>
          <w:szCs w:val="16"/>
          <w:lang w:val="en-GB"/>
        </w:rPr>
        <w:t>housand</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where females only negligibly prevailed</w:t>
      </w:r>
      <w:r w:rsidRPr="00424B72">
        <w:rPr>
          <w:color w:val="0D0D0D" w:themeColor="text1" w:themeTint="F2"/>
          <w:spacing w:val="-6"/>
          <w:sz w:val="16"/>
          <w:szCs w:val="16"/>
          <w:lang w:val="en-GB"/>
        </w:rPr>
        <w:t>). Slov</w:t>
      </w:r>
      <w:r>
        <w:rPr>
          <w:color w:val="0D0D0D" w:themeColor="text1" w:themeTint="F2"/>
          <w:spacing w:val="-6"/>
          <w:sz w:val="16"/>
          <w:szCs w:val="16"/>
          <w:lang w:val="en-GB"/>
        </w:rPr>
        <w:t xml:space="preserve">akians, comprising the second most numerous group, rather stagnated with respect to numbers </w:t>
      </w:r>
      <w:r w:rsidRPr="00424B72">
        <w:rPr>
          <w:color w:val="0D0D0D" w:themeColor="text1" w:themeTint="F2"/>
          <w:spacing w:val="-6"/>
          <w:sz w:val="16"/>
          <w:szCs w:val="16"/>
          <w:lang w:val="en-GB"/>
        </w:rPr>
        <w:t>(211 t</w:t>
      </w:r>
      <w:r>
        <w:rPr>
          <w:color w:val="0D0D0D" w:themeColor="text1" w:themeTint="F2"/>
          <w:spacing w:val="-6"/>
          <w:sz w:val="16"/>
          <w:szCs w:val="16"/>
          <w:lang w:val="en-GB"/>
        </w:rPr>
        <w:t>housand</w:t>
      </w:r>
      <w:r w:rsidRPr="00424B72">
        <w:rPr>
          <w:color w:val="0D0D0D" w:themeColor="text1" w:themeTint="F2"/>
          <w:spacing w:val="-6"/>
          <w:sz w:val="16"/>
          <w:szCs w:val="16"/>
          <w:lang w:val="en-GB"/>
        </w:rPr>
        <w:t>), s</w:t>
      </w:r>
      <w:r>
        <w:rPr>
          <w:color w:val="0D0D0D" w:themeColor="text1" w:themeTint="F2"/>
          <w:spacing w:val="-6"/>
          <w:sz w:val="16"/>
          <w:szCs w:val="16"/>
          <w:lang w:val="en-GB"/>
        </w:rPr>
        <w:t xml:space="preserve">imilarly to Poles </w:t>
      </w:r>
      <w:r w:rsidRPr="00424B72">
        <w:rPr>
          <w:color w:val="0D0D0D" w:themeColor="text1" w:themeTint="F2"/>
          <w:spacing w:val="-6"/>
          <w:sz w:val="16"/>
          <w:szCs w:val="16"/>
          <w:lang w:val="en-GB"/>
        </w:rPr>
        <w:t>(48 t</w:t>
      </w:r>
      <w:r>
        <w:rPr>
          <w:color w:val="0D0D0D" w:themeColor="text1" w:themeTint="F2"/>
          <w:spacing w:val="-6"/>
          <w:sz w:val="16"/>
          <w:szCs w:val="16"/>
          <w:lang w:val="en-GB"/>
        </w:rPr>
        <w:t>housand</w:t>
      </w:r>
      <w:r w:rsidRPr="00424B72">
        <w:rPr>
          <w:color w:val="0D0D0D" w:themeColor="text1" w:themeTint="F2"/>
          <w:spacing w:val="-6"/>
          <w:sz w:val="16"/>
          <w:szCs w:val="16"/>
          <w:lang w:val="en-GB"/>
        </w:rPr>
        <w:t>) a</w:t>
      </w:r>
      <w:r>
        <w:rPr>
          <w:color w:val="0D0D0D" w:themeColor="text1" w:themeTint="F2"/>
          <w:spacing w:val="-6"/>
          <w:sz w:val="16"/>
          <w:szCs w:val="16"/>
          <w:lang w:val="en-GB"/>
        </w:rPr>
        <w:t xml:space="preserve">nd Romanians </w:t>
      </w:r>
      <w:r w:rsidRPr="00424B72">
        <w:rPr>
          <w:color w:val="0D0D0D" w:themeColor="text1" w:themeTint="F2"/>
          <w:spacing w:val="-6"/>
          <w:sz w:val="16"/>
          <w:szCs w:val="16"/>
          <w:lang w:val="en-GB"/>
        </w:rPr>
        <w:t>(47 t</w:t>
      </w:r>
      <w:r>
        <w:rPr>
          <w:color w:val="0D0D0D" w:themeColor="text1" w:themeTint="F2"/>
          <w:spacing w:val="-6"/>
          <w:sz w:val="16"/>
          <w:szCs w:val="16"/>
          <w:lang w:val="en-GB"/>
        </w:rPr>
        <w:t>housand</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Number of Bulgarian or Belarussian employees even slightly decreased </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to </w:t>
      </w:r>
      <w:r w:rsidRPr="00424B72">
        <w:rPr>
          <w:color w:val="0D0D0D" w:themeColor="text1" w:themeTint="F2"/>
          <w:spacing w:val="-6"/>
          <w:sz w:val="16"/>
          <w:szCs w:val="16"/>
          <w:lang w:val="en-GB"/>
        </w:rPr>
        <w:t>37 t</w:t>
      </w:r>
      <w:r>
        <w:rPr>
          <w:color w:val="0D0D0D" w:themeColor="text1" w:themeTint="F2"/>
          <w:spacing w:val="-6"/>
          <w:sz w:val="16"/>
          <w:szCs w:val="16"/>
          <w:lang w:val="en-GB"/>
        </w:rPr>
        <w:t>housand and</w:t>
      </w:r>
      <w:r w:rsidRPr="00424B72">
        <w:rPr>
          <w:color w:val="0D0D0D" w:themeColor="text1" w:themeTint="F2"/>
          <w:spacing w:val="-6"/>
          <w:sz w:val="16"/>
          <w:szCs w:val="16"/>
          <w:lang w:val="en-GB"/>
        </w:rPr>
        <w:t xml:space="preserve"> 6 t</w:t>
      </w:r>
      <w:r>
        <w:rPr>
          <w:color w:val="0D0D0D" w:themeColor="text1" w:themeTint="F2"/>
          <w:spacing w:val="-6"/>
          <w:sz w:val="16"/>
          <w:szCs w:val="16"/>
          <w:lang w:val="en-GB"/>
        </w:rPr>
        <w:t>housand, respectively</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Among more significant groups of foreigners, those from Moldavia </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to </w:t>
      </w:r>
      <w:r w:rsidRPr="00424B72">
        <w:rPr>
          <w:color w:val="0D0D0D" w:themeColor="text1" w:themeTint="F2"/>
          <w:spacing w:val="-6"/>
          <w:sz w:val="16"/>
          <w:szCs w:val="16"/>
          <w:lang w:val="en-GB"/>
        </w:rPr>
        <w:t>6 t</w:t>
      </w:r>
      <w:r>
        <w:rPr>
          <w:color w:val="0D0D0D" w:themeColor="text1" w:themeTint="F2"/>
          <w:spacing w:val="-6"/>
          <w:sz w:val="16"/>
          <w:szCs w:val="16"/>
          <w:lang w:val="en-GB"/>
        </w:rPr>
        <w:t>housand</w:t>
      </w:r>
      <w:r w:rsidRPr="00424B72">
        <w:rPr>
          <w:color w:val="0D0D0D" w:themeColor="text1" w:themeTint="F2"/>
          <w:spacing w:val="-6"/>
          <w:sz w:val="16"/>
          <w:szCs w:val="16"/>
          <w:lang w:val="en-GB"/>
        </w:rPr>
        <w:t>) a</w:t>
      </w:r>
      <w:r>
        <w:rPr>
          <w:color w:val="0D0D0D" w:themeColor="text1" w:themeTint="F2"/>
          <w:spacing w:val="-6"/>
          <w:sz w:val="16"/>
          <w:szCs w:val="16"/>
          <w:lang w:val="en-GB"/>
        </w:rPr>
        <w:t xml:space="preserve">nd Kazakhstan </w:t>
      </w:r>
      <w:r w:rsidRPr="00424B72">
        <w:rPr>
          <w:color w:val="0D0D0D" w:themeColor="text1" w:themeTint="F2"/>
          <w:spacing w:val="-6"/>
          <w:sz w:val="16"/>
          <w:szCs w:val="16"/>
          <w:lang w:val="en-GB"/>
        </w:rPr>
        <w:t>(5 t</w:t>
      </w:r>
      <w:r>
        <w:rPr>
          <w:color w:val="0D0D0D" w:themeColor="text1" w:themeTint="F2"/>
          <w:spacing w:val="-6"/>
          <w:sz w:val="16"/>
          <w:szCs w:val="16"/>
          <w:lang w:val="en-GB"/>
        </w:rPr>
        <w:t>housand</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 strengthened relatively the most</w:t>
      </w:r>
      <w:r w:rsidRPr="00424B72">
        <w:rPr>
          <w:color w:val="0D0D0D" w:themeColor="text1" w:themeTint="F2"/>
          <w:spacing w:val="-6"/>
          <w:sz w:val="16"/>
          <w:szCs w:val="16"/>
          <w:lang w:val="en-GB"/>
        </w:rPr>
        <w:t>. 31%</w:t>
      </w:r>
      <w:r>
        <w:rPr>
          <w:color w:val="0D0D0D" w:themeColor="text1" w:themeTint="F2"/>
          <w:spacing w:val="-6"/>
          <w:sz w:val="16"/>
          <w:szCs w:val="16"/>
          <w:lang w:val="en-GB"/>
        </w:rPr>
        <w:t xml:space="preserve"> of all foreigners in the employee status in the CR were registered in Prague, 17% in the Central Bohemian region. Their numbers increased “only”</w:t>
      </w:r>
      <w:r w:rsidRPr="00424B72">
        <w:rPr>
          <w:color w:val="0D0D0D" w:themeColor="text1" w:themeTint="F2"/>
          <w:spacing w:val="-6"/>
          <w:sz w:val="16"/>
          <w:szCs w:val="16"/>
          <w:lang w:val="en-GB"/>
        </w:rPr>
        <w:t xml:space="preserve"> </w:t>
      </w:r>
      <w:r>
        <w:rPr>
          <w:color w:val="0D0D0D" w:themeColor="text1" w:themeTint="F2"/>
          <w:spacing w:val="-6"/>
          <w:sz w:val="16"/>
          <w:szCs w:val="16"/>
          <w:lang w:val="en-GB"/>
        </w:rPr>
        <w:t xml:space="preserve">by </w:t>
      </w:r>
      <w:r w:rsidRPr="00424B72">
        <w:rPr>
          <w:color w:val="0D0D0D" w:themeColor="text1" w:themeTint="F2"/>
          <w:spacing w:val="-6"/>
          <w:sz w:val="16"/>
          <w:szCs w:val="16"/>
          <w:lang w:val="en-GB"/>
        </w:rPr>
        <w:t>5%</w:t>
      </w:r>
      <w:r>
        <w:rPr>
          <w:color w:val="0D0D0D" w:themeColor="text1" w:themeTint="F2"/>
          <w:spacing w:val="-6"/>
          <w:sz w:val="16"/>
          <w:szCs w:val="16"/>
          <w:lang w:val="en-GB"/>
        </w:rPr>
        <w:t xml:space="preserve"> in these regions so far this year</w:t>
      </w:r>
      <w:r w:rsidRPr="00424B72">
        <w:rPr>
          <w:color w:val="0D0D0D" w:themeColor="text1" w:themeTint="F2"/>
          <w:spacing w:val="-6"/>
          <w:sz w:val="16"/>
          <w:szCs w:val="16"/>
          <w:lang w:val="en-GB"/>
        </w:rPr>
        <w:t>,</w:t>
      </w:r>
      <w:r>
        <w:rPr>
          <w:color w:val="0D0D0D" w:themeColor="text1" w:themeTint="F2"/>
          <w:spacing w:val="-6"/>
          <w:sz w:val="16"/>
          <w:szCs w:val="16"/>
          <w:lang w:val="en-GB"/>
        </w:rPr>
        <w:t xml:space="preserve"> on the contrary by </w:t>
      </w:r>
      <w:r w:rsidRPr="00424B72">
        <w:rPr>
          <w:color w:val="0D0D0D" w:themeColor="text1" w:themeTint="F2"/>
          <w:spacing w:val="-6"/>
          <w:sz w:val="16"/>
          <w:szCs w:val="16"/>
          <w:lang w:val="en-GB"/>
        </w:rPr>
        <w:t>22%</w:t>
      </w:r>
      <w:r>
        <w:rPr>
          <w:color w:val="0D0D0D" w:themeColor="text1" w:themeTint="F2"/>
          <w:spacing w:val="-6"/>
          <w:sz w:val="16"/>
          <w:szCs w:val="16"/>
          <w:lang w:val="en-GB"/>
        </w:rPr>
        <w:t xml:space="preserve"> in the regions of Central Moravia</w:t>
      </w:r>
      <w:r w:rsidRPr="00424B72">
        <w:rPr>
          <w:color w:val="0D0D0D" w:themeColor="text1" w:themeTint="F2"/>
          <w:spacing w:val="-6"/>
          <w:sz w:val="16"/>
          <w:szCs w:val="16"/>
          <w:lang w:val="en-GB"/>
        </w:rPr>
        <w:t xml:space="preserve">. </w:t>
      </w:r>
    </w:p>
  </w:footnote>
  <w:footnote w:id="4">
    <w:p w14:paraId="172C9B49" w14:textId="73266F84" w:rsidR="00073B58" w:rsidRPr="009E74B3" w:rsidRDefault="00073B58" w:rsidP="00E25304">
      <w:pPr>
        <w:pStyle w:val="Textpoznpodarou"/>
        <w:jc w:val="both"/>
        <w:rPr>
          <w:spacing w:val="-4"/>
          <w:sz w:val="16"/>
          <w:szCs w:val="16"/>
          <w:lang w:val="en-GB"/>
        </w:rPr>
      </w:pPr>
      <w:r w:rsidRPr="009E74B3">
        <w:rPr>
          <w:rStyle w:val="Znakapoznpodarou"/>
          <w:spacing w:val="-4"/>
          <w:sz w:val="16"/>
          <w:szCs w:val="16"/>
          <w:lang w:val="en-GB"/>
        </w:rPr>
        <w:footnoteRef/>
      </w:r>
      <w:r w:rsidRPr="009E74B3">
        <w:rPr>
          <w:spacing w:val="-4"/>
          <w:sz w:val="16"/>
          <w:szCs w:val="16"/>
          <w:lang w:val="en-GB"/>
        </w:rPr>
        <w:t xml:space="preserve"> As also evidenced by the number of economically inactive persons stating willingness to work, which did not reach even 60 thousand in Q2. </w:t>
      </w:r>
    </w:p>
  </w:footnote>
  <w:footnote w:id="5">
    <w:p w14:paraId="254DF625" w14:textId="6D0740A6" w:rsidR="00073B58" w:rsidRPr="00E25304" w:rsidRDefault="00073B58" w:rsidP="00E25304">
      <w:pPr>
        <w:spacing w:after="0" w:line="240" w:lineRule="auto"/>
        <w:rPr>
          <w:spacing w:val="-4"/>
          <w:sz w:val="16"/>
          <w:szCs w:val="16"/>
          <w:lang w:val="en-GB"/>
        </w:rPr>
      </w:pPr>
      <w:r w:rsidRPr="00E25304">
        <w:rPr>
          <w:rStyle w:val="Znakapoznpodarou"/>
          <w:sz w:val="16"/>
          <w:szCs w:val="16"/>
          <w:lang w:val="en-GB"/>
        </w:rPr>
        <w:footnoteRef/>
      </w:r>
      <w:r w:rsidRPr="00E25304">
        <w:rPr>
          <w:sz w:val="16"/>
          <w:szCs w:val="16"/>
          <w:lang w:val="en-GB"/>
        </w:rPr>
        <w:t xml:space="preserve"> </w:t>
      </w:r>
      <w:r>
        <w:rPr>
          <w:sz w:val="16"/>
          <w:szCs w:val="16"/>
          <w:lang w:val="en-GB"/>
        </w:rPr>
        <w:t xml:space="preserve">In branch other service activities, which include mainly culture, amusement and recreational activities or personal services mainly for households, the hours worked increased by </w:t>
      </w:r>
      <w:r w:rsidRPr="00E25304">
        <w:rPr>
          <w:spacing w:val="-4"/>
          <w:sz w:val="16"/>
          <w:szCs w:val="16"/>
          <w:lang w:val="en-GB"/>
        </w:rPr>
        <w:t>14</w:t>
      </w:r>
      <w:r>
        <w:rPr>
          <w:spacing w:val="-4"/>
          <w:sz w:val="16"/>
          <w:szCs w:val="16"/>
          <w:lang w:val="en-GB"/>
        </w:rPr>
        <w:t>.</w:t>
      </w:r>
      <w:r w:rsidRPr="00E25304">
        <w:rPr>
          <w:spacing w:val="-4"/>
          <w:sz w:val="16"/>
          <w:szCs w:val="16"/>
          <w:lang w:val="en-GB"/>
        </w:rPr>
        <w:t>5%</w:t>
      </w:r>
      <w:r>
        <w:rPr>
          <w:spacing w:val="-4"/>
          <w:sz w:val="16"/>
          <w:szCs w:val="16"/>
          <w:lang w:val="en-GB"/>
        </w:rPr>
        <w:t xml:space="preserve"> year-on-year in this year</w:t>
      </w:r>
      <w:r>
        <w:rPr>
          <w:spacing w:val="-4"/>
          <w:sz w:val="16"/>
          <w:szCs w:val="16"/>
          <w:lang w:val="en-US"/>
        </w:rPr>
        <w:t>’</w:t>
      </w:r>
      <w:r>
        <w:rPr>
          <w:spacing w:val="-4"/>
          <w:sz w:val="16"/>
          <w:szCs w:val="16"/>
        </w:rPr>
        <w:t>s Q2</w:t>
      </w:r>
      <w:r w:rsidRPr="00E25304">
        <w:rPr>
          <w:spacing w:val="-4"/>
          <w:sz w:val="16"/>
          <w:szCs w:val="16"/>
          <w:lang w:val="en-GB"/>
        </w:rPr>
        <w:t xml:space="preserve">. </w:t>
      </w:r>
      <w:r>
        <w:rPr>
          <w:spacing w:val="-4"/>
          <w:sz w:val="16"/>
          <w:szCs w:val="16"/>
          <w:lang w:val="en-GB"/>
        </w:rPr>
        <w:t xml:space="preserve">It still however fell by nearly one tenth behind the corresponding level from year </w:t>
      </w:r>
      <w:r w:rsidRPr="00E25304">
        <w:rPr>
          <w:spacing w:val="-4"/>
          <w:sz w:val="16"/>
          <w:szCs w:val="16"/>
          <w:lang w:val="en-GB"/>
        </w:rPr>
        <w:t>2019</w:t>
      </w:r>
      <w:r>
        <w:rPr>
          <w:spacing w:val="-4"/>
          <w:sz w:val="16"/>
          <w:szCs w:val="16"/>
          <w:lang w:val="en-GB"/>
        </w:rPr>
        <w:t xml:space="preserve">. </w:t>
      </w:r>
      <w:r w:rsidRPr="00E25304">
        <w:rPr>
          <w:spacing w:val="-4"/>
          <w:sz w:val="16"/>
          <w:szCs w:val="16"/>
          <w:lang w:val="en-GB"/>
        </w:rPr>
        <w:t xml:space="preserve"> </w:t>
      </w:r>
    </w:p>
  </w:footnote>
  <w:footnote w:id="6">
    <w:p w14:paraId="3AE8ACE1" w14:textId="69C5B219" w:rsidR="00073B58" w:rsidRPr="00A433ED" w:rsidRDefault="00073B58" w:rsidP="00A433ED">
      <w:pPr>
        <w:pStyle w:val="Textpoznpodarou"/>
        <w:jc w:val="both"/>
        <w:rPr>
          <w:sz w:val="16"/>
          <w:szCs w:val="16"/>
          <w:lang w:val="en-GB"/>
        </w:rPr>
      </w:pPr>
      <w:r w:rsidRPr="006076B0">
        <w:rPr>
          <w:rStyle w:val="Znakapoznpodarou"/>
          <w:sz w:val="16"/>
          <w:szCs w:val="16"/>
        </w:rPr>
        <w:footnoteRef/>
      </w:r>
      <w:r w:rsidRPr="006076B0">
        <w:rPr>
          <w:sz w:val="16"/>
          <w:szCs w:val="16"/>
        </w:rPr>
        <w:t xml:space="preserve"> </w:t>
      </w:r>
      <w:r w:rsidRPr="00A433ED">
        <w:rPr>
          <w:sz w:val="16"/>
          <w:szCs w:val="16"/>
          <w:lang w:val="en-GB"/>
        </w:rPr>
        <w:t>According to the up-to-date data from Q</w:t>
      </w:r>
      <w:r w:rsidRPr="00A433ED">
        <w:rPr>
          <w:spacing w:val="-4"/>
          <w:sz w:val="16"/>
          <w:szCs w:val="16"/>
          <w:lang w:val="en-GB"/>
        </w:rPr>
        <w:t>1 2022, only the Netherlands (82.</w:t>
      </w:r>
      <w:r>
        <w:rPr>
          <w:spacing w:val="-4"/>
          <w:sz w:val="16"/>
          <w:szCs w:val="16"/>
          <w:lang w:val="en-GB"/>
        </w:rPr>
        <w:t>4</w:t>
      </w:r>
      <w:r w:rsidRPr="00A433ED">
        <w:rPr>
          <w:spacing w:val="-4"/>
          <w:sz w:val="16"/>
          <w:szCs w:val="16"/>
          <w:lang w:val="en-GB"/>
        </w:rPr>
        <w:t xml:space="preserve">), Estonia (82%) and Sweden (80.9%) recorded higher employment rate (of population aged 20 to 64 years) than in the CR (80.8%). </w:t>
      </w:r>
      <w:r>
        <w:rPr>
          <w:spacing w:val="-4"/>
          <w:sz w:val="16"/>
          <w:szCs w:val="16"/>
          <w:lang w:val="en-GB"/>
        </w:rPr>
        <w:t xml:space="preserve">The CR already holds a Union primacy in the employment of males, or rather all persons in the age group </w:t>
      </w:r>
      <w:r w:rsidRPr="00A433ED">
        <w:rPr>
          <w:spacing w:val="-4"/>
          <w:sz w:val="16"/>
          <w:szCs w:val="16"/>
          <w:lang w:val="en-GB"/>
        </w:rPr>
        <w:t xml:space="preserve">45 </w:t>
      </w:r>
      <w:r>
        <w:rPr>
          <w:spacing w:val="-4"/>
          <w:sz w:val="16"/>
          <w:szCs w:val="16"/>
          <w:lang w:val="en-GB"/>
        </w:rPr>
        <w:t xml:space="preserve">to </w:t>
      </w:r>
      <w:r w:rsidRPr="00A433ED">
        <w:rPr>
          <w:spacing w:val="-4"/>
          <w:sz w:val="16"/>
          <w:szCs w:val="16"/>
          <w:lang w:val="en-GB"/>
        </w:rPr>
        <w:t xml:space="preserve">59 </w:t>
      </w:r>
      <w:r>
        <w:rPr>
          <w:spacing w:val="-4"/>
          <w:sz w:val="16"/>
          <w:szCs w:val="16"/>
          <w:lang w:val="en-GB"/>
        </w:rPr>
        <w:t>years</w:t>
      </w:r>
      <w:r w:rsidRPr="00A433ED">
        <w:rPr>
          <w:spacing w:val="-4"/>
          <w:sz w:val="16"/>
          <w:szCs w:val="16"/>
          <w:lang w:val="en-GB"/>
        </w:rPr>
        <w:t>, participa</w:t>
      </w:r>
      <w:r>
        <w:rPr>
          <w:spacing w:val="-4"/>
          <w:sz w:val="16"/>
          <w:szCs w:val="16"/>
          <w:lang w:val="en-GB"/>
        </w:rPr>
        <w:t>tion of females</w:t>
      </w:r>
      <w:r w:rsidRPr="00A433ED">
        <w:rPr>
          <w:spacing w:val="-4"/>
          <w:sz w:val="16"/>
          <w:szCs w:val="16"/>
          <w:lang w:val="en-GB"/>
        </w:rPr>
        <w:t xml:space="preserve"> </w:t>
      </w:r>
      <w:r>
        <w:rPr>
          <w:spacing w:val="-4"/>
          <w:sz w:val="16"/>
          <w:szCs w:val="16"/>
          <w:lang w:val="en-GB"/>
        </w:rPr>
        <w:t xml:space="preserve">and of persons above </w:t>
      </w:r>
      <w:r w:rsidRPr="00A433ED">
        <w:rPr>
          <w:spacing w:val="-4"/>
          <w:sz w:val="16"/>
          <w:szCs w:val="16"/>
          <w:lang w:val="en-GB"/>
        </w:rPr>
        <w:t xml:space="preserve">60 </w:t>
      </w:r>
      <w:r>
        <w:rPr>
          <w:spacing w:val="-4"/>
          <w:sz w:val="16"/>
          <w:szCs w:val="16"/>
          <w:lang w:val="en-GB"/>
        </w:rPr>
        <w:t>years exceeds the EU level only mildly. E</w:t>
      </w:r>
      <w:r w:rsidRPr="00A433ED">
        <w:rPr>
          <w:spacing w:val="-4"/>
          <w:sz w:val="16"/>
          <w:szCs w:val="16"/>
          <w:lang w:val="en-GB"/>
        </w:rPr>
        <w:t>mployment remains below average for young up to 25 years of age and also in the group 30 to 34 years of age (here solely for females). The employment rate for youth stayed still below the level of year 2019 in the CR as opposed to the EU.</w:t>
      </w:r>
    </w:p>
  </w:footnote>
  <w:footnote w:id="7">
    <w:p w14:paraId="0B3CF980" w14:textId="4670005B" w:rsidR="00073B58" w:rsidRPr="00A433ED" w:rsidRDefault="00073B58" w:rsidP="00A433ED">
      <w:pPr>
        <w:pStyle w:val="Textpoznpodarou"/>
        <w:jc w:val="both"/>
        <w:rPr>
          <w:sz w:val="16"/>
          <w:szCs w:val="16"/>
          <w:lang w:val="en-GB"/>
        </w:rPr>
      </w:pPr>
      <w:r w:rsidRPr="00A433ED">
        <w:rPr>
          <w:rStyle w:val="Znakapoznpodarou"/>
          <w:sz w:val="16"/>
          <w:szCs w:val="16"/>
          <w:lang w:val="en-GB"/>
        </w:rPr>
        <w:footnoteRef/>
      </w:r>
      <w:r w:rsidRPr="00A433ED">
        <w:rPr>
          <w:sz w:val="16"/>
          <w:szCs w:val="16"/>
          <w:lang w:val="en-GB"/>
        </w:rPr>
        <w:t xml:space="preserve"> Mainly businesses in textile and clothing industry, metallurgy and rubber industry, petrochemical industry and also in repairs of machinery and equipment anticipated lowering of employment.</w:t>
      </w:r>
    </w:p>
  </w:footnote>
  <w:footnote w:id="8">
    <w:p w14:paraId="3D3C5B19" w14:textId="001D5CC0" w:rsidR="00073B58" w:rsidRPr="00A433ED" w:rsidRDefault="00073B58" w:rsidP="00A433ED">
      <w:pPr>
        <w:pStyle w:val="Textpoznpodarou"/>
        <w:jc w:val="both"/>
        <w:rPr>
          <w:sz w:val="16"/>
          <w:szCs w:val="16"/>
          <w:lang w:val="en-GB"/>
        </w:rPr>
      </w:pPr>
      <w:r w:rsidRPr="00A433ED">
        <w:rPr>
          <w:rStyle w:val="Znakapoznpodarou"/>
          <w:sz w:val="16"/>
          <w:szCs w:val="16"/>
          <w:lang w:val="en-GB"/>
        </w:rPr>
        <w:footnoteRef/>
      </w:r>
      <w:r w:rsidRPr="00A433ED">
        <w:rPr>
          <w:sz w:val="16"/>
          <w:szCs w:val="16"/>
          <w:lang w:val="en-GB"/>
        </w:rPr>
        <w:t xml:space="preserve"> Negative expectations for employment prevailed in the air transportation, postal and courier activities, publishing activities and also in financial activities.  </w:t>
      </w:r>
    </w:p>
  </w:footnote>
  <w:footnote w:id="9">
    <w:p w14:paraId="4F7F9F61" w14:textId="7FED10B3" w:rsidR="00073B58" w:rsidRPr="00A433ED" w:rsidRDefault="00073B58" w:rsidP="00A433ED">
      <w:pPr>
        <w:pStyle w:val="Textpoznpodarou"/>
        <w:jc w:val="both"/>
        <w:rPr>
          <w:spacing w:val="-3"/>
          <w:sz w:val="16"/>
          <w:szCs w:val="16"/>
          <w:lang w:val="en-GB"/>
        </w:rPr>
      </w:pPr>
      <w:r w:rsidRPr="00A433ED">
        <w:rPr>
          <w:rStyle w:val="Znakapoznpodarou"/>
          <w:spacing w:val="-3"/>
          <w:sz w:val="16"/>
          <w:szCs w:val="16"/>
          <w:lang w:val="en-GB"/>
        </w:rPr>
        <w:footnoteRef/>
      </w:r>
      <w:r w:rsidRPr="00A433ED">
        <w:rPr>
          <w:spacing w:val="-3"/>
          <w:sz w:val="16"/>
          <w:szCs w:val="16"/>
          <w:lang w:val="en-GB"/>
        </w:rPr>
        <w:t xml:space="preserve"> Unless stated otherwise, all data regarding the unemployment rates are sourced from the LFSS (based on the ILO methodology) and are adjusted for seasonal effects.</w:t>
      </w:r>
    </w:p>
  </w:footnote>
  <w:footnote w:id="10">
    <w:p w14:paraId="325FD3F6" w14:textId="77777777" w:rsidR="00073B58" w:rsidRPr="00DD68F3" w:rsidRDefault="00073B58" w:rsidP="00DD68F3">
      <w:pPr>
        <w:pStyle w:val="Textpoznpodarou"/>
        <w:jc w:val="both"/>
        <w:rPr>
          <w:sz w:val="16"/>
          <w:szCs w:val="16"/>
          <w:lang w:val="en-GB"/>
        </w:rPr>
      </w:pPr>
      <w:r w:rsidRPr="00DD68F3">
        <w:rPr>
          <w:rStyle w:val="Znakapoznpodarou"/>
          <w:sz w:val="16"/>
          <w:szCs w:val="16"/>
          <w:lang w:val="en-GB"/>
        </w:rPr>
        <w:footnoteRef/>
      </w:r>
      <w:r w:rsidRPr="00DD68F3">
        <w:rPr>
          <w:sz w:val="16"/>
          <w:szCs w:val="16"/>
          <w:lang w:val="en-GB"/>
        </w:rPr>
        <w:t xml:space="preserve"> </w:t>
      </w:r>
      <w:r>
        <w:rPr>
          <w:sz w:val="16"/>
          <w:szCs w:val="16"/>
          <w:lang w:val="en-GB"/>
        </w:rPr>
        <w:t>Significant part of vacancies however cannot be considered active for various reasons.</w:t>
      </w:r>
      <w:r w:rsidRPr="00DD68F3">
        <w:rPr>
          <w:color w:val="0D0D0D" w:themeColor="text1" w:themeTint="F2"/>
          <w:sz w:val="16"/>
          <w:szCs w:val="16"/>
          <w:lang w:val="en-GB"/>
        </w:rPr>
        <w:t xml:space="preserve"> </w:t>
      </w:r>
      <w:r>
        <w:rPr>
          <w:color w:val="0D0D0D" w:themeColor="text1" w:themeTint="F2"/>
          <w:sz w:val="16"/>
          <w:szCs w:val="16"/>
          <w:lang w:val="en-GB"/>
        </w:rPr>
        <w:t xml:space="preserve">It e.g. constitutes positions offered by companies, which terminated their operations, further positions, which are outdated, but were not removed from the offer or positions substantially unattractive </w:t>
      </w:r>
      <w:r w:rsidRPr="00DD68F3">
        <w:rPr>
          <w:sz w:val="16"/>
          <w:szCs w:val="16"/>
          <w:lang w:val="en-GB"/>
        </w:rPr>
        <w:t>(</w:t>
      </w:r>
      <w:r>
        <w:rPr>
          <w:sz w:val="16"/>
          <w:szCs w:val="16"/>
          <w:lang w:val="en-GB"/>
        </w:rPr>
        <w:t>combination of very low earnings and relatively higher demands on the applicant</w:t>
      </w:r>
      <w:r w:rsidRPr="00DD68F3">
        <w:rPr>
          <w:sz w:val="16"/>
          <w:szCs w:val="16"/>
          <w:lang w:val="en-GB"/>
        </w:rPr>
        <w:t xml:space="preserve">) </w:t>
      </w:r>
      <w:r>
        <w:rPr>
          <w:sz w:val="16"/>
          <w:szCs w:val="16"/>
          <w:lang w:val="en-GB"/>
        </w:rPr>
        <w:t xml:space="preserve">remaining vacant for a long time. Only part of the entire offer of job vacancies can thus be considered truly active. Number of positions, which were offered less than half a year, totalled only </w:t>
      </w:r>
      <w:r w:rsidRPr="00DD68F3">
        <w:rPr>
          <w:sz w:val="16"/>
          <w:szCs w:val="16"/>
          <w:lang w:val="en-GB"/>
        </w:rPr>
        <w:t>163 t</w:t>
      </w:r>
      <w:r>
        <w:rPr>
          <w:sz w:val="16"/>
          <w:szCs w:val="16"/>
          <w:lang w:val="en-GB"/>
        </w:rPr>
        <w:t>housand at the end of Q2</w:t>
      </w:r>
      <w:r w:rsidRPr="00DD68F3">
        <w:rPr>
          <w:sz w:val="16"/>
          <w:szCs w:val="16"/>
          <w:lang w:val="en-GB"/>
        </w:rPr>
        <w:t>s.</w:t>
      </w:r>
    </w:p>
  </w:footnote>
  <w:footnote w:id="11">
    <w:p w14:paraId="2153609B" w14:textId="77777777" w:rsidR="00073B58" w:rsidRPr="00850669" w:rsidRDefault="00073B58" w:rsidP="00850669">
      <w:pPr>
        <w:pStyle w:val="Textpoznpodarou"/>
        <w:jc w:val="both"/>
        <w:rPr>
          <w:sz w:val="16"/>
          <w:szCs w:val="16"/>
          <w:lang w:val="en-GB"/>
        </w:rPr>
      </w:pPr>
      <w:r w:rsidRPr="00DD68F3">
        <w:rPr>
          <w:rStyle w:val="Znakapoznpodarou"/>
          <w:sz w:val="16"/>
          <w:szCs w:val="16"/>
          <w:lang w:val="en-GB"/>
        </w:rPr>
        <w:footnoteRef/>
      </w:r>
      <w:r w:rsidRPr="00DD68F3">
        <w:rPr>
          <w:sz w:val="16"/>
          <w:szCs w:val="16"/>
          <w:lang w:val="en-GB"/>
        </w:rPr>
        <w:t xml:space="preserve"> </w:t>
      </w:r>
      <w:r>
        <w:rPr>
          <w:sz w:val="16"/>
          <w:szCs w:val="16"/>
          <w:lang w:val="en-GB"/>
        </w:rPr>
        <w:t xml:space="preserve">More than </w:t>
      </w:r>
      <w:r w:rsidRPr="00850669">
        <w:rPr>
          <w:color w:val="0D0D0D" w:themeColor="text1" w:themeTint="F2"/>
          <w:spacing w:val="-4"/>
          <w:sz w:val="16"/>
          <w:szCs w:val="16"/>
          <w:lang w:val="en-GB"/>
        </w:rPr>
        <w:t>2</w:t>
      </w:r>
      <w:r>
        <w:rPr>
          <w:color w:val="0D0D0D" w:themeColor="text1" w:themeTint="F2"/>
          <w:spacing w:val="-4"/>
          <w:sz w:val="16"/>
          <w:szCs w:val="16"/>
          <w:lang w:val="en-GB"/>
        </w:rPr>
        <w:t>.</w:t>
      </w:r>
      <w:r w:rsidRPr="00850669">
        <w:rPr>
          <w:color w:val="0D0D0D" w:themeColor="text1" w:themeTint="F2"/>
          <w:spacing w:val="-4"/>
          <w:sz w:val="16"/>
          <w:szCs w:val="16"/>
          <w:lang w:val="en-GB"/>
        </w:rPr>
        <w:t>5</w:t>
      </w:r>
      <w:r>
        <w:rPr>
          <w:color w:val="0D0D0D" w:themeColor="text1" w:themeTint="F2"/>
          <w:spacing w:val="-4"/>
          <w:sz w:val="16"/>
          <w:szCs w:val="16"/>
          <w:lang w:val="en-GB"/>
        </w:rPr>
        <w:t xml:space="preserve"> of applicants per job vacancies were accounted only in regions </w:t>
      </w:r>
      <w:r w:rsidRPr="00850669">
        <w:rPr>
          <w:color w:val="0D0D0D" w:themeColor="text1" w:themeTint="F2"/>
          <w:spacing w:val="-4"/>
          <w:sz w:val="16"/>
          <w:szCs w:val="16"/>
          <w:lang w:val="en-GB"/>
        </w:rPr>
        <w:t>Karviná (9</w:t>
      </w:r>
      <w:r>
        <w:rPr>
          <w:color w:val="0D0D0D" w:themeColor="text1" w:themeTint="F2"/>
          <w:spacing w:val="-4"/>
          <w:sz w:val="16"/>
          <w:szCs w:val="16"/>
          <w:lang w:val="en-GB"/>
        </w:rPr>
        <w:t>.</w:t>
      </w:r>
      <w:r w:rsidRPr="00850669">
        <w:rPr>
          <w:color w:val="0D0D0D" w:themeColor="text1" w:themeTint="F2"/>
          <w:spacing w:val="-4"/>
          <w:sz w:val="16"/>
          <w:szCs w:val="16"/>
          <w:lang w:val="en-GB"/>
        </w:rPr>
        <w:t>6), Ústí nad Labem (4</w:t>
      </w:r>
      <w:r>
        <w:rPr>
          <w:color w:val="0D0D0D" w:themeColor="text1" w:themeTint="F2"/>
          <w:spacing w:val="-4"/>
          <w:sz w:val="16"/>
          <w:szCs w:val="16"/>
          <w:lang w:val="en-GB"/>
        </w:rPr>
        <w:t>.</w:t>
      </w:r>
      <w:r w:rsidRPr="00850669">
        <w:rPr>
          <w:color w:val="0D0D0D" w:themeColor="text1" w:themeTint="F2"/>
          <w:spacing w:val="-4"/>
          <w:sz w:val="16"/>
          <w:szCs w:val="16"/>
          <w:lang w:val="en-GB"/>
        </w:rPr>
        <w:t>4), Most (4</w:t>
      </w:r>
      <w:r>
        <w:rPr>
          <w:color w:val="0D0D0D" w:themeColor="text1" w:themeTint="F2"/>
          <w:spacing w:val="-4"/>
          <w:sz w:val="16"/>
          <w:szCs w:val="16"/>
          <w:lang w:val="en-GB"/>
        </w:rPr>
        <w:t>.</w:t>
      </w:r>
      <w:r w:rsidRPr="00850669">
        <w:rPr>
          <w:color w:val="0D0D0D" w:themeColor="text1" w:themeTint="F2"/>
          <w:spacing w:val="-4"/>
          <w:sz w:val="16"/>
          <w:szCs w:val="16"/>
          <w:lang w:val="en-GB"/>
        </w:rPr>
        <w:t>0), Bruntál (3</w:t>
      </w:r>
      <w:r>
        <w:rPr>
          <w:color w:val="0D0D0D" w:themeColor="text1" w:themeTint="F2"/>
          <w:spacing w:val="-4"/>
          <w:sz w:val="16"/>
          <w:szCs w:val="16"/>
          <w:lang w:val="en-GB"/>
        </w:rPr>
        <w:t>.</w:t>
      </w:r>
      <w:r w:rsidRPr="00850669">
        <w:rPr>
          <w:color w:val="0D0D0D" w:themeColor="text1" w:themeTint="F2"/>
          <w:spacing w:val="-4"/>
          <w:sz w:val="16"/>
          <w:szCs w:val="16"/>
          <w:lang w:val="en-GB"/>
        </w:rPr>
        <w:t>8), Děčín (2</w:t>
      </w:r>
      <w:r>
        <w:rPr>
          <w:color w:val="0D0D0D" w:themeColor="text1" w:themeTint="F2"/>
          <w:spacing w:val="-4"/>
          <w:sz w:val="16"/>
          <w:szCs w:val="16"/>
          <w:lang w:val="en-GB"/>
        </w:rPr>
        <w:t>.</w:t>
      </w:r>
      <w:r w:rsidRPr="00850669">
        <w:rPr>
          <w:color w:val="0D0D0D" w:themeColor="text1" w:themeTint="F2"/>
          <w:spacing w:val="-4"/>
          <w:sz w:val="16"/>
          <w:szCs w:val="16"/>
          <w:lang w:val="en-GB"/>
        </w:rPr>
        <w:t>8), Sokolov (2</w:t>
      </w:r>
      <w:r>
        <w:rPr>
          <w:color w:val="0D0D0D" w:themeColor="text1" w:themeTint="F2"/>
          <w:spacing w:val="-4"/>
          <w:sz w:val="16"/>
          <w:szCs w:val="16"/>
          <w:lang w:val="en-GB"/>
        </w:rPr>
        <w:t>.</w:t>
      </w:r>
      <w:r w:rsidRPr="00850669">
        <w:rPr>
          <w:color w:val="0D0D0D" w:themeColor="text1" w:themeTint="F2"/>
          <w:spacing w:val="-4"/>
          <w:sz w:val="16"/>
          <w:szCs w:val="16"/>
          <w:lang w:val="en-GB"/>
        </w:rPr>
        <w:t>7) a</w:t>
      </w:r>
      <w:r>
        <w:rPr>
          <w:color w:val="0D0D0D" w:themeColor="text1" w:themeTint="F2"/>
          <w:spacing w:val="-4"/>
          <w:sz w:val="16"/>
          <w:szCs w:val="16"/>
          <w:lang w:val="en-GB"/>
        </w:rPr>
        <w:t>nd</w:t>
      </w:r>
      <w:r w:rsidRPr="00850669">
        <w:rPr>
          <w:color w:val="0D0D0D" w:themeColor="text1" w:themeTint="F2"/>
          <w:spacing w:val="-4"/>
          <w:sz w:val="16"/>
          <w:szCs w:val="16"/>
          <w:lang w:val="en-GB"/>
        </w:rPr>
        <w:t xml:space="preserve"> Opava (2</w:t>
      </w:r>
      <w:r>
        <w:rPr>
          <w:color w:val="0D0D0D" w:themeColor="text1" w:themeTint="F2"/>
          <w:spacing w:val="-4"/>
          <w:sz w:val="16"/>
          <w:szCs w:val="16"/>
          <w:lang w:val="en-GB"/>
        </w:rPr>
        <w:t>.</w:t>
      </w:r>
      <w:r w:rsidRPr="00850669">
        <w:rPr>
          <w:color w:val="0D0D0D" w:themeColor="text1" w:themeTint="F2"/>
          <w:spacing w:val="-4"/>
          <w:sz w:val="16"/>
          <w:szCs w:val="16"/>
          <w:lang w:val="en-GB"/>
        </w:rPr>
        <w:t xml:space="preserve">6). </w:t>
      </w:r>
      <w:r>
        <w:rPr>
          <w:color w:val="0D0D0D" w:themeColor="text1" w:themeTint="F2"/>
          <w:spacing w:val="-4"/>
          <w:sz w:val="16"/>
          <w:szCs w:val="16"/>
          <w:lang w:val="en-GB"/>
        </w:rPr>
        <w:t xml:space="preserve">The whole Moravia-Silesian region </w:t>
      </w:r>
      <w:r w:rsidRPr="00850669">
        <w:rPr>
          <w:color w:val="0D0D0D" w:themeColor="text1" w:themeTint="F2"/>
          <w:spacing w:val="-4"/>
          <w:sz w:val="16"/>
          <w:szCs w:val="16"/>
          <w:lang w:val="en-GB"/>
        </w:rPr>
        <w:t>(2</w:t>
      </w:r>
      <w:r>
        <w:rPr>
          <w:color w:val="0D0D0D" w:themeColor="text1" w:themeTint="F2"/>
          <w:spacing w:val="-4"/>
          <w:sz w:val="16"/>
          <w:szCs w:val="16"/>
          <w:lang w:val="en-GB"/>
        </w:rPr>
        <w:t>.</w:t>
      </w:r>
      <w:r w:rsidRPr="00850669">
        <w:rPr>
          <w:color w:val="0D0D0D" w:themeColor="text1" w:themeTint="F2"/>
          <w:spacing w:val="-4"/>
          <w:sz w:val="16"/>
          <w:szCs w:val="16"/>
          <w:lang w:val="en-GB"/>
        </w:rPr>
        <w:t>8)</w:t>
      </w:r>
      <w:r>
        <w:rPr>
          <w:color w:val="0D0D0D" w:themeColor="text1" w:themeTint="F2"/>
          <w:spacing w:val="-4"/>
          <w:sz w:val="16"/>
          <w:szCs w:val="16"/>
          <w:lang w:val="en-GB"/>
        </w:rPr>
        <w:t xml:space="preserve"> featured similar numbers</w:t>
      </w:r>
      <w:r w:rsidRPr="00850669">
        <w:rPr>
          <w:color w:val="0D0D0D" w:themeColor="text1" w:themeTint="F2"/>
          <w:spacing w:val="-4"/>
          <w:sz w:val="16"/>
          <w:szCs w:val="16"/>
          <w:lang w:val="en-GB"/>
        </w:rPr>
        <w:t>.</w:t>
      </w:r>
    </w:p>
  </w:footnote>
  <w:footnote w:id="12">
    <w:p w14:paraId="1E642C2C" w14:textId="63B1974A" w:rsidR="00073B58" w:rsidRPr="00850669" w:rsidRDefault="00073B58" w:rsidP="00850669">
      <w:pPr>
        <w:pStyle w:val="Textpoznpodarou"/>
        <w:jc w:val="both"/>
        <w:rPr>
          <w:sz w:val="16"/>
          <w:szCs w:val="16"/>
          <w:lang w:val="en-GB"/>
        </w:rPr>
      </w:pPr>
      <w:r w:rsidRPr="00850669">
        <w:rPr>
          <w:rStyle w:val="Znakapoznpodarou"/>
          <w:sz w:val="16"/>
          <w:szCs w:val="16"/>
          <w:lang w:val="en-GB"/>
        </w:rPr>
        <w:footnoteRef/>
      </w:r>
      <w:r w:rsidRPr="00850669">
        <w:rPr>
          <w:sz w:val="16"/>
          <w:szCs w:val="16"/>
          <w:lang w:val="en-GB"/>
        </w:rPr>
        <w:t xml:space="preserve"> </w:t>
      </w:r>
      <w:r>
        <w:rPr>
          <w:sz w:val="16"/>
          <w:szCs w:val="16"/>
          <w:lang w:val="en-GB"/>
        </w:rPr>
        <w:t>The gross disposable income of households lowered by 2% in real expression year-on-year in Q</w:t>
      </w:r>
      <w:r w:rsidRPr="00850669">
        <w:rPr>
          <w:sz w:val="16"/>
          <w:szCs w:val="16"/>
          <w:lang w:val="en-GB"/>
        </w:rPr>
        <w:t>1</w:t>
      </w:r>
      <w:r>
        <w:rPr>
          <w:sz w:val="16"/>
          <w:szCs w:val="16"/>
          <w:lang w:val="en-GB"/>
        </w:rPr>
        <w:t xml:space="preserve"> </w:t>
      </w:r>
      <w:r w:rsidRPr="00850669">
        <w:rPr>
          <w:sz w:val="16"/>
          <w:szCs w:val="16"/>
          <w:lang w:val="en-GB"/>
        </w:rPr>
        <w:t xml:space="preserve">2022. </w:t>
      </w:r>
      <w:r>
        <w:rPr>
          <w:sz w:val="16"/>
          <w:szCs w:val="16"/>
          <w:lang w:val="en-GB"/>
        </w:rPr>
        <w:t xml:space="preserve">It at the same time takes into account apart from wages and salaries also other factors </w:t>
      </w:r>
      <w:r w:rsidRPr="00850669">
        <w:rPr>
          <w:spacing w:val="-4"/>
          <w:sz w:val="16"/>
          <w:szCs w:val="16"/>
          <w:lang w:val="en-GB"/>
        </w:rPr>
        <w:t>(</w:t>
      </w:r>
      <w:r>
        <w:rPr>
          <w:spacing w:val="-4"/>
          <w:sz w:val="16"/>
          <w:szCs w:val="16"/>
          <w:lang w:val="en-GB"/>
        </w:rPr>
        <w:t>grey economy, possible increase of economic activity of population, e.g. in the form of second employments, work agreements, further also income flowing from running a business or ownership of capital and also social transfers from state including the retirement pensions</w:t>
      </w:r>
      <w:r w:rsidRPr="00850669">
        <w:rPr>
          <w:spacing w:val="-4"/>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5496D026" w:rsidR="00073B58" w:rsidRPr="00D060D1" w:rsidRDefault="00073B58" w:rsidP="00937AE2">
    <w:pPr>
      <w:pStyle w:val="Zhlav"/>
      <w:rPr>
        <w:lang w:val="en-GB"/>
      </w:rPr>
    </w:pPr>
    <w:r w:rsidRPr="00D060D1">
      <w:rPr>
        <w:lang w:val="en-GB"/>
      </w:rPr>
      <w:t>The Czech Economy Development</w:t>
    </w:r>
  </w:p>
  <w:p w14:paraId="3E881AB3" w14:textId="77777777" w:rsidR="00073B58" w:rsidRPr="006F5416" w:rsidRDefault="00073B58"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0E20256D" w:rsidR="00073B58" w:rsidRPr="00D060D1" w:rsidRDefault="00073B58" w:rsidP="00937AE2">
    <w:pPr>
      <w:pStyle w:val="Zhlav"/>
      <w:rPr>
        <w:lang w:val="en-GB"/>
      </w:rPr>
    </w:pPr>
    <w:r w:rsidRPr="00D060D1">
      <w:rPr>
        <w:lang w:val="en-GB"/>
      </w:rPr>
      <w:t>The Czech Economy Development</w:t>
    </w:r>
  </w:p>
  <w:p w14:paraId="57266714" w14:textId="77777777" w:rsidR="00073B58" w:rsidRPr="006F5416" w:rsidRDefault="00073B58"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2A2B"/>
    <w:rsid w:val="0000370A"/>
    <w:rsid w:val="00003849"/>
    <w:rsid w:val="00003D02"/>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68D"/>
    <w:rsid w:val="00010702"/>
    <w:rsid w:val="00010A2C"/>
    <w:rsid w:val="0001128E"/>
    <w:rsid w:val="00011912"/>
    <w:rsid w:val="0001193B"/>
    <w:rsid w:val="00011E90"/>
    <w:rsid w:val="000129B7"/>
    <w:rsid w:val="0001387D"/>
    <w:rsid w:val="00014CE1"/>
    <w:rsid w:val="00014ED0"/>
    <w:rsid w:val="0001641E"/>
    <w:rsid w:val="00016420"/>
    <w:rsid w:val="00016BDB"/>
    <w:rsid w:val="00017B01"/>
    <w:rsid w:val="000200BE"/>
    <w:rsid w:val="000204E5"/>
    <w:rsid w:val="000205D1"/>
    <w:rsid w:val="00020F22"/>
    <w:rsid w:val="0002195D"/>
    <w:rsid w:val="00021F9B"/>
    <w:rsid w:val="000228AE"/>
    <w:rsid w:val="000230CC"/>
    <w:rsid w:val="000233D1"/>
    <w:rsid w:val="000234D6"/>
    <w:rsid w:val="00023D29"/>
    <w:rsid w:val="00024280"/>
    <w:rsid w:val="00024348"/>
    <w:rsid w:val="000243D4"/>
    <w:rsid w:val="00024449"/>
    <w:rsid w:val="00026109"/>
    <w:rsid w:val="0002622B"/>
    <w:rsid w:val="00026389"/>
    <w:rsid w:val="0002669F"/>
    <w:rsid w:val="000279E5"/>
    <w:rsid w:val="000305E0"/>
    <w:rsid w:val="00031AE0"/>
    <w:rsid w:val="00031BB2"/>
    <w:rsid w:val="000322EF"/>
    <w:rsid w:val="00032AE0"/>
    <w:rsid w:val="00033FCD"/>
    <w:rsid w:val="00034776"/>
    <w:rsid w:val="000348AF"/>
    <w:rsid w:val="00034B70"/>
    <w:rsid w:val="00034DF7"/>
    <w:rsid w:val="00034E68"/>
    <w:rsid w:val="000350C8"/>
    <w:rsid w:val="00036195"/>
    <w:rsid w:val="000374B2"/>
    <w:rsid w:val="000376C0"/>
    <w:rsid w:val="000403A7"/>
    <w:rsid w:val="00040632"/>
    <w:rsid w:val="00040A64"/>
    <w:rsid w:val="00041AFC"/>
    <w:rsid w:val="00041CEC"/>
    <w:rsid w:val="00041D02"/>
    <w:rsid w:val="00042596"/>
    <w:rsid w:val="00042A4A"/>
    <w:rsid w:val="00043A33"/>
    <w:rsid w:val="00044183"/>
    <w:rsid w:val="0004431D"/>
    <w:rsid w:val="00044AAC"/>
    <w:rsid w:val="00045426"/>
    <w:rsid w:val="0004694F"/>
    <w:rsid w:val="00046F2F"/>
    <w:rsid w:val="00047AD4"/>
    <w:rsid w:val="00047D54"/>
    <w:rsid w:val="00047EC5"/>
    <w:rsid w:val="0005054A"/>
    <w:rsid w:val="00050A87"/>
    <w:rsid w:val="00051506"/>
    <w:rsid w:val="00051A2E"/>
    <w:rsid w:val="000522E4"/>
    <w:rsid w:val="0005312A"/>
    <w:rsid w:val="00053713"/>
    <w:rsid w:val="0005434E"/>
    <w:rsid w:val="00054C5F"/>
    <w:rsid w:val="00055CB6"/>
    <w:rsid w:val="0005621E"/>
    <w:rsid w:val="00056628"/>
    <w:rsid w:val="000572DD"/>
    <w:rsid w:val="00057B1E"/>
    <w:rsid w:val="0006033F"/>
    <w:rsid w:val="000603ED"/>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65"/>
    <w:rsid w:val="000663F0"/>
    <w:rsid w:val="00066558"/>
    <w:rsid w:val="000671DB"/>
    <w:rsid w:val="00067982"/>
    <w:rsid w:val="0007053D"/>
    <w:rsid w:val="00070A87"/>
    <w:rsid w:val="000712B3"/>
    <w:rsid w:val="00071A7C"/>
    <w:rsid w:val="00071E38"/>
    <w:rsid w:val="00071E60"/>
    <w:rsid w:val="00072FF5"/>
    <w:rsid w:val="00073A5A"/>
    <w:rsid w:val="00073B58"/>
    <w:rsid w:val="000746AF"/>
    <w:rsid w:val="0007474E"/>
    <w:rsid w:val="00074988"/>
    <w:rsid w:val="0007512B"/>
    <w:rsid w:val="00075551"/>
    <w:rsid w:val="000767F5"/>
    <w:rsid w:val="00076CCB"/>
    <w:rsid w:val="00076D90"/>
    <w:rsid w:val="00077FF0"/>
    <w:rsid w:val="00081A55"/>
    <w:rsid w:val="0008263E"/>
    <w:rsid w:val="00082C19"/>
    <w:rsid w:val="00082F89"/>
    <w:rsid w:val="00083457"/>
    <w:rsid w:val="000837CD"/>
    <w:rsid w:val="00083B7F"/>
    <w:rsid w:val="00084BFF"/>
    <w:rsid w:val="00085395"/>
    <w:rsid w:val="000863DC"/>
    <w:rsid w:val="00086896"/>
    <w:rsid w:val="00086AC1"/>
    <w:rsid w:val="00086D19"/>
    <w:rsid w:val="0008729C"/>
    <w:rsid w:val="00087634"/>
    <w:rsid w:val="00087F2B"/>
    <w:rsid w:val="00090694"/>
    <w:rsid w:val="00090EE2"/>
    <w:rsid w:val="00090FC6"/>
    <w:rsid w:val="000913B1"/>
    <w:rsid w:val="0009190F"/>
    <w:rsid w:val="0009290F"/>
    <w:rsid w:val="00093241"/>
    <w:rsid w:val="00093868"/>
    <w:rsid w:val="000940BC"/>
    <w:rsid w:val="00094A84"/>
    <w:rsid w:val="00095025"/>
    <w:rsid w:val="00095135"/>
    <w:rsid w:val="0009626E"/>
    <w:rsid w:val="0009644D"/>
    <w:rsid w:val="00097191"/>
    <w:rsid w:val="000974D1"/>
    <w:rsid w:val="00097784"/>
    <w:rsid w:val="0009799E"/>
    <w:rsid w:val="00097E48"/>
    <w:rsid w:val="000A07CB"/>
    <w:rsid w:val="000A0BC0"/>
    <w:rsid w:val="000A1183"/>
    <w:rsid w:val="000A12ED"/>
    <w:rsid w:val="000A17BB"/>
    <w:rsid w:val="000A1D49"/>
    <w:rsid w:val="000A212B"/>
    <w:rsid w:val="000A242D"/>
    <w:rsid w:val="000A256D"/>
    <w:rsid w:val="000A2643"/>
    <w:rsid w:val="000A2E5F"/>
    <w:rsid w:val="000A3A2C"/>
    <w:rsid w:val="000A3D9E"/>
    <w:rsid w:val="000A4A54"/>
    <w:rsid w:val="000A4ED9"/>
    <w:rsid w:val="000A50C7"/>
    <w:rsid w:val="000A5DB7"/>
    <w:rsid w:val="000A6597"/>
    <w:rsid w:val="000A6753"/>
    <w:rsid w:val="000A6D94"/>
    <w:rsid w:val="000A7377"/>
    <w:rsid w:val="000A74A4"/>
    <w:rsid w:val="000A775A"/>
    <w:rsid w:val="000A7D63"/>
    <w:rsid w:val="000A7FF4"/>
    <w:rsid w:val="000B03CC"/>
    <w:rsid w:val="000B0842"/>
    <w:rsid w:val="000B2B79"/>
    <w:rsid w:val="000B4212"/>
    <w:rsid w:val="000B54B5"/>
    <w:rsid w:val="000B67B7"/>
    <w:rsid w:val="000B6A0A"/>
    <w:rsid w:val="000C0127"/>
    <w:rsid w:val="000C0CA6"/>
    <w:rsid w:val="000C0EA8"/>
    <w:rsid w:val="000C0EB2"/>
    <w:rsid w:val="000C13A2"/>
    <w:rsid w:val="000C21E7"/>
    <w:rsid w:val="000C23EC"/>
    <w:rsid w:val="000C26A2"/>
    <w:rsid w:val="000C290E"/>
    <w:rsid w:val="000C30C3"/>
    <w:rsid w:val="000C3408"/>
    <w:rsid w:val="000C35AB"/>
    <w:rsid w:val="000C3F7B"/>
    <w:rsid w:val="000C45A5"/>
    <w:rsid w:val="000C4769"/>
    <w:rsid w:val="000C4D56"/>
    <w:rsid w:val="000C5DFA"/>
    <w:rsid w:val="000C62C0"/>
    <w:rsid w:val="000C6306"/>
    <w:rsid w:val="000C6AFD"/>
    <w:rsid w:val="000C6C90"/>
    <w:rsid w:val="000C72B7"/>
    <w:rsid w:val="000C7A79"/>
    <w:rsid w:val="000D0A26"/>
    <w:rsid w:val="000D13CB"/>
    <w:rsid w:val="000D1ECA"/>
    <w:rsid w:val="000D2196"/>
    <w:rsid w:val="000D246F"/>
    <w:rsid w:val="000D27C9"/>
    <w:rsid w:val="000D2C2E"/>
    <w:rsid w:val="000D2F9F"/>
    <w:rsid w:val="000D3058"/>
    <w:rsid w:val="000D310A"/>
    <w:rsid w:val="000D3EF4"/>
    <w:rsid w:val="000D4761"/>
    <w:rsid w:val="000D4DC0"/>
    <w:rsid w:val="000D55BA"/>
    <w:rsid w:val="000D5637"/>
    <w:rsid w:val="000D5A03"/>
    <w:rsid w:val="000D5BED"/>
    <w:rsid w:val="000D5ED3"/>
    <w:rsid w:val="000D616C"/>
    <w:rsid w:val="000D6AD9"/>
    <w:rsid w:val="000D6F4E"/>
    <w:rsid w:val="000D6FDA"/>
    <w:rsid w:val="000D73BB"/>
    <w:rsid w:val="000E0820"/>
    <w:rsid w:val="000E0E96"/>
    <w:rsid w:val="000E298B"/>
    <w:rsid w:val="000E2C7D"/>
    <w:rsid w:val="000E3E56"/>
    <w:rsid w:val="000E440D"/>
    <w:rsid w:val="000E4AC5"/>
    <w:rsid w:val="000E6253"/>
    <w:rsid w:val="000E6A04"/>
    <w:rsid w:val="000E6AC4"/>
    <w:rsid w:val="000E6E4D"/>
    <w:rsid w:val="000E6FBD"/>
    <w:rsid w:val="000E6FCB"/>
    <w:rsid w:val="000F090B"/>
    <w:rsid w:val="000F15F7"/>
    <w:rsid w:val="000F1AA2"/>
    <w:rsid w:val="000F378E"/>
    <w:rsid w:val="000F3F3B"/>
    <w:rsid w:val="000F4721"/>
    <w:rsid w:val="000F47E8"/>
    <w:rsid w:val="000F5C59"/>
    <w:rsid w:val="000F629E"/>
    <w:rsid w:val="000F70E4"/>
    <w:rsid w:val="000F76EA"/>
    <w:rsid w:val="001002DE"/>
    <w:rsid w:val="001006AB"/>
    <w:rsid w:val="00100A8B"/>
    <w:rsid w:val="00100F5C"/>
    <w:rsid w:val="001014D9"/>
    <w:rsid w:val="00101B15"/>
    <w:rsid w:val="00101CDA"/>
    <w:rsid w:val="00102037"/>
    <w:rsid w:val="00103DCB"/>
    <w:rsid w:val="001041F2"/>
    <w:rsid w:val="00104C4C"/>
    <w:rsid w:val="00105015"/>
    <w:rsid w:val="001055D2"/>
    <w:rsid w:val="001057C2"/>
    <w:rsid w:val="00105B09"/>
    <w:rsid w:val="0010707E"/>
    <w:rsid w:val="00107124"/>
    <w:rsid w:val="0011038E"/>
    <w:rsid w:val="00111573"/>
    <w:rsid w:val="00111E98"/>
    <w:rsid w:val="001125EF"/>
    <w:rsid w:val="00112CAB"/>
    <w:rsid w:val="0011440C"/>
    <w:rsid w:val="00114C33"/>
    <w:rsid w:val="00116D3F"/>
    <w:rsid w:val="00117474"/>
    <w:rsid w:val="00117623"/>
    <w:rsid w:val="00117642"/>
    <w:rsid w:val="00117FEA"/>
    <w:rsid w:val="001200CF"/>
    <w:rsid w:val="001208E3"/>
    <w:rsid w:val="00120F97"/>
    <w:rsid w:val="00121609"/>
    <w:rsid w:val="0012192F"/>
    <w:rsid w:val="00122994"/>
    <w:rsid w:val="00123204"/>
    <w:rsid w:val="00124B46"/>
    <w:rsid w:val="001257BE"/>
    <w:rsid w:val="001257E0"/>
    <w:rsid w:val="00125D69"/>
    <w:rsid w:val="00126538"/>
    <w:rsid w:val="00126A48"/>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5DA"/>
    <w:rsid w:val="001459BC"/>
    <w:rsid w:val="00145D5C"/>
    <w:rsid w:val="00146310"/>
    <w:rsid w:val="001502B9"/>
    <w:rsid w:val="00150ECA"/>
    <w:rsid w:val="00150FA4"/>
    <w:rsid w:val="00151707"/>
    <w:rsid w:val="00152C86"/>
    <w:rsid w:val="00152F4F"/>
    <w:rsid w:val="00153264"/>
    <w:rsid w:val="0015329F"/>
    <w:rsid w:val="00153378"/>
    <w:rsid w:val="00153D54"/>
    <w:rsid w:val="001544A1"/>
    <w:rsid w:val="001553B8"/>
    <w:rsid w:val="001554C2"/>
    <w:rsid w:val="00156D04"/>
    <w:rsid w:val="001571C0"/>
    <w:rsid w:val="0015753D"/>
    <w:rsid w:val="00157984"/>
    <w:rsid w:val="00157CC9"/>
    <w:rsid w:val="00160C21"/>
    <w:rsid w:val="001612F4"/>
    <w:rsid w:val="00161553"/>
    <w:rsid w:val="0016206D"/>
    <w:rsid w:val="0016216F"/>
    <w:rsid w:val="0016256B"/>
    <w:rsid w:val="00162C26"/>
    <w:rsid w:val="00162F81"/>
    <w:rsid w:val="00163793"/>
    <w:rsid w:val="00164CA1"/>
    <w:rsid w:val="00165313"/>
    <w:rsid w:val="001665AB"/>
    <w:rsid w:val="0016692D"/>
    <w:rsid w:val="00167485"/>
    <w:rsid w:val="001679F5"/>
    <w:rsid w:val="00167B92"/>
    <w:rsid w:val="00167CB9"/>
    <w:rsid w:val="00167DD8"/>
    <w:rsid w:val="001705AD"/>
    <w:rsid w:val="001706D6"/>
    <w:rsid w:val="001714F2"/>
    <w:rsid w:val="00171BA9"/>
    <w:rsid w:val="00171E8E"/>
    <w:rsid w:val="00171FEA"/>
    <w:rsid w:val="00173622"/>
    <w:rsid w:val="001738A5"/>
    <w:rsid w:val="00173CB7"/>
    <w:rsid w:val="001742E7"/>
    <w:rsid w:val="00174501"/>
    <w:rsid w:val="00174965"/>
    <w:rsid w:val="00175B9F"/>
    <w:rsid w:val="00176217"/>
    <w:rsid w:val="001762F4"/>
    <w:rsid w:val="001777BA"/>
    <w:rsid w:val="00181029"/>
    <w:rsid w:val="00181BBC"/>
    <w:rsid w:val="00181E9D"/>
    <w:rsid w:val="00182D3C"/>
    <w:rsid w:val="0018385F"/>
    <w:rsid w:val="00183931"/>
    <w:rsid w:val="00183BCF"/>
    <w:rsid w:val="00184017"/>
    <w:rsid w:val="0018477D"/>
    <w:rsid w:val="001847BB"/>
    <w:rsid w:val="00184B08"/>
    <w:rsid w:val="00185010"/>
    <w:rsid w:val="001854F2"/>
    <w:rsid w:val="00185C22"/>
    <w:rsid w:val="00186BA9"/>
    <w:rsid w:val="00187D50"/>
    <w:rsid w:val="00190796"/>
    <w:rsid w:val="00190B4D"/>
    <w:rsid w:val="00191298"/>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DBF"/>
    <w:rsid w:val="001A1F68"/>
    <w:rsid w:val="001A21FA"/>
    <w:rsid w:val="001A4D7C"/>
    <w:rsid w:val="001A4DC3"/>
    <w:rsid w:val="001A4EF0"/>
    <w:rsid w:val="001A552F"/>
    <w:rsid w:val="001A6015"/>
    <w:rsid w:val="001A70B1"/>
    <w:rsid w:val="001A7672"/>
    <w:rsid w:val="001B01CB"/>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44E"/>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081"/>
    <w:rsid w:val="001C544D"/>
    <w:rsid w:val="001C5A8A"/>
    <w:rsid w:val="001C5C63"/>
    <w:rsid w:val="001C5E46"/>
    <w:rsid w:val="001C69CE"/>
    <w:rsid w:val="001C6B3B"/>
    <w:rsid w:val="001C7051"/>
    <w:rsid w:val="001C7A26"/>
    <w:rsid w:val="001C7E3F"/>
    <w:rsid w:val="001D0EF1"/>
    <w:rsid w:val="001D1A44"/>
    <w:rsid w:val="001D2029"/>
    <w:rsid w:val="001D22C2"/>
    <w:rsid w:val="001D2C99"/>
    <w:rsid w:val="001D3852"/>
    <w:rsid w:val="001D3B75"/>
    <w:rsid w:val="001D452E"/>
    <w:rsid w:val="001D4E19"/>
    <w:rsid w:val="001D54C1"/>
    <w:rsid w:val="001D556E"/>
    <w:rsid w:val="001D5DF2"/>
    <w:rsid w:val="001D6175"/>
    <w:rsid w:val="001D68B2"/>
    <w:rsid w:val="001D7EFD"/>
    <w:rsid w:val="001D7F60"/>
    <w:rsid w:val="001E085B"/>
    <w:rsid w:val="001E111C"/>
    <w:rsid w:val="001E149B"/>
    <w:rsid w:val="001E15CB"/>
    <w:rsid w:val="001E3227"/>
    <w:rsid w:val="001E3306"/>
    <w:rsid w:val="001E4452"/>
    <w:rsid w:val="001E504C"/>
    <w:rsid w:val="001E56AC"/>
    <w:rsid w:val="001E5A17"/>
    <w:rsid w:val="001E74C5"/>
    <w:rsid w:val="001F1236"/>
    <w:rsid w:val="001F1CAE"/>
    <w:rsid w:val="001F2F90"/>
    <w:rsid w:val="001F406B"/>
    <w:rsid w:val="001F4597"/>
    <w:rsid w:val="001F4826"/>
    <w:rsid w:val="001F4933"/>
    <w:rsid w:val="001F59C8"/>
    <w:rsid w:val="001F6CD3"/>
    <w:rsid w:val="001F75DA"/>
    <w:rsid w:val="001F7931"/>
    <w:rsid w:val="001F7CE0"/>
    <w:rsid w:val="00200085"/>
    <w:rsid w:val="00201633"/>
    <w:rsid w:val="00203332"/>
    <w:rsid w:val="00203CD5"/>
    <w:rsid w:val="00203D8F"/>
    <w:rsid w:val="00203DA4"/>
    <w:rsid w:val="00204EA6"/>
    <w:rsid w:val="00205186"/>
    <w:rsid w:val="0020549F"/>
    <w:rsid w:val="00206516"/>
    <w:rsid w:val="00206CF4"/>
    <w:rsid w:val="002070CF"/>
    <w:rsid w:val="002071D5"/>
    <w:rsid w:val="00210941"/>
    <w:rsid w:val="002111E5"/>
    <w:rsid w:val="0021149E"/>
    <w:rsid w:val="002118B9"/>
    <w:rsid w:val="00211E4A"/>
    <w:rsid w:val="00213691"/>
    <w:rsid w:val="002142C0"/>
    <w:rsid w:val="002151B4"/>
    <w:rsid w:val="00217BED"/>
    <w:rsid w:val="00217C5B"/>
    <w:rsid w:val="002208C9"/>
    <w:rsid w:val="00220A43"/>
    <w:rsid w:val="0022139E"/>
    <w:rsid w:val="00222729"/>
    <w:rsid w:val="0022287B"/>
    <w:rsid w:val="002228DB"/>
    <w:rsid w:val="00223185"/>
    <w:rsid w:val="00223264"/>
    <w:rsid w:val="002233D6"/>
    <w:rsid w:val="002235EA"/>
    <w:rsid w:val="002243FB"/>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8C7"/>
    <w:rsid w:val="00244A15"/>
    <w:rsid w:val="002452D9"/>
    <w:rsid w:val="00246649"/>
    <w:rsid w:val="00247319"/>
    <w:rsid w:val="002474FE"/>
    <w:rsid w:val="0024799E"/>
    <w:rsid w:val="00247E60"/>
    <w:rsid w:val="00251496"/>
    <w:rsid w:val="00251B08"/>
    <w:rsid w:val="00251C53"/>
    <w:rsid w:val="00251F7A"/>
    <w:rsid w:val="00252AB9"/>
    <w:rsid w:val="002532B1"/>
    <w:rsid w:val="00253C0F"/>
    <w:rsid w:val="00253ED9"/>
    <w:rsid w:val="002558C1"/>
    <w:rsid w:val="00256207"/>
    <w:rsid w:val="002575F3"/>
    <w:rsid w:val="002603E1"/>
    <w:rsid w:val="002605FE"/>
    <w:rsid w:val="0026120E"/>
    <w:rsid w:val="002617EE"/>
    <w:rsid w:val="0026183A"/>
    <w:rsid w:val="00261C26"/>
    <w:rsid w:val="00262582"/>
    <w:rsid w:val="002626B4"/>
    <w:rsid w:val="0026288F"/>
    <w:rsid w:val="0026291D"/>
    <w:rsid w:val="00262CF3"/>
    <w:rsid w:val="002631D6"/>
    <w:rsid w:val="00264309"/>
    <w:rsid w:val="00264992"/>
    <w:rsid w:val="00264B4F"/>
    <w:rsid w:val="00264B85"/>
    <w:rsid w:val="0026564B"/>
    <w:rsid w:val="0026588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63A2"/>
    <w:rsid w:val="00276B33"/>
    <w:rsid w:val="00277669"/>
    <w:rsid w:val="002803A5"/>
    <w:rsid w:val="00280ACB"/>
    <w:rsid w:val="002812E3"/>
    <w:rsid w:val="00282881"/>
    <w:rsid w:val="00282AD4"/>
    <w:rsid w:val="0028341F"/>
    <w:rsid w:val="002837AE"/>
    <w:rsid w:val="00283C13"/>
    <w:rsid w:val="00283F7B"/>
    <w:rsid w:val="0028431A"/>
    <w:rsid w:val="002853FA"/>
    <w:rsid w:val="00285412"/>
    <w:rsid w:val="002857D3"/>
    <w:rsid w:val="00286220"/>
    <w:rsid w:val="0029110B"/>
    <w:rsid w:val="00291640"/>
    <w:rsid w:val="00291EBD"/>
    <w:rsid w:val="0029237E"/>
    <w:rsid w:val="00292997"/>
    <w:rsid w:val="00293043"/>
    <w:rsid w:val="00293D24"/>
    <w:rsid w:val="00293FC1"/>
    <w:rsid w:val="0029461A"/>
    <w:rsid w:val="00294F74"/>
    <w:rsid w:val="0029509B"/>
    <w:rsid w:val="0029588F"/>
    <w:rsid w:val="00295E96"/>
    <w:rsid w:val="00297256"/>
    <w:rsid w:val="00297A5C"/>
    <w:rsid w:val="00297D51"/>
    <w:rsid w:val="002A0122"/>
    <w:rsid w:val="002A016B"/>
    <w:rsid w:val="002A0B40"/>
    <w:rsid w:val="002A103E"/>
    <w:rsid w:val="002A16D4"/>
    <w:rsid w:val="002A1E4F"/>
    <w:rsid w:val="002A230C"/>
    <w:rsid w:val="002A23F9"/>
    <w:rsid w:val="002A2AF7"/>
    <w:rsid w:val="002A3209"/>
    <w:rsid w:val="002A35F7"/>
    <w:rsid w:val="002A38F3"/>
    <w:rsid w:val="002A3EA2"/>
    <w:rsid w:val="002A4701"/>
    <w:rsid w:val="002A4F23"/>
    <w:rsid w:val="002A51AC"/>
    <w:rsid w:val="002A532A"/>
    <w:rsid w:val="002A5846"/>
    <w:rsid w:val="002A5D3A"/>
    <w:rsid w:val="002A5D97"/>
    <w:rsid w:val="002A603E"/>
    <w:rsid w:val="002A63B9"/>
    <w:rsid w:val="002A6FCC"/>
    <w:rsid w:val="002A7089"/>
    <w:rsid w:val="002B0692"/>
    <w:rsid w:val="002B0763"/>
    <w:rsid w:val="002B1619"/>
    <w:rsid w:val="002B3DD7"/>
    <w:rsid w:val="002B3EF4"/>
    <w:rsid w:val="002B4845"/>
    <w:rsid w:val="002B5567"/>
    <w:rsid w:val="002B5812"/>
    <w:rsid w:val="002B6545"/>
    <w:rsid w:val="002B72AA"/>
    <w:rsid w:val="002B764D"/>
    <w:rsid w:val="002B7E7F"/>
    <w:rsid w:val="002C1110"/>
    <w:rsid w:val="002C1BC2"/>
    <w:rsid w:val="002C1F09"/>
    <w:rsid w:val="002C22A4"/>
    <w:rsid w:val="002C260B"/>
    <w:rsid w:val="002C27A6"/>
    <w:rsid w:val="002C288C"/>
    <w:rsid w:val="002C2EB0"/>
    <w:rsid w:val="002C31E4"/>
    <w:rsid w:val="002C398D"/>
    <w:rsid w:val="002C40D2"/>
    <w:rsid w:val="002C43BD"/>
    <w:rsid w:val="002C5245"/>
    <w:rsid w:val="002C564A"/>
    <w:rsid w:val="002C59D8"/>
    <w:rsid w:val="002C5FEB"/>
    <w:rsid w:val="002C6494"/>
    <w:rsid w:val="002D05CB"/>
    <w:rsid w:val="002D0E59"/>
    <w:rsid w:val="002D2127"/>
    <w:rsid w:val="002D2C4F"/>
    <w:rsid w:val="002D3EBB"/>
    <w:rsid w:val="002D455C"/>
    <w:rsid w:val="002D6066"/>
    <w:rsid w:val="002D6A4C"/>
    <w:rsid w:val="002E01AD"/>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759E"/>
    <w:rsid w:val="002E792B"/>
    <w:rsid w:val="002E7AEB"/>
    <w:rsid w:val="002E7B79"/>
    <w:rsid w:val="002F0C47"/>
    <w:rsid w:val="002F1B09"/>
    <w:rsid w:val="002F1D56"/>
    <w:rsid w:val="002F1DCB"/>
    <w:rsid w:val="002F1DE4"/>
    <w:rsid w:val="002F327C"/>
    <w:rsid w:val="002F333D"/>
    <w:rsid w:val="002F351A"/>
    <w:rsid w:val="002F357F"/>
    <w:rsid w:val="002F46D6"/>
    <w:rsid w:val="002F498A"/>
    <w:rsid w:val="002F4AD8"/>
    <w:rsid w:val="002F5285"/>
    <w:rsid w:val="002F5820"/>
    <w:rsid w:val="002F58CC"/>
    <w:rsid w:val="002F5F60"/>
    <w:rsid w:val="002F616A"/>
    <w:rsid w:val="002F64BB"/>
    <w:rsid w:val="002F7D9B"/>
    <w:rsid w:val="00300C31"/>
    <w:rsid w:val="003017EC"/>
    <w:rsid w:val="00302165"/>
    <w:rsid w:val="00303BB4"/>
    <w:rsid w:val="00304194"/>
    <w:rsid w:val="00304771"/>
    <w:rsid w:val="00304F9C"/>
    <w:rsid w:val="0030521E"/>
    <w:rsid w:val="003052D4"/>
    <w:rsid w:val="00305863"/>
    <w:rsid w:val="00305FE5"/>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7C6"/>
    <w:rsid w:val="00316B3D"/>
    <w:rsid w:val="00317343"/>
    <w:rsid w:val="0032058C"/>
    <w:rsid w:val="003208D0"/>
    <w:rsid w:val="003209D6"/>
    <w:rsid w:val="003217B9"/>
    <w:rsid w:val="00321924"/>
    <w:rsid w:val="00321AF1"/>
    <w:rsid w:val="00321EB6"/>
    <w:rsid w:val="003220A5"/>
    <w:rsid w:val="00322CF6"/>
    <w:rsid w:val="003238E0"/>
    <w:rsid w:val="00323A1C"/>
    <w:rsid w:val="00323A2F"/>
    <w:rsid w:val="0032417B"/>
    <w:rsid w:val="003247E1"/>
    <w:rsid w:val="00324B59"/>
    <w:rsid w:val="00325071"/>
    <w:rsid w:val="00325E46"/>
    <w:rsid w:val="003263F9"/>
    <w:rsid w:val="0032656E"/>
    <w:rsid w:val="0032788F"/>
    <w:rsid w:val="00332190"/>
    <w:rsid w:val="00332A98"/>
    <w:rsid w:val="003334BD"/>
    <w:rsid w:val="00333973"/>
    <w:rsid w:val="00333CD0"/>
    <w:rsid w:val="0033448D"/>
    <w:rsid w:val="00334AD2"/>
    <w:rsid w:val="00334CB6"/>
    <w:rsid w:val="00336F1E"/>
    <w:rsid w:val="0033709C"/>
    <w:rsid w:val="003370C5"/>
    <w:rsid w:val="003373C6"/>
    <w:rsid w:val="0033753A"/>
    <w:rsid w:val="00340BF3"/>
    <w:rsid w:val="00341D26"/>
    <w:rsid w:val="00341F05"/>
    <w:rsid w:val="0034210C"/>
    <w:rsid w:val="0034335E"/>
    <w:rsid w:val="003434C5"/>
    <w:rsid w:val="00344668"/>
    <w:rsid w:val="00344940"/>
    <w:rsid w:val="00344E77"/>
    <w:rsid w:val="00346234"/>
    <w:rsid w:val="003462D9"/>
    <w:rsid w:val="0034699F"/>
    <w:rsid w:val="0034723F"/>
    <w:rsid w:val="00347247"/>
    <w:rsid w:val="003474B6"/>
    <w:rsid w:val="00347DD4"/>
    <w:rsid w:val="00350580"/>
    <w:rsid w:val="00350B13"/>
    <w:rsid w:val="00352B43"/>
    <w:rsid w:val="00352C28"/>
    <w:rsid w:val="003541BB"/>
    <w:rsid w:val="00354F89"/>
    <w:rsid w:val="0035506D"/>
    <w:rsid w:val="0036077F"/>
    <w:rsid w:val="00360C86"/>
    <w:rsid w:val="00360F7A"/>
    <w:rsid w:val="00360FBC"/>
    <w:rsid w:val="00361537"/>
    <w:rsid w:val="00361FB7"/>
    <w:rsid w:val="0036242A"/>
    <w:rsid w:val="003627D3"/>
    <w:rsid w:val="00362C23"/>
    <w:rsid w:val="00362DCA"/>
    <w:rsid w:val="00362E90"/>
    <w:rsid w:val="00364FA0"/>
    <w:rsid w:val="003657F3"/>
    <w:rsid w:val="00365844"/>
    <w:rsid w:val="00365DA5"/>
    <w:rsid w:val="00365EF5"/>
    <w:rsid w:val="00365F61"/>
    <w:rsid w:val="0036624C"/>
    <w:rsid w:val="00366461"/>
    <w:rsid w:val="003667F6"/>
    <w:rsid w:val="00367F84"/>
    <w:rsid w:val="003712BC"/>
    <w:rsid w:val="00372164"/>
    <w:rsid w:val="003738BD"/>
    <w:rsid w:val="00374263"/>
    <w:rsid w:val="0037445E"/>
    <w:rsid w:val="003746F0"/>
    <w:rsid w:val="00374A20"/>
    <w:rsid w:val="00374B96"/>
    <w:rsid w:val="00374E21"/>
    <w:rsid w:val="0037537A"/>
    <w:rsid w:val="0037713E"/>
    <w:rsid w:val="00377B2E"/>
    <w:rsid w:val="00380C9B"/>
    <w:rsid w:val="0038102E"/>
    <w:rsid w:val="003810F0"/>
    <w:rsid w:val="003815D4"/>
    <w:rsid w:val="003818DC"/>
    <w:rsid w:val="003820ED"/>
    <w:rsid w:val="00382513"/>
    <w:rsid w:val="00382D80"/>
    <w:rsid w:val="00383388"/>
    <w:rsid w:val="003834F8"/>
    <w:rsid w:val="003838D0"/>
    <w:rsid w:val="003840C2"/>
    <w:rsid w:val="00384327"/>
    <w:rsid w:val="00384A89"/>
    <w:rsid w:val="00385086"/>
    <w:rsid w:val="00385D98"/>
    <w:rsid w:val="003866AA"/>
    <w:rsid w:val="00390306"/>
    <w:rsid w:val="003908A6"/>
    <w:rsid w:val="00390CE5"/>
    <w:rsid w:val="0039109D"/>
    <w:rsid w:val="00391989"/>
    <w:rsid w:val="00391A6C"/>
    <w:rsid w:val="003927F6"/>
    <w:rsid w:val="0039398D"/>
    <w:rsid w:val="00393B3F"/>
    <w:rsid w:val="0039402D"/>
    <w:rsid w:val="003962CA"/>
    <w:rsid w:val="00396739"/>
    <w:rsid w:val="003978B1"/>
    <w:rsid w:val="003A04F6"/>
    <w:rsid w:val="003A0837"/>
    <w:rsid w:val="003A2B4D"/>
    <w:rsid w:val="003A2D12"/>
    <w:rsid w:val="003A2E46"/>
    <w:rsid w:val="003A2EBA"/>
    <w:rsid w:val="003A3343"/>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C8D"/>
    <w:rsid w:val="003B1EA8"/>
    <w:rsid w:val="003B1F9D"/>
    <w:rsid w:val="003B2A8D"/>
    <w:rsid w:val="003B2AD1"/>
    <w:rsid w:val="003B2D2E"/>
    <w:rsid w:val="003B3135"/>
    <w:rsid w:val="003B376A"/>
    <w:rsid w:val="003B42C7"/>
    <w:rsid w:val="003B461F"/>
    <w:rsid w:val="003B483F"/>
    <w:rsid w:val="003B4998"/>
    <w:rsid w:val="003B5A32"/>
    <w:rsid w:val="003B5B59"/>
    <w:rsid w:val="003B709D"/>
    <w:rsid w:val="003B7B50"/>
    <w:rsid w:val="003C0B07"/>
    <w:rsid w:val="003C2284"/>
    <w:rsid w:val="003C2CE7"/>
    <w:rsid w:val="003C2DB8"/>
    <w:rsid w:val="003C3490"/>
    <w:rsid w:val="003C3608"/>
    <w:rsid w:val="003C3AE8"/>
    <w:rsid w:val="003C3D2C"/>
    <w:rsid w:val="003C4058"/>
    <w:rsid w:val="003C4E13"/>
    <w:rsid w:val="003C53AB"/>
    <w:rsid w:val="003C58A5"/>
    <w:rsid w:val="003C6221"/>
    <w:rsid w:val="003C63D7"/>
    <w:rsid w:val="003C672E"/>
    <w:rsid w:val="003C68CC"/>
    <w:rsid w:val="003C7D39"/>
    <w:rsid w:val="003C7E62"/>
    <w:rsid w:val="003D12B9"/>
    <w:rsid w:val="003D1A33"/>
    <w:rsid w:val="003D1E7A"/>
    <w:rsid w:val="003D242B"/>
    <w:rsid w:val="003D2492"/>
    <w:rsid w:val="003D29AA"/>
    <w:rsid w:val="003D2A99"/>
    <w:rsid w:val="003D4EFE"/>
    <w:rsid w:val="003D55EA"/>
    <w:rsid w:val="003D6920"/>
    <w:rsid w:val="003E0249"/>
    <w:rsid w:val="003E08A4"/>
    <w:rsid w:val="003E1EF8"/>
    <w:rsid w:val="003E2DFB"/>
    <w:rsid w:val="003E4466"/>
    <w:rsid w:val="003E4C91"/>
    <w:rsid w:val="003E52D8"/>
    <w:rsid w:val="003E585F"/>
    <w:rsid w:val="003E5FA9"/>
    <w:rsid w:val="003E62F1"/>
    <w:rsid w:val="003E6F84"/>
    <w:rsid w:val="003F0148"/>
    <w:rsid w:val="003F313C"/>
    <w:rsid w:val="003F33B1"/>
    <w:rsid w:val="003F33B9"/>
    <w:rsid w:val="003F37FC"/>
    <w:rsid w:val="003F3E76"/>
    <w:rsid w:val="003F4318"/>
    <w:rsid w:val="003F4B2C"/>
    <w:rsid w:val="003F551C"/>
    <w:rsid w:val="003F5A2B"/>
    <w:rsid w:val="003F5B3D"/>
    <w:rsid w:val="003F626D"/>
    <w:rsid w:val="003F72ED"/>
    <w:rsid w:val="003F778A"/>
    <w:rsid w:val="003F79B6"/>
    <w:rsid w:val="003F7D23"/>
    <w:rsid w:val="00400050"/>
    <w:rsid w:val="004002C8"/>
    <w:rsid w:val="00400468"/>
    <w:rsid w:val="0040099D"/>
    <w:rsid w:val="00400B87"/>
    <w:rsid w:val="004016CB"/>
    <w:rsid w:val="00401B23"/>
    <w:rsid w:val="00402ADB"/>
    <w:rsid w:val="0040368D"/>
    <w:rsid w:val="00403D1D"/>
    <w:rsid w:val="00403F57"/>
    <w:rsid w:val="00404398"/>
    <w:rsid w:val="004046BD"/>
    <w:rsid w:val="0040488D"/>
    <w:rsid w:val="00404BAB"/>
    <w:rsid w:val="004052EF"/>
    <w:rsid w:val="00405318"/>
    <w:rsid w:val="004059D2"/>
    <w:rsid w:val="00405FFC"/>
    <w:rsid w:val="004060C9"/>
    <w:rsid w:val="004066D0"/>
    <w:rsid w:val="00406B0D"/>
    <w:rsid w:val="00406C2E"/>
    <w:rsid w:val="00406CDA"/>
    <w:rsid w:val="00406EB0"/>
    <w:rsid w:val="00407711"/>
    <w:rsid w:val="0040772C"/>
    <w:rsid w:val="00407C13"/>
    <w:rsid w:val="004103F6"/>
    <w:rsid w:val="00410638"/>
    <w:rsid w:val="00412511"/>
    <w:rsid w:val="004125C2"/>
    <w:rsid w:val="00412DFA"/>
    <w:rsid w:val="00413465"/>
    <w:rsid w:val="004149AC"/>
    <w:rsid w:val="0041501E"/>
    <w:rsid w:val="00415452"/>
    <w:rsid w:val="004159C3"/>
    <w:rsid w:val="00415A57"/>
    <w:rsid w:val="00416730"/>
    <w:rsid w:val="00416DAC"/>
    <w:rsid w:val="00417068"/>
    <w:rsid w:val="00417106"/>
    <w:rsid w:val="00420792"/>
    <w:rsid w:val="00420880"/>
    <w:rsid w:val="00421179"/>
    <w:rsid w:val="004225D7"/>
    <w:rsid w:val="004227DA"/>
    <w:rsid w:val="00423623"/>
    <w:rsid w:val="0042425A"/>
    <w:rsid w:val="0042470E"/>
    <w:rsid w:val="00424B72"/>
    <w:rsid w:val="00425352"/>
    <w:rsid w:val="00425734"/>
    <w:rsid w:val="00426C99"/>
    <w:rsid w:val="004272BE"/>
    <w:rsid w:val="00427654"/>
    <w:rsid w:val="004305E4"/>
    <w:rsid w:val="00430C96"/>
    <w:rsid w:val="0043174F"/>
    <w:rsid w:val="00431BFF"/>
    <w:rsid w:val="00432199"/>
    <w:rsid w:val="00432A58"/>
    <w:rsid w:val="004331C3"/>
    <w:rsid w:val="00433C17"/>
    <w:rsid w:val="00434617"/>
    <w:rsid w:val="00434DE9"/>
    <w:rsid w:val="00435051"/>
    <w:rsid w:val="00435C69"/>
    <w:rsid w:val="004360FB"/>
    <w:rsid w:val="00437701"/>
    <w:rsid w:val="00437CED"/>
    <w:rsid w:val="004407BF"/>
    <w:rsid w:val="00440900"/>
    <w:rsid w:val="0044121D"/>
    <w:rsid w:val="00441BF6"/>
    <w:rsid w:val="00441D2B"/>
    <w:rsid w:val="00441F8B"/>
    <w:rsid w:val="00442085"/>
    <w:rsid w:val="0044279E"/>
    <w:rsid w:val="004441A0"/>
    <w:rsid w:val="00444618"/>
    <w:rsid w:val="00444C8C"/>
    <w:rsid w:val="00445861"/>
    <w:rsid w:val="00445A8E"/>
    <w:rsid w:val="00446D44"/>
    <w:rsid w:val="0045078A"/>
    <w:rsid w:val="0045086D"/>
    <w:rsid w:val="00450DAB"/>
    <w:rsid w:val="0045125B"/>
    <w:rsid w:val="00451E25"/>
    <w:rsid w:val="00451EF1"/>
    <w:rsid w:val="004521DF"/>
    <w:rsid w:val="00452E60"/>
    <w:rsid w:val="0045321B"/>
    <w:rsid w:val="00456FE5"/>
    <w:rsid w:val="00457490"/>
    <w:rsid w:val="00457744"/>
    <w:rsid w:val="0045778B"/>
    <w:rsid w:val="0045786C"/>
    <w:rsid w:val="00457953"/>
    <w:rsid w:val="0046011D"/>
    <w:rsid w:val="004604D8"/>
    <w:rsid w:val="00460656"/>
    <w:rsid w:val="00460FB3"/>
    <w:rsid w:val="00463205"/>
    <w:rsid w:val="00463D3C"/>
    <w:rsid w:val="00464851"/>
    <w:rsid w:val="00464990"/>
    <w:rsid w:val="00464BF5"/>
    <w:rsid w:val="00466595"/>
    <w:rsid w:val="00466B3E"/>
    <w:rsid w:val="0046746A"/>
    <w:rsid w:val="00467B14"/>
    <w:rsid w:val="004706ED"/>
    <w:rsid w:val="004707FE"/>
    <w:rsid w:val="00470EDC"/>
    <w:rsid w:val="00471533"/>
    <w:rsid w:val="00471D6A"/>
    <w:rsid w:val="00472418"/>
    <w:rsid w:val="0047276D"/>
    <w:rsid w:val="00472AF6"/>
    <w:rsid w:val="00473482"/>
    <w:rsid w:val="00473491"/>
    <w:rsid w:val="00474646"/>
    <w:rsid w:val="004748E0"/>
    <w:rsid w:val="00474A04"/>
    <w:rsid w:val="00476240"/>
    <w:rsid w:val="00476439"/>
    <w:rsid w:val="00476450"/>
    <w:rsid w:val="004764B7"/>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880"/>
    <w:rsid w:val="00484ECE"/>
    <w:rsid w:val="00485145"/>
    <w:rsid w:val="00485E4D"/>
    <w:rsid w:val="00485E82"/>
    <w:rsid w:val="00486132"/>
    <w:rsid w:val="0048686D"/>
    <w:rsid w:val="004868F4"/>
    <w:rsid w:val="00486A4D"/>
    <w:rsid w:val="00487FC3"/>
    <w:rsid w:val="004915CB"/>
    <w:rsid w:val="004924DC"/>
    <w:rsid w:val="00492879"/>
    <w:rsid w:val="00493E85"/>
    <w:rsid w:val="00494464"/>
    <w:rsid w:val="00495145"/>
    <w:rsid w:val="0049531F"/>
    <w:rsid w:val="00496A39"/>
    <w:rsid w:val="004979A5"/>
    <w:rsid w:val="004A0144"/>
    <w:rsid w:val="004A0328"/>
    <w:rsid w:val="004A036E"/>
    <w:rsid w:val="004A0498"/>
    <w:rsid w:val="004A06B0"/>
    <w:rsid w:val="004A0D0E"/>
    <w:rsid w:val="004A14E4"/>
    <w:rsid w:val="004A204E"/>
    <w:rsid w:val="004A2642"/>
    <w:rsid w:val="004A26A5"/>
    <w:rsid w:val="004A27F0"/>
    <w:rsid w:val="004A3212"/>
    <w:rsid w:val="004A37CD"/>
    <w:rsid w:val="004A40D9"/>
    <w:rsid w:val="004A49A5"/>
    <w:rsid w:val="004A4F8A"/>
    <w:rsid w:val="004A52AB"/>
    <w:rsid w:val="004A5494"/>
    <w:rsid w:val="004A5D4E"/>
    <w:rsid w:val="004A61C5"/>
    <w:rsid w:val="004A62A0"/>
    <w:rsid w:val="004A77B8"/>
    <w:rsid w:val="004A77DF"/>
    <w:rsid w:val="004B0A56"/>
    <w:rsid w:val="004B1417"/>
    <w:rsid w:val="004B18DF"/>
    <w:rsid w:val="004B1D3D"/>
    <w:rsid w:val="004B305C"/>
    <w:rsid w:val="004B31B8"/>
    <w:rsid w:val="004B339A"/>
    <w:rsid w:val="004B3BD0"/>
    <w:rsid w:val="004B4C83"/>
    <w:rsid w:val="004B55B7"/>
    <w:rsid w:val="004B5BFA"/>
    <w:rsid w:val="004B6005"/>
    <w:rsid w:val="004B619E"/>
    <w:rsid w:val="004B6468"/>
    <w:rsid w:val="004B6AC1"/>
    <w:rsid w:val="004B6EF8"/>
    <w:rsid w:val="004B7125"/>
    <w:rsid w:val="004B756A"/>
    <w:rsid w:val="004B7A0C"/>
    <w:rsid w:val="004B7FB1"/>
    <w:rsid w:val="004C06D6"/>
    <w:rsid w:val="004C0970"/>
    <w:rsid w:val="004C0B3F"/>
    <w:rsid w:val="004C0F87"/>
    <w:rsid w:val="004C1178"/>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438"/>
    <w:rsid w:val="004C6E0E"/>
    <w:rsid w:val="004C70DC"/>
    <w:rsid w:val="004C7100"/>
    <w:rsid w:val="004D0211"/>
    <w:rsid w:val="004D0794"/>
    <w:rsid w:val="004D07B9"/>
    <w:rsid w:val="004D0822"/>
    <w:rsid w:val="004D108E"/>
    <w:rsid w:val="004D122F"/>
    <w:rsid w:val="004D2A9A"/>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22B"/>
    <w:rsid w:val="004F3272"/>
    <w:rsid w:val="004F33A0"/>
    <w:rsid w:val="004F3873"/>
    <w:rsid w:val="004F3BD2"/>
    <w:rsid w:val="004F46ED"/>
    <w:rsid w:val="004F49A3"/>
    <w:rsid w:val="004F4C99"/>
    <w:rsid w:val="004F5358"/>
    <w:rsid w:val="004F55FA"/>
    <w:rsid w:val="004F6339"/>
    <w:rsid w:val="004F6484"/>
    <w:rsid w:val="004F6539"/>
    <w:rsid w:val="005021F1"/>
    <w:rsid w:val="00503D54"/>
    <w:rsid w:val="005040D3"/>
    <w:rsid w:val="005048E2"/>
    <w:rsid w:val="00504BA2"/>
    <w:rsid w:val="00505FC8"/>
    <w:rsid w:val="00506603"/>
    <w:rsid w:val="0050686E"/>
    <w:rsid w:val="0050689D"/>
    <w:rsid w:val="005077F5"/>
    <w:rsid w:val="005108C0"/>
    <w:rsid w:val="0051094F"/>
    <w:rsid w:val="00511217"/>
    <w:rsid w:val="00511873"/>
    <w:rsid w:val="0051190D"/>
    <w:rsid w:val="00511BAF"/>
    <w:rsid w:val="00512461"/>
    <w:rsid w:val="00512501"/>
    <w:rsid w:val="00512585"/>
    <w:rsid w:val="00512A2F"/>
    <w:rsid w:val="00513B7E"/>
    <w:rsid w:val="00513E9D"/>
    <w:rsid w:val="0051475D"/>
    <w:rsid w:val="00514B11"/>
    <w:rsid w:val="00514DED"/>
    <w:rsid w:val="0051500A"/>
    <w:rsid w:val="00515485"/>
    <w:rsid w:val="00515BE9"/>
    <w:rsid w:val="00515C74"/>
    <w:rsid w:val="00515CEB"/>
    <w:rsid w:val="0051630F"/>
    <w:rsid w:val="00516337"/>
    <w:rsid w:val="00517113"/>
    <w:rsid w:val="00517615"/>
    <w:rsid w:val="0052007E"/>
    <w:rsid w:val="0052032E"/>
    <w:rsid w:val="00520F4A"/>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728"/>
    <w:rsid w:val="00530A68"/>
    <w:rsid w:val="00530AD4"/>
    <w:rsid w:val="0053129F"/>
    <w:rsid w:val="00531C5A"/>
    <w:rsid w:val="00532CE7"/>
    <w:rsid w:val="00532D8B"/>
    <w:rsid w:val="0053324C"/>
    <w:rsid w:val="00533A8D"/>
    <w:rsid w:val="00534A28"/>
    <w:rsid w:val="00535018"/>
    <w:rsid w:val="0053595E"/>
    <w:rsid w:val="00537571"/>
    <w:rsid w:val="00540056"/>
    <w:rsid w:val="0054101E"/>
    <w:rsid w:val="005410E2"/>
    <w:rsid w:val="00541508"/>
    <w:rsid w:val="00541AE3"/>
    <w:rsid w:val="00542748"/>
    <w:rsid w:val="00543498"/>
    <w:rsid w:val="00544011"/>
    <w:rsid w:val="005441A8"/>
    <w:rsid w:val="00544BE5"/>
    <w:rsid w:val="005453A3"/>
    <w:rsid w:val="005455F6"/>
    <w:rsid w:val="0054582F"/>
    <w:rsid w:val="00546FC7"/>
    <w:rsid w:val="005500D6"/>
    <w:rsid w:val="005500F9"/>
    <w:rsid w:val="00550160"/>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57EFC"/>
    <w:rsid w:val="00560825"/>
    <w:rsid w:val="00560C41"/>
    <w:rsid w:val="00560CAC"/>
    <w:rsid w:val="00561751"/>
    <w:rsid w:val="00561F44"/>
    <w:rsid w:val="00562015"/>
    <w:rsid w:val="005621B9"/>
    <w:rsid w:val="00562B4D"/>
    <w:rsid w:val="00562DB1"/>
    <w:rsid w:val="00563EB8"/>
    <w:rsid w:val="005647BF"/>
    <w:rsid w:val="00564AF1"/>
    <w:rsid w:val="005655DB"/>
    <w:rsid w:val="00565E88"/>
    <w:rsid w:val="005662F5"/>
    <w:rsid w:val="00567339"/>
    <w:rsid w:val="005678EE"/>
    <w:rsid w:val="00567910"/>
    <w:rsid w:val="00570270"/>
    <w:rsid w:val="00570464"/>
    <w:rsid w:val="00570BC3"/>
    <w:rsid w:val="0057182A"/>
    <w:rsid w:val="00571E59"/>
    <w:rsid w:val="00572079"/>
    <w:rsid w:val="00572900"/>
    <w:rsid w:val="00572C04"/>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87D30"/>
    <w:rsid w:val="00590608"/>
    <w:rsid w:val="00590B28"/>
    <w:rsid w:val="00591187"/>
    <w:rsid w:val="005911BE"/>
    <w:rsid w:val="00591273"/>
    <w:rsid w:val="005915EA"/>
    <w:rsid w:val="00591E9E"/>
    <w:rsid w:val="005927A4"/>
    <w:rsid w:val="00593152"/>
    <w:rsid w:val="00593389"/>
    <w:rsid w:val="00593FE6"/>
    <w:rsid w:val="005956A3"/>
    <w:rsid w:val="00595958"/>
    <w:rsid w:val="00595CAB"/>
    <w:rsid w:val="0059622E"/>
    <w:rsid w:val="00597671"/>
    <w:rsid w:val="00597BBF"/>
    <w:rsid w:val="005A040C"/>
    <w:rsid w:val="005A0443"/>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2756"/>
    <w:rsid w:val="005B41C9"/>
    <w:rsid w:val="005B44E6"/>
    <w:rsid w:val="005B4853"/>
    <w:rsid w:val="005B62D1"/>
    <w:rsid w:val="005B6CA1"/>
    <w:rsid w:val="005B6F04"/>
    <w:rsid w:val="005B770C"/>
    <w:rsid w:val="005C06ED"/>
    <w:rsid w:val="005C0CE1"/>
    <w:rsid w:val="005C11B8"/>
    <w:rsid w:val="005C181B"/>
    <w:rsid w:val="005C19E3"/>
    <w:rsid w:val="005C216C"/>
    <w:rsid w:val="005C230A"/>
    <w:rsid w:val="005C2609"/>
    <w:rsid w:val="005C2B30"/>
    <w:rsid w:val="005C412B"/>
    <w:rsid w:val="005C43EC"/>
    <w:rsid w:val="005C45DD"/>
    <w:rsid w:val="005C4704"/>
    <w:rsid w:val="005C4CB1"/>
    <w:rsid w:val="005C70AB"/>
    <w:rsid w:val="005C771D"/>
    <w:rsid w:val="005D015C"/>
    <w:rsid w:val="005D1117"/>
    <w:rsid w:val="005D3F06"/>
    <w:rsid w:val="005D4608"/>
    <w:rsid w:val="005D4B73"/>
    <w:rsid w:val="005D533D"/>
    <w:rsid w:val="005D5645"/>
    <w:rsid w:val="005D5802"/>
    <w:rsid w:val="005D5AA9"/>
    <w:rsid w:val="005D66E6"/>
    <w:rsid w:val="005D7119"/>
    <w:rsid w:val="005D7508"/>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CB0"/>
    <w:rsid w:val="005F6D7F"/>
    <w:rsid w:val="005F6DFE"/>
    <w:rsid w:val="005F7174"/>
    <w:rsid w:val="005F724F"/>
    <w:rsid w:val="0060120D"/>
    <w:rsid w:val="006017C1"/>
    <w:rsid w:val="00601ADE"/>
    <w:rsid w:val="00601EEF"/>
    <w:rsid w:val="0060255A"/>
    <w:rsid w:val="00602998"/>
    <w:rsid w:val="00602EB3"/>
    <w:rsid w:val="00604307"/>
    <w:rsid w:val="0060487F"/>
    <w:rsid w:val="00604EAD"/>
    <w:rsid w:val="0060513F"/>
    <w:rsid w:val="006063BB"/>
    <w:rsid w:val="006065E2"/>
    <w:rsid w:val="0060694B"/>
    <w:rsid w:val="006104FB"/>
    <w:rsid w:val="0061176D"/>
    <w:rsid w:val="0061200F"/>
    <w:rsid w:val="00612756"/>
    <w:rsid w:val="00612A2F"/>
    <w:rsid w:val="00612AAE"/>
    <w:rsid w:val="00612B07"/>
    <w:rsid w:val="00612FD9"/>
    <w:rsid w:val="006139E0"/>
    <w:rsid w:val="00613A32"/>
    <w:rsid w:val="00613BAF"/>
    <w:rsid w:val="00614D35"/>
    <w:rsid w:val="006156B4"/>
    <w:rsid w:val="00615DAF"/>
    <w:rsid w:val="00616254"/>
    <w:rsid w:val="0061672A"/>
    <w:rsid w:val="00616E05"/>
    <w:rsid w:val="00617174"/>
    <w:rsid w:val="00617985"/>
    <w:rsid w:val="00620B77"/>
    <w:rsid w:val="00621190"/>
    <w:rsid w:val="0062131B"/>
    <w:rsid w:val="00621E26"/>
    <w:rsid w:val="006224EA"/>
    <w:rsid w:val="0062263A"/>
    <w:rsid w:val="006227DF"/>
    <w:rsid w:val="006234A0"/>
    <w:rsid w:val="006235CD"/>
    <w:rsid w:val="006236C8"/>
    <w:rsid w:val="00624093"/>
    <w:rsid w:val="006240A3"/>
    <w:rsid w:val="00625A19"/>
    <w:rsid w:val="00625A84"/>
    <w:rsid w:val="00626079"/>
    <w:rsid w:val="006305F7"/>
    <w:rsid w:val="00630741"/>
    <w:rsid w:val="00631698"/>
    <w:rsid w:val="00631E44"/>
    <w:rsid w:val="00632B4B"/>
    <w:rsid w:val="0063476C"/>
    <w:rsid w:val="00634C57"/>
    <w:rsid w:val="00634CE7"/>
    <w:rsid w:val="006350D5"/>
    <w:rsid w:val="006359F7"/>
    <w:rsid w:val="00635C51"/>
    <w:rsid w:val="0063642C"/>
    <w:rsid w:val="00636492"/>
    <w:rsid w:val="0063714C"/>
    <w:rsid w:val="006376B3"/>
    <w:rsid w:val="00637858"/>
    <w:rsid w:val="006404A7"/>
    <w:rsid w:val="00640A38"/>
    <w:rsid w:val="00640E6B"/>
    <w:rsid w:val="0064123E"/>
    <w:rsid w:val="00641787"/>
    <w:rsid w:val="0064179B"/>
    <w:rsid w:val="00642489"/>
    <w:rsid w:val="0064341F"/>
    <w:rsid w:val="00644055"/>
    <w:rsid w:val="00644137"/>
    <w:rsid w:val="0064478C"/>
    <w:rsid w:val="0064513D"/>
    <w:rsid w:val="00645160"/>
    <w:rsid w:val="006451E4"/>
    <w:rsid w:val="0064574B"/>
    <w:rsid w:val="006459DF"/>
    <w:rsid w:val="00645B33"/>
    <w:rsid w:val="00646B42"/>
    <w:rsid w:val="006516CB"/>
    <w:rsid w:val="00652E30"/>
    <w:rsid w:val="00653BD0"/>
    <w:rsid w:val="00654110"/>
    <w:rsid w:val="00654604"/>
    <w:rsid w:val="00656C5D"/>
    <w:rsid w:val="00656CFB"/>
    <w:rsid w:val="00656D25"/>
    <w:rsid w:val="00657E87"/>
    <w:rsid w:val="00660D2D"/>
    <w:rsid w:val="00661C41"/>
    <w:rsid w:val="00661E03"/>
    <w:rsid w:val="00661EC9"/>
    <w:rsid w:val="00661EF8"/>
    <w:rsid w:val="00662469"/>
    <w:rsid w:val="0066411C"/>
    <w:rsid w:val="00664205"/>
    <w:rsid w:val="00664647"/>
    <w:rsid w:val="00664803"/>
    <w:rsid w:val="0066502F"/>
    <w:rsid w:val="006653CC"/>
    <w:rsid w:val="00665982"/>
    <w:rsid w:val="00665A05"/>
    <w:rsid w:val="00665BA4"/>
    <w:rsid w:val="00666BF3"/>
    <w:rsid w:val="00667856"/>
    <w:rsid w:val="00667AF2"/>
    <w:rsid w:val="00670489"/>
    <w:rsid w:val="006710C9"/>
    <w:rsid w:val="00671D85"/>
    <w:rsid w:val="00672586"/>
    <w:rsid w:val="006727BC"/>
    <w:rsid w:val="006741CD"/>
    <w:rsid w:val="00674D89"/>
    <w:rsid w:val="0067514E"/>
    <w:rsid w:val="00675E37"/>
    <w:rsid w:val="0067623E"/>
    <w:rsid w:val="0067635D"/>
    <w:rsid w:val="00676736"/>
    <w:rsid w:val="006769A4"/>
    <w:rsid w:val="006769C6"/>
    <w:rsid w:val="00676D76"/>
    <w:rsid w:val="00676F9F"/>
    <w:rsid w:val="00677519"/>
    <w:rsid w:val="00677591"/>
    <w:rsid w:val="00677594"/>
    <w:rsid w:val="0067794F"/>
    <w:rsid w:val="00677FA3"/>
    <w:rsid w:val="0068032F"/>
    <w:rsid w:val="00680D37"/>
    <w:rsid w:val="00681060"/>
    <w:rsid w:val="0068174E"/>
    <w:rsid w:val="0068177E"/>
    <w:rsid w:val="00681DCE"/>
    <w:rsid w:val="00682110"/>
    <w:rsid w:val="0068260E"/>
    <w:rsid w:val="00683CE6"/>
    <w:rsid w:val="006846B3"/>
    <w:rsid w:val="00684B9B"/>
    <w:rsid w:val="00684D59"/>
    <w:rsid w:val="00684E25"/>
    <w:rsid w:val="006858A4"/>
    <w:rsid w:val="00685C08"/>
    <w:rsid w:val="00686718"/>
    <w:rsid w:val="00686A63"/>
    <w:rsid w:val="00686BFA"/>
    <w:rsid w:val="00686DED"/>
    <w:rsid w:val="00686DFB"/>
    <w:rsid w:val="006875A0"/>
    <w:rsid w:val="006878C6"/>
    <w:rsid w:val="00687D27"/>
    <w:rsid w:val="00691943"/>
    <w:rsid w:val="00691FB9"/>
    <w:rsid w:val="0069212C"/>
    <w:rsid w:val="00693550"/>
    <w:rsid w:val="00694622"/>
    <w:rsid w:val="006948DE"/>
    <w:rsid w:val="00695065"/>
    <w:rsid w:val="00695BEF"/>
    <w:rsid w:val="00696251"/>
    <w:rsid w:val="006966C7"/>
    <w:rsid w:val="006968C1"/>
    <w:rsid w:val="00696DBC"/>
    <w:rsid w:val="0069752C"/>
    <w:rsid w:val="006977B8"/>
    <w:rsid w:val="006977F6"/>
    <w:rsid w:val="00697A13"/>
    <w:rsid w:val="006A0DD4"/>
    <w:rsid w:val="006A109C"/>
    <w:rsid w:val="006A30E5"/>
    <w:rsid w:val="006A39A7"/>
    <w:rsid w:val="006A4E91"/>
    <w:rsid w:val="006A5F4B"/>
    <w:rsid w:val="006A6114"/>
    <w:rsid w:val="006A6565"/>
    <w:rsid w:val="006A7665"/>
    <w:rsid w:val="006A7691"/>
    <w:rsid w:val="006A7E73"/>
    <w:rsid w:val="006A7EE2"/>
    <w:rsid w:val="006B0514"/>
    <w:rsid w:val="006B0F92"/>
    <w:rsid w:val="006B2785"/>
    <w:rsid w:val="006B27C7"/>
    <w:rsid w:val="006B3006"/>
    <w:rsid w:val="006B344A"/>
    <w:rsid w:val="006B3B51"/>
    <w:rsid w:val="006B3EF1"/>
    <w:rsid w:val="006B4485"/>
    <w:rsid w:val="006B58C9"/>
    <w:rsid w:val="006B60ED"/>
    <w:rsid w:val="006B6CC5"/>
    <w:rsid w:val="006B74AC"/>
    <w:rsid w:val="006B757F"/>
    <w:rsid w:val="006B78D8"/>
    <w:rsid w:val="006B79EA"/>
    <w:rsid w:val="006C0C5D"/>
    <w:rsid w:val="006C113F"/>
    <w:rsid w:val="006C123E"/>
    <w:rsid w:val="006C15A1"/>
    <w:rsid w:val="006C1752"/>
    <w:rsid w:val="006C1DDC"/>
    <w:rsid w:val="006C28CA"/>
    <w:rsid w:val="006C2BBF"/>
    <w:rsid w:val="006C2FBD"/>
    <w:rsid w:val="006C3336"/>
    <w:rsid w:val="006C3495"/>
    <w:rsid w:val="006C36E1"/>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04D"/>
    <w:rsid w:val="006D18B3"/>
    <w:rsid w:val="006D1E89"/>
    <w:rsid w:val="006D26CE"/>
    <w:rsid w:val="006D2A74"/>
    <w:rsid w:val="006D317E"/>
    <w:rsid w:val="006D3E8A"/>
    <w:rsid w:val="006D47D9"/>
    <w:rsid w:val="006D61F6"/>
    <w:rsid w:val="006E1081"/>
    <w:rsid w:val="006E1332"/>
    <w:rsid w:val="006E19CB"/>
    <w:rsid w:val="006E2364"/>
    <w:rsid w:val="006E2589"/>
    <w:rsid w:val="006E279A"/>
    <w:rsid w:val="006E313B"/>
    <w:rsid w:val="006E34B2"/>
    <w:rsid w:val="006E3A45"/>
    <w:rsid w:val="006E4078"/>
    <w:rsid w:val="006E4F68"/>
    <w:rsid w:val="006E51C4"/>
    <w:rsid w:val="006E53AD"/>
    <w:rsid w:val="006E58CB"/>
    <w:rsid w:val="006E6A93"/>
    <w:rsid w:val="006E7227"/>
    <w:rsid w:val="006E7410"/>
    <w:rsid w:val="006E761A"/>
    <w:rsid w:val="006F0646"/>
    <w:rsid w:val="006F0741"/>
    <w:rsid w:val="006F0EE2"/>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448"/>
    <w:rsid w:val="007008A9"/>
    <w:rsid w:val="00700E8A"/>
    <w:rsid w:val="0070398A"/>
    <w:rsid w:val="00705242"/>
    <w:rsid w:val="007055E0"/>
    <w:rsid w:val="007056ED"/>
    <w:rsid w:val="00705C47"/>
    <w:rsid w:val="00705F4E"/>
    <w:rsid w:val="0070658E"/>
    <w:rsid w:val="007065C5"/>
    <w:rsid w:val="007068E1"/>
    <w:rsid w:val="00706AA0"/>
    <w:rsid w:val="00706AD4"/>
    <w:rsid w:val="00707150"/>
    <w:rsid w:val="00711CF9"/>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504"/>
    <w:rsid w:val="00721601"/>
    <w:rsid w:val="00722777"/>
    <w:rsid w:val="00723435"/>
    <w:rsid w:val="00723436"/>
    <w:rsid w:val="007240E2"/>
    <w:rsid w:val="0072454C"/>
    <w:rsid w:val="0072583E"/>
    <w:rsid w:val="00725BB5"/>
    <w:rsid w:val="00726978"/>
    <w:rsid w:val="00727C02"/>
    <w:rsid w:val="0073008E"/>
    <w:rsid w:val="00730A8B"/>
    <w:rsid w:val="00730AE8"/>
    <w:rsid w:val="00730F1B"/>
    <w:rsid w:val="007310AC"/>
    <w:rsid w:val="0073186D"/>
    <w:rsid w:val="0073261D"/>
    <w:rsid w:val="0073333D"/>
    <w:rsid w:val="007335AE"/>
    <w:rsid w:val="00733EF2"/>
    <w:rsid w:val="007343D9"/>
    <w:rsid w:val="00734F71"/>
    <w:rsid w:val="00735448"/>
    <w:rsid w:val="00736F07"/>
    <w:rsid w:val="007377BD"/>
    <w:rsid w:val="00737DEC"/>
    <w:rsid w:val="0074004D"/>
    <w:rsid w:val="00741493"/>
    <w:rsid w:val="007434E5"/>
    <w:rsid w:val="00743DB7"/>
    <w:rsid w:val="0074499B"/>
    <w:rsid w:val="0074501E"/>
    <w:rsid w:val="007450BF"/>
    <w:rsid w:val="0074599A"/>
    <w:rsid w:val="00746F45"/>
    <w:rsid w:val="007471A1"/>
    <w:rsid w:val="0074744D"/>
    <w:rsid w:val="007477BD"/>
    <w:rsid w:val="007477DA"/>
    <w:rsid w:val="00747EE9"/>
    <w:rsid w:val="007511CD"/>
    <w:rsid w:val="007520B6"/>
    <w:rsid w:val="007520F6"/>
    <w:rsid w:val="00752180"/>
    <w:rsid w:val="00752323"/>
    <w:rsid w:val="0075291E"/>
    <w:rsid w:val="007532B7"/>
    <w:rsid w:val="00753CAB"/>
    <w:rsid w:val="00754A70"/>
    <w:rsid w:val="00754BC9"/>
    <w:rsid w:val="00755202"/>
    <w:rsid w:val="00755D3A"/>
    <w:rsid w:val="00757140"/>
    <w:rsid w:val="00757241"/>
    <w:rsid w:val="0075751D"/>
    <w:rsid w:val="0075763E"/>
    <w:rsid w:val="007578D3"/>
    <w:rsid w:val="0076029B"/>
    <w:rsid w:val="007602CF"/>
    <w:rsid w:val="00760391"/>
    <w:rsid w:val="007609C6"/>
    <w:rsid w:val="007615F3"/>
    <w:rsid w:val="0076175D"/>
    <w:rsid w:val="00761CB5"/>
    <w:rsid w:val="007622B7"/>
    <w:rsid w:val="007629D5"/>
    <w:rsid w:val="007635F8"/>
    <w:rsid w:val="00763B85"/>
    <w:rsid w:val="00763DB7"/>
    <w:rsid w:val="007644A2"/>
    <w:rsid w:val="00764932"/>
    <w:rsid w:val="00764974"/>
    <w:rsid w:val="00764C76"/>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0D"/>
    <w:rsid w:val="00771972"/>
    <w:rsid w:val="007721AD"/>
    <w:rsid w:val="00772279"/>
    <w:rsid w:val="00772DAB"/>
    <w:rsid w:val="00772FF9"/>
    <w:rsid w:val="0077348B"/>
    <w:rsid w:val="007734F5"/>
    <w:rsid w:val="007743DB"/>
    <w:rsid w:val="00774D2C"/>
    <w:rsid w:val="007759C8"/>
    <w:rsid w:val="00775E00"/>
    <w:rsid w:val="0077605B"/>
    <w:rsid w:val="00776169"/>
    <w:rsid w:val="00776527"/>
    <w:rsid w:val="00777040"/>
    <w:rsid w:val="00777CE6"/>
    <w:rsid w:val="00777D57"/>
    <w:rsid w:val="00780EF1"/>
    <w:rsid w:val="00781A91"/>
    <w:rsid w:val="00781AD3"/>
    <w:rsid w:val="00781F36"/>
    <w:rsid w:val="00783576"/>
    <w:rsid w:val="00784492"/>
    <w:rsid w:val="00785778"/>
    <w:rsid w:val="00785890"/>
    <w:rsid w:val="00786C87"/>
    <w:rsid w:val="0078755E"/>
    <w:rsid w:val="007877C9"/>
    <w:rsid w:val="0079058A"/>
    <w:rsid w:val="00790764"/>
    <w:rsid w:val="0079085F"/>
    <w:rsid w:val="00790E96"/>
    <w:rsid w:val="00791005"/>
    <w:rsid w:val="00792007"/>
    <w:rsid w:val="007924BF"/>
    <w:rsid w:val="007932D3"/>
    <w:rsid w:val="00793597"/>
    <w:rsid w:val="00793D78"/>
    <w:rsid w:val="0079420B"/>
    <w:rsid w:val="0079453C"/>
    <w:rsid w:val="00794677"/>
    <w:rsid w:val="00794925"/>
    <w:rsid w:val="00795759"/>
    <w:rsid w:val="007971DC"/>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A7A92"/>
    <w:rsid w:val="007A7B13"/>
    <w:rsid w:val="007B04B0"/>
    <w:rsid w:val="007B0834"/>
    <w:rsid w:val="007B0E83"/>
    <w:rsid w:val="007B11FA"/>
    <w:rsid w:val="007B12AF"/>
    <w:rsid w:val="007B1396"/>
    <w:rsid w:val="007B16D6"/>
    <w:rsid w:val="007B1D1B"/>
    <w:rsid w:val="007B2011"/>
    <w:rsid w:val="007B2CFE"/>
    <w:rsid w:val="007B309B"/>
    <w:rsid w:val="007B3D5E"/>
    <w:rsid w:val="007B3DCB"/>
    <w:rsid w:val="007B54AE"/>
    <w:rsid w:val="007B561F"/>
    <w:rsid w:val="007B5725"/>
    <w:rsid w:val="007B5C1F"/>
    <w:rsid w:val="007B60D7"/>
    <w:rsid w:val="007B6689"/>
    <w:rsid w:val="007B66AD"/>
    <w:rsid w:val="007B6747"/>
    <w:rsid w:val="007B6F72"/>
    <w:rsid w:val="007B74AA"/>
    <w:rsid w:val="007B75E8"/>
    <w:rsid w:val="007C0069"/>
    <w:rsid w:val="007C06AF"/>
    <w:rsid w:val="007C09FB"/>
    <w:rsid w:val="007C10BD"/>
    <w:rsid w:val="007C162D"/>
    <w:rsid w:val="007C1EC4"/>
    <w:rsid w:val="007C1F0C"/>
    <w:rsid w:val="007C1FFB"/>
    <w:rsid w:val="007C289D"/>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171"/>
    <w:rsid w:val="007D42E5"/>
    <w:rsid w:val="007D4458"/>
    <w:rsid w:val="007D6A9F"/>
    <w:rsid w:val="007D6AF9"/>
    <w:rsid w:val="007D7763"/>
    <w:rsid w:val="007E0535"/>
    <w:rsid w:val="007E07F2"/>
    <w:rsid w:val="007E0D4A"/>
    <w:rsid w:val="007E0D64"/>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2DE"/>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4D33"/>
    <w:rsid w:val="0080559E"/>
    <w:rsid w:val="00805AF3"/>
    <w:rsid w:val="00806C9C"/>
    <w:rsid w:val="0080734C"/>
    <w:rsid w:val="00807C82"/>
    <w:rsid w:val="00810BD0"/>
    <w:rsid w:val="008117CC"/>
    <w:rsid w:val="00811FF8"/>
    <w:rsid w:val="0081294E"/>
    <w:rsid w:val="008129AC"/>
    <w:rsid w:val="00813D58"/>
    <w:rsid w:val="00813DCA"/>
    <w:rsid w:val="0081402B"/>
    <w:rsid w:val="008161A6"/>
    <w:rsid w:val="008165B8"/>
    <w:rsid w:val="00816905"/>
    <w:rsid w:val="00816D98"/>
    <w:rsid w:val="00816E42"/>
    <w:rsid w:val="00817040"/>
    <w:rsid w:val="00817A17"/>
    <w:rsid w:val="00817EC1"/>
    <w:rsid w:val="008207D1"/>
    <w:rsid w:val="00820D2A"/>
    <w:rsid w:val="0082112D"/>
    <w:rsid w:val="00821624"/>
    <w:rsid w:val="00821FF6"/>
    <w:rsid w:val="00822490"/>
    <w:rsid w:val="00822574"/>
    <w:rsid w:val="00822980"/>
    <w:rsid w:val="00822F08"/>
    <w:rsid w:val="0082371F"/>
    <w:rsid w:val="00824BA6"/>
    <w:rsid w:val="00825120"/>
    <w:rsid w:val="00825C4D"/>
    <w:rsid w:val="00826A08"/>
    <w:rsid w:val="00826AC0"/>
    <w:rsid w:val="00827094"/>
    <w:rsid w:val="00827186"/>
    <w:rsid w:val="00827C8E"/>
    <w:rsid w:val="00830569"/>
    <w:rsid w:val="00830AEA"/>
    <w:rsid w:val="00830E86"/>
    <w:rsid w:val="0083143E"/>
    <w:rsid w:val="008315B8"/>
    <w:rsid w:val="008315D5"/>
    <w:rsid w:val="00831CDE"/>
    <w:rsid w:val="00831F2B"/>
    <w:rsid w:val="008320CF"/>
    <w:rsid w:val="008324A3"/>
    <w:rsid w:val="00832B76"/>
    <w:rsid w:val="00832F77"/>
    <w:rsid w:val="008331B4"/>
    <w:rsid w:val="00834304"/>
    <w:rsid w:val="00834336"/>
    <w:rsid w:val="00834FAA"/>
    <w:rsid w:val="008354FB"/>
    <w:rsid w:val="00835FF1"/>
    <w:rsid w:val="00836086"/>
    <w:rsid w:val="0083630F"/>
    <w:rsid w:val="008369DA"/>
    <w:rsid w:val="00836A06"/>
    <w:rsid w:val="008374BC"/>
    <w:rsid w:val="0083785E"/>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669"/>
    <w:rsid w:val="00850E83"/>
    <w:rsid w:val="0085114D"/>
    <w:rsid w:val="00851163"/>
    <w:rsid w:val="008520A8"/>
    <w:rsid w:val="00852210"/>
    <w:rsid w:val="00852217"/>
    <w:rsid w:val="00853282"/>
    <w:rsid w:val="0085334C"/>
    <w:rsid w:val="00854291"/>
    <w:rsid w:val="00855408"/>
    <w:rsid w:val="00855D03"/>
    <w:rsid w:val="00856D65"/>
    <w:rsid w:val="00856FA4"/>
    <w:rsid w:val="00860943"/>
    <w:rsid w:val="00860D79"/>
    <w:rsid w:val="00861289"/>
    <w:rsid w:val="00861B41"/>
    <w:rsid w:val="00861B9F"/>
    <w:rsid w:val="00861BE3"/>
    <w:rsid w:val="008625D3"/>
    <w:rsid w:val="008627B1"/>
    <w:rsid w:val="00862C0A"/>
    <w:rsid w:val="00863434"/>
    <w:rsid w:val="0086344F"/>
    <w:rsid w:val="00863949"/>
    <w:rsid w:val="008641AC"/>
    <w:rsid w:val="00865E4C"/>
    <w:rsid w:val="00866074"/>
    <w:rsid w:val="0086720C"/>
    <w:rsid w:val="00867546"/>
    <w:rsid w:val="0086781C"/>
    <w:rsid w:val="00867934"/>
    <w:rsid w:val="0086796D"/>
    <w:rsid w:val="00867DAB"/>
    <w:rsid w:val="0087000B"/>
    <w:rsid w:val="008701E4"/>
    <w:rsid w:val="008704E9"/>
    <w:rsid w:val="008705FB"/>
    <w:rsid w:val="00870ECD"/>
    <w:rsid w:val="008710A4"/>
    <w:rsid w:val="0087186F"/>
    <w:rsid w:val="008726F0"/>
    <w:rsid w:val="0087347C"/>
    <w:rsid w:val="008734E7"/>
    <w:rsid w:val="0087368D"/>
    <w:rsid w:val="008740CC"/>
    <w:rsid w:val="0087442A"/>
    <w:rsid w:val="00874578"/>
    <w:rsid w:val="00874FE8"/>
    <w:rsid w:val="00875A32"/>
    <w:rsid w:val="00875CC1"/>
    <w:rsid w:val="00876086"/>
    <w:rsid w:val="00876297"/>
    <w:rsid w:val="00876651"/>
    <w:rsid w:val="00876E83"/>
    <w:rsid w:val="008772BC"/>
    <w:rsid w:val="00880A0E"/>
    <w:rsid w:val="00880C61"/>
    <w:rsid w:val="00880D68"/>
    <w:rsid w:val="008817FE"/>
    <w:rsid w:val="00881CD7"/>
    <w:rsid w:val="00882911"/>
    <w:rsid w:val="00882F6E"/>
    <w:rsid w:val="00883202"/>
    <w:rsid w:val="00884E02"/>
    <w:rsid w:val="0088502B"/>
    <w:rsid w:val="008851D8"/>
    <w:rsid w:val="008854EB"/>
    <w:rsid w:val="00885D40"/>
    <w:rsid w:val="008869C4"/>
    <w:rsid w:val="008873D4"/>
    <w:rsid w:val="00890CB1"/>
    <w:rsid w:val="00891D31"/>
    <w:rsid w:val="00891EDF"/>
    <w:rsid w:val="00892872"/>
    <w:rsid w:val="0089296D"/>
    <w:rsid w:val="00893E85"/>
    <w:rsid w:val="00893EBE"/>
    <w:rsid w:val="00893F40"/>
    <w:rsid w:val="00894029"/>
    <w:rsid w:val="00894031"/>
    <w:rsid w:val="00894C5D"/>
    <w:rsid w:val="00895508"/>
    <w:rsid w:val="008964BB"/>
    <w:rsid w:val="008967E9"/>
    <w:rsid w:val="00896A5C"/>
    <w:rsid w:val="00896AA1"/>
    <w:rsid w:val="00896E33"/>
    <w:rsid w:val="008972D2"/>
    <w:rsid w:val="0089754C"/>
    <w:rsid w:val="00897CFA"/>
    <w:rsid w:val="008A0659"/>
    <w:rsid w:val="008A0ADD"/>
    <w:rsid w:val="008A0D27"/>
    <w:rsid w:val="008A1A58"/>
    <w:rsid w:val="008A1C59"/>
    <w:rsid w:val="008A29A7"/>
    <w:rsid w:val="008A37E2"/>
    <w:rsid w:val="008A388E"/>
    <w:rsid w:val="008A394E"/>
    <w:rsid w:val="008A3CBA"/>
    <w:rsid w:val="008A4B59"/>
    <w:rsid w:val="008A58DB"/>
    <w:rsid w:val="008A63E1"/>
    <w:rsid w:val="008A66B7"/>
    <w:rsid w:val="008A68BB"/>
    <w:rsid w:val="008A6AA5"/>
    <w:rsid w:val="008A7127"/>
    <w:rsid w:val="008B0CBA"/>
    <w:rsid w:val="008B0E9E"/>
    <w:rsid w:val="008B2639"/>
    <w:rsid w:val="008B3537"/>
    <w:rsid w:val="008B3690"/>
    <w:rsid w:val="008B3A80"/>
    <w:rsid w:val="008B3AEC"/>
    <w:rsid w:val="008B3C07"/>
    <w:rsid w:val="008B3F7B"/>
    <w:rsid w:val="008B43CA"/>
    <w:rsid w:val="008B5068"/>
    <w:rsid w:val="008B50AC"/>
    <w:rsid w:val="008B5324"/>
    <w:rsid w:val="008B5C99"/>
    <w:rsid w:val="008B6106"/>
    <w:rsid w:val="008B7C02"/>
    <w:rsid w:val="008B7D2B"/>
    <w:rsid w:val="008B7EF9"/>
    <w:rsid w:val="008C0049"/>
    <w:rsid w:val="008C0314"/>
    <w:rsid w:val="008C0900"/>
    <w:rsid w:val="008C0E88"/>
    <w:rsid w:val="008C0EBE"/>
    <w:rsid w:val="008C1717"/>
    <w:rsid w:val="008C17F0"/>
    <w:rsid w:val="008C1CB5"/>
    <w:rsid w:val="008C3B05"/>
    <w:rsid w:val="008C3B6A"/>
    <w:rsid w:val="008C4A3C"/>
    <w:rsid w:val="008C4B50"/>
    <w:rsid w:val="008C5A37"/>
    <w:rsid w:val="008C5AB8"/>
    <w:rsid w:val="008C7132"/>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709"/>
    <w:rsid w:val="008D3ACD"/>
    <w:rsid w:val="008D6C3A"/>
    <w:rsid w:val="008D70E2"/>
    <w:rsid w:val="008D7BFE"/>
    <w:rsid w:val="008D7F47"/>
    <w:rsid w:val="008E0001"/>
    <w:rsid w:val="008E039E"/>
    <w:rsid w:val="008E0C88"/>
    <w:rsid w:val="008E292B"/>
    <w:rsid w:val="008E2C57"/>
    <w:rsid w:val="008E31FF"/>
    <w:rsid w:val="008E3287"/>
    <w:rsid w:val="008E36AE"/>
    <w:rsid w:val="008E38E4"/>
    <w:rsid w:val="008E3DFA"/>
    <w:rsid w:val="008E51EB"/>
    <w:rsid w:val="008E5746"/>
    <w:rsid w:val="008E5925"/>
    <w:rsid w:val="008E5997"/>
    <w:rsid w:val="008E64D7"/>
    <w:rsid w:val="008E6DCB"/>
    <w:rsid w:val="008E6F06"/>
    <w:rsid w:val="008E7000"/>
    <w:rsid w:val="008E723E"/>
    <w:rsid w:val="008E7B8E"/>
    <w:rsid w:val="008E7FC9"/>
    <w:rsid w:val="008F00AE"/>
    <w:rsid w:val="008F0107"/>
    <w:rsid w:val="008F029B"/>
    <w:rsid w:val="008F04BA"/>
    <w:rsid w:val="008F0589"/>
    <w:rsid w:val="008F0FBC"/>
    <w:rsid w:val="008F2A5D"/>
    <w:rsid w:val="008F2BC7"/>
    <w:rsid w:val="008F2E83"/>
    <w:rsid w:val="008F3636"/>
    <w:rsid w:val="008F3AD4"/>
    <w:rsid w:val="008F3FC9"/>
    <w:rsid w:val="008F5022"/>
    <w:rsid w:val="008F509F"/>
    <w:rsid w:val="008F5383"/>
    <w:rsid w:val="008F585B"/>
    <w:rsid w:val="008F7FB0"/>
    <w:rsid w:val="009003A8"/>
    <w:rsid w:val="009005E4"/>
    <w:rsid w:val="0090081B"/>
    <w:rsid w:val="00900977"/>
    <w:rsid w:val="009011BB"/>
    <w:rsid w:val="00901C7F"/>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2C6"/>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66E"/>
    <w:rsid w:val="00920EC4"/>
    <w:rsid w:val="0092180B"/>
    <w:rsid w:val="00921F14"/>
    <w:rsid w:val="00922443"/>
    <w:rsid w:val="0092276B"/>
    <w:rsid w:val="0092292F"/>
    <w:rsid w:val="00922D28"/>
    <w:rsid w:val="00923970"/>
    <w:rsid w:val="00923CB0"/>
    <w:rsid w:val="00923D8C"/>
    <w:rsid w:val="00924871"/>
    <w:rsid w:val="00924AC8"/>
    <w:rsid w:val="00924D6B"/>
    <w:rsid w:val="00925429"/>
    <w:rsid w:val="00925615"/>
    <w:rsid w:val="0092597A"/>
    <w:rsid w:val="00926520"/>
    <w:rsid w:val="009266A3"/>
    <w:rsid w:val="00926CF0"/>
    <w:rsid w:val="009273A9"/>
    <w:rsid w:val="009301B5"/>
    <w:rsid w:val="00930251"/>
    <w:rsid w:val="0093033E"/>
    <w:rsid w:val="009305FC"/>
    <w:rsid w:val="00930A99"/>
    <w:rsid w:val="00930FB1"/>
    <w:rsid w:val="0093139F"/>
    <w:rsid w:val="009318C3"/>
    <w:rsid w:val="00932239"/>
    <w:rsid w:val="00932443"/>
    <w:rsid w:val="00932B32"/>
    <w:rsid w:val="0093305E"/>
    <w:rsid w:val="00933BFC"/>
    <w:rsid w:val="00933F4A"/>
    <w:rsid w:val="009341F1"/>
    <w:rsid w:val="00934FF2"/>
    <w:rsid w:val="009358D7"/>
    <w:rsid w:val="00935BD4"/>
    <w:rsid w:val="00935DFE"/>
    <w:rsid w:val="00935F70"/>
    <w:rsid w:val="0093648B"/>
    <w:rsid w:val="00937017"/>
    <w:rsid w:val="009373B2"/>
    <w:rsid w:val="00937AE2"/>
    <w:rsid w:val="009400F5"/>
    <w:rsid w:val="0094061F"/>
    <w:rsid w:val="00940F0F"/>
    <w:rsid w:val="00941912"/>
    <w:rsid w:val="00942393"/>
    <w:rsid w:val="0094416B"/>
    <w:rsid w:val="0094427A"/>
    <w:rsid w:val="009449C6"/>
    <w:rsid w:val="00944A17"/>
    <w:rsid w:val="00944C7C"/>
    <w:rsid w:val="00945245"/>
    <w:rsid w:val="00945523"/>
    <w:rsid w:val="00946C43"/>
    <w:rsid w:val="00950921"/>
    <w:rsid w:val="009513F7"/>
    <w:rsid w:val="00951D68"/>
    <w:rsid w:val="00951E5B"/>
    <w:rsid w:val="00952050"/>
    <w:rsid w:val="00952315"/>
    <w:rsid w:val="009523D9"/>
    <w:rsid w:val="00952B7B"/>
    <w:rsid w:val="0095357B"/>
    <w:rsid w:val="009538B3"/>
    <w:rsid w:val="00953B93"/>
    <w:rsid w:val="00954F39"/>
    <w:rsid w:val="009555FD"/>
    <w:rsid w:val="00955BAD"/>
    <w:rsid w:val="0095664B"/>
    <w:rsid w:val="009568DC"/>
    <w:rsid w:val="00956F60"/>
    <w:rsid w:val="00957140"/>
    <w:rsid w:val="00957445"/>
    <w:rsid w:val="0095759C"/>
    <w:rsid w:val="00960F4F"/>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928"/>
    <w:rsid w:val="00965A10"/>
    <w:rsid w:val="00965AD0"/>
    <w:rsid w:val="009670A3"/>
    <w:rsid w:val="009674BE"/>
    <w:rsid w:val="00967675"/>
    <w:rsid w:val="00970FB5"/>
    <w:rsid w:val="009715F2"/>
    <w:rsid w:val="00971710"/>
    <w:rsid w:val="00971B87"/>
    <w:rsid w:val="00971C77"/>
    <w:rsid w:val="0097203A"/>
    <w:rsid w:val="00972FCD"/>
    <w:rsid w:val="00973324"/>
    <w:rsid w:val="009736DF"/>
    <w:rsid w:val="009741AE"/>
    <w:rsid w:val="009741FC"/>
    <w:rsid w:val="00974475"/>
    <w:rsid w:val="00974782"/>
    <w:rsid w:val="00974923"/>
    <w:rsid w:val="009757EA"/>
    <w:rsid w:val="00975909"/>
    <w:rsid w:val="0097737B"/>
    <w:rsid w:val="009774CA"/>
    <w:rsid w:val="00977C3D"/>
    <w:rsid w:val="00980C28"/>
    <w:rsid w:val="00980D3D"/>
    <w:rsid w:val="0098103E"/>
    <w:rsid w:val="0098157D"/>
    <w:rsid w:val="00983101"/>
    <w:rsid w:val="00983E41"/>
    <w:rsid w:val="009845E1"/>
    <w:rsid w:val="00984D1B"/>
    <w:rsid w:val="00986246"/>
    <w:rsid w:val="00987A30"/>
    <w:rsid w:val="00987F57"/>
    <w:rsid w:val="00990312"/>
    <w:rsid w:val="0099182E"/>
    <w:rsid w:val="00991957"/>
    <w:rsid w:val="00991D45"/>
    <w:rsid w:val="00992BB3"/>
    <w:rsid w:val="00992CF3"/>
    <w:rsid w:val="00993194"/>
    <w:rsid w:val="0099321E"/>
    <w:rsid w:val="00994171"/>
    <w:rsid w:val="00994868"/>
    <w:rsid w:val="00994976"/>
    <w:rsid w:val="00994D28"/>
    <w:rsid w:val="00994F2C"/>
    <w:rsid w:val="00995720"/>
    <w:rsid w:val="009957CC"/>
    <w:rsid w:val="009968D6"/>
    <w:rsid w:val="00996BD9"/>
    <w:rsid w:val="00997213"/>
    <w:rsid w:val="009974E8"/>
    <w:rsid w:val="00997953"/>
    <w:rsid w:val="00997D55"/>
    <w:rsid w:val="009A0349"/>
    <w:rsid w:val="009A0BFF"/>
    <w:rsid w:val="009A10A0"/>
    <w:rsid w:val="009A1CAB"/>
    <w:rsid w:val="009A2359"/>
    <w:rsid w:val="009A24F1"/>
    <w:rsid w:val="009A27E0"/>
    <w:rsid w:val="009A2DBB"/>
    <w:rsid w:val="009A4D57"/>
    <w:rsid w:val="009A5049"/>
    <w:rsid w:val="009A51A5"/>
    <w:rsid w:val="009A5309"/>
    <w:rsid w:val="009A5759"/>
    <w:rsid w:val="009A60D1"/>
    <w:rsid w:val="009A6225"/>
    <w:rsid w:val="009A64F5"/>
    <w:rsid w:val="009B00D2"/>
    <w:rsid w:val="009B05B3"/>
    <w:rsid w:val="009B0CAF"/>
    <w:rsid w:val="009B1324"/>
    <w:rsid w:val="009B2558"/>
    <w:rsid w:val="009B284F"/>
    <w:rsid w:val="009B35A0"/>
    <w:rsid w:val="009B3764"/>
    <w:rsid w:val="009B3840"/>
    <w:rsid w:val="009B52AC"/>
    <w:rsid w:val="009B553D"/>
    <w:rsid w:val="009B59EA"/>
    <w:rsid w:val="009B66CE"/>
    <w:rsid w:val="009B6A37"/>
    <w:rsid w:val="009B6FD3"/>
    <w:rsid w:val="009B72BE"/>
    <w:rsid w:val="009B78A4"/>
    <w:rsid w:val="009B7DB2"/>
    <w:rsid w:val="009C03DB"/>
    <w:rsid w:val="009C15AF"/>
    <w:rsid w:val="009C1750"/>
    <w:rsid w:val="009C1E76"/>
    <w:rsid w:val="009C243F"/>
    <w:rsid w:val="009C2E29"/>
    <w:rsid w:val="009C3032"/>
    <w:rsid w:val="009C3170"/>
    <w:rsid w:val="009C37BD"/>
    <w:rsid w:val="009C3E8F"/>
    <w:rsid w:val="009C554B"/>
    <w:rsid w:val="009C5E83"/>
    <w:rsid w:val="009C6AE5"/>
    <w:rsid w:val="009C7126"/>
    <w:rsid w:val="009C719E"/>
    <w:rsid w:val="009C7238"/>
    <w:rsid w:val="009C7799"/>
    <w:rsid w:val="009D07A9"/>
    <w:rsid w:val="009D0AE2"/>
    <w:rsid w:val="009D0D9F"/>
    <w:rsid w:val="009D0EBB"/>
    <w:rsid w:val="009D2890"/>
    <w:rsid w:val="009D2C46"/>
    <w:rsid w:val="009D3ACD"/>
    <w:rsid w:val="009D3F73"/>
    <w:rsid w:val="009D4254"/>
    <w:rsid w:val="009D4847"/>
    <w:rsid w:val="009D4F21"/>
    <w:rsid w:val="009D587D"/>
    <w:rsid w:val="009D6EA6"/>
    <w:rsid w:val="009D7731"/>
    <w:rsid w:val="009D7C31"/>
    <w:rsid w:val="009E1120"/>
    <w:rsid w:val="009E1393"/>
    <w:rsid w:val="009E1922"/>
    <w:rsid w:val="009E1A3D"/>
    <w:rsid w:val="009E3EA1"/>
    <w:rsid w:val="009E4715"/>
    <w:rsid w:val="009E4A58"/>
    <w:rsid w:val="009E5273"/>
    <w:rsid w:val="009E57A8"/>
    <w:rsid w:val="009E5B85"/>
    <w:rsid w:val="009E5DDB"/>
    <w:rsid w:val="009E74B3"/>
    <w:rsid w:val="009F1CA6"/>
    <w:rsid w:val="009F2921"/>
    <w:rsid w:val="009F42CF"/>
    <w:rsid w:val="009F4982"/>
    <w:rsid w:val="009F4CA7"/>
    <w:rsid w:val="009F4F6A"/>
    <w:rsid w:val="009F55BA"/>
    <w:rsid w:val="009F7541"/>
    <w:rsid w:val="009F7D36"/>
    <w:rsid w:val="009F7D61"/>
    <w:rsid w:val="009F7DF4"/>
    <w:rsid w:val="00A00994"/>
    <w:rsid w:val="00A009B0"/>
    <w:rsid w:val="00A00E71"/>
    <w:rsid w:val="00A0187B"/>
    <w:rsid w:val="00A02E8B"/>
    <w:rsid w:val="00A0306F"/>
    <w:rsid w:val="00A03511"/>
    <w:rsid w:val="00A03B10"/>
    <w:rsid w:val="00A03E2E"/>
    <w:rsid w:val="00A04616"/>
    <w:rsid w:val="00A04717"/>
    <w:rsid w:val="00A05D8F"/>
    <w:rsid w:val="00A05EB1"/>
    <w:rsid w:val="00A05EE4"/>
    <w:rsid w:val="00A06F99"/>
    <w:rsid w:val="00A1004C"/>
    <w:rsid w:val="00A1053B"/>
    <w:rsid w:val="00A106E6"/>
    <w:rsid w:val="00A10D66"/>
    <w:rsid w:val="00A113A4"/>
    <w:rsid w:val="00A11E70"/>
    <w:rsid w:val="00A12A8E"/>
    <w:rsid w:val="00A12CAD"/>
    <w:rsid w:val="00A12D93"/>
    <w:rsid w:val="00A133F9"/>
    <w:rsid w:val="00A14114"/>
    <w:rsid w:val="00A1576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1ED3"/>
    <w:rsid w:val="00A22073"/>
    <w:rsid w:val="00A2229E"/>
    <w:rsid w:val="00A22361"/>
    <w:rsid w:val="00A223E0"/>
    <w:rsid w:val="00A22418"/>
    <w:rsid w:val="00A22959"/>
    <w:rsid w:val="00A2312C"/>
    <w:rsid w:val="00A23158"/>
    <w:rsid w:val="00A232D7"/>
    <w:rsid w:val="00A237C6"/>
    <w:rsid w:val="00A23847"/>
    <w:rsid w:val="00A23E43"/>
    <w:rsid w:val="00A24726"/>
    <w:rsid w:val="00A24DEB"/>
    <w:rsid w:val="00A24ED9"/>
    <w:rsid w:val="00A251DB"/>
    <w:rsid w:val="00A25216"/>
    <w:rsid w:val="00A252AC"/>
    <w:rsid w:val="00A2597D"/>
    <w:rsid w:val="00A2628E"/>
    <w:rsid w:val="00A264E0"/>
    <w:rsid w:val="00A264F5"/>
    <w:rsid w:val="00A266BF"/>
    <w:rsid w:val="00A26777"/>
    <w:rsid w:val="00A2731E"/>
    <w:rsid w:val="00A309AC"/>
    <w:rsid w:val="00A30F65"/>
    <w:rsid w:val="00A315D0"/>
    <w:rsid w:val="00A3279E"/>
    <w:rsid w:val="00A33DB1"/>
    <w:rsid w:val="00A33EEB"/>
    <w:rsid w:val="00A35900"/>
    <w:rsid w:val="00A35982"/>
    <w:rsid w:val="00A35F33"/>
    <w:rsid w:val="00A36E9D"/>
    <w:rsid w:val="00A401A3"/>
    <w:rsid w:val="00A4064D"/>
    <w:rsid w:val="00A40EAC"/>
    <w:rsid w:val="00A418BC"/>
    <w:rsid w:val="00A419FF"/>
    <w:rsid w:val="00A41FCF"/>
    <w:rsid w:val="00A42593"/>
    <w:rsid w:val="00A42936"/>
    <w:rsid w:val="00A433ED"/>
    <w:rsid w:val="00A43CF8"/>
    <w:rsid w:val="00A43DF2"/>
    <w:rsid w:val="00A445A8"/>
    <w:rsid w:val="00A44ADE"/>
    <w:rsid w:val="00A44B0D"/>
    <w:rsid w:val="00A44D21"/>
    <w:rsid w:val="00A45087"/>
    <w:rsid w:val="00A45489"/>
    <w:rsid w:val="00A45858"/>
    <w:rsid w:val="00A45988"/>
    <w:rsid w:val="00A45CED"/>
    <w:rsid w:val="00A465E9"/>
    <w:rsid w:val="00A468E7"/>
    <w:rsid w:val="00A46DE0"/>
    <w:rsid w:val="00A478BA"/>
    <w:rsid w:val="00A50D73"/>
    <w:rsid w:val="00A518BB"/>
    <w:rsid w:val="00A52A88"/>
    <w:rsid w:val="00A52CAD"/>
    <w:rsid w:val="00A53340"/>
    <w:rsid w:val="00A53FC7"/>
    <w:rsid w:val="00A55569"/>
    <w:rsid w:val="00A55C36"/>
    <w:rsid w:val="00A5661B"/>
    <w:rsid w:val="00A566A0"/>
    <w:rsid w:val="00A571D8"/>
    <w:rsid w:val="00A600E7"/>
    <w:rsid w:val="00A601E7"/>
    <w:rsid w:val="00A60AC1"/>
    <w:rsid w:val="00A626FF"/>
    <w:rsid w:val="00A62CB0"/>
    <w:rsid w:val="00A62CE1"/>
    <w:rsid w:val="00A65469"/>
    <w:rsid w:val="00A65528"/>
    <w:rsid w:val="00A655D3"/>
    <w:rsid w:val="00A662D9"/>
    <w:rsid w:val="00A6630C"/>
    <w:rsid w:val="00A6741E"/>
    <w:rsid w:val="00A67E29"/>
    <w:rsid w:val="00A7016A"/>
    <w:rsid w:val="00A7018D"/>
    <w:rsid w:val="00A7191D"/>
    <w:rsid w:val="00A722F9"/>
    <w:rsid w:val="00A72D42"/>
    <w:rsid w:val="00A73DB6"/>
    <w:rsid w:val="00A746C9"/>
    <w:rsid w:val="00A74C2A"/>
    <w:rsid w:val="00A75E40"/>
    <w:rsid w:val="00A76818"/>
    <w:rsid w:val="00A777FE"/>
    <w:rsid w:val="00A77D1D"/>
    <w:rsid w:val="00A77E6B"/>
    <w:rsid w:val="00A81652"/>
    <w:rsid w:val="00A82BF0"/>
    <w:rsid w:val="00A82C91"/>
    <w:rsid w:val="00A83150"/>
    <w:rsid w:val="00A83398"/>
    <w:rsid w:val="00A8394B"/>
    <w:rsid w:val="00A83D6E"/>
    <w:rsid w:val="00A83FD5"/>
    <w:rsid w:val="00A8521A"/>
    <w:rsid w:val="00A85323"/>
    <w:rsid w:val="00A853BF"/>
    <w:rsid w:val="00A857C0"/>
    <w:rsid w:val="00A85ACB"/>
    <w:rsid w:val="00A85DE3"/>
    <w:rsid w:val="00A85F12"/>
    <w:rsid w:val="00A86FEF"/>
    <w:rsid w:val="00A9036F"/>
    <w:rsid w:val="00A9092B"/>
    <w:rsid w:val="00A90F2C"/>
    <w:rsid w:val="00A90FED"/>
    <w:rsid w:val="00A91482"/>
    <w:rsid w:val="00A9189D"/>
    <w:rsid w:val="00A91E71"/>
    <w:rsid w:val="00A925B1"/>
    <w:rsid w:val="00A92A3E"/>
    <w:rsid w:val="00A934F9"/>
    <w:rsid w:val="00A938E0"/>
    <w:rsid w:val="00A940E3"/>
    <w:rsid w:val="00A942B7"/>
    <w:rsid w:val="00A94983"/>
    <w:rsid w:val="00A94DF9"/>
    <w:rsid w:val="00A9532C"/>
    <w:rsid w:val="00A95A5C"/>
    <w:rsid w:val="00A95F1A"/>
    <w:rsid w:val="00A96116"/>
    <w:rsid w:val="00A9614E"/>
    <w:rsid w:val="00A96422"/>
    <w:rsid w:val="00A96C0F"/>
    <w:rsid w:val="00A97075"/>
    <w:rsid w:val="00A970D7"/>
    <w:rsid w:val="00AA0A80"/>
    <w:rsid w:val="00AA0E80"/>
    <w:rsid w:val="00AA16F4"/>
    <w:rsid w:val="00AA17CD"/>
    <w:rsid w:val="00AA1D85"/>
    <w:rsid w:val="00AA212B"/>
    <w:rsid w:val="00AA212F"/>
    <w:rsid w:val="00AA2130"/>
    <w:rsid w:val="00AA2648"/>
    <w:rsid w:val="00AA26A9"/>
    <w:rsid w:val="00AA28FC"/>
    <w:rsid w:val="00AA2996"/>
    <w:rsid w:val="00AA2AF4"/>
    <w:rsid w:val="00AA3B9F"/>
    <w:rsid w:val="00AA4282"/>
    <w:rsid w:val="00AA43F2"/>
    <w:rsid w:val="00AA4790"/>
    <w:rsid w:val="00AA52BF"/>
    <w:rsid w:val="00AA559A"/>
    <w:rsid w:val="00AA67D6"/>
    <w:rsid w:val="00AA6C31"/>
    <w:rsid w:val="00AA7752"/>
    <w:rsid w:val="00AA7CE8"/>
    <w:rsid w:val="00AB1457"/>
    <w:rsid w:val="00AB2AF1"/>
    <w:rsid w:val="00AB32CB"/>
    <w:rsid w:val="00AB348F"/>
    <w:rsid w:val="00AB3AD7"/>
    <w:rsid w:val="00AB3BA7"/>
    <w:rsid w:val="00AB3EC7"/>
    <w:rsid w:val="00AB5A64"/>
    <w:rsid w:val="00AB5CA1"/>
    <w:rsid w:val="00AB6395"/>
    <w:rsid w:val="00AB6456"/>
    <w:rsid w:val="00AB75C5"/>
    <w:rsid w:val="00AC044E"/>
    <w:rsid w:val="00AC2118"/>
    <w:rsid w:val="00AC2395"/>
    <w:rsid w:val="00AC271D"/>
    <w:rsid w:val="00AC2960"/>
    <w:rsid w:val="00AC2AC4"/>
    <w:rsid w:val="00AC4284"/>
    <w:rsid w:val="00AC45BD"/>
    <w:rsid w:val="00AC50BB"/>
    <w:rsid w:val="00AC5256"/>
    <w:rsid w:val="00AC5AA9"/>
    <w:rsid w:val="00AC78F1"/>
    <w:rsid w:val="00AD0B22"/>
    <w:rsid w:val="00AD0EE7"/>
    <w:rsid w:val="00AD168E"/>
    <w:rsid w:val="00AD2530"/>
    <w:rsid w:val="00AD306C"/>
    <w:rsid w:val="00AD3A14"/>
    <w:rsid w:val="00AD44CD"/>
    <w:rsid w:val="00AD47A7"/>
    <w:rsid w:val="00AD5AD2"/>
    <w:rsid w:val="00AD6462"/>
    <w:rsid w:val="00AD66C5"/>
    <w:rsid w:val="00AD68C4"/>
    <w:rsid w:val="00AD71F9"/>
    <w:rsid w:val="00AE09B3"/>
    <w:rsid w:val="00AE1311"/>
    <w:rsid w:val="00AE18FB"/>
    <w:rsid w:val="00AE1A83"/>
    <w:rsid w:val="00AE2C25"/>
    <w:rsid w:val="00AE30BE"/>
    <w:rsid w:val="00AE3858"/>
    <w:rsid w:val="00AE3DAA"/>
    <w:rsid w:val="00AE3E6A"/>
    <w:rsid w:val="00AE417E"/>
    <w:rsid w:val="00AE56EE"/>
    <w:rsid w:val="00AE6414"/>
    <w:rsid w:val="00AE6A0F"/>
    <w:rsid w:val="00AE7269"/>
    <w:rsid w:val="00AE7739"/>
    <w:rsid w:val="00AE797C"/>
    <w:rsid w:val="00AE7CE7"/>
    <w:rsid w:val="00AE7FAB"/>
    <w:rsid w:val="00AF0DE4"/>
    <w:rsid w:val="00AF12A0"/>
    <w:rsid w:val="00AF1E87"/>
    <w:rsid w:val="00AF436B"/>
    <w:rsid w:val="00AF50DD"/>
    <w:rsid w:val="00AF5179"/>
    <w:rsid w:val="00AF5CC2"/>
    <w:rsid w:val="00AF660D"/>
    <w:rsid w:val="00AF6776"/>
    <w:rsid w:val="00AF6D54"/>
    <w:rsid w:val="00AF6F98"/>
    <w:rsid w:val="00AF7277"/>
    <w:rsid w:val="00B00550"/>
    <w:rsid w:val="00B00913"/>
    <w:rsid w:val="00B00D4D"/>
    <w:rsid w:val="00B01593"/>
    <w:rsid w:val="00B018DF"/>
    <w:rsid w:val="00B01D0F"/>
    <w:rsid w:val="00B01FF9"/>
    <w:rsid w:val="00B023F2"/>
    <w:rsid w:val="00B026FE"/>
    <w:rsid w:val="00B0271F"/>
    <w:rsid w:val="00B038CA"/>
    <w:rsid w:val="00B049A5"/>
    <w:rsid w:val="00B05F00"/>
    <w:rsid w:val="00B06DB4"/>
    <w:rsid w:val="00B07132"/>
    <w:rsid w:val="00B0750D"/>
    <w:rsid w:val="00B07674"/>
    <w:rsid w:val="00B07850"/>
    <w:rsid w:val="00B0799C"/>
    <w:rsid w:val="00B102CE"/>
    <w:rsid w:val="00B108C1"/>
    <w:rsid w:val="00B10A4D"/>
    <w:rsid w:val="00B10B82"/>
    <w:rsid w:val="00B10C90"/>
    <w:rsid w:val="00B11002"/>
    <w:rsid w:val="00B1114F"/>
    <w:rsid w:val="00B11A78"/>
    <w:rsid w:val="00B11B59"/>
    <w:rsid w:val="00B121B2"/>
    <w:rsid w:val="00B12B59"/>
    <w:rsid w:val="00B131B1"/>
    <w:rsid w:val="00B13671"/>
    <w:rsid w:val="00B141B6"/>
    <w:rsid w:val="00B14BC1"/>
    <w:rsid w:val="00B14E93"/>
    <w:rsid w:val="00B154DE"/>
    <w:rsid w:val="00B162C3"/>
    <w:rsid w:val="00B16DD1"/>
    <w:rsid w:val="00B16EB8"/>
    <w:rsid w:val="00B1700A"/>
    <w:rsid w:val="00B17E71"/>
    <w:rsid w:val="00B17FDE"/>
    <w:rsid w:val="00B20632"/>
    <w:rsid w:val="00B22210"/>
    <w:rsid w:val="00B22DD8"/>
    <w:rsid w:val="00B233BF"/>
    <w:rsid w:val="00B2379C"/>
    <w:rsid w:val="00B23D5D"/>
    <w:rsid w:val="00B23E6E"/>
    <w:rsid w:val="00B2450C"/>
    <w:rsid w:val="00B2464B"/>
    <w:rsid w:val="00B2501C"/>
    <w:rsid w:val="00B2687D"/>
    <w:rsid w:val="00B276F5"/>
    <w:rsid w:val="00B3108D"/>
    <w:rsid w:val="00B310AC"/>
    <w:rsid w:val="00B32DDB"/>
    <w:rsid w:val="00B32F31"/>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496"/>
    <w:rsid w:val="00B439DA"/>
    <w:rsid w:val="00B44097"/>
    <w:rsid w:val="00B4411A"/>
    <w:rsid w:val="00B44504"/>
    <w:rsid w:val="00B44566"/>
    <w:rsid w:val="00B45FE8"/>
    <w:rsid w:val="00B46604"/>
    <w:rsid w:val="00B47089"/>
    <w:rsid w:val="00B47587"/>
    <w:rsid w:val="00B5150A"/>
    <w:rsid w:val="00B51B36"/>
    <w:rsid w:val="00B52151"/>
    <w:rsid w:val="00B52188"/>
    <w:rsid w:val="00B530CD"/>
    <w:rsid w:val="00B53639"/>
    <w:rsid w:val="00B53C7D"/>
    <w:rsid w:val="00B53E56"/>
    <w:rsid w:val="00B55311"/>
    <w:rsid w:val="00B5597E"/>
    <w:rsid w:val="00B55A97"/>
    <w:rsid w:val="00B55F5E"/>
    <w:rsid w:val="00B5601B"/>
    <w:rsid w:val="00B56196"/>
    <w:rsid w:val="00B5642C"/>
    <w:rsid w:val="00B5658D"/>
    <w:rsid w:val="00B56B6F"/>
    <w:rsid w:val="00B5752E"/>
    <w:rsid w:val="00B60AC1"/>
    <w:rsid w:val="00B61FF6"/>
    <w:rsid w:val="00B62316"/>
    <w:rsid w:val="00B63A11"/>
    <w:rsid w:val="00B64425"/>
    <w:rsid w:val="00B64C24"/>
    <w:rsid w:val="00B64E72"/>
    <w:rsid w:val="00B65CEF"/>
    <w:rsid w:val="00B6608F"/>
    <w:rsid w:val="00B67749"/>
    <w:rsid w:val="00B679FB"/>
    <w:rsid w:val="00B67CA1"/>
    <w:rsid w:val="00B71FBF"/>
    <w:rsid w:val="00B734A0"/>
    <w:rsid w:val="00B73A14"/>
    <w:rsid w:val="00B73B91"/>
    <w:rsid w:val="00B74306"/>
    <w:rsid w:val="00B748BD"/>
    <w:rsid w:val="00B74FD7"/>
    <w:rsid w:val="00B754D6"/>
    <w:rsid w:val="00B76100"/>
    <w:rsid w:val="00B7680F"/>
    <w:rsid w:val="00B76B48"/>
    <w:rsid w:val="00B76D1E"/>
    <w:rsid w:val="00B77543"/>
    <w:rsid w:val="00B77584"/>
    <w:rsid w:val="00B77D23"/>
    <w:rsid w:val="00B77E34"/>
    <w:rsid w:val="00B80D44"/>
    <w:rsid w:val="00B80D89"/>
    <w:rsid w:val="00B80EC6"/>
    <w:rsid w:val="00B81288"/>
    <w:rsid w:val="00B8128A"/>
    <w:rsid w:val="00B81D70"/>
    <w:rsid w:val="00B81EBC"/>
    <w:rsid w:val="00B833B9"/>
    <w:rsid w:val="00B83AAF"/>
    <w:rsid w:val="00B83E07"/>
    <w:rsid w:val="00B84CF6"/>
    <w:rsid w:val="00B85016"/>
    <w:rsid w:val="00B8561A"/>
    <w:rsid w:val="00B86628"/>
    <w:rsid w:val="00B86643"/>
    <w:rsid w:val="00B868F7"/>
    <w:rsid w:val="00B86EB1"/>
    <w:rsid w:val="00B871A7"/>
    <w:rsid w:val="00B8792C"/>
    <w:rsid w:val="00B90131"/>
    <w:rsid w:val="00B9215C"/>
    <w:rsid w:val="00B9225C"/>
    <w:rsid w:val="00B92951"/>
    <w:rsid w:val="00B92D1D"/>
    <w:rsid w:val="00B92D7E"/>
    <w:rsid w:val="00B930CE"/>
    <w:rsid w:val="00B938C5"/>
    <w:rsid w:val="00B940A8"/>
    <w:rsid w:val="00B9554A"/>
    <w:rsid w:val="00B95940"/>
    <w:rsid w:val="00B95ACA"/>
    <w:rsid w:val="00B95C12"/>
    <w:rsid w:val="00B96035"/>
    <w:rsid w:val="00B96D74"/>
    <w:rsid w:val="00B9720E"/>
    <w:rsid w:val="00B973A0"/>
    <w:rsid w:val="00B97ACC"/>
    <w:rsid w:val="00B97FE2"/>
    <w:rsid w:val="00BA0E0B"/>
    <w:rsid w:val="00BA201A"/>
    <w:rsid w:val="00BA21DF"/>
    <w:rsid w:val="00BA2C4A"/>
    <w:rsid w:val="00BA361D"/>
    <w:rsid w:val="00BA3787"/>
    <w:rsid w:val="00BA403A"/>
    <w:rsid w:val="00BA4085"/>
    <w:rsid w:val="00BA4287"/>
    <w:rsid w:val="00BA46E8"/>
    <w:rsid w:val="00BA49DB"/>
    <w:rsid w:val="00BA4AE9"/>
    <w:rsid w:val="00BA4E19"/>
    <w:rsid w:val="00BA6436"/>
    <w:rsid w:val="00BA64F2"/>
    <w:rsid w:val="00BA684E"/>
    <w:rsid w:val="00BA6C2B"/>
    <w:rsid w:val="00BA7B64"/>
    <w:rsid w:val="00BB02A3"/>
    <w:rsid w:val="00BB0351"/>
    <w:rsid w:val="00BB0D48"/>
    <w:rsid w:val="00BB1209"/>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60A"/>
    <w:rsid w:val="00BC0930"/>
    <w:rsid w:val="00BC1537"/>
    <w:rsid w:val="00BC327F"/>
    <w:rsid w:val="00BC3512"/>
    <w:rsid w:val="00BC4A8C"/>
    <w:rsid w:val="00BC4B35"/>
    <w:rsid w:val="00BC50BE"/>
    <w:rsid w:val="00BC5332"/>
    <w:rsid w:val="00BC5715"/>
    <w:rsid w:val="00BC5C12"/>
    <w:rsid w:val="00BC641B"/>
    <w:rsid w:val="00BC69C7"/>
    <w:rsid w:val="00BC7154"/>
    <w:rsid w:val="00BC731E"/>
    <w:rsid w:val="00BC7614"/>
    <w:rsid w:val="00BC7BCB"/>
    <w:rsid w:val="00BC7EFA"/>
    <w:rsid w:val="00BD041B"/>
    <w:rsid w:val="00BD25BB"/>
    <w:rsid w:val="00BD2AF8"/>
    <w:rsid w:val="00BD366B"/>
    <w:rsid w:val="00BD3C09"/>
    <w:rsid w:val="00BD410B"/>
    <w:rsid w:val="00BD41DB"/>
    <w:rsid w:val="00BD4A73"/>
    <w:rsid w:val="00BD4EDD"/>
    <w:rsid w:val="00BD4EF4"/>
    <w:rsid w:val="00BD4EFA"/>
    <w:rsid w:val="00BD5822"/>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0AF"/>
    <w:rsid w:val="00BE7F5F"/>
    <w:rsid w:val="00BF02C8"/>
    <w:rsid w:val="00BF1481"/>
    <w:rsid w:val="00BF1578"/>
    <w:rsid w:val="00BF15CA"/>
    <w:rsid w:val="00BF1D12"/>
    <w:rsid w:val="00BF1D3A"/>
    <w:rsid w:val="00BF2B5B"/>
    <w:rsid w:val="00BF2D41"/>
    <w:rsid w:val="00BF3274"/>
    <w:rsid w:val="00BF32DC"/>
    <w:rsid w:val="00BF35C9"/>
    <w:rsid w:val="00BF4329"/>
    <w:rsid w:val="00BF4E43"/>
    <w:rsid w:val="00BF53D9"/>
    <w:rsid w:val="00BF5C4C"/>
    <w:rsid w:val="00BF765C"/>
    <w:rsid w:val="00BF77FC"/>
    <w:rsid w:val="00C000A4"/>
    <w:rsid w:val="00C006D6"/>
    <w:rsid w:val="00C00BD7"/>
    <w:rsid w:val="00C01410"/>
    <w:rsid w:val="00C015C0"/>
    <w:rsid w:val="00C02D23"/>
    <w:rsid w:val="00C03D4D"/>
    <w:rsid w:val="00C044F4"/>
    <w:rsid w:val="00C04B78"/>
    <w:rsid w:val="00C052AA"/>
    <w:rsid w:val="00C06EE3"/>
    <w:rsid w:val="00C07279"/>
    <w:rsid w:val="00C07749"/>
    <w:rsid w:val="00C07C67"/>
    <w:rsid w:val="00C102FB"/>
    <w:rsid w:val="00C107F8"/>
    <w:rsid w:val="00C11244"/>
    <w:rsid w:val="00C118A9"/>
    <w:rsid w:val="00C11D48"/>
    <w:rsid w:val="00C12304"/>
    <w:rsid w:val="00C12316"/>
    <w:rsid w:val="00C1234A"/>
    <w:rsid w:val="00C1246C"/>
    <w:rsid w:val="00C139F8"/>
    <w:rsid w:val="00C141AD"/>
    <w:rsid w:val="00C1493E"/>
    <w:rsid w:val="00C15708"/>
    <w:rsid w:val="00C15DBD"/>
    <w:rsid w:val="00C161C5"/>
    <w:rsid w:val="00C16DD1"/>
    <w:rsid w:val="00C172F7"/>
    <w:rsid w:val="00C2010D"/>
    <w:rsid w:val="00C20CB5"/>
    <w:rsid w:val="00C20DE9"/>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B76"/>
    <w:rsid w:val="00C31F21"/>
    <w:rsid w:val="00C32631"/>
    <w:rsid w:val="00C33301"/>
    <w:rsid w:val="00C33311"/>
    <w:rsid w:val="00C33B68"/>
    <w:rsid w:val="00C34430"/>
    <w:rsid w:val="00C34AD4"/>
    <w:rsid w:val="00C35570"/>
    <w:rsid w:val="00C3566B"/>
    <w:rsid w:val="00C35A2A"/>
    <w:rsid w:val="00C36A79"/>
    <w:rsid w:val="00C37234"/>
    <w:rsid w:val="00C401A9"/>
    <w:rsid w:val="00C401D2"/>
    <w:rsid w:val="00C4031A"/>
    <w:rsid w:val="00C405D4"/>
    <w:rsid w:val="00C419D5"/>
    <w:rsid w:val="00C41D54"/>
    <w:rsid w:val="00C42EBB"/>
    <w:rsid w:val="00C44644"/>
    <w:rsid w:val="00C4513B"/>
    <w:rsid w:val="00C475E8"/>
    <w:rsid w:val="00C50E79"/>
    <w:rsid w:val="00C5197D"/>
    <w:rsid w:val="00C525FB"/>
    <w:rsid w:val="00C5390B"/>
    <w:rsid w:val="00C53E99"/>
    <w:rsid w:val="00C54257"/>
    <w:rsid w:val="00C54697"/>
    <w:rsid w:val="00C550CE"/>
    <w:rsid w:val="00C553A5"/>
    <w:rsid w:val="00C55402"/>
    <w:rsid w:val="00C5603B"/>
    <w:rsid w:val="00C60AE3"/>
    <w:rsid w:val="00C61299"/>
    <w:rsid w:val="00C61F47"/>
    <w:rsid w:val="00C62828"/>
    <w:rsid w:val="00C63D91"/>
    <w:rsid w:val="00C655DA"/>
    <w:rsid w:val="00C672C1"/>
    <w:rsid w:val="00C706D2"/>
    <w:rsid w:val="00C7109C"/>
    <w:rsid w:val="00C715CC"/>
    <w:rsid w:val="00C719A3"/>
    <w:rsid w:val="00C71D2F"/>
    <w:rsid w:val="00C71D71"/>
    <w:rsid w:val="00C723DE"/>
    <w:rsid w:val="00C72984"/>
    <w:rsid w:val="00C73885"/>
    <w:rsid w:val="00C73C93"/>
    <w:rsid w:val="00C7435A"/>
    <w:rsid w:val="00C747B1"/>
    <w:rsid w:val="00C74FD1"/>
    <w:rsid w:val="00C753DD"/>
    <w:rsid w:val="00C75510"/>
    <w:rsid w:val="00C755F9"/>
    <w:rsid w:val="00C75752"/>
    <w:rsid w:val="00C75B60"/>
    <w:rsid w:val="00C761EC"/>
    <w:rsid w:val="00C76C2F"/>
    <w:rsid w:val="00C7704F"/>
    <w:rsid w:val="00C770C9"/>
    <w:rsid w:val="00C8090B"/>
    <w:rsid w:val="00C81070"/>
    <w:rsid w:val="00C8174E"/>
    <w:rsid w:val="00C8182D"/>
    <w:rsid w:val="00C82191"/>
    <w:rsid w:val="00C83134"/>
    <w:rsid w:val="00C831E7"/>
    <w:rsid w:val="00C832F3"/>
    <w:rsid w:val="00C84307"/>
    <w:rsid w:val="00C845A4"/>
    <w:rsid w:val="00C85545"/>
    <w:rsid w:val="00C855B5"/>
    <w:rsid w:val="00C85F0E"/>
    <w:rsid w:val="00C867F9"/>
    <w:rsid w:val="00C872AA"/>
    <w:rsid w:val="00C87817"/>
    <w:rsid w:val="00C87C6B"/>
    <w:rsid w:val="00C90357"/>
    <w:rsid w:val="00C90CF4"/>
    <w:rsid w:val="00C91C20"/>
    <w:rsid w:val="00C922DE"/>
    <w:rsid w:val="00C92843"/>
    <w:rsid w:val="00C92EB6"/>
    <w:rsid w:val="00C93389"/>
    <w:rsid w:val="00C948E6"/>
    <w:rsid w:val="00C94CDD"/>
    <w:rsid w:val="00C95123"/>
    <w:rsid w:val="00C95CB1"/>
    <w:rsid w:val="00C97588"/>
    <w:rsid w:val="00CA0346"/>
    <w:rsid w:val="00CA0BD5"/>
    <w:rsid w:val="00CA0DA1"/>
    <w:rsid w:val="00CA1BD6"/>
    <w:rsid w:val="00CA37FF"/>
    <w:rsid w:val="00CA423A"/>
    <w:rsid w:val="00CA47BC"/>
    <w:rsid w:val="00CA5EAD"/>
    <w:rsid w:val="00CA5EBE"/>
    <w:rsid w:val="00CA6AB4"/>
    <w:rsid w:val="00CA7255"/>
    <w:rsid w:val="00CA79E2"/>
    <w:rsid w:val="00CB0E4A"/>
    <w:rsid w:val="00CB111E"/>
    <w:rsid w:val="00CB1BEE"/>
    <w:rsid w:val="00CB2351"/>
    <w:rsid w:val="00CB2AA2"/>
    <w:rsid w:val="00CB4022"/>
    <w:rsid w:val="00CB4930"/>
    <w:rsid w:val="00CB4BA9"/>
    <w:rsid w:val="00CB4C48"/>
    <w:rsid w:val="00CB4C63"/>
    <w:rsid w:val="00CB5A48"/>
    <w:rsid w:val="00CB5E10"/>
    <w:rsid w:val="00CB613B"/>
    <w:rsid w:val="00CB6152"/>
    <w:rsid w:val="00CB64E1"/>
    <w:rsid w:val="00CB6C6F"/>
    <w:rsid w:val="00CB6E4D"/>
    <w:rsid w:val="00CB7D69"/>
    <w:rsid w:val="00CC009B"/>
    <w:rsid w:val="00CC0834"/>
    <w:rsid w:val="00CC0AEA"/>
    <w:rsid w:val="00CC20FE"/>
    <w:rsid w:val="00CC225C"/>
    <w:rsid w:val="00CC2E7D"/>
    <w:rsid w:val="00CC469E"/>
    <w:rsid w:val="00CC5BE8"/>
    <w:rsid w:val="00CC612B"/>
    <w:rsid w:val="00CC655F"/>
    <w:rsid w:val="00CC66F9"/>
    <w:rsid w:val="00CC6C2A"/>
    <w:rsid w:val="00CC6E69"/>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AF5"/>
    <w:rsid w:val="00CD2B78"/>
    <w:rsid w:val="00CD3866"/>
    <w:rsid w:val="00CD3FAB"/>
    <w:rsid w:val="00CD5456"/>
    <w:rsid w:val="00CD5C3E"/>
    <w:rsid w:val="00CD5C57"/>
    <w:rsid w:val="00CD6331"/>
    <w:rsid w:val="00CD7E9E"/>
    <w:rsid w:val="00CE03DD"/>
    <w:rsid w:val="00CE14BE"/>
    <w:rsid w:val="00CE17A4"/>
    <w:rsid w:val="00CE1BA9"/>
    <w:rsid w:val="00CE2D8F"/>
    <w:rsid w:val="00CE3532"/>
    <w:rsid w:val="00CE3E48"/>
    <w:rsid w:val="00CE46C0"/>
    <w:rsid w:val="00CE47B8"/>
    <w:rsid w:val="00CE4DAB"/>
    <w:rsid w:val="00CE4F15"/>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2E1"/>
    <w:rsid w:val="00D03A72"/>
    <w:rsid w:val="00D03BAE"/>
    <w:rsid w:val="00D040DD"/>
    <w:rsid w:val="00D04134"/>
    <w:rsid w:val="00D05C65"/>
    <w:rsid w:val="00D060D1"/>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0B69"/>
    <w:rsid w:val="00D214EF"/>
    <w:rsid w:val="00D215B0"/>
    <w:rsid w:val="00D21D6D"/>
    <w:rsid w:val="00D21D83"/>
    <w:rsid w:val="00D22A47"/>
    <w:rsid w:val="00D23331"/>
    <w:rsid w:val="00D235B7"/>
    <w:rsid w:val="00D23A99"/>
    <w:rsid w:val="00D23FAE"/>
    <w:rsid w:val="00D2455B"/>
    <w:rsid w:val="00D25F28"/>
    <w:rsid w:val="00D26071"/>
    <w:rsid w:val="00D260C7"/>
    <w:rsid w:val="00D269B9"/>
    <w:rsid w:val="00D273F7"/>
    <w:rsid w:val="00D2793E"/>
    <w:rsid w:val="00D27973"/>
    <w:rsid w:val="00D27F3A"/>
    <w:rsid w:val="00D3008B"/>
    <w:rsid w:val="00D31537"/>
    <w:rsid w:val="00D31E1E"/>
    <w:rsid w:val="00D31F1F"/>
    <w:rsid w:val="00D322A0"/>
    <w:rsid w:val="00D32824"/>
    <w:rsid w:val="00D334E2"/>
    <w:rsid w:val="00D350B1"/>
    <w:rsid w:val="00D35123"/>
    <w:rsid w:val="00D355CB"/>
    <w:rsid w:val="00D35AD6"/>
    <w:rsid w:val="00D35BBB"/>
    <w:rsid w:val="00D35E1A"/>
    <w:rsid w:val="00D36B0A"/>
    <w:rsid w:val="00D36DFB"/>
    <w:rsid w:val="00D36E1C"/>
    <w:rsid w:val="00D373AF"/>
    <w:rsid w:val="00D40556"/>
    <w:rsid w:val="00D406C8"/>
    <w:rsid w:val="00D40824"/>
    <w:rsid w:val="00D41829"/>
    <w:rsid w:val="00D41F74"/>
    <w:rsid w:val="00D42250"/>
    <w:rsid w:val="00D428C8"/>
    <w:rsid w:val="00D43034"/>
    <w:rsid w:val="00D43ED2"/>
    <w:rsid w:val="00D45649"/>
    <w:rsid w:val="00D47ED6"/>
    <w:rsid w:val="00D50100"/>
    <w:rsid w:val="00D50C95"/>
    <w:rsid w:val="00D50F46"/>
    <w:rsid w:val="00D511D8"/>
    <w:rsid w:val="00D5130D"/>
    <w:rsid w:val="00D5133A"/>
    <w:rsid w:val="00D526FA"/>
    <w:rsid w:val="00D5302A"/>
    <w:rsid w:val="00D533C4"/>
    <w:rsid w:val="00D5384E"/>
    <w:rsid w:val="00D544E7"/>
    <w:rsid w:val="00D5499F"/>
    <w:rsid w:val="00D5560A"/>
    <w:rsid w:val="00D559D2"/>
    <w:rsid w:val="00D56FBF"/>
    <w:rsid w:val="00D57677"/>
    <w:rsid w:val="00D5781F"/>
    <w:rsid w:val="00D60415"/>
    <w:rsid w:val="00D60E3C"/>
    <w:rsid w:val="00D60FA7"/>
    <w:rsid w:val="00D61FAB"/>
    <w:rsid w:val="00D63BE5"/>
    <w:rsid w:val="00D64685"/>
    <w:rsid w:val="00D6475F"/>
    <w:rsid w:val="00D655D4"/>
    <w:rsid w:val="00D65F61"/>
    <w:rsid w:val="00D66223"/>
    <w:rsid w:val="00D667B8"/>
    <w:rsid w:val="00D67D55"/>
    <w:rsid w:val="00D70289"/>
    <w:rsid w:val="00D7041F"/>
    <w:rsid w:val="00D70700"/>
    <w:rsid w:val="00D70800"/>
    <w:rsid w:val="00D70822"/>
    <w:rsid w:val="00D72076"/>
    <w:rsid w:val="00D721B4"/>
    <w:rsid w:val="00D726A9"/>
    <w:rsid w:val="00D728D5"/>
    <w:rsid w:val="00D72DBA"/>
    <w:rsid w:val="00D73D48"/>
    <w:rsid w:val="00D743E0"/>
    <w:rsid w:val="00D7469D"/>
    <w:rsid w:val="00D7490C"/>
    <w:rsid w:val="00D75AC1"/>
    <w:rsid w:val="00D77252"/>
    <w:rsid w:val="00D8084C"/>
    <w:rsid w:val="00D81809"/>
    <w:rsid w:val="00D82119"/>
    <w:rsid w:val="00D82EF1"/>
    <w:rsid w:val="00D84CC9"/>
    <w:rsid w:val="00D84F43"/>
    <w:rsid w:val="00D85114"/>
    <w:rsid w:val="00D85821"/>
    <w:rsid w:val="00D8598C"/>
    <w:rsid w:val="00D86677"/>
    <w:rsid w:val="00D87C06"/>
    <w:rsid w:val="00D9140D"/>
    <w:rsid w:val="00D915EA"/>
    <w:rsid w:val="00D919ED"/>
    <w:rsid w:val="00D922A1"/>
    <w:rsid w:val="00D928BE"/>
    <w:rsid w:val="00D932B8"/>
    <w:rsid w:val="00D932F0"/>
    <w:rsid w:val="00D933F2"/>
    <w:rsid w:val="00D94929"/>
    <w:rsid w:val="00D95302"/>
    <w:rsid w:val="00D95889"/>
    <w:rsid w:val="00D95C5D"/>
    <w:rsid w:val="00D96424"/>
    <w:rsid w:val="00D97400"/>
    <w:rsid w:val="00D97D00"/>
    <w:rsid w:val="00DA096C"/>
    <w:rsid w:val="00DA0DFB"/>
    <w:rsid w:val="00DA1445"/>
    <w:rsid w:val="00DA1AB6"/>
    <w:rsid w:val="00DA273D"/>
    <w:rsid w:val="00DA2E65"/>
    <w:rsid w:val="00DA37DE"/>
    <w:rsid w:val="00DA3ADF"/>
    <w:rsid w:val="00DA4174"/>
    <w:rsid w:val="00DA4F0A"/>
    <w:rsid w:val="00DA5241"/>
    <w:rsid w:val="00DA544C"/>
    <w:rsid w:val="00DA5F8E"/>
    <w:rsid w:val="00DA6364"/>
    <w:rsid w:val="00DA6938"/>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5FDA"/>
    <w:rsid w:val="00DB613B"/>
    <w:rsid w:val="00DB657E"/>
    <w:rsid w:val="00DB7342"/>
    <w:rsid w:val="00DB7489"/>
    <w:rsid w:val="00DB75A6"/>
    <w:rsid w:val="00DB791E"/>
    <w:rsid w:val="00DC0B4D"/>
    <w:rsid w:val="00DC0CBB"/>
    <w:rsid w:val="00DC17D0"/>
    <w:rsid w:val="00DC1A3D"/>
    <w:rsid w:val="00DC1DD1"/>
    <w:rsid w:val="00DC1E5D"/>
    <w:rsid w:val="00DC2B41"/>
    <w:rsid w:val="00DC2EA7"/>
    <w:rsid w:val="00DC3128"/>
    <w:rsid w:val="00DC435B"/>
    <w:rsid w:val="00DC4AC4"/>
    <w:rsid w:val="00DC53D8"/>
    <w:rsid w:val="00DC56FE"/>
    <w:rsid w:val="00DC5AB0"/>
    <w:rsid w:val="00DC5B3B"/>
    <w:rsid w:val="00DC5F11"/>
    <w:rsid w:val="00DC6C2D"/>
    <w:rsid w:val="00DC6D72"/>
    <w:rsid w:val="00DC7ABB"/>
    <w:rsid w:val="00DC7B1A"/>
    <w:rsid w:val="00DD04B0"/>
    <w:rsid w:val="00DD129F"/>
    <w:rsid w:val="00DD13FC"/>
    <w:rsid w:val="00DD1A3F"/>
    <w:rsid w:val="00DD29B5"/>
    <w:rsid w:val="00DD32DD"/>
    <w:rsid w:val="00DD33E8"/>
    <w:rsid w:val="00DD3CC0"/>
    <w:rsid w:val="00DD5287"/>
    <w:rsid w:val="00DD5B36"/>
    <w:rsid w:val="00DD5C58"/>
    <w:rsid w:val="00DD6191"/>
    <w:rsid w:val="00DD68F3"/>
    <w:rsid w:val="00DD7849"/>
    <w:rsid w:val="00DE03DE"/>
    <w:rsid w:val="00DE0D8B"/>
    <w:rsid w:val="00DE1237"/>
    <w:rsid w:val="00DE140F"/>
    <w:rsid w:val="00DE17E9"/>
    <w:rsid w:val="00DE2491"/>
    <w:rsid w:val="00DE3E5D"/>
    <w:rsid w:val="00DE450F"/>
    <w:rsid w:val="00DE4865"/>
    <w:rsid w:val="00DE5A0C"/>
    <w:rsid w:val="00DE5CA6"/>
    <w:rsid w:val="00DE5E55"/>
    <w:rsid w:val="00DE622F"/>
    <w:rsid w:val="00DE6E29"/>
    <w:rsid w:val="00DE7156"/>
    <w:rsid w:val="00DE7AC8"/>
    <w:rsid w:val="00DF0830"/>
    <w:rsid w:val="00DF2C5D"/>
    <w:rsid w:val="00DF2CD3"/>
    <w:rsid w:val="00DF3643"/>
    <w:rsid w:val="00DF42FF"/>
    <w:rsid w:val="00DF4369"/>
    <w:rsid w:val="00DF4423"/>
    <w:rsid w:val="00DF4ADF"/>
    <w:rsid w:val="00DF57D6"/>
    <w:rsid w:val="00DF5D1E"/>
    <w:rsid w:val="00DF63B5"/>
    <w:rsid w:val="00DF77E4"/>
    <w:rsid w:val="00DF7F88"/>
    <w:rsid w:val="00E00B88"/>
    <w:rsid w:val="00E00CB7"/>
    <w:rsid w:val="00E010D9"/>
    <w:rsid w:val="00E01C0E"/>
    <w:rsid w:val="00E0368F"/>
    <w:rsid w:val="00E03805"/>
    <w:rsid w:val="00E03D73"/>
    <w:rsid w:val="00E03F9A"/>
    <w:rsid w:val="00E040DA"/>
    <w:rsid w:val="00E04694"/>
    <w:rsid w:val="00E05333"/>
    <w:rsid w:val="00E1168B"/>
    <w:rsid w:val="00E119E9"/>
    <w:rsid w:val="00E11C7E"/>
    <w:rsid w:val="00E12191"/>
    <w:rsid w:val="00E129E7"/>
    <w:rsid w:val="00E12ABE"/>
    <w:rsid w:val="00E12B1E"/>
    <w:rsid w:val="00E135EB"/>
    <w:rsid w:val="00E13995"/>
    <w:rsid w:val="00E1444C"/>
    <w:rsid w:val="00E156FE"/>
    <w:rsid w:val="00E1690C"/>
    <w:rsid w:val="00E16FC8"/>
    <w:rsid w:val="00E17262"/>
    <w:rsid w:val="00E17F36"/>
    <w:rsid w:val="00E20016"/>
    <w:rsid w:val="00E2009B"/>
    <w:rsid w:val="00E20BB9"/>
    <w:rsid w:val="00E20BCC"/>
    <w:rsid w:val="00E2251C"/>
    <w:rsid w:val="00E2363D"/>
    <w:rsid w:val="00E23C6A"/>
    <w:rsid w:val="00E2484B"/>
    <w:rsid w:val="00E25304"/>
    <w:rsid w:val="00E253A2"/>
    <w:rsid w:val="00E260F6"/>
    <w:rsid w:val="00E2665E"/>
    <w:rsid w:val="00E27127"/>
    <w:rsid w:val="00E27233"/>
    <w:rsid w:val="00E274BB"/>
    <w:rsid w:val="00E30601"/>
    <w:rsid w:val="00E30F15"/>
    <w:rsid w:val="00E31771"/>
    <w:rsid w:val="00E3186D"/>
    <w:rsid w:val="00E31A3E"/>
    <w:rsid w:val="00E32080"/>
    <w:rsid w:val="00E32426"/>
    <w:rsid w:val="00E32778"/>
    <w:rsid w:val="00E3309D"/>
    <w:rsid w:val="00E34E3F"/>
    <w:rsid w:val="00E350B1"/>
    <w:rsid w:val="00E35A53"/>
    <w:rsid w:val="00E35D83"/>
    <w:rsid w:val="00E3634A"/>
    <w:rsid w:val="00E3656B"/>
    <w:rsid w:val="00E3712B"/>
    <w:rsid w:val="00E3724A"/>
    <w:rsid w:val="00E378B1"/>
    <w:rsid w:val="00E41179"/>
    <w:rsid w:val="00E411F9"/>
    <w:rsid w:val="00E417BE"/>
    <w:rsid w:val="00E41CD5"/>
    <w:rsid w:val="00E42054"/>
    <w:rsid w:val="00E42D94"/>
    <w:rsid w:val="00E4372D"/>
    <w:rsid w:val="00E43A9E"/>
    <w:rsid w:val="00E44243"/>
    <w:rsid w:val="00E453F9"/>
    <w:rsid w:val="00E45D7D"/>
    <w:rsid w:val="00E4623F"/>
    <w:rsid w:val="00E4665D"/>
    <w:rsid w:val="00E467E3"/>
    <w:rsid w:val="00E47854"/>
    <w:rsid w:val="00E478E2"/>
    <w:rsid w:val="00E47EBA"/>
    <w:rsid w:val="00E50156"/>
    <w:rsid w:val="00E504EB"/>
    <w:rsid w:val="00E5076C"/>
    <w:rsid w:val="00E50D2E"/>
    <w:rsid w:val="00E50D7D"/>
    <w:rsid w:val="00E50E8A"/>
    <w:rsid w:val="00E51EF0"/>
    <w:rsid w:val="00E53470"/>
    <w:rsid w:val="00E5368D"/>
    <w:rsid w:val="00E539F6"/>
    <w:rsid w:val="00E54698"/>
    <w:rsid w:val="00E54BE9"/>
    <w:rsid w:val="00E54FB4"/>
    <w:rsid w:val="00E55046"/>
    <w:rsid w:val="00E5539A"/>
    <w:rsid w:val="00E55791"/>
    <w:rsid w:val="00E55AB2"/>
    <w:rsid w:val="00E55E1A"/>
    <w:rsid w:val="00E578A2"/>
    <w:rsid w:val="00E579ED"/>
    <w:rsid w:val="00E60043"/>
    <w:rsid w:val="00E61740"/>
    <w:rsid w:val="00E61EB5"/>
    <w:rsid w:val="00E62287"/>
    <w:rsid w:val="00E62EDE"/>
    <w:rsid w:val="00E6324D"/>
    <w:rsid w:val="00E636EC"/>
    <w:rsid w:val="00E65084"/>
    <w:rsid w:val="00E6519D"/>
    <w:rsid w:val="00E657C8"/>
    <w:rsid w:val="00E66062"/>
    <w:rsid w:val="00E6660E"/>
    <w:rsid w:val="00E66768"/>
    <w:rsid w:val="00E67305"/>
    <w:rsid w:val="00E673BD"/>
    <w:rsid w:val="00E67696"/>
    <w:rsid w:val="00E700B4"/>
    <w:rsid w:val="00E709AF"/>
    <w:rsid w:val="00E70A85"/>
    <w:rsid w:val="00E70C5F"/>
    <w:rsid w:val="00E71A58"/>
    <w:rsid w:val="00E728D7"/>
    <w:rsid w:val="00E72A26"/>
    <w:rsid w:val="00E72A7A"/>
    <w:rsid w:val="00E7335A"/>
    <w:rsid w:val="00E73986"/>
    <w:rsid w:val="00E73D21"/>
    <w:rsid w:val="00E7467D"/>
    <w:rsid w:val="00E747DC"/>
    <w:rsid w:val="00E74A2D"/>
    <w:rsid w:val="00E74FE4"/>
    <w:rsid w:val="00E75C94"/>
    <w:rsid w:val="00E76A08"/>
    <w:rsid w:val="00E76B9B"/>
    <w:rsid w:val="00E76E61"/>
    <w:rsid w:val="00E76EE4"/>
    <w:rsid w:val="00E77CC0"/>
    <w:rsid w:val="00E77E8B"/>
    <w:rsid w:val="00E77F50"/>
    <w:rsid w:val="00E80B3D"/>
    <w:rsid w:val="00E80CA3"/>
    <w:rsid w:val="00E8184F"/>
    <w:rsid w:val="00E81AAA"/>
    <w:rsid w:val="00E82618"/>
    <w:rsid w:val="00E82A0F"/>
    <w:rsid w:val="00E82A42"/>
    <w:rsid w:val="00E832F4"/>
    <w:rsid w:val="00E846B0"/>
    <w:rsid w:val="00E84E09"/>
    <w:rsid w:val="00E87CE2"/>
    <w:rsid w:val="00E90CA8"/>
    <w:rsid w:val="00E91113"/>
    <w:rsid w:val="00E911C6"/>
    <w:rsid w:val="00E920DE"/>
    <w:rsid w:val="00E930A1"/>
    <w:rsid w:val="00E93820"/>
    <w:rsid w:val="00E94A86"/>
    <w:rsid w:val="00E951AB"/>
    <w:rsid w:val="00E953F6"/>
    <w:rsid w:val="00E9580F"/>
    <w:rsid w:val="00E95882"/>
    <w:rsid w:val="00E95C3B"/>
    <w:rsid w:val="00E96143"/>
    <w:rsid w:val="00E96833"/>
    <w:rsid w:val="00E96869"/>
    <w:rsid w:val="00E97506"/>
    <w:rsid w:val="00E97BB5"/>
    <w:rsid w:val="00E97D5B"/>
    <w:rsid w:val="00E97F14"/>
    <w:rsid w:val="00EA02FE"/>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5E3D"/>
    <w:rsid w:val="00EA7419"/>
    <w:rsid w:val="00EB0203"/>
    <w:rsid w:val="00EB0E32"/>
    <w:rsid w:val="00EB1786"/>
    <w:rsid w:val="00EB1CDC"/>
    <w:rsid w:val="00EB1D89"/>
    <w:rsid w:val="00EB2693"/>
    <w:rsid w:val="00EB3E60"/>
    <w:rsid w:val="00EB4511"/>
    <w:rsid w:val="00EB48D7"/>
    <w:rsid w:val="00EB49F1"/>
    <w:rsid w:val="00EB4A8E"/>
    <w:rsid w:val="00EB4BC5"/>
    <w:rsid w:val="00EB5BF7"/>
    <w:rsid w:val="00EB5E79"/>
    <w:rsid w:val="00EB6788"/>
    <w:rsid w:val="00EB6FAC"/>
    <w:rsid w:val="00EB7BAC"/>
    <w:rsid w:val="00EB7CC9"/>
    <w:rsid w:val="00EC03D7"/>
    <w:rsid w:val="00EC0749"/>
    <w:rsid w:val="00EC0B86"/>
    <w:rsid w:val="00EC13A7"/>
    <w:rsid w:val="00EC1D31"/>
    <w:rsid w:val="00EC2EB6"/>
    <w:rsid w:val="00EC3F49"/>
    <w:rsid w:val="00EC4FFF"/>
    <w:rsid w:val="00EC5517"/>
    <w:rsid w:val="00EC6E8C"/>
    <w:rsid w:val="00EC729D"/>
    <w:rsid w:val="00ED0702"/>
    <w:rsid w:val="00ED0962"/>
    <w:rsid w:val="00ED0EF0"/>
    <w:rsid w:val="00ED112D"/>
    <w:rsid w:val="00ED12B9"/>
    <w:rsid w:val="00ED16B8"/>
    <w:rsid w:val="00ED1959"/>
    <w:rsid w:val="00ED1A00"/>
    <w:rsid w:val="00ED1DF0"/>
    <w:rsid w:val="00ED2386"/>
    <w:rsid w:val="00ED25F5"/>
    <w:rsid w:val="00ED2EA1"/>
    <w:rsid w:val="00ED3851"/>
    <w:rsid w:val="00ED39D7"/>
    <w:rsid w:val="00ED3E51"/>
    <w:rsid w:val="00ED3F10"/>
    <w:rsid w:val="00ED3F9B"/>
    <w:rsid w:val="00ED3FB3"/>
    <w:rsid w:val="00ED4D04"/>
    <w:rsid w:val="00ED566D"/>
    <w:rsid w:val="00ED5907"/>
    <w:rsid w:val="00ED5F5B"/>
    <w:rsid w:val="00ED62C6"/>
    <w:rsid w:val="00ED64C1"/>
    <w:rsid w:val="00ED72E7"/>
    <w:rsid w:val="00ED74BD"/>
    <w:rsid w:val="00ED781F"/>
    <w:rsid w:val="00EE0E7E"/>
    <w:rsid w:val="00EE2236"/>
    <w:rsid w:val="00EE249F"/>
    <w:rsid w:val="00EE2EB4"/>
    <w:rsid w:val="00EE3446"/>
    <w:rsid w:val="00EE3E78"/>
    <w:rsid w:val="00EE41FD"/>
    <w:rsid w:val="00EE460E"/>
    <w:rsid w:val="00EE4B1B"/>
    <w:rsid w:val="00EE5FBA"/>
    <w:rsid w:val="00EE601C"/>
    <w:rsid w:val="00EE6E06"/>
    <w:rsid w:val="00EE7179"/>
    <w:rsid w:val="00EE762D"/>
    <w:rsid w:val="00EF0D90"/>
    <w:rsid w:val="00EF150D"/>
    <w:rsid w:val="00EF1916"/>
    <w:rsid w:val="00EF1F5A"/>
    <w:rsid w:val="00EF22E2"/>
    <w:rsid w:val="00EF23B5"/>
    <w:rsid w:val="00EF326A"/>
    <w:rsid w:val="00EF3898"/>
    <w:rsid w:val="00EF47BF"/>
    <w:rsid w:val="00EF52F7"/>
    <w:rsid w:val="00EF59B1"/>
    <w:rsid w:val="00EF5A13"/>
    <w:rsid w:val="00EF5FF9"/>
    <w:rsid w:val="00EF600F"/>
    <w:rsid w:val="00EF77D4"/>
    <w:rsid w:val="00EF7CC7"/>
    <w:rsid w:val="00F00535"/>
    <w:rsid w:val="00F00853"/>
    <w:rsid w:val="00F00866"/>
    <w:rsid w:val="00F00EC8"/>
    <w:rsid w:val="00F0160B"/>
    <w:rsid w:val="00F0193E"/>
    <w:rsid w:val="00F028B4"/>
    <w:rsid w:val="00F02A91"/>
    <w:rsid w:val="00F03E2F"/>
    <w:rsid w:val="00F03F8D"/>
    <w:rsid w:val="00F04811"/>
    <w:rsid w:val="00F0488C"/>
    <w:rsid w:val="00F04955"/>
    <w:rsid w:val="00F06203"/>
    <w:rsid w:val="00F073ED"/>
    <w:rsid w:val="00F07C4C"/>
    <w:rsid w:val="00F07E45"/>
    <w:rsid w:val="00F10F11"/>
    <w:rsid w:val="00F11159"/>
    <w:rsid w:val="00F1146D"/>
    <w:rsid w:val="00F115E4"/>
    <w:rsid w:val="00F11AC4"/>
    <w:rsid w:val="00F11C1D"/>
    <w:rsid w:val="00F11D01"/>
    <w:rsid w:val="00F120A5"/>
    <w:rsid w:val="00F12CFB"/>
    <w:rsid w:val="00F13E60"/>
    <w:rsid w:val="00F13F81"/>
    <w:rsid w:val="00F13FDB"/>
    <w:rsid w:val="00F15653"/>
    <w:rsid w:val="00F15AAA"/>
    <w:rsid w:val="00F15BEF"/>
    <w:rsid w:val="00F16F10"/>
    <w:rsid w:val="00F17898"/>
    <w:rsid w:val="00F17FBF"/>
    <w:rsid w:val="00F204BF"/>
    <w:rsid w:val="00F207C2"/>
    <w:rsid w:val="00F21337"/>
    <w:rsid w:val="00F219A1"/>
    <w:rsid w:val="00F235B2"/>
    <w:rsid w:val="00F23E20"/>
    <w:rsid w:val="00F24407"/>
    <w:rsid w:val="00F249CE"/>
    <w:rsid w:val="00F24FAA"/>
    <w:rsid w:val="00F25040"/>
    <w:rsid w:val="00F269D7"/>
    <w:rsid w:val="00F26D1F"/>
    <w:rsid w:val="00F27071"/>
    <w:rsid w:val="00F27331"/>
    <w:rsid w:val="00F276D3"/>
    <w:rsid w:val="00F27EE5"/>
    <w:rsid w:val="00F27FB1"/>
    <w:rsid w:val="00F27FD6"/>
    <w:rsid w:val="00F307CB"/>
    <w:rsid w:val="00F30C0C"/>
    <w:rsid w:val="00F30C65"/>
    <w:rsid w:val="00F3148E"/>
    <w:rsid w:val="00F31E10"/>
    <w:rsid w:val="00F321D2"/>
    <w:rsid w:val="00F32649"/>
    <w:rsid w:val="00F33523"/>
    <w:rsid w:val="00F3364D"/>
    <w:rsid w:val="00F33914"/>
    <w:rsid w:val="00F340B2"/>
    <w:rsid w:val="00F349BF"/>
    <w:rsid w:val="00F34DDC"/>
    <w:rsid w:val="00F36191"/>
    <w:rsid w:val="00F3629F"/>
    <w:rsid w:val="00F36DF3"/>
    <w:rsid w:val="00F371A2"/>
    <w:rsid w:val="00F37362"/>
    <w:rsid w:val="00F375CB"/>
    <w:rsid w:val="00F37EDC"/>
    <w:rsid w:val="00F40205"/>
    <w:rsid w:val="00F437CC"/>
    <w:rsid w:val="00F43A4E"/>
    <w:rsid w:val="00F44537"/>
    <w:rsid w:val="00F458BE"/>
    <w:rsid w:val="00F46185"/>
    <w:rsid w:val="00F46423"/>
    <w:rsid w:val="00F4696A"/>
    <w:rsid w:val="00F47067"/>
    <w:rsid w:val="00F47234"/>
    <w:rsid w:val="00F50451"/>
    <w:rsid w:val="00F51ADD"/>
    <w:rsid w:val="00F525AB"/>
    <w:rsid w:val="00F525EB"/>
    <w:rsid w:val="00F52BFA"/>
    <w:rsid w:val="00F52CB5"/>
    <w:rsid w:val="00F53378"/>
    <w:rsid w:val="00F53A68"/>
    <w:rsid w:val="00F53D2E"/>
    <w:rsid w:val="00F54934"/>
    <w:rsid w:val="00F55A92"/>
    <w:rsid w:val="00F5615B"/>
    <w:rsid w:val="00F5635E"/>
    <w:rsid w:val="00F5657D"/>
    <w:rsid w:val="00F57427"/>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113"/>
    <w:rsid w:val="00F71393"/>
    <w:rsid w:val="00F7150B"/>
    <w:rsid w:val="00F7162D"/>
    <w:rsid w:val="00F717E4"/>
    <w:rsid w:val="00F71DE6"/>
    <w:rsid w:val="00F72C79"/>
    <w:rsid w:val="00F72D71"/>
    <w:rsid w:val="00F7381C"/>
    <w:rsid w:val="00F73A0C"/>
    <w:rsid w:val="00F73AA6"/>
    <w:rsid w:val="00F7467F"/>
    <w:rsid w:val="00F752DC"/>
    <w:rsid w:val="00F7549F"/>
    <w:rsid w:val="00F756DB"/>
    <w:rsid w:val="00F766BE"/>
    <w:rsid w:val="00F767A8"/>
    <w:rsid w:val="00F77590"/>
    <w:rsid w:val="00F77A50"/>
    <w:rsid w:val="00F77E95"/>
    <w:rsid w:val="00F809C0"/>
    <w:rsid w:val="00F81B0F"/>
    <w:rsid w:val="00F822CE"/>
    <w:rsid w:val="00F823E4"/>
    <w:rsid w:val="00F82D14"/>
    <w:rsid w:val="00F842EB"/>
    <w:rsid w:val="00F84E7D"/>
    <w:rsid w:val="00F85066"/>
    <w:rsid w:val="00F8670E"/>
    <w:rsid w:val="00F867A2"/>
    <w:rsid w:val="00F874F8"/>
    <w:rsid w:val="00F87A4D"/>
    <w:rsid w:val="00F90A3E"/>
    <w:rsid w:val="00F90C68"/>
    <w:rsid w:val="00F90EEB"/>
    <w:rsid w:val="00F91B66"/>
    <w:rsid w:val="00F93688"/>
    <w:rsid w:val="00F939F3"/>
    <w:rsid w:val="00F93C6E"/>
    <w:rsid w:val="00F93F2C"/>
    <w:rsid w:val="00F947E9"/>
    <w:rsid w:val="00F962AD"/>
    <w:rsid w:val="00F9644E"/>
    <w:rsid w:val="00F96EE8"/>
    <w:rsid w:val="00FA0105"/>
    <w:rsid w:val="00FA05A0"/>
    <w:rsid w:val="00FA0AEF"/>
    <w:rsid w:val="00FA12B0"/>
    <w:rsid w:val="00FA17CC"/>
    <w:rsid w:val="00FA1CFE"/>
    <w:rsid w:val="00FA1EE7"/>
    <w:rsid w:val="00FA1F01"/>
    <w:rsid w:val="00FA26DF"/>
    <w:rsid w:val="00FA32BC"/>
    <w:rsid w:val="00FA3E13"/>
    <w:rsid w:val="00FA3FA8"/>
    <w:rsid w:val="00FA4059"/>
    <w:rsid w:val="00FA4574"/>
    <w:rsid w:val="00FA48A4"/>
    <w:rsid w:val="00FA4CB7"/>
    <w:rsid w:val="00FA5112"/>
    <w:rsid w:val="00FA5526"/>
    <w:rsid w:val="00FA5D48"/>
    <w:rsid w:val="00FA5D4D"/>
    <w:rsid w:val="00FA6122"/>
    <w:rsid w:val="00FA6CB6"/>
    <w:rsid w:val="00FA70D3"/>
    <w:rsid w:val="00FA792A"/>
    <w:rsid w:val="00FA7AEC"/>
    <w:rsid w:val="00FB0AEA"/>
    <w:rsid w:val="00FB0EE2"/>
    <w:rsid w:val="00FB1A79"/>
    <w:rsid w:val="00FB1B48"/>
    <w:rsid w:val="00FB208B"/>
    <w:rsid w:val="00FB2B2D"/>
    <w:rsid w:val="00FB542E"/>
    <w:rsid w:val="00FB5580"/>
    <w:rsid w:val="00FB564F"/>
    <w:rsid w:val="00FB7DBB"/>
    <w:rsid w:val="00FC05F8"/>
    <w:rsid w:val="00FC077B"/>
    <w:rsid w:val="00FC0BE0"/>
    <w:rsid w:val="00FC0E5F"/>
    <w:rsid w:val="00FC1070"/>
    <w:rsid w:val="00FC1266"/>
    <w:rsid w:val="00FC1A95"/>
    <w:rsid w:val="00FC1ED4"/>
    <w:rsid w:val="00FC35BF"/>
    <w:rsid w:val="00FC3BEC"/>
    <w:rsid w:val="00FC42C5"/>
    <w:rsid w:val="00FC440B"/>
    <w:rsid w:val="00FC4F4B"/>
    <w:rsid w:val="00FC56DE"/>
    <w:rsid w:val="00FC63D9"/>
    <w:rsid w:val="00FC64DE"/>
    <w:rsid w:val="00FC6785"/>
    <w:rsid w:val="00FC684B"/>
    <w:rsid w:val="00FC7136"/>
    <w:rsid w:val="00FC7D98"/>
    <w:rsid w:val="00FC7EB2"/>
    <w:rsid w:val="00FD1135"/>
    <w:rsid w:val="00FD3265"/>
    <w:rsid w:val="00FD3BFE"/>
    <w:rsid w:val="00FD3CF7"/>
    <w:rsid w:val="00FD4124"/>
    <w:rsid w:val="00FD4916"/>
    <w:rsid w:val="00FD4D12"/>
    <w:rsid w:val="00FD4F73"/>
    <w:rsid w:val="00FD595E"/>
    <w:rsid w:val="00FD62E6"/>
    <w:rsid w:val="00FD7802"/>
    <w:rsid w:val="00FD7D3B"/>
    <w:rsid w:val="00FD7F83"/>
    <w:rsid w:val="00FD7FBE"/>
    <w:rsid w:val="00FE0292"/>
    <w:rsid w:val="00FE1209"/>
    <w:rsid w:val="00FE27C7"/>
    <w:rsid w:val="00FE2814"/>
    <w:rsid w:val="00FE2C7E"/>
    <w:rsid w:val="00FE2F78"/>
    <w:rsid w:val="00FE3137"/>
    <w:rsid w:val="00FE346B"/>
    <w:rsid w:val="00FE346F"/>
    <w:rsid w:val="00FE431E"/>
    <w:rsid w:val="00FE460E"/>
    <w:rsid w:val="00FE48E4"/>
    <w:rsid w:val="00FE5466"/>
    <w:rsid w:val="00FE5BF1"/>
    <w:rsid w:val="00FE633D"/>
    <w:rsid w:val="00FE634C"/>
    <w:rsid w:val="00FE6E69"/>
    <w:rsid w:val="00FE6F59"/>
    <w:rsid w:val="00FF01B6"/>
    <w:rsid w:val="00FF0989"/>
    <w:rsid w:val="00FF0F79"/>
    <w:rsid w:val="00FF1136"/>
    <w:rsid w:val="00FF3D76"/>
    <w:rsid w:val="00FF445B"/>
    <w:rsid w:val="00FF5B8C"/>
    <w:rsid w:val="00FF63E6"/>
    <w:rsid w:val="00FF649C"/>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A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npsmoodstavce"/>
    <w:rsid w:val="0021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384443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trh%20pr&#225;ce-2q-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trh%20pr&#225;ce-2q-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polecne\JKAM%20CSU\PUBLIKACE\PUBLIKACE\2022\Q-Makro\ENGL-verze\ENGL-Grafy-trh%20pr&#225;ce-2q-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4495121574960907"/>
          <c:h val="0.67557130739459548"/>
        </c:manualLayout>
      </c:layout>
      <c:barChart>
        <c:barDir val="col"/>
        <c:grouping val="stacked"/>
        <c:varyColors val="0"/>
        <c:ser>
          <c:idx val="0"/>
          <c:order val="0"/>
          <c:tx>
            <c:strRef>
              <c:f>'Trh práce 1-SNÚ'!$AC$7</c:f>
              <c:strCache>
                <c:ptCount val="1"/>
                <c:pt idx="0">
                  <c:v>Agriculture, forestry and fishing</c:v>
                </c:pt>
              </c:strCache>
            </c:strRef>
          </c:tx>
          <c:spPr>
            <a:solidFill>
              <a:srgbClr val="7DBB2D"/>
            </a:solidFill>
            <a:ln>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1-SNÚ'!$AC$28:$AC$58</c:f>
              <c:numCache>
                <c:formatCode>#\ ##0.0</c:formatCode>
                <c:ptCount val="31"/>
                <c:pt idx="0">
                  <c:v>-5.6991893197978323E-2</c:v>
                </c:pt>
                <c:pt idx="1">
                  <c:v>-5.3077004431979151E-2</c:v>
                </c:pt>
                <c:pt idx="2">
                  <c:v>-6.9683605158033346E-2</c:v>
                </c:pt>
                <c:pt idx="3">
                  <c:v>-0.13993931548915456</c:v>
                </c:pt>
                <c:pt idx="4">
                  <c:v>-0.12488466174466099</c:v>
                </c:pt>
                <c:pt idx="5">
                  <c:v>-3.2025271621926824E-2</c:v>
                </c:pt>
                <c:pt idx="6">
                  <c:v>-4.5209168072263314E-2</c:v>
                </c:pt>
                <c:pt idx="7">
                  <c:v>5.8178231424048252E-2</c:v>
                </c:pt>
                <c:pt idx="8">
                  <c:v>9.8473168738459127E-2</c:v>
                </c:pt>
                <c:pt idx="9">
                  <c:v>3.5827695758654118E-2</c:v>
                </c:pt>
                <c:pt idx="10">
                  <c:v>1.9597324357556144E-2</c:v>
                </c:pt>
                <c:pt idx="11">
                  <c:v>-9.3256093124704398E-2</c:v>
                </c:pt>
                <c:pt idx="12">
                  <c:v>2.8281779223500534E-2</c:v>
                </c:pt>
                <c:pt idx="13">
                  <c:v>3.1385538570036599E-2</c:v>
                </c:pt>
                <c:pt idx="14">
                  <c:v>1.6521075080556488E-2</c:v>
                </c:pt>
                <c:pt idx="15">
                  <c:v>8.3398360204895924E-2</c:v>
                </c:pt>
                <c:pt idx="16">
                  <c:v>-3.2066957439228133E-2</c:v>
                </c:pt>
                <c:pt idx="17">
                  <c:v>-9.1886912097250681E-2</c:v>
                </c:pt>
                <c:pt idx="18">
                  <c:v>-0.12544281535318705</c:v>
                </c:pt>
                <c:pt idx="19">
                  <c:v>-0.13296546528421765</c:v>
                </c:pt>
                <c:pt idx="20">
                  <c:v>-8.0149764825409767E-2</c:v>
                </c:pt>
                <c:pt idx="21">
                  <c:v>1.2847127079559917E-4</c:v>
                </c:pt>
                <c:pt idx="22">
                  <c:v>9.2281662728676842E-2</c:v>
                </c:pt>
                <c:pt idx="23">
                  <c:v>7.8785121950452425E-2</c:v>
                </c:pt>
                <c:pt idx="24">
                  <c:v>4.159840143550618E-2</c:v>
                </c:pt>
                <c:pt idx="25">
                  <c:v>-3.2565664084423782E-2</c:v>
                </c:pt>
                <c:pt idx="26">
                  <c:v>-6.3926765857289528E-2</c:v>
                </c:pt>
                <c:pt idx="27">
                  <c:v>-1.9048828497047476E-2</c:v>
                </c:pt>
                <c:pt idx="28">
                  <c:v>-2.2904557386353185E-2</c:v>
                </c:pt>
                <c:pt idx="29">
                  <c:v>8.8702864459856007E-2</c:v>
                </c:pt>
              </c:numCache>
            </c:numRef>
          </c:val>
          <c:extLst>
            <c:ext xmlns:c16="http://schemas.microsoft.com/office/drawing/2014/chart" uri="{C3380CC4-5D6E-409C-BE32-E72D297353CC}">
              <c16:uniqueId val="{00000000-C2A4-44C5-A749-22A7D12221F9}"/>
            </c:ext>
          </c:extLst>
        </c:ser>
        <c:ser>
          <c:idx val="1"/>
          <c:order val="1"/>
          <c:tx>
            <c:strRef>
              <c:f>'Trh práce 1-SNÚ'!$AD$7</c:f>
              <c:strCache>
                <c:ptCount val="1"/>
                <c:pt idx="0">
                  <c:v>Manufacturing </c:v>
                </c:pt>
              </c:strCache>
            </c:strRef>
          </c:tx>
          <c:spPr>
            <a:solidFill>
              <a:srgbClr val="A6CDE8"/>
            </a:solidFill>
            <a:ln>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1-SNÚ'!$AD$28:$AD$58</c:f>
              <c:numCache>
                <c:formatCode>#\ ##0.0</c:formatCode>
                <c:ptCount val="31"/>
                <c:pt idx="0">
                  <c:v>0.88197902580416176</c:v>
                </c:pt>
                <c:pt idx="1">
                  <c:v>0.93619594656509764</c:v>
                </c:pt>
                <c:pt idx="2">
                  <c:v>0.79380670100221373</c:v>
                </c:pt>
                <c:pt idx="3">
                  <c:v>0.92941048859384778</c:v>
                </c:pt>
                <c:pt idx="4">
                  <c:v>0.86436958871149239</c:v>
                </c:pt>
                <c:pt idx="5">
                  <c:v>0.64306976785438008</c:v>
                </c:pt>
                <c:pt idx="6">
                  <c:v>0.67102358376255722</c:v>
                </c:pt>
                <c:pt idx="7">
                  <c:v>0.51768439491468099</c:v>
                </c:pt>
                <c:pt idx="8">
                  <c:v>0.27352595704925392</c:v>
                </c:pt>
                <c:pt idx="9">
                  <c:v>0.40495174469100209</c:v>
                </c:pt>
                <c:pt idx="10">
                  <c:v>0.48296390541252465</c:v>
                </c:pt>
                <c:pt idx="11">
                  <c:v>0.47073561501166572</c:v>
                </c:pt>
                <c:pt idx="12">
                  <c:v>0.35993792705298522</c:v>
                </c:pt>
                <c:pt idx="13">
                  <c:v>0.28632749685910475</c:v>
                </c:pt>
                <c:pt idx="14">
                  <c:v>9.3203449496172111E-2</c:v>
                </c:pt>
                <c:pt idx="15">
                  <c:v>8.6360902490994762E-2</c:v>
                </c:pt>
                <c:pt idx="16">
                  <c:v>0.14709256185686426</c:v>
                </c:pt>
                <c:pt idx="17">
                  <c:v>-2.0854942188738988E-2</c:v>
                </c:pt>
                <c:pt idx="18">
                  <c:v>-0.16258097669671445</c:v>
                </c:pt>
                <c:pt idx="19">
                  <c:v>-0.55102805433099211</c:v>
                </c:pt>
                <c:pt idx="20">
                  <c:v>-0.82136508594643176</c:v>
                </c:pt>
                <c:pt idx="21">
                  <c:v>-1.0952359365711679</c:v>
                </c:pt>
                <c:pt idx="22">
                  <c:v>-1.0796051443294794</c:v>
                </c:pt>
                <c:pt idx="23">
                  <c:v>-0.91314157662366346</c:v>
                </c:pt>
                <c:pt idx="24">
                  <c:v>-0.48276380890898796</c:v>
                </c:pt>
                <c:pt idx="25">
                  <c:v>-6.9783565895193814E-2</c:v>
                </c:pt>
                <c:pt idx="26">
                  <c:v>0.17800799169008091</c:v>
                </c:pt>
                <c:pt idx="27">
                  <c:v>0.30784267481835653</c:v>
                </c:pt>
                <c:pt idx="28">
                  <c:v>7.582198307206571E-2</c:v>
                </c:pt>
                <c:pt idx="29">
                  <c:v>0.41229644392682435</c:v>
                </c:pt>
              </c:numCache>
            </c:numRef>
          </c:val>
          <c:extLst>
            <c:ext xmlns:c16="http://schemas.microsoft.com/office/drawing/2014/chart" uri="{C3380CC4-5D6E-409C-BE32-E72D297353CC}">
              <c16:uniqueId val="{00000001-C2A4-44C5-A749-22A7D12221F9}"/>
            </c:ext>
          </c:extLst>
        </c:ser>
        <c:ser>
          <c:idx val="2"/>
          <c:order val="2"/>
          <c:tx>
            <c:strRef>
              <c:f>'Trh práce 1-SNÚ'!$AE$7</c:f>
              <c:strCache>
                <c:ptCount val="1"/>
                <c:pt idx="0">
                  <c:v>Construction</c:v>
                </c:pt>
              </c:strCache>
            </c:strRef>
          </c:tx>
          <c:spPr>
            <a:solidFill>
              <a:srgbClr val="48AEE7"/>
            </a:solidFill>
            <a:ln w="19050">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1-SNÚ'!$AE$28:$AE$58</c:f>
              <c:numCache>
                <c:formatCode>#\ ##0.0</c:formatCode>
                <c:ptCount val="31"/>
                <c:pt idx="0">
                  <c:v>-0.11535945278349405</c:v>
                </c:pt>
                <c:pt idx="1">
                  <c:v>-0.10277905701098218</c:v>
                </c:pt>
                <c:pt idx="2">
                  <c:v>-0.15744780912986214</c:v>
                </c:pt>
                <c:pt idx="3">
                  <c:v>-0.17964656072744931</c:v>
                </c:pt>
                <c:pt idx="4">
                  <c:v>-0.11205258317894969</c:v>
                </c:pt>
                <c:pt idx="5">
                  <c:v>-0.12466911878830755</c:v>
                </c:pt>
                <c:pt idx="6">
                  <c:v>-2.5910926178730021E-2</c:v>
                </c:pt>
                <c:pt idx="7">
                  <c:v>9.6483224892210846E-3</c:v>
                </c:pt>
                <c:pt idx="8">
                  <c:v>-9.8473168738459124E-3</c:v>
                </c:pt>
                <c:pt idx="9">
                  <c:v>1.9091640634913781E-2</c:v>
                </c:pt>
                <c:pt idx="10">
                  <c:v>7.2407555983877492E-2</c:v>
                </c:pt>
                <c:pt idx="11">
                  <c:v>-7.2320666550757598E-2</c:v>
                </c:pt>
                <c:pt idx="12">
                  <c:v>0.10670200915568524</c:v>
                </c:pt>
                <c:pt idx="13">
                  <c:v>7.102944379245156E-2</c:v>
                </c:pt>
                <c:pt idx="14">
                  <c:v>5.9006500400454305E-2</c:v>
                </c:pt>
                <c:pt idx="15">
                  <c:v>0.11179404853203206</c:v>
                </c:pt>
                <c:pt idx="16">
                  <c:v>3.5683531586509498E-2</c:v>
                </c:pt>
                <c:pt idx="17">
                  <c:v>8.4487365089419189E-2</c:v>
                </c:pt>
                <c:pt idx="18">
                  <c:v>9.86228608640492E-2</c:v>
                </c:pt>
                <c:pt idx="19">
                  <c:v>0.12706817507064183</c:v>
                </c:pt>
                <c:pt idx="20">
                  <c:v>1.7073866434947418E-2</c:v>
                </c:pt>
                <c:pt idx="21">
                  <c:v>-0.21562985151107064</c:v>
                </c:pt>
                <c:pt idx="22">
                  <c:v>-0.10234473200166617</c:v>
                </c:pt>
                <c:pt idx="23">
                  <c:v>-5.2591242475965305E-2</c:v>
                </c:pt>
                <c:pt idx="24">
                  <c:v>-5.8182173945429586E-2</c:v>
                </c:pt>
                <c:pt idx="25">
                  <c:v>0.13802889189699893</c:v>
                </c:pt>
                <c:pt idx="26">
                  <c:v>-3.0171482095251407E-2</c:v>
                </c:pt>
                <c:pt idx="27">
                  <c:v>6.6122867967429694E-2</c:v>
                </c:pt>
                <c:pt idx="28">
                  <c:v>0.25181849586260718</c:v>
                </c:pt>
                <c:pt idx="29">
                  <c:v>0.28916237070548678</c:v>
                </c:pt>
              </c:numCache>
            </c:numRef>
          </c:val>
          <c:extLst>
            <c:ext xmlns:c16="http://schemas.microsoft.com/office/drawing/2014/chart" uri="{C3380CC4-5D6E-409C-BE32-E72D297353CC}">
              <c16:uniqueId val="{00000002-C2A4-44C5-A749-22A7D12221F9}"/>
            </c:ext>
          </c:extLst>
        </c:ser>
        <c:ser>
          <c:idx val="3"/>
          <c:order val="3"/>
          <c:tx>
            <c:strRef>
              <c:f>'Trh práce 1-SNÚ'!$AF$7</c:f>
              <c:strCache>
                <c:ptCount val="1"/>
                <c:pt idx="0">
                  <c:v>Trade, transport., accommod.&amp; food service</c:v>
                </c:pt>
              </c:strCache>
            </c:strRef>
          </c:tx>
          <c:spPr>
            <a:solidFill>
              <a:srgbClr val="FDDEB3"/>
            </a:solidFill>
            <a:ln w="19050">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1-SNÚ'!$AF$28:$AF$58</c:f>
              <c:numCache>
                <c:formatCode>#\ ##0.0</c:formatCode>
                <c:ptCount val="31"/>
                <c:pt idx="0">
                  <c:v>0.23291997178704796</c:v>
                </c:pt>
                <c:pt idx="1">
                  <c:v>0.49484250453607476</c:v>
                </c:pt>
                <c:pt idx="2">
                  <c:v>0.32328110679066302</c:v>
                </c:pt>
                <c:pt idx="3">
                  <c:v>0.16315218273979085</c:v>
                </c:pt>
                <c:pt idx="4">
                  <c:v>8.7514387555562234E-2</c:v>
                </c:pt>
                <c:pt idx="5">
                  <c:v>0.23539827888748016</c:v>
                </c:pt>
                <c:pt idx="6">
                  <c:v>-1.0121455538566413E-2</c:v>
                </c:pt>
                <c:pt idx="7">
                  <c:v>6.4501534410011871E-2</c:v>
                </c:pt>
                <c:pt idx="8">
                  <c:v>0.17491894128532504</c:v>
                </c:pt>
                <c:pt idx="9">
                  <c:v>5.376054029532935E-3</c:v>
                </c:pt>
                <c:pt idx="10">
                  <c:v>0.3554863488114835</c:v>
                </c:pt>
                <c:pt idx="11">
                  <c:v>0.17830036428397431</c:v>
                </c:pt>
                <c:pt idx="12">
                  <c:v>0.15887539134747272</c:v>
                </c:pt>
                <c:pt idx="13">
                  <c:v>0.40293713210708682</c:v>
                </c:pt>
                <c:pt idx="14">
                  <c:v>0.21063905082977827</c:v>
                </c:pt>
                <c:pt idx="15">
                  <c:v>0.22355083238122012</c:v>
                </c:pt>
                <c:pt idx="16">
                  <c:v>0.43914483415040123</c:v>
                </c:pt>
                <c:pt idx="17">
                  <c:v>0.11318361828645723</c:v>
                </c:pt>
                <c:pt idx="18">
                  <c:v>-1.4877414534236133E-2</c:v>
                </c:pt>
                <c:pt idx="19">
                  <c:v>-4.6754453974505915E-2</c:v>
                </c:pt>
                <c:pt idx="20">
                  <c:v>-0.11596996469808202</c:v>
                </c:pt>
                <c:pt idx="21">
                  <c:v>-0.57289010255494677</c:v>
                </c:pt>
                <c:pt idx="22">
                  <c:v>-0.41512925330551576</c:v>
                </c:pt>
                <c:pt idx="23">
                  <c:v>-0.99009534683119627</c:v>
                </c:pt>
                <c:pt idx="24">
                  <c:v>-0.85525942764305507</c:v>
                </c:pt>
                <c:pt idx="25">
                  <c:v>-0.16068979178984685</c:v>
                </c:pt>
                <c:pt idx="26">
                  <c:v>0.24223497129956198</c:v>
                </c:pt>
                <c:pt idx="27">
                  <c:v>0.73670588306438378</c:v>
                </c:pt>
                <c:pt idx="28">
                  <c:v>0.4419940203685101</c:v>
                </c:pt>
                <c:pt idx="29">
                  <c:v>0.93220209157916911</c:v>
                </c:pt>
              </c:numCache>
            </c:numRef>
          </c:val>
          <c:extLst>
            <c:ext xmlns:c16="http://schemas.microsoft.com/office/drawing/2014/chart" uri="{C3380CC4-5D6E-409C-BE32-E72D297353CC}">
              <c16:uniqueId val="{00000003-C2A4-44C5-A749-22A7D12221F9}"/>
            </c:ext>
          </c:extLst>
        </c:ser>
        <c:ser>
          <c:idx val="4"/>
          <c:order val="4"/>
          <c:tx>
            <c:strRef>
              <c:f>'Trh práce 1-SNÚ'!$AG$7</c:f>
              <c:strCache>
                <c:ptCount val="1"/>
                <c:pt idx="0">
                  <c:v>Information and communication</c:v>
                </c:pt>
              </c:strCache>
            </c:strRef>
          </c:tx>
          <c:spPr>
            <a:solidFill>
              <a:srgbClr val="F8A124"/>
            </a:solidFill>
            <a:ln w="19050">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1-SNÚ'!$AG$28:$AG$58</c:f>
              <c:numCache>
                <c:formatCode>#\ ##0.0</c:formatCode>
                <c:ptCount val="31"/>
                <c:pt idx="0">
                  <c:v>1.2223778472118108E-2</c:v>
                </c:pt>
                <c:pt idx="1">
                  <c:v>6.0238966213004064E-2</c:v>
                </c:pt>
                <c:pt idx="2">
                  <c:v>7.0191816584150843E-2</c:v>
                </c:pt>
                <c:pt idx="3">
                  <c:v>9.7973099947945536E-2</c:v>
                </c:pt>
                <c:pt idx="4">
                  <c:v>0.11574107777423734</c:v>
                </c:pt>
                <c:pt idx="5">
                  <c:v>0.11485523362541727</c:v>
                </c:pt>
                <c:pt idx="6">
                  <c:v>0.13512625118059429</c:v>
                </c:pt>
                <c:pt idx="7">
                  <c:v>0.16390616372126973</c:v>
                </c:pt>
                <c:pt idx="8">
                  <c:v>0.13639011895367553</c:v>
                </c:pt>
                <c:pt idx="9">
                  <c:v>0.13690890950828222</c:v>
                </c:pt>
                <c:pt idx="10">
                  <c:v>0.13784590844137601</c:v>
                </c:pt>
                <c:pt idx="11">
                  <c:v>0.11872218009337367</c:v>
                </c:pt>
                <c:pt idx="12">
                  <c:v>0.12284956731327347</c:v>
                </c:pt>
                <c:pt idx="13">
                  <c:v>0.1377705293912645</c:v>
                </c:pt>
                <c:pt idx="14">
                  <c:v>0.12183128760081174</c:v>
                </c:pt>
                <c:pt idx="15">
                  <c:v>0.14710233552673219</c:v>
                </c:pt>
                <c:pt idx="16">
                  <c:v>0.15146954390177916</c:v>
                </c:pt>
                <c:pt idx="17">
                  <c:v>8.5481334090471192E-2</c:v>
                </c:pt>
                <c:pt idx="18">
                  <c:v>0.13044502296953692</c:v>
                </c:pt>
                <c:pt idx="19">
                  <c:v>0.14053979740227912</c:v>
                </c:pt>
                <c:pt idx="20">
                  <c:v>0.12892698928003887</c:v>
                </c:pt>
                <c:pt idx="21">
                  <c:v>8.7929408340245083E-2</c:v>
                </c:pt>
                <c:pt idx="22">
                  <c:v>0.10800290465149717</c:v>
                </c:pt>
                <c:pt idx="23">
                  <c:v>7.2310646091645572E-2</c:v>
                </c:pt>
                <c:pt idx="24">
                  <c:v>7.0059490346391487E-2</c:v>
                </c:pt>
                <c:pt idx="25">
                  <c:v>0.12448487722594251</c:v>
                </c:pt>
                <c:pt idx="26">
                  <c:v>9.582447702764238E-2</c:v>
                </c:pt>
                <c:pt idx="27">
                  <c:v>2.9990566294458676E-2</c:v>
                </c:pt>
                <c:pt idx="28">
                  <c:v>0.11495530320425043</c:v>
                </c:pt>
                <c:pt idx="29">
                  <c:v>0.10663773174744272</c:v>
                </c:pt>
              </c:numCache>
            </c:numRef>
          </c:val>
          <c:extLst>
            <c:ext xmlns:c16="http://schemas.microsoft.com/office/drawing/2014/chart" uri="{C3380CC4-5D6E-409C-BE32-E72D297353CC}">
              <c16:uniqueId val="{00000004-C2A4-44C5-A749-22A7D12221F9}"/>
            </c:ext>
          </c:extLst>
        </c:ser>
        <c:ser>
          <c:idx val="5"/>
          <c:order val="5"/>
          <c:tx>
            <c:strRef>
              <c:f>'Trh práce 1-SNÚ'!$AH$7</c:f>
              <c:strCache>
                <c:ptCount val="1"/>
                <c:pt idx="0">
                  <c:v>Professional, scientific, technic.&amp; admin.act.</c:v>
                </c:pt>
              </c:strCache>
            </c:strRef>
          </c:tx>
          <c:spPr>
            <a:solidFill>
              <a:srgbClr val="E8C0BE"/>
            </a:solidFill>
            <a:ln w="19050">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1-SNÚ'!$AH$28:$AH$58</c:f>
              <c:numCache>
                <c:formatCode>#\ ##0.0</c:formatCode>
                <c:ptCount val="31"/>
                <c:pt idx="0">
                  <c:v>0.10850077322277182</c:v>
                </c:pt>
                <c:pt idx="1">
                  <c:v>0.12304838994193759</c:v>
                </c:pt>
                <c:pt idx="2">
                  <c:v>0.25299155723995104</c:v>
                </c:pt>
                <c:pt idx="3">
                  <c:v>0.35101672163818687</c:v>
                </c:pt>
                <c:pt idx="4">
                  <c:v>0.2419070060625246</c:v>
                </c:pt>
                <c:pt idx="5">
                  <c:v>0.24438309320163906</c:v>
                </c:pt>
                <c:pt idx="6">
                  <c:v>0.25066507602369625</c:v>
                </c:pt>
                <c:pt idx="7">
                  <c:v>0.26288795818240235</c:v>
                </c:pt>
                <c:pt idx="8">
                  <c:v>0.40909387284647242</c:v>
                </c:pt>
                <c:pt idx="9">
                  <c:v>0.3560353520194568</c:v>
                </c:pt>
                <c:pt idx="10">
                  <c:v>0.31414586903784036</c:v>
                </c:pt>
                <c:pt idx="11">
                  <c:v>0.14060149424955432</c:v>
                </c:pt>
                <c:pt idx="12">
                  <c:v>0.17385474809809426</c:v>
                </c:pt>
                <c:pt idx="13">
                  <c:v>0.14777045635809</c:v>
                </c:pt>
                <c:pt idx="14">
                  <c:v>9.3482836335189431E-2</c:v>
                </c:pt>
                <c:pt idx="15">
                  <c:v>0.18868972158064815</c:v>
                </c:pt>
                <c:pt idx="16">
                  <c:v>-9.607104657906403E-3</c:v>
                </c:pt>
                <c:pt idx="17">
                  <c:v>-3.2359213034248137E-2</c:v>
                </c:pt>
                <c:pt idx="18">
                  <c:v>-2.9422579116094784E-2</c:v>
                </c:pt>
                <c:pt idx="19">
                  <c:v>-0.20393566719821937</c:v>
                </c:pt>
                <c:pt idx="20">
                  <c:v>-0.16053845350835916</c:v>
                </c:pt>
                <c:pt idx="21">
                  <c:v>-0.28764717531134654</c:v>
                </c:pt>
                <c:pt idx="22">
                  <c:v>-0.41553472496120397</c:v>
                </c:pt>
                <c:pt idx="23">
                  <c:v>-0.1922734345041095</c:v>
                </c:pt>
                <c:pt idx="24">
                  <c:v>-0.18494148985647538</c:v>
                </c:pt>
                <c:pt idx="25">
                  <c:v>8.2989918150628353E-2</c:v>
                </c:pt>
                <c:pt idx="26">
                  <c:v>0.18710822105338745</c:v>
                </c:pt>
                <c:pt idx="27">
                  <c:v>8.3338624674582709E-2</c:v>
                </c:pt>
                <c:pt idx="28">
                  <c:v>7.8003369489813637E-2</c:v>
                </c:pt>
                <c:pt idx="29">
                  <c:v>4.6387786953206084E-2</c:v>
                </c:pt>
              </c:numCache>
            </c:numRef>
          </c:val>
          <c:extLst>
            <c:ext xmlns:c16="http://schemas.microsoft.com/office/drawing/2014/chart" uri="{C3380CC4-5D6E-409C-BE32-E72D297353CC}">
              <c16:uniqueId val="{00000005-C2A4-44C5-A749-22A7D12221F9}"/>
            </c:ext>
          </c:extLst>
        </c:ser>
        <c:ser>
          <c:idx val="6"/>
          <c:order val="6"/>
          <c:tx>
            <c:strRef>
              <c:f>'Trh práce 1-SNÚ'!$AI$7</c:f>
              <c:strCache>
                <c:ptCount val="1"/>
                <c:pt idx="0">
                  <c:v>Public admin, education, health &amp; soc.work</c:v>
                </c:pt>
              </c:strCache>
            </c:strRef>
          </c:tx>
          <c:spPr>
            <a:solidFill>
              <a:srgbClr val="D58D8B"/>
            </a:solidFill>
            <a:ln>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1-SNÚ'!$AI$28:$AI$58</c:f>
              <c:numCache>
                <c:formatCode>#\ ##0.0</c:formatCode>
                <c:ptCount val="31"/>
                <c:pt idx="0">
                  <c:v>0.22356544035179357</c:v>
                </c:pt>
                <c:pt idx="1">
                  <c:v>0.22121632087472565</c:v>
                </c:pt>
                <c:pt idx="2">
                  <c:v>0.12507865060484022</c:v>
                </c:pt>
                <c:pt idx="3">
                  <c:v>0.12632707202590393</c:v>
                </c:pt>
                <c:pt idx="4">
                  <c:v>0.32907195728800698</c:v>
                </c:pt>
                <c:pt idx="5">
                  <c:v>0.33515671077902104</c:v>
                </c:pt>
                <c:pt idx="6">
                  <c:v>0.44146897214787112</c:v>
                </c:pt>
                <c:pt idx="7">
                  <c:v>0.55904533116329413</c:v>
                </c:pt>
                <c:pt idx="8">
                  <c:v>0.45377965834973044</c:v>
                </c:pt>
                <c:pt idx="9">
                  <c:v>0.48758720415555434</c:v>
                </c:pt>
                <c:pt idx="10">
                  <c:v>0.52434236449693816</c:v>
                </c:pt>
                <c:pt idx="11">
                  <c:v>0.53403271627626769</c:v>
                </c:pt>
                <c:pt idx="12">
                  <c:v>0.4379247919471016</c:v>
                </c:pt>
                <c:pt idx="13">
                  <c:v>0.46550221824222543</c:v>
                </c:pt>
                <c:pt idx="14">
                  <c:v>0.29622455251541197</c:v>
                </c:pt>
                <c:pt idx="15">
                  <c:v>0.24393461389689397</c:v>
                </c:pt>
                <c:pt idx="16">
                  <c:v>0.20792519366754575</c:v>
                </c:pt>
                <c:pt idx="17">
                  <c:v>0.13389130580837372</c:v>
                </c:pt>
                <c:pt idx="18">
                  <c:v>0.14884797866511187</c:v>
                </c:pt>
                <c:pt idx="19">
                  <c:v>0.16857035494868175</c:v>
                </c:pt>
                <c:pt idx="20">
                  <c:v>0.34228599406292859</c:v>
                </c:pt>
                <c:pt idx="21">
                  <c:v>0.27122120568819491</c:v>
                </c:pt>
                <c:pt idx="22">
                  <c:v>0.38125393952574577</c:v>
                </c:pt>
                <c:pt idx="23">
                  <c:v>0.32350181091089736</c:v>
                </c:pt>
                <c:pt idx="24">
                  <c:v>0.17065535733675366</c:v>
                </c:pt>
                <c:pt idx="25">
                  <c:v>0.2872569205787911</c:v>
                </c:pt>
                <c:pt idx="26">
                  <c:v>0.28479027067271512</c:v>
                </c:pt>
                <c:pt idx="27">
                  <c:v>0.33911828113047315</c:v>
                </c:pt>
                <c:pt idx="28">
                  <c:v>0.42800305920640269</c:v>
                </c:pt>
                <c:pt idx="29">
                  <c:v>0.39256808991047898</c:v>
                </c:pt>
              </c:numCache>
            </c:numRef>
          </c:val>
          <c:extLst>
            <c:ext xmlns:c16="http://schemas.microsoft.com/office/drawing/2014/chart" uri="{C3380CC4-5D6E-409C-BE32-E72D297353CC}">
              <c16:uniqueId val="{00000006-C2A4-44C5-A749-22A7D12221F9}"/>
            </c:ext>
          </c:extLst>
        </c:ser>
        <c:ser>
          <c:idx val="7"/>
          <c:order val="7"/>
          <c:tx>
            <c:strRef>
              <c:f>'Trh práce 1-SNÚ'!$AJ$7</c:f>
              <c:strCache>
                <c:ptCount val="1"/>
                <c:pt idx="0">
                  <c:v>Other branches*</c:v>
                </c:pt>
              </c:strCache>
            </c:strRef>
          </c:tx>
          <c:spPr>
            <a:solidFill>
              <a:schemeClr val="bg1">
                <a:lumMod val="85000"/>
              </a:schemeClr>
            </a:solidFill>
            <a:ln>
              <a:noFill/>
            </a:ln>
          </c:spPr>
          <c:invertIfNegative val="0"/>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1-SNÚ'!$AJ$28:$AJ$58</c:f>
              <c:numCache>
                <c:formatCode>#\ ##0.0</c:formatCode>
                <c:ptCount val="31"/>
                <c:pt idx="0">
                  <c:v>-5.4437084192551728E-2</c:v>
                </c:pt>
                <c:pt idx="1">
                  <c:v>8.941660229076856E-2</c:v>
                </c:pt>
                <c:pt idx="2">
                  <c:v>4.9980639099324334E-2</c:v>
                </c:pt>
                <c:pt idx="3">
                  <c:v>-2.6133949538887476E-2</c:v>
                </c:pt>
                <c:pt idx="4">
                  <c:v>0.12610768889994062</c:v>
                </c:pt>
                <c:pt idx="5">
                  <c:v>7.9147344977730044E-2</c:v>
                </c:pt>
                <c:pt idx="6">
                  <c:v>0.10645843330278808</c:v>
                </c:pt>
                <c:pt idx="7">
                  <c:v>0.17588007788617954</c:v>
                </c:pt>
                <c:pt idx="8">
                  <c:v>-5.5355305533561008E-2</c:v>
                </c:pt>
                <c:pt idx="9">
                  <c:v>-2.887491916922294E-3</c:v>
                </c:pt>
                <c:pt idx="10">
                  <c:v>4.6771521213818591E-2</c:v>
                </c:pt>
                <c:pt idx="11">
                  <c:v>4.0303999761385406E-2</c:v>
                </c:pt>
                <c:pt idx="12">
                  <c:v>0.20445408817735128</c:v>
                </c:pt>
                <c:pt idx="13">
                  <c:v>0.19370645045850754</c:v>
                </c:pt>
                <c:pt idx="14">
                  <c:v>1.6316191398610472E-2</c:v>
                </c:pt>
                <c:pt idx="15">
                  <c:v>1.837148864209727E-2</c:v>
                </c:pt>
                <c:pt idx="16">
                  <c:v>-2.6762648689882127E-2</c:v>
                </c:pt>
                <c:pt idx="17">
                  <c:v>2.1167858355736847E-2</c:v>
                </c:pt>
                <c:pt idx="18">
                  <c:v>0.1052494015809112</c:v>
                </c:pt>
                <c:pt idx="19">
                  <c:v>0.12295850095305616</c:v>
                </c:pt>
                <c:pt idx="20">
                  <c:v>-0.12300902911636498</c:v>
                </c:pt>
                <c:pt idx="21">
                  <c:v>-0.35208469413468202</c:v>
                </c:pt>
                <c:pt idx="22">
                  <c:v>-0.34275256276516941</c:v>
                </c:pt>
                <c:pt idx="23">
                  <c:v>-0.43863649018293677</c:v>
                </c:pt>
                <c:pt idx="24">
                  <c:v>-0.16726448541573019</c:v>
                </c:pt>
                <c:pt idx="25">
                  <c:v>4.1738826375485566E-2</c:v>
                </c:pt>
                <c:pt idx="26">
                  <c:v>-1.3959939476907393E-2</c:v>
                </c:pt>
                <c:pt idx="27">
                  <c:v>0.11555911335262434</c:v>
                </c:pt>
                <c:pt idx="28">
                  <c:v>0.10577843620544883</c:v>
                </c:pt>
                <c:pt idx="29">
                  <c:v>0.1911931581470443</c:v>
                </c:pt>
              </c:numCache>
            </c:numRef>
          </c:val>
          <c:extLst>
            <c:ext xmlns:c16="http://schemas.microsoft.com/office/drawing/2014/chart" uri="{C3380CC4-5D6E-409C-BE32-E72D297353CC}">
              <c16:uniqueId val="{00000007-C2A4-44C5-A749-22A7D12221F9}"/>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1-SNÚ'!$AK$7</c:f>
              <c:strCache>
                <c:ptCount val="1"/>
                <c:pt idx="0">
                  <c:v>Total employment growth</c:v>
                </c:pt>
              </c:strCache>
            </c:strRef>
          </c:tx>
          <c:spPr>
            <a:ln w="19050">
              <a:solidFill>
                <a:schemeClr val="tx1">
                  <a:lumMod val="95000"/>
                  <a:lumOff val="5000"/>
                </a:schemeClr>
              </a:solidFill>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1-SNÚ'!$AK$28:$AK$58</c:f>
              <c:numCache>
                <c:formatCode>#\ ##0.0</c:formatCode>
                <c:ptCount val="31"/>
                <c:pt idx="0">
                  <c:v>1.2324005594638692</c:v>
                </c:pt>
                <c:pt idx="1">
                  <c:v>1.7691026689786469</c:v>
                </c:pt>
                <c:pt idx="2">
                  <c:v>1.3881990570332476</c:v>
                </c:pt>
                <c:pt idx="3">
                  <c:v>1.3221597391901838</c:v>
                </c:pt>
                <c:pt idx="4">
                  <c:v>1.5277744613681534</c:v>
                </c:pt>
                <c:pt idx="5">
                  <c:v>1.4953160389154334</c:v>
                </c:pt>
                <c:pt idx="6">
                  <c:v>1.5235007666279472</c:v>
                </c:pt>
                <c:pt idx="7">
                  <c:v>1.811732014191108</c:v>
                </c:pt>
                <c:pt idx="8">
                  <c:v>1.4809790948155097</c:v>
                </c:pt>
                <c:pt idx="9">
                  <c:v>1.4428911088804739</c:v>
                </c:pt>
                <c:pt idx="10">
                  <c:v>1.953560797755415</c:v>
                </c:pt>
                <c:pt idx="11">
                  <c:v>1.3171196100007592</c:v>
                </c:pt>
                <c:pt idx="12">
                  <c:v>1.5928803023154643</c:v>
                </c:pt>
                <c:pt idx="13">
                  <c:v>1.7364292657787672</c:v>
                </c:pt>
                <c:pt idx="14">
                  <c:v>0.90722494365698481</c:v>
                </c:pt>
                <c:pt idx="15">
                  <c:v>1.1032023032555145</c:v>
                </c:pt>
                <c:pt idx="16">
                  <c:v>0.91287895437608313</c:v>
                </c:pt>
                <c:pt idx="17">
                  <c:v>0.29311041431022034</c:v>
                </c:pt>
                <c:pt idx="18">
                  <c:v>0.15084147837937678</c:v>
                </c:pt>
                <c:pt idx="19">
                  <c:v>-0.37554681241327614</c:v>
                </c:pt>
                <c:pt idx="20">
                  <c:v>-0.81274544831673268</c:v>
                </c:pt>
                <c:pt idx="21">
                  <c:v>-2.1642086747839784</c:v>
                </c:pt>
                <c:pt idx="22">
                  <c:v>-1.7738279104571149</c:v>
                </c:pt>
                <c:pt idx="23">
                  <c:v>-2.1121405116648759</c:v>
                </c:pt>
                <c:pt idx="24">
                  <c:v>-1.4660981366510271</c:v>
                </c:pt>
                <c:pt idx="25">
                  <c:v>0.41146041245838205</c:v>
                </c:pt>
                <c:pt idx="26">
                  <c:v>0.87990774431393959</c:v>
                </c:pt>
                <c:pt idx="27">
                  <c:v>1.6596291828052614</c:v>
                </c:pt>
                <c:pt idx="28">
                  <c:v>1.4734701100227454</c:v>
                </c:pt>
                <c:pt idx="29">
                  <c:v>2.4591505374295082</c:v>
                </c:pt>
              </c:numCache>
            </c:numRef>
          </c:val>
          <c:smooth val="0"/>
          <c:extLst>
            <c:ext xmlns:c16="http://schemas.microsoft.com/office/drawing/2014/chart" uri="{C3380CC4-5D6E-409C-BE32-E72D297353CC}">
              <c16:uniqueId val="{00000008-C2A4-44C5-A749-22A7D12221F9}"/>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1-SNÚ'!$AL$7</c:f>
              <c:strCache>
                <c:ptCount val="1"/>
              </c:strCache>
            </c:strRef>
          </c:tx>
          <c:spPr>
            <a:ln>
              <a:noFill/>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1-SNÚ'!$AL$28:$AL$58</c:f>
              <c:numCache>
                <c:formatCode>General</c:formatCode>
                <c:ptCount val="31"/>
              </c:numCache>
            </c:numRef>
          </c:val>
          <c:smooth val="0"/>
          <c:extLst>
            <c:ext xmlns:c16="http://schemas.microsoft.com/office/drawing/2014/chart" uri="{C3380CC4-5D6E-409C-BE32-E72D297353CC}">
              <c16:uniqueId val="{00000009-C2A4-44C5-A749-22A7D12221F9}"/>
            </c:ext>
          </c:extLst>
        </c:ser>
        <c:ser>
          <c:idx val="10"/>
          <c:order val="10"/>
          <c:tx>
            <c:strRef>
              <c:f>'Trh práce 1-SNÚ'!$AM$7</c:f>
              <c:strCache>
                <c:ptCount val="1"/>
                <c:pt idx="0">
                  <c:v>Employment expectations (industry)</c:v>
                </c:pt>
              </c:strCache>
            </c:strRef>
          </c:tx>
          <c:spPr>
            <a:ln w="15875">
              <a:solidFill>
                <a:schemeClr val="tx1">
                  <a:lumMod val="95000"/>
                  <a:lumOff val="5000"/>
                </a:schemeClr>
              </a:solidFill>
              <a:prstDash val="sysDot"/>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1-SNÚ'!$AM$28:$AM$58</c:f>
              <c:numCache>
                <c:formatCode>#\ ##0.0</c:formatCode>
                <c:ptCount val="31"/>
                <c:pt idx="0">
                  <c:v>-3</c:v>
                </c:pt>
                <c:pt idx="1">
                  <c:v>4.3</c:v>
                </c:pt>
                <c:pt idx="2">
                  <c:v>5.5</c:v>
                </c:pt>
                <c:pt idx="3">
                  <c:v>7.8</c:v>
                </c:pt>
                <c:pt idx="4">
                  <c:v>8.1999999999999993</c:v>
                </c:pt>
                <c:pt idx="5">
                  <c:v>9.9</c:v>
                </c:pt>
                <c:pt idx="6">
                  <c:v>3.8</c:v>
                </c:pt>
                <c:pt idx="7">
                  <c:v>9.5</c:v>
                </c:pt>
                <c:pt idx="8">
                  <c:v>11.1</c:v>
                </c:pt>
                <c:pt idx="9">
                  <c:v>5.7</c:v>
                </c:pt>
                <c:pt idx="10">
                  <c:v>8.1999999999999993</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numCache>
            </c:numRef>
          </c:val>
          <c:smooth val="0"/>
          <c:extLst>
            <c:ext xmlns:c16="http://schemas.microsoft.com/office/drawing/2014/chart" uri="{C3380CC4-5D6E-409C-BE32-E72D297353CC}">
              <c16:uniqueId val="{0000000A-C2A4-44C5-A749-22A7D12221F9}"/>
            </c:ext>
          </c:extLst>
        </c:ser>
        <c:ser>
          <c:idx val="11"/>
          <c:order val="11"/>
          <c:tx>
            <c:strRef>
              <c:f>'Trh práce 1-SNÚ'!$AN$7</c:f>
              <c:strCache>
                <c:ptCount val="1"/>
                <c:pt idx="0">
                  <c:v>Employment expectations (construction)</c:v>
                </c:pt>
              </c:strCache>
            </c:strRef>
          </c:tx>
          <c:spPr>
            <a:ln w="15875">
              <a:solidFill>
                <a:srgbClr val="00B0F0"/>
              </a:solidFill>
              <a:prstDash val="sysDot"/>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1-SNÚ'!$AN$28:$AN$58</c:f>
              <c:numCache>
                <c:formatCode>#\ ##0.0</c:formatCode>
                <c:ptCount val="31"/>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5.5</c:v>
                </c:pt>
                <c:pt idx="21">
                  <c:v>-4.2</c:v>
                </c:pt>
                <c:pt idx="22">
                  <c:v>1.1000000000000001</c:v>
                </c:pt>
                <c:pt idx="23">
                  <c:v>-1.3</c:v>
                </c:pt>
                <c:pt idx="24">
                  <c:v>3.1</c:v>
                </c:pt>
                <c:pt idx="25">
                  <c:v>3.9</c:v>
                </c:pt>
                <c:pt idx="26">
                  <c:v>4.4000000000000004</c:v>
                </c:pt>
                <c:pt idx="27">
                  <c:v>9.1999999999999993</c:v>
                </c:pt>
                <c:pt idx="28">
                  <c:v>8.9</c:v>
                </c:pt>
                <c:pt idx="29">
                  <c:v>6.8</c:v>
                </c:pt>
                <c:pt idx="30">
                  <c:v>1.7</c:v>
                </c:pt>
              </c:numCache>
            </c:numRef>
          </c:val>
          <c:smooth val="0"/>
          <c:extLst>
            <c:ext xmlns:c16="http://schemas.microsoft.com/office/drawing/2014/chart" uri="{C3380CC4-5D6E-409C-BE32-E72D297353CC}">
              <c16:uniqueId val="{0000000B-C2A4-44C5-A749-22A7D12221F9}"/>
            </c:ext>
          </c:extLst>
        </c:ser>
        <c:ser>
          <c:idx val="12"/>
          <c:order val="12"/>
          <c:tx>
            <c:strRef>
              <c:f>'Trh práce 1-SNÚ'!$AO$7</c:f>
              <c:strCache>
                <c:ptCount val="1"/>
                <c:pt idx="0">
                  <c:v>Employment expectations (trade)</c:v>
                </c:pt>
              </c:strCache>
            </c:strRef>
          </c:tx>
          <c:spPr>
            <a:ln w="15875">
              <a:solidFill>
                <a:schemeClr val="accent6">
                  <a:lumMod val="75000"/>
                </a:schemeClr>
              </a:solidFill>
              <a:prstDash val="sysDot"/>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1-SNÚ'!$AO$28:$AO$58</c:f>
              <c:numCache>
                <c:formatCode>#\ ##0.0</c:formatCode>
                <c:ptCount val="31"/>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c:v>
                </c:pt>
                <c:pt idx="24">
                  <c:v>5.6</c:v>
                </c:pt>
                <c:pt idx="25">
                  <c:v>13.3</c:v>
                </c:pt>
                <c:pt idx="26">
                  <c:v>10.8</c:v>
                </c:pt>
                <c:pt idx="27">
                  <c:v>9.5</c:v>
                </c:pt>
                <c:pt idx="28">
                  <c:v>10</c:v>
                </c:pt>
                <c:pt idx="29">
                  <c:v>3.1</c:v>
                </c:pt>
                <c:pt idx="30">
                  <c:v>5</c:v>
                </c:pt>
              </c:numCache>
            </c:numRef>
          </c:val>
          <c:smooth val="0"/>
          <c:extLst>
            <c:ext xmlns:c16="http://schemas.microsoft.com/office/drawing/2014/chart" uri="{C3380CC4-5D6E-409C-BE32-E72D297353CC}">
              <c16:uniqueId val="{0000000C-C2A4-44C5-A749-22A7D12221F9}"/>
            </c:ext>
          </c:extLst>
        </c:ser>
        <c:ser>
          <c:idx val="13"/>
          <c:order val="13"/>
          <c:tx>
            <c:strRef>
              <c:f>'Trh práce 1-SNÚ'!$AP$7</c:f>
              <c:strCache>
                <c:ptCount val="1"/>
                <c:pt idx="0">
                  <c:v>Employment expectations (select.services)</c:v>
                </c:pt>
              </c:strCache>
            </c:strRef>
          </c:tx>
          <c:spPr>
            <a:ln w="15875">
              <a:solidFill>
                <a:srgbClr val="C00000"/>
              </a:solidFill>
              <a:prstDash val="sysDot"/>
            </a:ln>
          </c:spPr>
          <c:marker>
            <c:symbol val="none"/>
          </c:marker>
          <c:cat>
            <c:multiLvlStrRef>
              <c:f>'Trh práce 1-SNÚ'!$AA$28:$AB$58</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 1-SNÚ'!$AP$28:$AP$58</c:f>
              <c:numCache>
                <c:formatCode>#\ ##0.0</c:formatCode>
                <c:ptCount val="31"/>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-32.299999999999997</c:v>
                </c:pt>
                <c:pt idx="22">
                  <c:v>-28.6</c:v>
                </c:pt>
                <c:pt idx="23">
                  <c:v>-30.1</c:v>
                </c:pt>
                <c:pt idx="24">
                  <c:v>-27</c:v>
                </c:pt>
                <c:pt idx="25">
                  <c:v>-27.7</c:v>
                </c:pt>
                <c:pt idx="26">
                  <c:v>-12.1</c:v>
                </c:pt>
                <c:pt idx="27">
                  <c:v>-15.8</c:v>
                </c:pt>
                <c:pt idx="28">
                  <c:v>-6.8</c:v>
                </c:pt>
                <c:pt idx="29">
                  <c:v>-3.5</c:v>
                </c:pt>
                <c:pt idx="30">
                  <c:v>-6.1</c:v>
                </c:pt>
              </c:numCache>
            </c:numRef>
          </c:val>
          <c:smooth val="0"/>
          <c:extLst>
            <c:ext xmlns:c16="http://schemas.microsoft.com/office/drawing/2014/chart" uri="{C3380CC4-5D6E-409C-BE32-E72D297353CC}">
              <c16:uniqueId val="{0000000D-C2A4-44C5-A749-22A7D12221F9}"/>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Contribution to the employment growth</a:t>
                </a:r>
              </a:p>
            </c:rich>
          </c:tx>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Expectations of the employment</a:t>
                </a:r>
              </a:p>
            </c:rich>
          </c:tx>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7.3375839479301848E-3"/>
          <c:y val="0.77992823117070742"/>
          <c:w val="0.98174977228850369"/>
          <c:h val="0.21194618315349945"/>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6113463718820862"/>
        </c:manualLayout>
      </c:layout>
      <c:barChart>
        <c:barDir val="col"/>
        <c:grouping val="clustered"/>
        <c:varyColors val="0"/>
        <c:ser>
          <c:idx val="0"/>
          <c:order val="0"/>
          <c:tx>
            <c:strRef>
              <c:f>'Trh práce-2b'!$A$30</c:f>
              <c:strCache>
                <c:ptCount val="1"/>
                <c:pt idx="0">
                  <c:v>Male unemployment rate</c:v>
                </c:pt>
              </c:strCache>
            </c:strRef>
          </c:tx>
          <c:spPr>
            <a:solidFill>
              <a:srgbClr val="BCBCBC"/>
            </a:solidFill>
          </c:spPr>
          <c:invertIfNegative val="0"/>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práce-2b'!$B$30:$AF$30</c:f>
              <c:numCache>
                <c:formatCode>0.0</c:formatCode>
                <c:ptCount val="31"/>
                <c:pt idx="0">
                  <c:v>5.015654048517181</c:v>
                </c:pt>
                <c:pt idx="1">
                  <c:v>4.3097576556402695</c:v>
                </c:pt>
                <c:pt idx="2">
                  <c:v>4.0655681201340759</c:v>
                </c:pt>
                <c:pt idx="3">
                  <c:v>3.79427398622953</c:v>
                </c:pt>
                <c:pt idx="4">
                  <c:v>3.6458927178551099</c:v>
                </c:pt>
                <c:pt idx="5">
                  <c:v>3.5600663439817914</c:v>
                </c:pt>
                <c:pt idx="6">
                  <c:v>3.3966819627238949</c:v>
                </c:pt>
                <c:pt idx="7">
                  <c:v>3.1583063409409937</c:v>
                </c:pt>
                <c:pt idx="8">
                  <c:v>2.6907735187377972</c:v>
                </c:pt>
                <c:pt idx="9">
                  <c:v>2.4844729762431417</c:v>
                </c:pt>
                <c:pt idx="10">
                  <c:v>2.2541146548508895</c:v>
                </c:pt>
                <c:pt idx="11">
                  <c:v>2.0844989615311071</c:v>
                </c:pt>
                <c:pt idx="12">
                  <c:v>1.8921664936774081</c:v>
                </c:pt>
                <c:pt idx="13">
                  <c:v>1.825304181170899</c:v>
                </c:pt>
                <c:pt idx="14">
                  <c:v>1.8923026100268112</c:v>
                </c:pt>
                <c:pt idx="15">
                  <c:v>1.6805633468354062</c:v>
                </c:pt>
                <c:pt idx="16">
                  <c:v>1.798143467322288</c:v>
                </c:pt>
                <c:pt idx="17">
                  <c:v>1.6709373739843822</c:v>
                </c:pt>
                <c:pt idx="18">
                  <c:v>1.7718707799478584</c:v>
                </c:pt>
                <c:pt idx="19">
                  <c:v>1.8586210130494658</c:v>
                </c:pt>
                <c:pt idx="20">
                  <c:v>1.8378192431811546</c:v>
                </c:pt>
                <c:pt idx="21">
                  <c:v>2.2740678125371305</c:v>
                </c:pt>
                <c:pt idx="22">
                  <c:v>2.5211333527129343</c:v>
                </c:pt>
                <c:pt idx="23">
                  <c:v>2.5659832731129097</c:v>
                </c:pt>
                <c:pt idx="24">
                  <c:v>2.6467614065388481</c:v>
                </c:pt>
                <c:pt idx="25">
                  <c:v>2.5439048372684447</c:v>
                </c:pt>
                <c:pt idx="26">
                  <c:v>2.2920203777413213</c:v>
                </c:pt>
                <c:pt idx="27">
                  <c:v>1.961409825676534</c:v>
                </c:pt>
                <c:pt idx="28">
                  <c:v>1.9688028992968987</c:v>
                </c:pt>
                <c:pt idx="29">
                  <c:v>1.8893890946399734</c:v>
                </c:pt>
              </c:numCache>
            </c:numRef>
          </c:val>
          <c:extLst>
            <c:ext xmlns:c16="http://schemas.microsoft.com/office/drawing/2014/chart" uri="{C3380CC4-5D6E-409C-BE32-E72D297353CC}">
              <c16:uniqueId val="{00000000-1F42-4984-B7A2-9DE4FB9689DA}"/>
            </c:ext>
          </c:extLst>
        </c:ser>
        <c:ser>
          <c:idx val="1"/>
          <c:order val="1"/>
          <c:tx>
            <c:strRef>
              <c:f>'Trh práce-2b'!$A$31</c:f>
              <c:strCache>
                <c:ptCount val="1"/>
                <c:pt idx="0">
                  <c:v>Female unemployment rate</c:v>
                </c:pt>
              </c:strCache>
            </c:strRef>
          </c:tx>
          <c:spPr>
            <a:solidFill>
              <a:schemeClr val="bg1">
                <a:lumMod val="95000"/>
              </a:schemeClr>
            </a:solidFill>
            <a:ln>
              <a:solidFill>
                <a:schemeClr val="bg1">
                  <a:lumMod val="65000"/>
                </a:schemeClr>
              </a:solidFill>
            </a:ln>
          </c:spPr>
          <c:invertIfNegative val="0"/>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práce-2b'!$B$31:$AF$31</c:f>
              <c:numCache>
                <c:formatCode>0.0</c:formatCode>
                <c:ptCount val="31"/>
                <c:pt idx="0">
                  <c:v>6.9307524048123526</c:v>
                </c:pt>
                <c:pt idx="1">
                  <c:v>6.170287809061648</c:v>
                </c:pt>
                <c:pt idx="2">
                  <c:v>5.9684614161324854</c:v>
                </c:pt>
                <c:pt idx="3">
                  <c:v>5.6750494734064985</c:v>
                </c:pt>
                <c:pt idx="4">
                  <c:v>5.0626344937886811</c:v>
                </c:pt>
                <c:pt idx="5">
                  <c:v>4.8137920103526461</c:v>
                </c:pt>
                <c:pt idx="6">
                  <c:v>4.7932172322640154</c:v>
                </c:pt>
                <c:pt idx="7">
                  <c:v>4.3581087136248824</c:v>
                </c:pt>
                <c:pt idx="8">
                  <c:v>4.2722649585445307</c:v>
                </c:pt>
                <c:pt idx="9">
                  <c:v>3.8986997207042671</c:v>
                </c:pt>
                <c:pt idx="10">
                  <c:v>3.3997973083172801</c:v>
                </c:pt>
                <c:pt idx="11">
                  <c:v>3.0210636946051381</c:v>
                </c:pt>
                <c:pt idx="12">
                  <c:v>2.9353495299400323</c:v>
                </c:pt>
                <c:pt idx="13">
                  <c:v>2.9016029826574883</c:v>
                </c:pt>
                <c:pt idx="14">
                  <c:v>2.8567684802621827</c:v>
                </c:pt>
                <c:pt idx="15">
                  <c:v>2.665208185427185</c:v>
                </c:pt>
                <c:pt idx="16">
                  <c:v>2.2535438463231396</c:v>
                </c:pt>
                <c:pt idx="17">
                  <c:v>2.4783929533714257</c:v>
                </c:pt>
                <c:pt idx="18">
                  <c:v>2.555615469635494</c:v>
                </c:pt>
                <c:pt idx="19">
                  <c:v>2.4620142655386039</c:v>
                </c:pt>
                <c:pt idx="20">
                  <c:v>2.0419389490922577</c:v>
                </c:pt>
                <c:pt idx="21">
                  <c:v>2.8214373755515005</c:v>
                </c:pt>
                <c:pt idx="22">
                  <c:v>3.3591614841367679</c:v>
                </c:pt>
                <c:pt idx="23">
                  <c:v>3.9035735007845154</c:v>
                </c:pt>
                <c:pt idx="24">
                  <c:v>4.1366528600647818</c:v>
                </c:pt>
                <c:pt idx="25">
                  <c:v>3.9150477411484572</c:v>
                </c:pt>
                <c:pt idx="26">
                  <c:v>3.2720348359242539</c:v>
                </c:pt>
                <c:pt idx="27">
                  <c:v>2.7114251000543859</c:v>
                </c:pt>
                <c:pt idx="28">
                  <c:v>3.0105924205944858</c:v>
                </c:pt>
                <c:pt idx="29">
                  <c:v>3.2171550315577093</c:v>
                </c:pt>
              </c:numCache>
            </c:numRef>
          </c:val>
          <c:extLst>
            <c:ext xmlns:c16="http://schemas.microsoft.com/office/drawing/2014/chart" uri="{C3380CC4-5D6E-409C-BE32-E72D297353CC}">
              <c16:uniqueId val="{00000001-1F42-4984-B7A2-9DE4FB9689DA}"/>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práce-2b'!$A$32</c:f>
              <c:strCache>
                <c:ptCount val="1"/>
                <c:pt idx="0">
                  <c:v>Rate of economic activity, males</c:v>
                </c:pt>
              </c:strCache>
            </c:strRef>
          </c:tx>
          <c:spPr>
            <a:ln w="19050">
              <a:solidFill>
                <a:srgbClr val="4FD1FF"/>
              </a:solidFill>
              <a:prstDash val="solid"/>
            </a:ln>
          </c:spPr>
          <c:marker>
            <c:symbol val="none"/>
          </c:marker>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práce-2b'!$B$32:$AF$32</c:f>
              <c:numCache>
                <c:formatCode>0.0</c:formatCode>
                <c:ptCount val="31"/>
                <c:pt idx="0">
                  <c:v>81.413481997639423</c:v>
                </c:pt>
                <c:pt idx="1">
                  <c:v>81.419110594189576</c:v>
                </c:pt>
                <c:pt idx="2">
                  <c:v>81.349582359517356</c:v>
                </c:pt>
                <c:pt idx="3">
                  <c:v>81.513665177863871</c:v>
                </c:pt>
                <c:pt idx="4">
                  <c:v>81.95464671816957</c:v>
                </c:pt>
                <c:pt idx="5">
                  <c:v>82.083249820800901</c:v>
                </c:pt>
                <c:pt idx="6">
                  <c:v>82.176405797492166</c:v>
                </c:pt>
                <c:pt idx="7">
                  <c:v>82.467848071365168</c:v>
                </c:pt>
                <c:pt idx="8">
                  <c:v>82.727860041774349</c:v>
                </c:pt>
                <c:pt idx="9">
                  <c:v>82.857472384057985</c:v>
                </c:pt>
                <c:pt idx="10">
                  <c:v>83.019684737731765</c:v>
                </c:pt>
                <c:pt idx="11">
                  <c:v>83.176217916024044</c:v>
                </c:pt>
                <c:pt idx="12">
                  <c:v>83.366789147231756</c:v>
                </c:pt>
                <c:pt idx="13">
                  <c:v>83.41277761607445</c:v>
                </c:pt>
                <c:pt idx="14">
                  <c:v>83.22791826411914</c:v>
                </c:pt>
                <c:pt idx="15">
                  <c:v>83.429606669855332</c:v>
                </c:pt>
                <c:pt idx="16">
                  <c:v>83.682240247092324</c:v>
                </c:pt>
                <c:pt idx="17">
                  <c:v>83.455854890894599</c:v>
                </c:pt>
                <c:pt idx="18">
                  <c:v>83.299122325687904</c:v>
                </c:pt>
                <c:pt idx="19">
                  <c:v>83.581723193428729</c:v>
                </c:pt>
                <c:pt idx="20">
                  <c:v>83.439582450321765</c:v>
                </c:pt>
                <c:pt idx="21">
                  <c:v>83.067870438412925</c:v>
                </c:pt>
                <c:pt idx="22">
                  <c:v>83.403417829033472</c:v>
                </c:pt>
                <c:pt idx="23">
                  <c:v>83.153717731021928</c:v>
                </c:pt>
                <c:pt idx="24">
                  <c:v>83.010063903932405</c:v>
                </c:pt>
                <c:pt idx="25">
                  <c:v>83.038079834738497</c:v>
                </c:pt>
                <c:pt idx="26">
                  <c:v>83.320133785020019</c:v>
                </c:pt>
                <c:pt idx="27">
                  <c:v>83.526405769654971</c:v>
                </c:pt>
                <c:pt idx="28">
                  <c:v>83.959192743558802</c:v>
                </c:pt>
                <c:pt idx="29">
                  <c:v>83.759674916867993</c:v>
                </c:pt>
              </c:numCache>
            </c:numRef>
          </c:val>
          <c:smooth val="0"/>
          <c:extLst>
            <c:ext xmlns:c16="http://schemas.microsoft.com/office/drawing/2014/chart" uri="{C3380CC4-5D6E-409C-BE32-E72D297353CC}">
              <c16:uniqueId val="{00000002-1F42-4984-B7A2-9DE4FB9689DA}"/>
            </c:ext>
          </c:extLst>
        </c:ser>
        <c:ser>
          <c:idx val="3"/>
          <c:order val="3"/>
          <c:tx>
            <c:strRef>
              <c:f>'Trh práce-2b'!$A$33</c:f>
              <c:strCache>
                <c:ptCount val="1"/>
                <c:pt idx="0">
                  <c:v>Rate of economic activity, females</c:v>
                </c:pt>
              </c:strCache>
            </c:strRef>
          </c:tx>
          <c:spPr>
            <a:ln w="19050">
              <a:solidFill>
                <a:schemeClr val="accent2">
                  <a:lumMod val="60000"/>
                  <a:lumOff val="40000"/>
                </a:schemeClr>
              </a:solidFill>
              <a:prstDash val="solid"/>
            </a:ln>
          </c:spPr>
          <c:marker>
            <c:symbol val="none"/>
          </c:marker>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práce-2b'!$B$33:$AF$33</c:f>
              <c:numCache>
                <c:formatCode>0.0</c:formatCode>
                <c:ptCount val="31"/>
                <c:pt idx="0">
                  <c:v>66.54252814007161</c:v>
                </c:pt>
                <c:pt idx="1">
                  <c:v>66.666431768491464</c:v>
                </c:pt>
                <c:pt idx="2">
                  <c:v>66.654792914968979</c:v>
                </c:pt>
                <c:pt idx="3">
                  <c:v>66.418889866464653</c:v>
                </c:pt>
                <c:pt idx="4">
                  <c:v>67.04627543928467</c:v>
                </c:pt>
                <c:pt idx="5">
                  <c:v>67.7106216149934</c:v>
                </c:pt>
                <c:pt idx="6">
                  <c:v>67.837768163348059</c:v>
                </c:pt>
                <c:pt idx="7">
                  <c:v>68.456265295297257</c:v>
                </c:pt>
                <c:pt idx="8">
                  <c:v>68.697468612411953</c:v>
                </c:pt>
                <c:pt idx="9">
                  <c:v>68.713756307271595</c:v>
                </c:pt>
                <c:pt idx="10">
                  <c:v>69.103189641889657</c:v>
                </c:pt>
                <c:pt idx="11">
                  <c:v>68.910813934937678</c:v>
                </c:pt>
                <c:pt idx="12">
                  <c:v>69.34051694184366</c:v>
                </c:pt>
                <c:pt idx="13">
                  <c:v>69.813848571477024</c:v>
                </c:pt>
                <c:pt idx="14">
                  <c:v>69.950002702371691</c:v>
                </c:pt>
                <c:pt idx="15">
                  <c:v>70.044975969350247</c:v>
                </c:pt>
                <c:pt idx="16">
                  <c:v>70.049718587143374</c:v>
                </c:pt>
                <c:pt idx="17">
                  <c:v>69.833313596022066</c:v>
                </c:pt>
                <c:pt idx="18">
                  <c:v>69.925958459528331</c:v>
                </c:pt>
                <c:pt idx="19">
                  <c:v>69.668015731742159</c:v>
                </c:pt>
                <c:pt idx="20">
                  <c:v>69.333922930053191</c:v>
                </c:pt>
                <c:pt idx="21">
                  <c:v>68.928487762383369</c:v>
                </c:pt>
                <c:pt idx="22">
                  <c:v>68.946784735681547</c:v>
                </c:pt>
                <c:pt idx="23">
                  <c:v>69.349546510975927</c:v>
                </c:pt>
                <c:pt idx="24">
                  <c:v>69.435569826158229</c:v>
                </c:pt>
                <c:pt idx="25">
                  <c:v>69.026293063886072</c:v>
                </c:pt>
                <c:pt idx="26">
                  <c:v>69.917521283014082</c:v>
                </c:pt>
                <c:pt idx="27">
                  <c:v>69.887382577566598</c:v>
                </c:pt>
                <c:pt idx="28">
                  <c:v>70.217922267773432</c:v>
                </c:pt>
                <c:pt idx="29">
                  <c:v>70.575580111173409</c:v>
                </c:pt>
              </c:numCache>
            </c:numRef>
          </c:val>
          <c:smooth val="0"/>
          <c:extLst>
            <c:ext xmlns:c16="http://schemas.microsoft.com/office/drawing/2014/chart" uri="{C3380CC4-5D6E-409C-BE32-E72D297353CC}">
              <c16:uniqueId val="{00000003-1F42-4984-B7A2-9DE4FB9689DA}"/>
            </c:ext>
          </c:extLst>
        </c:ser>
        <c:ser>
          <c:idx val="4"/>
          <c:order val="4"/>
          <c:tx>
            <c:strRef>
              <c:f>'Trh práce-2b'!$A$34</c:f>
              <c:strCache>
                <c:ptCount val="1"/>
                <c:pt idx="0">
                  <c:v>Economically inactive seeking empl.</c:v>
                </c:pt>
              </c:strCache>
            </c:strRef>
          </c:tx>
          <c:spPr>
            <a:ln w="19050">
              <a:solidFill>
                <a:schemeClr val="bg2">
                  <a:lumMod val="50000"/>
                </a:schemeClr>
              </a:solidFill>
              <a:prstDash val="sysDash"/>
            </a:ln>
          </c:spPr>
          <c:marker>
            <c:symbol val="none"/>
          </c:marker>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práce-2b'!$B$34:$AF$34</c:f>
              <c:numCache>
                <c:formatCode>0.0</c:formatCode>
                <c:ptCount val="31"/>
                <c:pt idx="0">
                  <c:v>138.5</c:v>
                </c:pt>
                <c:pt idx="1">
                  <c:v>141.4</c:v>
                </c:pt>
                <c:pt idx="2">
                  <c:v>137.1</c:v>
                </c:pt>
                <c:pt idx="3">
                  <c:v>130.4</c:v>
                </c:pt>
                <c:pt idx="4">
                  <c:v>141</c:v>
                </c:pt>
                <c:pt idx="5">
                  <c:v>126.4</c:v>
                </c:pt>
                <c:pt idx="6">
                  <c:v>129.69999999999999</c:v>
                </c:pt>
                <c:pt idx="7">
                  <c:v>127.1</c:v>
                </c:pt>
                <c:pt idx="8">
                  <c:v>133.1</c:v>
                </c:pt>
                <c:pt idx="9">
                  <c:v>120.1</c:v>
                </c:pt>
                <c:pt idx="10">
                  <c:v>121.3</c:v>
                </c:pt>
                <c:pt idx="11">
                  <c:v>119.1</c:v>
                </c:pt>
                <c:pt idx="12">
                  <c:v>113.5</c:v>
                </c:pt>
                <c:pt idx="13">
                  <c:v>108.4</c:v>
                </c:pt>
                <c:pt idx="14">
                  <c:v>110.3</c:v>
                </c:pt>
                <c:pt idx="15">
                  <c:v>101.7</c:v>
                </c:pt>
                <c:pt idx="16">
                  <c:v>104.6</c:v>
                </c:pt>
                <c:pt idx="17">
                  <c:v>104.6</c:v>
                </c:pt>
                <c:pt idx="18">
                  <c:v>97.6</c:v>
                </c:pt>
                <c:pt idx="19">
                  <c:v>99.9</c:v>
                </c:pt>
                <c:pt idx="20">
                  <c:v>93.4</c:v>
                </c:pt>
                <c:pt idx="21">
                  <c:v>109.3</c:v>
                </c:pt>
                <c:pt idx="22">
                  <c:v>98.8</c:v>
                </c:pt>
                <c:pt idx="23">
                  <c:v>95.7</c:v>
                </c:pt>
                <c:pt idx="24">
                  <c:v>108</c:v>
                </c:pt>
                <c:pt idx="25">
                  <c:v>113.5</c:v>
                </c:pt>
                <c:pt idx="26">
                  <c:v>66</c:v>
                </c:pt>
                <c:pt idx="27">
                  <c:v>64.5</c:v>
                </c:pt>
                <c:pt idx="28">
                  <c:v>67</c:v>
                </c:pt>
                <c:pt idx="29">
                  <c:v>58.7</c:v>
                </c:pt>
              </c:numCache>
            </c:numRef>
          </c:val>
          <c:smooth val="0"/>
          <c:extLst>
            <c:ext xmlns:c16="http://schemas.microsoft.com/office/drawing/2014/chart" uri="{C3380CC4-5D6E-409C-BE32-E72D297353CC}">
              <c16:uniqueId val="{00000004-1F42-4984-B7A2-9DE4FB9689DA}"/>
            </c:ext>
          </c:extLst>
        </c:ser>
        <c:ser>
          <c:idx val="5"/>
          <c:order val="5"/>
          <c:tx>
            <c:strRef>
              <c:f>'Trh práce-2b'!$A$35</c:f>
              <c:strCache>
                <c:ptCount val="1"/>
                <c:pt idx="0">
                  <c:v>Unemployment expectations</c:v>
                </c:pt>
              </c:strCache>
            </c:strRef>
          </c:tx>
          <c:spPr>
            <a:ln w="15875">
              <a:solidFill>
                <a:srgbClr val="FFC000"/>
              </a:solidFill>
              <a:prstDash val="sysDot"/>
            </a:ln>
          </c:spPr>
          <c:marker>
            <c:symbol val="diamond"/>
            <c:size val="5"/>
            <c:spPr>
              <a:ln>
                <a:noFill/>
              </a:ln>
            </c:spPr>
          </c:marker>
          <c:cat>
            <c:multiLvlStrRef>
              <c:f>'Trh práce-2b'!$B$28:$AF$29</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'Trh práce-2b'!$B$35:$AF$35</c:f>
              <c:numCache>
                <c:formatCode>0.0</c:formatCode>
                <c:ptCount val="31"/>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pt idx="30">
                  <c:v>26</c:v>
                </c:pt>
              </c:numCache>
            </c:numRef>
          </c:val>
          <c:smooth val="0"/>
          <c:extLst>
            <c:ext xmlns:c16="http://schemas.microsoft.com/office/drawing/2014/chart" uri="{C3380CC4-5D6E-409C-BE32-E72D297353CC}">
              <c16:uniqueId val="{00000005-1F42-4984-B7A2-9DE4FB9689DA}"/>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Unemployment rate</a:t>
                </a:r>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cs-CZ" sz="700" b="0" i="1"/>
                  <a:t>Eonomic activity rate, Ec. inactive, Unemployment expectations</a:t>
                </a:r>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7.770783700011194E-2"/>
          <c:y val="0.87752510684139284"/>
          <c:w val="0.83964940085847328"/>
          <c:h val="0.11487898396138826"/>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32E-2"/>
          <c:y val="2.0203894786331125E-2"/>
          <c:w val="0.94100987714831696"/>
          <c:h val="0.76395209750566906"/>
        </c:manualLayout>
      </c:layout>
      <c:barChart>
        <c:barDir val="col"/>
        <c:grouping val="clustered"/>
        <c:varyColors val="0"/>
        <c:ser>
          <c:idx val="4"/>
          <c:order val="1"/>
          <c:tx>
            <c:strRef>
              <c:f>'Trh práce 3'!$D$8</c:f>
              <c:strCache>
                <c:ptCount val="1"/>
                <c:pt idx="0">
                  <c:v>Total wage (real growth)</c:v>
                </c:pt>
              </c:strCache>
            </c:strRef>
          </c:tx>
          <c:spPr>
            <a:solidFill>
              <a:srgbClr val="DBDBDB"/>
            </a:solidFill>
            <a:ln w="19050">
              <a:noFill/>
            </a:ln>
          </c:spPr>
          <c:invertIfNegative val="0"/>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3'!$D$29:$D$58</c:f>
              <c:numCache>
                <c:formatCode>#\ ##0.0</c:formatCode>
                <c:ptCount val="30"/>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5.5</c:v>
                </c:pt>
                <c:pt idx="17">
                  <c:v>5.0999999999999943</c:v>
                </c:pt>
                <c:pt idx="18">
                  <c:v>4.7999999999999972</c:v>
                </c:pt>
                <c:pt idx="19">
                  <c:v>4.5</c:v>
                </c:pt>
                <c:pt idx="20">
                  <c:v>1.7999999999999972</c:v>
                </c:pt>
                <c:pt idx="21">
                  <c:v>-2.0999999999999943</c:v>
                </c:pt>
                <c:pt idx="22">
                  <c:v>2</c:v>
                </c:pt>
                <c:pt idx="23">
                  <c:v>4</c:v>
                </c:pt>
                <c:pt idx="24">
                  <c:v>-0.40000000000000568</c:v>
                </c:pt>
                <c:pt idx="25">
                  <c:v>7</c:v>
                </c:pt>
                <c:pt idx="26">
                  <c:v>0.29999999999999716</c:v>
                </c:pt>
                <c:pt idx="27">
                  <c:v>-3</c:v>
                </c:pt>
                <c:pt idx="28">
                  <c:v>-3.5</c:v>
                </c:pt>
                <c:pt idx="29">
                  <c:v>-9.7999999999999972</c:v>
                </c:pt>
              </c:numCache>
            </c:numRef>
          </c:val>
          <c:extLst>
            <c:ext xmlns:c16="http://schemas.microsoft.com/office/drawing/2014/chart" uri="{C3380CC4-5D6E-409C-BE32-E72D297353CC}">
              <c16:uniqueId val="{00000000-FD37-4531-8F5D-B27CD03282EE}"/>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Total wage (nominal growth)</c:v>
                </c:pt>
              </c:strCache>
            </c:strRef>
          </c:tx>
          <c:spPr>
            <a:ln w="19050">
              <a:solidFill>
                <a:schemeClr val="tx1">
                  <a:lumMod val="95000"/>
                  <a:lumOff val="5000"/>
                </a:schemeClr>
              </a:solidFill>
              <a:prstDash val="sysDash"/>
            </a:ln>
          </c:spPr>
          <c:marker>
            <c:symbol val="none"/>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3'!$C$29:$C$58</c:f>
              <c:numCache>
                <c:formatCode>0.0</c:formatCode>
                <c:ptCount val="30"/>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8.2999999999999972</c:v>
                </c:pt>
                <c:pt idx="17">
                  <c:v>8</c:v>
                </c:pt>
                <c:pt idx="18">
                  <c:v>7.7000000000000028</c:v>
                </c:pt>
                <c:pt idx="19">
                  <c:v>7.5999999999999943</c:v>
                </c:pt>
                <c:pt idx="20">
                  <c:v>5.5</c:v>
                </c:pt>
                <c:pt idx="21">
                  <c:v>0.90000000000000568</c:v>
                </c:pt>
                <c:pt idx="22">
                  <c:v>5.4000000000000057</c:v>
                </c:pt>
                <c:pt idx="23">
                  <c:v>6.7000000000000028</c:v>
                </c:pt>
                <c:pt idx="24">
                  <c:v>1.7999999999999972</c:v>
                </c:pt>
                <c:pt idx="25">
                  <c:v>10.099999999999994</c:v>
                </c:pt>
                <c:pt idx="26">
                  <c:v>4.4000000000000057</c:v>
                </c:pt>
                <c:pt idx="27">
                  <c:v>2.9000000000000057</c:v>
                </c:pt>
                <c:pt idx="28">
                  <c:v>7.2999999999999972</c:v>
                </c:pt>
                <c:pt idx="29">
                  <c:v>4.4000000000000057</c:v>
                </c:pt>
              </c:numCache>
            </c:numRef>
          </c:val>
          <c:smooth val="0"/>
          <c:extLst>
            <c:ext xmlns:c16="http://schemas.microsoft.com/office/drawing/2014/chart" uri="{C3380CC4-5D6E-409C-BE32-E72D297353CC}">
              <c16:uniqueId val="{00000001-FD37-4531-8F5D-B27CD03282EE}"/>
            </c:ext>
          </c:extLst>
        </c:ser>
        <c:ser>
          <c:idx val="5"/>
          <c:order val="2"/>
          <c:tx>
            <c:strRef>
              <c:f>'Trh práce 3'!$E$8</c:f>
              <c:strCache>
                <c:ptCount val="1"/>
                <c:pt idx="0">
                  <c:v>Wage in industry (nominal growth)</c:v>
                </c:pt>
              </c:strCache>
            </c:strRef>
          </c:tx>
          <c:spPr>
            <a:ln w="9525">
              <a:solidFill>
                <a:srgbClr val="C00000"/>
              </a:solidFill>
              <a:prstDash val="solid"/>
            </a:ln>
          </c:spPr>
          <c:marker>
            <c:symbol val="none"/>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3'!$E$29:$E$58</c:f>
              <c:numCache>
                <c:formatCode>0.0</c:formatCode>
                <c:ptCount val="30"/>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7.1985838851373387</c:v>
                </c:pt>
                <c:pt idx="17">
                  <c:v>7.0904869554591556</c:v>
                </c:pt>
                <c:pt idx="18">
                  <c:v>6.753964974732213</c:v>
                </c:pt>
                <c:pt idx="19">
                  <c:v>5.6242870930946793</c:v>
                </c:pt>
                <c:pt idx="20">
                  <c:v>4.8529141948504844</c:v>
                </c:pt>
                <c:pt idx="21">
                  <c:v>-3.4830979888746327</c:v>
                </c:pt>
                <c:pt idx="22">
                  <c:v>2.956413004644503</c:v>
                </c:pt>
                <c:pt idx="23">
                  <c:v>4.0067563825663086</c:v>
                </c:pt>
                <c:pt idx="24">
                  <c:v>0.94782583335764059</c:v>
                </c:pt>
                <c:pt idx="25">
                  <c:v>9.1091801146775424</c:v>
                </c:pt>
                <c:pt idx="26">
                  <c:v>3.7361556924322628</c:v>
                </c:pt>
                <c:pt idx="27">
                  <c:v>2.7581800271558166</c:v>
                </c:pt>
                <c:pt idx="28">
                  <c:v>6.85849656208471</c:v>
                </c:pt>
                <c:pt idx="29">
                  <c:v>7.850254632137819</c:v>
                </c:pt>
              </c:numCache>
            </c:numRef>
          </c:val>
          <c:smooth val="0"/>
          <c:extLst>
            <c:ext xmlns:c16="http://schemas.microsoft.com/office/drawing/2014/chart" uri="{C3380CC4-5D6E-409C-BE32-E72D297353CC}">
              <c16:uniqueId val="{00000002-FD37-4531-8F5D-B27CD03282EE}"/>
            </c:ext>
          </c:extLst>
        </c:ser>
        <c:ser>
          <c:idx val="1"/>
          <c:order val="3"/>
          <c:tx>
            <c:strRef>
              <c:f>'Trh práce 3'!$F$8</c:f>
              <c:strCache>
                <c:ptCount val="1"/>
                <c:pt idx="0">
                  <c:v>Wage in trade (nominal growth)</c:v>
                </c:pt>
              </c:strCache>
            </c:strRef>
          </c:tx>
          <c:spPr>
            <a:ln w="9525">
              <a:solidFill>
                <a:srgbClr val="0070C0"/>
              </a:solidFill>
              <a:prstDash val="solid"/>
            </a:ln>
          </c:spPr>
          <c:marker>
            <c:symbol val="none"/>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3'!$F$29:$F$58</c:f>
              <c:numCache>
                <c:formatCode>0.0</c:formatCode>
                <c:ptCount val="30"/>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9.5345999651385682</c:v>
                </c:pt>
                <c:pt idx="17">
                  <c:v>7.4227708080399282</c:v>
                </c:pt>
                <c:pt idx="18">
                  <c:v>8.1629221041302316</c:v>
                </c:pt>
                <c:pt idx="19">
                  <c:v>6.3018346318170444</c:v>
                </c:pt>
                <c:pt idx="20">
                  <c:v>6.3685550604710528</c:v>
                </c:pt>
                <c:pt idx="21">
                  <c:v>0.91357172008916621</c:v>
                </c:pt>
                <c:pt idx="22">
                  <c:v>4.7389533256631182</c:v>
                </c:pt>
                <c:pt idx="23">
                  <c:v>2.446953129617583</c:v>
                </c:pt>
                <c:pt idx="24">
                  <c:v>-1.1848837557224527</c:v>
                </c:pt>
                <c:pt idx="25">
                  <c:v>6.5299900447984101</c:v>
                </c:pt>
                <c:pt idx="26">
                  <c:v>3.4349671941335487</c:v>
                </c:pt>
                <c:pt idx="27">
                  <c:v>5.2414469509028976</c:v>
                </c:pt>
                <c:pt idx="28">
                  <c:v>9.5200605601816903</c:v>
                </c:pt>
                <c:pt idx="29">
                  <c:v>8.8251613468446095</c:v>
                </c:pt>
              </c:numCache>
            </c:numRef>
          </c:val>
          <c:smooth val="0"/>
          <c:extLst>
            <c:ext xmlns:c16="http://schemas.microsoft.com/office/drawing/2014/chart" uri="{C3380CC4-5D6E-409C-BE32-E72D297353CC}">
              <c16:uniqueId val="{00000003-FD37-4531-8F5D-B27CD03282EE}"/>
            </c:ext>
          </c:extLst>
        </c:ser>
        <c:ser>
          <c:idx val="2"/>
          <c:order val="4"/>
          <c:tx>
            <c:strRef>
              <c:f>'Trh práce 3'!$G$8</c:f>
              <c:strCache>
                <c:ptCount val="1"/>
                <c:pt idx="0">
                  <c:v>Wage in public services (nominal growth)*</c:v>
                </c:pt>
              </c:strCache>
            </c:strRef>
          </c:tx>
          <c:spPr>
            <a:ln w="9525">
              <a:solidFill>
                <a:srgbClr val="00B050"/>
              </a:solidFill>
              <a:prstDash val="solid"/>
            </a:ln>
          </c:spPr>
          <c:marker>
            <c:symbol val="none"/>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3'!$G$29:$G$58</c:f>
              <c:numCache>
                <c:formatCode>0.0</c:formatCode>
                <c:ptCount val="30"/>
                <c:pt idx="0">
                  <c:v>3.2925091204842687</c:v>
                </c:pt>
                <c:pt idx="1">
                  <c:v>4.3135889286729565</c:v>
                </c:pt>
                <c:pt idx="2">
                  <c:v>3.8145419077079765</c:v>
                </c:pt>
                <c:pt idx="3">
                  <c:v>3.6381766938736746</c:v>
                </c:pt>
                <c:pt idx="4">
                  <c:v>4.64178325585614</c:v>
                </c:pt>
                <c:pt idx="5">
                  <c:v>3.8061258933532116</c:v>
                </c:pt>
                <c:pt idx="6">
                  <c:v>4.8526374704253925</c:v>
                </c:pt>
                <c:pt idx="7">
                  <c:v>6.1351981806606233</c:v>
                </c:pt>
                <c:pt idx="8">
                  <c:v>5.4566112929362163</c:v>
                </c:pt>
                <c:pt idx="9">
                  <c:v>7.3192456135909225</c:v>
                </c:pt>
                <c:pt idx="10">
                  <c:v>7.9981713137873953</c:v>
                </c:pt>
                <c:pt idx="11">
                  <c:v>10.484072576559427</c:v>
                </c:pt>
                <c:pt idx="12">
                  <c:v>12.179699393983398</c:v>
                </c:pt>
                <c:pt idx="13">
                  <c:v>11.89217733254111</c:v>
                </c:pt>
                <c:pt idx="14">
                  <c:v>11.361326321628667</c:v>
                </c:pt>
                <c:pt idx="15">
                  <c:v>6.1282038917470629</c:v>
                </c:pt>
                <c:pt idx="16">
                  <c:v>9.4162908795776019</c:v>
                </c:pt>
                <c:pt idx="17">
                  <c:v>9.3022383570098555</c:v>
                </c:pt>
                <c:pt idx="18">
                  <c:v>8.3925247282538464</c:v>
                </c:pt>
                <c:pt idx="19">
                  <c:v>11.041060141001239</c:v>
                </c:pt>
                <c:pt idx="20">
                  <c:v>5.2296117021426483</c:v>
                </c:pt>
                <c:pt idx="21">
                  <c:v>4.9937922145909539</c:v>
                </c:pt>
                <c:pt idx="22">
                  <c:v>8.8109946466096574</c:v>
                </c:pt>
                <c:pt idx="23">
                  <c:v>13.948630451066606</c:v>
                </c:pt>
                <c:pt idx="24">
                  <c:v>4.0872778537601135</c:v>
                </c:pt>
                <c:pt idx="25">
                  <c:v>17.040292202235747</c:v>
                </c:pt>
                <c:pt idx="26">
                  <c:v>4.7904697566185916</c:v>
                </c:pt>
                <c:pt idx="27">
                  <c:v>-0.87797314296285833</c:v>
                </c:pt>
                <c:pt idx="28">
                  <c:v>3.1253897754685482</c:v>
                </c:pt>
                <c:pt idx="29">
                  <c:v>-6.1224533763952564</c:v>
                </c:pt>
              </c:numCache>
            </c:numRef>
          </c:val>
          <c:smooth val="0"/>
          <c:extLst>
            <c:ext xmlns:c16="http://schemas.microsoft.com/office/drawing/2014/chart" uri="{C3380CC4-5D6E-409C-BE32-E72D297353CC}">
              <c16:uniqueId val="{00000004-FD37-4531-8F5D-B27CD03282EE}"/>
            </c:ext>
          </c:extLst>
        </c:ser>
        <c:ser>
          <c:idx val="3"/>
          <c:order val="5"/>
          <c:tx>
            <c:strRef>
              <c:f>'Trh práce 3'!$H$8</c:f>
              <c:strCache>
                <c:ptCount val="1"/>
                <c:pt idx="0">
                  <c:v>Total median wage (nominal growth)</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3'!$A$29:$B$58</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3'!$H$29:$H$58</c:f>
              <c:numCache>
                <c:formatCode>0.0</c:formatCode>
                <c:ptCount val="30"/>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7.2000000000000028</c:v>
                </c:pt>
                <c:pt idx="17">
                  <c:v>6.4000000000000057</c:v>
                </c:pt>
                <c:pt idx="18">
                  <c:v>7.2999999999999972</c:v>
                </c:pt>
                <c:pt idx="19">
                  <c:v>6.4000000000000057</c:v>
                </c:pt>
                <c:pt idx="20">
                  <c:v>7</c:v>
                </c:pt>
                <c:pt idx="21">
                  <c:v>1.4000000000000057</c:v>
                </c:pt>
                <c:pt idx="22">
                  <c:v>6.7000000000000028</c:v>
                </c:pt>
                <c:pt idx="23">
                  <c:v>6.7000000000000028</c:v>
                </c:pt>
                <c:pt idx="24">
                  <c:v>0.79999999999999716</c:v>
                </c:pt>
                <c:pt idx="25">
                  <c:v>9.7000000000000028</c:v>
                </c:pt>
                <c:pt idx="26">
                  <c:v>4.2000000000000028</c:v>
                </c:pt>
                <c:pt idx="27">
                  <c:v>3.5999999999999943</c:v>
                </c:pt>
                <c:pt idx="28">
                  <c:v>6.7000000000000028</c:v>
                </c:pt>
                <c:pt idx="29">
                  <c:v>5.2999999999999972</c:v>
                </c:pt>
              </c:numCache>
            </c:numRef>
          </c:val>
          <c:smooth val="0"/>
          <c:extLst>
            <c:ext xmlns:c16="http://schemas.microsoft.com/office/drawing/2014/chart" uri="{C3380CC4-5D6E-409C-BE32-E72D297353CC}">
              <c16:uniqueId val="{00000005-FD37-4531-8F5D-B27CD03282EE}"/>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8"/>
          <c:min val="-10"/>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2"/>
      </c:valAx>
      <c:spPr>
        <a:ln>
          <a:solidFill>
            <a:schemeClr val="tx1"/>
          </a:solidFill>
        </a:ln>
      </c:spPr>
    </c:plotArea>
    <c:legend>
      <c:legendPos val="b"/>
      <c:layout>
        <c:manualLayout>
          <c:xMode val="edge"/>
          <c:yMode val="edge"/>
          <c:x val="9.1291858669558714E-3"/>
          <c:y val="0.87578174603174608"/>
          <c:w val="0.9774444484255399"/>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C9B8-BA81-47BC-A287-C4859D88E7C0}">
  <ds:schemaRefs>
    <ds:schemaRef ds:uri="http://schemas.openxmlformats.org/officeDocument/2006/bibliography"/>
  </ds:schemaRefs>
</ds:datastoreItem>
</file>

<file path=customXml/itemProps2.xml><?xml version="1.0" encoding="utf-8"?>
<ds:datastoreItem xmlns:ds="http://schemas.openxmlformats.org/officeDocument/2006/customXml" ds:itemID="{009F5A17-C225-4CF0-B9D4-61B2793B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6</Pages>
  <Words>2751</Words>
  <Characters>16231</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18945</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3</cp:revision>
  <cp:lastPrinted>2019-04-08T10:52:00Z</cp:lastPrinted>
  <dcterms:created xsi:type="dcterms:W3CDTF">2022-10-14T10:28:00Z</dcterms:created>
  <dcterms:modified xsi:type="dcterms:W3CDTF">2022-10-14T10:41:00Z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2022-09-16T14:37:11Z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c768a867-054a-4443-ae84-aa18391251d8</vt:lpwstr>
  </property>
  <property fmtid="{D5CDD505-2E9C-101B-9397-08002B2CF9AE}" pid="8" name="MSIP_Label_29db9e61-aac5-4f6e-805d-ceb8cb9983a1_ContentBits">
    <vt:lpwstr>0</vt:lpwstr>
  </property>
</Properties>
</file>