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5B" w:rsidRDefault="006D165B" w:rsidP="004E5FAA">
      <w:pPr>
        <w:pStyle w:val="Nadpis2"/>
        <w:spacing w:before="0" w:after="0"/>
        <w:jc w:val="center"/>
        <w:rPr>
          <w:sz w:val="28"/>
        </w:rPr>
      </w:pPr>
      <w:r>
        <w:rPr>
          <w:sz w:val="28"/>
        </w:rPr>
        <w:t>Metodi</w:t>
      </w:r>
      <w:r w:rsidR="00B84163">
        <w:rPr>
          <w:sz w:val="28"/>
        </w:rPr>
        <w:t>cké vysvětlivky</w:t>
      </w:r>
    </w:p>
    <w:p w:rsidR="004E5FAA" w:rsidRPr="007405D9" w:rsidRDefault="004E5FAA" w:rsidP="004E5FAA">
      <w:pPr>
        <w:rPr>
          <w:szCs w:val="20"/>
        </w:rPr>
      </w:pPr>
    </w:p>
    <w:p w:rsidR="00E538C2" w:rsidRPr="0013649E" w:rsidRDefault="006A5981" w:rsidP="008456C0">
      <w:pPr>
        <w:spacing w:before="100" w:beforeAutospacing="1" w:after="100" w:afterAutospacing="1" w:line="276" w:lineRule="auto"/>
        <w:outlineLvl w:val="0"/>
        <w:rPr>
          <w:rFonts w:cs="Arial"/>
        </w:rPr>
      </w:pPr>
      <w:r w:rsidRPr="0013649E">
        <w:rPr>
          <w:rFonts w:cs="Arial"/>
        </w:rPr>
        <w:t>Strukturální š</w:t>
      </w:r>
      <w:r w:rsidR="00633827" w:rsidRPr="0013649E">
        <w:rPr>
          <w:rFonts w:cs="Arial"/>
        </w:rPr>
        <w:t>etření</w:t>
      </w:r>
      <w:r w:rsidR="00B1386C" w:rsidRPr="0013649E">
        <w:rPr>
          <w:rFonts w:cs="Arial"/>
        </w:rPr>
        <w:t xml:space="preserve"> </w:t>
      </w:r>
      <w:r w:rsidR="0013649E" w:rsidRPr="0013649E">
        <w:rPr>
          <w:rFonts w:cs="Arial"/>
        </w:rPr>
        <w:t>V</w:t>
      </w:r>
      <w:r w:rsidR="000C09B1" w:rsidRPr="0013649E">
        <w:rPr>
          <w:rFonts w:cs="Arial"/>
        </w:rPr>
        <w:t>inic</w:t>
      </w:r>
      <w:r w:rsidRPr="0013649E">
        <w:rPr>
          <w:rFonts w:cs="Arial"/>
        </w:rPr>
        <w:t>e</w:t>
      </w:r>
      <w:r w:rsidR="000C09B1" w:rsidRPr="0013649E">
        <w:rPr>
          <w:rFonts w:cs="Arial"/>
        </w:rPr>
        <w:t xml:space="preserve"> </w:t>
      </w:r>
      <w:r w:rsidR="009029D8" w:rsidRPr="0013649E">
        <w:rPr>
          <w:rFonts w:cs="Arial"/>
        </w:rPr>
        <w:t>se</w:t>
      </w:r>
      <w:r w:rsidR="000C09B1" w:rsidRPr="0013649E">
        <w:rPr>
          <w:rFonts w:cs="Arial"/>
        </w:rPr>
        <w:t xml:space="preserve"> v roce 2015</w:t>
      </w:r>
      <w:r w:rsidR="009029D8" w:rsidRPr="0013649E">
        <w:rPr>
          <w:rFonts w:cs="Arial"/>
        </w:rPr>
        <w:t xml:space="preserve"> poprvé </w:t>
      </w:r>
      <w:r w:rsidR="00633827" w:rsidRPr="0013649E">
        <w:rPr>
          <w:rFonts w:cs="Arial"/>
        </w:rPr>
        <w:t xml:space="preserve">provádělo podle </w:t>
      </w:r>
      <w:r w:rsidR="00E538C2" w:rsidRPr="0013649E">
        <w:rPr>
          <w:rFonts w:cs="Arial"/>
        </w:rPr>
        <w:t>Nařízení Evropského parlamentu a Rady (EU) č. 1337/2011 ze dne 13. prosince 2011 o evropské statistice trvalých kultur</w:t>
      </w:r>
      <w:r w:rsidR="00645545" w:rsidRPr="0013649E">
        <w:rPr>
          <w:rFonts w:cs="Arial"/>
        </w:rPr>
        <w:t xml:space="preserve"> a o zrušení nařízení Rady (EHS) č. 357/79 a směrnice Evropského parlamentu a Rady 2001/109/ES</w:t>
      </w:r>
      <w:r w:rsidR="00B223FD" w:rsidRPr="0013649E">
        <w:rPr>
          <w:rFonts w:cs="Arial"/>
        </w:rPr>
        <w:t xml:space="preserve"> (dále jen Nařízení).</w:t>
      </w:r>
      <w:r w:rsidR="00645545" w:rsidRPr="0013649E">
        <w:rPr>
          <w:rFonts w:cs="Arial"/>
        </w:rPr>
        <w:t xml:space="preserve"> </w:t>
      </w:r>
    </w:p>
    <w:p w:rsidR="00CD3688" w:rsidRPr="0013649E" w:rsidRDefault="00CA488B" w:rsidP="008456C0">
      <w:pPr>
        <w:pStyle w:val="Zkladntextodsazen"/>
        <w:spacing w:line="276" w:lineRule="auto"/>
        <w:ind w:firstLine="0"/>
        <w:rPr>
          <w:rFonts w:ascii="Arial" w:hAnsi="Arial" w:cs="Arial"/>
          <w:sz w:val="20"/>
        </w:rPr>
      </w:pPr>
      <w:r w:rsidRPr="0013649E">
        <w:rPr>
          <w:rFonts w:ascii="Arial" w:hAnsi="Arial" w:cs="Arial"/>
          <w:sz w:val="20"/>
        </w:rPr>
        <w:t xml:space="preserve">Zdrojem dat </w:t>
      </w:r>
      <w:r w:rsidR="00B223FD" w:rsidRPr="0013649E">
        <w:rPr>
          <w:rFonts w:ascii="Arial" w:hAnsi="Arial" w:cs="Arial"/>
          <w:sz w:val="20"/>
        </w:rPr>
        <w:t>je</w:t>
      </w:r>
      <w:r w:rsidR="007405D9" w:rsidRPr="0013649E">
        <w:rPr>
          <w:rFonts w:ascii="Arial" w:hAnsi="Arial" w:cs="Arial"/>
          <w:sz w:val="20"/>
        </w:rPr>
        <w:t xml:space="preserve"> Registr vinic vedený Ústředním kontrolním a zkušebním ústavem zemědělským. </w:t>
      </w:r>
      <w:r w:rsidR="006D165B" w:rsidRPr="0013649E">
        <w:rPr>
          <w:rFonts w:ascii="Arial" w:hAnsi="Arial" w:cs="Arial"/>
          <w:sz w:val="20"/>
        </w:rPr>
        <w:t>Do</w:t>
      </w:r>
      <w:r w:rsidR="00743DFC" w:rsidRPr="0013649E">
        <w:rPr>
          <w:rFonts w:ascii="Arial" w:hAnsi="Arial" w:cs="Arial"/>
          <w:sz w:val="20"/>
        </w:rPr>
        <w:t> </w:t>
      </w:r>
      <w:r w:rsidR="006D165B" w:rsidRPr="0013649E">
        <w:rPr>
          <w:rFonts w:ascii="Arial" w:hAnsi="Arial" w:cs="Arial"/>
          <w:sz w:val="20"/>
        </w:rPr>
        <w:t xml:space="preserve">statistického zjišťování </w:t>
      </w:r>
      <w:r w:rsidR="00C10D45" w:rsidRPr="0013649E">
        <w:rPr>
          <w:rFonts w:ascii="Arial" w:hAnsi="Arial" w:cs="Arial"/>
          <w:sz w:val="20"/>
        </w:rPr>
        <w:t>jsou</w:t>
      </w:r>
      <w:r w:rsidR="006D165B" w:rsidRPr="0013649E">
        <w:rPr>
          <w:rFonts w:ascii="Arial" w:hAnsi="Arial" w:cs="Arial"/>
          <w:sz w:val="20"/>
        </w:rPr>
        <w:t xml:space="preserve"> zahrnuti všichni pěstitelé </w:t>
      </w:r>
      <w:r w:rsidR="007405D9" w:rsidRPr="0013649E">
        <w:rPr>
          <w:rFonts w:ascii="Arial" w:hAnsi="Arial" w:cs="Arial"/>
          <w:sz w:val="20"/>
        </w:rPr>
        <w:t xml:space="preserve">vinné révy </w:t>
      </w:r>
      <w:r w:rsidR="00E538C2" w:rsidRPr="0013649E">
        <w:rPr>
          <w:rFonts w:ascii="Arial" w:hAnsi="Arial" w:cs="Arial"/>
          <w:sz w:val="20"/>
        </w:rPr>
        <w:t>evidovaní</w:t>
      </w:r>
      <w:r w:rsidR="00FA63E1" w:rsidRPr="0013649E">
        <w:rPr>
          <w:rFonts w:ascii="Arial" w:hAnsi="Arial" w:cs="Arial"/>
          <w:sz w:val="20"/>
        </w:rPr>
        <w:t xml:space="preserve"> v</w:t>
      </w:r>
      <w:r w:rsidR="007405D9" w:rsidRPr="0013649E">
        <w:rPr>
          <w:rFonts w:ascii="Arial" w:hAnsi="Arial" w:cs="Arial"/>
          <w:sz w:val="20"/>
        </w:rPr>
        <w:t> Registru vinic</w:t>
      </w:r>
      <w:r w:rsidR="008F0F52" w:rsidRPr="0013649E">
        <w:rPr>
          <w:rFonts w:ascii="Arial" w:hAnsi="Arial" w:cs="Arial"/>
          <w:sz w:val="20"/>
        </w:rPr>
        <w:t xml:space="preserve"> </w:t>
      </w:r>
      <w:r w:rsidR="00C610A7" w:rsidRPr="0013649E">
        <w:rPr>
          <w:rFonts w:ascii="Arial" w:hAnsi="Arial" w:cs="Arial"/>
          <w:sz w:val="20"/>
        </w:rPr>
        <w:t xml:space="preserve">k </w:t>
      </w:r>
      <w:r w:rsidR="00AA5321" w:rsidRPr="0013649E">
        <w:rPr>
          <w:rFonts w:ascii="Arial" w:hAnsi="Arial" w:cs="Arial"/>
          <w:sz w:val="20"/>
        </w:rPr>
        <w:t>31.</w:t>
      </w:r>
      <w:r w:rsidR="00C610A7" w:rsidRPr="0013649E">
        <w:rPr>
          <w:rFonts w:ascii="Arial" w:hAnsi="Arial" w:cs="Arial"/>
          <w:sz w:val="20"/>
        </w:rPr>
        <w:t xml:space="preserve"> </w:t>
      </w:r>
      <w:r w:rsidR="00C17BD0" w:rsidRPr="0013649E">
        <w:rPr>
          <w:rFonts w:ascii="Arial" w:hAnsi="Arial" w:cs="Arial"/>
          <w:sz w:val="20"/>
        </w:rPr>
        <w:t>č</w:t>
      </w:r>
      <w:r w:rsidR="00C610A7" w:rsidRPr="0013649E">
        <w:rPr>
          <w:rFonts w:ascii="Arial" w:hAnsi="Arial" w:cs="Arial"/>
          <w:sz w:val="20"/>
        </w:rPr>
        <w:t xml:space="preserve">ervenci </w:t>
      </w:r>
      <w:r w:rsidR="00AA5321" w:rsidRPr="0013649E">
        <w:rPr>
          <w:rFonts w:ascii="Arial" w:hAnsi="Arial" w:cs="Arial"/>
          <w:sz w:val="20"/>
        </w:rPr>
        <w:t>2015</w:t>
      </w:r>
      <w:r w:rsidR="008F0F52" w:rsidRPr="0013649E">
        <w:rPr>
          <w:rFonts w:ascii="Arial" w:hAnsi="Arial" w:cs="Arial"/>
          <w:sz w:val="20"/>
        </w:rPr>
        <w:t>.</w:t>
      </w:r>
      <w:r w:rsidR="00AA5321" w:rsidRPr="0013649E">
        <w:rPr>
          <w:rFonts w:ascii="Arial" w:hAnsi="Arial" w:cs="Arial"/>
          <w:sz w:val="20"/>
        </w:rPr>
        <w:t xml:space="preserve"> </w:t>
      </w:r>
      <w:r w:rsidR="00CD3688" w:rsidRPr="0013649E">
        <w:rPr>
          <w:rFonts w:ascii="Arial" w:hAnsi="Arial" w:cs="Arial"/>
          <w:sz w:val="20"/>
        </w:rPr>
        <w:t>Šetření zahrn</w:t>
      </w:r>
      <w:r w:rsidR="00C10D45" w:rsidRPr="0013649E">
        <w:rPr>
          <w:rFonts w:ascii="Arial" w:hAnsi="Arial" w:cs="Arial"/>
          <w:sz w:val="20"/>
        </w:rPr>
        <w:t>uje</w:t>
      </w:r>
      <w:r w:rsidR="00CD3688" w:rsidRPr="0013649E">
        <w:rPr>
          <w:rFonts w:ascii="Arial" w:hAnsi="Arial" w:cs="Arial"/>
          <w:sz w:val="20"/>
        </w:rPr>
        <w:t xml:space="preserve"> celkem </w:t>
      </w:r>
      <w:r w:rsidR="00C610A7" w:rsidRPr="0013649E">
        <w:rPr>
          <w:rFonts w:ascii="Arial" w:hAnsi="Arial" w:cs="Arial"/>
          <w:sz w:val="20"/>
        </w:rPr>
        <w:t>18 216 subjektů.</w:t>
      </w:r>
    </w:p>
    <w:p w:rsidR="00CD3688" w:rsidRPr="0013649E" w:rsidRDefault="00CD3688" w:rsidP="008456C0">
      <w:pPr>
        <w:pStyle w:val="Zkladntextodsazen"/>
        <w:spacing w:line="276" w:lineRule="auto"/>
        <w:ind w:firstLine="0"/>
        <w:rPr>
          <w:rFonts w:ascii="Arial" w:hAnsi="Arial" w:cs="Arial"/>
          <w:sz w:val="20"/>
        </w:rPr>
      </w:pPr>
    </w:p>
    <w:p w:rsidR="00B1386C" w:rsidRPr="0013649E" w:rsidRDefault="007405D9" w:rsidP="008456C0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 xml:space="preserve">Předmětem zjišťování </w:t>
      </w:r>
      <w:r w:rsidR="001A0637" w:rsidRPr="0013649E">
        <w:rPr>
          <w:rFonts w:cs="Arial"/>
        </w:rPr>
        <w:t>je</w:t>
      </w:r>
      <w:r w:rsidRPr="0013649E">
        <w:rPr>
          <w:rFonts w:cs="Arial"/>
        </w:rPr>
        <w:t xml:space="preserve"> </w:t>
      </w:r>
      <w:r w:rsidR="004543CA" w:rsidRPr="0013649E">
        <w:rPr>
          <w:rFonts w:cs="Arial"/>
        </w:rPr>
        <w:t xml:space="preserve">počet pěstitelů vinné révy a výměra </w:t>
      </w:r>
      <w:r w:rsidRPr="0013649E">
        <w:rPr>
          <w:rFonts w:cs="Arial"/>
        </w:rPr>
        <w:t>vinic</w:t>
      </w:r>
      <w:r w:rsidR="00AA5321" w:rsidRPr="0013649E">
        <w:rPr>
          <w:rFonts w:cs="Arial"/>
        </w:rPr>
        <w:t xml:space="preserve"> </w:t>
      </w:r>
      <w:r w:rsidRPr="0013649E">
        <w:rPr>
          <w:rFonts w:cs="Arial"/>
        </w:rPr>
        <w:t xml:space="preserve">podle </w:t>
      </w:r>
      <w:r w:rsidR="00B1386C" w:rsidRPr="0013649E">
        <w:rPr>
          <w:rFonts w:cs="Arial"/>
        </w:rPr>
        <w:t xml:space="preserve">druhu </w:t>
      </w:r>
      <w:r w:rsidRPr="0013649E">
        <w:rPr>
          <w:rFonts w:cs="Arial"/>
        </w:rPr>
        <w:t>produkce</w:t>
      </w:r>
      <w:r w:rsidR="00AA5321" w:rsidRPr="0013649E">
        <w:rPr>
          <w:rFonts w:cs="Arial"/>
        </w:rPr>
        <w:t>, specializace</w:t>
      </w:r>
      <w:r w:rsidR="00C17BD0" w:rsidRPr="0013649E">
        <w:rPr>
          <w:rFonts w:cs="Arial"/>
        </w:rPr>
        <w:t xml:space="preserve">, odrůd a </w:t>
      </w:r>
      <w:r w:rsidR="00AA5321" w:rsidRPr="0013649E">
        <w:rPr>
          <w:rFonts w:cs="Arial"/>
        </w:rPr>
        <w:t>stáří výsadby</w:t>
      </w:r>
      <w:r w:rsidR="00C24094" w:rsidRPr="0013649E">
        <w:rPr>
          <w:rFonts w:cs="Arial"/>
        </w:rPr>
        <w:t xml:space="preserve"> v souladu s přílohou II </w:t>
      </w:r>
      <w:r w:rsidR="00D55DD2" w:rsidRPr="0013649E">
        <w:rPr>
          <w:rFonts w:cs="Arial"/>
        </w:rPr>
        <w:t>N</w:t>
      </w:r>
      <w:r w:rsidR="00C24094" w:rsidRPr="0013649E">
        <w:rPr>
          <w:rFonts w:cs="Arial"/>
        </w:rPr>
        <w:t>ařízení</w:t>
      </w:r>
      <w:r w:rsidR="00926146" w:rsidRPr="0013649E">
        <w:rPr>
          <w:rFonts w:cs="Arial"/>
        </w:rPr>
        <w:t>.</w:t>
      </w:r>
    </w:p>
    <w:p w:rsidR="00B1386C" w:rsidRPr="0013649E" w:rsidRDefault="00B1386C" w:rsidP="008456C0">
      <w:pPr>
        <w:pStyle w:val="Zkladntext"/>
        <w:spacing w:line="276" w:lineRule="auto"/>
        <w:rPr>
          <w:rFonts w:cs="Arial"/>
        </w:rPr>
      </w:pPr>
      <w:bookmarkStart w:id="0" w:name="_GoBack"/>
      <w:bookmarkEnd w:id="0"/>
    </w:p>
    <w:p w:rsidR="00926146" w:rsidRPr="0013649E" w:rsidRDefault="00B1386C" w:rsidP="008456C0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 xml:space="preserve">Druh </w:t>
      </w:r>
      <w:r w:rsidR="00AA5321" w:rsidRPr="0013649E">
        <w:rPr>
          <w:rFonts w:cs="Arial"/>
        </w:rPr>
        <w:t>produkce zahrnuje vinice</w:t>
      </w:r>
      <w:r w:rsidR="005B7B48" w:rsidRPr="0013649E">
        <w:rPr>
          <w:rFonts w:cs="Arial"/>
        </w:rPr>
        <w:t xml:space="preserve"> s moštovými odrůdami </w:t>
      </w:r>
      <w:r w:rsidR="00645545" w:rsidRPr="0013649E">
        <w:rPr>
          <w:rFonts w:cs="Arial"/>
        </w:rPr>
        <w:t>vhodnými k výrobě vín</w:t>
      </w:r>
      <w:r w:rsidR="00AA5321" w:rsidRPr="0013649E">
        <w:rPr>
          <w:rFonts w:cs="Arial"/>
        </w:rPr>
        <w:t xml:space="preserve"> </w:t>
      </w:r>
      <w:r w:rsidR="00C17BD0" w:rsidRPr="0013649E">
        <w:rPr>
          <w:rFonts w:cs="Arial"/>
        </w:rPr>
        <w:t>s chráněným označením původu (</w:t>
      </w:r>
      <w:r w:rsidR="00CC16D1" w:rsidRPr="0013649E">
        <w:rPr>
          <w:rFonts w:cs="Arial"/>
        </w:rPr>
        <w:t xml:space="preserve">dále jen </w:t>
      </w:r>
      <w:r w:rsidR="00AA5321" w:rsidRPr="0013649E">
        <w:rPr>
          <w:rFonts w:cs="Arial"/>
        </w:rPr>
        <w:t>CHOP</w:t>
      </w:r>
      <w:r w:rsidR="00C17BD0" w:rsidRPr="0013649E">
        <w:rPr>
          <w:rFonts w:cs="Arial"/>
        </w:rPr>
        <w:t>)</w:t>
      </w:r>
      <w:r w:rsidR="00AA5321" w:rsidRPr="0013649E">
        <w:rPr>
          <w:rFonts w:cs="Arial"/>
        </w:rPr>
        <w:t xml:space="preserve"> a </w:t>
      </w:r>
      <w:r w:rsidR="00C17BD0" w:rsidRPr="0013649E">
        <w:rPr>
          <w:rFonts w:cs="Arial"/>
        </w:rPr>
        <w:t>chráněným zeměpisným označením (</w:t>
      </w:r>
      <w:r w:rsidR="00CC16D1" w:rsidRPr="0013649E">
        <w:rPr>
          <w:rFonts w:cs="Arial"/>
        </w:rPr>
        <w:t xml:space="preserve">dále jen </w:t>
      </w:r>
      <w:r w:rsidR="00AA5321" w:rsidRPr="0013649E">
        <w:rPr>
          <w:rFonts w:cs="Arial"/>
        </w:rPr>
        <w:t>CHZO</w:t>
      </w:r>
      <w:r w:rsidR="00C17BD0" w:rsidRPr="0013649E">
        <w:rPr>
          <w:rFonts w:cs="Arial"/>
        </w:rPr>
        <w:t>)</w:t>
      </w:r>
      <w:r w:rsidR="00A90A02" w:rsidRPr="0013649E">
        <w:rPr>
          <w:rFonts w:cs="Arial"/>
        </w:rPr>
        <w:t xml:space="preserve"> </w:t>
      </w:r>
      <w:r w:rsidR="00FB5620" w:rsidRPr="0013649E">
        <w:rPr>
          <w:rFonts w:cs="Arial"/>
        </w:rPr>
        <w:t>v členění na plodící vinice a vinice ještě neplodící</w:t>
      </w:r>
      <w:r w:rsidR="004543CA" w:rsidRPr="0013649E">
        <w:rPr>
          <w:rFonts w:cs="Arial"/>
        </w:rPr>
        <w:t>.</w:t>
      </w:r>
      <w:r w:rsidR="00FB5620" w:rsidRPr="0013649E">
        <w:rPr>
          <w:rFonts w:cs="Arial"/>
        </w:rPr>
        <w:t xml:space="preserve"> </w:t>
      </w:r>
      <w:r w:rsidR="00A90A02" w:rsidRPr="0013649E">
        <w:rPr>
          <w:rFonts w:cs="Arial"/>
        </w:rPr>
        <w:t>Dále se sled</w:t>
      </w:r>
      <w:r w:rsidR="00CA488B" w:rsidRPr="0013649E">
        <w:rPr>
          <w:rFonts w:cs="Arial"/>
        </w:rPr>
        <w:t>ují</w:t>
      </w:r>
      <w:r w:rsidR="00A90A02" w:rsidRPr="0013649E">
        <w:rPr>
          <w:rFonts w:cs="Arial"/>
        </w:rPr>
        <w:t xml:space="preserve"> vinice určené k </w:t>
      </w:r>
      <w:r w:rsidR="00AA5321" w:rsidRPr="0013649E">
        <w:rPr>
          <w:rFonts w:cs="Arial"/>
        </w:rPr>
        <w:t xml:space="preserve">produkci množitelského materiálu révy a </w:t>
      </w:r>
      <w:r w:rsidR="00C17BD0" w:rsidRPr="0013649E">
        <w:rPr>
          <w:rFonts w:cs="Arial"/>
        </w:rPr>
        <w:t>ostatní vinice, k</w:t>
      </w:r>
      <w:r w:rsidR="00FB5620" w:rsidRPr="0013649E">
        <w:rPr>
          <w:rFonts w:cs="Arial"/>
        </w:rPr>
        <w:t>teré zahrnují především šlechtitelské plochy</w:t>
      </w:r>
      <w:r w:rsidR="00414604" w:rsidRPr="0013649E">
        <w:rPr>
          <w:rFonts w:cs="Arial"/>
        </w:rPr>
        <w:t xml:space="preserve"> a genofond</w:t>
      </w:r>
      <w:r w:rsidR="00C17BD0" w:rsidRPr="0013649E">
        <w:rPr>
          <w:rFonts w:cs="Arial"/>
        </w:rPr>
        <w:t xml:space="preserve">. </w:t>
      </w:r>
      <w:r w:rsidR="00926146" w:rsidRPr="0013649E">
        <w:rPr>
          <w:rFonts w:cs="Arial"/>
        </w:rPr>
        <w:t xml:space="preserve">Z důvodu ochrany individuálních dat </w:t>
      </w:r>
      <w:r w:rsidR="00C10D45" w:rsidRPr="0013649E">
        <w:rPr>
          <w:rFonts w:cs="Arial"/>
        </w:rPr>
        <w:t>jsou</w:t>
      </w:r>
      <w:r w:rsidR="004D7766" w:rsidRPr="0013649E">
        <w:rPr>
          <w:rFonts w:cs="Arial"/>
        </w:rPr>
        <w:t xml:space="preserve"> poslední dvě kategorie</w:t>
      </w:r>
      <w:r w:rsidR="00FB5620" w:rsidRPr="0013649E">
        <w:rPr>
          <w:rFonts w:cs="Arial"/>
        </w:rPr>
        <w:t xml:space="preserve"> ve výstupních tabulkách </w:t>
      </w:r>
      <w:r w:rsidR="004D7766" w:rsidRPr="0013649E">
        <w:rPr>
          <w:rFonts w:cs="Arial"/>
        </w:rPr>
        <w:t>sloučeny</w:t>
      </w:r>
      <w:r w:rsidR="00A90A02" w:rsidRPr="0013649E">
        <w:rPr>
          <w:rFonts w:cs="Arial"/>
        </w:rPr>
        <w:t>.</w:t>
      </w:r>
      <w:r w:rsidR="00926146" w:rsidRPr="0013649E">
        <w:rPr>
          <w:rFonts w:cs="Arial"/>
        </w:rPr>
        <w:t xml:space="preserve"> </w:t>
      </w:r>
      <w:r w:rsidR="009D76BC" w:rsidRPr="0013649E">
        <w:rPr>
          <w:rFonts w:cs="Arial"/>
        </w:rPr>
        <w:t xml:space="preserve">Pěstitelé vinné révy </w:t>
      </w:r>
      <w:r w:rsidR="00701172" w:rsidRPr="0013649E">
        <w:rPr>
          <w:rFonts w:cs="Arial"/>
        </w:rPr>
        <w:t xml:space="preserve">podle </w:t>
      </w:r>
      <w:r w:rsidR="00633827" w:rsidRPr="0013649E">
        <w:rPr>
          <w:rFonts w:cs="Arial"/>
        </w:rPr>
        <w:t xml:space="preserve">druhu </w:t>
      </w:r>
      <w:r w:rsidR="00701172" w:rsidRPr="0013649E">
        <w:rPr>
          <w:rFonts w:cs="Arial"/>
        </w:rPr>
        <w:t xml:space="preserve">produkce </w:t>
      </w:r>
      <w:r w:rsidR="001309B3" w:rsidRPr="0013649E">
        <w:rPr>
          <w:rFonts w:cs="Arial"/>
        </w:rPr>
        <w:t xml:space="preserve">jsou </w:t>
      </w:r>
      <w:r w:rsidR="00701172" w:rsidRPr="0013649E">
        <w:rPr>
          <w:rFonts w:cs="Arial"/>
        </w:rPr>
        <w:t>dále člen</w:t>
      </w:r>
      <w:r w:rsidR="00E66A2E" w:rsidRPr="0013649E">
        <w:rPr>
          <w:rFonts w:cs="Arial"/>
        </w:rPr>
        <w:t xml:space="preserve">ěni </w:t>
      </w:r>
      <w:r w:rsidR="004D7766" w:rsidRPr="0013649E">
        <w:rPr>
          <w:rFonts w:cs="Arial"/>
        </w:rPr>
        <w:t>do velikostních skupin</w:t>
      </w:r>
      <w:r w:rsidR="00701172" w:rsidRPr="0013649E">
        <w:rPr>
          <w:rFonts w:cs="Arial"/>
        </w:rPr>
        <w:t xml:space="preserve"> podle </w:t>
      </w:r>
      <w:r w:rsidR="00FB5620" w:rsidRPr="0013649E">
        <w:rPr>
          <w:rFonts w:cs="Arial"/>
        </w:rPr>
        <w:t xml:space="preserve">výměry </w:t>
      </w:r>
      <w:r w:rsidR="00633827" w:rsidRPr="0013649E">
        <w:rPr>
          <w:rFonts w:cs="Arial"/>
        </w:rPr>
        <w:t>vinic</w:t>
      </w:r>
      <w:r w:rsidR="00701172" w:rsidRPr="0013649E">
        <w:rPr>
          <w:rFonts w:cs="Arial"/>
        </w:rPr>
        <w:t xml:space="preserve"> a </w:t>
      </w:r>
      <w:r w:rsidR="00C610A7" w:rsidRPr="0013649E">
        <w:rPr>
          <w:rFonts w:cs="Arial"/>
        </w:rPr>
        <w:t xml:space="preserve">podle </w:t>
      </w:r>
      <w:r w:rsidRPr="0013649E">
        <w:rPr>
          <w:rFonts w:cs="Arial"/>
        </w:rPr>
        <w:t>krajů</w:t>
      </w:r>
      <w:r w:rsidR="001A0637" w:rsidRPr="0013649E">
        <w:rPr>
          <w:rFonts w:cs="Arial"/>
        </w:rPr>
        <w:t>.</w:t>
      </w:r>
    </w:p>
    <w:p w:rsidR="00410D00" w:rsidRPr="0013649E" w:rsidRDefault="00410D00" w:rsidP="004543CA">
      <w:pPr>
        <w:pStyle w:val="Zkladntext"/>
        <w:spacing w:line="276" w:lineRule="auto"/>
        <w:rPr>
          <w:rFonts w:cs="Arial"/>
        </w:rPr>
      </w:pPr>
    </w:p>
    <w:p w:rsidR="00C610A7" w:rsidRPr="0013649E" w:rsidRDefault="00B2322B" w:rsidP="00EE5D25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 xml:space="preserve">Pěstitelé vinné révy </w:t>
      </w:r>
      <w:r w:rsidR="005962F7" w:rsidRPr="0013649E">
        <w:rPr>
          <w:rFonts w:cs="Arial"/>
        </w:rPr>
        <w:t>podle s</w:t>
      </w:r>
      <w:r w:rsidRPr="0013649E">
        <w:rPr>
          <w:rFonts w:cs="Arial"/>
        </w:rPr>
        <w:t>pecializace</w:t>
      </w:r>
      <w:r w:rsidR="005962F7" w:rsidRPr="0013649E">
        <w:rPr>
          <w:rFonts w:cs="Arial"/>
        </w:rPr>
        <w:t xml:space="preserve"> </w:t>
      </w:r>
      <w:r w:rsidR="009D76BC" w:rsidRPr="0013649E">
        <w:rPr>
          <w:rFonts w:cs="Arial"/>
        </w:rPr>
        <w:t xml:space="preserve">se </w:t>
      </w:r>
      <w:proofErr w:type="gramStart"/>
      <w:r w:rsidR="009D76BC" w:rsidRPr="0013649E">
        <w:rPr>
          <w:rFonts w:cs="Arial"/>
        </w:rPr>
        <w:t>dělí</w:t>
      </w:r>
      <w:proofErr w:type="gramEnd"/>
      <w:r w:rsidR="009D76BC" w:rsidRPr="0013649E">
        <w:rPr>
          <w:rFonts w:cs="Arial"/>
        </w:rPr>
        <w:t xml:space="preserve"> </w:t>
      </w:r>
      <w:r w:rsidRPr="0013649E">
        <w:rPr>
          <w:rFonts w:cs="Arial"/>
        </w:rPr>
        <w:t xml:space="preserve">na subjekty s </w:t>
      </w:r>
      <w:r w:rsidR="001309B3" w:rsidRPr="0013649E">
        <w:rPr>
          <w:rFonts w:cs="Arial"/>
        </w:rPr>
        <w:t xml:space="preserve">vinicemi určenými výhradně pro výrobu vína </w:t>
      </w:r>
      <w:r w:rsidR="00701172" w:rsidRPr="0013649E">
        <w:rPr>
          <w:rFonts w:cs="Arial"/>
        </w:rPr>
        <w:t xml:space="preserve">v členění </w:t>
      </w:r>
      <w:proofErr w:type="gramStart"/>
      <w:r w:rsidR="00701172" w:rsidRPr="0013649E">
        <w:rPr>
          <w:rFonts w:cs="Arial"/>
        </w:rPr>
        <w:t>CHOP</w:t>
      </w:r>
      <w:proofErr w:type="gramEnd"/>
      <w:r w:rsidR="001309B3" w:rsidRPr="0013649E">
        <w:rPr>
          <w:rFonts w:cs="Arial"/>
        </w:rPr>
        <w:t xml:space="preserve"> </w:t>
      </w:r>
      <w:r w:rsidR="00A102C2" w:rsidRPr="0013649E">
        <w:rPr>
          <w:rFonts w:cs="Arial"/>
        </w:rPr>
        <w:t>a</w:t>
      </w:r>
      <w:r w:rsidR="001309B3" w:rsidRPr="0013649E">
        <w:rPr>
          <w:rFonts w:cs="Arial"/>
        </w:rPr>
        <w:t xml:space="preserve"> CHZO</w:t>
      </w:r>
      <w:r w:rsidR="00E914DF" w:rsidRPr="0013649E">
        <w:rPr>
          <w:rFonts w:cs="Arial"/>
        </w:rPr>
        <w:t xml:space="preserve">. </w:t>
      </w:r>
      <w:r w:rsidR="004543CA" w:rsidRPr="0013649E">
        <w:rPr>
          <w:rFonts w:cs="Arial"/>
        </w:rPr>
        <w:t>S</w:t>
      </w:r>
      <w:r w:rsidR="009D76BC" w:rsidRPr="0013649E">
        <w:rPr>
          <w:rFonts w:cs="Arial"/>
        </w:rPr>
        <w:t xml:space="preserve">ubjekty </w:t>
      </w:r>
      <w:r w:rsidR="009560BB" w:rsidRPr="0013649E">
        <w:rPr>
          <w:rFonts w:cs="Arial"/>
        </w:rPr>
        <w:t>výhradně s</w:t>
      </w:r>
      <w:r w:rsidR="009D76BC" w:rsidRPr="0013649E">
        <w:rPr>
          <w:rFonts w:cs="Arial"/>
        </w:rPr>
        <w:t xml:space="preserve"> vinicemi určenými </w:t>
      </w:r>
      <w:r w:rsidR="00A102C2" w:rsidRPr="0013649E">
        <w:rPr>
          <w:rFonts w:cs="Arial"/>
        </w:rPr>
        <w:t>k</w:t>
      </w:r>
      <w:r w:rsidR="009D76BC" w:rsidRPr="0013649E">
        <w:rPr>
          <w:rFonts w:cs="Arial"/>
        </w:rPr>
        <w:t> </w:t>
      </w:r>
      <w:r w:rsidR="00A102C2" w:rsidRPr="0013649E">
        <w:rPr>
          <w:rFonts w:cs="Arial"/>
        </w:rPr>
        <w:t>jiné produkci než pro výrobu vína a subjekty s vinicemi určenými k několika druhům produkce</w:t>
      </w:r>
      <w:r w:rsidR="004543CA" w:rsidRPr="0013649E">
        <w:rPr>
          <w:rFonts w:cs="Arial"/>
        </w:rPr>
        <w:t xml:space="preserve"> </w:t>
      </w:r>
      <w:r w:rsidR="00C10D45" w:rsidRPr="0013649E">
        <w:rPr>
          <w:rFonts w:cs="Arial"/>
        </w:rPr>
        <w:t>jsou</w:t>
      </w:r>
      <w:r w:rsidR="004543CA" w:rsidRPr="0013649E">
        <w:rPr>
          <w:rFonts w:cs="Arial"/>
        </w:rPr>
        <w:t xml:space="preserve"> sloučeny </w:t>
      </w:r>
      <w:r w:rsidR="009560BB" w:rsidRPr="0013649E">
        <w:rPr>
          <w:rFonts w:cs="Arial"/>
        </w:rPr>
        <w:t xml:space="preserve">do jedné </w:t>
      </w:r>
      <w:r w:rsidR="009D76BC" w:rsidRPr="0013649E">
        <w:rPr>
          <w:rFonts w:cs="Arial"/>
        </w:rPr>
        <w:t xml:space="preserve">kategorie </w:t>
      </w:r>
      <w:r w:rsidR="009560BB" w:rsidRPr="0013649E">
        <w:rPr>
          <w:rFonts w:cs="Arial"/>
        </w:rPr>
        <w:t>specializace</w:t>
      </w:r>
      <w:r w:rsidR="00767F00" w:rsidRPr="0013649E">
        <w:rPr>
          <w:rFonts w:cs="Arial"/>
        </w:rPr>
        <w:t xml:space="preserve"> z důvodu ochrany individuálních dat</w:t>
      </w:r>
      <w:r w:rsidR="009560BB" w:rsidRPr="0013649E">
        <w:rPr>
          <w:rFonts w:cs="Arial"/>
        </w:rPr>
        <w:t>.</w:t>
      </w:r>
      <w:r w:rsidR="00A102C2" w:rsidRPr="0013649E">
        <w:rPr>
          <w:rFonts w:cs="Arial"/>
        </w:rPr>
        <w:t xml:space="preserve"> </w:t>
      </w:r>
      <w:r w:rsidR="00C17BD0" w:rsidRPr="0013649E">
        <w:rPr>
          <w:rFonts w:cs="Arial"/>
        </w:rPr>
        <w:t xml:space="preserve">Pěstitelé podle specializace jsou </w:t>
      </w:r>
      <w:r w:rsidR="00B1386C" w:rsidRPr="0013649E">
        <w:rPr>
          <w:rFonts w:cs="Arial"/>
        </w:rPr>
        <w:t>zařazeni</w:t>
      </w:r>
      <w:r w:rsidR="00C17BD0" w:rsidRPr="0013649E">
        <w:rPr>
          <w:rFonts w:cs="Arial"/>
        </w:rPr>
        <w:t xml:space="preserve"> do velikos</w:t>
      </w:r>
      <w:r w:rsidR="00D14F78" w:rsidRPr="0013649E">
        <w:rPr>
          <w:rFonts w:cs="Arial"/>
        </w:rPr>
        <w:t>tních skupin podle výměry vinic.</w:t>
      </w:r>
    </w:p>
    <w:p w:rsidR="00D14F78" w:rsidRPr="0013649E" w:rsidRDefault="00D14F78" w:rsidP="00C610A7">
      <w:pPr>
        <w:pStyle w:val="Zkladntext"/>
        <w:spacing w:line="276" w:lineRule="auto"/>
        <w:rPr>
          <w:rFonts w:cs="Arial"/>
        </w:rPr>
      </w:pPr>
    </w:p>
    <w:p w:rsidR="00C17BD0" w:rsidRPr="0013649E" w:rsidRDefault="004D7766" w:rsidP="00C610A7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 xml:space="preserve">Šetření se vztahuje také na zjištění </w:t>
      </w:r>
      <w:r w:rsidR="00926146" w:rsidRPr="0013649E">
        <w:rPr>
          <w:rFonts w:cs="Arial"/>
        </w:rPr>
        <w:t>věkov</w:t>
      </w:r>
      <w:r w:rsidR="009560BB" w:rsidRPr="0013649E">
        <w:rPr>
          <w:rFonts w:cs="Arial"/>
        </w:rPr>
        <w:t>é</w:t>
      </w:r>
      <w:r w:rsidR="00926146" w:rsidRPr="0013649E">
        <w:rPr>
          <w:rFonts w:cs="Arial"/>
        </w:rPr>
        <w:t xml:space="preserve"> a odrůdov</w:t>
      </w:r>
      <w:r w:rsidR="009560BB" w:rsidRPr="0013649E">
        <w:rPr>
          <w:rFonts w:cs="Arial"/>
        </w:rPr>
        <w:t>é</w:t>
      </w:r>
      <w:r w:rsidR="00926146" w:rsidRPr="0013649E">
        <w:rPr>
          <w:rFonts w:cs="Arial"/>
        </w:rPr>
        <w:t xml:space="preserve"> </w:t>
      </w:r>
      <w:r w:rsidRPr="0013649E">
        <w:rPr>
          <w:rFonts w:cs="Arial"/>
        </w:rPr>
        <w:t xml:space="preserve">struktury vinic </w:t>
      </w:r>
      <w:r w:rsidR="007470C5" w:rsidRPr="0013649E">
        <w:rPr>
          <w:rFonts w:cs="Arial"/>
        </w:rPr>
        <w:t>v územním členění podle krajů</w:t>
      </w:r>
      <w:r w:rsidR="001A0637" w:rsidRPr="0013649E">
        <w:rPr>
          <w:rFonts w:cs="Arial"/>
        </w:rPr>
        <w:t xml:space="preserve">. </w:t>
      </w:r>
      <w:r w:rsidR="00476976">
        <w:rPr>
          <w:rFonts w:cs="Arial"/>
        </w:rPr>
        <w:t>Hlavní o</w:t>
      </w:r>
      <w:r w:rsidR="001309B3" w:rsidRPr="0013649E">
        <w:rPr>
          <w:rFonts w:cs="Arial"/>
        </w:rPr>
        <w:t>drůdy, jejichž celková výměra přesahuje 500</w:t>
      </w:r>
      <w:r w:rsidR="00C24094" w:rsidRPr="0013649E">
        <w:rPr>
          <w:rFonts w:cs="Arial"/>
        </w:rPr>
        <w:t> </w:t>
      </w:r>
      <w:r w:rsidR="001309B3" w:rsidRPr="0013649E">
        <w:rPr>
          <w:rFonts w:cs="Arial"/>
        </w:rPr>
        <w:t>ha</w:t>
      </w:r>
      <w:r w:rsidR="00C610A7" w:rsidRPr="0013649E">
        <w:rPr>
          <w:rFonts w:cs="Arial"/>
        </w:rPr>
        <w:t>, jsou uvedeny jednotlivě.</w:t>
      </w:r>
      <w:r w:rsidR="00C24094" w:rsidRPr="0013649E">
        <w:rPr>
          <w:rFonts w:cs="Arial"/>
        </w:rPr>
        <w:t xml:space="preserve"> </w:t>
      </w:r>
    </w:p>
    <w:p w:rsidR="001309B3" w:rsidRPr="0013649E" w:rsidRDefault="001309B3" w:rsidP="00EE5D25">
      <w:pPr>
        <w:pStyle w:val="Zkladntext"/>
        <w:spacing w:line="276" w:lineRule="auto"/>
        <w:rPr>
          <w:rFonts w:cs="Arial"/>
        </w:rPr>
      </w:pPr>
    </w:p>
    <w:p w:rsidR="008F0F52" w:rsidRPr="0013649E" w:rsidRDefault="001A0637" w:rsidP="00EE5D25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 xml:space="preserve">Územní členění </w:t>
      </w:r>
      <w:r w:rsidR="00C10D45" w:rsidRPr="0013649E">
        <w:rPr>
          <w:rFonts w:cs="Arial"/>
        </w:rPr>
        <w:t>je</w:t>
      </w:r>
      <w:r w:rsidRPr="0013649E">
        <w:rPr>
          <w:rFonts w:cs="Arial"/>
        </w:rPr>
        <w:t xml:space="preserve"> provedeno podle klasifikace CZ-NUTS na úrovni krajů (NUTS 3).</w:t>
      </w:r>
      <w:r w:rsidR="00C10D45" w:rsidRPr="0013649E">
        <w:rPr>
          <w:rFonts w:cs="Arial"/>
        </w:rPr>
        <w:t xml:space="preserve"> Pěstitelé </w:t>
      </w:r>
      <w:r w:rsidR="007405D9" w:rsidRPr="0013649E">
        <w:rPr>
          <w:rFonts w:cs="Arial"/>
        </w:rPr>
        <w:t xml:space="preserve">vinné révy </w:t>
      </w:r>
      <w:r w:rsidR="00C10D45" w:rsidRPr="0013649E">
        <w:rPr>
          <w:rFonts w:cs="Arial"/>
        </w:rPr>
        <w:t xml:space="preserve">jsou zařazeni </w:t>
      </w:r>
      <w:r w:rsidR="007405D9" w:rsidRPr="0013649E">
        <w:rPr>
          <w:rFonts w:cs="Arial"/>
        </w:rPr>
        <w:t>do jednotlivých krajů podle převažující výměry vinic.</w:t>
      </w:r>
      <w:r w:rsidR="00EE5D25" w:rsidRPr="0013649E">
        <w:rPr>
          <w:rFonts w:cs="Arial"/>
        </w:rPr>
        <w:t xml:space="preserve"> V případě, že </w:t>
      </w:r>
      <w:r w:rsidR="008F0F52" w:rsidRPr="0013649E">
        <w:rPr>
          <w:rFonts w:cs="Arial"/>
        </w:rPr>
        <w:t>pěstitel vinné révy obhospodař</w:t>
      </w:r>
      <w:r w:rsidR="00CA488B" w:rsidRPr="0013649E">
        <w:rPr>
          <w:rFonts w:cs="Arial"/>
        </w:rPr>
        <w:t>oval</w:t>
      </w:r>
      <w:r w:rsidR="008F0F52" w:rsidRPr="0013649E">
        <w:rPr>
          <w:rFonts w:cs="Arial"/>
        </w:rPr>
        <w:t xml:space="preserve"> vinice ve více krajích, </w:t>
      </w:r>
      <w:r w:rsidR="00C10D45" w:rsidRPr="0013649E">
        <w:rPr>
          <w:rFonts w:cs="Arial"/>
        </w:rPr>
        <w:t>je</w:t>
      </w:r>
      <w:r w:rsidR="008F0F52" w:rsidRPr="0013649E">
        <w:rPr>
          <w:rFonts w:cs="Arial"/>
        </w:rPr>
        <w:t xml:space="preserve"> zařazený do </w:t>
      </w:r>
      <w:r w:rsidR="00B44875" w:rsidRPr="0013649E">
        <w:rPr>
          <w:rFonts w:cs="Arial"/>
        </w:rPr>
        <w:t>kraje</w:t>
      </w:r>
      <w:r w:rsidR="008F0F52" w:rsidRPr="0013649E">
        <w:rPr>
          <w:rFonts w:cs="Arial"/>
        </w:rPr>
        <w:t xml:space="preserve"> s převažující výměrou.</w:t>
      </w:r>
    </w:p>
    <w:p w:rsidR="00D55DD2" w:rsidRPr="0013649E" w:rsidRDefault="00D55DD2" w:rsidP="00EE5D25">
      <w:pPr>
        <w:pStyle w:val="Zkladntext"/>
        <w:spacing w:line="276" w:lineRule="auto"/>
        <w:rPr>
          <w:rFonts w:cs="Arial"/>
        </w:rPr>
      </w:pPr>
    </w:p>
    <w:p w:rsidR="001A0637" w:rsidRPr="0013649E" w:rsidRDefault="00960BE5" w:rsidP="00EE5D25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 xml:space="preserve">V předložené publikaci je uvedeno </w:t>
      </w:r>
      <w:r w:rsidR="00743DFC" w:rsidRPr="0013649E">
        <w:rPr>
          <w:rFonts w:cs="Arial"/>
        </w:rPr>
        <w:t xml:space="preserve">také </w:t>
      </w:r>
      <w:r w:rsidR="002C3465" w:rsidRPr="0013649E">
        <w:rPr>
          <w:rFonts w:cs="Arial"/>
        </w:rPr>
        <w:t xml:space="preserve">orientační </w:t>
      </w:r>
      <w:r w:rsidRPr="0013649E">
        <w:rPr>
          <w:rFonts w:cs="Arial"/>
        </w:rPr>
        <w:t xml:space="preserve">porovnání </w:t>
      </w:r>
      <w:r w:rsidR="006A5981" w:rsidRPr="0013649E">
        <w:rPr>
          <w:rFonts w:cs="Arial"/>
        </w:rPr>
        <w:t xml:space="preserve">s </w:t>
      </w:r>
      <w:r w:rsidR="00B223FD" w:rsidRPr="0013649E">
        <w:rPr>
          <w:rFonts w:cs="Arial"/>
        </w:rPr>
        <w:t>výsledk</w:t>
      </w:r>
      <w:r w:rsidR="006A5981" w:rsidRPr="0013649E">
        <w:rPr>
          <w:rFonts w:cs="Arial"/>
        </w:rPr>
        <w:t>y</w:t>
      </w:r>
      <w:r w:rsidR="00B223FD" w:rsidRPr="0013649E">
        <w:rPr>
          <w:rFonts w:cs="Arial"/>
        </w:rPr>
        <w:t xml:space="preserve"> </w:t>
      </w:r>
      <w:r w:rsidR="006B6F72" w:rsidRPr="0013649E">
        <w:rPr>
          <w:rFonts w:cs="Arial"/>
        </w:rPr>
        <w:t>Š</w:t>
      </w:r>
      <w:r w:rsidR="00B2322B" w:rsidRPr="0013649E">
        <w:rPr>
          <w:rFonts w:cs="Arial"/>
        </w:rPr>
        <w:t>et</w:t>
      </w:r>
      <w:r w:rsidR="00187B0A" w:rsidRPr="0013649E">
        <w:rPr>
          <w:rFonts w:cs="Arial"/>
        </w:rPr>
        <w:t xml:space="preserve">ření </w:t>
      </w:r>
      <w:r w:rsidR="006B6F72" w:rsidRPr="0013649E">
        <w:rPr>
          <w:rFonts w:cs="Arial"/>
        </w:rPr>
        <w:t xml:space="preserve">o vinicích </w:t>
      </w:r>
      <w:r w:rsidR="00187B0A" w:rsidRPr="0013649E">
        <w:rPr>
          <w:rFonts w:cs="Arial"/>
        </w:rPr>
        <w:t>proveden</w:t>
      </w:r>
      <w:r w:rsidR="006A5981" w:rsidRPr="0013649E">
        <w:rPr>
          <w:rFonts w:cs="Arial"/>
        </w:rPr>
        <w:t>ého</w:t>
      </w:r>
      <w:r w:rsidR="00187B0A" w:rsidRPr="0013649E">
        <w:rPr>
          <w:rFonts w:cs="Arial"/>
        </w:rPr>
        <w:t xml:space="preserve"> v roce 2009</w:t>
      </w:r>
      <w:r w:rsidR="006A5981" w:rsidRPr="0013649E">
        <w:rPr>
          <w:rFonts w:cs="Arial"/>
        </w:rPr>
        <w:t>.</w:t>
      </w:r>
      <w:r w:rsidR="00C610A7" w:rsidRPr="0013649E">
        <w:rPr>
          <w:rFonts w:cs="Arial"/>
        </w:rPr>
        <w:t xml:space="preserve"> </w:t>
      </w:r>
      <w:r w:rsidR="006A5981" w:rsidRPr="0013649E">
        <w:rPr>
          <w:rFonts w:cs="Arial"/>
        </w:rPr>
        <w:t>S</w:t>
      </w:r>
      <w:r w:rsidR="0022164C" w:rsidRPr="0013649E">
        <w:rPr>
          <w:rFonts w:cs="Arial"/>
        </w:rPr>
        <w:t>ledované ukazatele nejsou plně srovnatelné</w:t>
      </w:r>
      <w:r w:rsidR="00743DFC" w:rsidRPr="0013649E">
        <w:rPr>
          <w:rFonts w:cs="Arial"/>
        </w:rPr>
        <w:t xml:space="preserve"> z důvodu použití odlišné metodiky</w:t>
      </w:r>
      <w:r w:rsidR="0022164C" w:rsidRPr="0013649E">
        <w:rPr>
          <w:rFonts w:cs="Arial"/>
        </w:rPr>
        <w:t xml:space="preserve">. </w:t>
      </w:r>
    </w:p>
    <w:p w:rsidR="001A0637" w:rsidRPr="0013649E" w:rsidRDefault="001A0637" w:rsidP="00EE5D25">
      <w:pPr>
        <w:pStyle w:val="Zkladntext"/>
        <w:spacing w:line="276" w:lineRule="auto"/>
        <w:rPr>
          <w:rFonts w:cs="Arial"/>
        </w:rPr>
      </w:pPr>
    </w:p>
    <w:p w:rsidR="001A0637" w:rsidRPr="0013649E" w:rsidRDefault="002C3465" w:rsidP="00EE5D25">
      <w:pPr>
        <w:pStyle w:val="Zkladntext"/>
        <w:spacing w:line="276" w:lineRule="auto"/>
        <w:rPr>
          <w:rFonts w:cs="Arial"/>
        </w:rPr>
      </w:pPr>
      <w:r w:rsidRPr="0013649E">
        <w:rPr>
          <w:rFonts w:cs="Arial"/>
        </w:rPr>
        <w:t>V</w:t>
      </w:r>
      <w:r w:rsidR="00C17BD0" w:rsidRPr="0013649E">
        <w:rPr>
          <w:rFonts w:cs="Arial"/>
        </w:rPr>
        <w:t> roce 20</w:t>
      </w:r>
      <w:r w:rsidR="005A22DE" w:rsidRPr="0013649E">
        <w:rPr>
          <w:rFonts w:cs="Arial"/>
        </w:rPr>
        <w:t>0</w:t>
      </w:r>
      <w:r w:rsidR="00C17BD0" w:rsidRPr="0013649E">
        <w:rPr>
          <w:rFonts w:cs="Arial"/>
        </w:rPr>
        <w:t xml:space="preserve">9 </w:t>
      </w:r>
      <w:r w:rsidRPr="0013649E">
        <w:rPr>
          <w:rFonts w:cs="Arial"/>
        </w:rPr>
        <w:t xml:space="preserve">se </w:t>
      </w:r>
      <w:r w:rsidR="006A5981" w:rsidRPr="0013649E">
        <w:rPr>
          <w:rFonts w:cs="Arial"/>
        </w:rPr>
        <w:t>Š</w:t>
      </w:r>
      <w:r w:rsidRPr="0013649E">
        <w:rPr>
          <w:rFonts w:cs="Arial"/>
        </w:rPr>
        <w:t xml:space="preserve">etření </w:t>
      </w:r>
      <w:r w:rsidR="006A5981" w:rsidRPr="0013649E">
        <w:rPr>
          <w:rFonts w:cs="Arial"/>
        </w:rPr>
        <w:t>o vinicích</w:t>
      </w:r>
      <w:r w:rsidRPr="0013649E">
        <w:rPr>
          <w:rFonts w:cs="Arial"/>
        </w:rPr>
        <w:t xml:space="preserve"> provádělo podle </w:t>
      </w:r>
      <w:r w:rsidR="005D72E1" w:rsidRPr="0013649E">
        <w:rPr>
          <w:rFonts w:cs="Arial"/>
        </w:rPr>
        <w:t>Nařízení Rady (EHS) č.</w:t>
      </w:r>
      <w:r w:rsidR="00CA488B" w:rsidRPr="0013649E">
        <w:rPr>
          <w:rFonts w:cs="Arial"/>
        </w:rPr>
        <w:t> </w:t>
      </w:r>
      <w:r w:rsidR="005D72E1" w:rsidRPr="0013649E">
        <w:rPr>
          <w:rFonts w:cs="Arial"/>
        </w:rPr>
        <w:t>357/79 ze dne 5. února 1979 o</w:t>
      </w:r>
      <w:r w:rsidR="006A5981" w:rsidRPr="0013649E">
        <w:rPr>
          <w:rFonts w:cs="Arial"/>
        </w:rPr>
        <w:t> </w:t>
      </w:r>
      <w:r w:rsidR="005D72E1" w:rsidRPr="0013649E">
        <w:rPr>
          <w:rFonts w:cs="Arial"/>
        </w:rPr>
        <w:t xml:space="preserve">statistických zjišťováních ploch vinic. </w:t>
      </w:r>
      <w:r w:rsidR="00743DFC" w:rsidRPr="0013649E">
        <w:rPr>
          <w:rFonts w:cs="Arial"/>
        </w:rPr>
        <w:t>Zdrojem dat bylo standardní statistické šetření s použitím stratifikovaného výběru s dopočtem na</w:t>
      </w:r>
      <w:r w:rsidR="007470C5" w:rsidRPr="0013649E">
        <w:rPr>
          <w:rFonts w:cs="Arial"/>
        </w:rPr>
        <w:t> </w:t>
      </w:r>
      <w:r w:rsidR="00743DFC" w:rsidRPr="0013649E">
        <w:rPr>
          <w:rFonts w:cs="Arial"/>
        </w:rPr>
        <w:t xml:space="preserve">základní soubor. </w:t>
      </w:r>
      <w:r w:rsidR="009D76BC" w:rsidRPr="0013649E">
        <w:rPr>
          <w:rFonts w:cs="Arial"/>
        </w:rPr>
        <w:t>P</w:t>
      </w:r>
      <w:r w:rsidR="00C17BD0" w:rsidRPr="0013649E">
        <w:rPr>
          <w:rFonts w:cs="Arial"/>
        </w:rPr>
        <w:t>rahov</w:t>
      </w:r>
      <w:r w:rsidR="009D76BC" w:rsidRPr="0013649E">
        <w:rPr>
          <w:rFonts w:cs="Arial"/>
        </w:rPr>
        <w:t>á</w:t>
      </w:r>
      <w:r w:rsidR="00C17BD0" w:rsidRPr="0013649E">
        <w:rPr>
          <w:rFonts w:cs="Arial"/>
        </w:rPr>
        <w:t xml:space="preserve"> hodnot</w:t>
      </w:r>
      <w:r w:rsidR="0022164C" w:rsidRPr="0013649E">
        <w:rPr>
          <w:rFonts w:cs="Arial"/>
        </w:rPr>
        <w:t>a</w:t>
      </w:r>
      <w:r w:rsidR="009D76BC" w:rsidRPr="0013649E">
        <w:rPr>
          <w:rFonts w:cs="Arial"/>
        </w:rPr>
        <w:t xml:space="preserve"> pro zařazení </w:t>
      </w:r>
      <w:r w:rsidR="0022164C" w:rsidRPr="0013649E">
        <w:rPr>
          <w:rFonts w:cs="Arial"/>
        </w:rPr>
        <w:t xml:space="preserve">pěstitelů vinné révy </w:t>
      </w:r>
      <w:r w:rsidR="009D76BC" w:rsidRPr="0013649E">
        <w:rPr>
          <w:rFonts w:cs="Arial"/>
        </w:rPr>
        <w:t xml:space="preserve">do šetření byla </w:t>
      </w:r>
      <w:r w:rsidR="00C17BD0" w:rsidRPr="0013649E">
        <w:rPr>
          <w:rFonts w:cs="Arial"/>
        </w:rPr>
        <w:t xml:space="preserve">0,1 ha </w:t>
      </w:r>
      <w:r w:rsidR="005A22DE" w:rsidRPr="0013649E">
        <w:rPr>
          <w:rFonts w:cs="Arial"/>
        </w:rPr>
        <w:t xml:space="preserve">výměry </w:t>
      </w:r>
      <w:r w:rsidR="00C17BD0" w:rsidRPr="0013649E">
        <w:rPr>
          <w:rFonts w:cs="Arial"/>
        </w:rPr>
        <w:t xml:space="preserve">vinic. </w:t>
      </w:r>
      <w:r w:rsidR="00D668CA" w:rsidRPr="0013649E">
        <w:rPr>
          <w:rFonts w:cs="Arial"/>
        </w:rPr>
        <w:t xml:space="preserve">Územní členění bylo provedeno podle vinařských oblastí a podoblastí. </w:t>
      </w:r>
    </w:p>
    <w:p w:rsidR="001A0637" w:rsidRPr="0013649E" w:rsidRDefault="001A0637" w:rsidP="00EE5D25">
      <w:pPr>
        <w:spacing w:line="276" w:lineRule="auto"/>
        <w:rPr>
          <w:rFonts w:cs="Arial"/>
        </w:rPr>
      </w:pPr>
    </w:p>
    <w:p w:rsidR="00F0350F" w:rsidRPr="0013649E" w:rsidRDefault="00B2322B" w:rsidP="00EE5D25">
      <w:pPr>
        <w:spacing w:line="276" w:lineRule="auto"/>
        <w:rPr>
          <w:rFonts w:cs="Arial"/>
        </w:rPr>
      </w:pPr>
      <w:r w:rsidRPr="0013649E">
        <w:rPr>
          <w:rFonts w:cs="Arial"/>
        </w:rPr>
        <w:t xml:space="preserve">Součtové položky </w:t>
      </w:r>
      <w:r w:rsidR="00B259D5" w:rsidRPr="0013649E">
        <w:rPr>
          <w:rFonts w:cs="Arial"/>
        </w:rPr>
        <w:t xml:space="preserve">v tabulkách </w:t>
      </w:r>
      <w:r w:rsidRPr="0013649E">
        <w:rPr>
          <w:rFonts w:cs="Arial"/>
        </w:rPr>
        <w:t xml:space="preserve">vycházejí z </w:t>
      </w:r>
      <w:r w:rsidR="00B259D5" w:rsidRPr="0013649E">
        <w:rPr>
          <w:rFonts w:cs="Arial"/>
        </w:rPr>
        <w:t>nezaokrouhlených údajů.</w:t>
      </w:r>
    </w:p>
    <w:p w:rsidR="00B259D5" w:rsidRPr="0013649E" w:rsidRDefault="00B259D5" w:rsidP="00EE5D25">
      <w:pPr>
        <w:pStyle w:val="Nadpis4"/>
        <w:spacing w:line="276" w:lineRule="auto"/>
        <w:jc w:val="left"/>
        <w:rPr>
          <w:rFonts w:cs="Arial"/>
          <w:b w:val="0"/>
          <w:bCs w:val="0"/>
          <w:sz w:val="20"/>
        </w:rPr>
      </w:pPr>
    </w:p>
    <w:p w:rsidR="006C0504" w:rsidRPr="0013649E" w:rsidRDefault="00B259D5" w:rsidP="00EE5D25">
      <w:pPr>
        <w:pStyle w:val="Nadpis4"/>
        <w:spacing w:line="276" w:lineRule="auto"/>
        <w:jc w:val="left"/>
        <w:rPr>
          <w:rFonts w:cs="Arial"/>
          <w:b w:val="0"/>
          <w:bCs w:val="0"/>
          <w:sz w:val="20"/>
        </w:rPr>
      </w:pPr>
      <w:r w:rsidRPr="0013649E">
        <w:rPr>
          <w:rFonts w:cs="Arial"/>
          <w:b w:val="0"/>
          <w:bCs w:val="0"/>
          <w:sz w:val="20"/>
        </w:rPr>
        <w:t>POUŽITÉ ZNAČKY V TABULKÁCH PUBLIKACE</w:t>
      </w:r>
      <w:r w:rsidR="0080201F" w:rsidRPr="0013649E">
        <w:rPr>
          <w:rFonts w:cs="Arial"/>
          <w:b w:val="0"/>
          <w:bCs w:val="0"/>
          <w:sz w:val="20"/>
        </w:rPr>
        <w:t>:</w:t>
      </w:r>
    </w:p>
    <w:p w:rsidR="006C0504" w:rsidRPr="0013649E" w:rsidRDefault="006C0504" w:rsidP="00CA4B13">
      <w:pPr>
        <w:numPr>
          <w:ilvl w:val="0"/>
          <w:numId w:val="8"/>
        </w:numPr>
        <w:spacing w:line="276" w:lineRule="auto"/>
        <w:ind w:left="0" w:firstLine="0"/>
        <w:rPr>
          <w:rFonts w:cs="Arial"/>
        </w:rPr>
      </w:pPr>
      <w:r w:rsidRPr="0013649E">
        <w:rPr>
          <w:rFonts w:cs="Arial"/>
        </w:rPr>
        <w:t>jev se nevyskytoval</w:t>
      </w:r>
    </w:p>
    <w:p w:rsidR="006C0504" w:rsidRPr="0013649E" w:rsidRDefault="00FA63E1" w:rsidP="00CA4B13">
      <w:pPr>
        <w:spacing w:line="276" w:lineRule="auto"/>
        <w:rPr>
          <w:rFonts w:cs="Arial"/>
        </w:rPr>
      </w:pPr>
      <w:r w:rsidRPr="0013649E">
        <w:rPr>
          <w:rFonts w:cs="Arial"/>
        </w:rPr>
        <w:t>i.</w:t>
      </w:r>
      <w:r w:rsidR="006A5981" w:rsidRPr="0013649E">
        <w:rPr>
          <w:rFonts w:cs="Arial"/>
        </w:rPr>
        <w:t xml:space="preserve"> </w:t>
      </w:r>
      <w:r w:rsidRPr="0013649E">
        <w:rPr>
          <w:rFonts w:cs="Arial"/>
        </w:rPr>
        <w:t>d.</w:t>
      </w:r>
      <w:r w:rsidR="006C0504" w:rsidRPr="0013649E">
        <w:rPr>
          <w:rFonts w:cs="Arial"/>
        </w:rPr>
        <w:tab/>
        <w:t xml:space="preserve">individuální </w:t>
      </w:r>
      <w:r w:rsidR="00B334F8" w:rsidRPr="0013649E">
        <w:rPr>
          <w:rFonts w:cs="Arial"/>
        </w:rPr>
        <w:t>(důvěrn</w:t>
      </w:r>
      <w:r w:rsidR="007F4CBE" w:rsidRPr="0013649E">
        <w:rPr>
          <w:rFonts w:cs="Arial"/>
        </w:rPr>
        <w:t>ý</w:t>
      </w:r>
      <w:r w:rsidR="00B334F8" w:rsidRPr="0013649E">
        <w:rPr>
          <w:rFonts w:cs="Arial"/>
        </w:rPr>
        <w:t xml:space="preserve">) </w:t>
      </w:r>
      <w:r w:rsidR="007F4CBE" w:rsidRPr="0013649E">
        <w:rPr>
          <w:rFonts w:cs="Arial"/>
        </w:rPr>
        <w:t>údaj</w:t>
      </w:r>
    </w:p>
    <w:p w:rsidR="00B334F8" w:rsidRPr="00454211" w:rsidRDefault="00B334F8" w:rsidP="0025568B">
      <w:pPr>
        <w:spacing w:line="276" w:lineRule="auto"/>
        <w:rPr>
          <w:rFonts w:cs="Arial"/>
        </w:rPr>
      </w:pPr>
      <w:proofErr w:type="spellStart"/>
      <w:r w:rsidRPr="0013649E">
        <w:t>i.d.s</w:t>
      </w:r>
      <w:proofErr w:type="spellEnd"/>
      <w:r w:rsidR="00446AB9" w:rsidRPr="0013649E">
        <w:tab/>
      </w:r>
      <w:proofErr w:type="gramStart"/>
      <w:r w:rsidR="007F4CBE" w:rsidRPr="0013649E">
        <w:t>údaj</w:t>
      </w:r>
      <w:proofErr w:type="gramEnd"/>
      <w:r w:rsidR="007F4CBE" w:rsidRPr="0013649E">
        <w:t>, který znemožňuje</w:t>
      </w:r>
      <w:r w:rsidR="0025568B" w:rsidRPr="0013649E">
        <w:t xml:space="preserve"> odvodit důvěrný</w:t>
      </w:r>
      <w:r w:rsidR="0025568B">
        <w:t xml:space="preserve"> údaj (sekundární ochrana)</w:t>
      </w:r>
    </w:p>
    <w:sectPr w:rsidR="00B334F8" w:rsidRPr="00454211" w:rsidSect="00CA4B13">
      <w:footerReference w:type="even" r:id="rId9"/>
      <w:footerReference w:type="default" r:id="rId10"/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A7" w:rsidRDefault="007C0FA7">
      <w:r>
        <w:separator/>
      </w:r>
    </w:p>
  </w:endnote>
  <w:endnote w:type="continuationSeparator" w:id="0">
    <w:p w:rsidR="007C0FA7" w:rsidRDefault="007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5B" w:rsidRDefault="006D16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D165B" w:rsidRDefault="006D16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5B" w:rsidRDefault="006D165B">
    <w:pPr>
      <w:pStyle w:val="Zpat"/>
      <w:framePr w:wrap="around" w:vAnchor="text" w:hAnchor="margin" w:xAlign="center" w:y="1"/>
      <w:rPr>
        <w:rStyle w:val="slostrnky"/>
      </w:rPr>
    </w:pPr>
  </w:p>
  <w:p w:rsidR="006D165B" w:rsidRDefault="006D16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A7" w:rsidRDefault="007C0FA7">
      <w:r>
        <w:separator/>
      </w:r>
    </w:p>
  </w:footnote>
  <w:footnote w:type="continuationSeparator" w:id="0">
    <w:p w:rsidR="007C0FA7" w:rsidRDefault="007C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048E"/>
    <w:multiLevelType w:val="hybridMultilevel"/>
    <w:tmpl w:val="1A3CDBD4"/>
    <w:lvl w:ilvl="0" w:tplc="B10823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4AE1"/>
    <w:multiLevelType w:val="hybridMultilevel"/>
    <w:tmpl w:val="3FC4C46A"/>
    <w:lvl w:ilvl="0" w:tplc="6AE2CA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6204A"/>
    <w:multiLevelType w:val="hybridMultilevel"/>
    <w:tmpl w:val="B0D44A08"/>
    <w:lvl w:ilvl="0" w:tplc="BF361F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01EC9"/>
    <w:multiLevelType w:val="hybridMultilevel"/>
    <w:tmpl w:val="9AD09792"/>
    <w:lvl w:ilvl="0" w:tplc="867843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C4DA4"/>
    <w:multiLevelType w:val="hybridMultilevel"/>
    <w:tmpl w:val="82465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A4E48"/>
    <w:multiLevelType w:val="hybridMultilevel"/>
    <w:tmpl w:val="F00A5290"/>
    <w:lvl w:ilvl="0" w:tplc="B96861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A6C57BA"/>
    <w:multiLevelType w:val="hybridMultilevel"/>
    <w:tmpl w:val="391C4B7A"/>
    <w:lvl w:ilvl="0" w:tplc="2B1C36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5EF"/>
    <w:rsid w:val="00012646"/>
    <w:rsid w:val="00052B73"/>
    <w:rsid w:val="000624E2"/>
    <w:rsid w:val="00067FE1"/>
    <w:rsid w:val="0008000E"/>
    <w:rsid w:val="00096010"/>
    <w:rsid w:val="000A2DF7"/>
    <w:rsid w:val="000A77D2"/>
    <w:rsid w:val="000C09B1"/>
    <w:rsid w:val="000C4F09"/>
    <w:rsid w:val="000E0C2A"/>
    <w:rsid w:val="001309B3"/>
    <w:rsid w:val="0013649E"/>
    <w:rsid w:val="00166DCF"/>
    <w:rsid w:val="00187B0A"/>
    <w:rsid w:val="001A0637"/>
    <w:rsid w:val="001E6662"/>
    <w:rsid w:val="0022164C"/>
    <w:rsid w:val="0025568B"/>
    <w:rsid w:val="00256B19"/>
    <w:rsid w:val="00267B60"/>
    <w:rsid w:val="00286E60"/>
    <w:rsid w:val="002A2456"/>
    <w:rsid w:val="002A4C4E"/>
    <w:rsid w:val="002B3C42"/>
    <w:rsid w:val="002C3465"/>
    <w:rsid w:val="002E1462"/>
    <w:rsid w:val="002F7040"/>
    <w:rsid w:val="00383488"/>
    <w:rsid w:val="00385A01"/>
    <w:rsid w:val="00397ED8"/>
    <w:rsid w:val="003C2BB4"/>
    <w:rsid w:val="003E1DCC"/>
    <w:rsid w:val="00400CFE"/>
    <w:rsid w:val="00410D00"/>
    <w:rsid w:val="00414604"/>
    <w:rsid w:val="00416CFF"/>
    <w:rsid w:val="00444F71"/>
    <w:rsid w:val="00446AB9"/>
    <w:rsid w:val="004516E1"/>
    <w:rsid w:val="00454211"/>
    <w:rsid w:val="004543CA"/>
    <w:rsid w:val="0047049E"/>
    <w:rsid w:val="0047246F"/>
    <w:rsid w:val="00476976"/>
    <w:rsid w:val="004C0C30"/>
    <w:rsid w:val="004D7766"/>
    <w:rsid w:val="004E3973"/>
    <w:rsid w:val="004E5FAA"/>
    <w:rsid w:val="004F6979"/>
    <w:rsid w:val="00545A96"/>
    <w:rsid w:val="005530FF"/>
    <w:rsid w:val="00553AE7"/>
    <w:rsid w:val="00586E44"/>
    <w:rsid w:val="005962F7"/>
    <w:rsid w:val="005A22DE"/>
    <w:rsid w:val="005B7B48"/>
    <w:rsid w:val="005C38AE"/>
    <w:rsid w:val="005D72E1"/>
    <w:rsid w:val="005E4B64"/>
    <w:rsid w:val="005F1DB0"/>
    <w:rsid w:val="005F5EC2"/>
    <w:rsid w:val="005F6CB5"/>
    <w:rsid w:val="00604B22"/>
    <w:rsid w:val="00633827"/>
    <w:rsid w:val="00645545"/>
    <w:rsid w:val="00664938"/>
    <w:rsid w:val="006672B4"/>
    <w:rsid w:val="006A5009"/>
    <w:rsid w:val="006A5981"/>
    <w:rsid w:val="006B6F72"/>
    <w:rsid w:val="006C0504"/>
    <w:rsid w:val="006D165B"/>
    <w:rsid w:val="006D42D2"/>
    <w:rsid w:val="00701172"/>
    <w:rsid w:val="007125D2"/>
    <w:rsid w:val="007224B9"/>
    <w:rsid w:val="007405D9"/>
    <w:rsid w:val="00743DFC"/>
    <w:rsid w:val="007470C5"/>
    <w:rsid w:val="00757F02"/>
    <w:rsid w:val="007633D8"/>
    <w:rsid w:val="00767F00"/>
    <w:rsid w:val="00794E37"/>
    <w:rsid w:val="00797640"/>
    <w:rsid w:val="007B1213"/>
    <w:rsid w:val="007B6A06"/>
    <w:rsid w:val="007C0FA7"/>
    <w:rsid w:val="007C3D12"/>
    <w:rsid w:val="007C3E32"/>
    <w:rsid w:val="007E0794"/>
    <w:rsid w:val="007F39DB"/>
    <w:rsid w:val="007F4CBE"/>
    <w:rsid w:val="0080201F"/>
    <w:rsid w:val="008122EF"/>
    <w:rsid w:val="008456C0"/>
    <w:rsid w:val="0085178F"/>
    <w:rsid w:val="008B3C39"/>
    <w:rsid w:val="008B5864"/>
    <w:rsid w:val="008D1917"/>
    <w:rsid w:val="008D4566"/>
    <w:rsid w:val="008E01F2"/>
    <w:rsid w:val="008F0F52"/>
    <w:rsid w:val="009029D8"/>
    <w:rsid w:val="00926146"/>
    <w:rsid w:val="00947E36"/>
    <w:rsid w:val="00950CB1"/>
    <w:rsid w:val="009560BB"/>
    <w:rsid w:val="00960BE5"/>
    <w:rsid w:val="0097041A"/>
    <w:rsid w:val="0097487A"/>
    <w:rsid w:val="009C7BBF"/>
    <w:rsid w:val="009D6333"/>
    <w:rsid w:val="009D76BC"/>
    <w:rsid w:val="00A102C2"/>
    <w:rsid w:val="00A11D84"/>
    <w:rsid w:val="00A32D3F"/>
    <w:rsid w:val="00A90A02"/>
    <w:rsid w:val="00A91F21"/>
    <w:rsid w:val="00A96D34"/>
    <w:rsid w:val="00A97039"/>
    <w:rsid w:val="00AA5321"/>
    <w:rsid w:val="00AC4A7E"/>
    <w:rsid w:val="00AD70B0"/>
    <w:rsid w:val="00B10795"/>
    <w:rsid w:val="00B1386C"/>
    <w:rsid w:val="00B223FD"/>
    <w:rsid w:val="00B2322B"/>
    <w:rsid w:val="00B259D5"/>
    <w:rsid w:val="00B334F8"/>
    <w:rsid w:val="00B34D9A"/>
    <w:rsid w:val="00B44875"/>
    <w:rsid w:val="00B45DB3"/>
    <w:rsid w:val="00B616AD"/>
    <w:rsid w:val="00B84163"/>
    <w:rsid w:val="00B86E24"/>
    <w:rsid w:val="00BB18DB"/>
    <w:rsid w:val="00C01172"/>
    <w:rsid w:val="00C04FE2"/>
    <w:rsid w:val="00C10D45"/>
    <w:rsid w:val="00C17BD0"/>
    <w:rsid w:val="00C24094"/>
    <w:rsid w:val="00C264FB"/>
    <w:rsid w:val="00C50179"/>
    <w:rsid w:val="00C55E50"/>
    <w:rsid w:val="00C610A7"/>
    <w:rsid w:val="00C64646"/>
    <w:rsid w:val="00C905EF"/>
    <w:rsid w:val="00C91E14"/>
    <w:rsid w:val="00C9779E"/>
    <w:rsid w:val="00CA488B"/>
    <w:rsid w:val="00CA4B13"/>
    <w:rsid w:val="00CC16D1"/>
    <w:rsid w:val="00CD3688"/>
    <w:rsid w:val="00CE248E"/>
    <w:rsid w:val="00CE322F"/>
    <w:rsid w:val="00CE5B9A"/>
    <w:rsid w:val="00D14F78"/>
    <w:rsid w:val="00D42D81"/>
    <w:rsid w:val="00D55DD2"/>
    <w:rsid w:val="00D62322"/>
    <w:rsid w:val="00D668CA"/>
    <w:rsid w:val="00DF4A68"/>
    <w:rsid w:val="00E50A48"/>
    <w:rsid w:val="00E538C2"/>
    <w:rsid w:val="00E66A2E"/>
    <w:rsid w:val="00E914DF"/>
    <w:rsid w:val="00E97082"/>
    <w:rsid w:val="00EA600D"/>
    <w:rsid w:val="00EA781D"/>
    <w:rsid w:val="00EE5D25"/>
    <w:rsid w:val="00F0350F"/>
    <w:rsid w:val="00F27861"/>
    <w:rsid w:val="00F75C59"/>
    <w:rsid w:val="00FA63E1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after="120"/>
      <w:jc w:val="center"/>
      <w:outlineLvl w:val="3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pPr>
      <w:numPr>
        <w:numId w:val="3"/>
      </w:numPr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semiHidden/>
    <w:pPr>
      <w:spacing w:line="360" w:lineRule="auto"/>
      <w:ind w:firstLine="709"/>
    </w:pPr>
    <w:rPr>
      <w:rFonts w:cs="Arial"/>
      <w:sz w:val="24"/>
    </w:rPr>
  </w:style>
  <w:style w:type="paragraph" w:styleId="Zkladntextodsazen">
    <w:name w:val="Body Text Indent"/>
    <w:basedOn w:val="Normln"/>
    <w:semiHidden/>
    <w:pPr>
      <w:ind w:firstLine="708"/>
    </w:pPr>
    <w:rPr>
      <w:rFonts w:ascii="Times New Roman" w:hAnsi="Times New Roman"/>
      <w:sz w:val="24"/>
    </w:rPr>
  </w:style>
  <w:style w:type="paragraph" w:styleId="Zkladntext">
    <w:name w:val="Body Text"/>
    <w:basedOn w:val="Normln"/>
    <w:semiHidden/>
  </w:style>
  <w:style w:type="paragraph" w:styleId="Zkladntext2">
    <w:name w:val="Body Text 2"/>
    <w:basedOn w:val="Normln"/>
    <w:semiHidden/>
    <w:pPr>
      <w:jc w:val="left"/>
    </w:pPr>
    <w:rPr>
      <w:rFonts w:ascii="Times New Roman" w:hAnsi="Times New Roman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B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5B9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9560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C97E-35C7-4B58-BC34-F8788284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Metodika</vt:lpstr>
    </vt:vector>
  </TitlesOfParts>
  <Company>CSU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</dc:title>
  <dc:creator>system service</dc:creator>
  <cp:lastModifiedBy>Dagmar Lhotská</cp:lastModifiedBy>
  <cp:revision>4</cp:revision>
  <cp:lastPrinted>2016-09-29T06:37:00Z</cp:lastPrinted>
  <dcterms:created xsi:type="dcterms:W3CDTF">2016-10-04T11:38:00Z</dcterms:created>
  <dcterms:modified xsi:type="dcterms:W3CDTF">2016-10-05T09:35:00Z</dcterms:modified>
</cp:coreProperties>
</file>