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C2EC1" w14:textId="46BE6B31" w:rsidR="00CC0AEA" w:rsidRPr="009110F7" w:rsidRDefault="00CC0AEA" w:rsidP="00CC0AEA">
      <w:pPr>
        <w:pStyle w:val="Nadpis11"/>
      </w:pPr>
      <w:bookmarkStart w:id="0" w:name="_Toc532558284"/>
      <w:bookmarkStart w:id="1" w:name="_Toc26539341"/>
      <w:bookmarkStart w:id="2" w:name="_Toc11237634"/>
      <w:bookmarkStart w:id="3" w:name="_Toc58605374"/>
      <w:r>
        <w:t>4</w:t>
      </w:r>
      <w:r w:rsidRPr="009110F7">
        <w:t>.</w:t>
      </w:r>
      <w:r>
        <w:t> </w:t>
      </w:r>
      <w:r w:rsidRPr="009110F7">
        <w:t>Vnější vztahy</w:t>
      </w:r>
      <w:bookmarkEnd w:id="3"/>
    </w:p>
    <w:tbl>
      <w:tblPr>
        <w:tblW w:w="9639" w:type="dxa"/>
        <w:tblInd w:w="-15" w:type="dxa"/>
        <w:tblCellMar>
          <w:left w:w="0" w:type="dxa"/>
          <w:right w:w="0" w:type="dxa"/>
        </w:tblCellMar>
        <w:tblLook w:val="00A0" w:firstRow="1" w:lastRow="0" w:firstColumn="1" w:lastColumn="0" w:noHBand="0" w:noVBand="0"/>
      </w:tblPr>
      <w:tblGrid>
        <w:gridCol w:w="1762"/>
        <w:gridCol w:w="223"/>
        <w:gridCol w:w="7654"/>
      </w:tblGrid>
      <w:tr w:rsidR="00CC0AEA" w:rsidRPr="009110F7" w14:paraId="169C349D" w14:textId="77777777" w:rsidTr="00361FB7">
        <w:trPr>
          <w:trHeight w:val="145"/>
        </w:trPr>
        <w:tc>
          <w:tcPr>
            <w:tcW w:w="1762" w:type="dxa"/>
            <w:shd w:val="clear" w:color="auto" w:fill="auto"/>
            <w:tcMar>
              <w:left w:w="0" w:type="dxa"/>
            </w:tcMar>
          </w:tcPr>
          <w:p w14:paraId="3E3AA0AB" w14:textId="77777777" w:rsidR="00CC0AEA" w:rsidRDefault="00CC0AEA" w:rsidP="00361FB7">
            <w:pPr>
              <w:pStyle w:val="Marginlie"/>
            </w:pPr>
            <w:r>
              <w:t>Po hlubokém propadu z 2. kvartálu se ve 3. čtvrtletí hodnota exportu přiblížila úrovni loňského roku.</w:t>
            </w:r>
          </w:p>
        </w:tc>
        <w:tc>
          <w:tcPr>
            <w:tcW w:w="223" w:type="dxa"/>
            <w:shd w:val="clear" w:color="auto" w:fill="auto"/>
            <w:tcMar>
              <w:left w:w="0" w:type="dxa"/>
            </w:tcMar>
          </w:tcPr>
          <w:p w14:paraId="6A329204" w14:textId="77777777" w:rsidR="00CC0AEA" w:rsidRDefault="00CC0AEA" w:rsidP="00361FB7">
            <w:pPr>
              <w:pStyle w:val="Textpoznpodarou"/>
              <w:jc w:val="both"/>
              <w:rPr>
                <w:spacing w:val="-4"/>
              </w:rPr>
            </w:pPr>
          </w:p>
        </w:tc>
        <w:tc>
          <w:tcPr>
            <w:tcW w:w="7654" w:type="dxa"/>
            <w:shd w:val="clear" w:color="auto" w:fill="auto"/>
            <w:tcMar>
              <w:left w:w="0" w:type="dxa"/>
            </w:tcMar>
          </w:tcPr>
          <w:p w14:paraId="311891C0" w14:textId="77777777" w:rsidR="00CC0AEA" w:rsidRPr="00AF6F98" w:rsidRDefault="00CC0AEA" w:rsidP="00361FB7">
            <w:pPr>
              <w:spacing w:after="200"/>
              <w:rPr>
                <w:spacing w:val="-4"/>
              </w:rPr>
            </w:pPr>
            <w:r>
              <w:rPr>
                <w:spacing w:val="-4"/>
              </w:rPr>
              <w:t>Celková hodnota vývozu zboží v 1. až 3. čtvrtletí 2020 dosáhla 2 511,0 mld. korun a oproti stejnému období minulého roku se snížila o 263,6 mld. (–9,5 %). To je největší propad za první 3 kvartály od krizového roku 2009</w:t>
            </w:r>
            <w:r>
              <w:rPr>
                <w:rStyle w:val="Znakapoznpodarou"/>
                <w:spacing w:val="-4"/>
              </w:rPr>
              <w:footnoteReference w:id="1"/>
            </w:r>
            <w:r>
              <w:rPr>
                <w:spacing w:val="-4"/>
              </w:rPr>
              <w:t>. Naprostá většina z tohoto poklesu připadá na 2. čtvrtletí, během kterého se odehrál nejhlubší hospodářský propad v historii ČR. Nestandardní okolnosti jarního propadu ale znamenaly rychlý návrat k předchozí intenzitě vývozu. Ve 3. čtvrtletí hodnota vývozu činila 884,9 mld. korun a vývozcům se podařilo meziroční pokles zredukovat na 10,2 mld. (–1,1 %), což je například méně než pokles ve 4. kvartálu 2019, kdy zpomalení průmyslu v Evropě mělo nepříznivé dopady i na český vývoz.</w:t>
            </w:r>
          </w:p>
        </w:tc>
      </w:tr>
      <w:tr w:rsidR="00CC0AEA" w:rsidRPr="009110F7" w14:paraId="36126C5D" w14:textId="77777777" w:rsidTr="00361FB7">
        <w:trPr>
          <w:trHeight w:val="145"/>
        </w:trPr>
        <w:tc>
          <w:tcPr>
            <w:tcW w:w="1762" w:type="dxa"/>
            <w:shd w:val="clear" w:color="auto" w:fill="auto"/>
            <w:tcMar>
              <w:left w:w="0" w:type="dxa"/>
            </w:tcMar>
          </w:tcPr>
          <w:p w14:paraId="019B37EA" w14:textId="77777777" w:rsidR="00CC0AEA" w:rsidRDefault="00CC0AEA" w:rsidP="00361FB7">
            <w:pPr>
              <w:pStyle w:val="Marginlie"/>
            </w:pPr>
            <w:r>
              <w:t>Zlepšil se hlavně vývoz do zemí EU.</w:t>
            </w:r>
          </w:p>
        </w:tc>
        <w:tc>
          <w:tcPr>
            <w:tcW w:w="223" w:type="dxa"/>
            <w:shd w:val="clear" w:color="auto" w:fill="auto"/>
            <w:tcMar>
              <w:left w:w="0" w:type="dxa"/>
            </w:tcMar>
          </w:tcPr>
          <w:p w14:paraId="3ABCCD6C" w14:textId="77777777" w:rsidR="00CC0AEA" w:rsidRDefault="00CC0AEA" w:rsidP="00361FB7">
            <w:pPr>
              <w:pStyle w:val="Textpoznpodarou"/>
              <w:jc w:val="both"/>
              <w:rPr>
                <w:spacing w:val="-4"/>
              </w:rPr>
            </w:pPr>
          </w:p>
        </w:tc>
        <w:tc>
          <w:tcPr>
            <w:tcW w:w="7654" w:type="dxa"/>
            <w:shd w:val="clear" w:color="auto" w:fill="auto"/>
            <w:tcMar>
              <w:left w:w="0" w:type="dxa"/>
            </w:tcMar>
          </w:tcPr>
          <w:p w14:paraId="782171AA" w14:textId="7C854E99" w:rsidR="00CC0AEA" w:rsidRPr="00AF6F98" w:rsidRDefault="00CC0AEA" w:rsidP="00361FB7">
            <w:pPr>
              <w:spacing w:after="200"/>
              <w:rPr>
                <w:spacing w:val="-4"/>
              </w:rPr>
            </w:pPr>
            <w:r>
              <w:rPr>
                <w:spacing w:val="-4"/>
              </w:rPr>
              <w:t xml:space="preserve">Většina z propadu vývozu v 1. až 3. čtvrtletí připadla na obchod s Evropskou unií </w:t>
            </w:r>
            <w:r>
              <w:rPr>
                <w:spacing w:val="-4"/>
              </w:rPr>
              <w:br/>
              <w:t xml:space="preserve">(–213,9 mld. korun, –9,7 %). Z toho nejvíce klesla hodnota exportu do Německa </w:t>
            </w:r>
            <w:r>
              <w:rPr>
                <w:spacing w:val="-4"/>
              </w:rPr>
              <w:br/>
              <w:t>(–80,3 mld., –9,2 %), Španělska (–28,7 mld., –30,3 %) a Francie (–27,1 mld., –19,0 %). Z </w:t>
            </w:r>
            <w:proofErr w:type="spellStart"/>
            <w:r>
              <w:rPr>
                <w:spacing w:val="-4"/>
              </w:rPr>
              <w:t>mimounijních</w:t>
            </w:r>
            <w:proofErr w:type="spellEnd"/>
            <w:r>
              <w:rPr>
                <w:spacing w:val="-4"/>
              </w:rPr>
              <w:t xml:space="preserve"> zemí byl v tomto období obzvlášť významný pokles exportu do Velké Británie (–21,0 mld., –17,9 %). Samotné 3. čtvrtletí přineslo rychlé oživení zahraničního obchodu v celé Unii. Vývoz do EU meziročně zaostával o 4,2 mld. korun, export mimo Unii byl o 5,4 mld. nižší. V rámci EU se nejvíce zvýšil vývoz do Polska (+3,8 mld. korun, 6,6 %), Nizozemska (+2,8 mld., 9,6 %) a Rumunska (+1,5 mld., 10,5 %). Mírně meziročně klesl export</w:t>
            </w:r>
            <w:r w:rsidR="0092036B">
              <w:rPr>
                <w:spacing w:val="-4"/>
              </w:rPr>
              <w:t xml:space="preserve"> </w:t>
            </w:r>
            <w:r>
              <w:rPr>
                <w:spacing w:val="-4"/>
              </w:rPr>
              <w:t>do</w:t>
            </w:r>
            <w:r w:rsidR="0092036B">
              <w:rPr>
                <w:spacing w:val="-4"/>
              </w:rPr>
              <w:t xml:space="preserve"> </w:t>
            </w:r>
            <w:r>
              <w:rPr>
                <w:spacing w:val="-4"/>
              </w:rPr>
              <w:t>Německa</w:t>
            </w:r>
            <w:r w:rsidR="0092036B">
              <w:rPr>
                <w:spacing w:val="-4"/>
              </w:rPr>
              <w:t xml:space="preserve"> </w:t>
            </w:r>
            <w:r>
              <w:rPr>
                <w:spacing w:val="-4"/>
              </w:rPr>
              <w:t>(–1,3</w:t>
            </w:r>
            <w:r w:rsidR="0092036B">
              <w:rPr>
                <w:spacing w:val="-4"/>
              </w:rPr>
              <w:t xml:space="preserve"> </w:t>
            </w:r>
            <w:r>
              <w:rPr>
                <w:spacing w:val="-4"/>
              </w:rPr>
              <w:t>mld.</w:t>
            </w:r>
            <w:r w:rsidR="0092036B">
              <w:rPr>
                <w:spacing w:val="-4"/>
              </w:rPr>
              <w:t xml:space="preserve"> </w:t>
            </w:r>
            <w:r>
              <w:rPr>
                <w:spacing w:val="-4"/>
              </w:rPr>
              <w:t>korun,</w:t>
            </w:r>
            <w:r w:rsidR="0092036B">
              <w:rPr>
                <w:spacing w:val="-4"/>
              </w:rPr>
              <w:t xml:space="preserve"> </w:t>
            </w:r>
            <w:r>
              <w:rPr>
                <w:spacing w:val="-4"/>
              </w:rPr>
              <w:t>–0,5</w:t>
            </w:r>
            <w:r w:rsidR="0092036B">
              <w:rPr>
                <w:spacing w:val="-4"/>
              </w:rPr>
              <w:t xml:space="preserve"> </w:t>
            </w:r>
            <w:r>
              <w:rPr>
                <w:spacing w:val="-4"/>
              </w:rPr>
              <w:t>%),</w:t>
            </w:r>
            <w:r w:rsidR="0092036B">
              <w:rPr>
                <w:spacing w:val="-4"/>
              </w:rPr>
              <w:t xml:space="preserve"> Itálie (–1,2 mld., –3,8 %) a </w:t>
            </w:r>
            <w:r>
              <w:rPr>
                <w:spacing w:val="-4"/>
              </w:rPr>
              <w:t>Rakouska (</w:t>
            </w:r>
            <w:r w:rsidR="00CC5BE8">
              <w:rPr>
                <w:spacing w:val="-4"/>
              </w:rPr>
              <w:noBreakHyphen/>
            </w:r>
            <w:r>
              <w:rPr>
                <w:spacing w:val="-4"/>
              </w:rPr>
              <w:t>1,</w:t>
            </w:r>
            <w:r w:rsidR="0092036B">
              <w:rPr>
                <w:spacing w:val="-4"/>
              </w:rPr>
              <w:t>0 </w:t>
            </w:r>
            <w:r>
              <w:rPr>
                <w:spacing w:val="-4"/>
              </w:rPr>
              <w:t>mld., –2,7</w:t>
            </w:r>
            <w:r w:rsidR="0092036B">
              <w:rPr>
                <w:spacing w:val="-4"/>
              </w:rPr>
              <w:t xml:space="preserve"> </w:t>
            </w:r>
            <w:r>
              <w:rPr>
                <w:spacing w:val="-4"/>
              </w:rPr>
              <w:t>%). Výraznější pokles zaznamenal export do Francie (–3,1 mld., –7,0 %). Meziroční propad hodnoty vývozu mimo EU tlumilo navýšení exportu do Turecka (+5,1 mld., 64,5 %) i Ruska (+1,7 mld., 7,7 %). Naopak vývoz do Velké Británie meziročně klesl o 2,1 mld. korun (–5,6 %).</w:t>
            </w:r>
          </w:p>
        </w:tc>
      </w:tr>
      <w:tr w:rsidR="00CC0AEA" w:rsidRPr="009110F7" w14:paraId="727C8F47" w14:textId="77777777" w:rsidTr="00361FB7">
        <w:trPr>
          <w:trHeight w:val="170"/>
        </w:trPr>
        <w:tc>
          <w:tcPr>
            <w:tcW w:w="1762" w:type="dxa"/>
            <w:shd w:val="clear" w:color="auto" w:fill="auto"/>
            <w:tcMar>
              <w:left w:w="0" w:type="dxa"/>
            </w:tcMar>
          </w:tcPr>
          <w:p w14:paraId="7BD3EAF2" w14:textId="77777777" w:rsidR="00CC0AEA" w:rsidRDefault="00CC0AEA" w:rsidP="00361FB7">
            <w:pPr>
              <w:pStyle w:val="Marginlie"/>
            </w:pPr>
            <w:r>
              <w:t>Vývoz motorových vozidel, který byl krizí ve 2. čtvrtletí nejvíce zasažen, ve 3. čtvrtletí jen drobně meziročně klesl.</w:t>
            </w:r>
          </w:p>
        </w:tc>
        <w:tc>
          <w:tcPr>
            <w:tcW w:w="223" w:type="dxa"/>
            <w:shd w:val="clear" w:color="auto" w:fill="auto"/>
            <w:tcMar>
              <w:left w:w="0" w:type="dxa"/>
            </w:tcMar>
          </w:tcPr>
          <w:p w14:paraId="0BE94AD7" w14:textId="77777777" w:rsidR="00CC0AEA" w:rsidRDefault="00CC0AEA" w:rsidP="00361FB7">
            <w:pPr>
              <w:pStyle w:val="Textpoznpodarou"/>
              <w:jc w:val="both"/>
              <w:rPr>
                <w:spacing w:val="-4"/>
              </w:rPr>
            </w:pPr>
          </w:p>
        </w:tc>
        <w:tc>
          <w:tcPr>
            <w:tcW w:w="7654" w:type="dxa"/>
            <w:shd w:val="clear" w:color="auto" w:fill="auto"/>
            <w:tcMar>
              <w:left w:w="0" w:type="dxa"/>
            </w:tcMar>
          </w:tcPr>
          <w:p w14:paraId="0FE8D693" w14:textId="77777777" w:rsidR="00CC0AEA" w:rsidRPr="00AF6F98" w:rsidRDefault="00CC0AEA" w:rsidP="00361FB7">
            <w:pPr>
              <w:spacing w:after="200"/>
              <w:rPr>
                <w:spacing w:val="-4"/>
              </w:rPr>
            </w:pPr>
            <w:r>
              <w:rPr>
                <w:spacing w:val="-4"/>
              </w:rPr>
              <w:t xml:space="preserve">Za 1. až 3. čtvrtletí se meziročně nejvíce propadl vývoz motorových vozidel (–135,7 mld. korun, –17,6 %), strojů a zařízení (–35,2 mld., –11,3 %) a kovodělných výrobků (–16,5 mld., –9,5 %). Naopak meziročně vyšší byl export počítačů, elektronických a optických přístrojů (+6,2 mld. korun, 2,2 %) či potravinářských výrobků (+4,5 mld., 5,4 %). Ve 3. čtvrtletí se mnohým odvětvím dařilo úroveň loňského roku alespoň částečně dohánět. Meziročně vzrostl zejména vývoz počítačů, elektronických a optických přístrojů (+8,4 mld. korun, 9,2 %), potravinářských výrobků (+1,8 mld., 6,3 %) a ostatních výrobků zpracovatelského průmyslu (+1,4 mld., 6,5 %). Důležitý je návrat exportu motorových vozidel blízko k úrovni loňského roku (–2,4 mld. korun, –1,0 %), podobně také elektrických zařízení (+0,2 mld., 0,2 %) a pryžových a plastových výrobků (–0,5 mld., –1,0 %). Výrazný meziroční pokles se udržel u strojů a zařízení (–4,7 mld. korun, –4,8 %), kovodělných výrobků (–3,4 mld., </w:t>
            </w:r>
            <w:r>
              <w:rPr>
                <w:spacing w:val="-4"/>
              </w:rPr>
              <w:br/>
              <w:t xml:space="preserve">–6,0 %), koksu a rafinovaných ropných výrobků (–3,4 mld., –33,1 %) a základních kovů </w:t>
            </w:r>
            <w:r>
              <w:rPr>
                <w:spacing w:val="-4"/>
              </w:rPr>
              <w:br/>
              <w:t>(–2,9 mld., –8,9 %).</w:t>
            </w:r>
          </w:p>
        </w:tc>
      </w:tr>
      <w:tr w:rsidR="00CC0AEA" w:rsidRPr="009110F7" w14:paraId="7D577A9B" w14:textId="77777777" w:rsidTr="00361FB7">
        <w:trPr>
          <w:trHeight w:val="145"/>
        </w:trPr>
        <w:tc>
          <w:tcPr>
            <w:tcW w:w="1762" w:type="dxa"/>
            <w:shd w:val="clear" w:color="auto" w:fill="auto"/>
            <w:tcMar>
              <w:left w:w="0" w:type="dxa"/>
            </w:tcMar>
          </w:tcPr>
          <w:p w14:paraId="2F919ABE" w14:textId="77777777" w:rsidR="00CC0AEA" w:rsidRDefault="00CC0AEA" w:rsidP="00361FB7">
            <w:pPr>
              <w:pStyle w:val="Marginlie"/>
            </w:pPr>
            <w:r>
              <w:t>Dynamika dovozu za vývozem zaostávala.</w:t>
            </w:r>
          </w:p>
        </w:tc>
        <w:tc>
          <w:tcPr>
            <w:tcW w:w="223" w:type="dxa"/>
            <w:shd w:val="clear" w:color="auto" w:fill="auto"/>
            <w:tcMar>
              <w:left w:w="0" w:type="dxa"/>
            </w:tcMar>
          </w:tcPr>
          <w:p w14:paraId="7FEA3FEA" w14:textId="77777777" w:rsidR="00CC0AEA" w:rsidRDefault="00CC0AEA" w:rsidP="00361FB7">
            <w:pPr>
              <w:pStyle w:val="Textpoznpodarou"/>
              <w:jc w:val="both"/>
              <w:rPr>
                <w:spacing w:val="-4"/>
              </w:rPr>
            </w:pPr>
          </w:p>
        </w:tc>
        <w:tc>
          <w:tcPr>
            <w:tcW w:w="7654" w:type="dxa"/>
            <w:shd w:val="clear" w:color="auto" w:fill="auto"/>
            <w:tcMar>
              <w:left w:w="0" w:type="dxa"/>
            </w:tcMar>
          </w:tcPr>
          <w:p w14:paraId="58A2EC7E" w14:textId="77777777" w:rsidR="00CC0AEA" w:rsidRPr="00AF6F98" w:rsidRDefault="00CC0AEA" w:rsidP="00361FB7">
            <w:pPr>
              <w:rPr>
                <w:spacing w:val="-4"/>
              </w:rPr>
            </w:pPr>
            <w:r>
              <w:rPr>
                <w:spacing w:val="-4"/>
              </w:rPr>
              <w:t xml:space="preserve">Celková hodnota dovozu zboží v 1. až 3. kvartálu činila 2 402,3 mld. korun. Meziroční pokles dovozu dosáhl 239,6 mld. (–9,1 %). Také import se extrémně propadl ve 2. čtvrtletí, z velké části kvůli oslabené poptávce výrobců, kteří importovaný materiál potřebují ke své produkci. Ve 3. čtvrtletí dovoz dosáhl 825,2 mld. korun. Za úrovní loňského roku import zaostával výrazněji než export (–42,4 mld., –4,9 %). V kumulaci od počátku roku meziročně klesl zejména dovoz z EU (–181,3 mld. korun, –10,6 %). Nejvíce to bylo z Německa </w:t>
            </w:r>
            <w:r>
              <w:rPr>
                <w:spacing w:val="-4"/>
              </w:rPr>
              <w:br/>
              <w:t>(–94,0 mld., –13,7 %), Slovenska (–14,6 mld., –11,3 %) a Polska (–13,0 mld., –5,9 %). Naopak se zvýšil dovoz z Nizozemska (+1,7 mld., 2,6 %). Propad dovozu z </w:t>
            </w:r>
            <w:proofErr w:type="spellStart"/>
            <w:r>
              <w:rPr>
                <w:spacing w:val="-4"/>
              </w:rPr>
              <w:t>mimounijních</w:t>
            </w:r>
            <w:proofErr w:type="spellEnd"/>
            <w:r>
              <w:rPr>
                <w:spacing w:val="-4"/>
              </w:rPr>
              <w:t xml:space="preserve"> zemí činil 55,6 mld. korun (–6,1 %). Na jedné straně se odehrál pokles dovozu z Ruska o 36,2 mld. (–42,8 %, hlavně kvůli propadu cen ropy a zemního plynu). Silně se naopak zvýšil nárůst importu z Číny (+29,6 mld., 10,8 %). V samotném 3. čtvrtletí meziroční poklesy u mnoha zemí přetrvaly. Dovoz z Německa zaostával za loňským rokem o 16,6 mld. korun </w:t>
            </w:r>
            <w:r>
              <w:rPr>
                <w:spacing w:val="-4"/>
              </w:rPr>
              <w:lastRenderedPageBreak/>
              <w:t xml:space="preserve">(–7,4 %), z Ruska o 10,5 mld. (–37,7 %), velký pokles měla také Jižní Korea (–6,4 mld., </w:t>
            </w:r>
            <w:r>
              <w:rPr>
                <w:spacing w:val="-4"/>
              </w:rPr>
              <w:br/>
              <w:t>–30,4 %). Nejvíce se ve 3. čtvrtletí meziročně zvýšil import z Číny (+8,2 mld. korun, 8,4 %), Maďarska (+3,5 mld., 16,7 %) a Nizozemska (+1,6 mld., 7,2 %).</w:t>
            </w:r>
          </w:p>
        </w:tc>
      </w:tr>
      <w:tr w:rsidR="00CC0AEA" w:rsidRPr="009110F7" w14:paraId="05AB9B6B" w14:textId="77777777" w:rsidTr="00361FB7">
        <w:trPr>
          <w:trHeight w:val="145"/>
        </w:trPr>
        <w:tc>
          <w:tcPr>
            <w:tcW w:w="1762" w:type="dxa"/>
            <w:shd w:val="clear" w:color="auto" w:fill="auto"/>
            <w:tcMar>
              <w:left w:w="0" w:type="dxa"/>
            </w:tcMar>
          </w:tcPr>
          <w:p w14:paraId="20078E89" w14:textId="77777777" w:rsidR="00CC0AEA" w:rsidRDefault="00CC0AEA" w:rsidP="00361FB7">
            <w:pPr>
              <w:pStyle w:val="Marginlie"/>
            </w:pPr>
            <w:r>
              <w:lastRenderedPageBreak/>
              <w:t>Vývoj dovozu silně ovlivňovaly ceny ropy a zemního plynu.</w:t>
            </w:r>
          </w:p>
        </w:tc>
        <w:tc>
          <w:tcPr>
            <w:tcW w:w="223" w:type="dxa"/>
            <w:shd w:val="clear" w:color="auto" w:fill="auto"/>
            <w:tcMar>
              <w:left w:w="0" w:type="dxa"/>
            </w:tcMar>
          </w:tcPr>
          <w:p w14:paraId="5CF3EBEB" w14:textId="77777777" w:rsidR="00CC0AEA" w:rsidRDefault="00CC0AEA" w:rsidP="00361FB7">
            <w:pPr>
              <w:pStyle w:val="Textpoznpodarou"/>
              <w:jc w:val="both"/>
              <w:rPr>
                <w:spacing w:val="-4"/>
              </w:rPr>
            </w:pPr>
          </w:p>
        </w:tc>
        <w:tc>
          <w:tcPr>
            <w:tcW w:w="7654" w:type="dxa"/>
            <w:shd w:val="clear" w:color="auto" w:fill="auto"/>
            <w:tcMar>
              <w:left w:w="0" w:type="dxa"/>
            </w:tcMar>
          </w:tcPr>
          <w:p w14:paraId="14AE8186" w14:textId="77777777" w:rsidR="00CC0AEA" w:rsidRDefault="00CC0AEA" w:rsidP="00361FB7">
            <w:pPr>
              <w:rPr>
                <w:spacing w:val="-4"/>
              </w:rPr>
            </w:pPr>
            <w:r>
              <w:rPr>
                <w:spacing w:val="-4"/>
              </w:rPr>
              <w:t xml:space="preserve">Propad dovozu v 1. až 3. čtvrtletí z hlediska zbožové struktury značně kopíroval vývoj exportu. Nejvíce tedy klesl dovoz motorových vozidel (–83,1 mld. korun, –19,8 %) a silný byl i pokles u strojů a zařízení (–33,1 mld., –12,5 %). Dovoz ovlivnil také pokles cen některých surovin. Nejvíce to bylo vidět na dovozu ropy a zemního plynu (–42,0 mld., </w:t>
            </w:r>
            <w:r>
              <w:rPr>
                <w:spacing w:val="-4"/>
              </w:rPr>
              <w:br/>
              <w:t xml:space="preserve">–43,5 %) a základních kovů (–36,0 mld., –17,9 %). Ve 3. čtvrtletí se dále projevoval pokles cen surovin, patrná ale byla i oslabená investiční poptávka. Přetrval tak hluboký meziroční pokles dovozu ropy a zemního plynu (–13,6 mld. korun, –41,6 %) a základních kovů </w:t>
            </w:r>
            <w:r>
              <w:rPr>
                <w:spacing w:val="-4"/>
              </w:rPr>
              <w:br/>
              <w:t xml:space="preserve">(–8,2 mld., –13,2 %). Dále se silně propadal také dovoz strojů a zařízení (–9,0 mld., </w:t>
            </w:r>
            <w:r>
              <w:rPr>
                <w:spacing w:val="-4"/>
              </w:rPr>
              <w:br/>
              <w:t>–10,4 %) a motorových vozidel (–8,3 mld., –6,2 %). Nejvíce ve 3. čtvrtletí meziročně narostl dovoz počítačů, elektronických a optických přístrojů (+6,9 mld., 6,9 %), elektrických zařízení (+3,0 mld., 4,6 %) a základních farmaceutických výrobků (+1,2 mld., 4,7 %).</w:t>
            </w:r>
          </w:p>
        </w:tc>
      </w:tr>
      <w:tr w:rsidR="00CC0AEA" w:rsidRPr="009110F7" w14:paraId="6C3BDE62" w14:textId="77777777" w:rsidTr="00361FB7">
        <w:trPr>
          <w:trHeight w:val="145"/>
        </w:trPr>
        <w:tc>
          <w:tcPr>
            <w:tcW w:w="1762" w:type="dxa"/>
            <w:shd w:val="clear" w:color="auto" w:fill="auto"/>
            <w:tcMar>
              <w:left w:w="0" w:type="dxa"/>
            </w:tcMar>
          </w:tcPr>
          <w:p w14:paraId="23761204" w14:textId="77777777" w:rsidR="00CC0AEA" w:rsidRDefault="00CC0AEA" w:rsidP="00361FB7">
            <w:pPr>
              <w:pStyle w:val="Marginlie"/>
            </w:pPr>
            <w:r>
              <w:t>Bilance zahraničního obchodu se zbožím se ve 3. čtvrtletí výrazně meziročně zlepšila.</w:t>
            </w:r>
          </w:p>
        </w:tc>
        <w:tc>
          <w:tcPr>
            <w:tcW w:w="223" w:type="dxa"/>
            <w:shd w:val="clear" w:color="auto" w:fill="auto"/>
            <w:tcMar>
              <w:left w:w="0" w:type="dxa"/>
            </w:tcMar>
          </w:tcPr>
          <w:p w14:paraId="039DFB7F" w14:textId="77777777" w:rsidR="00CC0AEA" w:rsidRDefault="00CC0AEA" w:rsidP="00361FB7">
            <w:pPr>
              <w:pStyle w:val="Textpoznpodarou"/>
              <w:jc w:val="both"/>
              <w:rPr>
                <w:spacing w:val="-4"/>
              </w:rPr>
            </w:pPr>
          </w:p>
        </w:tc>
        <w:tc>
          <w:tcPr>
            <w:tcW w:w="7654" w:type="dxa"/>
            <w:shd w:val="clear" w:color="auto" w:fill="auto"/>
            <w:tcMar>
              <w:left w:w="0" w:type="dxa"/>
            </w:tcMar>
          </w:tcPr>
          <w:p w14:paraId="5EC5FB05" w14:textId="77777777" w:rsidR="00CC0AEA" w:rsidRPr="00AF6F98" w:rsidRDefault="00CC0AEA" w:rsidP="00361FB7">
            <w:pPr>
              <w:rPr>
                <w:spacing w:val="-4"/>
              </w:rPr>
            </w:pPr>
            <w:r>
              <w:rPr>
                <w:spacing w:val="-4"/>
              </w:rPr>
              <w:t xml:space="preserve">Bilance zahraničního obchodu se zbožím za 1. až 3. čtvrtletí dosáhla přebytku 108,7 mld. korun. Meziročně byl přebytek o 24,1 mld. nižší. Ve 3. kvartálu přebytek dosáhl 59,7 mld. korun a vzhledem k zaostávající dynamice dovozu byl meziročně o 32,2 mld. vyšší. Nepodařilo se tak zcela vykompenzovat propad z 2. kvartálu. Zlepšení bilance ve 3. čtvrtletí lze připsat zvýšení přebytku se zeměmi EU o 16,0 mld. korun, ale také snížení deficitu u zemí mimo EU o 15,9 mld. Nejvíce se meziročně zlepšila bilance obchodu s Německem (+15,3 mld. korun), Ruskem (+12,2 mld.) a Jižní Koreou (+6,3 mld.). Meziročně se prohloubil deficit obchodu s Čínou (–8,2 mld.), zhoršil se přebytek se Španělskem </w:t>
            </w:r>
            <w:r>
              <w:rPr>
                <w:spacing w:val="-4"/>
              </w:rPr>
              <w:br/>
              <w:t>(–7,3 mld.) a Maďarskem (–3,6 mld.). Ze zboží nejvíce ve směru zlepšení bilance působily ropa a zemní plyn (+13,3 mld. korun), motorová vozidla (+5,9 mld.), základní kovy (+5,3 mld.) a stroje a zařízení (+4,3 mld.). Zhoršila se především bilance obchodu s elektrickými zařízeními (–2,9 mld. korun), chemickými látkami a přípravky (–1,5 mld.) a farmaceutickými výrobky (–1,1 mld.).</w:t>
            </w:r>
          </w:p>
        </w:tc>
      </w:tr>
      <w:tr w:rsidR="00CC0AEA" w:rsidRPr="009110F7" w14:paraId="3612B0DD" w14:textId="77777777" w:rsidTr="00361FB7">
        <w:trPr>
          <w:trHeight w:val="106"/>
        </w:trPr>
        <w:tc>
          <w:tcPr>
            <w:tcW w:w="1762" w:type="dxa"/>
            <w:vMerge w:val="restart"/>
            <w:shd w:val="clear" w:color="auto" w:fill="auto"/>
            <w:tcMar>
              <w:left w:w="0" w:type="dxa"/>
            </w:tcMar>
          </w:tcPr>
          <w:p w14:paraId="4FCF4133" w14:textId="77777777" w:rsidR="00CC0AEA" w:rsidRDefault="00CC0AEA" w:rsidP="00361FB7">
            <w:pPr>
              <w:pStyle w:val="Marginlie"/>
            </w:pPr>
          </w:p>
        </w:tc>
        <w:tc>
          <w:tcPr>
            <w:tcW w:w="223" w:type="dxa"/>
            <w:vMerge w:val="restart"/>
            <w:shd w:val="clear" w:color="auto" w:fill="auto"/>
            <w:tcMar>
              <w:left w:w="0" w:type="dxa"/>
            </w:tcMar>
          </w:tcPr>
          <w:p w14:paraId="5D051512" w14:textId="77777777" w:rsidR="00CC0AEA" w:rsidRDefault="00CC0AEA" w:rsidP="00361FB7">
            <w:pPr>
              <w:pStyle w:val="Textpoznpodarou"/>
              <w:jc w:val="both"/>
              <w:rPr>
                <w:spacing w:val="-4"/>
              </w:rPr>
            </w:pPr>
          </w:p>
        </w:tc>
        <w:tc>
          <w:tcPr>
            <w:tcW w:w="7654" w:type="dxa"/>
            <w:shd w:val="clear" w:color="auto" w:fill="auto"/>
            <w:tcMar>
              <w:left w:w="0" w:type="dxa"/>
            </w:tcMar>
          </w:tcPr>
          <w:p w14:paraId="270641AF" w14:textId="318FB9F6" w:rsidR="00CC0AEA" w:rsidRPr="00D75AC1" w:rsidRDefault="00CC0AEA" w:rsidP="00361FB7">
            <w:pPr>
              <w:spacing w:after="0"/>
              <w:rPr>
                <w:spacing w:val="-4"/>
                <w:szCs w:val="20"/>
              </w:rPr>
            </w:pPr>
            <w:r w:rsidRPr="00D75AC1">
              <w:rPr>
                <w:rFonts w:cs="Arial"/>
                <w:b/>
                <w:bCs/>
                <w:color w:val="000000"/>
                <w:szCs w:val="20"/>
              </w:rPr>
              <w:t>Graf č.</w:t>
            </w:r>
            <w:r>
              <w:rPr>
                <w:rFonts w:cs="Arial"/>
                <w:b/>
                <w:bCs/>
                <w:color w:val="000000"/>
                <w:szCs w:val="20"/>
              </w:rPr>
              <w:t> </w:t>
            </w:r>
            <w:r w:rsidR="00142B29">
              <w:rPr>
                <w:rFonts w:cs="Arial"/>
                <w:b/>
                <w:bCs/>
                <w:color w:val="000000"/>
                <w:szCs w:val="20"/>
              </w:rPr>
              <w:t>8</w:t>
            </w:r>
            <w:r>
              <w:rPr>
                <w:rFonts w:cs="Arial"/>
                <w:b/>
                <w:bCs/>
                <w:color w:val="000000"/>
                <w:szCs w:val="20"/>
              </w:rPr>
              <w:t xml:space="preserve"> </w:t>
            </w:r>
            <w:r w:rsidRPr="00D75AC1">
              <w:rPr>
                <w:rFonts w:cs="Arial"/>
                <w:b/>
                <w:bCs/>
                <w:color w:val="000000"/>
                <w:szCs w:val="20"/>
              </w:rPr>
              <w:t xml:space="preserve"> </w:t>
            </w:r>
            <w:r w:rsidRPr="00D75AC1">
              <w:rPr>
                <w:b/>
                <w:spacing w:val="-4"/>
                <w:szCs w:val="20"/>
              </w:rPr>
              <w:t xml:space="preserve">Bilance zahraničního obchodu </w:t>
            </w:r>
            <w:r>
              <w:rPr>
                <w:b/>
                <w:spacing w:val="-4"/>
                <w:szCs w:val="20"/>
              </w:rPr>
              <w:t xml:space="preserve">se zbožím </w:t>
            </w:r>
            <w:r w:rsidRPr="00D75AC1">
              <w:rPr>
                <w:b/>
                <w:spacing w:val="-4"/>
                <w:szCs w:val="20"/>
              </w:rPr>
              <w:t xml:space="preserve">ve statistice zahraničního obchodu </w:t>
            </w:r>
            <w:r w:rsidRPr="00D75AC1">
              <w:rPr>
                <w:spacing w:val="-4"/>
                <w:szCs w:val="20"/>
              </w:rPr>
              <w:t>(kumulace 1</w:t>
            </w:r>
            <w:r>
              <w:rPr>
                <w:spacing w:val="-4"/>
                <w:szCs w:val="20"/>
              </w:rPr>
              <w:t>. až 3.</w:t>
            </w:r>
            <w:r w:rsidRPr="00D75AC1">
              <w:rPr>
                <w:spacing w:val="-4"/>
                <w:szCs w:val="20"/>
              </w:rPr>
              <w:t> </w:t>
            </w:r>
            <w:r>
              <w:rPr>
                <w:spacing w:val="-4"/>
                <w:szCs w:val="20"/>
              </w:rPr>
              <w:t>čtvrtletí 2020</w:t>
            </w:r>
            <w:r w:rsidRPr="00D75AC1">
              <w:rPr>
                <w:spacing w:val="-4"/>
                <w:szCs w:val="20"/>
              </w:rPr>
              <w:t>, v mld.</w:t>
            </w:r>
            <w:r>
              <w:rPr>
                <w:spacing w:val="-4"/>
                <w:szCs w:val="20"/>
              </w:rPr>
              <w:t xml:space="preserve"> </w:t>
            </w:r>
            <w:r w:rsidRPr="00D75AC1">
              <w:rPr>
                <w:spacing w:val="-4"/>
                <w:szCs w:val="20"/>
              </w:rPr>
              <w:t>korun, vybrané oddíly klasifikace CPA)</w:t>
            </w:r>
          </w:p>
        </w:tc>
      </w:tr>
      <w:tr w:rsidR="00CC0AEA" w:rsidRPr="009110F7" w14:paraId="24960774" w14:textId="77777777" w:rsidTr="00361FB7">
        <w:tblPrEx>
          <w:tblCellMar>
            <w:left w:w="70" w:type="dxa"/>
            <w:right w:w="70" w:type="dxa"/>
          </w:tblCellMar>
        </w:tblPrEx>
        <w:trPr>
          <w:trHeight w:val="106"/>
        </w:trPr>
        <w:tc>
          <w:tcPr>
            <w:tcW w:w="1762" w:type="dxa"/>
            <w:vMerge/>
            <w:shd w:val="clear" w:color="auto" w:fill="auto"/>
          </w:tcPr>
          <w:p w14:paraId="0617E368" w14:textId="77777777" w:rsidR="00CC0AEA" w:rsidRDefault="00CC0AEA" w:rsidP="00361FB7">
            <w:pPr>
              <w:pStyle w:val="Marginlie"/>
            </w:pPr>
          </w:p>
        </w:tc>
        <w:tc>
          <w:tcPr>
            <w:tcW w:w="223" w:type="dxa"/>
            <w:vMerge/>
            <w:shd w:val="clear" w:color="auto" w:fill="auto"/>
          </w:tcPr>
          <w:p w14:paraId="5D7BCD71" w14:textId="77777777" w:rsidR="00CC0AEA" w:rsidRDefault="00CC0AEA" w:rsidP="00361FB7">
            <w:pPr>
              <w:pStyle w:val="Textpoznpodarou"/>
              <w:jc w:val="both"/>
              <w:rPr>
                <w:spacing w:val="-4"/>
              </w:rPr>
            </w:pPr>
          </w:p>
        </w:tc>
        <w:tc>
          <w:tcPr>
            <w:tcW w:w="7654" w:type="dxa"/>
            <w:shd w:val="clear" w:color="auto" w:fill="auto"/>
          </w:tcPr>
          <w:p w14:paraId="71855EE2" w14:textId="77777777" w:rsidR="00CC0AEA" w:rsidRPr="00AF6F98" w:rsidRDefault="00CC0AEA" w:rsidP="00361FB7">
            <w:pPr>
              <w:spacing w:after="0"/>
              <w:rPr>
                <w:spacing w:val="-4"/>
              </w:rPr>
            </w:pPr>
            <w:r>
              <w:rPr>
                <w:noProof/>
              </w:rPr>
              <w:drawing>
                <wp:inline distT="0" distB="0" distL="0" distR="0" wp14:anchorId="72C96C61" wp14:editId="344FB436">
                  <wp:extent cx="4715023" cy="3426200"/>
                  <wp:effectExtent l="0" t="0" r="0" b="3175"/>
                  <wp:docPr id="4" name="Graf 4">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CC0AEA" w:rsidRPr="009110F7" w14:paraId="74F8DA13" w14:textId="77777777" w:rsidTr="00361FB7">
        <w:trPr>
          <w:trHeight w:val="106"/>
        </w:trPr>
        <w:tc>
          <w:tcPr>
            <w:tcW w:w="1762" w:type="dxa"/>
            <w:vMerge/>
            <w:shd w:val="clear" w:color="auto" w:fill="auto"/>
            <w:tcMar>
              <w:left w:w="0" w:type="dxa"/>
            </w:tcMar>
          </w:tcPr>
          <w:p w14:paraId="2AA8B0A7" w14:textId="77777777" w:rsidR="00CC0AEA" w:rsidRDefault="00CC0AEA" w:rsidP="00361FB7">
            <w:pPr>
              <w:pStyle w:val="Marginlie"/>
            </w:pPr>
          </w:p>
        </w:tc>
        <w:tc>
          <w:tcPr>
            <w:tcW w:w="223" w:type="dxa"/>
            <w:vMerge/>
            <w:shd w:val="clear" w:color="auto" w:fill="auto"/>
            <w:tcMar>
              <w:left w:w="0" w:type="dxa"/>
            </w:tcMar>
          </w:tcPr>
          <w:p w14:paraId="248DC366" w14:textId="77777777" w:rsidR="00CC0AEA" w:rsidRDefault="00CC0AEA" w:rsidP="00361FB7">
            <w:pPr>
              <w:pStyle w:val="Textpoznpodarou"/>
              <w:jc w:val="both"/>
              <w:rPr>
                <w:spacing w:val="-4"/>
              </w:rPr>
            </w:pPr>
          </w:p>
        </w:tc>
        <w:tc>
          <w:tcPr>
            <w:tcW w:w="7654" w:type="dxa"/>
            <w:shd w:val="clear" w:color="auto" w:fill="auto"/>
            <w:tcMar>
              <w:left w:w="0" w:type="dxa"/>
            </w:tcMar>
          </w:tcPr>
          <w:p w14:paraId="6D8DD387" w14:textId="77777777" w:rsidR="00CC0AEA" w:rsidRPr="00AF6F98" w:rsidRDefault="00CC0AEA" w:rsidP="00361FB7">
            <w:pPr>
              <w:spacing w:after="0"/>
              <w:rPr>
                <w:spacing w:val="-4"/>
              </w:rPr>
            </w:pPr>
            <w:r>
              <w:rPr>
                <w:sz w:val="14"/>
                <w:szCs w:val="14"/>
              </w:rPr>
              <w:t>Zdroj: ČSÚ</w:t>
            </w:r>
          </w:p>
        </w:tc>
      </w:tr>
    </w:tbl>
    <w:p w14:paraId="09D30ACF" w14:textId="77777777" w:rsidR="00CC0AEA" w:rsidRPr="00C41D54" w:rsidRDefault="00CC0AEA" w:rsidP="00CC0AEA">
      <w:pPr>
        <w:pStyle w:val="Nadpis11"/>
        <w:rPr>
          <w:b w:val="0"/>
          <w:sz w:val="2"/>
          <w:szCs w:val="2"/>
          <w:highlight w:val="yellow"/>
        </w:rPr>
      </w:pPr>
    </w:p>
    <w:p w14:paraId="00525D14" w14:textId="77777777" w:rsidR="00CC0AEA" w:rsidRPr="00E42054" w:rsidRDefault="00CC0AEA" w:rsidP="00CC0AEA">
      <w:pPr>
        <w:pStyle w:val="Nadpis11"/>
        <w:spacing w:after="0"/>
        <w:rPr>
          <w:b w:val="0"/>
          <w:sz w:val="2"/>
          <w:szCs w:val="2"/>
        </w:rPr>
      </w:pPr>
    </w:p>
    <w:bookmarkEnd w:id="0"/>
    <w:bookmarkEnd w:id="1"/>
    <w:bookmarkEnd w:id="2"/>
    <w:p w14:paraId="3E974863" w14:textId="7F85E6B3" w:rsidR="000663F0" w:rsidRPr="00E42054" w:rsidRDefault="000663F0" w:rsidP="000663F0">
      <w:pPr>
        <w:pStyle w:val="Nadpis11"/>
        <w:spacing w:after="0"/>
        <w:rPr>
          <w:b w:val="0"/>
          <w:sz w:val="2"/>
          <w:szCs w:val="2"/>
        </w:rPr>
      </w:pPr>
    </w:p>
    <w:sectPr w:rsidR="000663F0" w:rsidRPr="00E42054" w:rsidSect="008A0E06">
      <w:headerReference w:type="even" r:id="rId10"/>
      <w:headerReference w:type="default" r:id="rId11"/>
      <w:footerReference w:type="even" r:id="rId12"/>
      <w:footerReference w:type="default" r:id="rId13"/>
      <w:pgSz w:w="11906" w:h="16838" w:code="9"/>
      <w:pgMar w:top="1134" w:right="1134" w:bottom="1418" w:left="1134" w:header="680" w:footer="737"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D51C5" w14:textId="77777777" w:rsidR="0060120D" w:rsidRDefault="0060120D" w:rsidP="00E71A58">
      <w:r>
        <w:separator/>
      </w:r>
    </w:p>
  </w:endnote>
  <w:endnote w:type="continuationSeparator" w:id="0">
    <w:p w14:paraId="7E79BE89" w14:textId="77777777" w:rsidR="0060120D" w:rsidRDefault="0060120D"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51A0D" w14:textId="3103AF3A" w:rsidR="008D3ACD" w:rsidRPr="00932443" w:rsidRDefault="008D3ACD" w:rsidP="00A418BC">
    <w:pPr>
      <w:pStyle w:val="Zpat"/>
      <w:rPr>
        <w:szCs w:val="16"/>
      </w:rPr>
    </w:pPr>
    <w:r>
      <w:rPr>
        <w:szCs w:val="16"/>
        <w:lang w:eastAsia="cs-CZ"/>
      </w:rPr>
      <w:drawing>
        <wp:anchor distT="0" distB="0" distL="114300" distR="114300" simplePos="0" relativeHeight="251667968" behindDoc="0" locked="0" layoutInCell="1" allowOverlap="1" wp14:anchorId="71F0B6E3" wp14:editId="3AA519D4">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142B29">
      <w:rPr>
        <w:szCs w:val="16"/>
      </w:rPr>
      <w:t>34</w:t>
    </w:r>
    <w:r w:rsidRPr="00932443">
      <w:rPr>
        <w:szCs w:val="16"/>
      </w:rPr>
      <w:fldChar w:fldCharType="end"/>
    </w:r>
    <w:r w:rsidRPr="00932443">
      <w:rPr>
        <w:szCs w:val="16"/>
      </w:rPr>
      <w:tab/>
    </w:r>
    <w:r>
      <w:rPr>
        <w:szCs w:val="16"/>
      </w:rPr>
      <w:t>1. až 3. čtvrtletí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17E4B" w14:textId="692BEA19" w:rsidR="008D3ACD" w:rsidRPr="00932443" w:rsidRDefault="008D3ACD" w:rsidP="00FA6CB6">
    <w:pPr>
      <w:pStyle w:val="Zpat"/>
      <w:rPr>
        <w:szCs w:val="16"/>
      </w:rPr>
    </w:pPr>
    <w:r w:rsidRPr="00FA6CB6">
      <w:rPr>
        <w:szCs w:val="16"/>
      </w:rPr>
      <w:tab/>
    </w:r>
    <w:r>
      <w:rPr>
        <w:szCs w:val="16"/>
      </w:rPr>
      <w:t xml:space="preserve">1. až 3. čtvrtletí </w:t>
    </w:r>
    <w:r>
      <w:rPr>
        <w:szCs w:val="16"/>
        <w:lang w:eastAsia="cs-CZ"/>
      </w:rPr>
      <w:drawing>
        <wp:anchor distT="0" distB="0" distL="114300" distR="114300" simplePos="0" relativeHeight="251658752" behindDoc="0" locked="0" layoutInCell="1" allowOverlap="1" wp14:anchorId="6ADC9B20" wp14:editId="2C3814E9">
          <wp:simplePos x="0" y="0"/>
          <wp:positionH relativeFrom="column">
            <wp:align>left</wp:align>
          </wp:positionH>
          <wp:positionV relativeFrom="paragraph">
            <wp:posOffset>-122555</wp:posOffset>
          </wp:positionV>
          <wp:extent cx="510540" cy="272415"/>
          <wp:effectExtent l="0" t="0" r="0" b="6985"/>
          <wp:wrapNone/>
          <wp:docPr id="24"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Pr>
        <w:szCs w:val="16"/>
      </w:rPr>
      <w:t>2</w:t>
    </w:r>
    <w:r>
      <w:t>020</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142B29">
      <w:rPr>
        <w:rStyle w:val="ZpatChar"/>
        <w:szCs w:val="16"/>
      </w:rPr>
      <w:t>35</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3E61E" w14:textId="77777777" w:rsidR="0060120D" w:rsidRDefault="0060120D" w:rsidP="00A21B4D">
      <w:pPr>
        <w:spacing w:after="0"/>
      </w:pPr>
      <w:r>
        <w:separator/>
      </w:r>
    </w:p>
  </w:footnote>
  <w:footnote w:type="continuationSeparator" w:id="0">
    <w:p w14:paraId="14D7D261" w14:textId="77777777" w:rsidR="0060120D" w:rsidRDefault="0060120D" w:rsidP="00E71A58">
      <w:r>
        <w:continuationSeparator/>
      </w:r>
    </w:p>
  </w:footnote>
  <w:footnote w:id="1">
    <w:p w14:paraId="70C13DED" w14:textId="77777777" w:rsidR="008D3ACD" w:rsidRPr="00EC5BC7" w:rsidRDefault="008D3ACD" w:rsidP="00CC0AEA">
      <w:pPr>
        <w:pStyle w:val="Textpoznpodarou"/>
        <w:rPr>
          <w:sz w:val="16"/>
          <w:szCs w:val="16"/>
        </w:rPr>
      </w:pPr>
      <w:r w:rsidRPr="00EC5BC7">
        <w:rPr>
          <w:rStyle w:val="Znakapoznpodarou"/>
          <w:sz w:val="16"/>
          <w:szCs w:val="16"/>
        </w:rPr>
        <w:footnoteRef/>
      </w:r>
      <w:r w:rsidRPr="00EC5BC7">
        <w:rPr>
          <w:sz w:val="16"/>
          <w:szCs w:val="16"/>
        </w:rPr>
        <w:t xml:space="preserve"> Propad v roce 2009 dosáhl 256,8</w:t>
      </w:r>
      <w:r>
        <w:rPr>
          <w:sz w:val="16"/>
          <w:szCs w:val="16"/>
        </w:rPr>
        <w:t> mld.</w:t>
      </w:r>
      <w:r w:rsidRPr="00EC5BC7">
        <w:rPr>
          <w:sz w:val="16"/>
          <w:szCs w:val="16"/>
        </w:rPr>
        <w:t xml:space="preserve"> korun (</w:t>
      </w:r>
      <w:r>
        <w:rPr>
          <w:sz w:val="16"/>
          <w:szCs w:val="16"/>
        </w:rPr>
        <w:t>–</w:t>
      </w:r>
      <w:r w:rsidRPr="00EC5BC7">
        <w:rPr>
          <w:sz w:val="16"/>
          <w:szCs w:val="16"/>
        </w:rPr>
        <w:t>14,7</w:t>
      </w:r>
      <w:r>
        <w:rPr>
          <w:sz w:val="16"/>
          <w:szCs w:val="16"/>
        </w:rPr>
        <w:t> %</w:t>
      </w:r>
      <w:r w:rsidRPr="00EC5BC7">
        <w:rPr>
          <w:sz w:val="16"/>
          <w:szCs w:val="16"/>
        </w:rPr>
        <w:t>)</w:t>
      </w:r>
      <w:r>
        <w:rPr>
          <w:sz w:val="16"/>
          <w:szCs w:val="16"/>
        </w:rPr>
        <w:t>.</w:t>
      </w:r>
      <w:r w:rsidRPr="00EC5BC7">
        <w:rPr>
          <w:sz w:val="16"/>
          <w:szCs w:val="16"/>
        </w:rPr>
        <w:t xml:space="preserve"> Vzhledem k tehdejší úrovni hodnoty vývozu šlo </w:t>
      </w:r>
      <w:r>
        <w:rPr>
          <w:sz w:val="16"/>
          <w:szCs w:val="16"/>
        </w:rPr>
        <w:t>tedy o ještě vážnější výpadek než letos.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985C8" w14:textId="77777777" w:rsidR="008D3ACD" w:rsidRDefault="008D3ACD" w:rsidP="00937AE2">
    <w:pPr>
      <w:pStyle w:val="Zhlav"/>
    </w:pPr>
    <w:r>
      <w:t>Vývoj ekonomiky České republiky</w:t>
    </w:r>
  </w:p>
  <w:p w14:paraId="675E4C41" w14:textId="77777777" w:rsidR="008D3ACD" w:rsidRPr="006F5416" w:rsidRDefault="008D3ACD"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812FB" w14:textId="77777777" w:rsidR="008D3ACD" w:rsidRDefault="008D3ACD" w:rsidP="00937AE2">
    <w:pPr>
      <w:pStyle w:val="Zhlav"/>
    </w:pPr>
    <w:r>
      <w:t>Vývoj ekonomiky České republiky</w:t>
    </w:r>
  </w:p>
  <w:p w14:paraId="0CDCFD48" w14:textId="77777777" w:rsidR="008D3ACD" w:rsidRPr="006F5416" w:rsidRDefault="008D3ACD"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3"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1"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BB1D16"/>
    <w:multiLevelType w:val="hybridMultilevel"/>
    <w:tmpl w:val="CA44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5"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25"/>
  </w:num>
  <w:num w:numId="14">
    <w:abstractNumId w:val="12"/>
  </w:num>
  <w:num w:numId="15">
    <w:abstractNumId w:val="18"/>
  </w:num>
  <w:num w:numId="16">
    <w:abstractNumId w:val="14"/>
  </w:num>
  <w:num w:numId="17">
    <w:abstractNumId w:val="26"/>
  </w:num>
  <w:num w:numId="18">
    <w:abstractNumId w:val="19"/>
  </w:num>
  <w:num w:numId="19">
    <w:abstractNumId w:val="27"/>
  </w:num>
  <w:num w:numId="20">
    <w:abstractNumId w:val="28"/>
  </w:num>
  <w:num w:numId="21">
    <w:abstractNumId w:val="24"/>
  </w:num>
  <w:num w:numId="22">
    <w:abstractNumId w:val="17"/>
  </w:num>
  <w:num w:numId="23">
    <w:abstractNumId w:val="15"/>
  </w:num>
  <w:num w:numId="24">
    <w:abstractNumId w:val="16"/>
  </w:num>
  <w:num w:numId="25">
    <w:abstractNumId w:val="11"/>
  </w:num>
  <w:num w:numId="26">
    <w:abstractNumId w:val="21"/>
  </w:num>
  <w:num w:numId="27">
    <w:abstractNumId w:val="20"/>
  </w:num>
  <w:num w:numId="28">
    <w:abstractNumId w:val="10"/>
  </w:num>
  <w:num w:numId="29">
    <w:abstractNumId w:val="28"/>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828"/>
    <w:rsid w:val="000005AF"/>
    <w:rsid w:val="00000B55"/>
    <w:rsid w:val="0000209D"/>
    <w:rsid w:val="00002566"/>
    <w:rsid w:val="00003849"/>
    <w:rsid w:val="00003F5C"/>
    <w:rsid w:val="00004D5A"/>
    <w:rsid w:val="000056D5"/>
    <w:rsid w:val="00005D9E"/>
    <w:rsid w:val="000063D5"/>
    <w:rsid w:val="00006625"/>
    <w:rsid w:val="00006ABD"/>
    <w:rsid w:val="00006B67"/>
    <w:rsid w:val="00006C0B"/>
    <w:rsid w:val="000073A0"/>
    <w:rsid w:val="0000767A"/>
    <w:rsid w:val="00007ABE"/>
    <w:rsid w:val="00010256"/>
    <w:rsid w:val="00010702"/>
    <w:rsid w:val="0001128E"/>
    <w:rsid w:val="00011912"/>
    <w:rsid w:val="000129B7"/>
    <w:rsid w:val="0001387D"/>
    <w:rsid w:val="00014ED0"/>
    <w:rsid w:val="00016420"/>
    <w:rsid w:val="00017B01"/>
    <w:rsid w:val="000205D1"/>
    <w:rsid w:val="00020F22"/>
    <w:rsid w:val="0002195D"/>
    <w:rsid w:val="000228AE"/>
    <w:rsid w:val="000233D1"/>
    <w:rsid w:val="000234D6"/>
    <w:rsid w:val="00023D29"/>
    <w:rsid w:val="00024348"/>
    <w:rsid w:val="00026389"/>
    <w:rsid w:val="0002669F"/>
    <w:rsid w:val="000279E5"/>
    <w:rsid w:val="00031AE0"/>
    <w:rsid w:val="00031BB2"/>
    <w:rsid w:val="000322EF"/>
    <w:rsid w:val="00033FCD"/>
    <w:rsid w:val="00034DF7"/>
    <w:rsid w:val="00034E68"/>
    <w:rsid w:val="000350C8"/>
    <w:rsid w:val="00036195"/>
    <w:rsid w:val="000374B2"/>
    <w:rsid w:val="000376C0"/>
    <w:rsid w:val="000403A7"/>
    <w:rsid w:val="00040632"/>
    <w:rsid w:val="00041AFC"/>
    <w:rsid w:val="00041CEC"/>
    <w:rsid w:val="00042596"/>
    <w:rsid w:val="00044183"/>
    <w:rsid w:val="0004431D"/>
    <w:rsid w:val="0004694F"/>
    <w:rsid w:val="00046F2F"/>
    <w:rsid w:val="00047AD4"/>
    <w:rsid w:val="00047D54"/>
    <w:rsid w:val="0005054A"/>
    <w:rsid w:val="00051506"/>
    <w:rsid w:val="000522E4"/>
    <w:rsid w:val="00053713"/>
    <w:rsid w:val="0005434E"/>
    <w:rsid w:val="00055CB6"/>
    <w:rsid w:val="000572DD"/>
    <w:rsid w:val="00057B1E"/>
    <w:rsid w:val="000610E1"/>
    <w:rsid w:val="000616AD"/>
    <w:rsid w:val="000622A6"/>
    <w:rsid w:val="00062EC5"/>
    <w:rsid w:val="00062F22"/>
    <w:rsid w:val="00063975"/>
    <w:rsid w:val="00063CEA"/>
    <w:rsid w:val="0006444D"/>
    <w:rsid w:val="000645FC"/>
    <w:rsid w:val="0006533F"/>
    <w:rsid w:val="00065348"/>
    <w:rsid w:val="0006551C"/>
    <w:rsid w:val="00065A75"/>
    <w:rsid w:val="000663F0"/>
    <w:rsid w:val="00066558"/>
    <w:rsid w:val="00070A87"/>
    <w:rsid w:val="000712B3"/>
    <w:rsid w:val="00071A7C"/>
    <w:rsid w:val="00072FF5"/>
    <w:rsid w:val="00073A5A"/>
    <w:rsid w:val="0007474E"/>
    <w:rsid w:val="00074988"/>
    <w:rsid w:val="0007512B"/>
    <w:rsid w:val="00075551"/>
    <w:rsid w:val="000767F5"/>
    <w:rsid w:val="00076D90"/>
    <w:rsid w:val="00077FF0"/>
    <w:rsid w:val="00081A55"/>
    <w:rsid w:val="0008263E"/>
    <w:rsid w:val="00082C19"/>
    <w:rsid w:val="00082F89"/>
    <w:rsid w:val="000837CD"/>
    <w:rsid w:val="00084BFF"/>
    <w:rsid w:val="00085395"/>
    <w:rsid w:val="00086896"/>
    <w:rsid w:val="00086AC1"/>
    <w:rsid w:val="00086D19"/>
    <w:rsid w:val="00087634"/>
    <w:rsid w:val="00087F2B"/>
    <w:rsid w:val="00090694"/>
    <w:rsid w:val="00090EE2"/>
    <w:rsid w:val="00090FC6"/>
    <w:rsid w:val="000913B1"/>
    <w:rsid w:val="0009290F"/>
    <w:rsid w:val="00093241"/>
    <w:rsid w:val="00093868"/>
    <w:rsid w:val="00094A84"/>
    <w:rsid w:val="00095025"/>
    <w:rsid w:val="00095135"/>
    <w:rsid w:val="0009626E"/>
    <w:rsid w:val="00097191"/>
    <w:rsid w:val="000974D1"/>
    <w:rsid w:val="00097784"/>
    <w:rsid w:val="0009799E"/>
    <w:rsid w:val="000A07CB"/>
    <w:rsid w:val="000A0BC0"/>
    <w:rsid w:val="000A1183"/>
    <w:rsid w:val="000A12ED"/>
    <w:rsid w:val="000A1D49"/>
    <w:rsid w:val="000A212B"/>
    <w:rsid w:val="000A242D"/>
    <w:rsid w:val="000A256D"/>
    <w:rsid w:val="000A2E5F"/>
    <w:rsid w:val="000A3A2C"/>
    <w:rsid w:val="000A3D9E"/>
    <w:rsid w:val="000A4A54"/>
    <w:rsid w:val="000A4ED9"/>
    <w:rsid w:val="000A5DB7"/>
    <w:rsid w:val="000A6D94"/>
    <w:rsid w:val="000A7377"/>
    <w:rsid w:val="000A7FF4"/>
    <w:rsid w:val="000B03CC"/>
    <w:rsid w:val="000B4212"/>
    <w:rsid w:val="000B67B7"/>
    <w:rsid w:val="000C0EA8"/>
    <w:rsid w:val="000C13A2"/>
    <w:rsid w:val="000C21E7"/>
    <w:rsid w:val="000C23EC"/>
    <w:rsid w:val="000C30C3"/>
    <w:rsid w:val="000C3408"/>
    <w:rsid w:val="000C35AB"/>
    <w:rsid w:val="000C3F7B"/>
    <w:rsid w:val="000C4769"/>
    <w:rsid w:val="000C4D56"/>
    <w:rsid w:val="000C5DFA"/>
    <w:rsid w:val="000C6AFD"/>
    <w:rsid w:val="000C6C90"/>
    <w:rsid w:val="000C72B7"/>
    <w:rsid w:val="000D0A26"/>
    <w:rsid w:val="000D3058"/>
    <w:rsid w:val="000D310A"/>
    <w:rsid w:val="000D3EF4"/>
    <w:rsid w:val="000D4DC0"/>
    <w:rsid w:val="000D5637"/>
    <w:rsid w:val="000D6F4E"/>
    <w:rsid w:val="000D73BB"/>
    <w:rsid w:val="000E0E96"/>
    <w:rsid w:val="000E298B"/>
    <w:rsid w:val="000E2C7D"/>
    <w:rsid w:val="000E440D"/>
    <w:rsid w:val="000E4AC5"/>
    <w:rsid w:val="000E6253"/>
    <w:rsid w:val="000E6E4D"/>
    <w:rsid w:val="000E6FBD"/>
    <w:rsid w:val="000E6FCB"/>
    <w:rsid w:val="000F090B"/>
    <w:rsid w:val="000F3F3B"/>
    <w:rsid w:val="000F47E8"/>
    <w:rsid w:val="000F70E4"/>
    <w:rsid w:val="000F76EA"/>
    <w:rsid w:val="00100A8B"/>
    <w:rsid w:val="00100F5C"/>
    <w:rsid w:val="00101CDA"/>
    <w:rsid w:val="00102037"/>
    <w:rsid w:val="00103DCB"/>
    <w:rsid w:val="00104C4C"/>
    <w:rsid w:val="00105015"/>
    <w:rsid w:val="001055D2"/>
    <w:rsid w:val="001057C2"/>
    <w:rsid w:val="0011038E"/>
    <w:rsid w:val="001125EF"/>
    <w:rsid w:val="00112CAB"/>
    <w:rsid w:val="00114C33"/>
    <w:rsid w:val="00116D3F"/>
    <w:rsid w:val="00117474"/>
    <w:rsid w:val="00117623"/>
    <w:rsid w:val="00117FEA"/>
    <w:rsid w:val="001200CF"/>
    <w:rsid w:val="001208E3"/>
    <w:rsid w:val="0012192F"/>
    <w:rsid w:val="00122994"/>
    <w:rsid w:val="00124B46"/>
    <w:rsid w:val="001257E0"/>
    <w:rsid w:val="00125D69"/>
    <w:rsid w:val="0012799C"/>
    <w:rsid w:val="00127BC2"/>
    <w:rsid w:val="00127E15"/>
    <w:rsid w:val="00130ADC"/>
    <w:rsid w:val="00130D9F"/>
    <w:rsid w:val="00132C4D"/>
    <w:rsid w:val="00133FC1"/>
    <w:rsid w:val="00134659"/>
    <w:rsid w:val="001405FA"/>
    <w:rsid w:val="00140D1A"/>
    <w:rsid w:val="00141184"/>
    <w:rsid w:val="00141315"/>
    <w:rsid w:val="00141AA0"/>
    <w:rsid w:val="001425C3"/>
    <w:rsid w:val="0014262D"/>
    <w:rsid w:val="00142B29"/>
    <w:rsid w:val="00144588"/>
    <w:rsid w:val="001447DD"/>
    <w:rsid w:val="001459BC"/>
    <w:rsid w:val="00152F4F"/>
    <w:rsid w:val="001544A1"/>
    <w:rsid w:val="001553B8"/>
    <w:rsid w:val="001554C2"/>
    <w:rsid w:val="001571C0"/>
    <w:rsid w:val="0015753D"/>
    <w:rsid w:val="00157CC9"/>
    <w:rsid w:val="00160C21"/>
    <w:rsid w:val="001612F4"/>
    <w:rsid w:val="00161553"/>
    <w:rsid w:val="0016256B"/>
    <w:rsid w:val="00162F81"/>
    <w:rsid w:val="00163793"/>
    <w:rsid w:val="00165313"/>
    <w:rsid w:val="00167485"/>
    <w:rsid w:val="001679F5"/>
    <w:rsid w:val="00167B92"/>
    <w:rsid w:val="00167CB9"/>
    <w:rsid w:val="00167DD8"/>
    <w:rsid w:val="001705AD"/>
    <w:rsid w:val="001706D6"/>
    <w:rsid w:val="001714F2"/>
    <w:rsid w:val="00171FEA"/>
    <w:rsid w:val="00173622"/>
    <w:rsid w:val="00175B9F"/>
    <w:rsid w:val="001762F4"/>
    <w:rsid w:val="00181BBC"/>
    <w:rsid w:val="0018385F"/>
    <w:rsid w:val="00184017"/>
    <w:rsid w:val="001847BB"/>
    <w:rsid w:val="00184B08"/>
    <w:rsid w:val="00185010"/>
    <w:rsid w:val="00185C22"/>
    <w:rsid w:val="00186BA9"/>
    <w:rsid w:val="00187D50"/>
    <w:rsid w:val="0019196C"/>
    <w:rsid w:val="001926A9"/>
    <w:rsid w:val="00192F05"/>
    <w:rsid w:val="00194729"/>
    <w:rsid w:val="00194850"/>
    <w:rsid w:val="00195234"/>
    <w:rsid w:val="00196016"/>
    <w:rsid w:val="00196117"/>
    <w:rsid w:val="00197A70"/>
    <w:rsid w:val="00197C0F"/>
    <w:rsid w:val="001A0487"/>
    <w:rsid w:val="001A0675"/>
    <w:rsid w:val="001A1F68"/>
    <w:rsid w:val="001A21FA"/>
    <w:rsid w:val="001A4EF0"/>
    <w:rsid w:val="001A552F"/>
    <w:rsid w:val="001A70B1"/>
    <w:rsid w:val="001B0738"/>
    <w:rsid w:val="001B2CA9"/>
    <w:rsid w:val="001B3110"/>
    <w:rsid w:val="001B3E38"/>
    <w:rsid w:val="001B40F5"/>
    <w:rsid w:val="001B4729"/>
    <w:rsid w:val="001B4F0E"/>
    <w:rsid w:val="001B5F40"/>
    <w:rsid w:val="001B6310"/>
    <w:rsid w:val="001B6C09"/>
    <w:rsid w:val="001B6E12"/>
    <w:rsid w:val="001C05CD"/>
    <w:rsid w:val="001C0F17"/>
    <w:rsid w:val="001C1B24"/>
    <w:rsid w:val="001C1B66"/>
    <w:rsid w:val="001C31A2"/>
    <w:rsid w:val="001C351D"/>
    <w:rsid w:val="001C4B8F"/>
    <w:rsid w:val="001C4BB8"/>
    <w:rsid w:val="001C4FD0"/>
    <w:rsid w:val="001C5E46"/>
    <w:rsid w:val="001C6B3B"/>
    <w:rsid w:val="001C7A26"/>
    <w:rsid w:val="001C7E3F"/>
    <w:rsid w:val="001D0EF1"/>
    <w:rsid w:val="001D22C2"/>
    <w:rsid w:val="001D2C99"/>
    <w:rsid w:val="001D452E"/>
    <w:rsid w:val="001D54C1"/>
    <w:rsid w:val="001D556E"/>
    <w:rsid w:val="001D5DF2"/>
    <w:rsid w:val="001D68B2"/>
    <w:rsid w:val="001D7EFD"/>
    <w:rsid w:val="001D7F60"/>
    <w:rsid w:val="001E3306"/>
    <w:rsid w:val="001E504C"/>
    <w:rsid w:val="001E5A17"/>
    <w:rsid w:val="001E74C5"/>
    <w:rsid w:val="001F1236"/>
    <w:rsid w:val="001F2F90"/>
    <w:rsid w:val="001F4597"/>
    <w:rsid w:val="001F4826"/>
    <w:rsid w:val="001F6CD3"/>
    <w:rsid w:val="001F7CE0"/>
    <w:rsid w:val="00200085"/>
    <w:rsid w:val="00203332"/>
    <w:rsid w:val="00203CD5"/>
    <w:rsid w:val="00203D8F"/>
    <w:rsid w:val="00203DA4"/>
    <w:rsid w:val="00204EA6"/>
    <w:rsid w:val="00205186"/>
    <w:rsid w:val="00206516"/>
    <w:rsid w:val="002071D5"/>
    <w:rsid w:val="002111E5"/>
    <w:rsid w:val="002118B9"/>
    <w:rsid w:val="00213691"/>
    <w:rsid w:val="002142C0"/>
    <w:rsid w:val="00217C5B"/>
    <w:rsid w:val="00220A43"/>
    <w:rsid w:val="0022139E"/>
    <w:rsid w:val="00222729"/>
    <w:rsid w:val="00223185"/>
    <w:rsid w:val="002233D6"/>
    <w:rsid w:val="0022441D"/>
    <w:rsid w:val="00224574"/>
    <w:rsid w:val="00224E3F"/>
    <w:rsid w:val="002252E0"/>
    <w:rsid w:val="002255F6"/>
    <w:rsid w:val="00226032"/>
    <w:rsid w:val="0022738D"/>
    <w:rsid w:val="00227605"/>
    <w:rsid w:val="00227850"/>
    <w:rsid w:val="00227A53"/>
    <w:rsid w:val="00227E2E"/>
    <w:rsid w:val="00227F53"/>
    <w:rsid w:val="00230C6E"/>
    <w:rsid w:val="00230E21"/>
    <w:rsid w:val="00231066"/>
    <w:rsid w:val="002316A8"/>
    <w:rsid w:val="00231859"/>
    <w:rsid w:val="002320C9"/>
    <w:rsid w:val="0023288F"/>
    <w:rsid w:val="0023359B"/>
    <w:rsid w:val="00233603"/>
    <w:rsid w:val="002340EF"/>
    <w:rsid w:val="00234B82"/>
    <w:rsid w:val="00236443"/>
    <w:rsid w:val="00236700"/>
    <w:rsid w:val="00237C8B"/>
    <w:rsid w:val="00240391"/>
    <w:rsid w:val="00240AF3"/>
    <w:rsid w:val="002418D5"/>
    <w:rsid w:val="00241B06"/>
    <w:rsid w:val="0024343A"/>
    <w:rsid w:val="002436BA"/>
    <w:rsid w:val="00244652"/>
    <w:rsid w:val="00244A15"/>
    <w:rsid w:val="002452D9"/>
    <w:rsid w:val="00247319"/>
    <w:rsid w:val="0024799E"/>
    <w:rsid w:val="00247E60"/>
    <w:rsid w:val="00251B08"/>
    <w:rsid w:val="00251C53"/>
    <w:rsid w:val="00252AB9"/>
    <w:rsid w:val="002532B1"/>
    <w:rsid w:val="00253C0F"/>
    <w:rsid w:val="002558C1"/>
    <w:rsid w:val="00256207"/>
    <w:rsid w:val="002575F3"/>
    <w:rsid w:val="002603E1"/>
    <w:rsid w:val="0026120E"/>
    <w:rsid w:val="00262582"/>
    <w:rsid w:val="0026291D"/>
    <w:rsid w:val="00262CF3"/>
    <w:rsid w:val="00264309"/>
    <w:rsid w:val="0026564B"/>
    <w:rsid w:val="00265C83"/>
    <w:rsid w:val="00265E85"/>
    <w:rsid w:val="00267B49"/>
    <w:rsid w:val="002700D9"/>
    <w:rsid w:val="0027025F"/>
    <w:rsid w:val="002709CC"/>
    <w:rsid w:val="00270D25"/>
    <w:rsid w:val="00271022"/>
    <w:rsid w:val="00271465"/>
    <w:rsid w:val="00271E47"/>
    <w:rsid w:val="002721F5"/>
    <w:rsid w:val="00272DF4"/>
    <w:rsid w:val="0027583D"/>
    <w:rsid w:val="00275DEF"/>
    <w:rsid w:val="002763A2"/>
    <w:rsid w:val="00276B33"/>
    <w:rsid w:val="002812E3"/>
    <w:rsid w:val="00282AD4"/>
    <w:rsid w:val="0028341F"/>
    <w:rsid w:val="002837AE"/>
    <w:rsid w:val="00283C13"/>
    <w:rsid w:val="00283F7B"/>
    <w:rsid w:val="0028431A"/>
    <w:rsid w:val="002853FA"/>
    <w:rsid w:val="00285412"/>
    <w:rsid w:val="00286220"/>
    <w:rsid w:val="00291640"/>
    <w:rsid w:val="0029237E"/>
    <w:rsid w:val="00292997"/>
    <w:rsid w:val="00293D24"/>
    <w:rsid w:val="0029509B"/>
    <w:rsid w:val="0029588F"/>
    <w:rsid w:val="00295E96"/>
    <w:rsid w:val="00297256"/>
    <w:rsid w:val="00297A5C"/>
    <w:rsid w:val="00297D51"/>
    <w:rsid w:val="002A0122"/>
    <w:rsid w:val="002A016B"/>
    <w:rsid w:val="002A16D4"/>
    <w:rsid w:val="002A1E4F"/>
    <w:rsid w:val="002A230C"/>
    <w:rsid w:val="002A2AF7"/>
    <w:rsid w:val="002A3209"/>
    <w:rsid w:val="002A3EA2"/>
    <w:rsid w:val="002A51AC"/>
    <w:rsid w:val="002A532A"/>
    <w:rsid w:val="002A5846"/>
    <w:rsid w:val="002A5D97"/>
    <w:rsid w:val="002A603E"/>
    <w:rsid w:val="002A63B9"/>
    <w:rsid w:val="002A7089"/>
    <w:rsid w:val="002B1619"/>
    <w:rsid w:val="002B3EF4"/>
    <w:rsid w:val="002B4845"/>
    <w:rsid w:val="002B5567"/>
    <w:rsid w:val="002B5812"/>
    <w:rsid w:val="002B72AA"/>
    <w:rsid w:val="002C1110"/>
    <w:rsid w:val="002C1BC2"/>
    <w:rsid w:val="002C1F09"/>
    <w:rsid w:val="002C22A4"/>
    <w:rsid w:val="002C260B"/>
    <w:rsid w:val="002C27A6"/>
    <w:rsid w:val="002C398D"/>
    <w:rsid w:val="002C40D2"/>
    <w:rsid w:val="002C43BD"/>
    <w:rsid w:val="002C5245"/>
    <w:rsid w:val="002C564A"/>
    <w:rsid w:val="002C59D8"/>
    <w:rsid w:val="002C5FEB"/>
    <w:rsid w:val="002D05CB"/>
    <w:rsid w:val="002D0E59"/>
    <w:rsid w:val="002D2C4F"/>
    <w:rsid w:val="002D3EBB"/>
    <w:rsid w:val="002D455C"/>
    <w:rsid w:val="002D6066"/>
    <w:rsid w:val="002E02A1"/>
    <w:rsid w:val="002E196A"/>
    <w:rsid w:val="002E20C7"/>
    <w:rsid w:val="002E20CD"/>
    <w:rsid w:val="002E222E"/>
    <w:rsid w:val="002E28D8"/>
    <w:rsid w:val="002E37D1"/>
    <w:rsid w:val="002E3BEE"/>
    <w:rsid w:val="002E4E4C"/>
    <w:rsid w:val="002E4EA7"/>
    <w:rsid w:val="002E5846"/>
    <w:rsid w:val="002E792B"/>
    <w:rsid w:val="002E7AEB"/>
    <w:rsid w:val="002F1B09"/>
    <w:rsid w:val="002F1D56"/>
    <w:rsid w:val="002F1DCB"/>
    <w:rsid w:val="002F1DE4"/>
    <w:rsid w:val="002F333D"/>
    <w:rsid w:val="002F351A"/>
    <w:rsid w:val="002F46D6"/>
    <w:rsid w:val="002F498A"/>
    <w:rsid w:val="002F4AD8"/>
    <w:rsid w:val="002F5285"/>
    <w:rsid w:val="002F5820"/>
    <w:rsid w:val="002F64BB"/>
    <w:rsid w:val="00300C31"/>
    <w:rsid w:val="003017EC"/>
    <w:rsid w:val="00302165"/>
    <w:rsid w:val="00304771"/>
    <w:rsid w:val="003052D4"/>
    <w:rsid w:val="003060E9"/>
    <w:rsid w:val="00306C5B"/>
    <w:rsid w:val="00307529"/>
    <w:rsid w:val="00307DB3"/>
    <w:rsid w:val="00307ED2"/>
    <w:rsid w:val="0031076D"/>
    <w:rsid w:val="0031169A"/>
    <w:rsid w:val="00311AA6"/>
    <w:rsid w:val="00311C4D"/>
    <w:rsid w:val="003121AB"/>
    <w:rsid w:val="00315169"/>
    <w:rsid w:val="003153C8"/>
    <w:rsid w:val="00315524"/>
    <w:rsid w:val="00315561"/>
    <w:rsid w:val="0032058C"/>
    <w:rsid w:val="003208D0"/>
    <w:rsid w:val="003209D6"/>
    <w:rsid w:val="003217B9"/>
    <w:rsid w:val="00321924"/>
    <w:rsid w:val="00321EB6"/>
    <w:rsid w:val="003220A5"/>
    <w:rsid w:val="003238E0"/>
    <w:rsid w:val="00323A1C"/>
    <w:rsid w:val="00324B59"/>
    <w:rsid w:val="0032656E"/>
    <w:rsid w:val="0032788F"/>
    <w:rsid w:val="00332190"/>
    <w:rsid w:val="00332A98"/>
    <w:rsid w:val="003334BD"/>
    <w:rsid w:val="00333973"/>
    <w:rsid w:val="00333CD0"/>
    <w:rsid w:val="0033448D"/>
    <w:rsid w:val="00334AD2"/>
    <w:rsid w:val="00334CB6"/>
    <w:rsid w:val="0033709C"/>
    <w:rsid w:val="003370C5"/>
    <w:rsid w:val="003373C6"/>
    <w:rsid w:val="00340BF3"/>
    <w:rsid w:val="00341D26"/>
    <w:rsid w:val="00341F05"/>
    <w:rsid w:val="0034335E"/>
    <w:rsid w:val="00344668"/>
    <w:rsid w:val="00344940"/>
    <w:rsid w:val="00346234"/>
    <w:rsid w:val="003462D9"/>
    <w:rsid w:val="0034723F"/>
    <w:rsid w:val="00347247"/>
    <w:rsid w:val="003474B6"/>
    <w:rsid w:val="00347DD4"/>
    <w:rsid w:val="00352B43"/>
    <w:rsid w:val="00352C28"/>
    <w:rsid w:val="0036077F"/>
    <w:rsid w:val="00360C86"/>
    <w:rsid w:val="00360F7A"/>
    <w:rsid w:val="00360FBC"/>
    <w:rsid w:val="00361537"/>
    <w:rsid w:val="00361FB7"/>
    <w:rsid w:val="0036242A"/>
    <w:rsid w:val="00362C23"/>
    <w:rsid w:val="00362DCA"/>
    <w:rsid w:val="00362E90"/>
    <w:rsid w:val="00364FA0"/>
    <w:rsid w:val="003657F3"/>
    <w:rsid w:val="00365844"/>
    <w:rsid w:val="00367F84"/>
    <w:rsid w:val="003712BC"/>
    <w:rsid w:val="00372164"/>
    <w:rsid w:val="003738BD"/>
    <w:rsid w:val="00374263"/>
    <w:rsid w:val="003746F0"/>
    <w:rsid w:val="00374A20"/>
    <w:rsid w:val="00374E21"/>
    <w:rsid w:val="0037537A"/>
    <w:rsid w:val="00377B2E"/>
    <w:rsid w:val="003810F0"/>
    <w:rsid w:val="003815D4"/>
    <w:rsid w:val="003818DC"/>
    <w:rsid w:val="00382513"/>
    <w:rsid w:val="00383388"/>
    <w:rsid w:val="003834F8"/>
    <w:rsid w:val="003838D0"/>
    <w:rsid w:val="003840C2"/>
    <w:rsid w:val="00384327"/>
    <w:rsid w:val="00384A89"/>
    <w:rsid w:val="00385086"/>
    <w:rsid w:val="00385D98"/>
    <w:rsid w:val="00390306"/>
    <w:rsid w:val="003908A6"/>
    <w:rsid w:val="0039109D"/>
    <w:rsid w:val="00391989"/>
    <w:rsid w:val="00391A6C"/>
    <w:rsid w:val="003927F6"/>
    <w:rsid w:val="00396739"/>
    <w:rsid w:val="003978B1"/>
    <w:rsid w:val="003A04F6"/>
    <w:rsid w:val="003A0837"/>
    <w:rsid w:val="003A2B4D"/>
    <w:rsid w:val="003A2D12"/>
    <w:rsid w:val="003A2EBA"/>
    <w:rsid w:val="003A45E3"/>
    <w:rsid w:val="003A478C"/>
    <w:rsid w:val="003A4A38"/>
    <w:rsid w:val="003A5525"/>
    <w:rsid w:val="003A5889"/>
    <w:rsid w:val="003A6B38"/>
    <w:rsid w:val="003A6B83"/>
    <w:rsid w:val="003A6C97"/>
    <w:rsid w:val="003A722F"/>
    <w:rsid w:val="003A7373"/>
    <w:rsid w:val="003A7D09"/>
    <w:rsid w:val="003B039F"/>
    <w:rsid w:val="003B0DF4"/>
    <w:rsid w:val="003B1F9D"/>
    <w:rsid w:val="003B2A8D"/>
    <w:rsid w:val="003B2AD1"/>
    <w:rsid w:val="003B2D2E"/>
    <w:rsid w:val="003B461F"/>
    <w:rsid w:val="003B483F"/>
    <w:rsid w:val="003B4998"/>
    <w:rsid w:val="003B5A32"/>
    <w:rsid w:val="003B5B59"/>
    <w:rsid w:val="003B7B50"/>
    <w:rsid w:val="003C0B07"/>
    <w:rsid w:val="003C2CE7"/>
    <w:rsid w:val="003C3490"/>
    <w:rsid w:val="003C3608"/>
    <w:rsid w:val="003C3AE8"/>
    <w:rsid w:val="003C3D2C"/>
    <w:rsid w:val="003C4E13"/>
    <w:rsid w:val="003C6221"/>
    <w:rsid w:val="003C63D7"/>
    <w:rsid w:val="003C68CC"/>
    <w:rsid w:val="003C7E62"/>
    <w:rsid w:val="003D12B9"/>
    <w:rsid w:val="003D1E7A"/>
    <w:rsid w:val="003D242B"/>
    <w:rsid w:val="003D2492"/>
    <w:rsid w:val="003D29AA"/>
    <w:rsid w:val="003D2A99"/>
    <w:rsid w:val="003D6920"/>
    <w:rsid w:val="003E0249"/>
    <w:rsid w:val="003E1EF8"/>
    <w:rsid w:val="003E2DFB"/>
    <w:rsid w:val="003E4C91"/>
    <w:rsid w:val="003E52D8"/>
    <w:rsid w:val="003E62F1"/>
    <w:rsid w:val="003F313C"/>
    <w:rsid w:val="003F33B9"/>
    <w:rsid w:val="003F37FC"/>
    <w:rsid w:val="003F4318"/>
    <w:rsid w:val="003F4B2C"/>
    <w:rsid w:val="003F551C"/>
    <w:rsid w:val="003F626D"/>
    <w:rsid w:val="003F72ED"/>
    <w:rsid w:val="003F7D23"/>
    <w:rsid w:val="00400050"/>
    <w:rsid w:val="004002C8"/>
    <w:rsid w:val="00400468"/>
    <w:rsid w:val="0040099D"/>
    <w:rsid w:val="004016CB"/>
    <w:rsid w:val="00401B23"/>
    <w:rsid w:val="00402ADB"/>
    <w:rsid w:val="0040368D"/>
    <w:rsid w:val="00403D1D"/>
    <w:rsid w:val="00403F57"/>
    <w:rsid w:val="00405318"/>
    <w:rsid w:val="004059D2"/>
    <w:rsid w:val="004060C9"/>
    <w:rsid w:val="004066D0"/>
    <w:rsid w:val="00406C2E"/>
    <w:rsid w:val="00406CDA"/>
    <w:rsid w:val="00406EB0"/>
    <w:rsid w:val="00407711"/>
    <w:rsid w:val="00407C13"/>
    <w:rsid w:val="004103F6"/>
    <w:rsid w:val="00410638"/>
    <w:rsid w:val="00412511"/>
    <w:rsid w:val="004125C2"/>
    <w:rsid w:val="00412DFA"/>
    <w:rsid w:val="00413465"/>
    <w:rsid w:val="004149AC"/>
    <w:rsid w:val="0041501E"/>
    <w:rsid w:val="00415452"/>
    <w:rsid w:val="004159C3"/>
    <w:rsid w:val="00415A57"/>
    <w:rsid w:val="00416DAC"/>
    <w:rsid w:val="00420880"/>
    <w:rsid w:val="00421179"/>
    <w:rsid w:val="00430C96"/>
    <w:rsid w:val="0043174F"/>
    <w:rsid w:val="00431BFF"/>
    <w:rsid w:val="00432199"/>
    <w:rsid w:val="00432A58"/>
    <w:rsid w:val="004331C3"/>
    <w:rsid w:val="00433C17"/>
    <w:rsid w:val="00434617"/>
    <w:rsid w:val="00435051"/>
    <w:rsid w:val="00435C69"/>
    <w:rsid w:val="004360FB"/>
    <w:rsid w:val="00437CED"/>
    <w:rsid w:val="004407BF"/>
    <w:rsid w:val="00440900"/>
    <w:rsid w:val="0044121D"/>
    <w:rsid w:val="00441BF6"/>
    <w:rsid w:val="00441D2B"/>
    <w:rsid w:val="00441F8B"/>
    <w:rsid w:val="00442085"/>
    <w:rsid w:val="0044279E"/>
    <w:rsid w:val="004441A0"/>
    <w:rsid w:val="00445861"/>
    <w:rsid w:val="00445A8E"/>
    <w:rsid w:val="00446D44"/>
    <w:rsid w:val="0045078A"/>
    <w:rsid w:val="0045086D"/>
    <w:rsid w:val="00450DAB"/>
    <w:rsid w:val="0045125B"/>
    <w:rsid w:val="00451EF1"/>
    <w:rsid w:val="00452E60"/>
    <w:rsid w:val="0045321B"/>
    <w:rsid w:val="00456FE5"/>
    <w:rsid w:val="00457490"/>
    <w:rsid w:val="00457953"/>
    <w:rsid w:val="004604D8"/>
    <w:rsid w:val="00460656"/>
    <w:rsid w:val="00460FB3"/>
    <w:rsid w:val="00463D3C"/>
    <w:rsid w:val="00464851"/>
    <w:rsid w:val="00466595"/>
    <w:rsid w:val="0046746A"/>
    <w:rsid w:val="00467B14"/>
    <w:rsid w:val="004707FE"/>
    <w:rsid w:val="00470EDC"/>
    <w:rsid w:val="0047276D"/>
    <w:rsid w:val="00472AF6"/>
    <w:rsid w:val="00473482"/>
    <w:rsid w:val="00474A04"/>
    <w:rsid w:val="00476240"/>
    <w:rsid w:val="00476439"/>
    <w:rsid w:val="00476450"/>
    <w:rsid w:val="004769E1"/>
    <w:rsid w:val="0047735C"/>
    <w:rsid w:val="004776BC"/>
    <w:rsid w:val="00477820"/>
    <w:rsid w:val="00477B96"/>
    <w:rsid w:val="00480BAE"/>
    <w:rsid w:val="0048139F"/>
    <w:rsid w:val="00481E40"/>
    <w:rsid w:val="00482405"/>
    <w:rsid w:val="004826A7"/>
    <w:rsid w:val="0048368C"/>
    <w:rsid w:val="0048372F"/>
    <w:rsid w:val="00484ECE"/>
    <w:rsid w:val="00485E82"/>
    <w:rsid w:val="00486132"/>
    <w:rsid w:val="0048686D"/>
    <w:rsid w:val="00486A4D"/>
    <w:rsid w:val="004915CB"/>
    <w:rsid w:val="004924DC"/>
    <w:rsid w:val="00492879"/>
    <w:rsid w:val="00493E85"/>
    <w:rsid w:val="00495145"/>
    <w:rsid w:val="004979A5"/>
    <w:rsid w:val="004A0144"/>
    <w:rsid w:val="004A036E"/>
    <w:rsid w:val="004A0498"/>
    <w:rsid w:val="004A0D0E"/>
    <w:rsid w:val="004A14E4"/>
    <w:rsid w:val="004A204E"/>
    <w:rsid w:val="004A26A5"/>
    <w:rsid w:val="004A27F0"/>
    <w:rsid w:val="004A3212"/>
    <w:rsid w:val="004A37CD"/>
    <w:rsid w:val="004A40D9"/>
    <w:rsid w:val="004A49A5"/>
    <w:rsid w:val="004A4F8A"/>
    <w:rsid w:val="004A5494"/>
    <w:rsid w:val="004A5D4E"/>
    <w:rsid w:val="004A61C5"/>
    <w:rsid w:val="004A62A0"/>
    <w:rsid w:val="004A77DF"/>
    <w:rsid w:val="004B1417"/>
    <w:rsid w:val="004B305C"/>
    <w:rsid w:val="004B31B8"/>
    <w:rsid w:val="004B339A"/>
    <w:rsid w:val="004B4C83"/>
    <w:rsid w:val="004B55B7"/>
    <w:rsid w:val="004B5BFA"/>
    <w:rsid w:val="004B6468"/>
    <w:rsid w:val="004B6EF8"/>
    <w:rsid w:val="004B7125"/>
    <w:rsid w:val="004B756A"/>
    <w:rsid w:val="004B7FB1"/>
    <w:rsid w:val="004C0B3F"/>
    <w:rsid w:val="004C2794"/>
    <w:rsid w:val="004C2BB6"/>
    <w:rsid w:val="004C2C2D"/>
    <w:rsid w:val="004C3027"/>
    <w:rsid w:val="004C384C"/>
    <w:rsid w:val="004C3867"/>
    <w:rsid w:val="004C3DB0"/>
    <w:rsid w:val="004C439A"/>
    <w:rsid w:val="004C4720"/>
    <w:rsid w:val="004C4CD0"/>
    <w:rsid w:val="004C5060"/>
    <w:rsid w:val="004C5165"/>
    <w:rsid w:val="004C589C"/>
    <w:rsid w:val="004C5AE8"/>
    <w:rsid w:val="004C6E0E"/>
    <w:rsid w:val="004C70DC"/>
    <w:rsid w:val="004D0211"/>
    <w:rsid w:val="004D0794"/>
    <w:rsid w:val="004D2E03"/>
    <w:rsid w:val="004D3296"/>
    <w:rsid w:val="004D4056"/>
    <w:rsid w:val="004D4CB0"/>
    <w:rsid w:val="004D5B0F"/>
    <w:rsid w:val="004D7626"/>
    <w:rsid w:val="004E186A"/>
    <w:rsid w:val="004E1A40"/>
    <w:rsid w:val="004E200A"/>
    <w:rsid w:val="004E23FC"/>
    <w:rsid w:val="004E2409"/>
    <w:rsid w:val="004E261D"/>
    <w:rsid w:val="004E57BF"/>
    <w:rsid w:val="004E5F41"/>
    <w:rsid w:val="004E6011"/>
    <w:rsid w:val="004E6DE6"/>
    <w:rsid w:val="004E765E"/>
    <w:rsid w:val="004E7815"/>
    <w:rsid w:val="004F06F5"/>
    <w:rsid w:val="004F12A4"/>
    <w:rsid w:val="004F253F"/>
    <w:rsid w:val="004F33A0"/>
    <w:rsid w:val="004F3873"/>
    <w:rsid w:val="004F3BD2"/>
    <w:rsid w:val="004F46ED"/>
    <w:rsid w:val="004F4C99"/>
    <w:rsid w:val="004F5358"/>
    <w:rsid w:val="004F6484"/>
    <w:rsid w:val="004F6539"/>
    <w:rsid w:val="00503D54"/>
    <w:rsid w:val="005048E2"/>
    <w:rsid w:val="00505FC8"/>
    <w:rsid w:val="00506603"/>
    <w:rsid w:val="0050689D"/>
    <w:rsid w:val="005077F5"/>
    <w:rsid w:val="005108C0"/>
    <w:rsid w:val="0051094F"/>
    <w:rsid w:val="00511217"/>
    <w:rsid w:val="00511873"/>
    <w:rsid w:val="00512461"/>
    <w:rsid w:val="00512585"/>
    <w:rsid w:val="00512A2F"/>
    <w:rsid w:val="00513B7E"/>
    <w:rsid w:val="00513E9D"/>
    <w:rsid w:val="0051475D"/>
    <w:rsid w:val="00514B11"/>
    <w:rsid w:val="00515485"/>
    <w:rsid w:val="00515BE9"/>
    <w:rsid w:val="00515C74"/>
    <w:rsid w:val="0051630F"/>
    <w:rsid w:val="00517113"/>
    <w:rsid w:val="0052007E"/>
    <w:rsid w:val="00521CAD"/>
    <w:rsid w:val="0052200D"/>
    <w:rsid w:val="00522E01"/>
    <w:rsid w:val="0052337A"/>
    <w:rsid w:val="00524385"/>
    <w:rsid w:val="005246BE"/>
    <w:rsid w:val="00525137"/>
    <w:rsid w:val="005251DD"/>
    <w:rsid w:val="0053012B"/>
    <w:rsid w:val="005301A6"/>
    <w:rsid w:val="00530A68"/>
    <w:rsid w:val="00530AD4"/>
    <w:rsid w:val="00531C5A"/>
    <w:rsid w:val="00532CE7"/>
    <w:rsid w:val="00532D8B"/>
    <w:rsid w:val="0053324C"/>
    <w:rsid w:val="00533A8D"/>
    <w:rsid w:val="00534A28"/>
    <w:rsid w:val="00535018"/>
    <w:rsid w:val="0053595E"/>
    <w:rsid w:val="00537571"/>
    <w:rsid w:val="00540056"/>
    <w:rsid w:val="005410E2"/>
    <w:rsid w:val="00541508"/>
    <w:rsid w:val="00541AE3"/>
    <w:rsid w:val="00543498"/>
    <w:rsid w:val="00544011"/>
    <w:rsid w:val="00544BE5"/>
    <w:rsid w:val="005455F6"/>
    <w:rsid w:val="0054582F"/>
    <w:rsid w:val="005500F9"/>
    <w:rsid w:val="00550160"/>
    <w:rsid w:val="005523A8"/>
    <w:rsid w:val="00552F2C"/>
    <w:rsid w:val="00553A25"/>
    <w:rsid w:val="005547EB"/>
    <w:rsid w:val="005555E0"/>
    <w:rsid w:val="0055599F"/>
    <w:rsid w:val="00556D68"/>
    <w:rsid w:val="005570D6"/>
    <w:rsid w:val="00557E0E"/>
    <w:rsid w:val="00557E45"/>
    <w:rsid w:val="00560C41"/>
    <w:rsid w:val="00561F44"/>
    <w:rsid w:val="00562B4D"/>
    <w:rsid w:val="00563EB8"/>
    <w:rsid w:val="005647BF"/>
    <w:rsid w:val="00564AF1"/>
    <w:rsid w:val="005655DB"/>
    <w:rsid w:val="00565E88"/>
    <w:rsid w:val="00567339"/>
    <w:rsid w:val="005678EE"/>
    <w:rsid w:val="00570270"/>
    <w:rsid w:val="00570464"/>
    <w:rsid w:val="00570BC3"/>
    <w:rsid w:val="0057182A"/>
    <w:rsid w:val="00571E59"/>
    <w:rsid w:val="00572079"/>
    <w:rsid w:val="00572900"/>
    <w:rsid w:val="00573602"/>
    <w:rsid w:val="0057364B"/>
    <w:rsid w:val="00574773"/>
    <w:rsid w:val="005761EC"/>
    <w:rsid w:val="00577C07"/>
    <w:rsid w:val="00577DB1"/>
    <w:rsid w:val="00580AD3"/>
    <w:rsid w:val="00580DE7"/>
    <w:rsid w:val="005810E1"/>
    <w:rsid w:val="005820CD"/>
    <w:rsid w:val="00583BDD"/>
    <w:rsid w:val="00583E52"/>
    <w:rsid w:val="00583FFD"/>
    <w:rsid w:val="00584252"/>
    <w:rsid w:val="0058519A"/>
    <w:rsid w:val="005856BD"/>
    <w:rsid w:val="00586BCA"/>
    <w:rsid w:val="00587038"/>
    <w:rsid w:val="00590B28"/>
    <w:rsid w:val="005911BE"/>
    <w:rsid w:val="00591273"/>
    <w:rsid w:val="00591E9E"/>
    <w:rsid w:val="005927A4"/>
    <w:rsid w:val="00593152"/>
    <w:rsid w:val="00593FE6"/>
    <w:rsid w:val="005956A3"/>
    <w:rsid w:val="00595958"/>
    <w:rsid w:val="00595CAB"/>
    <w:rsid w:val="0059622E"/>
    <w:rsid w:val="00597671"/>
    <w:rsid w:val="00597BBF"/>
    <w:rsid w:val="005A0463"/>
    <w:rsid w:val="005A0948"/>
    <w:rsid w:val="005A0A03"/>
    <w:rsid w:val="005A10F2"/>
    <w:rsid w:val="005A21E0"/>
    <w:rsid w:val="005A28FF"/>
    <w:rsid w:val="005A2C09"/>
    <w:rsid w:val="005A3778"/>
    <w:rsid w:val="005A3DF8"/>
    <w:rsid w:val="005A5549"/>
    <w:rsid w:val="005A7CF8"/>
    <w:rsid w:val="005B0EDA"/>
    <w:rsid w:val="005B121D"/>
    <w:rsid w:val="005B26B0"/>
    <w:rsid w:val="005B41C9"/>
    <w:rsid w:val="005B44E6"/>
    <w:rsid w:val="005B4853"/>
    <w:rsid w:val="005B6CA1"/>
    <w:rsid w:val="005B770C"/>
    <w:rsid w:val="005C06ED"/>
    <w:rsid w:val="005C11B8"/>
    <w:rsid w:val="005C216C"/>
    <w:rsid w:val="005C2609"/>
    <w:rsid w:val="005C2B30"/>
    <w:rsid w:val="005C412B"/>
    <w:rsid w:val="005C43EC"/>
    <w:rsid w:val="005C45DD"/>
    <w:rsid w:val="005C4CB1"/>
    <w:rsid w:val="005D3F06"/>
    <w:rsid w:val="005D4B73"/>
    <w:rsid w:val="005D5645"/>
    <w:rsid w:val="005D5802"/>
    <w:rsid w:val="005D5AA9"/>
    <w:rsid w:val="005D66E6"/>
    <w:rsid w:val="005D7119"/>
    <w:rsid w:val="005D76C8"/>
    <w:rsid w:val="005D7890"/>
    <w:rsid w:val="005E19C1"/>
    <w:rsid w:val="005E2194"/>
    <w:rsid w:val="005E24F0"/>
    <w:rsid w:val="005E36FE"/>
    <w:rsid w:val="005E3F66"/>
    <w:rsid w:val="005E490F"/>
    <w:rsid w:val="005E4BC9"/>
    <w:rsid w:val="005E5314"/>
    <w:rsid w:val="005E7C78"/>
    <w:rsid w:val="005F04A7"/>
    <w:rsid w:val="005F114F"/>
    <w:rsid w:val="005F18C5"/>
    <w:rsid w:val="005F2A08"/>
    <w:rsid w:val="005F36CC"/>
    <w:rsid w:val="005F3EB1"/>
    <w:rsid w:val="005F413E"/>
    <w:rsid w:val="005F466B"/>
    <w:rsid w:val="005F46D8"/>
    <w:rsid w:val="005F480F"/>
    <w:rsid w:val="005F5469"/>
    <w:rsid w:val="005F63F3"/>
    <w:rsid w:val="005F66F0"/>
    <w:rsid w:val="005F6D7F"/>
    <w:rsid w:val="005F7174"/>
    <w:rsid w:val="0060120D"/>
    <w:rsid w:val="00601ADE"/>
    <w:rsid w:val="00601EEF"/>
    <w:rsid w:val="0060255A"/>
    <w:rsid w:val="00602EB3"/>
    <w:rsid w:val="00604307"/>
    <w:rsid w:val="0060487F"/>
    <w:rsid w:val="00604EAD"/>
    <w:rsid w:val="0060513F"/>
    <w:rsid w:val="0060694B"/>
    <w:rsid w:val="006104FB"/>
    <w:rsid w:val="0061176D"/>
    <w:rsid w:val="0061200F"/>
    <w:rsid w:val="00612756"/>
    <w:rsid w:val="00612A2F"/>
    <w:rsid w:val="00612AAE"/>
    <w:rsid w:val="00612FD9"/>
    <w:rsid w:val="006139E0"/>
    <w:rsid w:val="00614D35"/>
    <w:rsid w:val="006156B4"/>
    <w:rsid w:val="00615DAF"/>
    <w:rsid w:val="00616E05"/>
    <w:rsid w:val="00617985"/>
    <w:rsid w:val="00620B77"/>
    <w:rsid w:val="0062131B"/>
    <w:rsid w:val="00621E26"/>
    <w:rsid w:val="006224EA"/>
    <w:rsid w:val="0062263A"/>
    <w:rsid w:val="006227DF"/>
    <w:rsid w:val="006236C8"/>
    <w:rsid w:val="00624093"/>
    <w:rsid w:val="00625A84"/>
    <w:rsid w:val="00626079"/>
    <w:rsid w:val="00631698"/>
    <w:rsid w:val="00631E44"/>
    <w:rsid w:val="00634C57"/>
    <w:rsid w:val="00634CE7"/>
    <w:rsid w:val="006350D5"/>
    <w:rsid w:val="0063642C"/>
    <w:rsid w:val="00637858"/>
    <w:rsid w:val="006404A7"/>
    <w:rsid w:val="00640A38"/>
    <w:rsid w:val="00640E6B"/>
    <w:rsid w:val="00641787"/>
    <w:rsid w:val="0064179B"/>
    <w:rsid w:val="00642489"/>
    <w:rsid w:val="00644055"/>
    <w:rsid w:val="00644137"/>
    <w:rsid w:val="0064478C"/>
    <w:rsid w:val="00645160"/>
    <w:rsid w:val="006451E4"/>
    <w:rsid w:val="0064574B"/>
    <w:rsid w:val="00645B33"/>
    <w:rsid w:val="006516CB"/>
    <w:rsid w:val="00653BD0"/>
    <w:rsid w:val="00654110"/>
    <w:rsid w:val="00656C5D"/>
    <w:rsid w:val="00656CFB"/>
    <w:rsid w:val="00657E87"/>
    <w:rsid w:val="00660D2D"/>
    <w:rsid w:val="00661C41"/>
    <w:rsid w:val="00661EC9"/>
    <w:rsid w:val="00662469"/>
    <w:rsid w:val="0066411C"/>
    <w:rsid w:val="00664205"/>
    <w:rsid w:val="00664647"/>
    <w:rsid w:val="00664803"/>
    <w:rsid w:val="006653CC"/>
    <w:rsid w:val="00665982"/>
    <w:rsid w:val="00665BA4"/>
    <w:rsid w:val="00666BF3"/>
    <w:rsid w:val="00667856"/>
    <w:rsid w:val="00667AF2"/>
    <w:rsid w:val="00670489"/>
    <w:rsid w:val="006710C9"/>
    <w:rsid w:val="00672586"/>
    <w:rsid w:val="006741CD"/>
    <w:rsid w:val="00674D89"/>
    <w:rsid w:val="0067514E"/>
    <w:rsid w:val="00675E37"/>
    <w:rsid w:val="00676736"/>
    <w:rsid w:val="006769A4"/>
    <w:rsid w:val="006769C6"/>
    <w:rsid w:val="00676D76"/>
    <w:rsid w:val="00676F9F"/>
    <w:rsid w:val="00677519"/>
    <w:rsid w:val="00677591"/>
    <w:rsid w:val="00677594"/>
    <w:rsid w:val="0068032F"/>
    <w:rsid w:val="00680D37"/>
    <w:rsid w:val="0068174E"/>
    <w:rsid w:val="00681DCE"/>
    <w:rsid w:val="00682110"/>
    <w:rsid w:val="0068260E"/>
    <w:rsid w:val="006846B3"/>
    <w:rsid w:val="00684D59"/>
    <w:rsid w:val="00684E25"/>
    <w:rsid w:val="006858A4"/>
    <w:rsid w:val="00686718"/>
    <w:rsid w:val="00686BFA"/>
    <w:rsid w:val="00686DED"/>
    <w:rsid w:val="006875A0"/>
    <w:rsid w:val="006878C6"/>
    <w:rsid w:val="00687D27"/>
    <w:rsid w:val="00691943"/>
    <w:rsid w:val="00693550"/>
    <w:rsid w:val="00695065"/>
    <w:rsid w:val="00695BEF"/>
    <w:rsid w:val="00696251"/>
    <w:rsid w:val="006966C7"/>
    <w:rsid w:val="006968C1"/>
    <w:rsid w:val="006977F6"/>
    <w:rsid w:val="00697A13"/>
    <w:rsid w:val="006A0DD4"/>
    <w:rsid w:val="006A109C"/>
    <w:rsid w:val="006A5F4B"/>
    <w:rsid w:val="006A6565"/>
    <w:rsid w:val="006A7691"/>
    <w:rsid w:val="006A7EE2"/>
    <w:rsid w:val="006B0514"/>
    <w:rsid w:val="006B0F92"/>
    <w:rsid w:val="006B2785"/>
    <w:rsid w:val="006B27C7"/>
    <w:rsid w:val="006B344A"/>
    <w:rsid w:val="006B58C9"/>
    <w:rsid w:val="006B60ED"/>
    <w:rsid w:val="006B6CC5"/>
    <w:rsid w:val="006B74AC"/>
    <w:rsid w:val="006B78D8"/>
    <w:rsid w:val="006B79EA"/>
    <w:rsid w:val="006C0C5D"/>
    <w:rsid w:val="006C113F"/>
    <w:rsid w:val="006C123E"/>
    <w:rsid w:val="006C15A1"/>
    <w:rsid w:val="006C1752"/>
    <w:rsid w:val="006C1DDC"/>
    <w:rsid w:val="006C28CA"/>
    <w:rsid w:val="006C2BBF"/>
    <w:rsid w:val="006C2FBD"/>
    <w:rsid w:val="006C4355"/>
    <w:rsid w:val="006C469D"/>
    <w:rsid w:val="006C46B5"/>
    <w:rsid w:val="006C484F"/>
    <w:rsid w:val="006C52EC"/>
    <w:rsid w:val="006C5506"/>
    <w:rsid w:val="006C56D4"/>
    <w:rsid w:val="006C6681"/>
    <w:rsid w:val="006C683C"/>
    <w:rsid w:val="006C6924"/>
    <w:rsid w:val="006C6C1E"/>
    <w:rsid w:val="006C7076"/>
    <w:rsid w:val="006C7AEC"/>
    <w:rsid w:val="006C7CA6"/>
    <w:rsid w:val="006D18B3"/>
    <w:rsid w:val="006D1E89"/>
    <w:rsid w:val="006D317E"/>
    <w:rsid w:val="006D3E8A"/>
    <w:rsid w:val="006D61F6"/>
    <w:rsid w:val="006E1332"/>
    <w:rsid w:val="006E279A"/>
    <w:rsid w:val="006E313B"/>
    <w:rsid w:val="006E34B2"/>
    <w:rsid w:val="006E3A45"/>
    <w:rsid w:val="006E4078"/>
    <w:rsid w:val="006E53AD"/>
    <w:rsid w:val="006E58CB"/>
    <w:rsid w:val="006E7227"/>
    <w:rsid w:val="006E761A"/>
    <w:rsid w:val="006F0741"/>
    <w:rsid w:val="006F1C27"/>
    <w:rsid w:val="006F2A65"/>
    <w:rsid w:val="006F3DD6"/>
    <w:rsid w:val="006F40DF"/>
    <w:rsid w:val="006F42BB"/>
    <w:rsid w:val="006F438E"/>
    <w:rsid w:val="006F440B"/>
    <w:rsid w:val="006F48A3"/>
    <w:rsid w:val="006F4DA4"/>
    <w:rsid w:val="006F5416"/>
    <w:rsid w:val="006F624B"/>
    <w:rsid w:val="006F6D87"/>
    <w:rsid w:val="0070398A"/>
    <w:rsid w:val="00705242"/>
    <w:rsid w:val="007055E0"/>
    <w:rsid w:val="007056ED"/>
    <w:rsid w:val="00705F4E"/>
    <w:rsid w:val="007065C5"/>
    <w:rsid w:val="007068E1"/>
    <w:rsid w:val="00706AA0"/>
    <w:rsid w:val="00706AD4"/>
    <w:rsid w:val="00707150"/>
    <w:rsid w:val="007124D7"/>
    <w:rsid w:val="00712C20"/>
    <w:rsid w:val="00713549"/>
    <w:rsid w:val="007140BE"/>
    <w:rsid w:val="007147AB"/>
    <w:rsid w:val="00715502"/>
    <w:rsid w:val="00715E4D"/>
    <w:rsid w:val="0071677A"/>
    <w:rsid w:val="00716F48"/>
    <w:rsid w:val="00717114"/>
    <w:rsid w:val="0071779F"/>
    <w:rsid w:val="007211F5"/>
    <w:rsid w:val="00721601"/>
    <w:rsid w:val="00722777"/>
    <w:rsid w:val="00723435"/>
    <w:rsid w:val="00723436"/>
    <w:rsid w:val="007240E2"/>
    <w:rsid w:val="0072454C"/>
    <w:rsid w:val="0072583E"/>
    <w:rsid w:val="00725BB5"/>
    <w:rsid w:val="00727C02"/>
    <w:rsid w:val="0073008E"/>
    <w:rsid w:val="00730AE8"/>
    <w:rsid w:val="00730F1B"/>
    <w:rsid w:val="0073186D"/>
    <w:rsid w:val="0073333D"/>
    <w:rsid w:val="007343D9"/>
    <w:rsid w:val="00734F71"/>
    <w:rsid w:val="00735448"/>
    <w:rsid w:val="00736F07"/>
    <w:rsid w:val="007377BD"/>
    <w:rsid w:val="00737DEC"/>
    <w:rsid w:val="0074004D"/>
    <w:rsid w:val="00741493"/>
    <w:rsid w:val="007434E5"/>
    <w:rsid w:val="0074499B"/>
    <w:rsid w:val="007450BF"/>
    <w:rsid w:val="007471A1"/>
    <w:rsid w:val="007477BD"/>
    <w:rsid w:val="00747EE9"/>
    <w:rsid w:val="007520B6"/>
    <w:rsid w:val="00752180"/>
    <w:rsid w:val="00752323"/>
    <w:rsid w:val="007532B7"/>
    <w:rsid w:val="00753CAB"/>
    <w:rsid w:val="00754A70"/>
    <w:rsid w:val="00754BC9"/>
    <w:rsid w:val="00755202"/>
    <w:rsid w:val="00755D3A"/>
    <w:rsid w:val="00757241"/>
    <w:rsid w:val="0075751D"/>
    <w:rsid w:val="0075763E"/>
    <w:rsid w:val="007578D3"/>
    <w:rsid w:val="007602CF"/>
    <w:rsid w:val="00760391"/>
    <w:rsid w:val="007609C6"/>
    <w:rsid w:val="007615F3"/>
    <w:rsid w:val="0076175D"/>
    <w:rsid w:val="00761CB5"/>
    <w:rsid w:val="007629D5"/>
    <w:rsid w:val="007635F8"/>
    <w:rsid w:val="00763B85"/>
    <w:rsid w:val="00764974"/>
    <w:rsid w:val="00764D18"/>
    <w:rsid w:val="0076521E"/>
    <w:rsid w:val="00765BCC"/>
    <w:rsid w:val="0076600D"/>
    <w:rsid w:val="007661E9"/>
    <w:rsid w:val="00766460"/>
    <w:rsid w:val="00767062"/>
    <w:rsid w:val="00767601"/>
    <w:rsid w:val="00767777"/>
    <w:rsid w:val="00770CFC"/>
    <w:rsid w:val="0077130E"/>
    <w:rsid w:val="007715EE"/>
    <w:rsid w:val="00771972"/>
    <w:rsid w:val="00772279"/>
    <w:rsid w:val="00772DAB"/>
    <w:rsid w:val="00772FF9"/>
    <w:rsid w:val="00774D2C"/>
    <w:rsid w:val="0077605B"/>
    <w:rsid w:val="00776169"/>
    <w:rsid w:val="00776527"/>
    <w:rsid w:val="00777040"/>
    <w:rsid w:val="00777CE6"/>
    <w:rsid w:val="00777D57"/>
    <w:rsid w:val="00780EF1"/>
    <w:rsid w:val="00781A91"/>
    <w:rsid w:val="00781F36"/>
    <w:rsid w:val="00785778"/>
    <w:rsid w:val="00786C87"/>
    <w:rsid w:val="0078755E"/>
    <w:rsid w:val="007877C9"/>
    <w:rsid w:val="00790764"/>
    <w:rsid w:val="0079085F"/>
    <w:rsid w:val="00790E96"/>
    <w:rsid w:val="00791005"/>
    <w:rsid w:val="00793D78"/>
    <w:rsid w:val="0079420B"/>
    <w:rsid w:val="0079453C"/>
    <w:rsid w:val="00794677"/>
    <w:rsid w:val="00795759"/>
    <w:rsid w:val="007A170B"/>
    <w:rsid w:val="007A20EB"/>
    <w:rsid w:val="007A282C"/>
    <w:rsid w:val="007A293C"/>
    <w:rsid w:val="007A2A3A"/>
    <w:rsid w:val="007A33E2"/>
    <w:rsid w:val="007A3CAF"/>
    <w:rsid w:val="007A4782"/>
    <w:rsid w:val="007A516D"/>
    <w:rsid w:val="007A5E65"/>
    <w:rsid w:val="007A65E1"/>
    <w:rsid w:val="007A6AAA"/>
    <w:rsid w:val="007A7033"/>
    <w:rsid w:val="007A775D"/>
    <w:rsid w:val="007B0834"/>
    <w:rsid w:val="007B0E83"/>
    <w:rsid w:val="007B11FA"/>
    <w:rsid w:val="007B1396"/>
    <w:rsid w:val="007B16D6"/>
    <w:rsid w:val="007B2011"/>
    <w:rsid w:val="007B2CFE"/>
    <w:rsid w:val="007B309B"/>
    <w:rsid w:val="007B3D5E"/>
    <w:rsid w:val="007B3DCB"/>
    <w:rsid w:val="007B5725"/>
    <w:rsid w:val="007B5C1F"/>
    <w:rsid w:val="007B6689"/>
    <w:rsid w:val="007B6747"/>
    <w:rsid w:val="007B6F72"/>
    <w:rsid w:val="007C10BD"/>
    <w:rsid w:val="007C1F0C"/>
    <w:rsid w:val="007C1FFB"/>
    <w:rsid w:val="007C2D94"/>
    <w:rsid w:val="007C5F92"/>
    <w:rsid w:val="007C6227"/>
    <w:rsid w:val="007C6BBD"/>
    <w:rsid w:val="007C6D89"/>
    <w:rsid w:val="007C6F5E"/>
    <w:rsid w:val="007D0382"/>
    <w:rsid w:val="007D14FE"/>
    <w:rsid w:val="007D1A1F"/>
    <w:rsid w:val="007D213B"/>
    <w:rsid w:val="007D2E18"/>
    <w:rsid w:val="007D40DF"/>
    <w:rsid w:val="007D42E5"/>
    <w:rsid w:val="007D4458"/>
    <w:rsid w:val="007D6AF9"/>
    <w:rsid w:val="007E0535"/>
    <w:rsid w:val="007E0D4A"/>
    <w:rsid w:val="007E1788"/>
    <w:rsid w:val="007E1EE3"/>
    <w:rsid w:val="007E29B4"/>
    <w:rsid w:val="007E2F12"/>
    <w:rsid w:val="007E435A"/>
    <w:rsid w:val="007E445C"/>
    <w:rsid w:val="007E49F7"/>
    <w:rsid w:val="007E4C70"/>
    <w:rsid w:val="007E5B5F"/>
    <w:rsid w:val="007E78B6"/>
    <w:rsid w:val="007E7E61"/>
    <w:rsid w:val="007F0845"/>
    <w:rsid w:val="007F0873"/>
    <w:rsid w:val="007F20F3"/>
    <w:rsid w:val="007F2353"/>
    <w:rsid w:val="007F2390"/>
    <w:rsid w:val="007F2CAC"/>
    <w:rsid w:val="007F4740"/>
    <w:rsid w:val="007F595A"/>
    <w:rsid w:val="007F5C38"/>
    <w:rsid w:val="007F708D"/>
    <w:rsid w:val="007F7E3F"/>
    <w:rsid w:val="008006B3"/>
    <w:rsid w:val="00800B63"/>
    <w:rsid w:val="0080158A"/>
    <w:rsid w:val="00801E13"/>
    <w:rsid w:val="00803008"/>
    <w:rsid w:val="00803069"/>
    <w:rsid w:val="0080346B"/>
    <w:rsid w:val="00804155"/>
    <w:rsid w:val="00804C9F"/>
    <w:rsid w:val="0080559E"/>
    <w:rsid w:val="00805AF3"/>
    <w:rsid w:val="00806C9C"/>
    <w:rsid w:val="0080734C"/>
    <w:rsid w:val="00807C82"/>
    <w:rsid w:val="008117CC"/>
    <w:rsid w:val="00813D58"/>
    <w:rsid w:val="00813DCA"/>
    <w:rsid w:val="008161A6"/>
    <w:rsid w:val="008165B8"/>
    <w:rsid w:val="00816905"/>
    <w:rsid w:val="00816D98"/>
    <w:rsid w:val="00816E42"/>
    <w:rsid w:val="00817040"/>
    <w:rsid w:val="00817A17"/>
    <w:rsid w:val="00817EC1"/>
    <w:rsid w:val="0082112D"/>
    <w:rsid w:val="00821FF6"/>
    <w:rsid w:val="00822574"/>
    <w:rsid w:val="00822980"/>
    <w:rsid w:val="00822F08"/>
    <w:rsid w:val="00825C4D"/>
    <w:rsid w:val="00826A08"/>
    <w:rsid w:val="00826AC0"/>
    <w:rsid w:val="00827186"/>
    <w:rsid w:val="00827C8E"/>
    <w:rsid w:val="00830569"/>
    <w:rsid w:val="00830AEA"/>
    <w:rsid w:val="00830E86"/>
    <w:rsid w:val="0083143E"/>
    <w:rsid w:val="008315B8"/>
    <w:rsid w:val="008315D5"/>
    <w:rsid w:val="00831CDE"/>
    <w:rsid w:val="00831F2B"/>
    <w:rsid w:val="008320CF"/>
    <w:rsid w:val="00832F77"/>
    <w:rsid w:val="00834304"/>
    <w:rsid w:val="00834FAA"/>
    <w:rsid w:val="008354FB"/>
    <w:rsid w:val="00835FF1"/>
    <w:rsid w:val="00836086"/>
    <w:rsid w:val="0083630F"/>
    <w:rsid w:val="00836A06"/>
    <w:rsid w:val="008374BC"/>
    <w:rsid w:val="008379D6"/>
    <w:rsid w:val="00837E48"/>
    <w:rsid w:val="00840293"/>
    <w:rsid w:val="008402AD"/>
    <w:rsid w:val="008408D4"/>
    <w:rsid w:val="008417B5"/>
    <w:rsid w:val="00841901"/>
    <w:rsid w:val="008458BD"/>
    <w:rsid w:val="00846121"/>
    <w:rsid w:val="008461C2"/>
    <w:rsid w:val="008462F1"/>
    <w:rsid w:val="008466C6"/>
    <w:rsid w:val="0084708F"/>
    <w:rsid w:val="008477C8"/>
    <w:rsid w:val="008478A6"/>
    <w:rsid w:val="008502F6"/>
    <w:rsid w:val="0085114D"/>
    <w:rsid w:val="008520A8"/>
    <w:rsid w:val="00852217"/>
    <w:rsid w:val="00853282"/>
    <w:rsid w:val="0085334C"/>
    <w:rsid w:val="00855408"/>
    <w:rsid w:val="00855D03"/>
    <w:rsid w:val="00856D65"/>
    <w:rsid w:val="00861B41"/>
    <w:rsid w:val="00861B9F"/>
    <w:rsid w:val="00861BE3"/>
    <w:rsid w:val="008625D3"/>
    <w:rsid w:val="00863434"/>
    <w:rsid w:val="0086344F"/>
    <w:rsid w:val="008641AC"/>
    <w:rsid w:val="00865E4C"/>
    <w:rsid w:val="00867546"/>
    <w:rsid w:val="0086796D"/>
    <w:rsid w:val="00867DAB"/>
    <w:rsid w:val="0087000B"/>
    <w:rsid w:val="008701E4"/>
    <w:rsid w:val="008704E9"/>
    <w:rsid w:val="00870ECD"/>
    <w:rsid w:val="0087347C"/>
    <w:rsid w:val="008734E7"/>
    <w:rsid w:val="0087368D"/>
    <w:rsid w:val="008740CC"/>
    <w:rsid w:val="00874FE8"/>
    <w:rsid w:val="00875A32"/>
    <w:rsid w:val="00876086"/>
    <w:rsid w:val="00876E83"/>
    <w:rsid w:val="008772BC"/>
    <w:rsid w:val="00880A0E"/>
    <w:rsid w:val="008817FE"/>
    <w:rsid w:val="00881CD7"/>
    <w:rsid w:val="00882911"/>
    <w:rsid w:val="00882F6E"/>
    <w:rsid w:val="00883202"/>
    <w:rsid w:val="00884E02"/>
    <w:rsid w:val="00885D40"/>
    <w:rsid w:val="008873D4"/>
    <w:rsid w:val="00890CB1"/>
    <w:rsid w:val="00891EDF"/>
    <w:rsid w:val="00892872"/>
    <w:rsid w:val="0089296D"/>
    <w:rsid w:val="00893E85"/>
    <w:rsid w:val="00893EBE"/>
    <w:rsid w:val="00894031"/>
    <w:rsid w:val="00894C5D"/>
    <w:rsid w:val="00895508"/>
    <w:rsid w:val="008967E9"/>
    <w:rsid w:val="00896A5C"/>
    <w:rsid w:val="008972D2"/>
    <w:rsid w:val="0089754C"/>
    <w:rsid w:val="008A0659"/>
    <w:rsid w:val="008A0ADD"/>
    <w:rsid w:val="008A0D27"/>
    <w:rsid w:val="008A0E06"/>
    <w:rsid w:val="008A1C59"/>
    <w:rsid w:val="008A37E2"/>
    <w:rsid w:val="008A388E"/>
    <w:rsid w:val="008A394E"/>
    <w:rsid w:val="008A3CBA"/>
    <w:rsid w:val="008A4B59"/>
    <w:rsid w:val="008A63E1"/>
    <w:rsid w:val="008A66B7"/>
    <w:rsid w:val="008A68BB"/>
    <w:rsid w:val="008A6AA5"/>
    <w:rsid w:val="008A7127"/>
    <w:rsid w:val="008B0CBA"/>
    <w:rsid w:val="008B2639"/>
    <w:rsid w:val="008B3537"/>
    <w:rsid w:val="008B3690"/>
    <w:rsid w:val="008B3A80"/>
    <w:rsid w:val="008B3AEC"/>
    <w:rsid w:val="008B3C07"/>
    <w:rsid w:val="008B3F7B"/>
    <w:rsid w:val="008B5324"/>
    <w:rsid w:val="008B5C99"/>
    <w:rsid w:val="008B6106"/>
    <w:rsid w:val="008B7C02"/>
    <w:rsid w:val="008B7D2B"/>
    <w:rsid w:val="008B7EF9"/>
    <w:rsid w:val="008C0049"/>
    <w:rsid w:val="008C0314"/>
    <w:rsid w:val="008C0E88"/>
    <w:rsid w:val="008C1717"/>
    <w:rsid w:val="008C3B05"/>
    <w:rsid w:val="008C4B50"/>
    <w:rsid w:val="008C5A37"/>
    <w:rsid w:val="008C7569"/>
    <w:rsid w:val="008C79C3"/>
    <w:rsid w:val="008D006F"/>
    <w:rsid w:val="008D033D"/>
    <w:rsid w:val="008D0DBD"/>
    <w:rsid w:val="008D117E"/>
    <w:rsid w:val="008D127E"/>
    <w:rsid w:val="008D1CA8"/>
    <w:rsid w:val="008D1E0A"/>
    <w:rsid w:val="008D1E6A"/>
    <w:rsid w:val="008D2A16"/>
    <w:rsid w:val="008D33F5"/>
    <w:rsid w:val="008D35E4"/>
    <w:rsid w:val="008D3ACD"/>
    <w:rsid w:val="008D6C3A"/>
    <w:rsid w:val="008D70E2"/>
    <w:rsid w:val="008E0001"/>
    <w:rsid w:val="008E292B"/>
    <w:rsid w:val="008E2C57"/>
    <w:rsid w:val="008E31FF"/>
    <w:rsid w:val="008E3287"/>
    <w:rsid w:val="008E6DCB"/>
    <w:rsid w:val="008E6F06"/>
    <w:rsid w:val="008E7B8E"/>
    <w:rsid w:val="008E7FC9"/>
    <w:rsid w:val="008F0107"/>
    <w:rsid w:val="008F029B"/>
    <w:rsid w:val="008F0589"/>
    <w:rsid w:val="008F2A5D"/>
    <w:rsid w:val="008F3636"/>
    <w:rsid w:val="008F3FC9"/>
    <w:rsid w:val="008F509F"/>
    <w:rsid w:val="008F5383"/>
    <w:rsid w:val="008F585B"/>
    <w:rsid w:val="008F7FB0"/>
    <w:rsid w:val="009003A8"/>
    <w:rsid w:val="009005E4"/>
    <w:rsid w:val="00900977"/>
    <w:rsid w:val="009021DA"/>
    <w:rsid w:val="00902500"/>
    <w:rsid w:val="00902EFF"/>
    <w:rsid w:val="00903A8E"/>
    <w:rsid w:val="0090432C"/>
    <w:rsid w:val="00904F96"/>
    <w:rsid w:val="009052A3"/>
    <w:rsid w:val="00905314"/>
    <w:rsid w:val="009056D7"/>
    <w:rsid w:val="00905B8D"/>
    <w:rsid w:val="00906401"/>
    <w:rsid w:val="009065CB"/>
    <w:rsid w:val="009067EA"/>
    <w:rsid w:val="00906B79"/>
    <w:rsid w:val="0090786F"/>
    <w:rsid w:val="0091001E"/>
    <w:rsid w:val="00910C18"/>
    <w:rsid w:val="009110F7"/>
    <w:rsid w:val="0091155E"/>
    <w:rsid w:val="00912437"/>
    <w:rsid w:val="00912A92"/>
    <w:rsid w:val="00915D07"/>
    <w:rsid w:val="009162AE"/>
    <w:rsid w:val="00917251"/>
    <w:rsid w:val="0091728D"/>
    <w:rsid w:val="0092036B"/>
    <w:rsid w:val="009203CC"/>
    <w:rsid w:val="00920EC4"/>
    <w:rsid w:val="0092180B"/>
    <w:rsid w:val="00921F14"/>
    <w:rsid w:val="0092292F"/>
    <w:rsid w:val="00923CB0"/>
    <w:rsid w:val="00923D8C"/>
    <w:rsid w:val="00924871"/>
    <w:rsid w:val="00924AC8"/>
    <w:rsid w:val="00925429"/>
    <w:rsid w:val="00925615"/>
    <w:rsid w:val="0092597A"/>
    <w:rsid w:val="00926520"/>
    <w:rsid w:val="00926CF0"/>
    <w:rsid w:val="009273A9"/>
    <w:rsid w:val="00930251"/>
    <w:rsid w:val="0093033E"/>
    <w:rsid w:val="009305FC"/>
    <w:rsid w:val="00930FB1"/>
    <w:rsid w:val="0093139F"/>
    <w:rsid w:val="00932443"/>
    <w:rsid w:val="00932B32"/>
    <w:rsid w:val="00933F4A"/>
    <w:rsid w:val="009341F1"/>
    <w:rsid w:val="00934FF2"/>
    <w:rsid w:val="009358D7"/>
    <w:rsid w:val="00935BD4"/>
    <w:rsid w:val="00935DFE"/>
    <w:rsid w:val="00935F70"/>
    <w:rsid w:val="009373B2"/>
    <w:rsid w:val="00937AE2"/>
    <w:rsid w:val="0094061F"/>
    <w:rsid w:val="00940F0F"/>
    <w:rsid w:val="0094416B"/>
    <w:rsid w:val="0094427A"/>
    <w:rsid w:val="00944C7C"/>
    <w:rsid w:val="00945245"/>
    <w:rsid w:val="00945523"/>
    <w:rsid w:val="00950921"/>
    <w:rsid w:val="00951D68"/>
    <w:rsid w:val="00951E5B"/>
    <w:rsid w:val="00952B7B"/>
    <w:rsid w:val="00954F39"/>
    <w:rsid w:val="009555FD"/>
    <w:rsid w:val="0095664B"/>
    <w:rsid w:val="009568DC"/>
    <w:rsid w:val="00957445"/>
    <w:rsid w:val="0095759C"/>
    <w:rsid w:val="009618EE"/>
    <w:rsid w:val="00961DDD"/>
    <w:rsid w:val="009624D2"/>
    <w:rsid w:val="009628D9"/>
    <w:rsid w:val="009637AE"/>
    <w:rsid w:val="00963A06"/>
    <w:rsid w:val="00964068"/>
    <w:rsid w:val="009640F6"/>
    <w:rsid w:val="0096469D"/>
    <w:rsid w:val="00964776"/>
    <w:rsid w:val="00964A4E"/>
    <w:rsid w:val="00964B35"/>
    <w:rsid w:val="009651C7"/>
    <w:rsid w:val="00965797"/>
    <w:rsid w:val="00965A10"/>
    <w:rsid w:val="00965AD0"/>
    <w:rsid w:val="009670A3"/>
    <w:rsid w:val="009674BE"/>
    <w:rsid w:val="00970FB5"/>
    <w:rsid w:val="00971710"/>
    <w:rsid w:val="00971B87"/>
    <w:rsid w:val="00971C77"/>
    <w:rsid w:val="00972FCD"/>
    <w:rsid w:val="00973324"/>
    <w:rsid w:val="009736DF"/>
    <w:rsid w:val="009741AE"/>
    <w:rsid w:val="009741FC"/>
    <w:rsid w:val="00974782"/>
    <w:rsid w:val="00974923"/>
    <w:rsid w:val="00975909"/>
    <w:rsid w:val="00977C3D"/>
    <w:rsid w:val="00980D3D"/>
    <w:rsid w:val="0098103E"/>
    <w:rsid w:val="0098157D"/>
    <w:rsid w:val="00983101"/>
    <w:rsid w:val="00983E41"/>
    <w:rsid w:val="009845E1"/>
    <w:rsid w:val="00984D1B"/>
    <w:rsid w:val="00986246"/>
    <w:rsid w:val="00987A30"/>
    <w:rsid w:val="00990312"/>
    <w:rsid w:val="0099182E"/>
    <w:rsid w:val="00992CF3"/>
    <w:rsid w:val="00993194"/>
    <w:rsid w:val="0099321E"/>
    <w:rsid w:val="00994171"/>
    <w:rsid w:val="00994868"/>
    <w:rsid w:val="00994D28"/>
    <w:rsid w:val="00994F2C"/>
    <w:rsid w:val="009957CC"/>
    <w:rsid w:val="009968D6"/>
    <w:rsid w:val="00997953"/>
    <w:rsid w:val="009A0BFF"/>
    <w:rsid w:val="009A10A0"/>
    <w:rsid w:val="009A1CAB"/>
    <w:rsid w:val="009A2359"/>
    <w:rsid w:val="009A24F1"/>
    <w:rsid w:val="009A27E0"/>
    <w:rsid w:val="009A4D57"/>
    <w:rsid w:val="009A51A5"/>
    <w:rsid w:val="009A60D1"/>
    <w:rsid w:val="009A6225"/>
    <w:rsid w:val="009A64F5"/>
    <w:rsid w:val="009B00D2"/>
    <w:rsid w:val="009B05B3"/>
    <w:rsid w:val="009B284F"/>
    <w:rsid w:val="009B3764"/>
    <w:rsid w:val="009B52AC"/>
    <w:rsid w:val="009B59EA"/>
    <w:rsid w:val="009B66CE"/>
    <w:rsid w:val="009B6FD3"/>
    <w:rsid w:val="009B72BE"/>
    <w:rsid w:val="009B78A4"/>
    <w:rsid w:val="009B7DB2"/>
    <w:rsid w:val="009C03DB"/>
    <w:rsid w:val="009C1750"/>
    <w:rsid w:val="009C2E29"/>
    <w:rsid w:val="009C3E8F"/>
    <w:rsid w:val="009C554B"/>
    <w:rsid w:val="009C5E83"/>
    <w:rsid w:val="009C7126"/>
    <w:rsid w:val="009C719E"/>
    <w:rsid w:val="009C7799"/>
    <w:rsid w:val="009D07A9"/>
    <w:rsid w:val="009D0AE2"/>
    <w:rsid w:val="009D0D9F"/>
    <w:rsid w:val="009D0EBB"/>
    <w:rsid w:val="009D2C46"/>
    <w:rsid w:val="009D3ACD"/>
    <w:rsid w:val="009D4254"/>
    <w:rsid w:val="009D4F21"/>
    <w:rsid w:val="009D587D"/>
    <w:rsid w:val="009D7731"/>
    <w:rsid w:val="009E1120"/>
    <w:rsid w:val="009E1393"/>
    <w:rsid w:val="009E1922"/>
    <w:rsid w:val="009E1A3D"/>
    <w:rsid w:val="009E4715"/>
    <w:rsid w:val="009E4A58"/>
    <w:rsid w:val="009E5273"/>
    <w:rsid w:val="009E57A8"/>
    <w:rsid w:val="009E5B85"/>
    <w:rsid w:val="009E5DDB"/>
    <w:rsid w:val="009F2921"/>
    <w:rsid w:val="009F42CF"/>
    <w:rsid w:val="009F4982"/>
    <w:rsid w:val="009F4CA7"/>
    <w:rsid w:val="009F4F6A"/>
    <w:rsid w:val="009F55BA"/>
    <w:rsid w:val="009F7D36"/>
    <w:rsid w:val="009F7D61"/>
    <w:rsid w:val="00A00E71"/>
    <w:rsid w:val="00A0306F"/>
    <w:rsid w:val="00A03B10"/>
    <w:rsid w:val="00A03E2E"/>
    <w:rsid w:val="00A04616"/>
    <w:rsid w:val="00A04717"/>
    <w:rsid w:val="00A05D8F"/>
    <w:rsid w:val="00A05EE4"/>
    <w:rsid w:val="00A06F99"/>
    <w:rsid w:val="00A1053B"/>
    <w:rsid w:val="00A10D66"/>
    <w:rsid w:val="00A113A4"/>
    <w:rsid w:val="00A14114"/>
    <w:rsid w:val="00A16413"/>
    <w:rsid w:val="00A16545"/>
    <w:rsid w:val="00A16AED"/>
    <w:rsid w:val="00A16C37"/>
    <w:rsid w:val="00A16E1D"/>
    <w:rsid w:val="00A171D5"/>
    <w:rsid w:val="00A17A15"/>
    <w:rsid w:val="00A17D5B"/>
    <w:rsid w:val="00A2016A"/>
    <w:rsid w:val="00A201E1"/>
    <w:rsid w:val="00A20FE1"/>
    <w:rsid w:val="00A21B4D"/>
    <w:rsid w:val="00A22073"/>
    <w:rsid w:val="00A223E0"/>
    <w:rsid w:val="00A22959"/>
    <w:rsid w:val="00A23158"/>
    <w:rsid w:val="00A23847"/>
    <w:rsid w:val="00A23E43"/>
    <w:rsid w:val="00A24726"/>
    <w:rsid w:val="00A24DEB"/>
    <w:rsid w:val="00A24ED9"/>
    <w:rsid w:val="00A251DB"/>
    <w:rsid w:val="00A25216"/>
    <w:rsid w:val="00A2597D"/>
    <w:rsid w:val="00A2628E"/>
    <w:rsid w:val="00A266BF"/>
    <w:rsid w:val="00A2731E"/>
    <w:rsid w:val="00A309AC"/>
    <w:rsid w:val="00A30F65"/>
    <w:rsid w:val="00A3279E"/>
    <w:rsid w:val="00A35900"/>
    <w:rsid w:val="00A40EAC"/>
    <w:rsid w:val="00A418BC"/>
    <w:rsid w:val="00A419FF"/>
    <w:rsid w:val="00A41FCF"/>
    <w:rsid w:val="00A42936"/>
    <w:rsid w:val="00A43CF8"/>
    <w:rsid w:val="00A43DF2"/>
    <w:rsid w:val="00A445A8"/>
    <w:rsid w:val="00A44B0D"/>
    <w:rsid w:val="00A44D21"/>
    <w:rsid w:val="00A45087"/>
    <w:rsid w:val="00A45489"/>
    <w:rsid w:val="00A45CED"/>
    <w:rsid w:val="00A465E9"/>
    <w:rsid w:val="00A468E7"/>
    <w:rsid w:val="00A46DE0"/>
    <w:rsid w:val="00A478BA"/>
    <w:rsid w:val="00A50D73"/>
    <w:rsid w:val="00A518BB"/>
    <w:rsid w:val="00A52A88"/>
    <w:rsid w:val="00A52CAD"/>
    <w:rsid w:val="00A53FC7"/>
    <w:rsid w:val="00A55569"/>
    <w:rsid w:val="00A566A0"/>
    <w:rsid w:val="00A601E7"/>
    <w:rsid w:val="00A60AC1"/>
    <w:rsid w:val="00A626FF"/>
    <w:rsid w:val="00A62CE1"/>
    <w:rsid w:val="00A65469"/>
    <w:rsid w:val="00A65528"/>
    <w:rsid w:val="00A655D3"/>
    <w:rsid w:val="00A662D9"/>
    <w:rsid w:val="00A6741E"/>
    <w:rsid w:val="00A67E29"/>
    <w:rsid w:val="00A7016A"/>
    <w:rsid w:val="00A7018D"/>
    <w:rsid w:val="00A7191D"/>
    <w:rsid w:val="00A722F9"/>
    <w:rsid w:val="00A72D42"/>
    <w:rsid w:val="00A746C9"/>
    <w:rsid w:val="00A74C2A"/>
    <w:rsid w:val="00A75E40"/>
    <w:rsid w:val="00A76818"/>
    <w:rsid w:val="00A77D1D"/>
    <w:rsid w:val="00A81652"/>
    <w:rsid w:val="00A82C91"/>
    <w:rsid w:val="00A83150"/>
    <w:rsid w:val="00A83398"/>
    <w:rsid w:val="00A83D6E"/>
    <w:rsid w:val="00A83FD5"/>
    <w:rsid w:val="00A8521A"/>
    <w:rsid w:val="00A857C0"/>
    <w:rsid w:val="00A85ACB"/>
    <w:rsid w:val="00A90F2C"/>
    <w:rsid w:val="00A90FED"/>
    <w:rsid w:val="00A91482"/>
    <w:rsid w:val="00A9189D"/>
    <w:rsid w:val="00A91E71"/>
    <w:rsid w:val="00A925B1"/>
    <w:rsid w:val="00A92A3E"/>
    <w:rsid w:val="00A934F9"/>
    <w:rsid w:val="00A940E3"/>
    <w:rsid w:val="00A94983"/>
    <w:rsid w:val="00A95F1A"/>
    <w:rsid w:val="00A96116"/>
    <w:rsid w:val="00A9614E"/>
    <w:rsid w:val="00A96422"/>
    <w:rsid w:val="00A96C0F"/>
    <w:rsid w:val="00A97075"/>
    <w:rsid w:val="00AA0E80"/>
    <w:rsid w:val="00AA17CD"/>
    <w:rsid w:val="00AA1D85"/>
    <w:rsid w:val="00AA212F"/>
    <w:rsid w:val="00AA26A9"/>
    <w:rsid w:val="00AA2996"/>
    <w:rsid w:val="00AA2AF4"/>
    <w:rsid w:val="00AA4282"/>
    <w:rsid w:val="00AA4790"/>
    <w:rsid w:val="00AA52BF"/>
    <w:rsid w:val="00AA559A"/>
    <w:rsid w:val="00AA6C31"/>
    <w:rsid w:val="00AA7752"/>
    <w:rsid w:val="00AA7CE8"/>
    <w:rsid w:val="00AB1457"/>
    <w:rsid w:val="00AB2AF1"/>
    <w:rsid w:val="00AB3EC7"/>
    <w:rsid w:val="00AB5A64"/>
    <w:rsid w:val="00AB5CA1"/>
    <w:rsid w:val="00AB6456"/>
    <w:rsid w:val="00AB75C5"/>
    <w:rsid w:val="00AC044E"/>
    <w:rsid w:val="00AC2118"/>
    <w:rsid w:val="00AC2395"/>
    <w:rsid w:val="00AC2960"/>
    <w:rsid w:val="00AC2AC4"/>
    <w:rsid w:val="00AC4284"/>
    <w:rsid w:val="00AC45BD"/>
    <w:rsid w:val="00AC50BB"/>
    <w:rsid w:val="00AD0B22"/>
    <w:rsid w:val="00AD0EE7"/>
    <w:rsid w:val="00AD168E"/>
    <w:rsid w:val="00AD306C"/>
    <w:rsid w:val="00AD44CD"/>
    <w:rsid w:val="00AD5AD2"/>
    <w:rsid w:val="00AD6462"/>
    <w:rsid w:val="00AD66C5"/>
    <w:rsid w:val="00AD68C4"/>
    <w:rsid w:val="00AD71F9"/>
    <w:rsid w:val="00AE09B3"/>
    <w:rsid w:val="00AE1A83"/>
    <w:rsid w:val="00AE30BE"/>
    <w:rsid w:val="00AE3E6A"/>
    <w:rsid w:val="00AE6414"/>
    <w:rsid w:val="00AE7269"/>
    <w:rsid w:val="00AE797C"/>
    <w:rsid w:val="00AE7CE7"/>
    <w:rsid w:val="00AE7FAB"/>
    <w:rsid w:val="00AF0DE4"/>
    <w:rsid w:val="00AF1E87"/>
    <w:rsid w:val="00AF436B"/>
    <w:rsid w:val="00AF5179"/>
    <w:rsid w:val="00AF5CC2"/>
    <w:rsid w:val="00AF6776"/>
    <w:rsid w:val="00AF6F98"/>
    <w:rsid w:val="00B00550"/>
    <w:rsid w:val="00B00913"/>
    <w:rsid w:val="00B01593"/>
    <w:rsid w:val="00B01FF9"/>
    <w:rsid w:val="00B023F2"/>
    <w:rsid w:val="00B038CA"/>
    <w:rsid w:val="00B06DB4"/>
    <w:rsid w:val="00B0750D"/>
    <w:rsid w:val="00B0799C"/>
    <w:rsid w:val="00B102CE"/>
    <w:rsid w:val="00B10A4D"/>
    <w:rsid w:val="00B10C90"/>
    <w:rsid w:val="00B11002"/>
    <w:rsid w:val="00B1114F"/>
    <w:rsid w:val="00B121B2"/>
    <w:rsid w:val="00B141B6"/>
    <w:rsid w:val="00B14BC1"/>
    <w:rsid w:val="00B162C3"/>
    <w:rsid w:val="00B16DD1"/>
    <w:rsid w:val="00B16EB8"/>
    <w:rsid w:val="00B17E71"/>
    <w:rsid w:val="00B17FDE"/>
    <w:rsid w:val="00B20632"/>
    <w:rsid w:val="00B2379C"/>
    <w:rsid w:val="00B23D5D"/>
    <w:rsid w:val="00B23E6E"/>
    <w:rsid w:val="00B2687D"/>
    <w:rsid w:val="00B3108D"/>
    <w:rsid w:val="00B32DDB"/>
    <w:rsid w:val="00B32F57"/>
    <w:rsid w:val="00B3345C"/>
    <w:rsid w:val="00B34528"/>
    <w:rsid w:val="00B34CC9"/>
    <w:rsid w:val="00B34CDA"/>
    <w:rsid w:val="00B3563B"/>
    <w:rsid w:val="00B36BDC"/>
    <w:rsid w:val="00B37D3A"/>
    <w:rsid w:val="00B37D96"/>
    <w:rsid w:val="00B402FC"/>
    <w:rsid w:val="00B422E2"/>
    <w:rsid w:val="00B42D5F"/>
    <w:rsid w:val="00B43216"/>
    <w:rsid w:val="00B439DA"/>
    <w:rsid w:val="00B4411A"/>
    <w:rsid w:val="00B45FE8"/>
    <w:rsid w:val="00B46604"/>
    <w:rsid w:val="00B47089"/>
    <w:rsid w:val="00B47587"/>
    <w:rsid w:val="00B52151"/>
    <w:rsid w:val="00B530CD"/>
    <w:rsid w:val="00B53639"/>
    <w:rsid w:val="00B53C7D"/>
    <w:rsid w:val="00B53E56"/>
    <w:rsid w:val="00B55A97"/>
    <w:rsid w:val="00B55F5E"/>
    <w:rsid w:val="00B5642C"/>
    <w:rsid w:val="00B5658D"/>
    <w:rsid w:val="00B56B6F"/>
    <w:rsid w:val="00B5752E"/>
    <w:rsid w:val="00B60AC1"/>
    <w:rsid w:val="00B61FF6"/>
    <w:rsid w:val="00B62316"/>
    <w:rsid w:val="00B63A11"/>
    <w:rsid w:val="00B64425"/>
    <w:rsid w:val="00B64C24"/>
    <w:rsid w:val="00B65CEF"/>
    <w:rsid w:val="00B6608F"/>
    <w:rsid w:val="00B67749"/>
    <w:rsid w:val="00B679FB"/>
    <w:rsid w:val="00B71FBF"/>
    <w:rsid w:val="00B734A0"/>
    <w:rsid w:val="00B73A14"/>
    <w:rsid w:val="00B748BD"/>
    <w:rsid w:val="00B7680F"/>
    <w:rsid w:val="00B76B48"/>
    <w:rsid w:val="00B76D1E"/>
    <w:rsid w:val="00B77543"/>
    <w:rsid w:val="00B77584"/>
    <w:rsid w:val="00B80EC6"/>
    <w:rsid w:val="00B81288"/>
    <w:rsid w:val="00B81D70"/>
    <w:rsid w:val="00B833B9"/>
    <w:rsid w:val="00B83E07"/>
    <w:rsid w:val="00B84CF6"/>
    <w:rsid w:val="00B85016"/>
    <w:rsid w:val="00B8561A"/>
    <w:rsid w:val="00B86643"/>
    <w:rsid w:val="00B868F7"/>
    <w:rsid w:val="00B90131"/>
    <w:rsid w:val="00B92951"/>
    <w:rsid w:val="00B92D1D"/>
    <w:rsid w:val="00B92D7E"/>
    <w:rsid w:val="00B930CE"/>
    <w:rsid w:val="00B938C5"/>
    <w:rsid w:val="00B940A8"/>
    <w:rsid w:val="00B9554A"/>
    <w:rsid w:val="00B95940"/>
    <w:rsid w:val="00B95ACA"/>
    <w:rsid w:val="00B97ACC"/>
    <w:rsid w:val="00B97FE2"/>
    <w:rsid w:val="00BA0E0B"/>
    <w:rsid w:val="00BA201A"/>
    <w:rsid w:val="00BA361D"/>
    <w:rsid w:val="00BA3787"/>
    <w:rsid w:val="00BA403A"/>
    <w:rsid w:val="00BA46E8"/>
    <w:rsid w:val="00BA4E19"/>
    <w:rsid w:val="00BA6436"/>
    <w:rsid w:val="00BA64F2"/>
    <w:rsid w:val="00BA684E"/>
    <w:rsid w:val="00BA6C2B"/>
    <w:rsid w:val="00BA7B64"/>
    <w:rsid w:val="00BB02A3"/>
    <w:rsid w:val="00BB0351"/>
    <w:rsid w:val="00BB15C3"/>
    <w:rsid w:val="00BB1AF4"/>
    <w:rsid w:val="00BB2202"/>
    <w:rsid w:val="00BB3C6B"/>
    <w:rsid w:val="00BB3FD6"/>
    <w:rsid w:val="00BB453F"/>
    <w:rsid w:val="00BB46F3"/>
    <w:rsid w:val="00BB4A71"/>
    <w:rsid w:val="00BB4CB1"/>
    <w:rsid w:val="00BB4F98"/>
    <w:rsid w:val="00BB5AB2"/>
    <w:rsid w:val="00BB5ABF"/>
    <w:rsid w:val="00BB6EA2"/>
    <w:rsid w:val="00BB7B5B"/>
    <w:rsid w:val="00BB7EB1"/>
    <w:rsid w:val="00BC003F"/>
    <w:rsid w:val="00BC0930"/>
    <w:rsid w:val="00BC327F"/>
    <w:rsid w:val="00BC3512"/>
    <w:rsid w:val="00BC50BE"/>
    <w:rsid w:val="00BC5332"/>
    <w:rsid w:val="00BC5715"/>
    <w:rsid w:val="00BC5C12"/>
    <w:rsid w:val="00BC7154"/>
    <w:rsid w:val="00BC731E"/>
    <w:rsid w:val="00BC7614"/>
    <w:rsid w:val="00BD25BB"/>
    <w:rsid w:val="00BD2AF8"/>
    <w:rsid w:val="00BD366B"/>
    <w:rsid w:val="00BD3C09"/>
    <w:rsid w:val="00BD410B"/>
    <w:rsid w:val="00BD4A73"/>
    <w:rsid w:val="00BD6C75"/>
    <w:rsid w:val="00BD6D50"/>
    <w:rsid w:val="00BD73D2"/>
    <w:rsid w:val="00BE0AD1"/>
    <w:rsid w:val="00BE0EF9"/>
    <w:rsid w:val="00BE10A1"/>
    <w:rsid w:val="00BE18B9"/>
    <w:rsid w:val="00BE190A"/>
    <w:rsid w:val="00BE2495"/>
    <w:rsid w:val="00BE24DD"/>
    <w:rsid w:val="00BE386D"/>
    <w:rsid w:val="00BE54BF"/>
    <w:rsid w:val="00BE557B"/>
    <w:rsid w:val="00BE7F5F"/>
    <w:rsid w:val="00BF02C8"/>
    <w:rsid w:val="00BF1578"/>
    <w:rsid w:val="00BF15CA"/>
    <w:rsid w:val="00BF1D12"/>
    <w:rsid w:val="00BF1D3A"/>
    <w:rsid w:val="00BF2B5B"/>
    <w:rsid w:val="00BF2D41"/>
    <w:rsid w:val="00BF3274"/>
    <w:rsid w:val="00BF32DC"/>
    <w:rsid w:val="00BF4329"/>
    <w:rsid w:val="00BF4E43"/>
    <w:rsid w:val="00BF5C4C"/>
    <w:rsid w:val="00BF77FC"/>
    <w:rsid w:val="00C006D6"/>
    <w:rsid w:val="00C00BD7"/>
    <w:rsid w:val="00C01410"/>
    <w:rsid w:val="00C04B78"/>
    <w:rsid w:val="00C052AA"/>
    <w:rsid w:val="00C06EE3"/>
    <w:rsid w:val="00C07749"/>
    <w:rsid w:val="00C11244"/>
    <w:rsid w:val="00C11D48"/>
    <w:rsid w:val="00C1246C"/>
    <w:rsid w:val="00C1493E"/>
    <w:rsid w:val="00C15DBD"/>
    <w:rsid w:val="00C2010D"/>
    <w:rsid w:val="00C20CB5"/>
    <w:rsid w:val="00C21430"/>
    <w:rsid w:val="00C216DF"/>
    <w:rsid w:val="00C21E61"/>
    <w:rsid w:val="00C21F94"/>
    <w:rsid w:val="00C234DB"/>
    <w:rsid w:val="00C2479A"/>
    <w:rsid w:val="00C24903"/>
    <w:rsid w:val="00C2590D"/>
    <w:rsid w:val="00C25D9C"/>
    <w:rsid w:val="00C27913"/>
    <w:rsid w:val="00C300E2"/>
    <w:rsid w:val="00C31F21"/>
    <w:rsid w:val="00C32631"/>
    <w:rsid w:val="00C33301"/>
    <w:rsid w:val="00C33311"/>
    <w:rsid w:val="00C33B68"/>
    <w:rsid w:val="00C35570"/>
    <w:rsid w:val="00C35A2A"/>
    <w:rsid w:val="00C36A79"/>
    <w:rsid w:val="00C401A9"/>
    <w:rsid w:val="00C401D2"/>
    <w:rsid w:val="00C4031A"/>
    <w:rsid w:val="00C405D4"/>
    <w:rsid w:val="00C419D5"/>
    <w:rsid w:val="00C41D54"/>
    <w:rsid w:val="00C42EBB"/>
    <w:rsid w:val="00C4513B"/>
    <w:rsid w:val="00C475E8"/>
    <w:rsid w:val="00C50E79"/>
    <w:rsid w:val="00C5197D"/>
    <w:rsid w:val="00C525FB"/>
    <w:rsid w:val="00C5390B"/>
    <w:rsid w:val="00C54257"/>
    <w:rsid w:val="00C54697"/>
    <w:rsid w:val="00C550CE"/>
    <w:rsid w:val="00C553A5"/>
    <w:rsid w:val="00C55402"/>
    <w:rsid w:val="00C5603B"/>
    <w:rsid w:val="00C61F47"/>
    <w:rsid w:val="00C62828"/>
    <w:rsid w:val="00C715CC"/>
    <w:rsid w:val="00C719A3"/>
    <w:rsid w:val="00C71D2F"/>
    <w:rsid w:val="00C72984"/>
    <w:rsid w:val="00C73885"/>
    <w:rsid w:val="00C73C93"/>
    <w:rsid w:val="00C7435A"/>
    <w:rsid w:val="00C747B1"/>
    <w:rsid w:val="00C75510"/>
    <w:rsid w:val="00C755F9"/>
    <w:rsid w:val="00C75752"/>
    <w:rsid w:val="00C770C9"/>
    <w:rsid w:val="00C81070"/>
    <w:rsid w:val="00C8174E"/>
    <w:rsid w:val="00C82191"/>
    <w:rsid w:val="00C83134"/>
    <w:rsid w:val="00C831E7"/>
    <w:rsid w:val="00C832F3"/>
    <w:rsid w:val="00C84307"/>
    <w:rsid w:val="00C845A4"/>
    <w:rsid w:val="00C85545"/>
    <w:rsid w:val="00C855B5"/>
    <w:rsid w:val="00C85F0E"/>
    <w:rsid w:val="00C90CF4"/>
    <w:rsid w:val="00C91C20"/>
    <w:rsid w:val="00C922DE"/>
    <w:rsid w:val="00C92843"/>
    <w:rsid w:val="00C92EB6"/>
    <w:rsid w:val="00C93389"/>
    <w:rsid w:val="00C948E6"/>
    <w:rsid w:val="00C94CDD"/>
    <w:rsid w:val="00C97588"/>
    <w:rsid w:val="00CA0346"/>
    <w:rsid w:val="00CA0DA1"/>
    <w:rsid w:val="00CA1BD6"/>
    <w:rsid w:val="00CA37FF"/>
    <w:rsid w:val="00CA423A"/>
    <w:rsid w:val="00CA47BC"/>
    <w:rsid w:val="00CA5EAD"/>
    <w:rsid w:val="00CA6AB4"/>
    <w:rsid w:val="00CA7255"/>
    <w:rsid w:val="00CB1BEE"/>
    <w:rsid w:val="00CB2351"/>
    <w:rsid w:val="00CB4930"/>
    <w:rsid w:val="00CB4BA9"/>
    <w:rsid w:val="00CB4C63"/>
    <w:rsid w:val="00CB5A48"/>
    <w:rsid w:val="00CB5E10"/>
    <w:rsid w:val="00CB613B"/>
    <w:rsid w:val="00CB6152"/>
    <w:rsid w:val="00CB64E1"/>
    <w:rsid w:val="00CB6E4D"/>
    <w:rsid w:val="00CC0834"/>
    <w:rsid w:val="00CC0AEA"/>
    <w:rsid w:val="00CC20FE"/>
    <w:rsid w:val="00CC2E7D"/>
    <w:rsid w:val="00CC5BE8"/>
    <w:rsid w:val="00CC612B"/>
    <w:rsid w:val="00CC655F"/>
    <w:rsid w:val="00CC66F9"/>
    <w:rsid w:val="00CC6C2A"/>
    <w:rsid w:val="00CC6FE5"/>
    <w:rsid w:val="00CC7458"/>
    <w:rsid w:val="00CC76BD"/>
    <w:rsid w:val="00CC7A87"/>
    <w:rsid w:val="00CD10A5"/>
    <w:rsid w:val="00CD1129"/>
    <w:rsid w:val="00CD1A80"/>
    <w:rsid w:val="00CD1CB5"/>
    <w:rsid w:val="00CD2076"/>
    <w:rsid w:val="00CD24CE"/>
    <w:rsid w:val="00CD29B5"/>
    <w:rsid w:val="00CD2B78"/>
    <w:rsid w:val="00CD3FAB"/>
    <w:rsid w:val="00CD5456"/>
    <w:rsid w:val="00CD5C3E"/>
    <w:rsid w:val="00CD5C57"/>
    <w:rsid w:val="00CD6331"/>
    <w:rsid w:val="00CE14BE"/>
    <w:rsid w:val="00CE17A4"/>
    <w:rsid w:val="00CE1BA9"/>
    <w:rsid w:val="00CE2D8F"/>
    <w:rsid w:val="00CE3E48"/>
    <w:rsid w:val="00CE47B8"/>
    <w:rsid w:val="00CE62FA"/>
    <w:rsid w:val="00CE670B"/>
    <w:rsid w:val="00CE6833"/>
    <w:rsid w:val="00CF020B"/>
    <w:rsid w:val="00CF2E4D"/>
    <w:rsid w:val="00CF4205"/>
    <w:rsid w:val="00CF4908"/>
    <w:rsid w:val="00CF51EC"/>
    <w:rsid w:val="00CF545D"/>
    <w:rsid w:val="00CF5873"/>
    <w:rsid w:val="00CF73AE"/>
    <w:rsid w:val="00CF7777"/>
    <w:rsid w:val="00D0085A"/>
    <w:rsid w:val="00D0197F"/>
    <w:rsid w:val="00D01B31"/>
    <w:rsid w:val="00D0242D"/>
    <w:rsid w:val="00D02716"/>
    <w:rsid w:val="00D03A72"/>
    <w:rsid w:val="00D040DD"/>
    <w:rsid w:val="00D04134"/>
    <w:rsid w:val="00D05C65"/>
    <w:rsid w:val="00D06B56"/>
    <w:rsid w:val="00D06D68"/>
    <w:rsid w:val="00D075BE"/>
    <w:rsid w:val="00D07AFF"/>
    <w:rsid w:val="00D10C15"/>
    <w:rsid w:val="00D11011"/>
    <w:rsid w:val="00D11476"/>
    <w:rsid w:val="00D12C25"/>
    <w:rsid w:val="00D133B4"/>
    <w:rsid w:val="00D13986"/>
    <w:rsid w:val="00D14C5B"/>
    <w:rsid w:val="00D15FED"/>
    <w:rsid w:val="00D16712"/>
    <w:rsid w:val="00D214EF"/>
    <w:rsid w:val="00D215B0"/>
    <w:rsid w:val="00D21D6D"/>
    <w:rsid w:val="00D21D83"/>
    <w:rsid w:val="00D22A47"/>
    <w:rsid w:val="00D235B7"/>
    <w:rsid w:val="00D23FAE"/>
    <w:rsid w:val="00D25F28"/>
    <w:rsid w:val="00D26071"/>
    <w:rsid w:val="00D269B9"/>
    <w:rsid w:val="00D27973"/>
    <w:rsid w:val="00D27F3A"/>
    <w:rsid w:val="00D31537"/>
    <w:rsid w:val="00D31E1E"/>
    <w:rsid w:val="00D322A0"/>
    <w:rsid w:val="00D32824"/>
    <w:rsid w:val="00D334E2"/>
    <w:rsid w:val="00D350B1"/>
    <w:rsid w:val="00D35AD6"/>
    <w:rsid w:val="00D35BBB"/>
    <w:rsid w:val="00D35E1A"/>
    <w:rsid w:val="00D36B0A"/>
    <w:rsid w:val="00D36DFB"/>
    <w:rsid w:val="00D36E1C"/>
    <w:rsid w:val="00D373AF"/>
    <w:rsid w:val="00D40556"/>
    <w:rsid w:val="00D41F74"/>
    <w:rsid w:val="00D428C8"/>
    <w:rsid w:val="00D43034"/>
    <w:rsid w:val="00D43ED2"/>
    <w:rsid w:val="00D50F46"/>
    <w:rsid w:val="00D5384E"/>
    <w:rsid w:val="00D544E7"/>
    <w:rsid w:val="00D5499F"/>
    <w:rsid w:val="00D5560A"/>
    <w:rsid w:val="00D56FBF"/>
    <w:rsid w:val="00D57677"/>
    <w:rsid w:val="00D5781F"/>
    <w:rsid w:val="00D60415"/>
    <w:rsid w:val="00D60E3C"/>
    <w:rsid w:val="00D61FAB"/>
    <w:rsid w:val="00D63BE5"/>
    <w:rsid w:val="00D6475F"/>
    <w:rsid w:val="00D66223"/>
    <w:rsid w:val="00D667B8"/>
    <w:rsid w:val="00D70289"/>
    <w:rsid w:val="00D70822"/>
    <w:rsid w:val="00D72076"/>
    <w:rsid w:val="00D726A9"/>
    <w:rsid w:val="00D72DBA"/>
    <w:rsid w:val="00D743E0"/>
    <w:rsid w:val="00D7490C"/>
    <w:rsid w:val="00D75AC1"/>
    <w:rsid w:val="00D77252"/>
    <w:rsid w:val="00D8084C"/>
    <w:rsid w:val="00D81809"/>
    <w:rsid w:val="00D82EF1"/>
    <w:rsid w:val="00D84F43"/>
    <w:rsid w:val="00D85114"/>
    <w:rsid w:val="00D85821"/>
    <w:rsid w:val="00D8598C"/>
    <w:rsid w:val="00D87C06"/>
    <w:rsid w:val="00D915EA"/>
    <w:rsid w:val="00D919ED"/>
    <w:rsid w:val="00D922A1"/>
    <w:rsid w:val="00D928BE"/>
    <w:rsid w:val="00D95302"/>
    <w:rsid w:val="00D95C5D"/>
    <w:rsid w:val="00D97D00"/>
    <w:rsid w:val="00DA096C"/>
    <w:rsid w:val="00DA1AB6"/>
    <w:rsid w:val="00DA2E65"/>
    <w:rsid w:val="00DA3ADF"/>
    <w:rsid w:val="00DA4174"/>
    <w:rsid w:val="00DA544C"/>
    <w:rsid w:val="00DA5F8E"/>
    <w:rsid w:val="00DA6364"/>
    <w:rsid w:val="00DA7114"/>
    <w:rsid w:val="00DA7C0C"/>
    <w:rsid w:val="00DB03DD"/>
    <w:rsid w:val="00DB08A9"/>
    <w:rsid w:val="00DB0B33"/>
    <w:rsid w:val="00DB2DFA"/>
    <w:rsid w:val="00DB2EC8"/>
    <w:rsid w:val="00DB321D"/>
    <w:rsid w:val="00DB459B"/>
    <w:rsid w:val="00DB47FD"/>
    <w:rsid w:val="00DB5E3A"/>
    <w:rsid w:val="00DB5E9A"/>
    <w:rsid w:val="00DB613B"/>
    <w:rsid w:val="00DB657E"/>
    <w:rsid w:val="00DB7342"/>
    <w:rsid w:val="00DB7489"/>
    <w:rsid w:val="00DC17D0"/>
    <w:rsid w:val="00DC2B41"/>
    <w:rsid w:val="00DC3128"/>
    <w:rsid w:val="00DC435B"/>
    <w:rsid w:val="00DC53D8"/>
    <w:rsid w:val="00DC56FE"/>
    <w:rsid w:val="00DC5B3B"/>
    <w:rsid w:val="00DC6C2D"/>
    <w:rsid w:val="00DC7B1A"/>
    <w:rsid w:val="00DD04B0"/>
    <w:rsid w:val="00DD129F"/>
    <w:rsid w:val="00DD13FC"/>
    <w:rsid w:val="00DD1A3F"/>
    <w:rsid w:val="00DD29B5"/>
    <w:rsid w:val="00DD32DD"/>
    <w:rsid w:val="00DD33E8"/>
    <w:rsid w:val="00DD5287"/>
    <w:rsid w:val="00DD5B36"/>
    <w:rsid w:val="00DD7849"/>
    <w:rsid w:val="00DE0D8B"/>
    <w:rsid w:val="00DE1237"/>
    <w:rsid w:val="00DE140F"/>
    <w:rsid w:val="00DE17E9"/>
    <w:rsid w:val="00DE2491"/>
    <w:rsid w:val="00DE450F"/>
    <w:rsid w:val="00DE5CA6"/>
    <w:rsid w:val="00DE7AC8"/>
    <w:rsid w:val="00DF0830"/>
    <w:rsid w:val="00DF2C5D"/>
    <w:rsid w:val="00DF3643"/>
    <w:rsid w:val="00DF42FF"/>
    <w:rsid w:val="00DF4369"/>
    <w:rsid w:val="00DF4423"/>
    <w:rsid w:val="00DF4ADF"/>
    <w:rsid w:val="00DF5D1E"/>
    <w:rsid w:val="00DF77E4"/>
    <w:rsid w:val="00DF7F88"/>
    <w:rsid w:val="00E01C0E"/>
    <w:rsid w:val="00E0368F"/>
    <w:rsid w:val="00E03D73"/>
    <w:rsid w:val="00E03F9A"/>
    <w:rsid w:val="00E040DA"/>
    <w:rsid w:val="00E04694"/>
    <w:rsid w:val="00E1168B"/>
    <w:rsid w:val="00E12191"/>
    <w:rsid w:val="00E129E7"/>
    <w:rsid w:val="00E12ABE"/>
    <w:rsid w:val="00E12B1E"/>
    <w:rsid w:val="00E13995"/>
    <w:rsid w:val="00E1444C"/>
    <w:rsid w:val="00E17262"/>
    <w:rsid w:val="00E17F36"/>
    <w:rsid w:val="00E20016"/>
    <w:rsid w:val="00E2009B"/>
    <w:rsid w:val="00E20BB9"/>
    <w:rsid w:val="00E20BCC"/>
    <w:rsid w:val="00E2251C"/>
    <w:rsid w:val="00E2363D"/>
    <w:rsid w:val="00E23C6A"/>
    <w:rsid w:val="00E2484B"/>
    <w:rsid w:val="00E253A2"/>
    <w:rsid w:val="00E260F6"/>
    <w:rsid w:val="00E27127"/>
    <w:rsid w:val="00E27233"/>
    <w:rsid w:val="00E30F15"/>
    <w:rsid w:val="00E31771"/>
    <w:rsid w:val="00E3186D"/>
    <w:rsid w:val="00E31A3E"/>
    <w:rsid w:val="00E32080"/>
    <w:rsid w:val="00E3309D"/>
    <w:rsid w:val="00E350B1"/>
    <w:rsid w:val="00E35A53"/>
    <w:rsid w:val="00E3656B"/>
    <w:rsid w:val="00E3724A"/>
    <w:rsid w:val="00E378B1"/>
    <w:rsid w:val="00E417BE"/>
    <w:rsid w:val="00E41CD5"/>
    <w:rsid w:val="00E42054"/>
    <w:rsid w:val="00E4372D"/>
    <w:rsid w:val="00E43A9E"/>
    <w:rsid w:val="00E44243"/>
    <w:rsid w:val="00E453F9"/>
    <w:rsid w:val="00E45D7D"/>
    <w:rsid w:val="00E4623F"/>
    <w:rsid w:val="00E4665D"/>
    <w:rsid w:val="00E47854"/>
    <w:rsid w:val="00E47EBA"/>
    <w:rsid w:val="00E50156"/>
    <w:rsid w:val="00E504EB"/>
    <w:rsid w:val="00E5076C"/>
    <w:rsid w:val="00E50D2E"/>
    <w:rsid w:val="00E50D7D"/>
    <w:rsid w:val="00E51EF0"/>
    <w:rsid w:val="00E53470"/>
    <w:rsid w:val="00E5368D"/>
    <w:rsid w:val="00E539F6"/>
    <w:rsid w:val="00E54698"/>
    <w:rsid w:val="00E54FB4"/>
    <w:rsid w:val="00E5539A"/>
    <w:rsid w:val="00E55791"/>
    <w:rsid w:val="00E55E1A"/>
    <w:rsid w:val="00E578A2"/>
    <w:rsid w:val="00E579ED"/>
    <w:rsid w:val="00E60043"/>
    <w:rsid w:val="00E61740"/>
    <w:rsid w:val="00E61EB5"/>
    <w:rsid w:val="00E6324D"/>
    <w:rsid w:val="00E65084"/>
    <w:rsid w:val="00E6519D"/>
    <w:rsid w:val="00E66062"/>
    <w:rsid w:val="00E6660E"/>
    <w:rsid w:val="00E66768"/>
    <w:rsid w:val="00E67305"/>
    <w:rsid w:val="00E67696"/>
    <w:rsid w:val="00E70C5F"/>
    <w:rsid w:val="00E71A58"/>
    <w:rsid w:val="00E72A26"/>
    <w:rsid w:val="00E72A7A"/>
    <w:rsid w:val="00E7335A"/>
    <w:rsid w:val="00E7467D"/>
    <w:rsid w:val="00E747DC"/>
    <w:rsid w:val="00E74A2D"/>
    <w:rsid w:val="00E75C94"/>
    <w:rsid w:val="00E76A08"/>
    <w:rsid w:val="00E76B9B"/>
    <w:rsid w:val="00E76E61"/>
    <w:rsid w:val="00E77CC0"/>
    <w:rsid w:val="00E80B3D"/>
    <w:rsid w:val="00E80CA3"/>
    <w:rsid w:val="00E82618"/>
    <w:rsid w:val="00E84E09"/>
    <w:rsid w:val="00E90CA8"/>
    <w:rsid w:val="00E930A1"/>
    <w:rsid w:val="00E93820"/>
    <w:rsid w:val="00E94A86"/>
    <w:rsid w:val="00E953F6"/>
    <w:rsid w:val="00E96143"/>
    <w:rsid w:val="00E96833"/>
    <w:rsid w:val="00E97506"/>
    <w:rsid w:val="00E97BB5"/>
    <w:rsid w:val="00EA0C68"/>
    <w:rsid w:val="00EA1D0E"/>
    <w:rsid w:val="00EA2072"/>
    <w:rsid w:val="00EA2841"/>
    <w:rsid w:val="00EA32BC"/>
    <w:rsid w:val="00EA35A7"/>
    <w:rsid w:val="00EA3B32"/>
    <w:rsid w:val="00EA3D05"/>
    <w:rsid w:val="00EA4402"/>
    <w:rsid w:val="00EA4B8D"/>
    <w:rsid w:val="00EA513E"/>
    <w:rsid w:val="00EA7419"/>
    <w:rsid w:val="00EB0E32"/>
    <w:rsid w:val="00EB3E60"/>
    <w:rsid w:val="00EB4511"/>
    <w:rsid w:val="00EB48D7"/>
    <w:rsid w:val="00EB4A8E"/>
    <w:rsid w:val="00EB4BC5"/>
    <w:rsid w:val="00EB5BF7"/>
    <w:rsid w:val="00EB5E79"/>
    <w:rsid w:val="00EB6FAC"/>
    <w:rsid w:val="00EB7BAC"/>
    <w:rsid w:val="00EC03D7"/>
    <w:rsid w:val="00EC13A7"/>
    <w:rsid w:val="00EC2EB6"/>
    <w:rsid w:val="00ED0EF0"/>
    <w:rsid w:val="00ED12B9"/>
    <w:rsid w:val="00ED16B8"/>
    <w:rsid w:val="00ED1DF0"/>
    <w:rsid w:val="00ED2386"/>
    <w:rsid w:val="00ED2EA1"/>
    <w:rsid w:val="00ED3851"/>
    <w:rsid w:val="00ED3F10"/>
    <w:rsid w:val="00ED4D04"/>
    <w:rsid w:val="00ED566D"/>
    <w:rsid w:val="00ED5907"/>
    <w:rsid w:val="00ED5F5B"/>
    <w:rsid w:val="00ED62C6"/>
    <w:rsid w:val="00ED64C1"/>
    <w:rsid w:val="00ED781F"/>
    <w:rsid w:val="00EE249F"/>
    <w:rsid w:val="00EE2EB4"/>
    <w:rsid w:val="00EE3446"/>
    <w:rsid w:val="00EE3E78"/>
    <w:rsid w:val="00EE41FD"/>
    <w:rsid w:val="00EE460E"/>
    <w:rsid w:val="00EE4B1B"/>
    <w:rsid w:val="00EE5FBA"/>
    <w:rsid w:val="00EE6E06"/>
    <w:rsid w:val="00EE7179"/>
    <w:rsid w:val="00EF0D90"/>
    <w:rsid w:val="00EF150D"/>
    <w:rsid w:val="00EF1F5A"/>
    <w:rsid w:val="00EF23B5"/>
    <w:rsid w:val="00EF47BF"/>
    <w:rsid w:val="00EF59B1"/>
    <w:rsid w:val="00EF5A13"/>
    <w:rsid w:val="00EF5FF9"/>
    <w:rsid w:val="00EF77D4"/>
    <w:rsid w:val="00EF7CC7"/>
    <w:rsid w:val="00F00853"/>
    <w:rsid w:val="00F00866"/>
    <w:rsid w:val="00F00EC8"/>
    <w:rsid w:val="00F0160B"/>
    <w:rsid w:val="00F0193E"/>
    <w:rsid w:val="00F03E2F"/>
    <w:rsid w:val="00F03F8D"/>
    <w:rsid w:val="00F04811"/>
    <w:rsid w:val="00F0488C"/>
    <w:rsid w:val="00F073ED"/>
    <w:rsid w:val="00F07C4C"/>
    <w:rsid w:val="00F10F11"/>
    <w:rsid w:val="00F11159"/>
    <w:rsid w:val="00F115E4"/>
    <w:rsid w:val="00F12CFB"/>
    <w:rsid w:val="00F13E60"/>
    <w:rsid w:val="00F13FDB"/>
    <w:rsid w:val="00F15AAA"/>
    <w:rsid w:val="00F15BEF"/>
    <w:rsid w:val="00F17898"/>
    <w:rsid w:val="00F207C2"/>
    <w:rsid w:val="00F21337"/>
    <w:rsid w:val="00F219A1"/>
    <w:rsid w:val="00F23E20"/>
    <w:rsid w:val="00F24407"/>
    <w:rsid w:val="00F24FAA"/>
    <w:rsid w:val="00F25040"/>
    <w:rsid w:val="00F27071"/>
    <w:rsid w:val="00F27331"/>
    <w:rsid w:val="00F27EE5"/>
    <w:rsid w:val="00F27FB1"/>
    <w:rsid w:val="00F27FD6"/>
    <w:rsid w:val="00F307CB"/>
    <w:rsid w:val="00F30C65"/>
    <w:rsid w:val="00F321D2"/>
    <w:rsid w:val="00F32649"/>
    <w:rsid w:val="00F33523"/>
    <w:rsid w:val="00F3364D"/>
    <w:rsid w:val="00F33914"/>
    <w:rsid w:val="00F349BF"/>
    <w:rsid w:val="00F34DDC"/>
    <w:rsid w:val="00F36191"/>
    <w:rsid w:val="00F3629F"/>
    <w:rsid w:val="00F36DF3"/>
    <w:rsid w:val="00F37EDC"/>
    <w:rsid w:val="00F437CC"/>
    <w:rsid w:val="00F44537"/>
    <w:rsid w:val="00F46185"/>
    <w:rsid w:val="00F46423"/>
    <w:rsid w:val="00F4696A"/>
    <w:rsid w:val="00F47067"/>
    <w:rsid w:val="00F47234"/>
    <w:rsid w:val="00F525AB"/>
    <w:rsid w:val="00F525EB"/>
    <w:rsid w:val="00F52CB5"/>
    <w:rsid w:val="00F53378"/>
    <w:rsid w:val="00F53A68"/>
    <w:rsid w:val="00F54934"/>
    <w:rsid w:val="00F55A92"/>
    <w:rsid w:val="00F575D3"/>
    <w:rsid w:val="00F62BFF"/>
    <w:rsid w:val="00F63AAE"/>
    <w:rsid w:val="00F63DDE"/>
    <w:rsid w:val="00F63FB7"/>
    <w:rsid w:val="00F6421B"/>
    <w:rsid w:val="00F647F1"/>
    <w:rsid w:val="00F649D2"/>
    <w:rsid w:val="00F6602B"/>
    <w:rsid w:val="00F7150B"/>
    <w:rsid w:val="00F717E4"/>
    <w:rsid w:val="00F71DE6"/>
    <w:rsid w:val="00F72D71"/>
    <w:rsid w:val="00F7381C"/>
    <w:rsid w:val="00F73A0C"/>
    <w:rsid w:val="00F7549F"/>
    <w:rsid w:val="00F756DB"/>
    <w:rsid w:val="00F767A8"/>
    <w:rsid w:val="00F77590"/>
    <w:rsid w:val="00F82D14"/>
    <w:rsid w:val="00F84E7D"/>
    <w:rsid w:val="00F85066"/>
    <w:rsid w:val="00F87A4D"/>
    <w:rsid w:val="00F93688"/>
    <w:rsid w:val="00F939F3"/>
    <w:rsid w:val="00F93C6E"/>
    <w:rsid w:val="00F93F2C"/>
    <w:rsid w:val="00F962AD"/>
    <w:rsid w:val="00F9644E"/>
    <w:rsid w:val="00FA0105"/>
    <w:rsid w:val="00FA05A0"/>
    <w:rsid w:val="00FA0AEF"/>
    <w:rsid w:val="00FA17CC"/>
    <w:rsid w:val="00FA1CFE"/>
    <w:rsid w:val="00FA1F01"/>
    <w:rsid w:val="00FA26DF"/>
    <w:rsid w:val="00FA32BC"/>
    <w:rsid w:val="00FA4059"/>
    <w:rsid w:val="00FA4574"/>
    <w:rsid w:val="00FA48A4"/>
    <w:rsid w:val="00FA4CB7"/>
    <w:rsid w:val="00FA5112"/>
    <w:rsid w:val="00FA5526"/>
    <w:rsid w:val="00FA5D4D"/>
    <w:rsid w:val="00FA6CB6"/>
    <w:rsid w:val="00FA70D3"/>
    <w:rsid w:val="00FA7AEC"/>
    <w:rsid w:val="00FB0AEA"/>
    <w:rsid w:val="00FB0EE2"/>
    <w:rsid w:val="00FB1A79"/>
    <w:rsid w:val="00FB208B"/>
    <w:rsid w:val="00FB2B2D"/>
    <w:rsid w:val="00FB542E"/>
    <w:rsid w:val="00FB564F"/>
    <w:rsid w:val="00FB7DBB"/>
    <w:rsid w:val="00FC05F8"/>
    <w:rsid w:val="00FC0E5F"/>
    <w:rsid w:val="00FC1266"/>
    <w:rsid w:val="00FC1A95"/>
    <w:rsid w:val="00FC1ED4"/>
    <w:rsid w:val="00FC3BEC"/>
    <w:rsid w:val="00FC440B"/>
    <w:rsid w:val="00FC56DE"/>
    <w:rsid w:val="00FC63D9"/>
    <w:rsid w:val="00FC64DE"/>
    <w:rsid w:val="00FC684B"/>
    <w:rsid w:val="00FC7D98"/>
    <w:rsid w:val="00FD1135"/>
    <w:rsid w:val="00FD3265"/>
    <w:rsid w:val="00FD3CF7"/>
    <w:rsid w:val="00FD4916"/>
    <w:rsid w:val="00FD4D12"/>
    <w:rsid w:val="00FD4F73"/>
    <w:rsid w:val="00FD595E"/>
    <w:rsid w:val="00FD7802"/>
    <w:rsid w:val="00FE27C7"/>
    <w:rsid w:val="00FE2C7E"/>
    <w:rsid w:val="00FE2F78"/>
    <w:rsid w:val="00FE3137"/>
    <w:rsid w:val="00FE346B"/>
    <w:rsid w:val="00FE346F"/>
    <w:rsid w:val="00FE48E4"/>
    <w:rsid w:val="00FE634C"/>
    <w:rsid w:val="00FE6E69"/>
    <w:rsid w:val="00FE6F59"/>
    <w:rsid w:val="00FF01B6"/>
    <w:rsid w:val="00FF1136"/>
    <w:rsid w:val="00FF3D76"/>
    <w:rsid w:val="00FF5B8C"/>
    <w:rsid w:val="00FF63E6"/>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74EEB6EC"/>
  <w15:docId w15:val="{02E7EBF8-5A4E-462D-AC4B-706FC6EE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semiHidden/>
    <w:unhideWhenUsed/>
    <w:rsid w:val="00E76E61"/>
    <w:pPr>
      <w:spacing w:line="240" w:lineRule="auto"/>
    </w:pPr>
    <w:rPr>
      <w:szCs w:val="20"/>
    </w:rPr>
  </w:style>
  <w:style w:type="character" w:customStyle="1" w:styleId="TextkomenteChar">
    <w:name w:val="Text komentáře Char"/>
    <w:basedOn w:val="Standardnpsmoodstavce"/>
    <w:link w:val="Textkomente"/>
    <w:uiPriority w:val="99"/>
    <w:semiHidden/>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Anal&#253;za\Q\2020Q3\Makroanal&#253;za%20graf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481551840594413E-2"/>
          <c:y val="2.3304908251716772E-2"/>
          <c:w val="0.90781408308004052"/>
          <c:h val="0.612553754362265"/>
        </c:manualLayout>
      </c:layout>
      <c:barChart>
        <c:barDir val="col"/>
        <c:grouping val="clustered"/>
        <c:varyColors val="0"/>
        <c:ser>
          <c:idx val="0"/>
          <c:order val="0"/>
          <c:tx>
            <c:strRef>
              <c:f>'Vnější vztahy 2'!$A$6</c:f>
              <c:strCache>
                <c:ptCount val="1"/>
                <c:pt idx="0">
                  <c:v>2019</c:v>
                </c:pt>
              </c:strCache>
            </c:strRef>
          </c:tx>
          <c:spPr>
            <a:solidFill>
              <a:schemeClr val="tx1">
                <a:lumMod val="50000"/>
                <a:lumOff val="50000"/>
              </a:schemeClr>
            </a:solidFill>
            <a:ln>
              <a:noFill/>
            </a:ln>
          </c:spPr>
          <c:invertIfNegative val="0"/>
          <c:cat>
            <c:strRef>
              <c:f>'Vnější vztahy 2'!$B$5:$N$5</c:f>
              <c:strCache>
                <c:ptCount val="13"/>
                <c:pt idx="0">
                  <c:v>Ropa a zemní plyn</c:v>
                </c:pt>
                <c:pt idx="1">
                  <c:v>Potrav. výrobky</c:v>
                </c:pt>
                <c:pt idx="2">
                  <c:v>Oděvy</c:v>
                </c:pt>
                <c:pt idx="3">
                  <c:v>Koks, raf. ropné prod.</c:v>
                </c:pt>
                <c:pt idx="4">
                  <c:v>Chem. látky a přípr.</c:v>
                </c:pt>
                <c:pt idx="5">
                  <c:v>Farmac. výrobky</c:v>
                </c:pt>
                <c:pt idx="6">
                  <c:v>Ostat. nekov. minerály</c:v>
                </c:pt>
                <c:pt idx="7">
                  <c:v>Základní kovy</c:v>
                </c:pt>
                <c:pt idx="8">
                  <c:v>Kovodělné výrobky</c:v>
                </c:pt>
                <c:pt idx="9">
                  <c:v>Počítače, opt.                                          a elektron. přístr.</c:v>
                </c:pt>
                <c:pt idx="10">
                  <c:v>Elektrická zařízení</c:v>
                </c:pt>
                <c:pt idx="11">
                  <c:v>Stroje a zařízení j. n.</c:v>
                </c:pt>
                <c:pt idx="12">
                  <c:v>Motorová vozidla</c:v>
                </c:pt>
              </c:strCache>
            </c:strRef>
          </c:cat>
          <c:val>
            <c:numRef>
              <c:f>'Vnější vztahy 2'!$B$6:$N$6</c:f>
              <c:numCache>
                <c:formatCode>General</c:formatCode>
                <c:ptCount val="13"/>
                <c:pt idx="0">
                  <c:v>-93.004999999999995</c:v>
                </c:pt>
                <c:pt idx="1">
                  <c:v>-31.91</c:v>
                </c:pt>
                <c:pt idx="2">
                  <c:v>-24.768000000000001</c:v>
                </c:pt>
                <c:pt idx="3">
                  <c:v>-16.138999999999999</c:v>
                </c:pt>
                <c:pt idx="4">
                  <c:v>-83.789000000000001</c:v>
                </c:pt>
                <c:pt idx="5">
                  <c:v>-40.218000000000004</c:v>
                </c:pt>
                <c:pt idx="6">
                  <c:v>17.417999999999999</c:v>
                </c:pt>
                <c:pt idx="7">
                  <c:v>-93.156999999999996</c:v>
                </c:pt>
                <c:pt idx="8">
                  <c:v>44.210999999999999</c:v>
                </c:pt>
                <c:pt idx="9">
                  <c:v>-8.2789999999999999</c:v>
                </c:pt>
                <c:pt idx="10">
                  <c:v>32.54</c:v>
                </c:pt>
                <c:pt idx="11">
                  <c:v>46.786999999999999</c:v>
                </c:pt>
                <c:pt idx="12">
                  <c:v>352.59300000000002</c:v>
                </c:pt>
              </c:numCache>
            </c:numRef>
          </c:val>
          <c:extLst>
            <c:ext xmlns:c16="http://schemas.microsoft.com/office/drawing/2014/chart" uri="{C3380CC4-5D6E-409C-BE32-E72D297353CC}">
              <c16:uniqueId val="{00000000-7DC2-4BBF-90C0-B9EF75334A73}"/>
            </c:ext>
          </c:extLst>
        </c:ser>
        <c:ser>
          <c:idx val="1"/>
          <c:order val="1"/>
          <c:tx>
            <c:strRef>
              <c:f>'Vnější vztahy 2'!$A$7</c:f>
              <c:strCache>
                <c:ptCount val="1"/>
                <c:pt idx="0">
                  <c:v>2020</c:v>
                </c:pt>
              </c:strCache>
            </c:strRef>
          </c:tx>
          <c:spPr>
            <a:solidFill>
              <a:schemeClr val="bg1">
                <a:lumMod val="65000"/>
              </a:schemeClr>
            </a:solidFill>
          </c:spPr>
          <c:invertIfNegative val="0"/>
          <c:val>
            <c:numRef>
              <c:f>'Vnější vztahy 2'!$B$7:$N$7</c:f>
              <c:numCache>
                <c:formatCode>General</c:formatCode>
                <c:ptCount val="13"/>
                <c:pt idx="0">
                  <c:v>-51.183999999999997</c:v>
                </c:pt>
                <c:pt idx="1">
                  <c:v>-32.11</c:v>
                </c:pt>
                <c:pt idx="2">
                  <c:v>-22.696000000000002</c:v>
                </c:pt>
                <c:pt idx="3">
                  <c:v>-16.937000000000001</c:v>
                </c:pt>
                <c:pt idx="4">
                  <c:v>-76.917000000000002</c:v>
                </c:pt>
                <c:pt idx="5">
                  <c:v>-45.789000000000001</c:v>
                </c:pt>
                <c:pt idx="6">
                  <c:v>17.745999999999999</c:v>
                </c:pt>
                <c:pt idx="7">
                  <c:v>-72.03</c:v>
                </c:pt>
                <c:pt idx="8">
                  <c:v>41.183</c:v>
                </c:pt>
                <c:pt idx="9">
                  <c:v>-28.396000000000001</c:v>
                </c:pt>
                <c:pt idx="10">
                  <c:v>16.907</c:v>
                </c:pt>
                <c:pt idx="11">
                  <c:v>44.728000000000002</c:v>
                </c:pt>
                <c:pt idx="12">
                  <c:v>299.96499999999997</c:v>
                </c:pt>
              </c:numCache>
            </c:numRef>
          </c:val>
          <c:extLst>
            <c:ext xmlns:c16="http://schemas.microsoft.com/office/drawing/2014/chart" uri="{C3380CC4-5D6E-409C-BE32-E72D297353CC}">
              <c16:uniqueId val="{00000001-7DC2-4BBF-90C0-B9EF75334A73}"/>
            </c:ext>
          </c:extLst>
        </c:ser>
        <c:dLbls>
          <c:showLegendKey val="0"/>
          <c:showVal val="0"/>
          <c:showCatName val="0"/>
          <c:showSerName val="0"/>
          <c:showPercent val="0"/>
          <c:showBubbleSize val="0"/>
        </c:dLbls>
        <c:gapWidth val="97"/>
        <c:axId val="269967744"/>
        <c:axId val="269969280"/>
      </c:barChart>
      <c:catAx>
        <c:axId val="269967744"/>
        <c:scaling>
          <c:orientation val="minMax"/>
        </c:scaling>
        <c:delete val="0"/>
        <c:axPos val="b"/>
        <c:numFmt formatCode="General" sourceLinked="0"/>
        <c:majorTickMark val="out"/>
        <c:minorTickMark val="none"/>
        <c:tickLblPos val="low"/>
        <c:spPr>
          <a:ln>
            <a:solidFill>
              <a:schemeClr val="tx1"/>
            </a:solidFill>
          </a:ln>
        </c:spPr>
        <c:txPr>
          <a:bodyPr rot="-5400000" vert="horz"/>
          <a:lstStyle/>
          <a:p>
            <a:pPr>
              <a:defRPr/>
            </a:pPr>
            <a:endParaRPr lang="cs-CZ"/>
          </a:p>
        </c:txPr>
        <c:crossAx val="269969280"/>
        <c:crosses val="autoZero"/>
        <c:auto val="1"/>
        <c:lblAlgn val="ctr"/>
        <c:lblOffset val="100"/>
        <c:noMultiLvlLbl val="0"/>
      </c:catAx>
      <c:valAx>
        <c:axId val="269969280"/>
        <c:scaling>
          <c:orientation val="minMax"/>
          <c:min val="-100"/>
        </c:scaling>
        <c:delete val="0"/>
        <c:axPos val="l"/>
        <c:majorGridlines>
          <c:spPr>
            <a:ln w="6350">
              <a:solidFill>
                <a:schemeClr val="bg1">
                  <a:lumMod val="75000"/>
                </a:schemeClr>
              </a:solidFill>
            </a:ln>
          </c:spPr>
        </c:majorGridlines>
        <c:numFmt formatCode="General" sourceLinked="1"/>
        <c:majorTickMark val="out"/>
        <c:minorTickMark val="none"/>
        <c:tickLblPos val="nextTo"/>
        <c:crossAx val="269967744"/>
        <c:crosses val="autoZero"/>
        <c:crossBetween val="between"/>
      </c:valAx>
      <c:spPr>
        <a:ln>
          <a:solidFill>
            <a:schemeClr val="tx1"/>
          </a:solidFill>
        </a:ln>
      </c:spPr>
    </c:plotArea>
    <c:legend>
      <c:legendPos val="b"/>
      <c:layout>
        <c:manualLayout>
          <c:xMode val="edge"/>
          <c:yMode val="edge"/>
          <c:x val="7.9999155690645057E-2"/>
          <c:y val="0.93271781816746591"/>
          <c:w val="0.90181273218507263"/>
          <c:h val="5.4750853511732103E-2"/>
        </c:manualLayout>
      </c:layout>
      <c:overlay val="1"/>
      <c:spPr>
        <a:ln w="6350">
          <a:solidFill>
            <a:sysClr val="windowText" lastClr="000000"/>
          </a:solidFill>
        </a:ln>
      </c:spPr>
    </c:legend>
    <c:plotVisOnly val="1"/>
    <c:dispBlanksAs val="gap"/>
    <c:showDLblsOverMax val="0"/>
  </c:chart>
  <c:spPr>
    <a:ln>
      <a:noFill/>
    </a:ln>
  </c:spPr>
  <c:txPr>
    <a:bodyPr/>
    <a:lstStyle/>
    <a:p>
      <a:pPr>
        <a:defRPr sz="800" baseline="0">
          <a:latin typeface="Arial" panose="020B0604020202020204" pitchFamily="34" charset="0"/>
          <a:cs typeface="Arial" panose="020B0604020202020204"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BFEEC-555B-468C-9496-7B0F163A8B6D}">
  <ds:schemaRefs>
    <ds:schemaRef ds:uri="http://schemas.openxmlformats.org/officeDocument/2006/bibliography"/>
  </ds:schemaRefs>
</ds:datastoreItem>
</file>

<file path=customXml/itemProps2.xml><?xml version="1.0" encoding="utf-8"?>
<ds:datastoreItem xmlns:ds="http://schemas.openxmlformats.org/officeDocument/2006/customXml" ds:itemID="{844627F8-3586-452C-A4C4-A11705E0F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Template>
  <TotalTime>2</TotalTime>
  <Pages>2</Pages>
  <Words>989</Words>
  <Characters>5837</Characters>
  <Application>Microsoft Office Word</Application>
  <DocSecurity>0</DocSecurity>
  <Lines>48</Lines>
  <Paragraphs>13</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6813</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Karolína Zábojníková</cp:lastModifiedBy>
  <cp:revision>4</cp:revision>
  <cp:lastPrinted>2019-04-08T10:52:00Z</cp:lastPrinted>
  <dcterms:created xsi:type="dcterms:W3CDTF">2020-12-16T06:31:00Z</dcterms:created>
  <dcterms:modified xsi:type="dcterms:W3CDTF">2020-12-16T07:55:00Z</dcterms:modified>
</cp:coreProperties>
</file>