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AE0CE" w14:textId="39A6E9AE" w:rsidR="00B8507A" w:rsidRPr="00F204DA" w:rsidRDefault="00B8507A" w:rsidP="00B8507A">
      <w:pPr>
        <w:pStyle w:val="Nadpis11"/>
      </w:pPr>
      <w:bookmarkStart w:id="0" w:name="_Toc121993822"/>
      <w:bookmarkStart w:id="1" w:name="_Toc153531176"/>
      <w:bookmarkStart w:id="2" w:name="_Toc153531177"/>
      <w:bookmarkStart w:id="3" w:name="_Toc169258116"/>
      <w:r>
        <w:t>4</w:t>
      </w:r>
      <w:bookmarkStart w:id="4" w:name="_Toc511215218"/>
      <w:bookmarkStart w:id="5" w:name="_Toc19090679"/>
      <w:bookmarkStart w:id="6" w:name="_Toc74643856"/>
      <w:bookmarkStart w:id="7" w:name="_Toc42852411"/>
      <w:bookmarkStart w:id="8" w:name="_Toc74643857"/>
      <w:bookmarkEnd w:id="4"/>
      <w:bookmarkEnd w:id="5"/>
      <w:r>
        <w:t>. Vnější vztahy</w:t>
      </w:r>
      <w:bookmarkEnd w:id="1"/>
      <w:bookmarkEnd w:id="3"/>
    </w:p>
    <w:tbl>
      <w:tblPr>
        <w:tblW w:w="0" w:type="dxa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21"/>
        <w:gridCol w:w="2842"/>
        <w:gridCol w:w="57"/>
        <w:gridCol w:w="4809"/>
      </w:tblGrid>
      <w:tr w:rsidR="00B8507A" w14:paraId="46022F59" w14:textId="77777777" w:rsidTr="00B8507A">
        <w:trPr>
          <w:trHeight w:val="145"/>
        </w:trPr>
        <w:tc>
          <w:tcPr>
            <w:tcW w:w="1748" w:type="dxa"/>
            <w:hideMark/>
          </w:tcPr>
          <w:p w14:paraId="73DEF562" w14:textId="77777777" w:rsidR="00B8507A" w:rsidRDefault="00B8507A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Vývoz zboží v 1. čtvrtletí 2024 meziročně vzrostl jen mírně.</w:t>
            </w:r>
          </w:p>
        </w:tc>
        <w:tc>
          <w:tcPr>
            <w:tcW w:w="221" w:type="dxa"/>
          </w:tcPr>
          <w:p w14:paraId="4B78936E" w14:textId="77777777" w:rsidR="00B8507A" w:rsidRDefault="00B8507A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708" w:type="dxa"/>
            <w:gridSpan w:val="3"/>
            <w:hideMark/>
          </w:tcPr>
          <w:p w14:paraId="6BBCD347" w14:textId="77777777" w:rsidR="00B8507A" w:rsidRDefault="00B8507A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Hodnota vývozu zboží v 1. čtvrtletí 2024 dosáhla 1 164,0 mld. korun</w:t>
            </w:r>
            <w:r>
              <w:rPr>
                <w:rStyle w:val="Znakapoznpodarou"/>
                <w:spacing w:val="-4"/>
                <w:lang w:eastAsia="en-US"/>
              </w:rPr>
              <w:footnoteReference w:id="1"/>
            </w:r>
            <w:r>
              <w:rPr>
                <w:spacing w:val="-4"/>
                <w:lang w:eastAsia="en-US"/>
              </w:rPr>
              <w:t xml:space="preserve"> a meziročně se tak zvýšila o 5,2 mld. (0,5 %). Poměrně slabý meziroční přírůstek souvisí s vysokou srovnávací základnou začátku loňského roku. Z podrobnějších údajů ale vyplývá, že vývoj exportu zrcadlí situaci v celém průmyslu – stále pozitivní vývoj v oblasti motorových vozidel, proti kterému stojí zaostávání zbytku průmyslu včetně důležitých oborů navázaných na export. Svůj vliv měl také meziroční pokles cen surovin</w:t>
            </w:r>
            <w:r>
              <w:rPr>
                <w:rStyle w:val="Znakapoznpodarou"/>
                <w:spacing w:val="-4"/>
                <w:lang w:eastAsia="en-US"/>
              </w:rPr>
              <w:footnoteReference w:id="2"/>
            </w:r>
            <w:r>
              <w:rPr>
                <w:spacing w:val="-4"/>
                <w:lang w:eastAsia="en-US"/>
              </w:rPr>
              <w:t xml:space="preserve">. Podle sezónně očištěných údajů se hodnota exportu mezičtvrtletně zvýšila o 3,0 %. </w:t>
            </w:r>
          </w:p>
        </w:tc>
      </w:tr>
      <w:tr w:rsidR="00B8507A" w14:paraId="46BEC536" w14:textId="77777777" w:rsidTr="00B8507A">
        <w:trPr>
          <w:trHeight w:val="170"/>
        </w:trPr>
        <w:tc>
          <w:tcPr>
            <w:tcW w:w="4811" w:type="dxa"/>
            <w:gridSpan w:val="3"/>
            <w:hideMark/>
          </w:tcPr>
          <w:p w14:paraId="5CDF3A2E" w14:textId="77777777" w:rsidR="00B8507A" w:rsidRDefault="00B8507A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1 Oddíly klasifikace CPA s největším </w:t>
            </w:r>
          </w:p>
          <w:p w14:paraId="7AC7D02C" w14:textId="77777777" w:rsidR="00B8507A" w:rsidRDefault="00B8507A">
            <w:pPr>
              <w:spacing w:after="0"/>
              <w:jc w:val="left"/>
              <w:rPr>
                <w:spacing w:val="-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vlivem na vývoj vývozu zboží v 1.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  <w:tc>
          <w:tcPr>
            <w:tcW w:w="57" w:type="dxa"/>
          </w:tcPr>
          <w:p w14:paraId="5E8A238A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74825333" w14:textId="77777777" w:rsidR="00B8507A" w:rsidRDefault="00B8507A">
            <w:pPr>
              <w:spacing w:after="0"/>
              <w:jc w:val="left"/>
              <w:rPr>
                <w:spacing w:val="-4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2 Země s největším vlivem na vývoj vývozu zboží v 1.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</w:tr>
      <w:tr w:rsidR="00B8507A" w14:paraId="3776F888" w14:textId="77777777" w:rsidTr="00B8507A">
        <w:trPr>
          <w:trHeight w:val="170"/>
        </w:trPr>
        <w:tc>
          <w:tcPr>
            <w:tcW w:w="4811" w:type="dxa"/>
            <w:gridSpan w:val="3"/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4"/>
              <w:gridCol w:w="700"/>
              <w:gridCol w:w="700"/>
            </w:tblGrid>
            <w:tr w:rsidR="00B8507A" w14:paraId="4247AE57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1FA081DC" w14:textId="77777777" w:rsidR="00B8507A" w:rsidRDefault="00B8507A">
                  <w:pPr>
                    <w:rPr>
                      <w:spacing w:val="-4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BA2953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mld. Kč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7430C9C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</w:tr>
            <w:tr w:rsidR="00B8507A" w14:paraId="20006BFD" w14:textId="77777777">
              <w:trPr>
                <w:trHeight w:val="255"/>
              </w:trPr>
              <w:tc>
                <w:tcPr>
                  <w:tcW w:w="34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2F8082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Motorová vozidla (kromě motocyklů) a díly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5CF9F7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+23,5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EE24A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+7,5</w:t>
                  </w:r>
                </w:p>
              </w:tc>
            </w:tr>
            <w:tr w:rsidR="00B8507A" w14:paraId="77FF6884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4B3B9C88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 xml:space="preserve">Počítače, elektronické a optické přístroje 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br/>
                    <w:t>a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8F0DC28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+7,0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B3AC0B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+7,1</w:t>
                  </w:r>
                </w:p>
              </w:tc>
            </w:tr>
            <w:tr w:rsidR="00B8507A" w14:paraId="36F8B68A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1C5999D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Potravinářské výrobky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46EEF8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+3,2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EE7A02E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+7,6</w:t>
                  </w:r>
                </w:p>
              </w:tc>
            </w:tr>
            <w:tr w:rsidR="00B8507A" w14:paraId="1FAE5BA4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7E7F9DF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Ostatní výrobky zpracovatelského průmyslu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0DB80F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+1,7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FEF7026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+7,2</w:t>
                  </w:r>
                </w:p>
              </w:tc>
            </w:tr>
            <w:tr w:rsidR="00B8507A" w14:paraId="60E79CEF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7EFE6EED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Sběr, příprava, likvidace a zpracování odpadu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1F27DD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+1,3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ED1C7B7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+13,4</w:t>
                  </w:r>
                </w:p>
              </w:tc>
            </w:tr>
            <w:tr w:rsidR="00B8507A" w14:paraId="64008516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307C6B6B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Produkty zemědělství a myslivosti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031C59C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+0,9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076AE1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+6,4</w:t>
                  </w:r>
                </w:p>
              </w:tc>
            </w:tr>
            <w:tr w:rsidR="00B8507A" w14:paraId="61ED3B53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02FE7EB4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Textilie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84F78EF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BDF55D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-6,6</w:t>
                  </w:r>
                </w:p>
              </w:tc>
            </w:tr>
            <w:tr w:rsidR="00B8507A" w14:paraId="72B2B2B7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6509C2A8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Ostatní nekovové minerální výrobky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27D894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507AE3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-5,1</w:t>
                  </w:r>
                </w:p>
              </w:tc>
            </w:tr>
            <w:tr w:rsidR="00B8507A" w14:paraId="23B8DF53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4C7F0EAA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Nábytek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1627716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-1,3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97F4CF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-13,6</w:t>
                  </w:r>
                </w:p>
              </w:tc>
            </w:tr>
            <w:tr w:rsidR="00B8507A" w14:paraId="5A9C1431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065C382A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Produkty lesnictví, těžby dřeva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AE361E7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-1,5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02F88B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-31,4</w:t>
                  </w:r>
                </w:p>
              </w:tc>
            </w:tr>
            <w:tr w:rsidR="00B8507A" w14:paraId="053F179F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30BF7B7C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Dřevo a dřevěné a korkové výrobky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CF11C2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-1,5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8D2421D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-11,9</w:t>
                  </w:r>
                </w:p>
              </w:tc>
            </w:tr>
            <w:tr w:rsidR="00B8507A" w14:paraId="63B91FDC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6079F45E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Elektrická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1A0B08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-4,8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CA1514F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-3,9</w:t>
                  </w:r>
                </w:p>
              </w:tc>
            </w:tr>
            <w:tr w:rsidR="00B8507A" w14:paraId="391206CD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500824CB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Základní kovy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37872D6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-6,3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EDA559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-13,7</w:t>
                  </w:r>
                </w:p>
              </w:tc>
            </w:tr>
            <w:tr w:rsidR="00B8507A" w14:paraId="449C9BF2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039BBFDE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Stroje a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91C4F8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-8,0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E232058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-5,9</w:t>
                  </w:r>
                </w:p>
              </w:tc>
            </w:tr>
            <w:tr w:rsidR="00B8507A" w14:paraId="6BB1966D" w14:textId="77777777">
              <w:trPr>
                <w:trHeight w:val="255"/>
              </w:trPr>
              <w:tc>
                <w:tcPr>
                  <w:tcW w:w="3414" w:type="dxa"/>
                  <w:vAlign w:val="bottom"/>
                  <w:hideMark/>
                </w:tcPr>
                <w:p w14:paraId="471773CC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Elektřina, plyn, pára a klimatizovaný vzduch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9C22DA0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-9,0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95D4F2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-47,9</w:t>
                  </w:r>
                </w:p>
              </w:tc>
            </w:tr>
          </w:tbl>
          <w:p w14:paraId="16E4D3F4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57" w:type="dxa"/>
          </w:tcPr>
          <w:p w14:paraId="63A3F0F5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tbl>
            <w:tblPr>
              <w:tblW w:w="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63"/>
              <w:gridCol w:w="700"/>
              <w:gridCol w:w="700"/>
            </w:tblGrid>
            <w:tr w:rsidR="00B8507A" w14:paraId="3481F2F9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235FE57C" w14:textId="77777777" w:rsidR="00B8507A" w:rsidRDefault="00B8507A">
                  <w:pPr>
                    <w:rPr>
                      <w:spacing w:val="-4"/>
                      <w:lang w:eastAsia="en-US"/>
                    </w:rPr>
                  </w:pP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0F390E7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mld. Kč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B0AB30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</w:tr>
            <w:tr w:rsidR="00B8507A" w14:paraId="3241D665" w14:textId="77777777">
              <w:trPr>
                <w:trHeight w:val="255"/>
                <w:jc w:val="center"/>
              </w:trPr>
              <w:tc>
                <w:tcPr>
                  <w:tcW w:w="33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530A7A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Velká Británie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C5EA3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+8,6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B768F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+19,1</w:t>
                  </w:r>
                </w:p>
              </w:tc>
            </w:tr>
            <w:tr w:rsidR="00B8507A" w14:paraId="0D6511A0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22CAA94D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Polsko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3CDA2D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+7,8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2EC46CE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+9,8</w:t>
                  </w:r>
                </w:p>
              </w:tc>
            </w:tr>
            <w:tr w:rsidR="00B8507A" w14:paraId="600C163F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7961D0DB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Japonsko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896686E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+7,4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D311C00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+239,5</w:t>
                  </w:r>
                </w:p>
              </w:tc>
            </w:tr>
            <w:tr w:rsidR="00B8507A" w14:paraId="610F7270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4ABE5E9B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Itálie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440337C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+4,0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E03C0FD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+8,0</w:t>
                  </w:r>
                </w:p>
              </w:tc>
            </w:tr>
            <w:tr w:rsidR="00B8507A" w14:paraId="78DEC835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28A62C4C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Turecko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9FE31E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+3,9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7CC6F8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+25,2</w:t>
                  </w:r>
                </w:p>
              </w:tc>
            </w:tr>
            <w:tr w:rsidR="00B8507A" w14:paraId="1029AEC5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15B38E5F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Spojené státy americké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469826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+2,3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EBC12C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+8,5</w:t>
                  </w:r>
                </w:p>
              </w:tc>
            </w:tr>
            <w:tr w:rsidR="00B8507A" w14:paraId="1ED7F6BE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2A2277E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Maďarsko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75DFB6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B82AA9C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+6,1</w:t>
                  </w:r>
                </w:p>
              </w:tc>
            </w:tr>
            <w:tr w:rsidR="00B8507A" w14:paraId="50C1633C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5E21A938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Čína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C65AD26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+1,9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3B0628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+18,9</w:t>
                  </w:r>
                </w:p>
              </w:tc>
            </w:tr>
            <w:tr w:rsidR="00B8507A" w14:paraId="6A219CC8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2608CEA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Izrael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AEC14E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DEA21DC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-27,7</w:t>
                  </w:r>
                </w:p>
              </w:tc>
            </w:tr>
            <w:tr w:rsidR="00B8507A" w14:paraId="1CED6DC8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268896C6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Švédsko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10CF5E8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-2,8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942A62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-13,8</w:t>
                  </w:r>
                </w:p>
              </w:tc>
            </w:tr>
            <w:tr w:rsidR="00B8507A" w14:paraId="388299E9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5B9940EF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Slovensko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15D024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-3,3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82CC4B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-3,1</w:t>
                  </w:r>
                </w:p>
              </w:tc>
            </w:tr>
            <w:tr w:rsidR="00B8507A" w14:paraId="416A8381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055750CC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Francie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1C34AB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-3,6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C165FE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-5,9</w:t>
                  </w:r>
                </w:p>
              </w:tc>
            </w:tr>
            <w:tr w:rsidR="00B8507A" w14:paraId="4A219BBF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2E43C122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Rakousko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85503F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-4,7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0856FDE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-9,5</w:t>
                  </w:r>
                </w:p>
              </w:tc>
            </w:tr>
            <w:tr w:rsidR="00B8507A" w14:paraId="5E120D10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0660D139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Nizozemsko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B471B3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-5,1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1EC374C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-12,7</w:t>
                  </w:r>
                </w:p>
              </w:tc>
            </w:tr>
            <w:tr w:rsidR="00B8507A" w14:paraId="12776B3E" w14:textId="77777777">
              <w:trPr>
                <w:trHeight w:val="255"/>
                <w:jc w:val="center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758C1054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Německo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95B5E7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-25,6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14440D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-7,0</w:t>
                  </w:r>
                </w:p>
              </w:tc>
            </w:tr>
          </w:tbl>
          <w:p w14:paraId="0A59F0C9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</w:tr>
      <w:tr w:rsidR="00B8507A" w14:paraId="504E8D4E" w14:textId="77777777" w:rsidTr="00B8507A">
        <w:trPr>
          <w:trHeight w:val="170"/>
        </w:trPr>
        <w:tc>
          <w:tcPr>
            <w:tcW w:w="4811" w:type="dxa"/>
            <w:gridSpan w:val="3"/>
            <w:hideMark/>
          </w:tcPr>
          <w:p w14:paraId="6A294502" w14:textId="77777777" w:rsidR="00B8507A" w:rsidRDefault="00B8507A">
            <w:pPr>
              <w:jc w:val="right"/>
              <w:rPr>
                <w:spacing w:val="-4"/>
                <w:sz w:val="16"/>
                <w:szCs w:val="16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  <w:tc>
          <w:tcPr>
            <w:tcW w:w="57" w:type="dxa"/>
          </w:tcPr>
          <w:p w14:paraId="4C494221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317AD51D" w14:textId="77777777" w:rsidR="00B8507A" w:rsidRDefault="00B8507A">
            <w:pPr>
              <w:spacing w:after="0"/>
              <w:jc w:val="right"/>
              <w:rPr>
                <w:spacing w:val="-4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</w:tr>
      <w:tr w:rsidR="00B8507A" w14:paraId="50E21B2F" w14:textId="77777777" w:rsidTr="00B8507A">
        <w:trPr>
          <w:trHeight w:val="145"/>
        </w:trPr>
        <w:tc>
          <w:tcPr>
            <w:tcW w:w="1748" w:type="dxa"/>
            <w:hideMark/>
          </w:tcPr>
          <w:p w14:paraId="708FC605" w14:textId="77777777" w:rsidR="00B8507A" w:rsidRDefault="00B8507A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Klesal vývoz do zemí EU.</w:t>
            </w:r>
          </w:p>
        </w:tc>
        <w:tc>
          <w:tcPr>
            <w:tcW w:w="221" w:type="dxa"/>
          </w:tcPr>
          <w:p w14:paraId="56ACA21B" w14:textId="77777777" w:rsidR="00B8507A" w:rsidRDefault="00B8507A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708" w:type="dxa"/>
            <w:gridSpan w:val="3"/>
            <w:hideMark/>
          </w:tcPr>
          <w:p w14:paraId="37D3BC0D" w14:textId="77777777" w:rsidR="00B8507A" w:rsidRDefault="00B8507A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Zhoršení situace domácích průmyslových exportérů v 1. čtvrtletí dokládá i meziroční pokles vývozu do zemí EU (−26,1 mld. korun, −2,8 %). Naproti tomu export do mimounijních zemí byl meziročně vyšší o 31,1 mld. korun (14,4 %). Jak je patrné z tabulky č. 2, k nárůstu celkové hodnoty vývozu nejvíce přispíval export do Velké Británie, Polska a Japonska. Významné byly také přírůstky v případě Itálie, Turecka, Spojených států amerických </w:t>
            </w:r>
            <w:r>
              <w:rPr>
                <w:lang w:eastAsia="en-US"/>
              </w:rPr>
              <w:t>a Maďarska</w:t>
            </w:r>
            <w:r>
              <w:rPr>
                <w:spacing w:val="-4"/>
                <w:lang w:eastAsia="en-US"/>
              </w:rPr>
              <w:t xml:space="preserve">. Relativně velké zvýšení vývozu ve srovnání s vývojem v uplynulých třech letech bylo v 1. kvartálu zaznamenáno také v případě Číny. Nejvíce se v 1. čtvrtletí meziročně propadla hodnota exportu do Německa, což také značně ovlivnilo celkový výsledek vývozu do EU. Kromě vlivu klesajících cen elektřiny se na vývozu k našemu největšímu sousedu projevilo také zpomalení v mnoha exportně důležitých odvětvích s výjimkou motorových vozidel. Významně ve směru celkového poklesu vývozu působil také export do Nizozemska, Rakouska, Francie, na Slovensko, do Švédska nebo Izraele. </w:t>
            </w:r>
          </w:p>
        </w:tc>
      </w:tr>
      <w:tr w:rsidR="00B8507A" w14:paraId="62C9BE40" w14:textId="77777777" w:rsidTr="00B8507A">
        <w:trPr>
          <w:trHeight w:val="145"/>
        </w:trPr>
        <w:tc>
          <w:tcPr>
            <w:tcW w:w="1748" w:type="dxa"/>
            <w:hideMark/>
          </w:tcPr>
          <w:p w14:paraId="0D39B976" w14:textId="77777777" w:rsidR="00B8507A" w:rsidRDefault="00B8507A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Pokračoval růst vývozu motorových vozidel.</w:t>
            </w:r>
          </w:p>
        </w:tc>
        <w:tc>
          <w:tcPr>
            <w:tcW w:w="221" w:type="dxa"/>
          </w:tcPr>
          <w:p w14:paraId="7A8CA01B" w14:textId="77777777" w:rsidR="00B8507A" w:rsidRDefault="00B8507A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708" w:type="dxa"/>
            <w:gridSpan w:val="3"/>
            <w:hideMark/>
          </w:tcPr>
          <w:p w14:paraId="7FE72D82" w14:textId="77777777" w:rsidR="00B8507A" w:rsidRDefault="00B8507A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Z hlediska zbožové struktury působila ve směru růstu hodnoty vývozu v 1. čtvrtletí nejvíce motorová vozidla (viz Tabulka č. 1). Ta tak navázala na vývoj v loňském roce, kdy růst jejich vývozu z velké části vyvažoval pokles u mnoha ostatních druhů zboží. Významný meziroční přírůstek měl v 1. čtvrtletí také export počítačů, elektronických a optických přístrojů, potravinářských výrobků, ostatních výrobků zpracovatelského průmyslu nebo sběr, příprava, likvidace a zpracování odpadu. Nadále výrazně meziročně klesal vývoz elektřiny, plynu, páry </w:t>
            </w:r>
            <w:r>
              <w:rPr>
                <w:spacing w:val="-4"/>
                <w:lang w:eastAsia="en-US"/>
              </w:rPr>
              <w:lastRenderedPageBreak/>
              <w:t xml:space="preserve">a klimatizovaného vzduchu, prohloubil se pokles u strojů a zařízení, přetrvávalo meziroční snížení vývozu základních kovů a klesl export elektrických zařízení. Snížení bylo zaznamenáno také u vývozu nábytku, produktů lesnictví a těžby dřeva, dřeva a výrobků z něj, textilií nebo ostatních nekovových minerálních výrobků.    </w:t>
            </w:r>
          </w:p>
        </w:tc>
      </w:tr>
      <w:tr w:rsidR="00B8507A" w14:paraId="69AC0939" w14:textId="77777777" w:rsidTr="00B8507A">
        <w:trPr>
          <w:trHeight w:val="145"/>
        </w:trPr>
        <w:tc>
          <w:tcPr>
            <w:tcW w:w="1748" w:type="dxa"/>
            <w:hideMark/>
          </w:tcPr>
          <w:p w14:paraId="709477FC" w14:textId="77777777" w:rsidR="00B8507A" w:rsidRDefault="00B8507A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Dovoz zboží se meziročně propadl.</w:t>
            </w:r>
          </w:p>
        </w:tc>
        <w:tc>
          <w:tcPr>
            <w:tcW w:w="221" w:type="dxa"/>
          </w:tcPr>
          <w:p w14:paraId="0ACBFD7B" w14:textId="77777777" w:rsidR="00B8507A" w:rsidRDefault="00B8507A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708" w:type="dxa"/>
            <w:gridSpan w:val="3"/>
            <w:hideMark/>
          </w:tcPr>
          <w:p w14:paraId="4EC7FFC5" w14:textId="77777777" w:rsidR="00B8507A" w:rsidRDefault="00B8507A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Hodnota dovozu zboží v 1. čtvrtletí 2024 meziročně klesla o 39,1 mld. korun (−3,5 %) na 1 079,5 mld. Import v běžných cenách se meziročně snížil počtvrté v řadě. Kromě poklesu cen dovážených surovin</w:t>
            </w:r>
            <w:r>
              <w:rPr>
                <w:rStyle w:val="Znakapoznpodarou"/>
                <w:spacing w:val="-4"/>
                <w:lang w:eastAsia="en-US"/>
              </w:rPr>
              <w:footnoteReference w:id="3"/>
            </w:r>
            <w:r>
              <w:rPr>
                <w:spacing w:val="-4"/>
                <w:lang w:eastAsia="en-US"/>
              </w:rPr>
              <w:t xml:space="preserve"> se ale projevilo také snížení hodnoty dovozu zboží, které odebírá domácí průmysl. Sezónně očištěné údaje ukázaly v 1. čtvrtletí poměrně výrazný mezičtvrtletní nárůst importu o 4,6 %. Meziročně se snížil dovoz ze zemí EU (−16,0 mld. korun, −2,3 %) i ze států mimo Unii (−25,2 mld., −6,1 %). Největší pokles (viz Tabulka č. 4) byl zaznamenán u dovozu z Číny (třetí propad v řadě), kde došlo k výraznému snížení dovozu elektrických zařízení, a dále u Norska, kde se projevil pokles cen zemního plynu. Snížení bylo významné také v případě dovozu z Jižní Koreje, Německa, Rakouska, Polska, Velké Británie, Itálie, Japonska nebo Slovenska. Meziročně klesal dovoz z většiny sledovaných zemí a mezi několik výjimek patřilo Rusko, Tchaj-wan, Spojené státy americké, Malajsie nebo Kazachstán</w:t>
            </w:r>
            <w:r>
              <w:rPr>
                <w:rStyle w:val="Znakapoznpodarou"/>
                <w:spacing w:val="-4"/>
                <w:lang w:eastAsia="en-US"/>
              </w:rPr>
              <w:footnoteReference w:id="4"/>
            </w:r>
            <w:r>
              <w:rPr>
                <w:spacing w:val="-4"/>
                <w:lang w:eastAsia="en-US"/>
              </w:rPr>
              <w:t xml:space="preserve">. </w:t>
            </w:r>
          </w:p>
        </w:tc>
      </w:tr>
      <w:tr w:rsidR="00B8507A" w14:paraId="4A6857C6" w14:textId="77777777" w:rsidTr="00B8507A">
        <w:trPr>
          <w:trHeight w:val="170"/>
        </w:trPr>
        <w:tc>
          <w:tcPr>
            <w:tcW w:w="4811" w:type="dxa"/>
            <w:gridSpan w:val="3"/>
            <w:hideMark/>
          </w:tcPr>
          <w:p w14:paraId="07EAB5B0" w14:textId="77777777" w:rsidR="00B8507A" w:rsidRDefault="00B8507A">
            <w:pPr>
              <w:spacing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3 Oddíly klasifikace CPA s největším </w:t>
            </w:r>
          </w:p>
          <w:p w14:paraId="5248DC94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vlivem na vývoj dovozu zboží v 1.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  <w:tc>
          <w:tcPr>
            <w:tcW w:w="57" w:type="dxa"/>
          </w:tcPr>
          <w:p w14:paraId="50430A15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36E6AC2F" w14:textId="77777777" w:rsidR="00B8507A" w:rsidRDefault="00B8507A">
            <w:pPr>
              <w:spacing w:after="0"/>
              <w:jc w:val="left"/>
              <w:rPr>
                <w:spacing w:val="-4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4 Země s největším vlivem na vývoj dovozu zboží v 1.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</w:tr>
      <w:tr w:rsidR="00B8507A" w14:paraId="150A2DD9" w14:textId="77777777" w:rsidTr="00B8507A">
        <w:trPr>
          <w:trHeight w:val="170"/>
        </w:trPr>
        <w:tc>
          <w:tcPr>
            <w:tcW w:w="4811" w:type="dxa"/>
            <w:gridSpan w:val="3"/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4"/>
              <w:gridCol w:w="700"/>
              <w:gridCol w:w="700"/>
            </w:tblGrid>
            <w:tr w:rsidR="00B8507A" w14:paraId="3822F0B8" w14:textId="77777777">
              <w:trPr>
                <w:trHeight w:val="255"/>
              </w:trPr>
              <w:tc>
                <w:tcPr>
                  <w:tcW w:w="34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FFC1276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245CEFF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mld. Kč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C6DB76F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</w:tr>
            <w:tr w:rsidR="00B8507A" w14:paraId="3689A441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2F79A30E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Motorová vozidla (kromě motocyklů) a díly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8710C40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+7,9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3EFEDF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+4,8</w:t>
                  </w:r>
                </w:p>
              </w:tc>
            </w:tr>
            <w:tr w:rsidR="00B8507A" w14:paraId="10F8733A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596F24EF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 xml:space="preserve">Počítače, elektronické a optické přístroje 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br/>
                    <w:t>a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7E8BE1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+7,5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6D05277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+6,4</w:t>
                  </w:r>
                </w:p>
              </w:tc>
            </w:tr>
            <w:tr w:rsidR="00B8507A" w14:paraId="4A23C59C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2669434D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Potravinářské výrobky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F47A28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+4,2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A33392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+7,8</w:t>
                  </w:r>
                </w:p>
              </w:tc>
            </w:tr>
            <w:tr w:rsidR="00B8507A" w14:paraId="196A14AB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5960DFF7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Koks a rafinované ropné produkty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47CEEF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+2,2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7E7F9E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+10,2</w:t>
                  </w:r>
                </w:p>
              </w:tc>
            </w:tr>
            <w:tr w:rsidR="00B8507A" w14:paraId="6673B319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15A79534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Produkty zemědělství a myslivosti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9139E6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+0,8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0B04C80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+4,3</w:t>
                  </w:r>
                </w:p>
              </w:tc>
            </w:tr>
            <w:tr w:rsidR="00B8507A" w14:paraId="4407F629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7FAAB5CC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Kovodělné výrobky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30D4CA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-0,9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042216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-1,8</w:t>
                  </w:r>
                </w:p>
              </w:tc>
            </w:tr>
            <w:tr w:rsidR="00B8507A" w14:paraId="6AF6EEA0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007B4DE7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Oděvy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568439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-1,4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BF5422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-8,8</w:t>
                  </w:r>
                </w:p>
              </w:tc>
            </w:tr>
            <w:tr w:rsidR="00B8507A" w14:paraId="19580918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1E2D513C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Ostatní dopravní prostředky a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B922DD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-1,4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1F61A3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-9,0</w:t>
                  </w:r>
                </w:p>
              </w:tc>
            </w:tr>
            <w:tr w:rsidR="00B8507A" w14:paraId="48EAFD5C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6161AD24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Rudy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B3C2C98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-1,8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E87C05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-40,8</w:t>
                  </w:r>
                </w:p>
              </w:tc>
            </w:tr>
            <w:tr w:rsidR="00B8507A" w14:paraId="78DB076E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7A0682E4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Elektřina, plyn, pára a klimatizovaný vzduch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6D8682D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721703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-34,3</w:t>
                  </w:r>
                </w:p>
              </w:tc>
            </w:tr>
            <w:tr w:rsidR="00B8507A" w14:paraId="4E479950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05B9072B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Černé a hnědé uhlí a lignit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654A80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8BE0EB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-53,2</w:t>
                  </w:r>
                </w:p>
              </w:tc>
            </w:tr>
            <w:tr w:rsidR="00B8507A" w14:paraId="35687A02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2BD15E31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Chemické látky a chemické přípravky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A17464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9EF1E4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-4,6</w:t>
                  </w:r>
                </w:p>
              </w:tc>
            </w:tr>
            <w:tr w:rsidR="00B8507A" w14:paraId="5CB5B393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041D62C4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Základní kovy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662A9F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-9,4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21FE58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-10,4</w:t>
                  </w:r>
                </w:p>
              </w:tc>
            </w:tr>
            <w:tr w:rsidR="00B8507A" w14:paraId="047FEE6B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41B70371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Stroje a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50BD54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-11,7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200D1DD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-11,0</w:t>
                  </w:r>
                </w:p>
              </w:tc>
            </w:tr>
            <w:tr w:rsidR="00B8507A" w14:paraId="2BD68F94" w14:textId="77777777">
              <w:trPr>
                <w:trHeight w:val="255"/>
              </w:trPr>
              <w:tc>
                <w:tcPr>
                  <w:tcW w:w="3414" w:type="dxa"/>
                  <w:noWrap/>
                  <w:vAlign w:val="bottom"/>
                  <w:hideMark/>
                </w:tcPr>
                <w:p w14:paraId="3AEA3E4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Elektrická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7635D7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-22,2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A048E5E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-18,1</w:t>
                  </w:r>
                </w:p>
              </w:tc>
            </w:tr>
          </w:tbl>
          <w:p w14:paraId="614EFC07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57" w:type="dxa"/>
          </w:tcPr>
          <w:p w14:paraId="2E277B86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63"/>
              <w:gridCol w:w="700"/>
              <w:gridCol w:w="700"/>
            </w:tblGrid>
            <w:tr w:rsidR="00B8507A" w14:paraId="0374C1BA" w14:textId="77777777">
              <w:trPr>
                <w:trHeight w:val="255"/>
              </w:trPr>
              <w:tc>
                <w:tcPr>
                  <w:tcW w:w="3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BBA9B7F" w14:textId="77777777" w:rsidR="00B8507A" w:rsidRDefault="00B8507A">
                  <w:pPr>
                    <w:spacing w:after="0" w:line="240" w:lineRule="auto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0EC2C7C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mld. Kč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F734040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</w:tr>
            <w:tr w:rsidR="00B8507A" w14:paraId="7AE876D1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3138BFEF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Rusko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927F29D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+5,4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C93531E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+37,0</w:t>
                  </w:r>
                </w:p>
              </w:tc>
            </w:tr>
            <w:tr w:rsidR="00B8507A" w14:paraId="6B2BEFFA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432336B9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Tchaj-wan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8F7285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+4,8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CD3FA08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+65,6</w:t>
                  </w:r>
                </w:p>
              </w:tc>
            </w:tr>
            <w:tr w:rsidR="00B8507A" w14:paraId="4B383A98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0FA23964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Spojené státy americké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D8076A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+3,0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45425B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+10,2</w:t>
                  </w:r>
                </w:p>
              </w:tc>
            </w:tr>
            <w:tr w:rsidR="00B8507A" w14:paraId="1394E520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472CB3E2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Malajsie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8FDB6B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+2,3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856C37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+41,1</w:t>
                  </w:r>
                </w:p>
              </w:tc>
            </w:tr>
            <w:tr w:rsidR="00B8507A" w14:paraId="2408ECCB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5226C801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Kazachstán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4D39DDD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+2,3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55BF66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+69,0</w:t>
                  </w:r>
                </w:p>
              </w:tc>
            </w:tr>
            <w:tr w:rsidR="00B8507A" w14:paraId="46FD2002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0570E8A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Slovensko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799743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-1,6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50CCC0F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-2,9</w:t>
                  </w:r>
                </w:p>
              </w:tc>
            </w:tr>
            <w:tr w:rsidR="00B8507A" w14:paraId="59518930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77C1CE48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Japonsko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1138D06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6161C8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-9,0</w:t>
                  </w:r>
                </w:p>
              </w:tc>
            </w:tr>
            <w:tr w:rsidR="00B8507A" w14:paraId="76510C5C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2808D2FA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Itálie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59280CE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-2,2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06463B0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-4,5</w:t>
                  </w:r>
                </w:p>
              </w:tc>
            </w:tr>
            <w:tr w:rsidR="00B8507A" w14:paraId="724454D4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1E5412D2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Velká Británie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A62BD4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-2,3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90364F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-11,6</w:t>
                  </w:r>
                </w:p>
              </w:tc>
            </w:tr>
            <w:tr w:rsidR="00B8507A" w14:paraId="261517FC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42773CB5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Polsko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360B09C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-3,2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F644E1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-3,2</w:t>
                  </w:r>
                </w:p>
              </w:tc>
            </w:tr>
            <w:tr w:rsidR="00B8507A" w14:paraId="47595794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1245DE8A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Rakousko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D770C4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-3,7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B1DF55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-11,5</w:t>
                  </w:r>
                </w:p>
              </w:tc>
            </w:tr>
            <w:tr w:rsidR="00B8507A" w14:paraId="59006042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4981AE4B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Německo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F0851CF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-3,9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D372E8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-1,5</w:t>
                  </w:r>
                </w:p>
              </w:tc>
            </w:tr>
            <w:tr w:rsidR="00B8507A" w14:paraId="40D378DE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7E79A9CD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Korejská republika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C7417E8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-4,5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CC5F1A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-17,2</w:t>
                  </w:r>
                </w:p>
              </w:tc>
            </w:tr>
            <w:tr w:rsidR="00B8507A" w14:paraId="1DB63810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0BD0AC27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Norsko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F68FCED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-10,1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9BC091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-42,9</w:t>
                  </w:r>
                </w:p>
              </w:tc>
            </w:tr>
            <w:tr w:rsidR="00B8507A" w14:paraId="076C8146" w14:textId="77777777">
              <w:trPr>
                <w:trHeight w:val="255"/>
              </w:trPr>
              <w:tc>
                <w:tcPr>
                  <w:tcW w:w="3363" w:type="dxa"/>
                  <w:noWrap/>
                  <w:vAlign w:val="bottom"/>
                  <w:hideMark/>
                </w:tcPr>
                <w:p w14:paraId="72917CD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Čína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26EA1A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-21,7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93BD52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-15,0</w:t>
                  </w:r>
                </w:p>
              </w:tc>
            </w:tr>
          </w:tbl>
          <w:p w14:paraId="68A82116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</w:tr>
      <w:tr w:rsidR="00B8507A" w14:paraId="6D1A1CD5" w14:textId="77777777" w:rsidTr="00B8507A">
        <w:trPr>
          <w:trHeight w:val="170"/>
        </w:trPr>
        <w:tc>
          <w:tcPr>
            <w:tcW w:w="4811" w:type="dxa"/>
            <w:gridSpan w:val="3"/>
            <w:hideMark/>
          </w:tcPr>
          <w:p w14:paraId="428DA40A" w14:textId="77777777" w:rsidR="00B8507A" w:rsidRDefault="00B8507A">
            <w:pPr>
              <w:jc w:val="right"/>
              <w:rPr>
                <w:spacing w:val="-4"/>
                <w:sz w:val="16"/>
                <w:szCs w:val="16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  <w:tc>
          <w:tcPr>
            <w:tcW w:w="57" w:type="dxa"/>
          </w:tcPr>
          <w:p w14:paraId="4EDAF50A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40F75F91" w14:textId="77777777" w:rsidR="00B8507A" w:rsidRDefault="00B8507A">
            <w:pPr>
              <w:spacing w:after="0"/>
              <w:jc w:val="right"/>
              <w:rPr>
                <w:spacing w:val="-4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</w:tr>
      <w:tr w:rsidR="00B8507A" w14:paraId="0979C28E" w14:textId="77777777" w:rsidTr="00B8507A">
        <w:trPr>
          <w:trHeight w:val="145"/>
        </w:trPr>
        <w:tc>
          <w:tcPr>
            <w:tcW w:w="1748" w:type="dxa"/>
            <w:hideMark/>
          </w:tcPr>
          <w:p w14:paraId="1DD10B72" w14:textId="77777777" w:rsidR="00B8507A" w:rsidRDefault="00B8507A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 xml:space="preserve">Na poklesu dovozu byly patrné cenové vlivy </w:t>
            </w:r>
            <w:r>
              <w:rPr>
                <w:lang w:eastAsia="en-US"/>
              </w:rPr>
              <w:br/>
              <w:t>i nižší průmyslová poptávka.</w:t>
            </w:r>
          </w:p>
        </w:tc>
        <w:tc>
          <w:tcPr>
            <w:tcW w:w="221" w:type="dxa"/>
          </w:tcPr>
          <w:p w14:paraId="77B0D5D3" w14:textId="77777777" w:rsidR="00B8507A" w:rsidRDefault="00B8507A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708" w:type="dxa"/>
            <w:gridSpan w:val="3"/>
            <w:hideMark/>
          </w:tcPr>
          <w:p w14:paraId="5607EF72" w14:textId="77777777" w:rsidR="00B8507A" w:rsidRDefault="00B8507A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K celkovému meziročnímu propadu dovozu zboží v 1. čtvrtletí nejvíce přispěla elektrická zařízení, stroje a zařízení a základní kovy (viz Tabulka č. 3). Velkou roli v celkovém snížení importu tak hrála slabší poptávka domácího průmyslu. Cenové vlivy lze vidět za poklesy dovozu chemických látek a přípravků, černého a hnědého uhlí a lignitu, u elektřiny, plynu, páry a klimatizovaného vzduchu a rud. Nižší byl také dovoz ostatních dopravních prostředků a zařízení nebo oděvů. Nejvíce se meziročně zvýšila hodnota dovozu motorových vozidel a počítačů, elektronických a optických zařízení. Významnější přírůstek byl zaznamenán dále u dovozu potravinářských výrobků a koksu a rafinovaných ropných produktů. </w:t>
            </w:r>
          </w:p>
        </w:tc>
      </w:tr>
      <w:tr w:rsidR="00B8507A" w14:paraId="75076A3D" w14:textId="77777777" w:rsidTr="00B8507A">
        <w:trPr>
          <w:trHeight w:val="145"/>
        </w:trPr>
        <w:tc>
          <w:tcPr>
            <w:tcW w:w="1748" w:type="dxa"/>
            <w:hideMark/>
          </w:tcPr>
          <w:p w14:paraId="1F2988C5" w14:textId="77777777" w:rsidR="00B8507A" w:rsidRDefault="00B8507A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Bilance zahraničního obchodu dosáhla rekordního přebytku.</w:t>
            </w:r>
          </w:p>
        </w:tc>
        <w:tc>
          <w:tcPr>
            <w:tcW w:w="221" w:type="dxa"/>
          </w:tcPr>
          <w:p w14:paraId="1770B679" w14:textId="77777777" w:rsidR="00B8507A" w:rsidRDefault="00B8507A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708" w:type="dxa"/>
            <w:gridSpan w:val="3"/>
            <w:hideMark/>
          </w:tcPr>
          <w:p w14:paraId="5A150FAE" w14:textId="77777777" w:rsidR="00B8507A" w:rsidRDefault="00B8507A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Bilance zahraničního obchodu se zbožím v 1. čtvrtletí dosáhla přebytku 84,5 mld. korun</w:t>
            </w:r>
            <w:r>
              <w:rPr>
                <w:rStyle w:val="Znakapoznpodarou"/>
                <w:spacing w:val="-4"/>
                <w:lang w:eastAsia="en-US"/>
              </w:rPr>
              <w:footnoteReference w:id="5"/>
            </w:r>
            <w:r>
              <w:rPr>
                <w:spacing w:val="-4"/>
                <w:lang w:eastAsia="en-US"/>
              </w:rPr>
              <w:t xml:space="preserve"> a meziročně se zlepšila o 44,3 mld. Příznivý vývoj salda zahraničního obchodu souvisí zejména s výraznějším poklesem dovozu u významných artiklů zpracovatelského průmyslu. </w:t>
            </w:r>
            <w:r>
              <w:rPr>
                <w:spacing w:val="-4"/>
                <w:lang w:eastAsia="en-US"/>
              </w:rPr>
              <w:lastRenderedPageBreak/>
              <w:t>Podle sezónně očištěných dat se ale přebytek bilance zahraničního obchodu mezičtvrtletně snížil. Bilance zahraničního obchodu se zbožím se zeměmi EU se v 1. čtvrtletí meziročně zhoršila o 10,1 mld. korun. Naopak v případě zemí mimo Unii došlo k meziročnímu zmírnění deficitu o 56,3 mld. korun. Ke zlepšení bilance nejvíce přispělo zmírnění deficitu obchodu s Čínou (viz Tabulka č. 6) související s výše zmíněným propadem dovozu. O více než 10 mld. korun se meziročně zlepšila také bilance obchodu s Polskem, Velkou Británií a Norskem. Výrazně ve směru zlepšení salda přispěl také zahraniční obchod s Japonskem, Itálií, Tureckem, Jižní Koreou, Švýcarskem nebo Spojenými arabskými emiráty. Oproti tomu se v 1. čtvrtletí meziročně prudce zhoršila bilance zahraničního obchodu se zbožím s Německem. Výrazné meziroční zhoršení bilance bylo zaznamenáno také v případě Ruska, Nizozemska, Tchaj-wanu, Švédska, Francie, Malajsie nebo Kazachstánu.</w:t>
            </w:r>
          </w:p>
        </w:tc>
      </w:tr>
      <w:tr w:rsidR="00B8507A" w14:paraId="327B98B9" w14:textId="77777777" w:rsidTr="00B8507A">
        <w:trPr>
          <w:trHeight w:val="170"/>
        </w:trPr>
        <w:tc>
          <w:tcPr>
            <w:tcW w:w="4811" w:type="dxa"/>
            <w:gridSpan w:val="3"/>
            <w:hideMark/>
          </w:tcPr>
          <w:p w14:paraId="388392CF" w14:textId="77777777" w:rsidR="00B8507A" w:rsidRDefault="00B8507A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Tabulka č. 5 Oddíly klasifikace CPA s největším </w:t>
            </w:r>
          </w:p>
          <w:p w14:paraId="2AA3D15D" w14:textId="77777777" w:rsidR="00B8507A" w:rsidRDefault="00B8507A">
            <w:pPr>
              <w:spacing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vlivem na vývoj bilance zahraničního obchodu se zbožím v 1.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  <w:tc>
          <w:tcPr>
            <w:tcW w:w="57" w:type="dxa"/>
          </w:tcPr>
          <w:p w14:paraId="69A39F2B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451E3247" w14:textId="77777777" w:rsidR="00B8507A" w:rsidRDefault="00B8507A">
            <w:pPr>
              <w:spacing w:after="0"/>
              <w:jc w:val="left"/>
              <w:rPr>
                <w:spacing w:val="-4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6 Země s největším vlivem na vývoj bilance zahraničního obchodu se zbožím v 1.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</w:tr>
      <w:tr w:rsidR="00B8507A" w14:paraId="7C0CBEA6" w14:textId="77777777" w:rsidTr="00B8507A">
        <w:trPr>
          <w:trHeight w:val="170"/>
        </w:trPr>
        <w:tc>
          <w:tcPr>
            <w:tcW w:w="4811" w:type="dxa"/>
            <w:gridSpan w:val="3"/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3"/>
              <w:gridCol w:w="700"/>
            </w:tblGrid>
            <w:tr w:rsidR="00B8507A" w14:paraId="1FC1B96A" w14:textId="77777777">
              <w:trPr>
                <w:trHeight w:val="255"/>
              </w:trPr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A9EBD42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6CF74D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mld. Kč</w:t>
                  </w:r>
                </w:p>
              </w:tc>
            </w:tr>
            <w:tr w:rsidR="00B8507A" w14:paraId="1422A855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65F2ED86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Elektrická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38F1B9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+17,5</w:t>
                  </w:r>
                </w:p>
              </w:tc>
            </w:tr>
            <w:tr w:rsidR="00B8507A" w14:paraId="5FA16C2B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10A08000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Motorová vozidla (kromě motocyklů) a díly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85B3F8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+15,5</w:t>
                  </w:r>
                </w:p>
              </w:tc>
            </w:tr>
            <w:tr w:rsidR="00B8507A" w14:paraId="4A2D4799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4EBFA222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Chemické látky a přípravky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28BBDD80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+4,5</w:t>
                  </w:r>
                </w:p>
              </w:tc>
            </w:tr>
            <w:tr w:rsidR="00B8507A" w14:paraId="22900FF1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46209917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Černé a hnědé uhlí a lignit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B9DDF6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+4,4</w:t>
                  </w:r>
                </w:p>
              </w:tc>
            </w:tr>
            <w:tr w:rsidR="00B8507A" w14:paraId="2E8CE972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0BC059E9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Stroje a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D45EC7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+3,7</w:t>
                  </w:r>
                </w:p>
              </w:tc>
            </w:tr>
            <w:tr w:rsidR="00B8507A" w14:paraId="76FCCE0E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6EE48304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Základní kovy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F833108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+3,1</w:t>
                  </w:r>
                </w:p>
              </w:tc>
            </w:tr>
            <w:tr w:rsidR="00B8507A" w14:paraId="1D2C9471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5B79DA3B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Ostatní výrobky zpracovatelského průmyslu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CB6000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+1,9</w:t>
                  </w:r>
                </w:p>
              </w:tc>
            </w:tr>
            <w:tr w:rsidR="00B8507A" w14:paraId="78D3E652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52478300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Rudy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C79699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+1,8</w:t>
                  </w:r>
                </w:p>
              </w:tc>
            </w:tr>
            <w:tr w:rsidR="00B8507A" w14:paraId="674E5481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7437C149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Oděvy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9FF0422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+1,7</w:t>
                  </w:r>
                </w:p>
              </w:tc>
            </w:tr>
            <w:tr w:rsidR="00B8507A" w14:paraId="169492B5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430CD5FE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Ostatní dopravní prostředky a zařízení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E7A5826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+1,7</w:t>
                  </w:r>
                </w:p>
              </w:tc>
            </w:tr>
            <w:tr w:rsidR="00B8507A" w14:paraId="21D6AE95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5CCCE89E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Papír a výrobky z papíru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C04DE7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+1,4</w:t>
                  </w:r>
                </w:p>
              </w:tc>
            </w:tr>
            <w:tr w:rsidR="00B8507A" w14:paraId="0F4DD268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43F4449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Produkty lesnictví, těžby dřeva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CF788F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-1,5</w:t>
                  </w:r>
                </w:p>
              </w:tc>
            </w:tr>
            <w:tr w:rsidR="00B8507A" w14:paraId="2B371FCD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378DAA7C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Nábytek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50D2348F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-1,5</w:t>
                  </w:r>
                </w:p>
              </w:tc>
            </w:tr>
            <w:tr w:rsidR="00B8507A" w14:paraId="4842C62D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7CCBCABE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Koks a rafinované ropné produkty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12DE1F8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-2,9</w:t>
                  </w:r>
                </w:p>
              </w:tc>
            </w:tr>
            <w:tr w:rsidR="00B8507A" w14:paraId="0610A677" w14:textId="77777777">
              <w:trPr>
                <w:trHeight w:val="255"/>
              </w:trPr>
              <w:tc>
                <w:tcPr>
                  <w:tcW w:w="4123" w:type="dxa"/>
                  <w:noWrap/>
                  <w:vAlign w:val="bottom"/>
                  <w:hideMark/>
                </w:tcPr>
                <w:p w14:paraId="44B99971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Elektřina, plyn, pára a klimatizovaný vzduch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F406FE0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-6,9</w:t>
                  </w:r>
                </w:p>
              </w:tc>
            </w:tr>
          </w:tbl>
          <w:p w14:paraId="47CEDEA6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57" w:type="dxa"/>
          </w:tcPr>
          <w:p w14:paraId="664061B7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72"/>
              <w:gridCol w:w="700"/>
            </w:tblGrid>
            <w:tr w:rsidR="00B8507A" w14:paraId="604D9894" w14:textId="77777777">
              <w:trPr>
                <w:trHeight w:val="255"/>
              </w:trPr>
              <w:tc>
                <w:tcPr>
                  <w:tcW w:w="4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EF19A66" w14:textId="77777777" w:rsidR="00B8507A" w:rsidRDefault="00B8507A">
                  <w:pPr>
                    <w:spacing w:after="0" w:line="240" w:lineRule="auto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25BD0AA1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mld. Kč</w:t>
                  </w:r>
                </w:p>
              </w:tc>
            </w:tr>
            <w:tr w:rsidR="00B8507A" w14:paraId="7E273F19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1BE35AA8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Čína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C19A04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+23,6</w:t>
                  </w:r>
                </w:p>
              </w:tc>
            </w:tr>
            <w:tr w:rsidR="00B8507A" w14:paraId="1C91B861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42ACAAFA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Polsko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5280D4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+11,1</w:t>
                  </w:r>
                </w:p>
              </w:tc>
            </w:tr>
            <w:tr w:rsidR="00B8507A" w14:paraId="667DCAE2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1D5B3097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Velká Británie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E63D20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+10,9</w:t>
                  </w:r>
                </w:p>
              </w:tc>
            </w:tr>
            <w:tr w:rsidR="00B8507A" w14:paraId="2DDFBF9F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02DD269C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Norsko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91ECE5D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+10,3</w:t>
                  </w:r>
                </w:p>
              </w:tc>
            </w:tr>
            <w:tr w:rsidR="00B8507A" w14:paraId="2E2186A2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7BC70EA6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Japonsko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E89F8FB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+9,5</w:t>
                  </w:r>
                </w:p>
              </w:tc>
            </w:tr>
            <w:tr w:rsidR="00B8507A" w14:paraId="2D20A002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5736B956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Itálie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970F2D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+6,2</w:t>
                  </w:r>
                </w:p>
              </w:tc>
            </w:tr>
            <w:tr w:rsidR="00B8507A" w14:paraId="2E58CE89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57A74345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Turecko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6CC800A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+4,6</w:t>
                  </w:r>
                </w:p>
              </w:tc>
            </w:tr>
            <w:tr w:rsidR="00B8507A" w14:paraId="3105455C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1FF81B83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Korejská republika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0C443DD8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+4,0</w:t>
                  </w:r>
                </w:p>
              </w:tc>
            </w:tr>
            <w:tr w:rsidR="00B8507A" w14:paraId="1939FE84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3242B59C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Švýcarsko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43DFDAF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+2,4</w:t>
                  </w:r>
                </w:p>
              </w:tc>
            </w:tr>
            <w:tr w:rsidR="00B8507A" w14:paraId="0138BF5A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60E5BC8F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Spojené arabské emiráty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687F9309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+2,4</w:t>
                  </w:r>
                </w:p>
              </w:tc>
            </w:tr>
            <w:tr w:rsidR="00B8507A" w14:paraId="50E9DE76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79119591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Francie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32A3CC8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-3,1</w:t>
                  </w:r>
                </w:p>
              </w:tc>
            </w:tr>
            <w:tr w:rsidR="00B8507A" w14:paraId="174E20F9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37082E08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Tchaj-wan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FDAC897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-4,0</w:t>
                  </w:r>
                </w:p>
              </w:tc>
            </w:tr>
            <w:tr w:rsidR="00B8507A" w14:paraId="7AA9C469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2B53BB50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Nizozemsko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4645B125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-5,4</w:t>
                  </w:r>
                </w:p>
              </w:tc>
            </w:tr>
            <w:tr w:rsidR="00B8507A" w14:paraId="3E41C814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5DE0E688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Rusko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17F8C8F3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-7,0</w:t>
                  </w:r>
                </w:p>
              </w:tc>
            </w:tr>
            <w:tr w:rsidR="00B8507A" w14:paraId="604596A7" w14:textId="77777777">
              <w:trPr>
                <w:trHeight w:val="255"/>
              </w:trPr>
              <w:tc>
                <w:tcPr>
                  <w:tcW w:w="4072" w:type="dxa"/>
                  <w:noWrap/>
                  <w:vAlign w:val="bottom"/>
                  <w:hideMark/>
                </w:tcPr>
                <w:p w14:paraId="7CA56AC6" w14:textId="77777777" w:rsidR="00B8507A" w:rsidRDefault="00B8507A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Německo</w:t>
                  </w:r>
                </w:p>
              </w:tc>
              <w:tc>
                <w:tcPr>
                  <w:tcW w:w="700" w:type="dxa"/>
                  <w:noWrap/>
                  <w:vAlign w:val="bottom"/>
                  <w:hideMark/>
                </w:tcPr>
                <w:p w14:paraId="70FE2104" w14:textId="77777777" w:rsidR="00B8507A" w:rsidRDefault="00B8507A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n-US"/>
                    </w:rPr>
                    <w:t>-21,6</w:t>
                  </w:r>
                </w:p>
              </w:tc>
            </w:tr>
          </w:tbl>
          <w:p w14:paraId="68B17CC7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</w:tr>
      <w:tr w:rsidR="00B8507A" w14:paraId="78FBEB72" w14:textId="77777777" w:rsidTr="00B8507A">
        <w:trPr>
          <w:trHeight w:val="170"/>
        </w:trPr>
        <w:tc>
          <w:tcPr>
            <w:tcW w:w="4811" w:type="dxa"/>
            <w:gridSpan w:val="3"/>
            <w:hideMark/>
          </w:tcPr>
          <w:p w14:paraId="0FFAD6C6" w14:textId="77777777" w:rsidR="00B8507A" w:rsidRDefault="00B8507A">
            <w:pPr>
              <w:jc w:val="right"/>
              <w:rPr>
                <w:spacing w:val="-4"/>
                <w:sz w:val="16"/>
                <w:szCs w:val="16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  <w:tc>
          <w:tcPr>
            <w:tcW w:w="57" w:type="dxa"/>
          </w:tcPr>
          <w:p w14:paraId="250E3622" w14:textId="77777777" w:rsidR="00B8507A" w:rsidRDefault="00B8507A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2D3F85C7" w14:textId="77777777" w:rsidR="00B8507A" w:rsidRDefault="00B8507A">
            <w:pPr>
              <w:spacing w:after="0"/>
              <w:jc w:val="right"/>
              <w:rPr>
                <w:spacing w:val="-4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</w:tr>
      <w:tr w:rsidR="00B8507A" w14:paraId="6E6FCE06" w14:textId="77777777" w:rsidTr="00B8507A">
        <w:trPr>
          <w:trHeight w:val="150"/>
        </w:trPr>
        <w:tc>
          <w:tcPr>
            <w:tcW w:w="1748" w:type="dxa"/>
          </w:tcPr>
          <w:p w14:paraId="7384718B" w14:textId="77777777" w:rsidR="00B8507A" w:rsidRDefault="00B8507A">
            <w:pPr>
              <w:pStyle w:val="Marginlie"/>
              <w:rPr>
                <w:lang w:eastAsia="en-US"/>
              </w:rPr>
            </w:pPr>
          </w:p>
        </w:tc>
        <w:tc>
          <w:tcPr>
            <w:tcW w:w="221" w:type="dxa"/>
          </w:tcPr>
          <w:p w14:paraId="3B04C886" w14:textId="77777777" w:rsidR="00B8507A" w:rsidRDefault="00B8507A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708" w:type="dxa"/>
            <w:gridSpan w:val="3"/>
            <w:hideMark/>
          </w:tcPr>
          <w:p w14:paraId="418D8D3A" w14:textId="36B77DDA" w:rsidR="00B8507A" w:rsidRDefault="00EC6B23">
            <w:pPr>
              <w:spacing w:after="0"/>
              <w:rPr>
                <w:spacing w:val="-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9</w:t>
            </w:r>
            <w:r w:rsidR="00B8507A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Vývoz a dovoz zboží </w:t>
            </w:r>
            <w:r w:rsidR="00B8507A">
              <w:rPr>
                <w:rFonts w:cs="Arial"/>
                <w:bCs/>
                <w:color w:val="000000"/>
                <w:szCs w:val="20"/>
                <w:lang w:eastAsia="en-US"/>
              </w:rPr>
              <w:t>(meziročně v %)</w:t>
            </w:r>
            <w:r w:rsidR="00B8507A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a bilance zahraničního obchodu se zbožím </w:t>
            </w:r>
            <w:r w:rsidR="00B8507A">
              <w:rPr>
                <w:rFonts w:cs="Arial"/>
                <w:bCs/>
                <w:color w:val="000000"/>
                <w:szCs w:val="20"/>
                <w:lang w:eastAsia="en-US"/>
              </w:rPr>
              <w:t>(v mld. korun, pravá osa)</w:t>
            </w:r>
            <w:r w:rsidR="00B8507A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</w:p>
        </w:tc>
      </w:tr>
      <w:tr w:rsidR="00B8507A" w14:paraId="781DFB9F" w14:textId="77777777" w:rsidTr="00B8507A">
        <w:trPr>
          <w:trHeight w:val="150"/>
        </w:trPr>
        <w:tc>
          <w:tcPr>
            <w:tcW w:w="17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FA1DB" w14:textId="77777777" w:rsidR="00B8507A" w:rsidRDefault="00B8507A">
            <w:pPr>
              <w:rPr>
                <w:spacing w:val="-4"/>
                <w:lang w:eastAsia="en-US"/>
              </w:rPr>
            </w:pPr>
          </w:p>
        </w:tc>
        <w:tc>
          <w:tcPr>
            <w:tcW w:w="2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13B21" w14:textId="77777777" w:rsidR="00B8507A" w:rsidRDefault="00B8507A">
            <w:pPr>
              <w:spacing w:after="0" w:line="240" w:lineRule="auto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770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64264" w14:textId="04BA0EAE" w:rsidR="00B8507A" w:rsidRDefault="00B8507A">
            <w:pPr>
              <w:spacing w:after="0"/>
              <w:rPr>
                <w:spacing w:val="-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9683375" wp14:editId="5AD3A6FD">
                  <wp:extent cx="4754880" cy="3235960"/>
                  <wp:effectExtent l="0" t="0" r="7620" b="2540"/>
                  <wp:docPr id="34" name="Graf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B8507A" w14:paraId="48473AEA" w14:textId="77777777" w:rsidTr="00B8507A">
        <w:trPr>
          <w:trHeight w:val="150"/>
        </w:trPr>
        <w:tc>
          <w:tcPr>
            <w:tcW w:w="4811" w:type="dxa"/>
            <w:vMerge/>
            <w:vAlign w:val="center"/>
            <w:hideMark/>
          </w:tcPr>
          <w:p w14:paraId="314B085C" w14:textId="77777777" w:rsidR="00B8507A" w:rsidRDefault="00B8507A">
            <w:pPr>
              <w:spacing w:after="0" w:line="240" w:lineRule="auto"/>
              <w:jc w:val="left"/>
              <w:rPr>
                <w:spacing w:val="-4"/>
                <w:lang w:eastAsia="en-US"/>
              </w:rPr>
            </w:pPr>
          </w:p>
        </w:tc>
        <w:tc>
          <w:tcPr>
            <w:tcW w:w="221" w:type="dxa"/>
            <w:vMerge/>
            <w:vAlign w:val="center"/>
            <w:hideMark/>
          </w:tcPr>
          <w:p w14:paraId="268C862B" w14:textId="77777777" w:rsidR="00B8507A" w:rsidRDefault="00B8507A">
            <w:pPr>
              <w:spacing w:after="0" w:line="240" w:lineRule="auto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7708" w:type="dxa"/>
            <w:gridSpan w:val="3"/>
            <w:hideMark/>
          </w:tcPr>
          <w:p w14:paraId="7803E3CE" w14:textId="77777777" w:rsidR="00B8507A" w:rsidRDefault="00B8507A">
            <w:pPr>
              <w:spacing w:after="0"/>
              <w:jc w:val="right"/>
              <w:rPr>
                <w:spacing w:val="-4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Zdroj: ČSÚ</w:t>
            </w:r>
          </w:p>
        </w:tc>
      </w:tr>
      <w:tr w:rsidR="00B8507A" w14:paraId="304B577D" w14:textId="77777777" w:rsidTr="00B8507A">
        <w:trPr>
          <w:trHeight w:val="150"/>
        </w:trPr>
        <w:tc>
          <w:tcPr>
            <w:tcW w:w="1748" w:type="dxa"/>
            <w:hideMark/>
          </w:tcPr>
          <w:p w14:paraId="6FABFE31" w14:textId="77777777" w:rsidR="00B8507A" w:rsidRDefault="00B8507A">
            <w:pPr>
              <w:spacing w:after="0"/>
              <w:jc w:val="left"/>
              <w:rPr>
                <w:spacing w:val="-2"/>
                <w:sz w:val="16"/>
                <w:szCs w:val="16"/>
                <w:lang w:eastAsia="en-US"/>
              </w:rPr>
            </w:pPr>
            <w:r>
              <w:rPr>
                <w:spacing w:val="-2"/>
                <w:sz w:val="16"/>
                <w:szCs w:val="16"/>
                <w:lang w:eastAsia="en-US"/>
              </w:rPr>
              <w:lastRenderedPageBreak/>
              <w:t>Ve směru zlepšení bilance působil nejvíce obchod s elektrickými zařízeními a motorovými vozidly.</w:t>
            </w:r>
          </w:p>
        </w:tc>
        <w:tc>
          <w:tcPr>
            <w:tcW w:w="221" w:type="dxa"/>
            <w:vAlign w:val="center"/>
          </w:tcPr>
          <w:p w14:paraId="3443A02D" w14:textId="77777777" w:rsidR="00B8507A" w:rsidRDefault="00B8507A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708" w:type="dxa"/>
            <w:gridSpan w:val="3"/>
            <w:hideMark/>
          </w:tcPr>
          <w:p w14:paraId="2164BA49" w14:textId="77777777" w:rsidR="00B8507A" w:rsidRDefault="00B8507A">
            <w:pPr>
              <w:rPr>
                <w:sz w:val="16"/>
                <w:szCs w:val="16"/>
                <w:lang w:eastAsia="en-US"/>
              </w:rPr>
            </w:pPr>
            <w:r>
              <w:rPr>
                <w:spacing w:val="-4"/>
                <w:lang w:eastAsia="en-US"/>
              </w:rPr>
              <w:t>Z hlediska zbožové struktury ve směru meziročního zlepšení bilance zahraničního obchodu se zbožím nejvíce působil obchod s elektrickými zařízeními těsně následovaný motorovými vozidly (viz Tabulka č. 5). Zlepšilo se také saldo obchodu s chemickými látkami a přípravky, černým a hnědým uhlím a lignitem, stroji a zařízeními a základními kovy. Úroveň 1 mld. korun přesáhlo meziroční zlepšení bilance zahraničního obchodu s ostatními výrobky zpracovatelského průmyslu, rudami, oděvy, ostatními dopravními prostředky a zařízeními, papírem a výrobky z něj a sběrem, přípravou, likvidací a zpracováním odpadu. Mezi oddíly, kde se bilance zlepšila, tak mimo jiné figurují suroviny, u kterých se v posledních letech nejprve prudce zvýšily ceny, a nyní naopak zlevňují. S nižšími cenami souvisí rovněž meziroční zhoršení bilance obchodu s elektřinou, plynem, párou a klimatizovaným vzduchem a koksem a rafinovanými ropnými produkty. Ve směru zhoršení bilance působil také obchod s nábytkem, produkty lesnictví a těžby dřeva, ostatními nekovovými minerálními výrobky nebo potravinářskými výrobky.</w:t>
            </w:r>
          </w:p>
        </w:tc>
      </w:tr>
    </w:tbl>
    <w:p w14:paraId="55682F80" w14:textId="77777777" w:rsidR="00B8507A" w:rsidRDefault="00B8507A" w:rsidP="00B8507A">
      <w:pPr>
        <w:spacing w:after="0" w:line="240" w:lineRule="auto"/>
        <w:jc w:val="left"/>
        <w:rPr>
          <w:rFonts w:eastAsia="MS Gothic"/>
          <w:bCs/>
          <w:color w:val="71818C"/>
          <w:sz w:val="2"/>
          <w:szCs w:val="2"/>
        </w:rPr>
      </w:pPr>
      <w:bookmarkStart w:id="9" w:name="_GoBack"/>
      <w:bookmarkEnd w:id="6"/>
      <w:bookmarkEnd w:id="7"/>
      <w:bookmarkEnd w:id="8"/>
      <w:bookmarkEnd w:id="9"/>
    </w:p>
    <w:bookmarkEnd w:id="2"/>
    <w:bookmarkEnd w:id="0"/>
    <w:sectPr w:rsidR="00B8507A" w:rsidSect="009C00BC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34EC" w14:textId="77777777" w:rsidR="005C1345" w:rsidRDefault="005C1345" w:rsidP="00E71A58">
      <w:r>
        <w:separator/>
      </w:r>
    </w:p>
  </w:endnote>
  <w:endnote w:type="continuationSeparator" w:id="0">
    <w:p w14:paraId="37EAFF0A" w14:textId="77777777" w:rsidR="005C1345" w:rsidRDefault="005C134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176DBBAB" w:rsidR="00FA1CA9" w:rsidRPr="00932443" w:rsidRDefault="00FA1CA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C00BC">
      <w:rPr>
        <w:szCs w:val="16"/>
      </w:rPr>
      <w:t>22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1639B204" w:rsidR="00FA1CA9" w:rsidRPr="00932443" w:rsidRDefault="00FA1CA9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C00BC">
      <w:rPr>
        <w:rStyle w:val="ZpatChar"/>
        <w:szCs w:val="16"/>
      </w:rPr>
      <w:t>23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C316" w14:textId="77777777" w:rsidR="005C1345" w:rsidRDefault="005C1345" w:rsidP="00A21B4D">
      <w:pPr>
        <w:spacing w:after="0"/>
      </w:pPr>
      <w:r>
        <w:separator/>
      </w:r>
    </w:p>
  </w:footnote>
  <w:footnote w:type="continuationSeparator" w:id="0">
    <w:p w14:paraId="10266835" w14:textId="77777777" w:rsidR="005C1345" w:rsidRDefault="005C1345" w:rsidP="00E71A58">
      <w:r>
        <w:continuationSeparator/>
      </w:r>
    </w:p>
  </w:footnote>
  <w:footnote w:id="1">
    <w:p w14:paraId="18F31A38" w14:textId="77777777" w:rsidR="00B8507A" w:rsidRDefault="00B8507A" w:rsidP="00B8507A">
      <w:pPr>
        <w:pStyle w:val="Textpoznpodarou"/>
        <w:rPr>
          <w:rFonts w:cs="Arial"/>
          <w:i/>
          <w:iCs/>
          <w:sz w:val="16"/>
          <w:szCs w:val="16"/>
        </w:rPr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rFonts w:cs="Arial"/>
          <w:i/>
          <w:iCs/>
          <w:sz w:val="16"/>
          <w:szCs w:val="16"/>
        </w:rPr>
        <w:t xml:space="preserve"> </w:t>
      </w:r>
      <w:r>
        <w:rPr>
          <w:rStyle w:val="Zdraznn"/>
          <w:rFonts w:cs="Arial"/>
          <w:color w:val="333333"/>
          <w:sz w:val="16"/>
          <w:szCs w:val="16"/>
          <w:bdr w:val="none" w:sz="0" w:space="0" w:color="auto" w:frame="1"/>
          <w:shd w:val="clear" w:color="auto" w:fill="FFFFFF"/>
        </w:rPr>
        <w:t>Údaje za zahraniční obchod se zbožím od roku 2020 jsou přepočítávány aktualizovanou metodou založenou na vyšší míře detailu, viz </w:t>
      </w:r>
      <w:hyperlink r:id="rId1" w:history="1">
        <w:r>
          <w:rPr>
            <w:rStyle w:val="Hypertextovodkaz"/>
            <w:rFonts w:cs="Arial"/>
            <w:sz w:val="16"/>
            <w:szCs w:val="16"/>
            <w:bdr w:val="none" w:sz="0" w:space="0" w:color="auto" w:frame="1"/>
            <w:shd w:val="clear" w:color="auto" w:fill="FFFFFF"/>
          </w:rPr>
          <w:t>https://www.czso.cz/csu/czso/aktualizace-metody-propoctu-zahranicni-obchod-se-zbozim</w:t>
        </w:r>
      </w:hyperlink>
      <w:r>
        <w:rPr>
          <w:rStyle w:val="Hypertextovodkaz"/>
          <w:rFonts w:cs="Arial"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r>
        <w:rPr>
          <w:sz w:val="16"/>
          <w:szCs w:val="16"/>
        </w:rPr>
        <w:t>Není-li uvedeno jinak, jsou všechny údaje sezónně neočištěné a v běžných cenách.</w:t>
      </w:r>
    </w:p>
  </w:footnote>
  <w:footnote w:id="2">
    <w:p w14:paraId="41418C38" w14:textId="77777777" w:rsidR="00B8507A" w:rsidRDefault="00B8507A" w:rsidP="00B8507A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Ceny vývozu zboží loni klesly o 0,7 % a v samotném 4. čtvrtletí byly meziročně nižší o 2,2 %. Mezičtvrtletně ceny vývozu vzrostly </w:t>
      </w:r>
      <w:r>
        <w:rPr>
          <w:sz w:val="16"/>
          <w:szCs w:val="16"/>
        </w:rPr>
        <w:br/>
        <w:t>o 0,6 %. Ceny ostatních surovin se loni propadly o 18,6 % a minerálních paliv o 0,9 %. Ve 4. čtvrtletí ale ceny minerálních paliv meziročně klesly o 13,7 %.</w:t>
      </w:r>
    </w:p>
  </w:footnote>
  <w:footnote w:id="3">
    <w:p w14:paraId="0AAD0AD3" w14:textId="77777777" w:rsidR="00B8507A" w:rsidRDefault="00B8507A" w:rsidP="00B8507A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Ceny dovozu zboží byly loni nižší o 5,7 %. Ve 4. čtvrtletí meziročně klesly o 6,1 % a mezičtvrtletně vzrostly o 1,5 %. Ceny importu minerálních paliv loni klesly o 27,7 %, ostatních surovin o 10,7 % a chemikálií o 7,9 %.</w:t>
      </w:r>
    </w:p>
  </w:footnote>
  <w:footnote w:id="4">
    <w:p w14:paraId="2B850942" w14:textId="77777777" w:rsidR="00B8507A" w:rsidRDefault="00B8507A" w:rsidP="00B8507A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pacing w:val="-4"/>
          <w:sz w:val="16"/>
          <w:szCs w:val="16"/>
          <w:lang w:eastAsia="en-US"/>
        </w:rPr>
        <w:t xml:space="preserve">Poměrně netypicky vysoký nárůst u Tchaj-wanu souvisel s nárůstem dovozu počítačů a elektronických a optických přístrojů, podobně jako </w:t>
      </w:r>
      <w:r>
        <w:rPr>
          <w:spacing w:val="-4"/>
          <w:sz w:val="16"/>
          <w:szCs w:val="16"/>
          <w:lang w:eastAsia="en-US"/>
        </w:rPr>
        <w:br/>
        <w:t xml:space="preserve">u dovozu z Malajsie. Z Kazachstánu bylo dovezeno více ropy a zemního plynu.        </w:t>
      </w:r>
    </w:p>
  </w:footnote>
  <w:footnote w:id="5">
    <w:p w14:paraId="29C10331" w14:textId="77777777" w:rsidR="00B8507A" w:rsidRDefault="00B8507A" w:rsidP="00B8507A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Podle dostupné časové řady jde o nejvyšší přebytek zaznamenaný v rámci 1. kvartálu.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FA1CA9" w:rsidRDefault="00FA1CA9" w:rsidP="00937AE2">
    <w:pPr>
      <w:pStyle w:val="Zhlav"/>
    </w:pPr>
    <w:r>
      <w:t>Vývoj ekonomiky České republiky</w:t>
    </w:r>
  </w:p>
  <w:p w14:paraId="3E881AB3" w14:textId="77777777" w:rsidR="00FA1CA9" w:rsidRPr="006F5416" w:rsidRDefault="00FA1CA9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FA1CA9" w:rsidRDefault="00FA1CA9" w:rsidP="00937AE2">
    <w:pPr>
      <w:pStyle w:val="Zhlav"/>
    </w:pPr>
    <w:r>
      <w:t>Vývoj ekonomiky České republiky</w:t>
    </w:r>
  </w:p>
  <w:p w14:paraId="57266714" w14:textId="77777777" w:rsidR="00FA1CA9" w:rsidRPr="006F5416" w:rsidRDefault="00FA1CA9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3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2B5"/>
    <w:rsid w:val="00026389"/>
    <w:rsid w:val="0002669F"/>
    <w:rsid w:val="000279E5"/>
    <w:rsid w:val="000305E0"/>
    <w:rsid w:val="00031AE0"/>
    <w:rsid w:val="00031BB2"/>
    <w:rsid w:val="000322EF"/>
    <w:rsid w:val="00032C3C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2CA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363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2FC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D7C6F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848"/>
    <w:rsid w:val="000F090B"/>
    <w:rsid w:val="000F0E42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21B1"/>
    <w:rsid w:val="00103DCB"/>
    <w:rsid w:val="00104C4C"/>
    <w:rsid w:val="00105015"/>
    <w:rsid w:val="001055D2"/>
    <w:rsid w:val="001057C2"/>
    <w:rsid w:val="00106BCC"/>
    <w:rsid w:val="00107124"/>
    <w:rsid w:val="0011038E"/>
    <w:rsid w:val="0011055D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1F9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5376"/>
    <w:rsid w:val="00136A6F"/>
    <w:rsid w:val="00136C1A"/>
    <w:rsid w:val="00137812"/>
    <w:rsid w:val="00137F06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3EED"/>
    <w:rsid w:val="00144108"/>
    <w:rsid w:val="00144588"/>
    <w:rsid w:val="001447DD"/>
    <w:rsid w:val="00145358"/>
    <w:rsid w:val="001459BC"/>
    <w:rsid w:val="0014779E"/>
    <w:rsid w:val="00147B13"/>
    <w:rsid w:val="00150ECA"/>
    <w:rsid w:val="0015108F"/>
    <w:rsid w:val="00151707"/>
    <w:rsid w:val="00152C86"/>
    <w:rsid w:val="00152EBC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4ED1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23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3CD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1AF1"/>
    <w:rsid w:val="001E3306"/>
    <w:rsid w:val="001E504C"/>
    <w:rsid w:val="001E56AC"/>
    <w:rsid w:val="001E5A17"/>
    <w:rsid w:val="001E6441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20A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0ED"/>
    <w:rsid w:val="002A3209"/>
    <w:rsid w:val="002A34B5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0B6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0D42"/>
    <w:rsid w:val="00301294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A8B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BCB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375E0"/>
    <w:rsid w:val="00340BE6"/>
    <w:rsid w:val="00340BF3"/>
    <w:rsid w:val="00341C6C"/>
    <w:rsid w:val="00341D26"/>
    <w:rsid w:val="00341F05"/>
    <w:rsid w:val="0034335E"/>
    <w:rsid w:val="00344668"/>
    <w:rsid w:val="00344940"/>
    <w:rsid w:val="0034506D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5EBF"/>
    <w:rsid w:val="003D6920"/>
    <w:rsid w:val="003D6982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0F40"/>
    <w:rsid w:val="00421179"/>
    <w:rsid w:val="004225D7"/>
    <w:rsid w:val="00422EE6"/>
    <w:rsid w:val="00423623"/>
    <w:rsid w:val="0042470E"/>
    <w:rsid w:val="0042507B"/>
    <w:rsid w:val="00425352"/>
    <w:rsid w:val="00426C99"/>
    <w:rsid w:val="004272BE"/>
    <w:rsid w:val="00430C96"/>
    <w:rsid w:val="0043174F"/>
    <w:rsid w:val="00431BFF"/>
    <w:rsid w:val="00432199"/>
    <w:rsid w:val="00432A58"/>
    <w:rsid w:val="00432FC7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0D2A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6AEE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389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17A6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4F6E12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2A12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87319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684D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1345"/>
    <w:rsid w:val="005C1B24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53DC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5F7B79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07E1D"/>
    <w:rsid w:val="006104FB"/>
    <w:rsid w:val="006116FF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6B8F"/>
    <w:rsid w:val="006275B5"/>
    <w:rsid w:val="00631698"/>
    <w:rsid w:val="00631E44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4938"/>
    <w:rsid w:val="00645160"/>
    <w:rsid w:val="006451E4"/>
    <w:rsid w:val="0064574B"/>
    <w:rsid w:val="00645B33"/>
    <w:rsid w:val="00650FFC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748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BAC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9F8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2153"/>
    <w:rsid w:val="006A3CAF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2A5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18A4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1A82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294F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4A6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4FB0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23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3810"/>
    <w:rsid w:val="00784980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551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1E3F"/>
    <w:rsid w:val="007B2011"/>
    <w:rsid w:val="007B2CFE"/>
    <w:rsid w:val="007B309B"/>
    <w:rsid w:val="007B3457"/>
    <w:rsid w:val="007B37A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3842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D7F4F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149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3E08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249F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95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AA1"/>
    <w:rsid w:val="00856D65"/>
    <w:rsid w:val="00856FA4"/>
    <w:rsid w:val="00860D79"/>
    <w:rsid w:val="0086150F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2254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A7E04"/>
    <w:rsid w:val="008B02E7"/>
    <w:rsid w:val="008B0CBA"/>
    <w:rsid w:val="008B1850"/>
    <w:rsid w:val="008B2639"/>
    <w:rsid w:val="008B3537"/>
    <w:rsid w:val="008B35C1"/>
    <w:rsid w:val="008B3690"/>
    <w:rsid w:val="008B3A80"/>
    <w:rsid w:val="008B3AEC"/>
    <w:rsid w:val="008B3C07"/>
    <w:rsid w:val="008B3C6E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3D21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419B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418F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B2B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5636"/>
    <w:rsid w:val="00946C43"/>
    <w:rsid w:val="00946FE0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6B8B"/>
    <w:rsid w:val="00957140"/>
    <w:rsid w:val="00957445"/>
    <w:rsid w:val="0095759C"/>
    <w:rsid w:val="009617EB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7C8"/>
    <w:rsid w:val="009B0CAF"/>
    <w:rsid w:val="009B1324"/>
    <w:rsid w:val="009B2558"/>
    <w:rsid w:val="009B284F"/>
    <w:rsid w:val="009B3742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0BC"/>
    <w:rsid w:val="009C03DB"/>
    <w:rsid w:val="009C15AF"/>
    <w:rsid w:val="009C1750"/>
    <w:rsid w:val="009C2E29"/>
    <w:rsid w:val="009C3E8F"/>
    <w:rsid w:val="009C554B"/>
    <w:rsid w:val="009C5E83"/>
    <w:rsid w:val="009C66F8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BF4"/>
    <w:rsid w:val="009E5DDB"/>
    <w:rsid w:val="009F032E"/>
    <w:rsid w:val="009F1CA6"/>
    <w:rsid w:val="009F2921"/>
    <w:rsid w:val="009F2D61"/>
    <w:rsid w:val="009F3063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6B3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5FC3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2A91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1A9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1EAD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49E1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22A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45A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3FE8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07A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3A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5125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286B"/>
    <w:rsid w:val="00BB3C6B"/>
    <w:rsid w:val="00BB3FD6"/>
    <w:rsid w:val="00BB453F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6AA"/>
    <w:rsid w:val="00BC0930"/>
    <w:rsid w:val="00BC223A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652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0A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2F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3E8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79B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27AD"/>
    <w:rsid w:val="00C5390B"/>
    <w:rsid w:val="00C540D3"/>
    <w:rsid w:val="00C54257"/>
    <w:rsid w:val="00C54697"/>
    <w:rsid w:val="00C550CE"/>
    <w:rsid w:val="00C553A5"/>
    <w:rsid w:val="00C55402"/>
    <w:rsid w:val="00C5603B"/>
    <w:rsid w:val="00C6020C"/>
    <w:rsid w:val="00C60AE3"/>
    <w:rsid w:val="00C61F47"/>
    <w:rsid w:val="00C62828"/>
    <w:rsid w:val="00C63132"/>
    <w:rsid w:val="00C655DA"/>
    <w:rsid w:val="00C672C1"/>
    <w:rsid w:val="00C706D2"/>
    <w:rsid w:val="00C715CC"/>
    <w:rsid w:val="00C719A3"/>
    <w:rsid w:val="00C71D2F"/>
    <w:rsid w:val="00C72984"/>
    <w:rsid w:val="00C72BC7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773D8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04C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649"/>
    <w:rsid w:val="00CA0BD5"/>
    <w:rsid w:val="00CA0DA1"/>
    <w:rsid w:val="00CA1BD6"/>
    <w:rsid w:val="00CA2D95"/>
    <w:rsid w:val="00CA37FF"/>
    <w:rsid w:val="00CA423A"/>
    <w:rsid w:val="00CA47BC"/>
    <w:rsid w:val="00CA5EAD"/>
    <w:rsid w:val="00CA6AB4"/>
    <w:rsid w:val="00CA7255"/>
    <w:rsid w:val="00CA79E2"/>
    <w:rsid w:val="00CA7E12"/>
    <w:rsid w:val="00CB111E"/>
    <w:rsid w:val="00CB18B2"/>
    <w:rsid w:val="00CB1BEE"/>
    <w:rsid w:val="00CB2351"/>
    <w:rsid w:val="00CB2BF7"/>
    <w:rsid w:val="00CB3605"/>
    <w:rsid w:val="00CB3ECE"/>
    <w:rsid w:val="00CB4022"/>
    <w:rsid w:val="00CB4257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5EE0"/>
    <w:rsid w:val="00CD6331"/>
    <w:rsid w:val="00CD7E9E"/>
    <w:rsid w:val="00CE12FB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842"/>
    <w:rsid w:val="00D03A72"/>
    <w:rsid w:val="00D040DD"/>
    <w:rsid w:val="00D04134"/>
    <w:rsid w:val="00D05C65"/>
    <w:rsid w:val="00D06B56"/>
    <w:rsid w:val="00D06D68"/>
    <w:rsid w:val="00D075BE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6E6B"/>
    <w:rsid w:val="00D27973"/>
    <w:rsid w:val="00D27F07"/>
    <w:rsid w:val="00D27F3A"/>
    <w:rsid w:val="00D31537"/>
    <w:rsid w:val="00D31E1E"/>
    <w:rsid w:val="00D322A0"/>
    <w:rsid w:val="00D32824"/>
    <w:rsid w:val="00D33297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6B03"/>
    <w:rsid w:val="00D97D00"/>
    <w:rsid w:val="00DA0121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2B97"/>
    <w:rsid w:val="00DE3231"/>
    <w:rsid w:val="00DE3E22"/>
    <w:rsid w:val="00DE3E5D"/>
    <w:rsid w:val="00DE450F"/>
    <w:rsid w:val="00DE4865"/>
    <w:rsid w:val="00DE5CA6"/>
    <w:rsid w:val="00DE5E55"/>
    <w:rsid w:val="00DE6209"/>
    <w:rsid w:val="00DE63AE"/>
    <w:rsid w:val="00DE7156"/>
    <w:rsid w:val="00DE7AC8"/>
    <w:rsid w:val="00DF0830"/>
    <w:rsid w:val="00DF1D57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489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59C6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C5D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66E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2AB6"/>
    <w:rsid w:val="00E84E09"/>
    <w:rsid w:val="00E87CE2"/>
    <w:rsid w:val="00E87D5B"/>
    <w:rsid w:val="00E90CA8"/>
    <w:rsid w:val="00E911C6"/>
    <w:rsid w:val="00E920DE"/>
    <w:rsid w:val="00E930A1"/>
    <w:rsid w:val="00E93820"/>
    <w:rsid w:val="00E93FD5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B1A"/>
    <w:rsid w:val="00EA0C68"/>
    <w:rsid w:val="00EA0E39"/>
    <w:rsid w:val="00EA1D0E"/>
    <w:rsid w:val="00EA1EBB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189D"/>
    <w:rsid w:val="00EC2EB6"/>
    <w:rsid w:val="00EC434A"/>
    <w:rsid w:val="00EC4FFF"/>
    <w:rsid w:val="00EC5517"/>
    <w:rsid w:val="00EC6B23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967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1FDC"/>
    <w:rsid w:val="00F120A5"/>
    <w:rsid w:val="00F12CFB"/>
    <w:rsid w:val="00F13E60"/>
    <w:rsid w:val="00F13FDB"/>
    <w:rsid w:val="00F15AAA"/>
    <w:rsid w:val="00F15BEF"/>
    <w:rsid w:val="00F1770C"/>
    <w:rsid w:val="00F17898"/>
    <w:rsid w:val="00F204BF"/>
    <w:rsid w:val="00F204DA"/>
    <w:rsid w:val="00F207C2"/>
    <w:rsid w:val="00F21337"/>
    <w:rsid w:val="00F219A1"/>
    <w:rsid w:val="00F23927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2E7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A9"/>
    <w:rsid w:val="00FA1CFE"/>
    <w:rsid w:val="00FA1EE7"/>
    <w:rsid w:val="00FA1F01"/>
    <w:rsid w:val="00FA26DF"/>
    <w:rsid w:val="00FA2C07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6667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56A"/>
    <w:rsid w:val="00FF5B8C"/>
    <w:rsid w:val="00FF63E6"/>
    <w:rsid w:val="00FF72DC"/>
    <w:rsid w:val="00FF7B96"/>
    <w:rsid w:val="019CB78C"/>
    <w:rsid w:val="0241D284"/>
    <w:rsid w:val="04BD1937"/>
    <w:rsid w:val="0523CDF2"/>
    <w:rsid w:val="06B1A837"/>
    <w:rsid w:val="07FB41B9"/>
    <w:rsid w:val="08A648BF"/>
    <w:rsid w:val="08AB0269"/>
    <w:rsid w:val="0A844D4D"/>
    <w:rsid w:val="0BCD71E1"/>
    <w:rsid w:val="0EBE9DEC"/>
    <w:rsid w:val="0FBB85B6"/>
    <w:rsid w:val="12650F4E"/>
    <w:rsid w:val="1371242A"/>
    <w:rsid w:val="1394E51D"/>
    <w:rsid w:val="14DB2A87"/>
    <w:rsid w:val="15DD577B"/>
    <w:rsid w:val="16EC38E2"/>
    <w:rsid w:val="17178072"/>
    <w:rsid w:val="173F358F"/>
    <w:rsid w:val="17513AF8"/>
    <w:rsid w:val="1812CB49"/>
    <w:rsid w:val="1B53A8C8"/>
    <w:rsid w:val="1BEE6986"/>
    <w:rsid w:val="20D21749"/>
    <w:rsid w:val="2111A021"/>
    <w:rsid w:val="21BE069A"/>
    <w:rsid w:val="224238BC"/>
    <w:rsid w:val="224482AD"/>
    <w:rsid w:val="23E0530E"/>
    <w:rsid w:val="24FC0D77"/>
    <w:rsid w:val="2A0E9F3A"/>
    <w:rsid w:val="2A2A6298"/>
    <w:rsid w:val="2F72CB2D"/>
    <w:rsid w:val="3204B56C"/>
    <w:rsid w:val="36A6CB7D"/>
    <w:rsid w:val="37D604A5"/>
    <w:rsid w:val="38C72AFC"/>
    <w:rsid w:val="3A31F626"/>
    <w:rsid w:val="3AA0BED0"/>
    <w:rsid w:val="3C7646FC"/>
    <w:rsid w:val="3E4A9713"/>
    <w:rsid w:val="3E77F3B4"/>
    <w:rsid w:val="40C3BF09"/>
    <w:rsid w:val="4475CE70"/>
    <w:rsid w:val="47207A7B"/>
    <w:rsid w:val="48038D4B"/>
    <w:rsid w:val="49A859FB"/>
    <w:rsid w:val="49E8263C"/>
    <w:rsid w:val="4A567F3C"/>
    <w:rsid w:val="50A35788"/>
    <w:rsid w:val="52944939"/>
    <w:rsid w:val="53942896"/>
    <w:rsid w:val="5536E42E"/>
    <w:rsid w:val="55914544"/>
    <w:rsid w:val="581B14F9"/>
    <w:rsid w:val="58FD3BB8"/>
    <w:rsid w:val="5B145290"/>
    <w:rsid w:val="5CF587E8"/>
    <w:rsid w:val="5DD689BF"/>
    <w:rsid w:val="5E8D8646"/>
    <w:rsid w:val="60B2C930"/>
    <w:rsid w:val="64244C5C"/>
    <w:rsid w:val="64B5C10F"/>
    <w:rsid w:val="661E5011"/>
    <w:rsid w:val="67F8BB57"/>
    <w:rsid w:val="6AEA4E8B"/>
    <w:rsid w:val="6AEC8A78"/>
    <w:rsid w:val="6D951AA9"/>
    <w:rsid w:val="7059F910"/>
    <w:rsid w:val="74248E8F"/>
    <w:rsid w:val="74EA3077"/>
    <w:rsid w:val="754BB0AE"/>
    <w:rsid w:val="75B5B795"/>
    <w:rsid w:val="76D4E0D9"/>
    <w:rsid w:val="78058569"/>
    <w:rsid w:val="785B85D1"/>
    <w:rsid w:val="78E73CD1"/>
    <w:rsid w:val="78EC659F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56910147-D8D0-4759-AD79-65565E2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customStyle="1" w:styleId="scxw9398236">
    <w:name w:val="scxw9398236"/>
    <w:basedOn w:val="Standardnpsmoodstavce"/>
    <w:rsid w:val="000D7C6F"/>
  </w:style>
  <w:style w:type="character" w:customStyle="1" w:styleId="superscript">
    <w:name w:val="superscript"/>
    <w:basedOn w:val="Standardnpsmoodstavce"/>
    <w:rsid w:val="000D7C6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1A9B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aktualizace-metody-propoctu-zahranicni-obchod-se-zbozi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4Q1/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'Vnější vztahy'!$E$6</c:f>
              <c:strCache>
                <c:ptCount val="1"/>
                <c:pt idx="0">
                  <c:v>Bilance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  <a:effectLst/>
          </c:spPr>
          <c:invertIfNegative val="0"/>
          <c:cat>
            <c:multiLvlStrRef>
              <c:f>'Vnější vztahy'!$A$7:$B$27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'Vnější vztahy'!$E$7:$E$27</c:f>
              <c:numCache>
                <c:formatCode>0.0</c:formatCode>
                <c:ptCount val="21"/>
                <c:pt idx="0">
                  <c:v>48.244762451999996</c:v>
                </c:pt>
                <c:pt idx="1">
                  <c:v>56.993667721000001</c:v>
                </c:pt>
                <c:pt idx="2">
                  <c:v>27.532477373999992</c:v>
                </c:pt>
                <c:pt idx="3">
                  <c:v>12.923809864000004</c:v>
                </c:pt>
                <c:pt idx="4">
                  <c:v>36.182428658999996</c:v>
                </c:pt>
                <c:pt idx="5">
                  <c:v>9.2911503559999993</c:v>
                </c:pt>
                <c:pt idx="6">
                  <c:v>55.286836668000007</c:v>
                </c:pt>
                <c:pt idx="7">
                  <c:v>78.879761297999934</c:v>
                </c:pt>
                <c:pt idx="8">
                  <c:v>60.916821217999995</c:v>
                </c:pt>
                <c:pt idx="9">
                  <c:v>13.848192235000004</c:v>
                </c:pt>
                <c:pt idx="10">
                  <c:v>-54.700282055000002</c:v>
                </c:pt>
                <c:pt idx="11">
                  <c:v>-29.26937423499999</c:v>
                </c:pt>
                <c:pt idx="12">
                  <c:v>-12.635912592</c:v>
                </c:pt>
                <c:pt idx="13">
                  <c:v>-73.22520009599998</c:v>
                </c:pt>
                <c:pt idx="14">
                  <c:v>-64.314002961000028</c:v>
                </c:pt>
                <c:pt idx="15">
                  <c:v>-54.639469009000003</c:v>
                </c:pt>
                <c:pt idx="16">
                  <c:v>40.212027973000005</c:v>
                </c:pt>
                <c:pt idx="17">
                  <c:v>36.314758450999982</c:v>
                </c:pt>
                <c:pt idx="18">
                  <c:v>-1.3837754039999999</c:v>
                </c:pt>
                <c:pt idx="19">
                  <c:v>48.810897032999982</c:v>
                </c:pt>
                <c:pt idx="20">
                  <c:v>84.518450325999979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2-4716-8B50-FD68046AD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17494528"/>
        <c:axId val="117463296"/>
      </c:barChart>
      <c:lineChart>
        <c:grouping val="standard"/>
        <c:varyColors val="0"/>
        <c:ser>
          <c:idx val="0"/>
          <c:order val="0"/>
          <c:tx>
            <c:strRef>
              <c:f>'Vnější vztahy'!$C$6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dash"/>
            <c:size val="9"/>
            <c:spPr>
              <a:solidFill>
                <a:srgbClr val="0071BC"/>
              </a:solidFill>
              <a:ln w="9525">
                <a:noFill/>
              </a:ln>
              <a:effectLst/>
            </c:spPr>
          </c:marker>
          <c:cat>
            <c:multiLvlStrRef>
              <c:f>'Vnější vztahy'!$A$7:$B$27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'Vnější vztahy'!$C$7:$C$27</c:f>
              <c:numCache>
                <c:formatCode>0.0</c:formatCode>
                <c:ptCount val="21"/>
                <c:pt idx="0">
                  <c:v>3.7143750821000054</c:v>
                </c:pt>
                <c:pt idx="1">
                  <c:v>3.3683840658000017</c:v>
                </c:pt>
                <c:pt idx="2">
                  <c:v>4.8286280231999967</c:v>
                </c:pt>
                <c:pt idx="3">
                  <c:v>-3.1636168855000051</c:v>
                </c:pt>
                <c:pt idx="4">
                  <c:v>-6.4135636115999972</c:v>
                </c:pt>
                <c:pt idx="5">
                  <c:v>-25.037497579399989</c:v>
                </c:pt>
                <c:pt idx="6">
                  <c:v>-3.5785611728999962</c:v>
                </c:pt>
                <c:pt idx="7">
                  <c:v>7.411852265899995</c:v>
                </c:pt>
                <c:pt idx="8">
                  <c:v>10.9623133044</c:v>
                </c:pt>
                <c:pt idx="9">
                  <c:v>41.981094956099994</c:v>
                </c:pt>
                <c:pt idx="10">
                  <c:v>3.4515742189000074</c:v>
                </c:pt>
                <c:pt idx="11">
                  <c:v>2.7491985255000069</c:v>
                </c:pt>
                <c:pt idx="12">
                  <c:v>8.0064988441999994</c:v>
                </c:pt>
                <c:pt idx="13">
                  <c:v>11.287163968300003</c:v>
                </c:pt>
                <c:pt idx="14">
                  <c:v>22.470879917399991</c:v>
                </c:pt>
                <c:pt idx="15">
                  <c:v>13.234980039600003</c:v>
                </c:pt>
                <c:pt idx="16">
                  <c:v>10.9200996187</c:v>
                </c:pt>
                <c:pt idx="17">
                  <c:v>1.0319438756000068</c:v>
                </c:pt>
                <c:pt idx="18">
                  <c:v>-6.6842177709999895</c:v>
                </c:pt>
                <c:pt idx="19">
                  <c:v>-0.82268469539999978</c:v>
                </c:pt>
                <c:pt idx="20">
                  <c:v>0.45028876060000311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C2-4716-8B50-FD68046ADF0A}"/>
            </c:ext>
          </c:extLst>
        </c:ser>
        <c:ser>
          <c:idx val="1"/>
          <c:order val="1"/>
          <c:tx>
            <c:strRef>
              <c:f>'Vnější vztahy'!$D$6</c:f>
              <c:strCache>
                <c:ptCount val="1"/>
                <c:pt idx="0">
                  <c:v>Dovoz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dash"/>
            <c:size val="9"/>
            <c:spPr>
              <a:solidFill>
                <a:srgbClr val="BD1B21"/>
              </a:solidFill>
              <a:ln w="9525">
                <a:noFill/>
              </a:ln>
              <a:effectLst/>
            </c:spPr>
          </c:marker>
          <c:cat>
            <c:multiLvlStrRef>
              <c:f>'Vnější vztahy'!$A$7:$B$27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'Vnější vztahy'!$D$7:$D$27</c:f>
              <c:numCache>
                <c:formatCode>0.0</c:formatCode>
                <c:ptCount val="21"/>
                <c:pt idx="0">
                  <c:v>4.8123766788999909</c:v>
                </c:pt>
                <c:pt idx="1">
                  <c:v>1.0619237693999957</c:v>
                </c:pt>
                <c:pt idx="2">
                  <c:v>1.0984183013000011</c:v>
                </c:pt>
                <c:pt idx="3">
                  <c:v>-3.3198043863000057</c:v>
                </c:pt>
                <c:pt idx="4">
                  <c:v>-5.3981676209999971</c:v>
                </c:pt>
                <c:pt idx="5">
                  <c:v>-21.285728278399983</c:v>
                </c:pt>
                <c:pt idx="6">
                  <c:v>-6.8912364523999941</c:v>
                </c:pt>
                <c:pt idx="7">
                  <c:v>0.2231493654000048</c:v>
                </c:pt>
                <c:pt idx="8">
                  <c:v>8.4767312925000091</c:v>
                </c:pt>
                <c:pt idx="9">
                  <c:v>41.8874993166</c:v>
                </c:pt>
                <c:pt idx="10">
                  <c:v>17.303793961099991</c:v>
                </c:pt>
                <c:pt idx="11">
                  <c:v>14.923030300799997</c:v>
                </c:pt>
                <c:pt idx="12">
                  <c:v>16.659765110900004</c:v>
                </c:pt>
                <c:pt idx="13">
                  <c:v>20.193090002000005</c:v>
                </c:pt>
                <c:pt idx="14">
                  <c:v>22.18826718079999</c:v>
                </c:pt>
                <c:pt idx="15">
                  <c:v>15.299118063299998</c:v>
                </c:pt>
                <c:pt idx="16">
                  <c:v>5.7915036552000032</c:v>
                </c:pt>
                <c:pt idx="17">
                  <c:v>-8.1883629171999956</c:v>
                </c:pt>
                <c:pt idx="18">
                  <c:v>-11.748238206899998</c:v>
                </c:pt>
                <c:pt idx="19">
                  <c:v>-9.4007606554999974</c:v>
                </c:pt>
                <c:pt idx="20">
                  <c:v>-3.4944108404999952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C2-4716-8B50-FD68046AD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994432"/>
        <c:axId val="117461760"/>
      </c:lineChart>
      <c:catAx>
        <c:axId val="11699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17461760"/>
        <c:crosses val="autoZero"/>
        <c:auto val="1"/>
        <c:lblAlgn val="ctr"/>
        <c:lblOffset val="100"/>
        <c:noMultiLvlLbl val="0"/>
      </c:catAx>
      <c:valAx>
        <c:axId val="117461760"/>
        <c:scaling>
          <c:orientation val="minMax"/>
          <c:min val="-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16994432"/>
        <c:crosses val="autoZero"/>
        <c:crossBetween val="between"/>
      </c:valAx>
      <c:valAx>
        <c:axId val="117463296"/>
        <c:scaling>
          <c:orientation val="minMax"/>
          <c:min val="-8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17494528"/>
        <c:crosses val="max"/>
        <c:crossBetween val="between"/>
      </c:valAx>
      <c:catAx>
        <c:axId val="117494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7463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334595959595983E-2"/>
          <c:y val="0.92418699885452449"/>
          <c:w val="0.85464057239057301"/>
          <c:h val="5.39916953035509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9a58d24f60b264923fe9c7150327a53c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91c8efd7c542b57fe84d8bfb95d003d1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38702-393C-4E0B-95FC-639749005827}">
  <ds:schemaRefs>
    <ds:schemaRef ds:uri="http://www.w3.org/XML/1998/namespace"/>
    <ds:schemaRef ds:uri="http://schemas.microsoft.com/office/infopath/2007/PartnerControls"/>
    <ds:schemaRef ds:uri="b8c0c86d-151e-4fca-b0d5-747e6692fa1d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628BEE-D3B6-471C-BFAD-E9D2E34E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7E7A4-1670-453D-9188-6418687915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418F79-6D06-443C-B5F2-8B1A16EC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1</TotalTime>
  <Pages>4</Pages>
  <Words>1508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Súkupová</dc:creator>
  <cp:keywords/>
  <dc:description/>
  <cp:lastModifiedBy>Zábojníková Karolína</cp:lastModifiedBy>
  <cp:revision>3</cp:revision>
  <cp:lastPrinted>2023-06-09T17:23:00Z</cp:lastPrinted>
  <dcterms:created xsi:type="dcterms:W3CDTF">2024-06-14T09:49:00Z</dcterms:created>
  <dcterms:modified xsi:type="dcterms:W3CDTF">2024-06-14T10:02:00Z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</Properties>
</file>