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93" w:rsidRPr="005C419C" w:rsidRDefault="00654093" w:rsidP="00654093">
      <w:pPr>
        <w:pStyle w:val="Textpoznpodarou"/>
        <w:jc w:val="both"/>
        <w:rPr>
          <w:sz w:val="2"/>
          <w:szCs w:val="2"/>
        </w:rPr>
      </w:pPr>
    </w:p>
    <w:p w:rsidR="00813CB4" w:rsidRPr="00654093" w:rsidRDefault="00813CB4" w:rsidP="00492991">
      <w:pPr>
        <w:pStyle w:val="Textpoznpodarou"/>
        <w:jc w:val="both"/>
        <w:rPr>
          <w:sz w:val="2"/>
          <w:szCs w:val="2"/>
        </w:rPr>
      </w:pPr>
    </w:p>
    <w:p w:rsidR="00DD0726" w:rsidRPr="00A74192" w:rsidRDefault="00DD0726" w:rsidP="00D226B7">
      <w:pPr>
        <w:pStyle w:val="Nadpis1"/>
        <w:numPr>
          <w:ilvl w:val="0"/>
          <w:numId w:val="24"/>
        </w:numPr>
        <w:jc w:val="both"/>
      </w:pPr>
      <w:bookmarkStart w:id="0" w:name="_Toc469299932"/>
      <w:bookmarkStart w:id="1" w:name="_Toc501441379"/>
      <w:bookmarkStart w:id="2" w:name="_Toc469299933"/>
      <w:r>
        <w:t>V</w:t>
      </w:r>
      <w:r w:rsidRPr="00A74192">
        <w:t>nější ekonomické vztahy</w:t>
      </w:r>
      <w:bookmarkEnd w:id="0"/>
      <w:bookmarkEnd w:id="1"/>
    </w:p>
    <w:tbl>
      <w:tblPr>
        <w:tblW w:w="4963" w:type="pct"/>
        <w:tblInd w:w="108" w:type="dxa"/>
        <w:tblLayout w:type="fixed"/>
        <w:tblLook w:val="00A0"/>
      </w:tblPr>
      <w:tblGrid>
        <w:gridCol w:w="1985"/>
        <w:gridCol w:w="282"/>
        <w:gridCol w:w="1135"/>
        <w:gridCol w:w="143"/>
        <w:gridCol w:w="2533"/>
        <w:gridCol w:w="3703"/>
      </w:tblGrid>
      <w:tr w:rsidR="00254069" w:rsidRPr="00A74192" w:rsidTr="006C3DC1">
        <w:tc>
          <w:tcPr>
            <w:tcW w:w="1015" w:type="pct"/>
          </w:tcPr>
          <w:p w:rsidR="00254069" w:rsidRPr="00532819" w:rsidRDefault="00683EAB" w:rsidP="00683EA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Přebytek běžného účtu platební bilance se díky obchodu se zbožím a službami udržel. </w:t>
            </w: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254069" w:rsidRPr="00CB5852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CB5852">
              <w:rPr>
                <w:spacing w:val="-4"/>
              </w:rPr>
              <w:t>Kladné saldo běžného účtu platební bilance v 1. až 3</w:t>
            </w:r>
            <w:r w:rsidR="005723B7" w:rsidRPr="00CB5852">
              <w:rPr>
                <w:spacing w:val="-4"/>
              </w:rPr>
              <w:t>. čtvrtletí</w:t>
            </w:r>
            <w:r w:rsidRPr="00CB5852">
              <w:rPr>
                <w:spacing w:val="-4"/>
              </w:rPr>
              <w:t xml:space="preserve"> roku díky výraznému přebytku obchodu se zbožím a službami dosáhlo 5</w:t>
            </w:r>
            <w:r w:rsidR="002F149A" w:rsidRPr="00CB5852">
              <w:rPr>
                <w:spacing w:val="-4"/>
              </w:rPr>
              <w:t>1</w:t>
            </w:r>
            <w:r w:rsidRPr="00CB5852">
              <w:rPr>
                <w:spacing w:val="-4"/>
              </w:rPr>
              <w:t>,</w:t>
            </w:r>
            <w:r w:rsidR="002F149A" w:rsidRPr="00CB5852">
              <w:rPr>
                <w:spacing w:val="-4"/>
              </w:rPr>
              <w:t>2</w:t>
            </w:r>
            <w:r w:rsidR="006D164C" w:rsidRPr="00CB5852">
              <w:rPr>
                <w:spacing w:val="-4"/>
              </w:rPr>
              <w:t> mld.</w:t>
            </w:r>
            <w:r w:rsidRPr="00CB5852">
              <w:rPr>
                <w:spacing w:val="-4"/>
              </w:rPr>
              <w:t xml:space="preserve"> korun a meziročně se snížilo o 2</w:t>
            </w:r>
            <w:r w:rsidR="002F149A" w:rsidRPr="00CB5852">
              <w:rPr>
                <w:spacing w:val="-4"/>
              </w:rPr>
              <w:t>4</w:t>
            </w:r>
            <w:r w:rsidRPr="00CB5852">
              <w:rPr>
                <w:spacing w:val="-4"/>
              </w:rPr>
              <w:t>,</w:t>
            </w:r>
            <w:r w:rsidR="002F149A" w:rsidRPr="00CB5852">
              <w:rPr>
                <w:spacing w:val="-4"/>
              </w:rPr>
              <w:t>2</w:t>
            </w:r>
            <w:r w:rsidR="006D164C" w:rsidRPr="00CB5852">
              <w:rPr>
                <w:spacing w:val="-4"/>
              </w:rPr>
              <w:t> mld.</w:t>
            </w:r>
            <w:r w:rsidR="00264A46" w:rsidRPr="00CB5852">
              <w:rPr>
                <w:spacing w:val="-4"/>
              </w:rPr>
              <w:t xml:space="preserve"> </w:t>
            </w:r>
            <w:r w:rsidRPr="00CB5852">
              <w:rPr>
                <w:spacing w:val="-4"/>
              </w:rPr>
              <w:t>Ve směru deficitu působilo saldo prvotních (19</w:t>
            </w:r>
            <w:r w:rsidR="002F149A" w:rsidRPr="00CB5852">
              <w:rPr>
                <w:spacing w:val="-4"/>
              </w:rPr>
              <w:t>6</w:t>
            </w:r>
            <w:r w:rsidRPr="00CB5852">
              <w:rPr>
                <w:spacing w:val="-4"/>
              </w:rPr>
              <w:t>,</w:t>
            </w:r>
            <w:r w:rsidR="002F149A" w:rsidRPr="00CB5852">
              <w:rPr>
                <w:spacing w:val="-4"/>
              </w:rPr>
              <w:t>8</w:t>
            </w:r>
            <w:r w:rsidR="006D164C" w:rsidRPr="00CB5852">
              <w:rPr>
                <w:spacing w:val="-4"/>
              </w:rPr>
              <w:t> mld.</w:t>
            </w:r>
            <w:r w:rsidR="00264A46" w:rsidRPr="00CB5852">
              <w:rPr>
                <w:spacing w:val="-4"/>
              </w:rPr>
              <w:t xml:space="preserve"> korun</w:t>
            </w:r>
            <w:r w:rsidR="002F149A" w:rsidRPr="00CB5852">
              <w:rPr>
                <w:spacing w:val="-4"/>
              </w:rPr>
              <w:t>) a</w:t>
            </w:r>
            <w:r w:rsidR="00264A46" w:rsidRPr="00CB5852">
              <w:rPr>
                <w:spacing w:val="-4"/>
              </w:rPr>
              <w:t> </w:t>
            </w:r>
            <w:r w:rsidR="002F149A" w:rsidRPr="00CB5852">
              <w:rPr>
                <w:spacing w:val="-4"/>
              </w:rPr>
              <w:t>druhotných důchodů (44,8</w:t>
            </w:r>
            <w:r w:rsidR="006D164C" w:rsidRPr="00CB5852">
              <w:rPr>
                <w:spacing w:val="-4"/>
              </w:rPr>
              <w:t> mld.</w:t>
            </w:r>
            <w:r w:rsidRPr="00CB5852">
              <w:rPr>
                <w:spacing w:val="-4"/>
              </w:rPr>
              <w:t>). Čistý odliv prvotních důchodů byl soustředěn do položky důchodů z investic, jejichž odliv v 1. až 3</w:t>
            </w:r>
            <w:r w:rsidR="005723B7" w:rsidRPr="00CB5852">
              <w:rPr>
                <w:spacing w:val="-4"/>
              </w:rPr>
              <w:t>. čtvrtletí</w:t>
            </w:r>
            <w:r w:rsidRPr="00CB5852">
              <w:rPr>
                <w:spacing w:val="-4"/>
              </w:rPr>
              <w:t xml:space="preserve"> roku dosáhl 2</w:t>
            </w:r>
            <w:r w:rsidR="00264A46" w:rsidRPr="00CB5852">
              <w:rPr>
                <w:spacing w:val="-4"/>
              </w:rPr>
              <w:t>48</w:t>
            </w:r>
            <w:r w:rsidRPr="00CB5852">
              <w:rPr>
                <w:spacing w:val="-4"/>
              </w:rPr>
              <w:t>,</w:t>
            </w:r>
            <w:r w:rsidR="00264A46" w:rsidRPr="00CB5852">
              <w:rPr>
                <w:spacing w:val="-4"/>
              </w:rPr>
              <w:t>9</w:t>
            </w:r>
            <w:r w:rsidR="006D164C" w:rsidRPr="00CB5852">
              <w:rPr>
                <w:spacing w:val="-4"/>
              </w:rPr>
              <w:t> mld.</w:t>
            </w:r>
            <w:r w:rsidRPr="00CB5852">
              <w:rPr>
                <w:spacing w:val="-4"/>
              </w:rPr>
              <w:t xml:space="preserve"> korun. Meziroční prohloubení deficitu druhotných důchodů, které je patrné na grafu</w:t>
            </w:r>
            <w:r w:rsidR="00264A46" w:rsidRPr="00CB5852">
              <w:rPr>
                <w:spacing w:val="-4"/>
              </w:rPr>
              <w:t xml:space="preserve"> č. 9,</w:t>
            </w:r>
            <w:r w:rsidRPr="00CB5852">
              <w:rPr>
                <w:spacing w:val="-4"/>
              </w:rPr>
              <w:t xml:space="preserve"> je především důsledkem nižšího objemu prostředků na straně aktiv. Finanční účet platební bilance v 1. až 3</w:t>
            </w:r>
            <w:r w:rsidR="005723B7" w:rsidRPr="00CB5852">
              <w:rPr>
                <w:spacing w:val="-4"/>
              </w:rPr>
              <w:t>. čtvrtletí</w:t>
            </w:r>
            <w:r w:rsidRPr="00CB5852">
              <w:rPr>
                <w:spacing w:val="-4"/>
              </w:rPr>
              <w:t xml:space="preserve"> roku skončil v přebytku 12</w:t>
            </w:r>
            <w:r w:rsidR="00264A46" w:rsidRPr="00CB5852">
              <w:rPr>
                <w:spacing w:val="-4"/>
              </w:rPr>
              <w:t>5</w:t>
            </w:r>
            <w:r w:rsidRPr="00CB5852">
              <w:rPr>
                <w:spacing w:val="-4"/>
              </w:rPr>
              <w:t>,</w:t>
            </w:r>
            <w:r w:rsidR="00264A46" w:rsidRPr="00CB5852">
              <w:rPr>
                <w:spacing w:val="-4"/>
              </w:rPr>
              <w:t>0</w:t>
            </w:r>
            <w:r w:rsidR="006D164C" w:rsidRPr="00CB5852">
              <w:rPr>
                <w:spacing w:val="-4"/>
              </w:rPr>
              <w:t> mld.</w:t>
            </w:r>
            <w:r w:rsidRPr="00CB5852">
              <w:rPr>
                <w:spacing w:val="-4"/>
              </w:rPr>
              <w:t xml:space="preserve"> korun. Toho bylo dosaženo nárůstem </w:t>
            </w:r>
            <w:r w:rsidR="00264A46" w:rsidRPr="00CB5852">
              <w:rPr>
                <w:spacing w:val="-4"/>
              </w:rPr>
              <w:t xml:space="preserve">objemu </w:t>
            </w:r>
            <w:r w:rsidRPr="00CB5852">
              <w:rPr>
                <w:spacing w:val="-4"/>
              </w:rPr>
              <w:t>rezervních aktiv v první polovině roku. Ve 3</w:t>
            </w:r>
            <w:r w:rsidR="005723B7" w:rsidRPr="00CB5852">
              <w:rPr>
                <w:spacing w:val="-4"/>
              </w:rPr>
              <w:t>. čtvrtletí</w:t>
            </w:r>
            <w:r w:rsidRPr="00CB5852">
              <w:rPr>
                <w:spacing w:val="-4"/>
              </w:rPr>
              <w:t xml:space="preserve"> byly změny rezervních aktiv jen zlomkem předchozí aktivity. Do jisté míry nestandardní pohyby probíhaly jen u portfoliových investic, konkrétně u dluhových cenných papírů. Na straně</w:t>
            </w:r>
            <w:r w:rsidR="00264A46" w:rsidRPr="00CB5852">
              <w:rPr>
                <w:spacing w:val="-4"/>
              </w:rPr>
              <w:t xml:space="preserve"> pasiv</w:t>
            </w:r>
            <w:r w:rsidRPr="00CB5852">
              <w:rPr>
                <w:spacing w:val="-4"/>
              </w:rPr>
              <w:t xml:space="preserve"> u nich ve 3</w:t>
            </w:r>
            <w:r w:rsidR="005723B7" w:rsidRPr="00CB5852">
              <w:rPr>
                <w:spacing w:val="-4"/>
              </w:rPr>
              <w:t>. čtvrtletí</w:t>
            </w:r>
            <w:r w:rsidRPr="00CB5852">
              <w:rPr>
                <w:spacing w:val="-4"/>
              </w:rPr>
              <w:t xml:space="preserve"> došlo k propadu ve výši 136,7</w:t>
            </w:r>
            <w:r w:rsidR="006D164C" w:rsidRPr="00CB5852">
              <w:rPr>
                <w:spacing w:val="-4"/>
              </w:rPr>
              <w:t> mld.</w:t>
            </w:r>
            <w:r w:rsidRPr="00CB5852">
              <w:rPr>
                <w:spacing w:val="-4"/>
              </w:rPr>
              <w:t xml:space="preserve"> korun.</w:t>
            </w:r>
          </w:p>
          <w:p w:rsidR="00254069" w:rsidRPr="00CB5852" w:rsidRDefault="00254069" w:rsidP="00333134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</w:p>
        </w:tc>
      </w:tr>
      <w:tr w:rsidR="00DD0726" w:rsidRPr="006647AD" w:rsidTr="006C3DC1">
        <w:tc>
          <w:tcPr>
            <w:tcW w:w="1015" w:type="pct"/>
          </w:tcPr>
          <w:p w:rsidR="00DD0726" w:rsidRPr="006647AD" w:rsidRDefault="00DD0726" w:rsidP="006C3DC1">
            <w:pPr>
              <w:spacing w:line="240" w:lineRule="auto"/>
              <w:rPr>
                <w:szCs w:val="20"/>
                <w:highlight w:val="yellow"/>
              </w:rPr>
            </w:pPr>
          </w:p>
        </w:tc>
        <w:tc>
          <w:tcPr>
            <w:tcW w:w="144" w:type="pct"/>
          </w:tcPr>
          <w:p w:rsidR="00DD0726" w:rsidRPr="006647AD" w:rsidRDefault="00DD0726" w:rsidP="006C3DC1">
            <w:pPr>
              <w:pStyle w:val="Textpoznpodarou"/>
              <w:rPr>
                <w:color w:val="FF0000"/>
              </w:rPr>
            </w:pPr>
          </w:p>
        </w:tc>
        <w:tc>
          <w:tcPr>
            <w:tcW w:w="580" w:type="pct"/>
          </w:tcPr>
          <w:p w:rsidR="00DD0726" w:rsidRPr="00DC21E2" w:rsidRDefault="00DD0726" w:rsidP="006C3DC1">
            <w:pPr>
              <w:pStyle w:val="Textpoznpodarou"/>
              <w:rPr>
                <w:color w:val="FF0000"/>
                <w:spacing w:val="-4"/>
                <w:highlight w:val="yellow"/>
              </w:rPr>
            </w:pPr>
            <w:r w:rsidRPr="00DC21E2">
              <w:rPr>
                <w:spacing w:val="-4"/>
              </w:rPr>
              <w:t>Graf č. 9</w:t>
            </w:r>
          </w:p>
        </w:tc>
        <w:tc>
          <w:tcPr>
            <w:tcW w:w="3261" w:type="pct"/>
            <w:gridSpan w:val="3"/>
          </w:tcPr>
          <w:p w:rsidR="00DD0726" w:rsidRPr="00DC21E2" w:rsidRDefault="00DD0726" w:rsidP="006C3DC1">
            <w:pPr>
              <w:pStyle w:val="Textpoznpodarou"/>
              <w:jc w:val="both"/>
              <w:rPr>
                <w:color w:val="FF0000"/>
                <w:spacing w:val="-4"/>
                <w:highlight w:val="yellow"/>
              </w:rPr>
            </w:pPr>
            <w:r w:rsidRPr="00DC21E2">
              <w:rPr>
                <w:b/>
                <w:spacing w:val="-4"/>
              </w:rPr>
              <w:t xml:space="preserve">Běžný účet platební bilance </w:t>
            </w:r>
            <w:r w:rsidR="00131FFA">
              <w:rPr>
                <w:spacing w:val="-4"/>
              </w:rPr>
              <w:t>(kumulace 1. až 3</w:t>
            </w:r>
            <w:r w:rsidR="005723B7">
              <w:rPr>
                <w:spacing w:val="-4"/>
              </w:rPr>
              <w:t>. čtvrtletí</w:t>
            </w:r>
            <w:r w:rsidRPr="00DC21E2">
              <w:rPr>
                <w:spacing w:val="-4"/>
              </w:rPr>
              <w:t xml:space="preserve"> v</w:t>
            </w:r>
            <w:r w:rsidR="006D164C">
              <w:rPr>
                <w:spacing w:val="-4"/>
              </w:rPr>
              <w:t> mld.</w:t>
            </w:r>
            <w:r w:rsidRPr="00DC21E2">
              <w:rPr>
                <w:spacing w:val="-4"/>
              </w:rPr>
              <w:t xml:space="preserve"> korun)</w:t>
            </w:r>
          </w:p>
        </w:tc>
      </w:tr>
      <w:tr w:rsidR="00DD0726" w:rsidRPr="00A74192" w:rsidTr="006C3DC1">
        <w:tc>
          <w:tcPr>
            <w:tcW w:w="1015" w:type="pct"/>
          </w:tcPr>
          <w:p w:rsidR="00DD0726" w:rsidRPr="002804BB" w:rsidRDefault="00DD0726" w:rsidP="006C3DC1">
            <w:pPr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" w:type="pct"/>
          </w:tcPr>
          <w:p w:rsidR="00DD0726" w:rsidRPr="00A74192" w:rsidRDefault="00DD0726" w:rsidP="006C3DC1">
            <w:pPr>
              <w:pStyle w:val="Textpoznpodarou"/>
              <w:rPr>
                <w:color w:val="FF0000"/>
              </w:rPr>
            </w:pPr>
          </w:p>
        </w:tc>
        <w:tc>
          <w:tcPr>
            <w:tcW w:w="3841" w:type="pct"/>
            <w:gridSpan w:val="4"/>
          </w:tcPr>
          <w:p w:rsidR="00DD0726" w:rsidRPr="00DC21E2" w:rsidRDefault="00455BB8" w:rsidP="006C3DC1">
            <w:pPr>
              <w:pStyle w:val="Textpoznpodarou"/>
              <w:ind w:left="-73"/>
              <w:jc w:val="both"/>
              <w:rPr>
                <w:spacing w:val="-4"/>
                <w:sz w:val="16"/>
                <w:highlight w:val="yellow"/>
              </w:rPr>
            </w:pPr>
            <w:r w:rsidRPr="00455BB8">
              <w:rPr>
                <w:noProof/>
                <w:spacing w:val="-4"/>
                <w:sz w:val="16"/>
              </w:rPr>
              <w:drawing>
                <wp:inline distT="0" distB="0" distL="0" distR="0">
                  <wp:extent cx="4740249" cy="3438144"/>
                  <wp:effectExtent l="0" t="0" r="0" b="0"/>
                  <wp:docPr id="12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D0726" w:rsidRPr="00DC21E2" w:rsidRDefault="00DD0726" w:rsidP="006C3DC1">
            <w:pPr>
              <w:pStyle w:val="Textpoznpodarou"/>
              <w:ind w:left="-73"/>
              <w:jc w:val="right"/>
              <w:rPr>
                <w:spacing w:val="-4"/>
                <w:sz w:val="14"/>
                <w:szCs w:val="14"/>
              </w:rPr>
            </w:pPr>
            <w:r w:rsidRPr="00DC21E2">
              <w:rPr>
                <w:spacing w:val="-4"/>
                <w:sz w:val="14"/>
                <w:szCs w:val="14"/>
              </w:rPr>
              <w:t>Zdroj: ČNB</w:t>
            </w:r>
          </w:p>
          <w:p w:rsidR="00DD0726" w:rsidRPr="00ED7C3C" w:rsidRDefault="00DD0726" w:rsidP="006C3DC1">
            <w:pPr>
              <w:pStyle w:val="Textpoznpodarou"/>
              <w:ind w:left="-73"/>
              <w:jc w:val="right"/>
              <w:rPr>
                <w:color w:val="FF0000"/>
                <w:spacing w:val="-4"/>
                <w:sz w:val="15"/>
                <w:szCs w:val="15"/>
                <w:highlight w:val="yellow"/>
              </w:rPr>
            </w:pPr>
          </w:p>
        </w:tc>
      </w:tr>
      <w:tr w:rsidR="00254069" w:rsidRPr="00A74192" w:rsidTr="006C3DC1">
        <w:tc>
          <w:tcPr>
            <w:tcW w:w="1015" w:type="pct"/>
          </w:tcPr>
          <w:p w:rsidR="00254069" w:rsidRPr="00532819" w:rsidRDefault="00ED390A" w:rsidP="0033313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Hodnota exportu ve 3</w:t>
            </w:r>
            <w:r w:rsidR="005723B7">
              <w:rPr>
                <w:sz w:val="16"/>
                <w:szCs w:val="16"/>
              </w:rPr>
              <w:t>. čtvrtletí</w:t>
            </w:r>
            <w:r>
              <w:rPr>
                <w:sz w:val="16"/>
                <w:szCs w:val="16"/>
              </w:rPr>
              <w:t xml:space="preserve"> rostla.</w:t>
            </w: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254069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4B5B42">
              <w:rPr>
                <w:spacing w:val="-4"/>
              </w:rPr>
              <w:t>V průběhu prvních tří čtvrtletí roku 2017 bylo z Česka vyvezeno zboží v hodnotě 2 6</w:t>
            </w:r>
            <w:r>
              <w:rPr>
                <w:spacing w:val="-4"/>
              </w:rPr>
              <w:t>10</w:t>
            </w:r>
            <w:r w:rsidRPr="004B5B42">
              <w:rPr>
                <w:spacing w:val="-4"/>
              </w:rPr>
              <w:t>,</w:t>
            </w:r>
            <w:r>
              <w:rPr>
                <w:spacing w:val="-4"/>
              </w:rPr>
              <w:t>8</w:t>
            </w:r>
            <w:r w:rsidR="006D164C">
              <w:rPr>
                <w:spacing w:val="-4"/>
              </w:rPr>
              <w:t> mld.</w:t>
            </w:r>
            <w:r w:rsidRPr="004B5B42">
              <w:rPr>
                <w:spacing w:val="-4"/>
              </w:rPr>
              <w:t xml:space="preserve"> korun</w:t>
            </w:r>
            <w:r w:rsidRPr="00ED7C3C">
              <w:rPr>
                <w:rStyle w:val="Znakapoznpodarou"/>
                <w:spacing w:val="-4"/>
              </w:rPr>
              <w:footnoteReference w:id="1"/>
            </w:r>
            <w:r w:rsidRPr="004B5B42">
              <w:rPr>
                <w:spacing w:val="-4"/>
              </w:rPr>
              <w:t>.</w:t>
            </w:r>
            <w:r>
              <w:rPr>
                <w:spacing w:val="-4"/>
              </w:rPr>
              <w:t xml:space="preserve"> To je o 6,0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(146,7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>) více než ve stejném období minulého roku. Vývoz v jednotlivých čtvrtletích pokaždé překonal stejná období předchozího roku. V samotném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dosáhla hodnota vývozu 808,0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 a meziročně byla vyšší o 3,8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(29,9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>).</w:t>
            </w:r>
          </w:p>
          <w:p w:rsidR="00254069" w:rsidRPr="00CB5852" w:rsidRDefault="00254069" w:rsidP="00333134">
            <w:pPr>
              <w:pStyle w:val="Textpoznpodarou"/>
              <w:jc w:val="both"/>
              <w:rPr>
                <w:spacing w:val="-4"/>
                <w:sz w:val="14"/>
                <w:szCs w:val="14"/>
                <w:highlight w:val="yellow"/>
              </w:rPr>
            </w:pPr>
          </w:p>
        </w:tc>
      </w:tr>
      <w:tr w:rsidR="00254069" w:rsidRPr="00A74192" w:rsidTr="006C3DC1">
        <w:tc>
          <w:tcPr>
            <w:tcW w:w="1015" w:type="pct"/>
          </w:tcPr>
          <w:p w:rsidR="00254069" w:rsidRPr="00532819" w:rsidRDefault="00ED390A" w:rsidP="00333134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Opět se zvýšila hodnota vývozu do zemí EU.</w:t>
            </w: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817ADB" w:rsidRPr="00817ADB" w:rsidRDefault="00254069" w:rsidP="00333134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Struktura českého vývozu podle teritoriálního členění se prakticky nezměnila. Vývoz do většiny hlavních exportních destinací za 1. až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rostl. Export do zemí EU se za dané období zvýšil o 5,7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(118,3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korun), a to i díky silnému nárůstu vývozu do Německa (6,9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54,8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>), Polska (7,2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10,9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>) nebo Francie (8,4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, 10,3</w:t>
            </w:r>
            <w:r w:rsidR="006D164C">
              <w:rPr>
                <w:spacing w:val="-4"/>
              </w:rPr>
              <w:t> mld.</w:t>
            </w:r>
            <w:r w:rsidR="00CB5852">
              <w:rPr>
                <w:spacing w:val="-4"/>
              </w:rPr>
              <w:t>). Jediným významn</w:t>
            </w:r>
            <w:r>
              <w:rPr>
                <w:spacing w:val="-4"/>
              </w:rPr>
              <w:t xml:space="preserve">ým obchodním partnerem, kam se vývoz meziročně snížil, bylo </w:t>
            </w:r>
            <w:proofErr w:type="gramStart"/>
            <w:r>
              <w:rPr>
                <w:spacing w:val="-4"/>
              </w:rPr>
              <w:t>Slovensko (</w:t>
            </w:r>
            <w:r w:rsidR="003B462D">
              <w:rPr>
                <w:spacing w:val="-4"/>
              </w:rPr>
              <w:t>–</w:t>
            </w:r>
            <w:r>
              <w:rPr>
                <w:spacing w:val="-4"/>
              </w:rPr>
              <w:t>3,5</w:t>
            </w:r>
            <w:proofErr w:type="gramEnd"/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Export do zemí mimo</w:t>
            </w:r>
            <w:r w:rsidR="001579FC">
              <w:rPr>
                <w:spacing w:val="-4"/>
              </w:rPr>
              <w:t> </w:t>
            </w:r>
            <w:r>
              <w:rPr>
                <w:spacing w:val="-4"/>
              </w:rPr>
              <w:t>EU v prvních třech čtvrtletích vzrostl o 7,2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Samotné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se od kumulace tří uplynulých kvartálů roku 2017 lišilo mírným meziročním poklesem exportu do zemí mimo</w:t>
            </w:r>
            <w:r w:rsidR="001579FC">
              <w:rPr>
                <w:spacing w:val="-4"/>
              </w:rPr>
              <w:t> </w:t>
            </w:r>
            <w:proofErr w:type="gramStart"/>
            <w:r>
              <w:rPr>
                <w:spacing w:val="-4"/>
              </w:rPr>
              <w:t>EU (</w:t>
            </w:r>
            <w:r w:rsidR="001579FC">
              <w:rPr>
                <w:spacing w:val="-4"/>
              </w:rPr>
              <w:t>–</w:t>
            </w:r>
            <w:r>
              <w:rPr>
                <w:spacing w:val="-4"/>
              </w:rPr>
              <w:t>0,2</w:t>
            </w:r>
            <w:proofErr w:type="gramEnd"/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Projevil se zde totiž pokles hodnoty zboží vyvezeného do Ruska o 0,5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a do Spojených států o 2,6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</w:t>
            </w:r>
          </w:p>
        </w:tc>
      </w:tr>
      <w:tr w:rsidR="00254069" w:rsidRPr="00A74192" w:rsidTr="006C3DC1">
        <w:tc>
          <w:tcPr>
            <w:tcW w:w="1015" w:type="pct"/>
          </w:tcPr>
          <w:p w:rsidR="00254069" w:rsidRPr="001841D7" w:rsidRDefault="00254069" w:rsidP="00333134">
            <w:pPr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254069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>
              <w:rPr>
                <w:spacing w:val="-4"/>
              </w:rPr>
              <w:t>Během prvních tří čtvrtletí roku výrazně rostl vývoz tří váhově nejvýznamnějších oddílů klasifikace produkce. Vývoz motorových vozidel v uvedeném období meziročně vzrostl o 8,4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Opět se mírně zvýšil jejich podíl na celkovém exportu (na 28,9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Nárůstu ve výši 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dosáhly stroje a zařízení i elektrická zařízení. Naopak během 1.</w:t>
            </w:r>
            <w:r w:rsidR="00F66CA8" w:rsidRPr="00F66CA8">
              <w:rPr>
                <w:rFonts w:cs="Arial"/>
                <w:spacing w:val="-2"/>
              </w:rPr>
              <w:t> </w:t>
            </w:r>
            <w:r>
              <w:rPr>
                <w:spacing w:val="-4"/>
              </w:rPr>
              <w:t>až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poklesl vývoz kovodělných výrobků o</w:t>
            </w:r>
            <w:r w:rsidR="001579FC">
              <w:rPr>
                <w:spacing w:val="-4"/>
              </w:rPr>
              <w:t> </w:t>
            </w:r>
            <w:r>
              <w:rPr>
                <w:spacing w:val="-4"/>
              </w:rPr>
              <w:t>3,5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(tento pokles byl způsoben 13,1% meziročním propadem v 1.</w:t>
            </w:r>
            <w:r w:rsidR="001579FC">
              <w:rPr>
                <w:spacing w:val="-4"/>
              </w:rPr>
              <w:t> </w:t>
            </w:r>
            <w:r>
              <w:rPr>
                <w:spacing w:val="-4"/>
              </w:rPr>
              <w:t>kvartálu, po zbytek roku vývoz mírně rostl) a potravinářských výrobků o 4,1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(zde trvá pokles již od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roku 2016).</w:t>
            </w:r>
          </w:p>
          <w:p w:rsidR="00254069" w:rsidRPr="0072174F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</w:p>
        </w:tc>
      </w:tr>
      <w:tr w:rsidR="00254069" w:rsidRPr="00A74192" w:rsidTr="006C3DC1">
        <w:tc>
          <w:tcPr>
            <w:tcW w:w="1015" w:type="pct"/>
          </w:tcPr>
          <w:p w:rsidR="00254069" w:rsidRPr="001841D7" w:rsidRDefault="00ED390A" w:rsidP="00333134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ED390A">
              <w:rPr>
                <w:sz w:val="16"/>
                <w:szCs w:val="16"/>
              </w:rPr>
              <w:t xml:space="preserve">Dovoz tentokrát </w:t>
            </w:r>
            <w:r>
              <w:rPr>
                <w:sz w:val="16"/>
                <w:szCs w:val="16"/>
              </w:rPr>
              <w:t xml:space="preserve">meziročně </w:t>
            </w:r>
            <w:r w:rsidRPr="00ED390A">
              <w:rPr>
                <w:sz w:val="16"/>
                <w:szCs w:val="16"/>
              </w:rPr>
              <w:t>rostl rychleji než vývoz.</w:t>
            </w:r>
            <w:r>
              <w:rPr>
                <w:sz w:val="16"/>
                <w:szCs w:val="16"/>
              </w:rPr>
              <w:t xml:space="preserve"> Stále se projevoval rozdíl v cenách ropy a</w:t>
            </w:r>
            <w:r w:rsidR="00130A21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zemního plynu, zvýšila se i hodnota importu základních kovů.</w:t>
            </w: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254069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</w:rPr>
            </w:pPr>
            <w:r w:rsidRPr="002A36EC">
              <w:rPr>
                <w:spacing w:val="-4"/>
              </w:rPr>
              <w:t>Hodnota zboží dovezeného do Česka v 1. až 3</w:t>
            </w:r>
            <w:r w:rsidR="005723B7">
              <w:rPr>
                <w:spacing w:val="-4"/>
              </w:rPr>
              <w:t>. čtvrtletí</w:t>
            </w:r>
            <w:r w:rsidRPr="002A36EC">
              <w:rPr>
                <w:spacing w:val="-4"/>
              </w:rPr>
              <w:t xml:space="preserve"> roku dosáhla 2 47</w:t>
            </w:r>
            <w:r>
              <w:rPr>
                <w:spacing w:val="-4"/>
              </w:rPr>
              <w:t>5</w:t>
            </w:r>
            <w:r w:rsidRPr="002A36EC">
              <w:rPr>
                <w:spacing w:val="-4"/>
              </w:rPr>
              <w:t>,</w:t>
            </w:r>
            <w:r>
              <w:rPr>
                <w:spacing w:val="-4"/>
              </w:rPr>
              <w:t>8</w:t>
            </w:r>
            <w:r w:rsidR="006D164C">
              <w:rPr>
                <w:spacing w:val="-4"/>
              </w:rPr>
              <w:t> mld.</w:t>
            </w:r>
            <w:r w:rsidRPr="002A36EC">
              <w:rPr>
                <w:spacing w:val="-4"/>
              </w:rPr>
              <w:t xml:space="preserve"> korun. Ve </w:t>
            </w:r>
            <w:r>
              <w:rPr>
                <w:spacing w:val="-4"/>
              </w:rPr>
              <w:t>2. i 3</w:t>
            </w:r>
            <w:r w:rsidR="005723B7">
              <w:rPr>
                <w:spacing w:val="-4"/>
              </w:rPr>
              <w:t>. čtvrtletí</w:t>
            </w:r>
            <w:r w:rsidRPr="002A36EC">
              <w:rPr>
                <w:spacing w:val="-4"/>
              </w:rPr>
              <w:t xml:space="preserve"> roku 2017 rostl dovoz rychleji než vývoz a</w:t>
            </w:r>
            <w:r>
              <w:rPr>
                <w:spacing w:val="-4"/>
              </w:rPr>
              <w:t> </w:t>
            </w:r>
            <w:r w:rsidRPr="002A36EC">
              <w:rPr>
                <w:spacing w:val="-4"/>
              </w:rPr>
              <w:t>celkový meziroční přírůstek v uplynulých kvartálech dosáhl 6,</w:t>
            </w:r>
            <w:r>
              <w:rPr>
                <w:spacing w:val="-4"/>
              </w:rPr>
              <w:t>9</w:t>
            </w:r>
            <w:r w:rsidR="005723B7">
              <w:rPr>
                <w:spacing w:val="-4"/>
              </w:rPr>
              <w:t> %</w:t>
            </w:r>
            <w:r w:rsidRPr="002A36EC">
              <w:rPr>
                <w:spacing w:val="-4"/>
              </w:rPr>
              <w:t>, v samotném 3</w:t>
            </w:r>
            <w:r w:rsidR="005723B7">
              <w:rPr>
                <w:spacing w:val="-4"/>
              </w:rPr>
              <w:t>. čtvrtletí</w:t>
            </w:r>
            <w:r w:rsidRPr="002A36EC">
              <w:rPr>
                <w:spacing w:val="-4"/>
              </w:rPr>
              <w:t xml:space="preserve"> pak </w:t>
            </w:r>
            <w:r>
              <w:rPr>
                <w:spacing w:val="-4"/>
              </w:rPr>
              <w:t>5</w:t>
            </w:r>
            <w:r w:rsidRPr="002A36EC">
              <w:rPr>
                <w:spacing w:val="-4"/>
              </w:rPr>
              <w:t>,</w:t>
            </w:r>
            <w:r>
              <w:rPr>
                <w:spacing w:val="-4"/>
              </w:rPr>
              <w:t>1</w:t>
            </w:r>
            <w:r w:rsidR="005723B7">
              <w:rPr>
                <w:spacing w:val="-4"/>
              </w:rPr>
              <w:t> %</w:t>
            </w:r>
            <w:r w:rsidRPr="002A36EC">
              <w:rPr>
                <w:spacing w:val="-4"/>
              </w:rPr>
              <w:t>.</w:t>
            </w:r>
            <w:r>
              <w:rPr>
                <w:spacing w:val="-4"/>
              </w:rPr>
              <w:t xml:space="preserve"> Od začátku roku posílil především dovoz ze zemí mimo EU (o 12,9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Podíl na tom má hlavně import z Ruska, který meziročně vzrostl o 53,0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Stále se tak projevuje meziroční nárůst cen ropy a zemního plynu i zvýšený dovoz této komodity související se zotavením chemického průmyslu (nárůst hodnoty importu ropy a zemního plynu činil 51,9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 Kromě toho výrazně rostla hodnota dovozu základních kovů o 21,3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. Výrazněji nepolevoval meziroční růst dovozu motorových vozidel (11,8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od začátku roku, 13,0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>). Hodnota importu strojů a zařízení se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meziročně zvýšila o 15,9</w:t>
            </w:r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 xml:space="preserve"> (nejvíce od začátku roku 2015). Výrazný pokles hodnoty importu v průběhu roku nastal u koksu a rafinovaných ropných </w:t>
            </w:r>
            <w:proofErr w:type="gramStart"/>
            <w:r>
              <w:rPr>
                <w:spacing w:val="-4"/>
              </w:rPr>
              <w:t>výrobků (</w:t>
            </w:r>
            <w:r w:rsidR="00602A2B">
              <w:rPr>
                <w:spacing w:val="-4"/>
              </w:rPr>
              <w:t>–</w:t>
            </w:r>
            <w:r>
              <w:rPr>
                <w:spacing w:val="-4"/>
              </w:rPr>
              <w:t>21,0</w:t>
            </w:r>
            <w:proofErr w:type="gramEnd"/>
            <w:r w:rsidR="005723B7">
              <w:rPr>
                <w:spacing w:val="-4"/>
              </w:rPr>
              <w:t> %</w:t>
            </w:r>
            <w:r>
              <w:rPr>
                <w:spacing w:val="-4"/>
              </w:rPr>
              <w:t>).</w:t>
            </w:r>
          </w:p>
          <w:p w:rsidR="00254069" w:rsidRPr="00902375" w:rsidRDefault="00254069" w:rsidP="00333134">
            <w:pPr>
              <w:pStyle w:val="Textpoznpodarou"/>
              <w:jc w:val="both"/>
              <w:rPr>
                <w:spacing w:val="-4"/>
                <w:sz w:val="16"/>
                <w:szCs w:val="16"/>
                <w:highlight w:val="yellow"/>
              </w:rPr>
            </w:pPr>
          </w:p>
        </w:tc>
      </w:tr>
      <w:tr w:rsidR="00DD0726" w:rsidRPr="00A74192" w:rsidTr="006C3DC1">
        <w:tc>
          <w:tcPr>
            <w:tcW w:w="1015" w:type="pct"/>
          </w:tcPr>
          <w:p w:rsidR="00DD0726" w:rsidRPr="002804BB" w:rsidRDefault="00DD0726" w:rsidP="006C3DC1">
            <w:pPr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" w:type="pct"/>
          </w:tcPr>
          <w:p w:rsidR="00DD0726" w:rsidRPr="00A74192" w:rsidRDefault="00DD0726" w:rsidP="006C3DC1">
            <w:pPr>
              <w:pStyle w:val="Textpoznpodarou"/>
              <w:jc w:val="both"/>
            </w:pPr>
          </w:p>
        </w:tc>
        <w:tc>
          <w:tcPr>
            <w:tcW w:w="653" w:type="pct"/>
            <w:gridSpan w:val="2"/>
          </w:tcPr>
          <w:p w:rsidR="00DD0726" w:rsidRPr="00DC21E2" w:rsidRDefault="00DD0726" w:rsidP="006C3DC1">
            <w:pPr>
              <w:pStyle w:val="Textpoznpodarou"/>
              <w:jc w:val="both"/>
              <w:rPr>
                <w:spacing w:val="-4"/>
                <w:sz w:val="16"/>
                <w:szCs w:val="16"/>
                <w:highlight w:val="yellow"/>
              </w:rPr>
            </w:pPr>
            <w:r w:rsidRPr="00DC21E2">
              <w:rPr>
                <w:spacing w:val="-4"/>
              </w:rPr>
              <w:t>Graf č. 10</w:t>
            </w:r>
          </w:p>
        </w:tc>
        <w:tc>
          <w:tcPr>
            <w:tcW w:w="3188" w:type="pct"/>
            <w:gridSpan w:val="2"/>
          </w:tcPr>
          <w:p w:rsidR="00DD0726" w:rsidRPr="00DC21E2" w:rsidRDefault="00DD0726" w:rsidP="006C3DC1">
            <w:pPr>
              <w:pStyle w:val="Textpoznpodarou"/>
              <w:rPr>
                <w:spacing w:val="-4"/>
                <w:sz w:val="16"/>
                <w:szCs w:val="16"/>
                <w:highlight w:val="yellow"/>
              </w:rPr>
            </w:pPr>
            <w:r w:rsidRPr="00DC21E2">
              <w:rPr>
                <w:b/>
                <w:spacing w:val="-4"/>
              </w:rPr>
              <w:t xml:space="preserve">Bilance zahraničního obchodu* ve statistice zahraničního obchodu </w:t>
            </w:r>
            <w:r w:rsidRPr="00DC21E2">
              <w:rPr>
                <w:spacing w:val="-4"/>
              </w:rPr>
              <w:t>(kumulace 1. a</w:t>
            </w:r>
            <w:r w:rsidR="00131FFA">
              <w:rPr>
                <w:spacing w:val="-4"/>
              </w:rPr>
              <w:t>ž 3</w:t>
            </w:r>
            <w:r w:rsidR="005723B7">
              <w:rPr>
                <w:spacing w:val="-4"/>
              </w:rPr>
              <w:t>. čtvrtletí</w:t>
            </w:r>
            <w:r w:rsidRPr="00DC21E2">
              <w:rPr>
                <w:spacing w:val="-4"/>
              </w:rPr>
              <w:t>, v</w:t>
            </w:r>
            <w:r w:rsidR="006D164C">
              <w:rPr>
                <w:spacing w:val="-4"/>
              </w:rPr>
              <w:t> mld.</w:t>
            </w:r>
            <w:r w:rsidRPr="00DC21E2">
              <w:rPr>
                <w:spacing w:val="-4"/>
              </w:rPr>
              <w:t> korun, vybrané oddíly klasifikace CPA)</w:t>
            </w:r>
          </w:p>
        </w:tc>
      </w:tr>
      <w:tr w:rsidR="00254069" w:rsidRPr="00A74192" w:rsidTr="006C3DC1">
        <w:tc>
          <w:tcPr>
            <w:tcW w:w="1015" w:type="pct"/>
          </w:tcPr>
          <w:p w:rsidR="00254069" w:rsidRPr="002804BB" w:rsidRDefault="00254069" w:rsidP="006C3DC1">
            <w:pPr>
              <w:spacing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" w:type="pct"/>
          </w:tcPr>
          <w:p w:rsidR="00254069" w:rsidRPr="00A74192" w:rsidRDefault="00254069" w:rsidP="006C3DC1">
            <w:pPr>
              <w:pStyle w:val="Textpoznpodarou"/>
              <w:jc w:val="both"/>
            </w:pPr>
          </w:p>
        </w:tc>
        <w:tc>
          <w:tcPr>
            <w:tcW w:w="3841" w:type="pct"/>
            <w:gridSpan w:val="4"/>
          </w:tcPr>
          <w:p w:rsidR="00254069" w:rsidRPr="00DC21E2" w:rsidRDefault="00254069" w:rsidP="00333134">
            <w:pPr>
              <w:pStyle w:val="Textpoznpodarou"/>
              <w:ind w:left="-73"/>
              <w:jc w:val="right"/>
              <w:rPr>
                <w:spacing w:val="-4"/>
                <w:sz w:val="14"/>
                <w:szCs w:val="14"/>
              </w:rPr>
            </w:pPr>
            <w:r w:rsidRPr="003C1AD4">
              <w:rPr>
                <w:noProof/>
                <w:spacing w:val="-4"/>
                <w:sz w:val="14"/>
                <w:szCs w:val="14"/>
              </w:rPr>
              <w:drawing>
                <wp:inline distT="0" distB="0" distL="0" distR="0">
                  <wp:extent cx="4737600" cy="3553200"/>
                  <wp:effectExtent l="19050" t="0" r="0" b="0"/>
                  <wp:docPr id="2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254069" w:rsidRPr="008F1638" w:rsidTr="006C3DC1">
        <w:tc>
          <w:tcPr>
            <w:tcW w:w="1015" w:type="pct"/>
          </w:tcPr>
          <w:p w:rsidR="00254069" w:rsidRPr="00F35066" w:rsidRDefault="00254069" w:rsidP="006C3DC1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4" w:type="pct"/>
          </w:tcPr>
          <w:p w:rsidR="00254069" w:rsidRPr="002804BB" w:rsidRDefault="00254069" w:rsidP="006C3DC1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1948" w:type="pct"/>
            <w:gridSpan w:val="3"/>
          </w:tcPr>
          <w:p w:rsidR="00254069" w:rsidRPr="00DC21E2" w:rsidRDefault="00254069" w:rsidP="006C3DC1">
            <w:pPr>
              <w:pStyle w:val="Textpoznpodarou"/>
              <w:jc w:val="both"/>
              <w:rPr>
                <w:spacing w:val="-4"/>
                <w:sz w:val="14"/>
                <w:szCs w:val="14"/>
              </w:rPr>
            </w:pPr>
            <w:r w:rsidRPr="00DC21E2">
              <w:rPr>
                <w:spacing w:val="-4"/>
                <w:sz w:val="14"/>
                <w:szCs w:val="14"/>
              </w:rPr>
              <w:t>*</w:t>
            </w:r>
            <w:r w:rsidR="00602A2B">
              <w:rPr>
                <w:spacing w:val="-4"/>
                <w:sz w:val="14"/>
                <w:szCs w:val="14"/>
              </w:rPr>
              <w:t xml:space="preserve"> V</w:t>
            </w:r>
            <w:r w:rsidRPr="00DC21E2">
              <w:rPr>
                <w:spacing w:val="-4"/>
                <w:sz w:val="14"/>
                <w:szCs w:val="14"/>
              </w:rPr>
              <w:t xml:space="preserve"> národním pojetí</w:t>
            </w:r>
          </w:p>
        </w:tc>
        <w:tc>
          <w:tcPr>
            <w:tcW w:w="1893" w:type="pct"/>
          </w:tcPr>
          <w:p w:rsidR="00254069" w:rsidRPr="00DC21E2" w:rsidRDefault="00254069" w:rsidP="006C3DC1">
            <w:pPr>
              <w:pStyle w:val="Textpoznpodarou"/>
              <w:jc w:val="right"/>
              <w:rPr>
                <w:spacing w:val="-4"/>
                <w:sz w:val="14"/>
                <w:szCs w:val="14"/>
              </w:rPr>
            </w:pPr>
            <w:r w:rsidRPr="00DC21E2">
              <w:rPr>
                <w:spacing w:val="-4"/>
                <w:sz w:val="14"/>
                <w:szCs w:val="14"/>
              </w:rPr>
              <w:t>Zdroj: ČSÚ</w:t>
            </w:r>
          </w:p>
          <w:p w:rsidR="00254069" w:rsidRPr="00DC21E2" w:rsidRDefault="00254069" w:rsidP="006C3DC1">
            <w:pPr>
              <w:pStyle w:val="Textpoznpodarou"/>
              <w:jc w:val="right"/>
              <w:rPr>
                <w:spacing w:val="-4"/>
                <w:sz w:val="14"/>
                <w:szCs w:val="14"/>
              </w:rPr>
            </w:pPr>
          </w:p>
        </w:tc>
      </w:tr>
      <w:tr w:rsidR="00254069" w:rsidRPr="00A74192" w:rsidTr="006C3DC1">
        <w:tc>
          <w:tcPr>
            <w:tcW w:w="1015" w:type="pct"/>
          </w:tcPr>
          <w:p w:rsidR="00254069" w:rsidRPr="001841D7" w:rsidRDefault="00ED390A" w:rsidP="00333134">
            <w:pPr>
              <w:spacing w:line="240" w:lineRule="auto"/>
              <w:rPr>
                <w:sz w:val="16"/>
                <w:szCs w:val="16"/>
                <w:highlight w:val="yellow"/>
              </w:rPr>
            </w:pPr>
            <w:r w:rsidRPr="00ED390A">
              <w:rPr>
                <w:sz w:val="16"/>
                <w:szCs w:val="16"/>
              </w:rPr>
              <w:t xml:space="preserve">Bilance </w:t>
            </w:r>
            <w:r>
              <w:rPr>
                <w:sz w:val="16"/>
                <w:szCs w:val="16"/>
              </w:rPr>
              <w:t xml:space="preserve">zahraničního obchodu </w:t>
            </w:r>
            <w:r w:rsidRPr="00ED390A">
              <w:rPr>
                <w:sz w:val="16"/>
                <w:szCs w:val="16"/>
              </w:rPr>
              <w:t>se meziročně snížila o 14,0</w:t>
            </w:r>
            <w:r w:rsidR="006D164C">
              <w:rPr>
                <w:sz w:val="16"/>
                <w:szCs w:val="16"/>
              </w:rPr>
              <w:t> mld.</w:t>
            </w:r>
            <w:r w:rsidRPr="00ED390A">
              <w:rPr>
                <w:sz w:val="16"/>
                <w:szCs w:val="16"/>
              </w:rPr>
              <w:t xml:space="preserve"> korun.</w:t>
            </w:r>
          </w:p>
        </w:tc>
        <w:tc>
          <w:tcPr>
            <w:tcW w:w="144" w:type="pct"/>
          </w:tcPr>
          <w:p w:rsidR="00254069" w:rsidRPr="002804BB" w:rsidRDefault="00254069" w:rsidP="00333134">
            <w:pPr>
              <w:pStyle w:val="Textpoznpodarou"/>
              <w:jc w:val="both"/>
              <w:rPr>
                <w:highlight w:val="yellow"/>
              </w:rPr>
            </w:pPr>
          </w:p>
        </w:tc>
        <w:tc>
          <w:tcPr>
            <w:tcW w:w="3841" w:type="pct"/>
            <w:gridSpan w:val="4"/>
          </w:tcPr>
          <w:p w:rsidR="00254069" w:rsidRPr="0014598D" w:rsidRDefault="00254069" w:rsidP="00333134">
            <w:pPr>
              <w:pStyle w:val="Textpoznpodarou"/>
              <w:jc w:val="both"/>
              <w:rPr>
                <w:spacing w:val="-4"/>
              </w:rPr>
            </w:pPr>
            <w:r>
              <w:rPr>
                <w:spacing w:val="-4"/>
              </w:rPr>
              <w:t>Zahraniční obchod se zbožím v průběhu 1. až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roku dosáhl přebytku bilance ve výši 135,0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korun. V porovnání se stejným obdobím předchozího roku se přebytek snížil o 14,0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korun. Přitom ve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 xml:space="preserve"> činil přebytek zahraničního obchodu 18,3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 a meziročně se snížil o 8,1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Pokračoval trend zvyšování přebytku se zeměmi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EU (o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44,5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za 1. až 3</w:t>
            </w:r>
            <w:r w:rsidR="005723B7">
              <w:rPr>
                <w:spacing w:val="-4"/>
              </w:rPr>
              <w:t>. čtvrtletí</w:t>
            </w:r>
            <w:r>
              <w:rPr>
                <w:spacing w:val="-4"/>
              </w:rPr>
              <w:t>). Naopak se prohlubovalo záporné saldo obchodu se zeměmi mimo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EU (o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60,2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>, nejvýraznější je propad u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Ruska o</w:t>
            </w:r>
            <w:r w:rsidR="00602A2B">
              <w:rPr>
                <w:spacing w:val="-4"/>
              </w:rPr>
              <w:t> </w:t>
            </w:r>
            <w:r>
              <w:rPr>
                <w:spacing w:val="-4"/>
              </w:rPr>
              <w:t>25,4</w:t>
            </w:r>
            <w:r w:rsidR="006D164C">
              <w:rPr>
                <w:spacing w:val="-4"/>
              </w:rPr>
              <w:t> mld.</w:t>
            </w:r>
            <w:r>
              <w:rPr>
                <w:spacing w:val="-4"/>
              </w:rPr>
              <w:t xml:space="preserve"> korun). To koresponduje i s pohledem na bilanci u jednotlivých zbožových oddílů. Výrazné prohloubení deficitu bilance nastalo u ropy a zemního plynu a základních kovů. Naopak přebytek obchodu s motorovými vozidly nebo stroji a zařízeními se opět navýšil.</w:t>
            </w:r>
          </w:p>
        </w:tc>
      </w:tr>
      <w:bookmarkEnd w:id="2"/>
    </w:tbl>
    <w:p w:rsidR="008A03DE" w:rsidRPr="00CE7158" w:rsidRDefault="008A03DE" w:rsidP="00817ADB">
      <w:pPr>
        <w:pStyle w:val="Nadpis1"/>
        <w:ind w:left="709"/>
        <w:jc w:val="both"/>
        <w:rPr>
          <w:rFonts w:cs="Arial"/>
          <w:color w:val="000000"/>
          <w:sz w:val="10"/>
          <w:szCs w:val="10"/>
        </w:rPr>
      </w:pPr>
    </w:p>
    <w:sectPr w:rsidR="008A03DE" w:rsidRPr="00CE7158" w:rsidSect="00D226B7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CBF40B" w15:done="0"/>
  <w15:commentEx w15:paraId="16C4E902" w15:done="0"/>
  <w15:commentEx w15:paraId="77D26CEC" w15:done="0"/>
  <w15:commentEx w15:paraId="5E0FE7F5" w15:done="0"/>
  <w15:commentEx w15:paraId="4A572DBB" w15:done="0"/>
  <w15:commentEx w15:paraId="51697760" w15:done="0"/>
  <w15:commentEx w15:paraId="5ED29711" w15:done="0"/>
  <w15:commentEx w15:paraId="5268108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CBF40B" w16cid:durableId="1DDEACCD"/>
  <w16cid:commentId w16cid:paraId="16C4E902" w16cid:durableId="1DDF6F04"/>
  <w16cid:commentId w16cid:paraId="77D26CEC" w16cid:durableId="1DDF596E"/>
  <w16cid:commentId w16cid:paraId="5E0FE7F5" w16cid:durableId="1DDF7C4B"/>
  <w16cid:commentId w16cid:paraId="4A572DBB" w16cid:durableId="1DDF8DFA"/>
  <w16cid:commentId w16cid:paraId="51697760" w16cid:durableId="1DDFC45F"/>
  <w16cid:commentId w16cid:paraId="5ED29711" w16cid:durableId="1DDFC9D1"/>
  <w16cid:commentId w16cid:paraId="52681086" w16cid:durableId="1DDFCB9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502" w:rsidRDefault="00A57502" w:rsidP="00E71A58">
      <w:r>
        <w:separator/>
      </w:r>
    </w:p>
  </w:endnote>
  <w:endnote w:type="continuationSeparator" w:id="0">
    <w:p w:rsidR="00A57502" w:rsidRDefault="00A57502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5535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E05535" w:rsidRPr="005A21E0">
      <w:rPr>
        <w:rFonts w:ascii="Arial" w:hAnsi="Arial" w:cs="Arial"/>
        <w:sz w:val="16"/>
        <w:szCs w:val="16"/>
      </w:rPr>
      <w:fldChar w:fldCharType="separate"/>
    </w:r>
    <w:r w:rsidR="00817ADB">
      <w:rPr>
        <w:rFonts w:ascii="Arial" w:hAnsi="Arial" w:cs="Arial"/>
        <w:noProof/>
        <w:sz w:val="16"/>
        <w:szCs w:val="16"/>
      </w:rPr>
      <w:t>14</w:t>
    </w:r>
    <w:r w:rsidR="00E05535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2017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4A6717" w:rsidRPr="00223E00" w:rsidRDefault="004A6717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2017</w:t>
    </w:r>
    <w:r>
      <w:rPr>
        <w:rFonts w:ascii="Arial" w:hAnsi="Arial" w:cs="Arial"/>
        <w:sz w:val="16"/>
        <w:szCs w:val="16"/>
      </w:rPr>
      <w:tab/>
    </w:r>
    <w:r w:rsidR="00E05535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E05535" w:rsidRPr="00223E00">
      <w:rPr>
        <w:rFonts w:ascii="Arial" w:hAnsi="Arial" w:cs="Arial"/>
        <w:sz w:val="16"/>
        <w:szCs w:val="16"/>
      </w:rPr>
      <w:fldChar w:fldCharType="separate"/>
    </w:r>
    <w:r w:rsidR="00817ADB">
      <w:rPr>
        <w:rFonts w:ascii="Arial" w:hAnsi="Arial" w:cs="Arial"/>
        <w:noProof/>
        <w:sz w:val="16"/>
        <w:szCs w:val="16"/>
      </w:rPr>
      <w:t>15</w:t>
    </w:r>
    <w:r w:rsidR="00E05535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502" w:rsidRDefault="00A57502" w:rsidP="00E71A58">
      <w:r>
        <w:separator/>
      </w:r>
    </w:p>
  </w:footnote>
  <w:footnote w:type="continuationSeparator" w:id="0">
    <w:p w:rsidR="00A57502" w:rsidRDefault="00A57502" w:rsidP="00E71A58">
      <w:r>
        <w:continuationSeparator/>
      </w:r>
    </w:p>
  </w:footnote>
  <w:footnote w:id="1">
    <w:p w:rsidR="004A6717" w:rsidRPr="003279A7" w:rsidRDefault="004A6717" w:rsidP="00333134">
      <w:pPr>
        <w:pStyle w:val="Textpoznpodarou"/>
        <w:rPr>
          <w:sz w:val="16"/>
          <w:szCs w:val="16"/>
        </w:rPr>
      </w:pPr>
      <w:r w:rsidRPr="003279A7">
        <w:rPr>
          <w:rStyle w:val="Znakapoznpodarou"/>
          <w:sz w:val="16"/>
          <w:szCs w:val="16"/>
        </w:rPr>
        <w:footnoteRef/>
      </w:r>
      <w:r w:rsidRPr="003279A7">
        <w:rPr>
          <w:sz w:val="16"/>
          <w:szCs w:val="16"/>
        </w:rPr>
        <w:t xml:space="preserve"> Údaje </w:t>
      </w:r>
      <w:r>
        <w:rPr>
          <w:sz w:val="16"/>
          <w:szCs w:val="16"/>
        </w:rPr>
        <w:t xml:space="preserve">statistiky zahraničního obchodu </w:t>
      </w:r>
      <w:r w:rsidRPr="003279A7">
        <w:rPr>
          <w:sz w:val="16"/>
          <w:szCs w:val="16"/>
        </w:rPr>
        <w:t>v národním pojetí v nominálním vyjádření zahrnující pouze obchod se zbožím. Hodnota vývozu je zachycena v cenách FOB, tj. včetně nákladů souvisejících s dopravou na hranice ČR. Dovoz</w:t>
      </w:r>
      <w:r>
        <w:rPr>
          <w:sz w:val="16"/>
          <w:szCs w:val="16"/>
        </w:rPr>
        <w:t xml:space="preserve"> uvedený níže v této kapitole</w:t>
      </w:r>
      <w:r w:rsidRPr="003279A7">
        <w:rPr>
          <w:sz w:val="16"/>
          <w:szCs w:val="16"/>
        </w:rPr>
        <w:t xml:space="preserve"> je v cenách CIF, tj. včetně nákladů souvisejících s dopravou v zahraničí na hranice ČR. Data jsou platná k </w:t>
      </w:r>
      <w:r>
        <w:rPr>
          <w:sz w:val="16"/>
          <w:szCs w:val="16"/>
        </w:rPr>
        <w:t>7</w:t>
      </w:r>
      <w:r w:rsidRPr="003279A7">
        <w:rPr>
          <w:sz w:val="16"/>
          <w:szCs w:val="16"/>
        </w:rPr>
        <w:t>.</w:t>
      </w:r>
      <w:r>
        <w:rPr>
          <w:sz w:val="16"/>
          <w:szCs w:val="16"/>
        </w:rPr>
        <w:t xml:space="preserve"> 12</w:t>
      </w:r>
      <w:r w:rsidRPr="003279A7">
        <w:rPr>
          <w:sz w:val="16"/>
          <w:szCs w:val="16"/>
        </w:rPr>
        <w:t>.</w:t>
      </w:r>
      <w:r>
        <w:rPr>
          <w:sz w:val="16"/>
          <w:szCs w:val="16"/>
        </w:rPr>
        <w:t xml:space="preserve"> 2017.</w:t>
      </w:r>
      <w:r w:rsidRPr="003279A7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C00831" w:rsidRDefault="004A6717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17" w:rsidRPr="0030768C" w:rsidRDefault="004A6717" w:rsidP="0030768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Vývoj ekonomiky České republiky v 1. až 3. čtvrtletí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B457C"/>
    <w:multiLevelType w:val="hybridMultilevel"/>
    <w:tmpl w:val="5A2A4F0E"/>
    <w:lvl w:ilvl="0" w:tplc="AFDC3104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057FE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3A7708B"/>
    <w:multiLevelType w:val="hybridMultilevel"/>
    <w:tmpl w:val="9CF6FB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0C48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60513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40067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0D45"/>
    <w:multiLevelType w:val="hybridMultilevel"/>
    <w:tmpl w:val="7810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D54E0"/>
    <w:multiLevelType w:val="hybridMultilevel"/>
    <w:tmpl w:val="4B686DC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C47DB"/>
    <w:multiLevelType w:val="hybridMultilevel"/>
    <w:tmpl w:val="AA5065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21"/>
  </w:num>
  <w:num w:numId="5">
    <w:abstractNumId w:val="14"/>
  </w:num>
  <w:num w:numId="6">
    <w:abstractNumId w:val="18"/>
  </w:num>
  <w:num w:numId="7">
    <w:abstractNumId w:val="5"/>
  </w:num>
  <w:num w:numId="8">
    <w:abstractNumId w:val="10"/>
  </w:num>
  <w:num w:numId="9">
    <w:abstractNumId w:val="20"/>
  </w:num>
  <w:num w:numId="10">
    <w:abstractNumId w:val="4"/>
  </w:num>
  <w:num w:numId="11">
    <w:abstractNumId w:val="8"/>
  </w:num>
  <w:num w:numId="12">
    <w:abstractNumId w:val="2"/>
  </w:num>
  <w:num w:numId="13">
    <w:abstractNumId w:val="7"/>
  </w:num>
  <w:num w:numId="14">
    <w:abstractNumId w:val="0"/>
  </w:num>
  <w:num w:numId="15">
    <w:abstractNumId w:val="19"/>
  </w:num>
  <w:num w:numId="16">
    <w:abstractNumId w:val="15"/>
  </w:num>
  <w:num w:numId="17">
    <w:abstractNumId w:val="6"/>
  </w:num>
  <w:num w:numId="18">
    <w:abstractNumId w:val="22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3"/>
  </w:num>
  <w:num w:numId="24">
    <w:abstractNumId w:val="1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a">
    <w15:presenceInfo w15:providerId="None" w15:userId="Vlad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4C5D"/>
    <w:rsid w:val="00004EB0"/>
    <w:rsid w:val="00007498"/>
    <w:rsid w:val="0000767A"/>
    <w:rsid w:val="000101F5"/>
    <w:rsid w:val="000104B9"/>
    <w:rsid w:val="00010702"/>
    <w:rsid w:val="00010770"/>
    <w:rsid w:val="00010982"/>
    <w:rsid w:val="00011191"/>
    <w:rsid w:val="0001159B"/>
    <w:rsid w:val="000117CA"/>
    <w:rsid w:val="00012986"/>
    <w:rsid w:val="00014028"/>
    <w:rsid w:val="00015195"/>
    <w:rsid w:val="0001519F"/>
    <w:rsid w:val="000151A7"/>
    <w:rsid w:val="0001572B"/>
    <w:rsid w:val="0001573E"/>
    <w:rsid w:val="000157DA"/>
    <w:rsid w:val="0001589D"/>
    <w:rsid w:val="00016033"/>
    <w:rsid w:val="000162DB"/>
    <w:rsid w:val="00017F05"/>
    <w:rsid w:val="000202C6"/>
    <w:rsid w:val="00020315"/>
    <w:rsid w:val="000208B1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40BD"/>
    <w:rsid w:val="00035CCF"/>
    <w:rsid w:val="00035FC6"/>
    <w:rsid w:val="0003705E"/>
    <w:rsid w:val="00037667"/>
    <w:rsid w:val="0003780E"/>
    <w:rsid w:val="0004075D"/>
    <w:rsid w:val="000411E1"/>
    <w:rsid w:val="00041E9C"/>
    <w:rsid w:val="00042EC6"/>
    <w:rsid w:val="00043C68"/>
    <w:rsid w:val="00043E05"/>
    <w:rsid w:val="00045681"/>
    <w:rsid w:val="0004694F"/>
    <w:rsid w:val="00046E43"/>
    <w:rsid w:val="000500DC"/>
    <w:rsid w:val="000509FD"/>
    <w:rsid w:val="00051ADE"/>
    <w:rsid w:val="00052052"/>
    <w:rsid w:val="00052172"/>
    <w:rsid w:val="000534FD"/>
    <w:rsid w:val="00053CBA"/>
    <w:rsid w:val="00054E43"/>
    <w:rsid w:val="00055059"/>
    <w:rsid w:val="000553E4"/>
    <w:rsid w:val="0005619C"/>
    <w:rsid w:val="000567FA"/>
    <w:rsid w:val="00056B26"/>
    <w:rsid w:val="00057C16"/>
    <w:rsid w:val="00060F26"/>
    <w:rsid w:val="00062D43"/>
    <w:rsid w:val="00062EC5"/>
    <w:rsid w:val="00063AF0"/>
    <w:rsid w:val="00064256"/>
    <w:rsid w:val="000673F8"/>
    <w:rsid w:val="000706A4"/>
    <w:rsid w:val="00070A0C"/>
    <w:rsid w:val="00071F80"/>
    <w:rsid w:val="00072118"/>
    <w:rsid w:val="00073173"/>
    <w:rsid w:val="0007324C"/>
    <w:rsid w:val="00075C64"/>
    <w:rsid w:val="000779AC"/>
    <w:rsid w:val="00080A41"/>
    <w:rsid w:val="00080AA8"/>
    <w:rsid w:val="00081851"/>
    <w:rsid w:val="00083803"/>
    <w:rsid w:val="00083D7F"/>
    <w:rsid w:val="00084393"/>
    <w:rsid w:val="0008716A"/>
    <w:rsid w:val="00087634"/>
    <w:rsid w:val="00091237"/>
    <w:rsid w:val="000916B1"/>
    <w:rsid w:val="0009191B"/>
    <w:rsid w:val="000920EC"/>
    <w:rsid w:val="000921B6"/>
    <w:rsid w:val="00092208"/>
    <w:rsid w:val="00092505"/>
    <w:rsid w:val="000927EB"/>
    <w:rsid w:val="00092C9A"/>
    <w:rsid w:val="00093F4B"/>
    <w:rsid w:val="000973B6"/>
    <w:rsid w:val="00097BFC"/>
    <w:rsid w:val="00097D02"/>
    <w:rsid w:val="000A1183"/>
    <w:rsid w:val="000A2121"/>
    <w:rsid w:val="000A2484"/>
    <w:rsid w:val="000A2929"/>
    <w:rsid w:val="000A36CE"/>
    <w:rsid w:val="000A59BF"/>
    <w:rsid w:val="000A66C2"/>
    <w:rsid w:val="000A68A7"/>
    <w:rsid w:val="000A7F13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1F41"/>
    <w:rsid w:val="000C3408"/>
    <w:rsid w:val="000C54AF"/>
    <w:rsid w:val="000C57C5"/>
    <w:rsid w:val="000C5C0F"/>
    <w:rsid w:val="000C5D56"/>
    <w:rsid w:val="000C60D8"/>
    <w:rsid w:val="000C6498"/>
    <w:rsid w:val="000D0B22"/>
    <w:rsid w:val="000D0D51"/>
    <w:rsid w:val="000D14B3"/>
    <w:rsid w:val="000D1BFB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D7414"/>
    <w:rsid w:val="000E025B"/>
    <w:rsid w:val="000E0ECB"/>
    <w:rsid w:val="000E153A"/>
    <w:rsid w:val="000E19A8"/>
    <w:rsid w:val="000E1EEA"/>
    <w:rsid w:val="000E4241"/>
    <w:rsid w:val="000E4A42"/>
    <w:rsid w:val="000E6184"/>
    <w:rsid w:val="000E6476"/>
    <w:rsid w:val="000E78D2"/>
    <w:rsid w:val="000F3332"/>
    <w:rsid w:val="000F33EE"/>
    <w:rsid w:val="000F401E"/>
    <w:rsid w:val="000F5445"/>
    <w:rsid w:val="000F5598"/>
    <w:rsid w:val="000F5673"/>
    <w:rsid w:val="000F67B2"/>
    <w:rsid w:val="000F6CFB"/>
    <w:rsid w:val="000F74B6"/>
    <w:rsid w:val="000F790F"/>
    <w:rsid w:val="000F7E1B"/>
    <w:rsid w:val="00100014"/>
    <w:rsid w:val="0010039A"/>
    <w:rsid w:val="00101E94"/>
    <w:rsid w:val="00101FB2"/>
    <w:rsid w:val="001028CF"/>
    <w:rsid w:val="00102CB8"/>
    <w:rsid w:val="00102F02"/>
    <w:rsid w:val="0010385D"/>
    <w:rsid w:val="00103E41"/>
    <w:rsid w:val="001041B6"/>
    <w:rsid w:val="001070EA"/>
    <w:rsid w:val="001073E5"/>
    <w:rsid w:val="001076CA"/>
    <w:rsid w:val="0011002A"/>
    <w:rsid w:val="001107CE"/>
    <w:rsid w:val="001109F0"/>
    <w:rsid w:val="0011110A"/>
    <w:rsid w:val="001118AF"/>
    <w:rsid w:val="00111CA5"/>
    <w:rsid w:val="0011256E"/>
    <w:rsid w:val="0011352E"/>
    <w:rsid w:val="0011365A"/>
    <w:rsid w:val="00114FC0"/>
    <w:rsid w:val="00115496"/>
    <w:rsid w:val="00116DB9"/>
    <w:rsid w:val="00116F28"/>
    <w:rsid w:val="00117CE8"/>
    <w:rsid w:val="00121961"/>
    <w:rsid w:val="00121C39"/>
    <w:rsid w:val="00123255"/>
    <w:rsid w:val="00124D2D"/>
    <w:rsid w:val="00124DA1"/>
    <w:rsid w:val="00125326"/>
    <w:rsid w:val="00125CB5"/>
    <w:rsid w:val="001264C1"/>
    <w:rsid w:val="00127535"/>
    <w:rsid w:val="001307BE"/>
    <w:rsid w:val="00130A21"/>
    <w:rsid w:val="00130C8F"/>
    <w:rsid w:val="001314F2"/>
    <w:rsid w:val="001317DA"/>
    <w:rsid w:val="00131FFA"/>
    <w:rsid w:val="001323BA"/>
    <w:rsid w:val="0013254D"/>
    <w:rsid w:val="00133AAC"/>
    <w:rsid w:val="00133FBD"/>
    <w:rsid w:val="00134DFD"/>
    <w:rsid w:val="001356FC"/>
    <w:rsid w:val="00136561"/>
    <w:rsid w:val="00136AE8"/>
    <w:rsid w:val="001400E1"/>
    <w:rsid w:val="001405FA"/>
    <w:rsid w:val="001413B3"/>
    <w:rsid w:val="001425C3"/>
    <w:rsid w:val="00142F16"/>
    <w:rsid w:val="00143E03"/>
    <w:rsid w:val="00143E93"/>
    <w:rsid w:val="00143FA3"/>
    <w:rsid w:val="0014428D"/>
    <w:rsid w:val="001459A7"/>
    <w:rsid w:val="0014731B"/>
    <w:rsid w:val="00147E55"/>
    <w:rsid w:val="001500FC"/>
    <w:rsid w:val="00151AC0"/>
    <w:rsid w:val="00151B27"/>
    <w:rsid w:val="00152046"/>
    <w:rsid w:val="00152488"/>
    <w:rsid w:val="00152E53"/>
    <w:rsid w:val="00154147"/>
    <w:rsid w:val="00154D93"/>
    <w:rsid w:val="001550F3"/>
    <w:rsid w:val="00155746"/>
    <w:rsid w:val="00156318"/>
    <w:rsid w:val="0015639A"/>
    <w:rsid w:val="001579FC"/>
    <w:rsid w:val="001603A3"/>
    <w:rsid w:val="0016081D"/>
    <w:rsid w:val="00160CF3"/>
    <w:rsid w:val="00160E61"/>
    <w:rsid w:val="00161300"/>
    <w:rsid w:val="001620FA"/>
    <w:rsid w:val="00162853"/>
    <w:rsid w:val="00163793"/>
    <w:rsid w:val="00163A99"/>
    <w:rsid w:val="00167FB2"/>
    <w:rsid w:val="001707DE"/>
    <w:rsid w:val="00170B04"/>
    <w:rsid w:val="00170F47"/>
    <w:rsid w:val="001711F2"/>
    <w:rsid w:val="001714F2"/>
    <w:rsid w:val="001718C2"/>
    <w:rsid w:val="00173642"/>
    <w:rsid w:val="001736BB"/>
    <w:rsid w:val="00173AF4"/>
    <w:rsid w:val="00173CB0"/>
    <w:rsid w:val="00174CE8"/>
    <w:rsid w:val="00174E7D"/>
    <w:rsid w:val="001752CB"/>
    <w:rsid w:val="00175351"/>
    <w:rsid w:val="00175F60"/>
    <w:rsid w:val="00176050"/>
    <w:rsid w:val="001764D8"/>
    <w:rsid w:val="00176A8F"/>
    <w:rsid w:val="00180C39"/>
    <w:rsid w:val="00180D58"/>
    <w:rsid w:val="00181132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678"/>
    <w:rsid w:val="00191BAE"/>
    <w:rsid w:val="00193432"/>
    <w:rsid w:val="0019346C"/>
    <w:rsid w:val="00194AE3"/>
    <w:rsid w:val="00195335"/>
    <w:rsid w:val="00195444"/>
    <w:rsid w:val="0019579E"/>
    <w:rsid w:val="00197806"/>
    <w:rsid w:val="001A199D"/>
    <w:rsid w:val="001A2855"/>
    <w:rsid w:val="001A2BDB"/>
    <w:rsid w:val="001A30F4"/>
    <w:rsid w:val="001A47AB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5A75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66"/>
    <w:rsid w:val="001C0EB9"/>
    <w:rsid w:val="001C1219"/>
    <w:rsid w:val="001C357A"/>
    <w:rsid w:val="001C3961"/>
    <w:rsid w:val="001C3A37"/>
    <w:rsid w:val="001C4384"/>
    <w:rsid w:val="001C55F5"/>
    <w:rsid w:val="001C65FF"/>
    <w:rsid w:val="001C6747"/>
    <w:rsid w:val="001D3787"/>
    <w:rsid w:val="001D47E5"/>
    <w:rsid w:val="001D584C"/>
    <w:rsid w:val="001D5E1B"/>
    <w:rsid w:val="001D66C1"/>
    <w:rsid w:val="001D6EF6"/>
    <w:rsid w:val="001D7C6F"/>
    <w:rsid w:val="001E0024"/>
    <w:rsid w:val="001E0C65"/>
    <w:rsid w:val="001E23E3"/>
    <w:rsid w:val="001E29AF"/>
    <w:rsid w:val="001E387A"/>
    <w:rsid w:val="001E3DA4"/>
    <w:rsid w:val="001E5469"/>
    <w:rsid w:val="001E5830"/>
    <w:rsid w:val="001E684C"/>
    <w:rsid w:val="001E701C"/>
    <w:rsid w:val="001E7552"/>
    <w:rsid w:val="001E7C03"/>
    <w:rsid w:val="001F02AF"/>
    <w:rsid w:val="001F0649"/>
    <w:rsid w:val="001F28F4"/>
    <w:rsid w:val="001F2902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294A"/>
    <w:rsid w:val="00203074"/>
    <w:rsid w:val="0020340C"/>
    <w:rsid w:val="00203B09"/>
    <w:rsid w:val="00203B46"/>
    <w:rsid w:val="00203FCB"/>
    <w:rsid w:val="002048E1"/>
    <w:rsid w:val="002070AB"/>
    <w:rsid w:val="00207DB6"/>
    <w:rsid w:val="00210278"/>
    <w:rsid w:val="00210CC2"/>
    <w:rsid w:val="00210F5B"/>
    <w:rsid w:val="00210FFA"/>
    <w:rsid w:val="00211262"/>
    <w:rsid w:val="0021139C"/>
    <w:rsid w:val="002115F5"/>
    <w:rsid w:val="00211AC9"/>
    <w:rsid w:val="0021329E"/>
    <w:rsid w:val="0021355B"/>
    <w:rsid w:val="00215061"/>
    <w:rsid w:val="0021507A"/>
    <w:rsid w:val="0021552C"/>
    <w:rsid w:val="00215A2C"/>
    <w:rsid w:val="00217980"/>
    <w:rsid w:val="002179F9"/>
    <w:rsid w:val="002205F2"/>
    <w:rsid w:val="0022080E"/>
    <w:rsid w:val="00220895"/>
    <w:rsid w:val="00220B20"/>
    <w:rsid w:val="0022139E"/>
    <w:rsid w:val="0022272B"/>
    <w:rsid w:val="00222A99"/>
    <w:rsid w:val="00223678"/>
    <w:rsid w:val="002236F7"/>
    <w:rsid w:val="00223E00"/>
    <w:rsid w:val="002252E0"/>
    <w:rsid w:val="002255F6"/>
    <w:rsid w:val="00225F36"/>
    <w:rsid w:val="00226466"/>
    <w:rsid w:val="002266D0"/>
    <w:rsid w:val="00226887"/>
    <w:rsid w:val="00227991"/>
    <w:rsid w:val="00230DAD"/>
    <w:rsid w:val="0023229C"/>
    <w:rsid w:val="0023301B"/>
    <w:rsid w:val="002334DF"/>
    <w:rsid w:val="0023355C"/>
    <w:rsid w:val="00234280"/>
    <w:rsid w:val="00234DD5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609"/>
    <w:rsid w:val="00252FDC"/>
    <w:rsid w:val="002532E2"/>
    <w:rsid w:val="00253E11"/>
    <w:rsid w:val="00254069"/>
    <w:rsid w:val="00254B3B"/>
    <w:rsid w:val="00254C4B"/>
    <w:rsid w:val="002550D8"/>
    <w:rsid w:val="00257613"/>
    <w:rsid w:val="00261A0F"/>
    <w:rsid w:val="00261E5B"/>
    <w:rsid w:val="00262EB9"/>
    <w:rsid w:val="00262F34"/>
    <w:rsid w:val="002633E5"/>
    <w:rsid w:val="00263470"/>
    <w:rsid w:val="00263733"/>
    <w:rsid w:val="00264676"/>
    <w:rsid w:val="00264A46"/>
    <w:rsid w:val="00265536"/>
    <w:rsid w:val="00265E54"/>
    <w:rsid w:val="00266F3E"/>
    <w:rsid w:val="00270785"/>
    <w:rsid w:val="00272464"/>
    <w:rsid w:val="00272B0B"/>
    <w:rsid w:val="00272CC5"/>
    <w:rsid w:val="00273C60"/>
    <w:rsid w:val="00273DCD"/>
    <w:rsid w:val="00274291"/>
    <w:rsid w:val="00276C09"/>
    <w:rsid w:val="00276CFE"/>
    <w:rsid w:val="00277071"/>
    <w:rsid w:val="0027786C"/>
    <w:rsid w:val="00277BF7"/>
    <w:rsid w:val="00281416"/>
    <w:rsid w:val="00282084"/>
    <w:rsid w:val="00283C61"/>
    <w:rsid w:val="00284C6F"/>
    <w:rsid w:val="00285CD3"/>
    <w:rsid w:val="0028633E"/>
    <w:rsid w:val="0028686A"/>
    <w:rsid w:val="00286E66"/>
    <w:rsid w:val="002870B7"/>
    <w:rsid w:val="002919B5"/>
    <w:rsid w:val="00293441"/>
    <w:rsid w:val="00293553"/>
    <w:rsid w:val="00294238"/>
    <w:rsid w:val="00294776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3B9"/>
    <w:rsid w:val="002A6821"/>
    <w:rsid w:val="002A74D2"/>
    <w:rsid w:val="002A7CDA"/>
    <w:rsid w:val="002A7F47"/>
    <w:rsid w:val="002B1544"/>
    <w:rsid w:val="002B1DC1"/>
    <w:rsid w:val="002B36C8"/>
    <w:rsid w:val="002B385B"/>
    <w:rsid w:val="002B6B7A"/>
    <w:rsid w:val="002B71B4"/>
    <w:rsid w:val="002B7240"/>
    <w:rsid w:val="002B7937"/>
    <w:rsid w:val="002C0FF4"/>
    <w:rsid w:val="002C125A"/>
    <w:rsid w:val="002C2668"/>
    <w:rsid w:val="002C43BD"/>
    <w:rsid w:val="002C493D"/>
    <w:rsid w:val="002C5261"/>
    <w:rsid w:val="002C6091"/>
    <w:rsid w:val="002C63C1"/>
    <w:rsid w:val="002D0562"/>
    <w:rsid w:val="002D1B5A"/>
    <w:rsid w:val="002D2500"/>
    <w:rsid w:val="002D338A"/>
    <w:rsid w:val="002D3E4C"/>
    <w:rsid w:val="002D3F00"/>
    <w:rsid w:val="002D4D59"/>
    <w:rsid w:val="002D54BF"/>
    <w:rsid w:val="002D5C3D"/>
    <w:rsid w:val="002D5E94"/>
    <w:rsid w:val="002D632D"/>
    <w:rsid w:val="002D6B01"/>
    <w:rsid w:val="002D6B11"/>
    <w:rsid w:val="002D6FC7"/>
    <w:rsid w:val="002D7EF4"/>
    <w:rsid w:val="002E02A1"/>
    <w:rsid w:val="002E0982"/>
    <w:rsid w:val="002E0DB9"/>
    <w:rsid w:val="002E2CE4"/>
    <w:rsid w:val="002E34F3"/>
    <w:rsid w:val="002E4217"/>
    <w:rsid w:val="002E435E"/>
    <w:rsid w:val="002E73F2"/>
    <w:rsid w:val="002F149A"/>
    <w:rsid w:val="002F33FB"/>
    <w:rsid w:val="002F663A"/>
    <w:rsid w:val="002F68A4"/>
    <w:rsid w:val="002F7594"/>
    <w:rsid w:val="002F7902"/>
    <w:rsid w:val="003003E7"/>
    <w:rsid w:val="00300D6F"/>
    <w:rsid w:val="00301357"/>
    <w:rsid w:val="0030192C"/>
    <w:rsid w:val="00301D04"/>
    <w:rsid w:val="003035D4"/>
    <w:rsid w:val="00303A3C"/>
    <w:rsid w:val="00303DCB"/>
    <w:rsid w:val="00304771"/>
    <w:rsid w:val="00304E6C"/>
    <w:rsid w:val="00305736"/>
    <w:rsid w:val="00305C33"/>
    <w:rsid w:val="00306C5B"/>
    <w:rsid w:val="00306E3B"/>
    <w:rsid w:val="0030768C"/>
    <w:rsid w:val="00310ADB"/>
    <w:rsid w:val="003119B6"/>
    <w:rsid w:val="00312C3D"/>
    <w:rsid w:val="00314331"/>
    <w:rsid w:val="00317E31"/>
    <w:rsid w:val="00320214"/>
    <w:rsid w:val="003209D6"/>
    <w:rsid w:val="00320B3F"/>
    <w:rsid w:val="0032109A"/>
    <w:rsid w:val="0032214F"/>
    <w:rsid w:val="00322164"/>
    <w:rsid w:val="00323CF7"/>
    <w:rsid w:val="00323E61"/>
    <w:rsid w:val="0032513D"/>
    <w:rsid w:val="00326251"/>
    <w:rsid w:val="0032739C"/>
    <w:rsid w:val="003276D1"/>
    <w:rsid w:val="00327DEE"/>
    <w:rsid w:val="003302DA"/>
    <w:rsid w:val="00330EB0"/>
    <w:rsid w:val="00331574"/>
    <w:rsid w:val="0033229B"/>
    <w:rsid w:val="003329F3"/>
    <w:rsid w:val="00333134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482"/>
    <w:rsid w:val="00352E57"/>
    <w:rsid w:val="003541B0"/>
    <w:rsid w:val="0035457E"/>
    <w:rsid w:val="00355885"/>
    <w:rsid w:val="00355CAA"/>
    <w:rsid w:val="0035605E"/>
    <w:rsid w:val="00356244"/>
    <w:rsid w:val="00357449"/>
    <w:rsid w:val="00357A0D"/>
    <w:rsid w:val="00357C28"/>
    <w:rsid w:val="00361F76"/>
    <w:rsid w:val="0036238B"/>
    <w:rsid w:val="00362408"/>
    <w:rsid w:val="003630B0"/>
    <w:rsid w:val="00364087"/>
    <w:rsid w:val="003649FC"/>
    <w:rsid w:val="003651A4"/>
    <w:rsid w:val="00365680"/>
    <w:rsid w:val="003657F3"/>
    <w:rsid w:val="00366D4D"/>
    <w:rsid w:val="00366F77"/>
    <w:rsid w:val="00367038"/>
    <w:rsid w:val="003670FE"/>
    <w:rsid w:val="0036710C"/>
    <w:rsid w:val="00367D56"/>
    <w:rsid w:val="00370963"/>
    <w:rsid w:val="0037144E"/>
    <w:rsid w:val="00372272"/>
    <w:rsid w:val="0037290D"/>
    <w:rsid w:val="003736B5"/>
    <w:rsid w:val="00374F1E"/>
    <w:rsid w:val="003750CF"/>
    <w:rsid w:val="003769F0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7A2"/>
    <w:rsid w:val="00385D98"/>
    <w:rsid w:val="00385EC5"/>
    <w:rsid w:val="0038658E"/>
    <w:rsid w:val="003875C2"/>
    <w:rsid w:val="0039066E"/>
    <w:rsid w:val="00391C95"/>
    <w:rsid w:val="00392110"/>
    <w:rsid w:val="00393D74"/>
    <w:rsid w:val="003948D7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982"/>
    <w:rsid w:val="003A3B1C"/>
    <w:rsid w:val="003A4088"/>
    <w:rsid w:val="003A478C"/>
    <w:rsid w:val="003A4F82"/>
    <w:rsid w:val="003A5525"/>
    <w:rsid w:val="003A6B38"/>
    <w:rsid w:val="003B1DB0"/>
    <w:rsid w:val="003B2142"/>
    <w:rsid w:val="003B2580"/>
    <w:rsid w:val="003B293F"/>
    <w:rsid w:val="003B2E63"/>
    <w:rsid w:val="003B3189"/>
    <w:rsid w:val="003B3A9D"/>
    <w:rsid w:val="003B3DDD"/>
    <w:rsid w:val="003B462D"/>
    <w:rsid w:val="003B5031"/>
    <w:rsid w:val="003B5A32"/>
    <w:rsid w:val="003B6105"/>
    <w:rsid w:val="003C03CC"/>
    <w:rsid w:val="003C04C4"/>
    <w:rsid w:val="003C08E2"/>
    <w:rsid w:val="003C0B96"/>
    <w:rsid w:val="003C26F4"/>
    <w:rsid w:val="003C3686"/>
    <w:rsid w:val="003C3E2C"/>
    <w:rsid w:val="003C4852"/>
    <w:rsid w:val="003C5BC7"/>
    <w:rsid w:val="003C601E"/>
    <w:rsid w:val="003C66C4"/>
    <w:rsid w:val="003C6DB9"/>
    <w:rsid w:val="003D2393"/>
    <w:rsid w:val="003D2C4E"/>
    <w:rsid w:val="003D3600"/>
    <w:rsid w:val="003D3825"/>
    <w:rsid w:val="003D3EC4"/>
    <w:rsid w:val="003D44E2"/>
    <w:rsid w:val="003D4760"/>
    <w:rsid w:val="003D49DC"/>
    <w:rsid w:val="003D4DD9"/>
    <w:rsid w:val="003D4FB5"/>
    <w:rsid w:val="003D59BE"/>
    <w:rsid w:val="003D5D7A"/>
    <w:rsid w:val="003D5E4B"/>
    <w:rsid w:val="003D653F"/>
    <w:rsid w:val="003D6B55"/>
    <w:rsid w:val="003E0663"/>
    <w:rsid w:val="003E133F"/>
    <w:rsid w:val="003E49F6"/>
    <w:rsid w:val="003E699C"/>
    <w:rsid w:val="003E69F3"/>
    <w:rsid w:val="003E782E"/>
    <w:rsid w:val="003E7A0B"/>
    <w:rsid w:val="003E7B2B"/>
    <w:rsid w:val="003F0293"/>
    <w:rsid w:val="003F116D"/>
    <w:rsid w:val="003F181F"/>
    <w:rsid w:val="003F1A48"/>
    <w:rsid w:val="003F1E23"/>
    <w:rsid w:val="003F22F6"/>
    <w:rsid w:val="003F2B0A"/>
    <w:rsid w:val="003F313C"/>
    <w:rsid w:val="003F32AB"/>
    <w:rsid w:val="003F341B"/>
    <w:rsid w:val="003F37FC"/>
    <w:rsid w:val="003F39B4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0BBD"/>
    <w:rsid w:val="00401716"/>
    <w:rsid w:val="004018F7"/>
    <w:rsid w:val="00401A09"/>
    <w:rsid w:val="0040273A"/>
    <w:rsid w:val="00402C25"/>
    <w:rsid w:val="004036FB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329F"/>
    <w:rsid w:val="00414CE5"/>
    <w:rsid w:val="00416673"/>
    <w:rsid w:val="0042160D"/>
    <w:rsid w:val="00423A3C"/>
    <w:rsid w:val="00423C04"/>
    <w:rsid w:val="00424D9B"/>
    <w:rsid w:val="0042681B"/>
    <w:rsid w:val="00427193"/>
    <w:rsid w:val="0043068A"/>
    <w:rsid w:val="004306E0"/>
    <w:rsid w:val="00431D54"/>
    <w:rsid w:val="00431F98"/>
    <w:rsid w:val="004329BE"/>
    <w:rsid w:val="00432C38"/>
    <w:rsid w:val="004342EC"/>
    <w:rsid w:val="00434D5A"/>
    <w:rsid w:val="00437C76"/>
    <w:rsid w:val="00437F4A"/>
    <w:rsid w:val="0044105C"/>
    <w:rsid w:val="00442197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267"/>
    <w:rsid w:val="00447E36"/>
    <w:rsid w:val="00450700"/>
    <w:rsid w:val="00450C30"/>
    <w:rsid w:val="004529C7"/>
    <w:rsid w:val="004540FF"/>
    <w:rsid w:val="004541F1"/>
    <w:rsid w:val="00455BB8"/>
    <w:rsid w:val="00455ECA"/>
    <w:rsid w:val="00457296"/>
    <w:rsid w:val="00457320"/>
    <w:rsid w:val="00460164"/>
    <w:rsid w:val="0046039A"/>
    <w:rsid w:val="00460A6B"/>
    <w:rsid w:val="00461977"/>
    <w:rsid w:val="00461A3F"/>
    <w:rsid w:val="00461C4C"/>
    <w:rsid w:val="004620C7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0EA"/>
    <w:rsid w:val="0046765E"/>
    <w:rsid w:val="004676E2"/>
    <w:rsid w:val="00471EDD"/>
    <w:rsid w:val="004739AC"/>
    <w:rsid w:val="00473E94"/>
    <w:rsid w:val="0047400C"/>
    <w:rsid w:val="00474471"/>
    <w:rsid w:val="004745D9"/>
    <w:rsid w:val="00474B94"/>
    <w:rsid w:val="004761D2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127"/>
    <w:rsid w:val="004879E9"/>
    <w:rsid w:val="00487E32"/>
    <w:rsid w:val="00487F81"/>
    <w:rsid w:val="00490082"/>
    <w:rsid w:val="00490247"/>
    <w:rsid w:val="00490B20"/>
    <w:rsid w:val="0049104F"/>
    <w:rsid w:val="00491218"/>
    <w:rsid w:val="00491CFD"/>
    <w:rsid w:val="00492991"/>
    <w:rsid w:val="00493362"/>
    <w:rsid w:val="00494343"/>
    <w:rsid w:val="00494AAB"/>
    <w:rsid w:val="00496C2F"/>
    <w:rsid w:val="0049740D"/>
    <w:rsid w:val="004978D3"/>
    <w:rsid w:val="004A06A6"/>
    <w:rsid w:val="004A11F8"/>
    <w:rsid w:val="004A22BD"/>
    <w:rsid w:val="004A22FA"/>
    <w:rsid w:val="004A25E2"/>
    <w:rsid w:val="004A269A"/>
    <w:rsid w:val="004A26AF"/>
    <w:rsid w:val="004A26DB"/>
    <w:rsid w:val="004A30FB"/>
    <w:rsid w:val="004A35DD"/>
    <w:rsid w:val="004A37D3"/>
    <w:rsid w:val="004A3AD6"/>
    <w:rsid w:val="004A3BCE"/>
    <w:rsid w:val="004A4760"/>
    <w:rsid w:val="004A5865"/>
    <w:rsid w:val="004A6717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243"/>
    <w:rsid w:val="004C0BBB"/>
    <w:rsid w:val="004C1AD6"/>
    <w:rsid w:val="004C1B86"/>
    <w:rsid w:val="004C1DEE"/>
    <w:rsid w:val="004C3382"/>
    <w:rsid w:val="004C3867"/>
    <w:rsid w:val="004C4AB7"/>
    <w:rsid w:val="004C4B88"/>
    <w:rsid w:val="004C4CD0"/>
    <w:rsid w:val="004C5111"/>
    <w:rsid w:val="004C57B5"/>
    <w:rsid w:val="004C5C25"/>
    <w:rsid w:val="004C6717"/>
    <w:rsid w:val="004C6CFF"/>
    <w:rsid w:val="004C7065"/>
    <w:rsid w:val="004C70DC"/>
    <w:rsid w:val="004C7268"/>
    <w:rsid w:val="004C7C50"/>
    <w:rsid w:val="004D0211"/>
    <w:rsid w:val="004D1C9C"/>
    <w:rsid w:val="004D2A0E"/>
    <w:rsid w:val="004D458D"/>
    <w:rsid w:val="004D4F13"/>
    <w:rsid w:val="004D504B"/>
    <w:rsid w:val="004D536E"/>
    <w:rsid w:val="004D58CE"/>
    <w:rsid w:val="004D70B1"/>
    <w:rsid w:val="004D76CC"/>
    <w:rsid w:val="004E1415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1D62"/>
    <w:rsid w:val="004F2A4D"/>
    <w:rsid w:val="004F2A73"/>
    <w:rsid w:val="004F33A0"/>
    <w:rsid w:val="004F353A"/>
    <w:rsid w:val="004F4353"/>
    <w:rsid w:val="004F447D"/>
    <w:rsid w:val="004F4C28"/>
    <w:rsid w:val="004F4E82"/>
    <w:rsid w:val="004F5470"/>
    <w:rsid w:val="004F5CC5"/>
    <w:rsid w:val="004F6350"/>
    <w:rsid w:val="004F7170"/>
    <w:rsid w:val="00500ADA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2603"/>
    <w:rsid w:val="00512CC5"/>
    <w:rsid w:val="0051367B"/>
    <w:rsid w:val="00513A89"/>
    <w:rsid w:val="00513B7E"/>
    <w:rsid w:val="005140DE"/>
    <w:rsid w:val="00514474"/>
    <w:rsid w:val="005147E9"/>
    <w:rsid w:val="0051507D"/>
    <w:rsid w:val="0051593C"/>
    <w:rsid w:val="00517567"/>
    <w:rsid w:val="0051778E"/>
    <w:rsid w:val="005215EF"/>
    <w:rsid w:val="0052207A"/>
    <w:rsid w:val="00524637"/>
    <w:rsid w:val="00524FDD"/>
    <w:rsid w:val="00525137"/>
    <w:rsid w:val="005251DD"/>
    <w:rsid w:val="00526DB6"/>
    <w:rsid w:val="0053017A"/>
    <w:rsid w:val="00530492"/>
    <w:rsid w:val="005308E4"/>
    <w:rsid w:val="005325A8"/>
    <w:rsid w:val="00532854"/>
    <w:rsid w:val="00532E85"/>
    <w:rsid w:val="005350F2"/>
    <w:rsid w:val="00535152"/>
    <w:rsid w:val="00535359"/>
    <w:rsid w:val="005357A2"/>
    <w:rsid w:val="005359E3"/>
    <w:rsid w:val="00535D87"/>
    <w:rsid w:val="00535EF0"/>
    <w:rsid w:val="00535F78"/>
    <w:rsid w:val="005363DF"/>
    <w:rsid w:val="0053734B"/>
    <w:rsid w:val="005375B1"/>
    <w:rsid w:val="00537AFD"/>
    <w:rsid w:val="00537CB4"/>
    <w:rsid w:val="00540CB3"/>
    <w:rsid w:val="00540D25"/>
    <w:rsid w:val="00541822"/>
    <w:rsid w:val="00542D19"/>
    <w:rsid w:val="0054516B"/>
    <w:rsid w:val="0054559E"/>
    <w:rsid w:val="005459BD"/>
    <w:rsid w:val="00546833"/>
    <w:rsid w:val="0054787A"/>
    <w:rsid w:val="005513D5"/>
    <w:rsid w:val="005523B9"/>
    <w:rsid w:val="00553C88"/>
    <w:rsid w:val="005544FC"/>
    <w:rsid w:val="005545E0"/>
    <w:rsid w:val="00554865"/>
    <w:rsid w:val="00554E57"/>
    <w:rsid w:val="00557E6A"/>
    <w:rsid w:val="00562749"/>
    <w:rsid w:val="00562DE9"/>
    <w:rsid w:val="005638A5"/>
    <w:rsid w:val="00564137"/>
    <w:rsid w:val="00566381"/>
    <w:rsid w:val="00566A03"/>
    <w:rsid w:val="00571932"/>
    <w:rsid w:val="005723B7"/>
    <w:rsid w:val="00573C97"/>
    <w:rsid w:val="00574240"/>
    <w:rsid w:val="0057454C"/>
    <w:rsid w:val="005752EB"/>
    <w:rsid w:val="005755FE"/>
    <w:rsid w:val="00575CDC"/>
    <w:rsid w:val="005765D5"/>
    <w:rsid w:val="00576A3E"/>
    <w:rsid w:val="0057703D"/>
    <w:rsid w:val="00581892"/>
    <w:rsid w:val="0058366F"/>
    <w:rsid w:val="00583D5B"/>
    <w:rsid w:val="00583FFD"/>
    <w:rsid w:val="00587CCD"/>
    <w:rsid w:val="005908AE"/>
    <w:rsid w:val="00590CDE"/>
    <w:rsid w:val="0059176E"/>
    <w:rsid w:val="00592854"/>
    <w:rsid w:val="00593152"/>
    <w:rsid w:val="005931BF"/>
    <w:rsid w:val="005934CE"/>
    <w:rsid w:val="00593CA3"/>
    <w:rsid w:val="00594161"/>
    <w:rsid w:val="00594969"/>
    <w:rsid w:val="00594B91"/>
    <w:rsid w:val="00595035"/>
    <w:rsid w:val="00595C7C"/>
    <w:rsid w:val="00596C5E"/>
    <w:rsid w:val="005A2194"/>
    <w:rsid w:val="005A21E0"/>
    <w:rsid w:val="005A3210"/>
    <w:rsid w:val="005A33A1"/>
    <w:rsid w:val="005A3687"/>
    <w:rsid w:val="005A54EE"/>
    <w:rsid w:val="005A563B"/>
    <w:rsid w:val="005A5F82"/>
    <w:rsid w:val="005A61D1"/>
    <w:rsid w:val="005A6E85"/>
    <w:rsid w:val="005A7500"/>
    <w:rsid w:val="005A77E4"/>
    <w:rsid w:val="005A77F6"/>
    <w:rsid w:val="005B0262"/>
    <w:rsid w:val="005B0B8F"/>
    <w:rsid w:val="005B1907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31D"/>
    <w:rsid w:val="005C3F9F"/>
    <w:rsid w:val="005C406F"/>
    <w:rsid w:val="005C40BA"/>
    <w:rsid w:val="005C419C"/>
    <w:rsid w:val="005C4A23"/>
    <w:rsid w:val="005C562C"/>
    <w:rsid w:val="005C5812"/>
    <w:rsid w:val="005C6400"/>
    <w:rsid w:val="005C7F1E"/>
    <w:rsid w:val="005D073B"/>
    <w:rsid w:val="005D2450"/>
    <w:rsid w:val="005D25B4"/>
    <w:rsid w:val="005D374F"/>
    <w:rsid w:val="005D5802"/>
    <w:rsid w:val="005D6CFC"/>
    <w:rsid w:val="005D6D2E"/>
    <w:rsid w:val="005D73E2"/>
    <w:rsid w:val="005D757A"/>
    <w:rsid w:val="005D7C4B"/>
    <w:rsid w:val="005E0DBC"/>
    <w:rsid w:val="005E1871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3F04"/>
    <w:rsid w:val="005F4057"/>
    <w:rsid w:val="005F4088"/>
    <w:rsid w:val="005F42F4"/>
    <w:rsid w:val="005F4C83"/>
    <w:rsid w:val="005F5628"/>
    <w:rsid w:val="005F5916"/>
    <w:rsid w:val="005F601D"/>
    <w:rsid w:val="005F6119"/>
    <w:rsid w:val="005F7940"/>
    <w:rsid w:val="00600712"/>
    <w:rsid w:val="0060091A"/>
    <w:rsid w:val="0060107A"/>
    <w:rsid w:val="00601120"/>
    <w:rsid w:val="00601AFF"/>
    <w:rsid w:val="00602A2B"/>
    <w:rsid w:val="00602D1D"/>
    <w:rsid w:val="00604307"/>
    <w:rsid w:val="0060487F"/>
    <w:rsid w:val="00605814"/>
    <w:rsid w:val="00606B93"/>
    <w:rsid w:val="00607727"/>
    <w:rsid w:val="00607934"/>
    <w:rsid w:val="00610BD5"/>
    <w:rsid w:val="00611363"/>
    <w:rsid w:val="00611531"/>
    <w:rsid w:val="006118AA"/>
    <w:rsid w:val="00611C28"/>
    <w:rsid w:val="00611EB7"/>
    <w:rsid w:val="00612E84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260B8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5E8"/>
    <w:rsid w:val="00636E5E"/>
    <w:rsid w:val="006379E0"/>
    <w:rsid w:val="00637D0E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46448"/>
    <w:rsid w:val="006467D0"/>
    <w:rsid w:val="006504A0"/>
    <w:rsid w:val="00650784"/>
    <w:rsid w:val="006520C7"/>
    <w:rsid w:val="006520D5"/>
    <w:rsid w:val="00652179"/>
    <w:rsid w:val="00652CBB"/>
    <w:rsid w:val="006530B8"/>
    <w:rsid w:val="006535D6"/>
    <w:rsid w:val="00654093"/>
    <w:rsid w:val="00656716"/>
    <w:rsid w:val="006572ED"/>
    <w:rsid w:val="00657E87"/>
    <w:rsid w:val="0066026B"/>
    <w:rsid w:val="00660457"/>
    <w:rsid w:val="00660CB4"/>
    <w:rsid w:val="00660E1E"/>
    <w:rsid w:val="006637B1"/>
    <w:rsid w:val="00663CFD"/>
    <w:rsid w:val="006647AD"/>
    <w:rsid w:val="00664B64"/>
    <w:rsid w:val="00665691"/>
    <w:rsid w:val="00665D67"/>
    <w:rsid w:val="00665D77"/>
    <w:rsid w:val="006660CD"/>
    <w:rsid w:val="00666883"/>
    <w:rsid w:val="00666B1D"/>
    <w:rsid w:val="00666EC8"/>
    <w:rsid w:val="00666F4B"/>
    <w:rsid w:val="006676D0"/>
    <w:rsid w:val="0066796E"/>
    <w:rsid w:val="00670FAC"/>
    <w:rsid w:val="006710C9"/>
    <w:rsid w:val="006716A5"/>
    <w:rsid w:val="006717CC"/>
    <w:rsid w:val="006743E8"/>
    <w:rsid w:val="00675E37"/>
    <w:rsid w:val="00675F0F"/>
    <w:rsid w:val="006764ED"/>
    <w:rsid w:val="00676AFC"/>
    <w:rsid w:val="00676F11"/>
    <w:rsid w:val="00680079"/>
    <w:rsid w:val="006801D6"/>
    <w:rsid w:val="00680ECC"/>
    <w:rsid w:val="00680F68"/>
    <w:rsid w:val="0068260E"/>
    <w:rsid w:val="0068373D"/>
    <w:rsid w:val="00683BFE"/>
    <w:rsid w:val="00683EAB"/>
    <w:rsid w:val="0068437D"/>
    <w:rsid w:val="006847C5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3FB"/>
    <w:rsid w:val="00696AA5"/>
    <w:rsid w:val="006977F6"/>
    <w:rsid w:val="0069789D"/>
    <w:rsid w:val="00697A13"/>
    <w:rsid w:val="006A109C"/>
    <w:rsid w:val="006A18AE"/>
    <w:rsid w:val="006A2EE8"/>
    <w:rsid w:val="006A3CF3"/>
    <w:rsid w:val="006A568F"/>
    <w:rsid w:val="006A65EF"/>
    <w:rsid w:val="006A672B"/>
    <w:rsid w:val="006B1781"/>
    <w:rsid w:val="006B23A9"/>
    <w:rsid w:val="006B23D8"/>
    <w:rsid w:val="006B281D"/>
    <w:rsid w:val="006B3F8A"/>
    <w:rsid w:val="006B59D7"/>
    <w:rsid w:val="006B5CA3"/>
    <w:rsid w:val="006B6B3B"/>
    <w:rsid w:val="006B7248"/>
    <w:rsid w:val="006B7714"/>
    <w:rsid w:val="006B78D8"/>
    <w:rsid w:val="006B7CCE"/>
    <w:rsid w:val="006C090F"/>
    <w:rsid w:val="006C0935"/>
    <w:rsid w:val="006C0BCE"/>
    <w:rsid w:val="006C113F"/>
    <w:rsid w:val="006C2AED"/>
    <w:rsid w:val="006C38DD"/>
    <w:rsid w:val="006C3DC1"/>
    <w:rsid w:val="006C457F"/>
    <w:rsid w:val="006C53C7"/>
    <w:rsid w:val="006C5577"/>
    <w:rsid w:val="006C559A"/>
    <w:rsid w:val="006C586D"/>
    <w:rsid w:val="006C58FA"/>
    <w:rsid w:val="006C6197"/>
    <w:rsid w:val="006D004F"/>
    <w:rsid w:val="006D042D"/>
    <w:rsid w:val="006D06EF"/>
    <w:rsid w:val="006D142E"/>
    <w:rsid w:val="006D164C"/>
    <w:rsid w:val="006D29A8"/>
    <w:rsid w:val="006D3B87"/>
    <w:rsid w:val="006D4497"/>
    <w:rsid w:val="006D4E6F"/>
    <w:rsid w:val="006D5681"/>
    <w:rsid w:val="006D61F6"/>
    <w:rsid w:val="006D710C"/>
    <w:rsid w:val="006E0EB0"/>
    <w:rsid w:val="006E182C"/>
    <w:rsid w:val="006E1F4C"/>
    <w:rsid w:val="006E22C8"/>
    <w:rsid w:val="006E279A"/>
    <w:rsid w:val="006E2C28"/>
    <w:rsid w:val="006E2F3F"/>
    <w:rsid w:val="006E313B"/>
    <w:rsid w:val="006E442A"/>
    <w:rsid w:val="006E4434"/>
    <w:rsid w:val="006E4A1B"/>
    <w:rsid w:val="006E59FC"/>
    <w:rsid w:val="006E5CFD"/>
    <w:rsid w:val="006E7E2C"/>
    <w:rsid w:val="006F1326"/>
    <w:rsid w:val="006F2280"/>
    <w:rsid w:val="006F2BEE"/>
    <w:rsid w:val="006F3708"/>
    <w:rsid w:val="006F376C"/>
    <w:rsid w:val="006F3A90"/>
    <w:rsid w:val="006F3E6B"/>
    <w:rsid w:val="006F4619"/>
    <w:rsid w:val="006F4A59"/>
    <w:rsid w:val="006F65A8"/>
    <w:rsid w:val="006F6968"/>
    <w:rsid w:val="00700232"/>
    <w:rsid w:val="00701382"/>
    <w:rsid w:val="007014C7"/>
    <w:rsid w:val="00702100"/>
    <w:rsid w:val="00702D6F"/>
    <w:rsid w:val="007031C6"/>
    <w:rsid w:val="00703B6C"/>
    <w:rsid w:val="00703C6B"/>
    <w:rsid w:val="007047D5"/>
    <w:rsid w:val="00705D98"/>
    <w:rsid w:val="00707891"/>
    <w:rsid w:val="00707D43"/>
    <w:rsid w:val="00710F7C"/>
    <w:rsid w:val="00711EF1"/>
    <w:rsid w:val="0071229A"/>
    <w:rsid w:val="00712572"/>
    <w:rsid w:val="00713495"/>
    <w:rsid w:val="00713EEB"/>
    <w:rsid w:val="007142C1"/>
    <w:rsid w:val="00715487"/>
    <w:rsid w:val="007159D2"/>
    <w:rsid w:val="00716DCC"/>
    <w:rsid w:val="00717726"/>
    <w:rsid w:val="0072050E"/>
    <w:rsid w:val="00720958"/>
    <w:rsid w:val="00720FA2"/>
    <w:rsid w:val="007211F5"/>
    <w:rsid w:val="00723581"/>
    <w:rsid w:val="007240C5"/>
    <w:rsid w:val="00724666"/>
    <w:rsid w:val="00724E80"/>
    <w:rsid w:val="00725055"/>
    <w:rsid w:val="00725492"/>
    <w:rsid w:val="007256B7"/>
    <w:rsid w:val="00726043"/>
    <w:rsid w:val="0072704A"/>
    <w:rsid w:val="007279B9"/>
    <w:rsid w:val="00730AE8"/>
    <w:rsid w:val="00731189"/>
    <w:rsid w:val="007315DA"/>
    <w:rsid w:val="00731963"/>
    <w:rsid w:val="00732706"/>
    <w:rsid w:val="0073325D"/>
    <w:rsid w:val="00734321"/>
    <w:rsid w:val="00734597"/>
    <w:rsid w:val="00735044"/>
    <w:rsid w:val="0073532E"/>
    <w:rsid w:val="00735B01"/>
    <w:rsid w:val="007367F6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5F3C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D3A"/>
    <w:rsid w:val="00755EA0"/>
    <w:rsid w:val="00760141"/>
    <w:rsid w:val="007609C6"/>
    <w:rsid w:val="007610A0"/>
    <w:rsid w:val="00762036"/>
    <w:rsid w:val="007620F2"/>
    <w:rsid w:val="00762EBA"/>
    <w:rsid w:val="0076359D"/>
    <w:rsid w:val="00763A13"/>
    <w:rsid w:val="00763D86"/>
    <w:rsid w:val="0077058D"/>
    <w:rsid w:val="00770931"/>
    <w:rsid w:val="00772536"/>
    <w:rsid w:val="00773613"/>
    <w:rsid w:val="0077430F"/>
    <w:rsid w:val="00774782"/>
    <w:rsid w:val="00776476"/>
    <w:rsid w:val="00776527"/>
    <w:rsid w:val="00777DB1"/>
    <w:rsid w:val="0078050E"/>
    <w:rsid w:val="007805E1"/>
    <w:rsid w:val="00780DDF"/>
    <w:rsid w:val="0078113E"/>
    <w:rsid w:val="007813E4"/>
    <w:rsid w:val="00781834"/>
    <w:rsid w:val="007821DB"/>
    <w:rsid w:val="00782818"/>
    <w:rsid w:val="007838F1"/>
    <w:rsid w:val="007841BB"/>
    <w:rsid w:val="00784C4A"/>
    <w:rsid w:val="00787432"/>
    <w:rsid w:val="00787507"/>
    <w:rsid w:val="0078778C"/>
    <w:rsid w:val="007879F2"/>
    <w:rsid w:val="00790393"/>
    <w:rsid w:val="00791804"/>
    <w:rsid w:val="0079197F"/>
    <w:rsid w:val="00791CF8"/>
    <w:rsid w:val="00791EF9"/>
    <w:rsid w:val="00792262"/>
    <w:rsid w:val="00793387"/>
    <w:rsid w:val="00793BAE"/>
    <w:rsid w:val="007941C3"/>
    <w:rsid w:val="00794870"/>
    <w:rsid w:val="00794E0A"/>
    <w:rsid w:val="00795B04"/>
    <w:rsid w:val="00796642"/>
    <w:rsid w:val="007A11D9"/>
    <w:rsid w:val="007A18F5"/>
    <w:rsid w:val="007A327B"/>
    <w:rsid w:val="007A4048"/>
    <w:rsid w:val="007A45B1"/>
    <w:rsid w:val="007A4606"/>
    <w:rsid w:val="007A4D58"/>
    <w:rsid w:val="007A5039"/>
    <w:rsid w:val="007B04E8"/>
    <w:rsid w:val="007B0D67"/>
    <w:rsid w:val="007B0F90"/>
    <w:rsid w:val="007B1966"/>
    <w:rsid w:val="007B2257"/>
    <w:rsid w:val="007B22E6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C7BAC"/>
    <w:rsid w:val="007C7CC5"/>
    <w:rsid w:val="007D2A5A"/>
    <w:rsid w:val="007D2AD8"/>
    <w:rsid w:val="007D2C47"/>
    <w:rsid w:val="007D2C61"/>
    <w:rsid w:val="007D2DA3"/>
    <w:rsid w:val="007D2F81"/>
    <w:rsid w:val="007D3167"/>
    <w:rsid w:val="007D341F"/>
    <w:rsid w:val="007D3CF7"/>
    <w:rsid w:val="007D4128"/>
    <w:rsid w:val="007D4281"/>
    <w:rsid w:val="007D42F5"/>
    <w:rsid w:val="007D44C3"/>
    <w:rsid w:val="007D5947"/>
    <w:rsid w:val="007D65C1"/>
    <w:rsid w:val="007D66E3"/>
    <w:rsid w:val="007D7CAF"/>
    <w:rsid w:val="007E030F"/>
    <w:rsid w:val="007E0D49"/>
    <w:rsid w:val="007E0E59"/>
    <w:rsid w:val="007E0F4B"/>
    <w:rsid w:val="007E12C1"/>
    <w:rsid w:val="007E1EF7"/>
    <w:rsid w:val="007E3715"/>
    <w:rsid w:val="007E5880"/>
    <w:rsid w:val="007E5F3D"/>
    <w:rsid w:val="007E6588"/>
    <w:rsid w:val="007E6A5B"/>
    <w:rsid w:val="007E7063"/>
    <w:rsid w:val="007E7E61"/>
    <w:rsid w:val="007F0316"/>
    <w:rsid w:val="007F0845"/>
    <w:rsid w:val="007F0DF6"/>
    <w:rsid w:val="007F1092"/>
    <w:rsid w:val="007F16F9"/>
    <w:rsid w:val="007F2801"/>
    <w:rsid w:val="007F3E3E"/>
    <w:rsid w:val="007F42E0"/>
    <w:rsid w:val="007F500D"/>
    <w:rsid w:val="007F5F14"/>
    <w:rsid w:val="007F7B54"/>
    <w:rsid w:val="007F7C60"/>
    <w:rsid w:val="00800073"/>
    <w:rsid w:val="008005D7"/>
    <w:rsid w:val="008013CB"/>
    <w:rsid w:val="00801FDD"/>
    <w:rsid w:val="008020C2"/>
    <w:rsid w:val="0080255C"/>
    <w:rsid w:val="008054FB"/>
    <w:rsid w:val="00806088"/>
    <w:rsid w:val="00806D07"/>
    <w:rsid w:val="0081019B"/>
    <w:rsid w:val="0081187C"/>
    <w:rsid w:val="00811E24"/>
    <w:rsid w:val="008120C5"/>
    <w:rsid w:val="00812386"/>
    <w:rsid w:val="00812E2B"/>
    <w:rsid w:val="00813A70"/>
    <w:rsid w:val="00813CB4"/>
    <w:rsid w:val="00813DB0"/>
    <w:rsid w:val="00813FE6"/>
    <w:rsid w:val="00814965"/>
    <w:rsid w:val="00815B82"/>
    <w:rsid w:val="00815C6E"/>
    <w:rsid w:val="00815DD0"/>
    <w:rsid w:val="00815F10"/>
    <w:rsid w:val="0081645F"/>
    <w:rsid w:val="00816A28"/>
    <w:rsid w:val="008174A3"/>
    <w:rsid w:val="00817755"/>
    <w:rsid w:val="008178C2"/>
    <w:rsid w:val="008178CF"/>
    <w:rsid w:val="00817ADB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4C3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44BE"/>
    <w:rsid w:val="00845AB1"/>
    <w:rsid w:val="00846673"/>
    <w:rsid w:val="008508A9"/>
    <w:rsid w:val="0085188D"/>
    <w:rsid w:val="008518D8"/>
    <w:rsid w:val="008525F9"/>
    <w:rsid w:val="0085281A"/>
    <w:rsid w:val="00853C0F"/>
    <w:rsid w:val="00853F33"/>
    <w:rsid w:val="008548EA"/>
    <w:rsid w:val="008549C5"/>
    <w:rsid w:val="008550EA"/>
    <w:rsid w:val="008559FE"/>
    <w:rsid w:val="0085686D"/>
    <w:rsid w:val="00857339"/>
    <w:rsid w:val="00860706"/>
    <w:rsid w:val="00862A7A"/>
    <w:rsid w:val="00862FBD"/>
    <w:rsid w:val="00863104"/>
    <w:rsid w:val="008636CD"/>
    <w:rsid w:val="00863702"/>
    <w:rsid w:val="00863D9E"/>
    <w:rsid w:val="00863FDC"/>
    <w:rsid w:val="008642AF"/>
    <w:rsid w:val="00865286"/>
    <w:rsid w:val="00865729"/>
    <w:rsid w:val="00865EA8"/>
    <w:rsid w:val="00865ED4"/>
    <w:rsid w:val="008669A7"/>
    <w:rsid w:val="00867464"/>
    <w:rsid w:val="00867D15"/>
    <w:rsid w:val="00867E29"/>
    <w:rsid w:val="00870F2B"/>
    <w:rsid w:val="00873B2E"/>
    <w:rsid w:val="00874097"/>
    <w:rsid w:val="008746E6"/>
    <w:rsid w:val="0087515D"/>
    <w:rsid w:val="00875740"/>
    <w:rsid w:val="0087594C"/>
    <w:rsid w:val="00876058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0F23"/>
    <w:rsid w:val="00883A67"/>
    <w:rsid w:val="00883D45"/>
    <w:rsid w:val="00884D69"/>
    <w:rsid w:val="0088503D"/>
    <w:rsid w:val="00885EC6"/>
    <w:rsid w:val="008869D2"/>
    <w:rsid w:val="00886A8F"/>
    <w:rsid w:val="0088733A"/>
    <w:rsid w:val="008901CC"/>
    <w:rsid w:val="0089061C"/>
    <w:rsid w:val="00891BE0"/>
    <w:rsid w:val="00893302"/>
    <w:rsid w:val="00893648"/>
    <w:rsid w:val="00893D83"/>
    <w:rsid w:val="00893F0C"/>
    <w:rsid w:val="00893F3C"/>
    <w:rsid w:val="008945A1"/>
    <w:rsid w:val="00894A63"/>
    <w:rsid w:val="00894F71"/>
    <w:rsid w:val="00895A54"/>
    <w:rsid w:val="00896776"/>
    <w:rsid w:val="00896916"/>
    <w:rsid w:val="00896BDE"/>
    <w:rsid w:val="0089763E"/>
    <w:rsid w:val="008A03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6F21"/>
    <w:rsid w:val="008A73DA"/>
    <w:rsid w:val="008B00C2"/>
    <w:rsid w:val="008B04A0"/>
    <w:rsid w:val="008B05E8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8A5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0632"/>
    <w:rsid w:val="008D0E3B"/>
    <w:rsid w:val="008D13EA"/>
    <w:rsid w:val="008D2671"/>
    <w:rsid w:val="008D2A16"/>
    <w:rsid w:val="008D2ECF"/>
    <w:rsid w:val="008D347D"/>
    <w:rsid w:val="008D3F3D"/>
    <w:rsid w:val="008D4376"/>
    <w:rsid w:val="008E0367"/>
    <w:rsid w:val="008E2DCD"/>
    <w:rsid w:val="008E308D"/>
    <w:rsid w:val="008E31FF"/>
    <w:rsid w:val="008E3B0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1638"/>
    <w:rsid w:val="008F2097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2FAC"/>
    <w:rsid w:val="00903E06"/>
    <w:rsid w:val="009045D1"/>
    <w:rsid w:val="00904B9D"/>
    <w:rsid w:val="00905A11"/>
    <w:rsid w:val="00905FE8"/>
    <w:rsid w:val="009066E1"/>
    <w:rsid w:val="00906F67"/>
    <w:rsid w:val="00907A41"/>
    <w:rsid w:val="009102BD"/>
    <w:rsid w:val="00910F93"/>
    <w:rsid w:val="00910FBC"/>
    <w:rsid w:val="00911E3B"/>
    <w:rsid w:val="0091255A"/>
    <w:rsid w:val="00914426"/>
    <w:rsid w:val="0091675F"/>
    <w:rsid w:val="00917709"/>
    <w:rsid w:val="00917918"/>
    <w:rsid w:val="00920874"/>
    <w:rsid w:val="00921F14"/>
    <w:rsid w:val="009227C6"/>
    <w:rsid w:val="00923750"/>
    <w:rsid w:val="009243A5"/>
    <w:rsid w:val="0092500F"/>
    <w:rsid w:val="009250D2"/>
    <w:rsid w:val="0092519D"/>
    <w:rsid w:val="0092540B"/>
    <w:rsid w:val="009256C5"/>
    <w:rsid w:val="00925A21"/>
    <w:rsid w:val="00926283"/>
    <w:rsid w:val="00927B6E"/>
    <w:rsid w:val="009306BE"/>
    <w:rsid w:val="0093161F"/>
    <w:rsid w:val="00934836"/>
    <w:rsid w:val="00934963"/>
    <w:rsid w:val="00936ECA"/>
    <w:rsid w:val="00937AF4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AE9"/>
    <w:rsid w:val="009700DB"/>
    <w:rsid w:val="00971DC6"/>
    <w:rsid w:val="00972263"/>
    <w:rsid w:val="00972502"/>
    <w:rsid w:val="00972D8D"/>
    <w:rsid w:val="00973AAE"/>
    <w:rsid w:val="009742F7"/>
    <w:rsid w:val="0097476C"/>
    <w:rsid w:val="00974923"/>
    <w:rsid w:val="00974D48"/>
    <w:rsid w:val="00974D5F"/>
    <w:rsid w:val="00975017"/>
    <w:rsid w:val="009759DF"/>
    <w:rsid w:val="009777B3"/>
    <w:rsid w:val="00977A4D"/>
    <w:rsid w:val="00980373"/>
    <w:rsid w:val="00980392"/>
    <w:rsid w:val="00980621"/>
    <w:rsid w:val="0098095B"/>
    <w:rsid w:val="00982072"/>
    <w:rsid w:val="009829F1"/>
    <w:rsid w:val="009833FA"/>
    <w:rsid w:val="00983DBB"/>
    <w:rsid w:val="00983ECF"/>
    <w:rsid w:val="00985157"/>
    <w:rsid w:val="00986745"/>
    <w:rsid w:val="009867BC"/>
    <w:rsid w:val="00987109"/>
    <w:rsid w:val="00987309"/>
    <w:rsid w:val="00987351"/>
    <w:rsid w:val="0099012D"/>
    <w:rsid w:val="00990363"/>
    <w:rsid w:val="00991266"/>
    <w:rsid w:val="009928AE"/>
    <w:rsid w:val="00993BE6"/>
    <w:rsid w:val="00993D9C"/>
    <w:rsid w:val="00993F56"/>
    <w:rsid w:val="0099483E"/>
    <w:rsid w:val="009954FF"/>
    <w:rsid w:val="0099571E"/>
    <w:rsid w:val="00995E2F"/>
    <w:rsid w:val="009961BC"/>
    <w:rsid w:val="00996355"/>
    <w:rsid w:val="0099788F"/>
    <w:rsid w:val="00997ADD"/>
    <w:rsid w:val="009A05A2"/>
    <w:rsid w:val="009A1374"/>
    <w:rsid w:val="009A13FA"/>
    <w:rsid w:val="009A2014"/>
    <w:rsid w:val="009A2030"/>
    <w:rsid w:val="009A3A87"/>
    <w:rsid w:val="009A4E12"/>
    <w:rsid w:val="009A5C68"/>
    <w:rsid w:val="009A5DE2"/>
    <w:rsid w:val="009A6EF7"/>
    <w:rsid w:val="009B04D0"/>
    <w:rsid w:val="009B052C"/>
    <w:rsid w:val="009B0975"/>
    <w:rsid w:val="009B0EF2"/>
    <w:rsid w:val="009B23A3"/>
    <w:rsid w:val="009B25CE"/>
    <w:rsid w:val="009B2C0E"/>
    <w:rsid w:val="009B4925"/>
    <w:rsid w:val="009B4B4B"/>
    <w:rsid w:val="009B4CE3"/>
    <w:rsid w:val="009B6FD3"/>
    <w:rsid w:val="009B70BD"/>
    <w:rsid w:val="009C07A5"/>
    <w:rsid w:val="009C24A3"/>
    <w:rsid w:val="009C3705"/>
    <w:rsid w:val="009C5003"/>
    <w:rsid w:val="009C6215"/>
    <w:rsid w:val="009C7388"/>
    <w:rsid w:val="009C74C2"/>
    <w:rsid w:val="009D0CFF"/>
    <w:rsid w:val="009D1551"/>
    <w:rsid w:val="009D182E"/>
    <w:rsid w:val="009D2859"/>
    <w:rsid w:val="009D36EC"/>
    <w:rsid w:val="009D3CD0"/>
    <w:rsid w:val="009D4173"/>
    <w:rsid w:val="009D51CA"/>
    <w:rsid w:val="009D6095"/>
    <w:rsid w:val="009D6306"/>
    <w:rsid w:val="009D6727"/>
    <w:rsid w:val="009E048A"/>
    <w:rsid w:val="009E1124"/>
    <w:rsid w:val="009E14F2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172C"/>
    <w:rsid w:val="00A05B91"/>
    <w:rsid w:val="00A06788"/>
    <w:rsid w:val="00A10D66"/>
    <w:rsid w:val="00A12BA8"/>
    <w:rsid w:val="00A133F2"/>
    <w:rsid w:val="00A13993"/>
    <w:rsid w:val="00A1420C"/>
    <w:rsid w:val="00A1456C"/>
    <w:rsid w:val="00A14821"/>
    <w:rsid w:val="00A14BA8"/>
    <w:rsid w:val="00A14C9D"/>
    <w:rsid w:val="00A17754"/>
    <w:rsid w:val="00A2055B"/>
    <w:rsid w:val="00A20E22"/>
    <w:rsid w:val="00A219FE"/>
    <w:rsid w:val="00A2253C"/>
    <w:rsid w:val="00A23545"/>
    <w:rsid w:val="00A23A55"/>
    <w:rsid w:val="00A23E43"/>
    <w:rsid w:val="00A23EF0"/>
    <w:rsid w:val="00A24472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55F2"/>
    <w:rsid w:val="00A35CB2"/>
    <w:rsid w:val="00A36226"/>
    <w:rsid w:val="00A378F8"/>
    <w:rsid w:val="00A40965"/>
    <w:rsid w:val="00A40B19"/>
    <w:rsid w:val="00A40F56"/>
    <w:rsid w:val="00A41D07"/>
    <w:rsid w:val="00A424F8"/>
    <w:rsid w:val="00A42883"/>
    <w:rsid w:val="00A437B7"/>
    <w:rsid w:val="00A43EA2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430D"/>
    <w:rsid w:val="00A55301"/>
    <w:rsid w:val="00A572FB"/>
    <w:rsid w:val="00A57502"/>
    <w:rsid w:val="00A57B3C"/>
    <w:rsid w:val="00A57F1B"/>
    <w:rsid w:val="00A600D2"/>
    <w:rsid w:val="00A6128E"/>
    <w:rsid w:val="00A62CE1"/>
    <w:rsid w:val="00A631FA"/>
    <w:rsid w:val="00A64203"/>
    <w:rsid w:val="00A64348"/>
    <w:rsid w:val="00A644E1"/>
    <w:rsid w:val="00A66784"/>
    <w:rsid w:val="00A6766C"/>
    <w:rsid w:val="00A70765"/>
    <w:rsid w:val="00A711B0"/>
    <w:rsid w:val="00A71279"/>
    <w:rsid w:val="00A721FB"/>
    <w:rsid w:val="00A727BA"/>
    <w:rsid w:val="00A72D4B"/>
    <w:rsid w:val="00A732AE"/>
    <w:rsid w:val="00A74192"/>
    <w:rsid w:val="00A750EB"/>
    <w:rsid w:val="00A75837"/>
    <w:rsid w:val="00A75E40"/>
    <w:rsid w:val="00A76B12"/>
    <w:rsid w:val="00A76EF2"/>
    <w:rsid w:val="00A7727E"/>
    <w:rsid w:val="00A77EB2"/>
    <w:rsid w:val="00A81094"/>
    <w:rsid w:val="00A82B66"/>
    <w:rsid w:val="00A82C52"/>
    <w:rsid w:val="00A83B58"/>
    <w:rsid w:val="00A84D7D"/>
    <w:rsid w:val="00A84FAF"/>
    <w:rsid w:val="00A851B6"/>
    <w:rsid w:val="00A85729"/>
    <w:rsid w:val="00A8574B"/>
    <w:rsid w:val="00A857C0"/>
    <w:rsid w:val="00A85F5E"/>
    <w:rsid w:val="00A90343"/>
    <w:rsid w:val="00A91336"/>
    <w:rsid w:val="00A9221C"/>
    <w:rsid w:val="00A92277"/>
    <w:rsid w:val="00A92916"/>
    <w:rsid w:val="00A929D1"/>
    <w:rsid w:val="00A94628"/>
    <w:rsid w:val="00A94954"/>
    <w:rsid w:val="00A9497A"/>
    <w:rsid w:val="00A949A6"/>
    <w:rsid w:val="00A96241"/>
    <w:rsid w:val="00A96463"/>
    <w:rsid w:val="00A97E3F"/>
    <w:rsid w:val="00AA09D3"/>
    <w:rsid w:val="00AA1356"/>
    <w:rsid w:val="00AA220F"/>
    <w:rsid w:val="00AA23FB"/>
    <w:rsid w:val="00AA34FE"/>
    <w:rsid w:val="00AA42AB"/>
    <w:rsid w:val="00AA4A76"/>
    <w:rsid w:val="00AA559A"/>
    <w:rsid w:val="00AA57A4"/>
    <w:rsid w:val="00AA5F10"/>
    <w:rsid w:val="00AB0BB9"/>
    <w:rsid w:val="00AB104D"/>
    <w:rsid w:val="00AB1441"/>
    <w:rsid w:val="00AB1653"/>
    <w:rsid w:val="00AB2AF1"/>
    <w:rsid w:val="00AB440B"/>
    <w:rsid w:val="00AB47E3"/>
    <w:rsid w:val="00AB4D2A"/>
    <w:rsid w:val="00AB4E33"/>
    <w:rsid w:val="00AB74C5"/>
    <w:rsid w:val="00AB75A7"/>
    <w:rsid w:val="00AB7BEE"/>
    <w:rsid w:val="00AB7DF2"/>
    <w:rsid w:val="00AC1E3F"/>
    <w:rsid w:val="00AC219A"/>
    <w:rsid w:val="00AC3D02"/>
    <w:rsid w:val="00AC4F18"/>
    <w:rsid w:val="00AC69CA"/>
    <w:rsid w:val="00AD0B46"/>
    <w:rsid w:val="00AD1094"/>
    <w:rsid w:val="00AD2565"/>
    <w:rsid w:val="00AD2862"/>
    <w:rsid w:val="00AD306C"/>
    <w:rsid w:val="00AD3424"/>
    <w:rsid w:val="00AD3E3F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481D"/>
    <w:rsid w:val="00AE608F"/>
    <w:rsid w:val="00AE6734"/>
    <w:rsid w:val="00AE7968"/>
    <w:rsid w:val="00AE7B2B"/>
    <w:rsid w:val="00AE7DFF"/>
    <w:rsid w:val="00AF128B"/>
    <w:rsid w:val="00AF1AEA"/>
    <w:rsid w:val="00AF2536"/>
    <w:rsid w:val="00AF2852"/>
    <w:rsid w:val="00AF3225"/>
    <w:rsid w:val="00AF4983"/>
    <w:rsid w:val="00AF4CA7"/>
    <w:rsid w:val="00AF518B"/>
    <w:rsid w:val="00AF5275"/>
    <w:rsid w:val="00AF5D62"/>
    <w:rsid w:val="00AF6367"/>
    <w:rsid w:val="00AF6A79"/>
    <w:rsid w:val="00AF6B7C"/>
    <w:rsid w:val="00AF724E"/>
    <w:rsid w:val="00AF73A9"/>
    <w:rsid w:val="00B01436"/>
    <w:rsid w:val="00B01C2C"/>
    <w:rsid w:val="00B0231C"/>
    <w:rsid w:val="00B03F5F"/>
    <w:rsid w:val="00B06EE1"/>
    <w:rsid w:val="00B07372"/>
    <w:rsid w:val="00B07C2A"/>
    <w:rsid w:val="00B10100"/>
    <w:rsid w:val="00B128E5"/>
    <w:rsid w:val="00B13681"/>
    <w:rsid w:val="00B13BCE"/>
    <w:rsid w:val="00B15DCD"/>
    <w:rsid w:val="00B16201"/>
    <w:rsid w:val="00B17E71"/>
    <w:rsid w:val="00B17FDE"/>
    <w:rsid w:val="00B208FC"/>
    <w:rsid w:val="00B20C65"/>
    <w:rsid w:val="00B22E17"/>
    <w:rsid w:val="00B25567"/>
    <w:rsid w:val="00B25E31"/>
    <w:rsid w:val="00B266C5"/>
    <w:rsid w:val="00B27293"/>
    <w:rsid w:val="00B300E8"/>
    <w:rsid w:val="00B301BB"/>
    <w:rsid w:val="00B30737"/>
    <w:rsid w:val="00B321E3"/>
    <w:rsid w:val="00B3229E"/>
    <w:rsid w:val="00B32DDB"/>
    <w:rsid w:val="00B3447A"/>
    <w:rsid w:val="00B3448C"/>
    <w:rsid w:val="00B34931"/>
    <w:rsid w:val="00B35174"/>
    <w:rsid w:val="00B35BEA"/>
    <w:rsid w:val="00B365CB"/>
    <w:rsid w:val="00B37915"/>
    <w:rsid w:val="00B3793D"/>
    <w:rsid w:val="00B41BE6"/>
    <w:rsid w:val="00B42831"/>
    <w:rsid w:val="00B428A4"/>
    <w:rsid w:val="00B428EA"/>
    <w:rsid w:val="00B457E7"/>
    <w:rsid w:val="00B45D1B"/>
    <w:rsid w:val="00B45DE5"/>
    <w:rsid w:val="00B46D25"/>
    <w:rsid w:val="00B47430"/>
    <w:rsid w:val="00B47AC6"/>
    <w:rsid w:val="00B52D2D"/>
    <w:rsid w:val="00B534EF"/>
    <w:rsid w:val="00B548DA"/>
    <w:rsid w:val="00B55BA8"/>
    <w:rsid w:val="00B55F15"/>
    <w:rsid w:val="00B561A6"/>
    <w:rsid w:val="00B57CC4"/>
    <w:rsid w:val="00B60062"/>
    <w:rsid w:val="00B6206C"/>
    <w:rsid w:val="00B62960"/>
    <w:rsid w:val="00B63A11"/>
    <w:rsid w:val="00B63FD0"/>
    <w:rsid w:val="00B6493D"/>
    <w:rsid w:val="00B6553E"/>
    <w:rsid w:val="00B65C84"/>
    <w:rsid w:val="00B6608F"/>
    <w:rsid w:val="00B67E42"/>
    <w:rsid w:val="00B73180"/>
    <w:rsid w:val="00B74317"/>
    <w:rsid w:val="00B75700"/>
    <w:rsid w:val="00B760C1"/>
    <w:rsid w:val="00B76D1E"/>
    <w:rsid w:val="00B77BC8"/>
    <w:rsid w:val="00B77FB7"/>
    <w:rsid w:val="00B800EB"/>
    <w:rsid w:val="00B822D2"/>
    <w:rsid w:val="00B823F1"/>
    <w:rsid w:val="00B831B4"/>
    <w:rsid w:val="00B83D46"/>
    <w:rsid w:val="00B848B8"/>
    <w:rsid w:val="00B84A41"/>
    <w:rsid w:val="00B84D57"/>
    <w:rsid w:val="00B8504B"/>
    <w:rsid w:val="00B853C2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9755C"/>
    <w:rsid w:val="00B979A0"/>
    <w:rsid w:val="00BA094F"/>
    <w:rsid w:val="00BA0DED"/>
    <w:rsid w:val="00BA0F99"/>
    <w:rsid w:val="00BA28FD"/>
    <w:rsid w:val="00BA6D2C"/>
    <w:rsid w:val="00BB0274"/>
    <w:rsid w:val="00BB0B13"/>
    <w:rsid w:val="00BB1CFD"/>
    <w:rsid w:val="00BB2C53"/>
    <w:rsid w:val="00BB32DA"/>
    <w:rsid w:val="00BB3A54"/>
    <w:rsid w:val="00BB4286"/>
    <w:rsid w:val="00BB462A"/>
    <w:rsid w:val="00BB4D26"/>
    <w:rsid w:val="00BB4E21"/>
    <w:rsid w:val="00BB62F2"/>
    <w:rsid w:val="00BB6F86"/>
    <w:rsid w:val="00BB7746"/>
    <w:rsid w:val="00BC22EB"/>
    <w:rsid w:val="00BC682B"/>
    <w:rsid w:val="00BC68BA"/>
    <w:rsid w:val="00BC6B04"/>
    <w:rsid w:val="00BC6D27"/>
    <w:rsid w:val="00BD059A"/>
    <w:rsid w:val="00BD0CBB"/>
    <w:rsid w:val="00BD186B"/>
    <w:rsid w:val="00BD1EAC"/>
    <w:rsid w:val="00BD254C"/>
    <w:rsid w:val="00BD3428"/>
    <w:rsid w:val="00BD366B"/>
    <w:rsid w:val="00BD3F01"/>
    <w:rsid w:val="00BD5217"/>
    <w:rsid w:val="00BD5298"/>
    <w:rsid w:val="00BD534C"/>
    <w:rsid w:val="00BD557B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BF7F08"/>
    <w:rsid w:val="00BF7F28"/>
    <w:rsid w:val="00C00831"/>
    <w:rsid w:val="00C00F20"/>
    <w:rsid w:val="00C01354"/>
    <w:rsid w:val="00C01700"/>
    <w:rsid w:val="00C01B84"/>
    <w:rsid w:val="00C034E6"/>
    <w:rsid w:val="00C05715"/>
    <w:rsid w:val="00C05926"/>
    <w:rsid w:val="00C06B8B"/>
    <w:rsid w:val="00C0784A"/>
    <w:rsid w:val="00C10B28"/>
    <w:rsid w:val="00C10D62"/>
    <w:rsid w:val="00C10FAE"/>
    <w:rsid w:val="00C1135D"/>
    <w:rsid w:val="00C11DAF"/>
    <w:rsid w:val="00C123B4"/>
    <w:rsid w:val="00C12A69"/>
    <w:rsid w:val="00C13150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20027"/>
    <w:rsid w:val="00C2038A"/>
    <w:rsid w:val="00C205BF"/>
    <w:rsid w:val="00C20744"/>
    <w:rsid w:val="00C20B1C"/>
    <w:rsid w:val="00C20C4D"/>
    <w:rsid w:val="00C21D46"/>
    <w:rsid w:val="00C21F94"/>
    <w:rsid w:val="00C222A1"/>
    <w:rsid w:val="00C22C59"/>
    <w:rsid w:val="00C23371"/>
    <w:rsid w:val="00C23CBD"/>
    <w:rsid w:val="00C23D22"/>
    <w:rsid w:val="00C2463B"/>
    <w:rsid w:val="00C24E77"/>
    <w:rsid w:val="00C2732D"/>
    <w:rsid w:val="00C273C6"/>
    <w:rsid w:val="00C27913"/>
    <w:rsid w:val="00C3004E"/>
    <w:rsid w:val="00C300C6"/>
    <w:rsid w:val="00C30828"/>
    <w:rsid w:val="00C30924"/>
    <w:rsid w:val="00C31DD8"/>
    <w:rsid w:val="00C3271C"/>
    <w:rsid w:val="00C32A35"/>
    <w:rsid w:val="00C34AEA"/>
    <w:rsid w:val="00C34FDE"/>
    <w:rsid w:val="00C35C16"/>
    <w:rsid w:val="00C36EC3"/>
    <w:rsid w:val="00C408BB"/>
    <w:rsid w:val="00C40E09"/>
    <w:rsid w:val="00C40F81"/>
    <w:rsid w:val="00C41463"/>
    <w:rsid w:val="00C41A06"/>
    <w:rsid w:val="00C41A72"/>
    <w:rsid w:val="00C42D45"/>
    <w:rsid w:val="00C43CB1"/>
    <w:rsid w:val="00C4422D"/>
    <w:rsid w:val="00C45380"/>
    <w:rsid w:val="00C466D1"/>
    <w:rsid w:val="00C476C5"/>
    <w:rsid w:val="00C503B0"/>
    <w:rsid w:val="00C511C2"/>
    <w:rsid w:val="00C527C6"/>
    <w:rsid w:val="00C538FC"/>
    <w:rsid w:val="00C53CDB"/>
    <w:rsid w:val="00C53D82"/>
    <w:rsid w:val="00C54748"/>
    <w:rsid w:val="00C574CF"/>
    <w:rsid w:val="00C575FB"/>
    <w:rsid w:val="00C60696"/>
    <w:rsid w:val="00C60943"/>
    <w:rsid w:val="00C60EEF"/>
    <w:rsid w:val="00C610C5"/>
    <w:rsid w:val="00C6121D"/>
    <w:rsid w:val="00C615F1"/>
    <w:rsid w:val="00C61627"/>
    <w:rsid w:val="00C63B1A"/>
    <w:rsid w:val="00C64E60"/>
    <w:rsid w:val="00C657A4"/>
    <w:rsid w:val="00C66589"/>
    <w:rsid w:val="00C6736C"/>
    <w:rsid w:val="00C7179C"/>
    <w:rsid w:val="00C71A1D"/>
    <w:rsid w:val="00C71EC4"/>
    <w:rsid w:val="00C7410A"/>
    <w:rsid w:val="00C74791"/>
    <w:rsid w:val="00C7591E"/>
    <w:rsid w:val="00C75C7E"/>
    <w:rsid w:val="00C75C9B"/>
    <w:rsid w:val="00C76D8E"/>
    <w:rsid w:val="00C774F6"/>
    <w:rsid w:val="00C77833"/>
    <w:rsid w:val="00C80953"/>
    <w:rsid w:val="00C80C9B"/>
    <w:rsid w:val="00C814FC"/>
    <w:rsid w:val="00C8180B"/>
    <w:rsid w:val="00C8335E"/>
    <w:rsid w:val="00C83F9C"/>
    <w:rsid w:val="00C84CE3"/>
    <w:rsid w:val="00C85614"/>
    <w:rsid w:val="00C86127"/>
    <w:rsid w:val="00C9003C"/>
    <w:rsid w:val="00C90CF4"/>
    <w:rsid w:val="00C91C19"/>
    <w:rsid w:val="00C929A0"/>
    <w:rsid w:val="00C930FB"/>
    <w:rsid w:val="00C93389"/>
    <w:rsid w:val="00C937DB"/>
    <w:rsid w:val="00C94519"/>
    <w:rsid w:val="00C94E11"/>
    <w:rsid w:val="00C94E83"/>
    <w:rsid w:val="00C9567E"/>
    <w:rsid w:val="00C96F2A"/>
    <w:rsid w:val="00C97038"/>
    <w:rsid w:val="00C97D46"/>
    <w:rsid w:val="00CA02B2"/>
    <w:rsid w:val="00CA0883"/>
    <w:rsid w:val="00CA1085"/>
    <w:rsid w:val="00CA140F"/>
    <w:rsid w:val="00CA25C2"/>
    <w:rsid w:val="00CA37BB"/>
    <w:rsid w:val="00CA37CA"/>
    <w:rsid w:val="00CA39E1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2B15"/>
    <w:rsid w:val="00CB2EEA"/>
    <w:rsid w:val="00CB39FE"/>
    <w:rsid w:val="00CB43A7"/>
    <w:rsid w:val="00CB4DF1"/>
    <w:rsid w:val="00CB5852"/>
    <w:rsid w:val="00CB5996"/>
    <w:rsid w:val="00CB6809"/>
    <w:rsid w:val="00CB7452"/>
    <w:rsid w:val="00CC0E10"/>
    <w:rsid w:val="00CC1DAF"/>
    <w:rsid w:val="00CC21A6"/>
    <w:rsid w:val="00CC2642"/>
    <w:rsid w:val="00CC2967"/>
    <w:rsid w:val="00CC2A1E"/>
    <w:rsid w:val="00CC2A36"/>
    <w:rsid w:val="00CC2E15"/>
    <w:rsid w:val="00CC3440"/>
    <w:rsid w:val="00CC351B"/>
    <w:rsid w:val="00CC3908"/>
    <w:rsid w:val="00CC4F3D"/>
    <w:rsid w:val="00CC5BC5"/>
    <w:rsid w:val="00CC62AD"/>
    <w:rsid w:val="00CC6CA2"/>
    <w:rsid w:val="00CC7086"/>
    <w:rsid w:val="00CC7B80"/>
    <w:rsid w:val="00CD0080"/>
    <w:rsid w:val="00CD0779"/>
    <w:rsid w:val="00CD2B3C"/>
    <w:rsid w:val="00CD30F6"/>
    <w:rsid w:val="00CD4B29"/>
    <w:rsid w:val="00CD5493"/>
    <w:rsid w:val="00CD6607"/>
    <w:rsid w:val="00CD67CA"/>
    <w:rsid w:val="00CD6954"/>
    <w:rsid w:val="00CD6DA3"/>
    <w:rsid w:val="00CD6EF1"/>
    <w:rsid w:val="00CD7E35"/>
    <w:rsid w:val="00CE0849"/>
    <w:rsid w:val="00CE21C7"/>
    <w:rsid w:val="00CE2682"/>
    <w:rsid w:val="00CE2756"/>
    <w:rsid w:val="00CE442A"/>
    <w:rsid w:val="00CE44CE"/>
    <w:rsid w:val="00CE4DEB"/>
    <w:rsid w:val="00CE57D8"/>
    <w:rsid w:val="00CE5F03"/>
    <w:rsid w:val="00CE617A"/>
    <w:rsid w:val="00CE65E7"/>
    <w:rsid w:val="00CE6E3C"/>
    <w:rsid w:val="00CE7158"/>
    <w:rsid w:val="00CE797F"/>
    <w:rsid w:val="00CF107E"/>
    <w:rsid w:val="00CF15BF"/>
    <w:rsid w:val="00CF25D2"/>
    <w:rsid w:val="00CF28C2"/>
    <w:rsid w:val="00CF3D3A"/>
    <w:rsid w:val="00CF42BD"/>
    <w:rsid w:val="00CF51EC"/>
    <w:rsid w:val="00CF58ED"/>
    <w:rsid w:val="00CF6A9D"/>
    <w:rsid w:val="00CF6CD7"/>
    <w:rsid w:val="00CF7276"/>
    <w:rsid w:val="00CF75EC"/>
    <w:rsid w:val="00D002DF"/>
    <w:rsid w:val="00D0037A"/>
    <w:rsid w:val="00D0061E"/>
    <w:rsid w:val="00D00DAF"/>
    <w:rsid w:val="00D0103D"/>
    <w:rsid w:val="00D017EC"/>
    <w:rsid w:val="00D01CDA"/>
    <w:rsid w:val="00D020FC"/>
    <w:rsid w:val="00D024A1"/>
    <w:rsid w:val="00D03866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26B7"/>
    <w:rsid w:val="00D24299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4B3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2F9A"/>
    <w:rsid w:val="00D547BA"/>
    <w:rsid w:val="00D55626"/>
    <w:rsid w:val="00D556BC"/>
    <w:rsid w:val="00D5626D"/>
    <w:rsid w:val="00D56631"/>
    <w:rsid w:val="00D577A4"/>
    <w:rsid w:val="00D57E4B"/>
    <w:rsid w:val="00D60277"/>
    <w:rsid w:val="00D60336"/>
    <w:rsid w:val="00D61B06"/>
    <w:rsid w:val="00D61F88"/>
    <w:rsid w:val="00D62688"/>
    <w:rsid w:val="00D62901"/>
    <w:rsid w:val="00D6345E"/>
    <w:rsid w:val="00D64583"/>
    <w:rsid w:val="00D645E4"/>
    <w:rsid w:val="00D6470C"/>
    <w:rsid w:val="00D64853"/>
    <w:rsid w:val="00D64CB5"/>
    <w:rsid w:val="00D66D48"/>
    <w:rsid w:val="00D7162F"/>
    <w:rsid w:val="00D72897"/>
    <w:rsid w:val="00D73256"/>
    <w:rsid w:val="00D73A30"/>
    <w:rsid w:val="00D73E6F"/>
    <w:rsid w:val="00D74ABF"/>
    <w:rsid w:val="00D74C65"/>
    <w:rsid w:val="00D74E97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1906"/>
    <w:rsid w:val="00D81B44"/>
    <w:rsid w:val="00D82462"/>
    <w:rsid w:val="00D831C6"/>
    <w:rsid w:val="00D83EF3"/>
    <w:rsid w:val="00D84BD1"/>
    <w:rsid w:val="00D85773"/>
    <w:rsid w:val="00D85886"/>
    <w:rsid w:val="00D85D55"/>
    <w:rsid w:val="00D868CE"/>
    <w:rsid w:val="00D86DAE"/>
    <w:rsid w:val="00D90116"/>
    <w:rsid w:val="00D90C1E"/>
    <w:rsid w:val="00D91BDF"/>
    <w:rsid w:val="00D91F2C"/>
    <w:rsid w:val="00D9266B"/>
    <w:rsid w:val="00D93F09"/>
    <w:rsid w:val="00D94859"/>
    <w:rsid w:val="00D954C2"/>
    <w:rsid w:val="00D9640A"/>
    <w:rsid w:val="00D97BB8"/>
    <w:rsid w:val="00DA1318"/>
    <w:rsid w:val="00DA1382"/>
    <w:rsid w:val="00DA28B7"/>
    <w:rsid w:val="00DA2FE8"/>
    <w:rsid w:val="00DA4AF6"/>
    <w:rsid w:val="00DA7AB2"/>
    <w:rsid w:val="00DB016E"/>
    <w:rsid w:val="00DB06E9"/>
    <w:rsid w:val="00DB0BF3"/>
    <w:rsid w:val="00DB19BD"/>
    <w:rsid w:val="00DB1D55"/>
    <w:rsid w:val="00DB378E"/>
    <w:rsid w:val="00DB3C0D"/>
    <w:rsid w:val="00DB3E9D"/>
    <w:rsid w:val="00DB47B9"/>
    <w:rsid w:val="00DB4FB8"/>
    <w:rsid w:val="00DB53CE"/>
    <w:rsid w:val="00DB549D"/>
    <w:rsid w:val="00DB5792"/>
    <w:rsid w:val="00DB6A88"/>
    <w:rsid w:val="00DB7BA4"/>
    <w:rsid w:val="00DB7D77"/>
    <w:rsid w:val="00DC08D7"/>
    <w:rsid w:val="00DC226A"/>
    <w:rsid w:val="00DC257F"/>
    <w:rsid w:val="00DC2A9F"/>
    <w:rsid w:val="00DC2FA9"/>
    <w:rsid w:val="00DC350B"/>
    <w:rsid w:val="00DC3790"/>
    <w:rsid w:val="00DC408A"/>
    <w:rsid w:val="00DC436D"/>
    <w:rsid w:val="00DC519B"/>
    <w:rsid w:val="00DC53D9"/>
    <w:rsid w:val="00DC5B3B"/>
    <w:rsid w:val="00DC6796"/>
    <w:rsid w:val="00DC6CC6"/>
    <w:rsid w:val="00DC78DF"/>
    <w:rsid w:val="00DC7D4C"/>
    <w:rsid w:val="00DD0726"/>
    <w:rsid w:val="00DD0821"/>
    <w:rsid w:val="00DD0E32"/>
    <w:rsid w:val="00DD1878"/>
    <w:rsid w:val="00DD1DC1"/>
    <w:rsid w:val="00DD2872"/>
    <w:rsid w:val="00DD2A62"/>
    <w:rsid w:val="00DD2BD0"/>
    <w:rsid w:val="00DD2BFE"/>
    <w:rsid w:val="00DD373E"/>
    <w:rsid w:val="00DD3867"/>
    <w:rsid w:val="00DD57AD"/>
    <w:rsid w:val="00DD7435"/>
    <w:rsid w:val="00DD7C6D"/>
    <w:rsid w:val="00DE009B"/>
    <w:rsid w:val="00DE08F8"/>
    <w:rsid w:val="00DE0C31"/>
    <w:rsid w:val="00DE0E40"/>
    <w:rsid w:val="00DE1460"/>
    <w:rsid w:val="00DE2ED9"/>
    <w:rsid w:val="00DE319A"/>
    <w:rsid w:val="00DE3BE8"/>
    <w:rsid w:val="00DE5403"/>
    <w:rsid w:val="00DF0615"/>
    <w:rsid w:val="00DF0DC3"/>
    <w:rsid w:val="00DF1FDA"/>
    <w:rsid w:val="00DF21FD"/>
    <w:rsid w:val="00DF2873"/>
    <w:rsid w:val="00DF293C"/>
    <w:rsid w:val="00DF34B2"/>
    <w:rsid w:val="00DF42DF"/>
    <w:rsid w:val="00DF4C74"/>
    <w:rsid w:val="00DF5578"/>
    <w:rsid w:val="00DF594F"/>
    <w:rsid w:val="00DF6CF8"/>
    <w:rsid w:val="00DF78DD"/>
    <w:rsid w:val="00DF7FEC"/>
    <w:rsid w:val="00E01B16"/>
    <w:rsid w:val="00E01C0E"/>
    <w:rsid w:val="00E02086"/>
    <w:rsid w:val="00E023BE"/>
    <w:rsid w:val="00E02740"/>
    <w:rsid w:val="00E03B27"/>
    <w:rsid w:val="00E03B58"/>
    <w:rsid w:val="00E04694"/>
    <w:rsid w:val="00E049F6"/>
    <w:rsid w:val="00E04CA9"/>
    <w:rsid w:val="00E05535"/>
    <w:rsid w:val="00E05B2B"/>
    <w:rsid w:val="00E05EAD"/>
    <w:rsid w:val="00E06A2A"/>
    <w:rsid w:val="00E07F05"/>
    <w:rsid w:val="00E106A2"/>
    <w:rsid w:val="00E127E1"/>
    <w:rsid w:val="00E12BCE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3313"/>
    <w:rsid w:val="00E34985"/>
    <w:rsid w:val="00E34E4A"/>
    <w:rsid w:val="00E365B3"/>
    <w:rsid w:val="00E366BB"/>
    <w:rsid w:val="00E372FD"/>
    <w:rsid w:val="00E37C45"/>
    <w:rsid w:val="00E40AAA"/>
    <w:rsid w:val="00E41A59"/>
    <w:rsid w:val="00E42444"/>
    <w:rsid w:val="00E438CF"/>
    <w:rsid w:val="00E43B06"/>
    <w:rsid w:val="00E43C41"/>
    <w:rsid w:val="00E4500E"/>
    <w:rsid w:val="00E450CE"/>
    <w:rsid w:val="00E45703"/>
    <w:rsid w:val="00E45A00"/>
    <w:rsid w:val="00E45CE7"/>
    <w:rsid w:val="00E4631F"/>
    <w:rsid w:val="00E46A4A"/>
    <w:rsid w:val="00E4793B"/>
    <w:rsid w:val="00E47CB8"/>
    <w:rsid w:val="00E522BB"/>
    <w:rsid w:val="00E52A3D"/>
    <w:rsid w:val="00E533B7"/>
    <w:rsid w:val="00E539E4"/>
    <w:rsid w:val="00E53C14"/>
    <w:rsid w:val="00E549C7"/>
    <w:rsid w:val="00E569C7"/>
    <w:rsid w:val="00E571F2"/>
    <w:rsid w:val="00E57429"/>
    <w:rsid w:val="00E60FCE"/>
    <w:rsid w:val="00E61EA8"/>
    <w:rsid w:val="00E62A33"/>
    <w:rsid w:val="00E63221"/>
    <w:rsid w:val="00E63960"/>
    <w:rsid w:val="00E63EC6"/>
    <w:rsid w:val="00E64AE4"/>
    <w:rsid w:val="00E64CFF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6F80"/>
    <w:rsid w:val="00E7724B"/>
    <w:rsid w:val="00E80E31"/>
    <w:rsid w:val="00E81130"/>
    <w:rsid w:val="00E83DAB"/>
    <w:rsid w:val="00E84F21"/>
    <w:rsid w:val="00E8618A"/>
    <w:rsid w:val="00E90A4B"/>
    <w:rsid w:val="00E90D67"/>
    <w:rsid w:val="00E90F73"/>
    <w:rsid w:val="00E910A7"/>
    <w:rsid w:val="00E9159D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1CFB"/>
    <w:rsid w:val="00EA2169"/>
    <w:rsid w:val="00EA3EBE"/>
    <w:rsid w:val="00EA3FAC"/>
    <w:rsid w:val="00EA4153"/>
    <w:rsid w:val="00EA421A"/>
    <w:rsid w:val="00EA5CD6"/>
    <w:rsid w:val="00EA76FD"/>
    <w:rsid w:val="00EA77CA"/>
    <w:rsid w:val="00EA78FE"/>
    <w:rsid w:val="00EB03D4"/>
    <w:rsid w:val="00EB0555"/>
    <w:rsid w:val="00EB20A0"/>
    <w:rsid w:val="00EB29CA"/>
    <w:rsid w:val="00EB2CE9"/>
    <w:rsid w:val="00EB30B6"/>
    <w:rsid w:val="00EB4FA4"/>
    <w:rsid w:val="00EB5146"/>
    <w:rsid w:val="00EB522B"/>
    <w:rsid w:val="00EB55E9"/>
    <w:rsid w:val="00EB5641"/>
    <w:rsid w:val="00EB5BA3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B0B"/>
    <w:rsid w:val="00ED2CA5"/>
    <w:rsid w:val="00ED336F"/>
    <w:rsid w:val="00ED390A"/>
    <w:rsid w:val="00ED3A94"/>
    <w:rsid w:val="00ED40F0"/>
    <w:rsid w:val="00ED4AC0"/>
    <w:rsid w:val="00ED54D6"/>
    <w:rsid w:val="00ED5726"/>
    <w:rsid w:val="00ED7C3C"/>
    <w:rsid w:val="00EE0113"/>
    <w:rsid w:val="00EE0298"/>
    <w:rsid w:val="00EE0384"/>
    <w:rsid w:val="00EE043A"/>
    <w:rsid w:val="00EE0473"/>
    <w:rsid w:val="00EE1057"/>
    <w:rsid w:val="00EE10AA"/>
    <w:rsid w:val="00EE1637"/>
    <w:rsid w:val="00EE354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D92"/>
    <w:rsid w:val="00EF1ED5"/>
    <w:rsid w:val="00EF1F5A"/>
    <w:rsid w:val="00EF3486"/>
    <w:rsid w:val="00EF3CF0"/>
    <w:rsid w:val="00EF4685"/>
    <w:rsid w:val="00EF5397"/>
    <w:rsid w:val="00EF63CC"/>
    <w:rsid w:val="00EF6BE3"/>
    <w:rsid w:val="00F00D0E"/>
    <w:rsid w:val="00F00D3C"/>
    <w:rsid w:val="00F020EA"/>
    <w:rsid w:val="00F02A72"/>
    <w:rsid w:val="00F04811"/>
    <w:rsid w:val="00F0488C"/>
    <w:rsid w:val="00F0496E"/>
    <w:rsid w:val="00F04D10"/>
    <w:rsid w:val="00F053EA"/>
    <w:rsid w:val="00F0625B"/>
    <w:rsid w:val="00F068A8"/>
    <w:rsid w:val="00F06944"/>
    <w:rsid w:val="00F06C6F"/>
    <w:rsid w:val="00F0732D"/>
    <w:rsid w:val="00F101FF"/>
    <w:rsid w:val="00F104DF"/>
    <w:rsid w:val="00F10A33"/>
    <w:rsid w:val="00F10B64"/>
    <w:rsid w:val="00F1186C"/>
    <w:rsid w:val="00F11A6D"/>
    <w:rsid w:val="00F11AD5"/>
    <w:rsid w:val="00F126D0"/>
    <w:rsid w:val="00F12A83"/>
    <w:rsid w:val="00F14ACD"/>
    <w:rsid w:val="00F15309"/>
    <w:rsid w:val="00F15BEF"/>
    <w:rsid w:val="00F15FBB"/>
    <w:rsid w:val="00F160EC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6C"/>
    <w:rsid w:val="00F23FFF"/>
    <w:rsid w:val="00F2441D"/>
    <w:rsid w:val="00F2490D"/>
    <w:rsid w:val="00F24FAA"/>
    <w:rsid w:val="00F25226"/>
    <w:rsid w:val="00F25860"/>
    <w:rsid w:val="00F26197"/>
    <w:rsid w:val="00F273D4"/>
    <w:rsid w:val="00F307DD"/>
    <w:rsid w:val="00F30C2E"/>
    <w:rsid w:val="00F30CB4"/>
    <w:rsid w:val="00F30EBF"/>
    <w:rsid w:val="00F318FC"/>
    <w:rsid w:val="00F31D53"/>
    <w:rsid w:val="00F31F76"/>
    <w:rsid w:val="00F325A3"/>
    <w:rsid w:val="00F3364D"/>
    <w:rsid w:val="00F339D0"/>
    <w:rsid w:val="00F353AE"/>
    <w:rsid w:val="00F358E3"/>
    <w:rsid w:val="00F35ACD"/>
    <w:rsid w:val="00F365BF"/>
    <w:rsid w:val="00F36BF8"/>
    <w:rsid w:val="00F375BA"/>
    <w:rsid w:val="00F37760"/>
    <w:rsid w:val="00F403D1"/>
    <w:rsid w:val="00F4272E"/>
    <w:rsid w:val="00F43921"/>
    <w:rsid w:val="00F44E1B"/>
    <w:rsid w:val="00F4524F"/>
    <w:rsid w:val="00F45530"/>
    <w:rsid w:val="00F4591F"/>
    <w:rsid w:val="00F47321"/>
    <w:rsid w:val="00F4736B"/>
    <w:rsid w:val="00F47804"/>
    <w:rsid w:val="00F47997"/>
    <w:rsid w:val="00F47D05"/>
    <w:rsid w:val="00F50030"/>
    <w:rsid w:val="00F502F5"/>
    <w:rsid w:val="00F50B9D"/>
    <w:rsid w:val="00F51FC9"/>
    <w:rsid w:val="00F529EE"/>
    <w:rsid w:val="00F52AE1"/>
    <w:rsid w:val="00F53243"/>
    <w:rsid w:val="00F541ED"/>
    <w:rsid w:val="00F54B31"/>
    <w:rsid w:val="00F54FD3"/>
    <w:rsid w:val="00F554F9"/>
    <w:rsid w:val="00F55605"/>
    <w:rsid w:val="00F56375"/>
    <w:rsid w:val="00F57CD7"/>
    <w:rsid w:val="00F6080A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6CA8"/>
    <w:rsid w:val="00F67BDA"/>
    <w:rsid w:val="00F70309"/>
    <w:rsid w:val="00F7078A"/>
    <w:rsid w:val="00F70E45"/>
    <w:rsid w:val="00F727D5"/>
    <w:rsid w:val="00F72F44"/>
    <w:rsid w:val="00F73A0C"/>
    <w:rsid w:val="00F7593B"/>
    <w:rsid w:val="00F759DC"/>
    <w:rsid w:val="00F76563"/>
    <w:rsid w:val="00F7717C"/>
    <w:rsid w:val="00F771A5"/>
    <w:rsid w:val="00F80021"/>
    <w:rsid w:val="00F80D1E"/>
    <w:rsid w:val="00F817A4"/>
    <w:rsid w:val="00F81C3A"/>
    <w:rsid w:val="00F83573"/>
    <w:rsid w:val="00F835E1"/>
    <w:rsid w:val="00F835FC"/>
    <w:rsid w:val="00F8373A"/>
    <w:rsid w:val="00F83E21"/>
    <w:rsid w:val="00F83FA4"/>
    <w:rsid w:val="00F8410C"/>
    <w:rsid w:val="00F84E18"/>
    <w:rsid w:val="00F852E5"/>
    <w:rsid w:val="00F853A5"/>
    <w:rsid w:val="00F90350"/>
    <w:rsid w:val="00F91EAF"/>
    <w:rsid w:val="00F9310A"/>
    <w:rsid w:val="00F94681"/>
    <w:rsid w:val="00F95117"/>
    <w:rsid w:val="00F97ED2"/>
    <w:rsid w:val="00FA05D7"/>
    <w:rsid w:val="00FA16BD"/>
    <w:rsid w:val="00FA1992"/>
    <w:rsid w:val="00FA1C6C"/>
    <w:rsid w:val="00FA2447"/>
    <w:rsid w:val="00FA2A4A"/>
    <w:rsid w:val="00FA2BDE"/>
    <w:rsid w:val="00FA2C2A"/>
    <w:rsid w:val="00FA309A"/>
    <w:rsid w:val="00FA6B3F"/>
    <w:rsid w:val="00FA7644"/>
    <w:rsid w:val="00FB0A9A"/>
    <w:rsid w:val="00FB16AD"/>
    <w:rsid w:val="00FB1F21"/>
    <w:rsid w:val="00FB332E"/>
    <w:rsid w:val="00FB3763"/>
    <w:rsid w:val="00FB483B"/>
    <w:rsid w:val="00FB56F1"/>
    <w:rsid w:val="00FB5FD4"/>
    <w:rsid w:val="00FB6398"/>
    <w:rsid w:val="00FB67F3"/>
    <w:rsid w:val="00FB6AF4"/>
    <w:rsid w:val="00FC0D8A"/>
    <w:rsid w:val="00FC0E5F"/>
    <w:rsid w:val="00FC135D"/>
    <w:rsid w:val="00FC26FB"/>
    <w:rsid w:val="00FC2CF4"/>
    <w:rsid w:val="00FC3C84"/>
    <w:rsid w:val="00FC4660"/>
    <w:rsid w:val="00FC56DE"/>
    <w:rsid w:val="00FC5E01"/>
    <w:rsid w:val="00FC6140"/>
    <w:rsid w:val="00FC6DB5"/>
    <w:rsid w:val="00FD1261"/>
    <w:rsid w:val="00FD1627"/>
    <w:rsid w:val="00FD1BBD"/>
    <w:rsid w:val="00FD38B2"/>
    <w:rsid w:val="00FD43A0"/>
    <w:rsid w:val="00FD473D"/>
    <w:rsid w:val="00FD55BA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53AD"/>
    <w:rsid w:val="00FE688F"/>
    <w:rsid w:val="00FE705E"/>
    <w:rsid w:val="00FF02EB"/>
    <w:rsid w:val="00FF288B"/>
    <w:rsid w:val="00FF28E0"/>
    <w:rsid w:val="00FF2FB4"/>
    <w:rsid w:val="00FF30B3"/>
    <w:rsid w:val="00FF3DF3"/>
    <w:rsid w:val="00FF4027"/>
    <w:rsid w:val="00FF45A2"/>
    <w:rsid w:val="00FF55B1"/>
    <w:rsid w:val="00FF65DF"/>
    <w:rsid w:val="00FF761D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  <w:style w:type="paragraph" w:customStyle="1" w:styleId="Default">
    <w:name w:val="Default"/>
    <w:rsid w:val="00424D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5A61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5A61D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1D1"/>
    <w:rPr>
      <w:rFonts w:ascii="Arial" w:hAnsi="Arial"/>
    </w:rPr>
  </w:style>
  <w:style w:type="character" w:customStyle="1" w:styleId="tabulka">
    <w:name w:val="tabulka"/>
    <w:basedOn w:val="Standardnpsmoodstavce"/>
    <w:rsid w:val="001C396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57A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A0D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1459A7"/>
    <w:rPr>
      <w:rFonts w:ascii="Arial" w:hAnsi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1109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24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4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\Desktop\Anal&#253;za\2017Q3\Makroanal&#253;za%20graf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plotArea>
      <c:layout>
        <c:manualLayout>
          <c:layoutTarget val="inner"/>
          <c:xMode val="edge"/>
          <c:yMode val="edge"/>
          <c:x val="6.9865404755441146E-2"/>
          <c:y val="3.3960026067356604E-2"/>
          <c:w val="0.90126857480580858"/>
          <c:h val="0.78310705842620731"/>
        </c:manualLayout>
      </c:layout>
      <c:barChart>
        <c:barDir val="col"/>
        <c:grouping val="stacked"/>
        <c:ser>
          <c:idx val="3"/>
          <c:order val="1"/>
          <c:tx>
            <c:strRef>
              <c:f>'Vnější vztahy 1'!$E$5</c:f>
              <c:strCache>
                <c:ptCount val="1"/>
                <c:pt idx="0">
                  <c:v>Bilance zboží</c:v>
                </c:pt>
              </c:strCache>
            </c:strRef>
          </c:tx>
          <c:spPr>
            <a:solidFill>
              <a:srgbClr val="BD1B21"/>
            </a:solidFill>
            <a:ln>
              <a:noFill/>
            </a:ln>
          </c:spPr>
          <c:val>
            <c:numRef>
              <c:f>'Vnější vztahy 1'!$E$6:$E$15</c:f>
              <c:numCache>
                <c:formatCode>0.0</c:formatCode>
                <c:ptCount val="10"/>
                <c:pt idx="0">
                  <c:v>17.981900000000003</c:v>
                </c:pt>
                <c:pt idx="1">
                  <c:v>52.588300000000011</c:v>
                </c:pt>
                <c:pt idx="2">
                  <c:v>40.957999999999998</c:v>
                </c:pt>
                <c:pt idx="3">
                  <c:v>58.986100000000008</c:v>
                </c:pt>
                <c:pt idx="4">
                  <c:v>105.11489999999999</c:v>
                </c:pt>
                <c:pt idx="5">
                  <c:v>139.71869999999998</c:v>
                </c:pt>
                <c:pt idx="6">
                  <c:v>184.74909999999952</c:v>
                </c:pt>
                <c:pt idx="7">
                  <c:v>153.38430000000054</c:v>
                </c:pt>
                <c:pt idx="8">
                  <c:v>210.76999999999998</c:v>
                </c:pt>
                <c:pt idx="9" formatCode="General">
                  <c:v>206.5052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BE4-4FCA-B0DD-FDC51227F858}"/>
            </c:ext>
          </c:extLst>
        </c:ser>
        <c:ser>
          <c:idx val="4"/>
          <c:order val="2"/>
          <c:tx>
            <c:strRef>
              <c:f>'Vnější vztahy 1'!$F$5</c:f>
              <c:strCache>
                <c:ptCount val="1"/>
                <c:pt idx="0">
                  <c:v>Bilance služeb</c:v>
                </c:pt>
              </c:strCache>
            </c:strRef>
          </c:tx>
          <c:spPr>
            <a:solidFill>
              <a:srgbClr val="E8AFB2"/>
            </a:solidFill>
            <a:ln>
              <a:noFill/>
            </a:ln>
          </c:spPr>
          <c:val>
            <c:numRef>
              <c:f>'Vnější vztahy 1'!$F$6:$F$15</c:f>
              <c:numCache>
                <c:formatCode>0.0</c:formatCode>
                <c:ptCount val="10"/>
                <c:pt idx="0">
                  <c:v>69.416700000000006</c:v>
                </c:pt>
                <c:pt idx="1">
                  <c:v>62.026400000000002</c:v>
                </c:pt>
                <c:pt idx="2">
                  <c:v>61.292300000000218</c:v>
                </c:pt>
                <c:pt idx="3">
                  <c:v>62.852200000000003</c:v>
                </c:pt>
                <c:pt idx="4">
                  <c:v>62.374199999999995</c:v>
                </c:pt>
                <c:pt idx="5">
                  <c:v>54.346299999999999</c:v>
                </c:pt>
                <c:pt idx="6">
                  <c:v>47.687100000000001</c:v>
                </c:pt>
                <c:pt idx="7">
                  <c:v>58.710700000000003</c:v>
                </c:pt>
                <c:pt idx="8">
                  <c:v>76.704700000000017</c:v>
                </c:pt>
                <c:pt idx="9" formatCode="General">
                  <c:v>86.326999999999998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BE4-4FCA-B0DD-FDC51227F858}"/>
            </c:ext>
          </c:extLst>
        </c:ser>
        <c:ser>
          <c:idx val="2"/>
          <c:order val="3"/>
          <c:tx>
            <c:strRef>
              <c:f>'Vnější vztahy 1'!$D$5</c:f>
              <c:strCache>
                <c:ptCount val="1"/>
                <c:pt idx="0">
                  <c:v>Saldo prvotních důchodů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val>
            <c:numRef>
              <c:f>'Vnější vztahy 1'!$D$6:$D$15</c:f>
              <c:numCache>
                <c:formatCode>0.0</c:formatCode>
                <c:ptCount val="10"/>
                <c:pt idx="0">
                  <c:v>-115.45389999999999</c:v>
                </c:pt>
                <c:pt idx="1">
                  <c:v>-173.89430000000004</c:v>
                </c:pt>
                <c:pt idx="2">
                  <c:v>-195.2978</c:v>
                </c:pt>
                <c:pt idx="3">
                  <c:v>-178.68830000000054</c:v>
                </c:pt>
                <c:pt idx="4">
                  <c:v>-163.62909999999999</c:v>
                </c:pt>
                <c:pt idx="5">
                  <c:v>-184.54399999999998</c:v>
                </c:pt>
                <c:pt idx="6">
                  <c:v>-214.01479999999998</c:v>
                </c:pt>
                <c:pt idx="7">
                  <c:v>-225.26520000000002</c:v>
                </c:pt>
                <c:pt idx="8">
                  <c:v>-198.8246</c:v>
                </c:pt>
                <c:pt idx="9" formatCode="General">
                  <c:v>-196.7552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E4-4FCA-B0DD-FDC51227F858}"/>
            </c:ext>
          </c:extLst>
        </c:ser>
        <c:ser>
          <c:idx val="1"/>
          <c:order val="4"/>
          <c:tx>
            <c:strRef>
              <c:f>'Vnější vztahy 1'!$C$5</c:f>
              <c:strCache>
                <c:ptCount val="1"/>
                <c:pt idx="0">
                  <c:v>Saldo druhotných důchodů</c:v>
                </c:pt>
              </c:strCache>
            </c:strRef>
          </c:tx>
          <c:spPr>
            <a:solidFill>
              <a:srgbClr val="0071BC"/>
            </a:solidFill>
            <a:ln>
              <a:noFill/>
            </a:ln>
          </c:spPr>
          <c:val>
            <c:numRef>
              <c:f>'Vnější vztahy 1'!$C$6:$C$15</c:f>
              <c:numCache>
                <c:formatCode>0.0</c:formatCode>
                <c:ptCount val="10"/>
                <c:pt idx="0">
                  <c:v>-7.2573999999999996</c:v>
                </c:pt>
                <c:pt idx="1">
                  <c:v>-13.026900000000001</c:v>
                </c:pt>
                <c:pt idx="2">
                  <c:v>-12.653</c:v>
                </c:pt>
                <c:pt idx="3">
                  <c:v>-14.815500000000037</c:v>
                </c:pt>
                <c:pt idx="4">
                  <c:v>-32.981399999999994</c:v>
                </c:pt>
                <c:pt idx="5">
                  <c:v>-26.057700000000004</c:v>
                </c:pt>
                <c:pt idx="6">
                  <c:v>-12.629100000000001</c:v>
                </c:pt>
                <c:pt idx="7">
                  <c:v>9.7679000000000009</c:v>
                </c:pt>
                <c:pt idx="8">
                  <c:v>-13.166600000000004</c:v>
                </c:pt>
                <c:pt idx="9" formatCode="General">
                  <c:v>-44.783500000000011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BE4-4FCA-B0DD-FDC51227F858}"/>
            </c:ext>
          </c:extLst>
        </c:ser>
        <c:gapWidth val="60"/>
        <c:overlap val="100"/>
        <c:axId val="185079296"/>
        <c:axId val="185080832"/>
      </c:barChart>
      <c:lineChart>
        <c:grouping val="standard"/>
        <c:ser>
          <c:idx val="0"/>
          <c:order val="0"/>
          <c:tx>
            <c:strRef>
              <c:f>'Vnější vztahy 1'!$B$5</c:f>
              <c:strCache>
                <c:ptCount val="1"/>
                <c:pt idx="0">
                  <c:v>Běžný účet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'Vnější vztahy 1'!$A$6:$A$15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'Vnější vztahy 1'!$B$6:$B$15</c:f>
              <c:numCache>
                <c:formatCode>0.0</c:formatCode>
                <c:ptCount val="10"/>
                <c:pt idx="0">
                  <c:v>-35.3127</c:v>
                </c:pt>
                <c:pt idx="1">
                  <c:v>-72.3065</c:v>
                </c:pt>
                <c:pt idx="2">
                  <c:v>-105.70070000000001</c:v>
                </c:pt>
                <c:pt idx="3">
                  <c:v>-71.665699999999987</c:v>
                </c:pt>
                <c:pt idx="4">
                  <c:v>-29.121400000000001</c:v>
                </c:pt>
                <c:pt idx="5">
                  <c:v>-16.5366</c:v>
                </c:pt>
                <c:pt idx="6">
                  <c:v>5.7923000000000027</c:v>
                </c:pt>
                <c:pt idx="7">
                  <c:v>-3.4024999999999967</c:v>
                </c:pt>
                <c:pt idx="8">
                  <c:v>75.483300000000014</c:v>
                </c:pt>
                <c:pt idx="9" formatCode="General">
                  <c:v>51.293300000000158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BE4-4FCA-B0DD-FDC51227F858}"/>
            </c:ext>
          </c:extLst>
        </c:ser>
        <c:marker val="1"/>
        <c:axId val="185079296"/>
        <c:axId val="185080832"/>
      </c:lineChart>
      <c:catAx>
        <c:axId val="185079296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85080832"/>
        <c:crosses val="autoZero"/>
        <c:auto val="1"/>
        <c:lblAlgn val="ctr"/>
        <c:lblOffset val="100"/>
      </c:catAx>
      <c:valAx>
        <c:axId val="185080832"/>
        <c:scaling>
          <c:orientation val="minMax"/>
          <c:max val="30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chemeClr val="tx1"/>
            </a:solidFill>
          </a:ln>
        </c:spPr>
        <c:crossAx val="185079296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5159268884492888E-2"/>
          <c:y val="0.88053282633520458"/>
          <c:w val="0.89859169199594657"/>
          <c:h val="0.10077544407177016"/>
        </c:manualLayout>
      </c:layout>
      <c:spPr>
        <a:ln w="6350">
          <a:solidFill>
            <a:schemeClr val="tx1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itchFamily="34" charset="0"/>
        </a:defRPr>
      </a:pPr>
      <a:endParaRPr lang="cs-CZ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plotArea>
      <c:layout>
        <c:manualLayout>
          <c:layoutTarget val="inner"/>
          <c:xMode val="edge"/>
          <c:yMode val="edge"/>
          <c:x val="5.8656266097578916E-2"/>
          <c:y val="2.3304908251716772E-2"/>
          <c:w val="0.92389825103638601"/>
          <c:h val="0.58623184734886868"/>
        </c:manualLayout>
      </c:layout>
      <c:barChart>
        <c:barDir val="col"/>
        <c:grouping val="clustered"/>
        <c:ser>
          <c:idx val="1"/>
          <c:order val="0"/>
          <c:tx>
            <c:strRef>
              <c:f>'Vnější vztahy 2'!$A$7</c:f>
              <c:strCache>
                <c:ptCount val="1"/>
                <c:pt idx="0">
                  <c:v>2016 Q1-Q3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val>
            <c:numRef>
              <c:f>'Vnější vztahy 2'!$B$7:$N$7</c:f>
              <c:numCache>
                <c:formatCode>General</c:formatCode>
                <c:ptCount val="13"/>
                <c:pt idx="0">
                  <c:v>-53.343000000000004</c:v>
                </c:pt>
                <c:pt idx="1">
                  <c:v>-26.306999999999999</c:v>
                </c:pt>
                <c:pt idx="2">
                  <c:v>-19.687000000000001</c:v>
                </c:pt>
                <c:pt idx="3">
                  <c:v>-25.166</c:v>
                </c:pt>
                <c:pt idx="4">
                  <c:v>-91.7</c:v>
                </c:pt>
                <c:pt idx="5">
                  <c:v>-33.721000000000011</c:v>
                </c:pt>
                <c:pt idx="6">
                  <c:v>18.061</c:v>
                </c:pt>
                <c:pt idx="7">
                  <c:v>-70.35299999999998</c:v>
                </c:pt>
                <c:pt idx="8">
                  <c:v>46.99</c:v>
                </c:pt>
                <c:pt idx="9">
                  <c:v>-35.667000000000002</c:v>
                </c:pt>
                <c:pt idx="10">
                  <c:v>30.494999999999987</c:v>
                </c:pt>
                <c:pt idx="11">
                  <c:v>47.548000000000002</c:v>
                </c:pt>
                <c:pt idx="12">
                  <c:v>321.42499999999899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B3-479C-8073-479124FDF723}"/>
            </c:ext>
          </c:extLst>
        </c:ser>
        <c:ser>
          <c:idx val="0"/>
          <c:order val="1"/>
          <c:tx>
            <c:strRef>
              <c:f>'Vnější vztahy 2'!$A$6</c:f>
              <c:strCache>
                <c:ptCount val="1"/>
                <c:pt idx="0">
                  <c:v>2017 Q1-Q3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</c:spPr>
          <c:cat>
            <c:strRef>
              <c:f>'Vnější vztahy 2'!$B$5:$N$5</c:f>
              <c:strCache>
                <c:ptCount val="13"/>
                <c:pt idx="0">
                  <c:v>Ropa a zemní plyn</c:v>
                </c:pt>
                <c:pt idx="1">
                  <c:v>Potrav. výrobky</c:v>
                </c:pt>
                <c:pt idx="2">
                  <c:v>Oděvy</c:v>
                </c:pt>
                <c:pt idx="3">
                  <c:v>Koks, raf. ropné prod.</c:v>
                </c:pt>
                <c:pt idx="4">
                  <c:v>Chem. látky a přípr.</c:v>
                </c:pt>
                <c:pt idx="5">
                  <c:v>Farmac. výrobky</c:v>
                </c:pt>
                <c:pt idx="6">
                  <c:v>Ostat. nekov. minerály</c:v>
                </c:pt>
                <c:pt idx="7">
                  <c:v>Základní kovy</c:v>
                </c:pt>
                <c:pt idx="8">
                  <c:v>Kovodělné výrobky</c:v>
                </c:pt>
                <c:pt idx="9">
                  <c:v>Počítače,                                             elektron. přístr.</c:v>
                </c:pt>
                <c:pt idx="10">
                  <c:v>Elektrická zařízení</c:v>
                </c:pt>
                <c:pt idx="11">
                  <c:v>Stroje a zařízení j.n.</c:v>
                </c:pt>
                <c:pt idx="12">
                  <c:v>Motorová vozidla</c:v>
                </c:pt>
              </c:strCache>
            </c:strRef>
          </c:cat>
          <c:val>
            <c:numRef>
              <c:f>'Vnější vztahy 2'!$B$6:$N$6</c:f>
              <c:numCache>
                <c:formatCode>General</c:formatCode>
                <c:ptCount val="13"/>
                <c:pt idx="0">
                  <c:v>-90.915000000000006</c:v>
                </c:pt>
                <c:pt idx="1">
                  <c:v>-29.207999999999988</c:v>
                </c:pt>
                <c:pt idx="2">
                  <c:v>-22.574000000000005</c:v>
                </c:pt>
                <c:pt idx="3">
                  <c:v>-9.4630000000000027</c:v>
                </c:pt>
                <c:pt idx="4">
                  <c:v>-83.932000000000002</c:v>
                </c:pt>
                <c:pt idx="5">
                  <c:v>-36.956000000000003</c:v>
                </c:pt>
                <c:pt idx="6">
                  <c:v>17.916</c:v>
                </c:pt>
                <c:pt idx="7">
                  <c:v>-91.483999999999995</c:v>
                </c:pt>
                <c:pt idx="8">
                  <c:v>45.216000000000001</c:v>
                </c:pt>
                <c:pt idx="9">
                  <c:v>-33.619</c:v>
                </c:pt>
                <c:pt idx="10">
                  <c:v>31.152999999999999</c:v>
                </c:pt>
                <c:pt idx="11">
                  <c:v>59.44</c:v>
                </c:pt>
                <c:pt idx="12">
                  <c:v>344.05900000000008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B3-479C-8073-479124FDF723}"/>
            </c:ext>
          </c:extLst>
        </c:ser>
        <c:gapWidth val="97"/>
        <c:axId val="194117632"/>
        <c:axId val="194119168"/>
      </c:barChart>
      <c:catAx>
        <c:axId val="194117632"/>
        <c:scaling>
          <c:orientation val="minMax"/>
        </c:scaling>
        <c:axPos val="b"/>
        <c:tickLblPos val="low"/>
        <c:spPr>
          <a:ln>
            <a:solidFill>
              <a:schemeClr val="tx1"/>
            </a:solidFill>
          </a:ln>
        </c:spPr>
        <c:txPr>
          <a:bodyPr rot="-5400000" vert="horz"/>
          <a:lstStyle/>
          <a:p>
            <a:pPr>
              <a:defRPr/>
            </a:pPr>
            <a:endParaRPr lang="cs-CZ"/>
          </a:p>
        </c:txPr>
        <c:crossAx val="194119168"/>
        <c:crosses val="autoZero"/>
        <c:auto val="1"/>
        <c:lblAlgn val="ctr"/>
        <c:lblOffset val="100"/>
      </c:catAx>
      <c:valAx>
        <c:axId val="194119168"/>
        <c:scaling>
          <c:orientation val="minMax"/>
          <c:max val="350"/>
          <c:min val="-100"/>
        </c:scaling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tickLblPos val="nextTo"/>
        <c:crossAx val="194117632"/>
        <c:crosses val="autoZero"/>
        <c:crossBetween val="between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5.5873075264417107E-2"/>
          <c:y val="0.93271781816746591"/>
          <c:w val="0.92593890471149387"/>
          <c:h val="5.4750853511732103E-2"/>
        </c:manualLayout>
      </c:layout>
      <c:overlay val="1"/>
      <c:spPr>
        <a:ln w="6350">
          <a:solidFill>
            <a:sysClr val="windowText" lastClr="000000"/>
          </a:solidFill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 baseline="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6B524-02DD-4E10-A67A-17A74D0AB9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64E4A-05FE-46F1-8D1E-029E8A6A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bar_vicetematicke.dot</Template>
  <TotalTime>3</TotalTime>
  <Pages>2</Pages>
  <Words>751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5172</CharactersWithSpaces>
  <SharedDoc>false</SharedDoc>
  <HLinks>
    <vt:vector size="66" baseType="variant"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_Toc469327805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_Toc469327804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_Toc469327803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_Toc469327802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_Toc469327801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_Toc469327800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_Toc469327799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_Toc469327798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_Toc469327797</vt:lpwstr>
      </vt:variant>
      <vt:variant>
        <vt:i4>6553606</vt:i4>
      </vt:variant>
      <vt:variant>
        <vt:i4>3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mailto:jiri.kamenicky@czso.cz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4</cp:revision>
  <cp:lastPrinted>2017-12-15T12:34:00Z</cp:lastPrinted>
  <dcterms:created xsi:type="dcterms:W3CDTF">2017-12-20T10:56:00Z</dcterms:created>
  <dcterms:modified xsi:type="dcterms:W3CDTF">2017-12-20T10:58:00Z</dcterms:modified>
</cp:coreProperties>
</file>