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F7" w:rsidRDefault="00007FF7">
      <w:pPr>
        <w:pStyle w:val="A-Metodpozn"/>
        <w:ind w:firstLine="0"/>
        <w:rPr>
          <w:b/>
          <w:bCs w:val="0"/>
          <w:sz w:val="32"/>
        </w:rPr>
      </w:pPr>
      <w:r>
        <w:rPr>
          <w:b/>
          <w:bCs w:val="0"/>
          <w:sz w:val="32"/>
        </w:rPr>
        <w:t>Metodické poznámky</w:t>
      </w:r>
    </w:p>
    <w:p w:rsidR="00007FF7" w:rsidRPr="001B0B34" w:rsidRDefault="00007FF7" w:rsidP="001B0B34">
      <w:pPr>
        <w:pStyle w:val="A-Metodpozn"/>
      </w:pPr>
      <w:r>
        <w:t>Publikace obsahuje údaje</w:t>
      </w:r>
      <w:r w:rsidR="009E0892">
        <w:t xml:space="preserve"> </w:t>
      </w:r>
      <w:r>
        <w:t xml:space="preserve">přepočtené na území krajů platné </w:t>
      </w:r>
      <w:r w:rsidRPr="004C7871">
        <w:t>k</w:t>
      </w:r>
      <w:r w:rsidR="00A261D9">
        <w:t> </w:t>
      </w:r>
      <w:proofErr w:type="gramStart"/>
      <w:r w:rsidR="00A261D9">
        <w:t>1.1.</w:t>
      </w:r>
      <w:r w:rsidR="00273E10">
        <w:t xml:space="preserve"> roku</w:t>
      </w:r>
      <w:proofErr w:type="gramEnd"/>
      <w:r w:rsidR="00273E10">
        <w:t xml:space="preserve"> vydání publikace</w:t>
      </w:r>
      <w:r w:rsidR="004C7871">
        <w:t>.</w:t>
      </w:r>
    </w:p>
    <w:p w:rsidR="00007FF7" w:rsidRPr="001B0B34" w:rsidRDefault="00007FF7">
      <w:pPr>
        <w:pStyle w:val="A-Metodpozn"/>
        <w:rPr>
          <w:color w:val="auto"/>
        </w:rPr>
      </w:pPr>
      <w:r w:rsidRPr="001B0B34">
        <w:rPr>
          <w:color w:val="auto"/>
        </w:rPr>
        <w:t xml:space="preserve">Veškeré údaje se týkají všech obyvatel, kteří mají v kraji trvalé bydliště, a to bez ohledu na státní občanství. Od r. 2001 (v návaznosti na sčítání lidu, domů a bytů 2001) údaje zahrnují cizince s vízy nad 90 dnů (podle zákona č. 326/1999 Sb., o pobytu cizinců), a cizince s přiznaným azylem (podle zákona č. 325/1999 Sb., o azylu). Od </w:t>
      </w:r>
      <w:proofErr w:type="gramStart"/>
      <w:r w:rsidRPr="001B0B34">
        <w:rPr>
          <w:color w:val="auto"/>
        </w:rPr>
        <w:t>1.5.2004</w:t>
      </w:r>
      <w:proofErr w:type="gramEnd"/>
      <w:r w:rsidRPr="001B0B34">
        <w:rPr>
          <w:color w:val="auto"/>
        </w:rPr>
        <w:t xml:space="preserve">, v návaznosti na tzv. </w:t>
      </w:r>
      <w:proofErr w:type="spellStart"/>
      <w:r w:rsidRPr="001B0B34">
        <w:rPr>
          <w:color w:val="auto"/>
        </w:rPr>
        <w:t>Euronovelu</w:t>
      </w:r>
      <w:proofErr w:type="spellEnd"/>
      <w:r w:rsidRPr="001B0B34">
        <w:rPr>
          <w:color w:val="auto"/>
        </w:rPr>
        <w:t xml:space="preserve"> zákona č. 326/1999 Sb., o pobytu cizinců, se údaje týkají občanů zemí EU s přechodným pobytem na území ČR a občanů třetích zemí s dlouhodobým pobytem. Údaje zahrnují rovněž události (sňatky, narození a úmrtí) občanů s trvalým pobytem na území ČR, které nastaly v cizině.</w:t>
      </w:r>
    </w:p>
    <w:p w:rsidR="00007FF7" w:rsidRDefault="00007FF7">
      <w:pPr>
        <w:pStyle w:val="A-Metodpozn"/>
      </w:pPr>
      <w:r>
        <w:t>U všech údajů s věkem je vždy uveden dokončený věk. Není-li uvedeno jinak, jsou údaje o věku (</w:t>
      </w:r>
      <w:proofErr w:type="spellStart"/>
      <w:r>
        <w:t>event</w:t>
      </w:r>
      <w:proofErr w:type="spellEnd"/>
      <w:r>
        <w:t xml:space="preserve">. rozdílu věků) v rocích. Délka života ve dnech u zemřelých </w:t>
      </w:r>
      <w:r w:rsidRPr="00B375F3">
        <w:rPr>
          <w:color w:val="auto"/>
        </w:rPr>
        <w:t>novorozenců</w:t>
      </w:r>
      <w:r w:rsidR="007A484C">
        <w:t xml:space="preserve"> je kalendářním věkem, tj. </w:t>
      </w:r>
      <w:r>
        <w:t>rozdílem data narození a úmrtí.</w:t>
      </w:r>
    </w:p>
    <w:p w:rsidR="00007FF7" w:rsidRPr="002C1EA4" w:rsidRDefault="00007FF7" w:rsidP="002C1EA4">
      <w:pPr>
        <w:pStyle w:val="A-Metodpozn"/>
      </w:pPr>
      <w:r>
        <w:t xml:space="preserve">Územní členění výsledků zpracování za kraje vychází z ústavního zákona č.347/1997 Sb., o vytvoření </w:t>
      </w:r>
      <w:proofErr w:type="spellStart"/>
      <w:r>
        <w:t>VÚSC</w:t>
      </w:r>
      <w:proofErr w:type="spellEnd"/>
      <w:r>
        <w:t xml:space="preserve"> (a jeho novely č.176/2001) a zákona 387/2004 Sb., o změnách hranic krajů. Zákonem 387/2004 Sb., bylo k </w:t>
      </w:r>
      <w:proofErr w:type="gramStart"/>
      <w:r w:rsidRPr="00B375F3">
        <w:rPr>
          <w:color w:val="auto"/>
        </w:rPr>
        <w:t>1.1.2005</w:t>
      </w:r>
      <w:proofErr w:type="gramEnd"/>
      <w:r>
        <w:t xml:space="preserve"> přesunuto 25 obcí (</w:t>
      </w:r>
      <w:proofErr w:type="spellStart"/>
      <w:r>
        <w:t>Borač</w:t>
      </w:r>
      <w:proofErr w:type="spellEnd"/>
      <w:r>
        <w:t xml:space="preserve">, </w:t>
      </w:r>
      <w:proofErr w:type="spellStart"/>
      <w:r>
        <w:t>Borovník</w:t>
      </w:r>
      <w:proofErr w:type="spellEnd"/>
      <w:r>
        <w:t xml:space="preserve">, </w:t>
      </w:r>
      <w:proofErr w:type="spellStart"/>
      <w:r>
        <w:t>Černvír</w:t>
      </w:r>
      <w:proofErr w:type="spellEnd"/>
      <w:r>
        <w:t xml:space="preserve">, Dolní Loučky, Doubravník, </w:t>
      </w:r>
      <w:proofErr w:type="spellStart"/>
      <w:r>
        <w:t>Drahonín</w:t>
      </w:r>
      <w:proofErr w:type="spellEnd"/>
      <w:r>
        <w:t xml:space="preserve">, Horní Loučky, Kaly, </w:t>
      </w:r>
      <w:proofErr w:type="spellStart"/>
      <w:r>
        <w:t>Katov</w:t>
      </w:r>
      <w:proofErr w:type="spellEnd"/>
      <w:r>
        <w:t xml:space="preserve">, </w:t>
      </w:r>
      <w:proofErr w:type="spellStart"/>
      <w:r>
        <w:t>Křižínkov</w:t>
      </w:r>
      <w:proofErr w:type="spellEnd"/>
      <w:r>
        <w:t xml:space="preserve">, </w:t>
      </w:r>
      <w:proofErr w:type="spellStart"/>
      <w:r>
        <w:t>Kuřimská</w:t>
      </w:r>
      <w:proofErr w:type="spellEnd"/>
      <w:r>
        <w:t xml:space="preserve"> Nová Ves, </w:t>
      </w:r>
      <w:proofErr w:type="spellStart"/>
      <w:r>
        <w:t>Kuřimské</w:t>
      </w:r>
      <w:proofErr w:type="spellEnd"/>
      <w:r>
        <w:t xml:space="preserve"> </w:t>
      </w:r>
      <w:proofErr w:type="spellStart"/>
      <w:r>
        <w:t>Jestřabí</w:t>
      </w:r>
      <w:proofErr w:type="spellEnd"/>
      <w:r>
        <w:t xml:space="preserve">, </w:t>
      </w:r>
      <w:proofErr w:type="spellStart"/>
      <w:r>
        <w:t>Lubné</w:t>
      </w:r>
      <w:proofErr w:type="spellEnd"/>
      <w:r>
        <w:t xml:space="preserve">, Nedvědice, </w:t>
      </w:r>
      <w:proofErr w:type="spellStart"/>
      <w:r>
        <w:t>Níhov</w:t>
      </w:r>
      <w:proofErr w:type="spellEnd"/>
      <w:r>
        <w:t xml:space="preserve">, Olší, Pernštejnské </w:t>
      </w:r>
      <w:proofErr w:type="spellStart"/>
      <w:r>
        <w:t>Jestřabí</w:t>
      </w:r>
      <w:proofErr w:type="spellEnd"/>
      <w:r>
        <w:t xml:space="preserve">, </w:t>
      </w:r>
      <w:proofErr w:type="spellStart"/>
      <w:r>
        <w:t>Rojetín</w:t>
      </w:r>
      <w:proofErr w:type="spellEnd"/>
      <w:r>
        <w:t xml:space="preserve">, </w:t>
      </w:r>
      <w:proofErr w:type="spellStart"/>
      <w:r>
        <w:t>Řikonín</w:t>
      </w:r>
      <w:proofErr w:type="spellEnd"/>
      <w:r>
        <w:t xml:space="preserve">, </w:t>
      </w:r>
      <w:proofErr w:type="spellStart"/>
      <w:r>
        <w:t>Senorady</w:t>
      </w:r>
      <w:proofErr w:type="spellEnd"/>
      <w:r>
        <w:t xml:space="preserve">, Skryje, </w:t>
      </w:r>
      <w:proofErr w:type="spellStart"/>
      <w:r>
        <w:t>Tišnovská</w:t>
      </w:r>
      <w:proofErr w:type="spellEnd"/>
      <w:r>
        <w:t xml:space="preserve"> Nová Ves, Újezd u</w:t>
      </w:r>
      <w:r w:rsidR="00113531">
        <w:t> </w:t>
      </w:r>
      <w:r>
        <w:t xml:space="preserve">Tišnova, </w:t>
      </w:r>
      <w:proofErr w:type="spellStart"/>
      <w:r>
        <w:t>Vratislávka</w:t>
      </w:r>
      <w:proofErr w:type="spellEnd"/>
      <w:r>
        <w:t xml:space="preserve"> a </w:t>
      </w:r>
      <w:proofErr w:type="spellStart"/>
      <w:r>
        <w:t>Žďárec</w:t>
      </w:r>
      <w:proofErr w:type="spellEnd"/>
      <w:r>
        <w:t>) z kraje Vysočina do Jihomoravského kraje a 3 obce (</w:t>
      </w:r>
      <w:proofErr w:type="spellStart"/>
      <w:r>
        <w:t>Huzová</w:t>
      </w:r>
      <w:proofErr w:type="spellEnd"/>
      <w:r>
        <w:t xml:space="preserve">, Moravský Beroun, </w:t>
      </w:r>
      <w:proofErr w:type="spellStart"/>
      <w:r>
        <w:t>Norberčany</w:t>
      </w:r>
      <w:proofErr w:type="spellEnd"/>
      <w:r>
        <w:t xml:space="preserve">) z Moravskoslezského kraje do Olomouckého kraje. V prvním z </w:t>
      </w:r>
      <w:proofErr w:type="spellStart"/>
      <w:r>
        <w:t>mezikrajských</w:t>
      </w:r>
      <w:proofErr w:type="spellEnd"/>
      <w:r>
        <w:t xml:space="preserve"> přesunů je 22 obcí, jejichž vymezení se ve zde sledovaném období nezměn</w:t>
      </w:r>
      <w:r w:rsidR="00113531">
        <w:t>ilo. Do obce Doubravník byla ve </w:t>
      </w:r>
      <w:r>
        <w:t xml:space="preserve">sledovaném období začleněna, dříve samostatná obec </w:t>
      </w:r>
      <w:proofErr w:type="spellStart"/>
      <w:r>
        <w:t>Křižovice</w:t>
      </w:r>
      <w:proofErr w:type="spellEnd"/>
      <w:r>
        <w:t xml:space="preserve">, do obce </w:t>
      </w:r>
      <w:proofErr w:type="spellStart"/>
      <w:r>
        <w:t>Kuřimská</w:t>
      </w:r>
      <w:proofErr w:type="spellEnd"/>
      <w:r>
        <w:t xml:space="preserve"> Nová Ves obec </w:t>
      </w:r>
      <w:proofErr w:type="spellStart"/>
      <w:r>
        <w:t>Prosatín</w:t>
      </w:r>
      <w:proofErr w:type="spellEnd"/>
      <w:r>
        <w:t xml:space="preserve"> a do obce </w:t>
      </w:r>
      <w:proofErr w:type="spellStart"/>
      <w:r>
        <w:t>Kuřimské</w:t>
      </w:r>
      <w:proofErr w:type="spellEnd"/>
      <w:r>
        <w:t xml:space="preserve"> </w:t>
      </w:r>
      <w:proofErr w:type="spellStart"/>
      <w:r>
        <w:t>Jestřabí</w:t>
      </w:r>
      <w:proofErr w:type="spellEnd"/>
      <w:r>
        <w:t xml:space="preserve"> obec </w:t>
      </w:r>
      <w:proofErr w:type="spellStart"/>
      <w:r>
        <w:t>Blahoňov</w:t>
      </w:r>
      <w:proofErr w:type="spellEnd"/>
      <w:r>
        <w:t>. I tyto začleněné obce byly pojaty, za roky kdy byly samostatné, do přepočtů.</w:t>
      </w:r>
    </w:p>
    <w:p w:rsidR="00007FF7" w:rsidRDefault="00007FF7">
      <w:pPr>
        <w:pStyle w:val="A-Metodpozn"/>
      </w:pPr>
      <w:r>
        <w:t xml:space="preserve">Obce jsou do velikostních skupin zařazeny podle počtu obyvatel k </w:t>
      </w:r>
      <w:proofErr w:type="gramStart"/>
      <w:r>
        <w:t>31.12</w:t>
      </w:r>
      <w:proofErr w:type="gramEnd"/>
      <w:r>
        <w:t>. příslušného roku.</w:t>
      </w:r>
    </w:p>
    <w:p w:rsidR="00007FF7" w:rsidRPr="00A456CA" w:rsidRDefault="00007FF7">
      <w:pPr>
        <w:pStyle w:val="A-Metodpozn"/>
        <w:rPr>
          <w:color w:val="auto"/>
          <w:sz w:val="40"/>
          <w:szCs w:val="40"/>
        </w:rPr>
      </w:pPr>
      <w:r w:rsidRPr="001B0B34">
        <w:rPr>
          <w:color w:val="auto"/>
        </w:rPr>
        <w:t>Stav k </w:t>
      </w:r>
      <w:proofErr w:type="gramStart"/>
      <w:r w:rsidRPr="001B0B34">
        <w:rPr>
          <w:color w:val="auto"/>
        </w:rPr>
        <w:t>31.12</w:t>
      </w:r>
      <w:proofErr w:type="gramEnd"/>
      <w:r w:rsidRPr="001B0B34">
        <w:rPr>
          <w:color w:val="auto"/>
        </w:rPr>
        <w:t>. daného roku se rovná stavu k 1.1. následujícího roku. Zároveň platí, že stav k </w:t>
      </w:r>
      <w:proofErr w:type="gramStart"/>
      <w:r w:rsidRPr="001B0B34">
        <w:rPr>
          <w:color w:val="auto"/>
        </w:rPr>
        <w:t>1.1. plus</w:t>
      </w:r>
      <w:proofErr w:type="gramEnd"/>
      <w:r w:rsidRPr="001B0B34">
        <w:rPr>
          <w:color w:val="auto"/>
        </w:rPr>
        <w:t> celkový přírůstek se rovná stavu k 31.12. daného roku. Výjimečná situace nastává vždy po aplikaci výsledků sčítání lidu, kdy se údaje k </w:t>
      </w:r>
      <w:proofErr w:type="gramStart"/>
      <w:r w:rsidRPr="001B0B34">
        <w:rPr>
          <w:color w:val="auto"/>
        </w:rPr>
        <w:t>31.12. roku</w:t>
      </w:r>
      <w:proofErr w:type="gramEnd"/>
      <w:r w:rsidRPr="001B0B34">
        <w:rPr>
          <w:color w:val="auto"/>
        </w:rPr>
        <w:t xml:space="preserve"> před sčítáním nerovnají stavu k 1.1. roku sčítání. </w:t>
      </w:r>
      <w:r w:rsidRPr="004C7871">
        <w:rPr>
          <w:color w:val="auto"/>
        </w:rPr>
        <w:t>V období, za které jsou údaje této publikac</w:t>
      </w:r>
      <w:r w:rsidR="004C7871" w:rsidRPr="004C7871">
        <w:rPr>
          <w:color w:val="auto"/>
        </w:rPr>
        <w:t>e, se to týká sčítání v roce 201</w:t>
      </w:r>
      <w:r w:rsidRPr="004C7871">
        <w:rPr>
          <w:color w:val="auto"/>
        </w:rPr>
        <w:t xml:space="preserve">1 - údaje </w:t>
      </w:r>
      <w:r w:rsidR="004C7871" w:rsidRPr="004C7871">
        <w:rPr>
          <w:color w:val="auto"/>
        </w:rPr>
        <w:t xml:space="preserve">o počtu obyvatel k </w:t>
      </w:r>
      <w:proofErr w:type="gramStart"/>
      <w:r w:rsidR="004C7871" w:rsidRPr="004C7871">
        <w:rPr>
          <w:color w:val="auto"/>
        </w:rPr>
        <w:t>1.1. 2011</w:t>
      </w:r>
      <w:proofErr w:type="gramEnd"/>
      <w:r w:rsidR="004C7871" w:rsidRPr="004C7871">
        <w:rPr>
          <w:color w:val="auto"/>
        </w:rPr>
        <w:t xml:space="preserve"> se liší od údajů k 31.12. 201</w:t>
      </w:r>
      <w:r w:rsidRPr="004C7871">
        <w:rPr>
          <w:color w:val="auto"/>
        </w:rPr>
        <w:t>0.</w:t>
      </w:r>
      <w:r w:rsidR="00A456CA">
        <w:rPr>
          <w:color w:val="auto"/>
        </w:rPr>
        <w:t xml:space="preserve"> </w:t>
      </w:r>
    </w:p>
    <w:p w:rsidR="008319AF" w:rsidRPr="007A3B06" w:rsidRDefault="00656276">
      <w:pPr>
        <w:pStyle w:val="A-Metodpozn"/>
        <w:rPr>
          <w:color w:val="auto"/>
        </w:rPr>
      </w:pPr>
      <w:r w:rsidRPr="007B5864">
        <w:rPr>
          <w:color w:val="auto"/>
        </w:rPr>
        <w:t>D</w:t>
      </w:r>
      <w:r w:rsidR="008319AF" w:rsidRPr="007B5864">
        <w:rPr>
          <w:color w:val="auto"/>
        </w:rPr>
        <w:t xml:space="preserve">efinice sňatků, rozvodů, narozených, potratů a zemřelých </w:t>
      </w:r>
      <w:r w:rsidR="005F037C" w:rsidRPr="007B5864">
        <w:rPr>
          <w:color w:val="auto"/>
        </w:rPr>
        <w:t xml:space="preserve">a z nich odvozených ukazatelů </w:t>
      </w:r>
      <w:r w:rsidR="008319AF" w:rsidRPr="007B5864">
        <w:rPr>
          <w:color w:val="auto"/>
        </w:rPr>
        <w:t xml:space="preserve">jsou uvedeny v Demografické ročence České republiky (kód </w:t>
      </w:r>
      <w:proofErr w:type="gramStart"/>
      <w:r w:rsidR="008319AF" w:rsidRPr="007B5864">
        <w:rPr>
          <w:color w:val="auto"/>
        </w:rPr>
        <w:t>13</w:t>
      </w:r>
      <w:r w:rsidR="000A21FE">
        <w:rPr>
          <w:color w:val="auto"/>
        </w:rPr>
        <w:t>0067-xx</w:t>
      </w:r>
      <w:proofErr w:type="gramEnd"/>
      <w:r w:rsidR="008319AF" w:rsidRPr="007B5864">
        <w:rPr>
          <w:color w:val="auto"/>
        </w:rPr>
        <w:t>).</w:t>
      </w:r>
    </w:p>
    <w:p w:rsidR="00B97BFA" w:rsidRDefault="00007FF7">
      <w:pPr>
        <w:pStyle w:val="A-Metodpozn"/>
        <w:rPr>
          <w:color w:val="0000FF"/>
        </w:rPr>
      </w:pPr>
      <w:r w:rsidRPr="007A3B06">
        <w:rPr>
          <w:color w:val="auto"/>
        </w:rPr>
        <w:t>Stěhování 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</w:t>
      </w:r>
      <w:r w:rsidRPr="007A3B06">
        <w:rPr>
          <w:color w:val="0000FF"/>
        </w:rPr>
        <w:t>.</w:t>
      </w:r>
    </w:p>
    <w:p w:rsidR="00007FF7" w:rsidRDefault="00007FF7">
      <w:pPr>
        <w:pStyle w:val="A-Metodpozn"/>
      </w:pPr>
      <w:r w:rsidRPr="007A3B06">
        <w:t>Pro stěhování do kraje použito termínu přistěhovalí a pro stěhov</w:t>
      </w:r>
      <w:r w:rsidR="00BE4F13" w:rsidRPr="007A3B06">
        <w:t>ání z kraje termínu vystěhovalí</w:t>
      </w:r>
      <w:r w:rsidRPr="007A3B06">
        <w:t>, přičemž v obou případech je myšleno stěhování přes hranice kraje (tedy včetně zahraničního stěhování). Vnitrokrajským stěhováním je myšleno stěhování uvnitř krajů (tzn. ne přes h</w:t>
      </w:r>
      <w:r w:rsidR="00C15C4E" w:rsidRPr="007A3B06">
        <w:t>ranice kraje) a je rozděleno na </w:t>
      </w:r>
      <w:r w:rsidRPr="007A3B06">
        <w:t>stěhování mezi okresy kraje a mezi obcemi okresu (tj. uvnitř okresu, tedy ne přes hranice okresu). V kraji Hlavní město Praha vnitrokrajské stěhování není.</w:t>
      </w:r>
    </w:p>
    <w:p w:rsidR="00007FF7" w:rsidRDefault="00007FF7">
      <w:pPr>
        <w:pStyle w:val="A-Nadpis3"/>
        <w:rPr>
          <w:b w:val="0"/>
          <w:bCs w:val="0"/>
        </w:rPr>
      </w:pPr>
      <w:r>
        <w:rPr>
          <w:rFonts w:cs="Arial"/>
          <w:b w:val="0"/>
          <w:bCs w:val="0"/>
          <w:color w:val="000000"/>
          <w:sz w:val="20"/>
        </w:rPr>
        <w:t>Použité značky v tabulkách</w:t>
      </w:r>
    </w:p>
    <w:p w:rsidR="00007FF7" w:rsidRDefault="00007FF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ležatá čárka na místě čísla značí, že se jev nevyskytoval</w:t>
      </w:r>
    </w:p>
    <w:p w:rsidR="00007FF7" w:rsidRDefault="00007FF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  <w:t>tečka na místě čísla značí, že údaj není k dispozici nebo je nespolehlivý</w:t>
      </w:r>
    </w:p>
    <w:p w:rsidR="00007FF7" w:rsidRDefault="00007FF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x</w:t>
      </w:r>
      <w:r>
        <w:rPr>
          <w:rFonts w:ascii="Arial" w:hAnsi="Arial"/>
          <w:sz w:val="20"/>
        </w:rPr>
        <w:tab/>
        <w:t>ležatý křížek na místě čísla značí, že zápis není možný z logických důvodů</w:t>
      </w:r>
    </w:p>
    <w:p w:rsidR="00007FF7" w:rsidRDefault="00007FF7">
      <w:pPr>
        <w:ind w:left="705" w:hanging="70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ab/>
        <w:t xml:space="preserve">nula </w:t>
      </w:r>
      <w:r w:rsidRPr="00BE4F13">
        <w:rPr>
          <w:rFonts w:ascii="Arial" w:hAnsi="Arial" w:cs="Arial"/>
          <w:bCs/>
          <w:sz w:val="20"/>
          <w:szCs w:val="20"/>
        </w:rPr>
        <w:t>se používá</w:t>
      </w:r>
      <w:r>
        <w:rPr>
          <w:rFonts w:ascii="Arial" w:hAnsi="Arial"/>
          <w:sz w:val="20"/>
        </w:rPr>
        <w:t xml:space="preserve"> pro označení číselných údajů menších než polovina zvolené měřící jednotky</w:t>
      </w:r>
    </w:p>
    <w:sectPr w:rsidR="00007FF7" w:rsidSect="00D60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77" w:rsidRDefault="00144377">
      <w:r>
        <w:separator/>
      </w:r>
    </w:p>
  </w:endnote>
  <w:endnote w:type="continuationSeparator" w:id="0">
    <w:p w:rsidR="00144377" w:rsidRDefault="0014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77" w:rsidRDefault="00144377">
      <w:r>
        <w:separator/>
      </w:r>
    </w:p>
  </w:footnote>
  <w:footnote w:type="continuationSeparator" w:id="0">
    <w:p w:rsidR="00144377" w:rsidRDefault="00144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1F29"/>
    <w:multiLevelType w:val="hybridMultilevel"/>
    <w:tmpl w:val="9BC5B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B34"/>
    <w:rsid w:val="00004D2B"/>
    <w:rsid w:val="00007FF7"/>
    <w:rsid w:val="000217B9"/>
    <w:rsid w:val="000523B4"/>
    <w:rsid w:val="000A21FE"/>
    <w:rsid w:val="000C273D"/>
    <w:rsid w:val="000C52F6"/>
    <w:rsid w:val="00113531"/>
    <w:rsid w:val="00125DAD"/>
    <w:rsid w:val="00144377"/>
    <w:rsid w:val="001B0B34"/>
    <w:rsid w:val="001D2541"/>
    <w:rsid w:val="001E6EA7"/>
    <w:rsid w:val="00202438"/>
    <w:rsid w:val="00255AC8"/>
    <w:rsid w:val="00273E10"/>
    <w:rsid w:val="002851F3"/>
    <w:rsid w:val="002C1EA4"/>
    <w:rsid w:val="002D0BA6"/>
    <w:rsid w:val="0031519F"/>
    <w:rsid w:val="003910CA"/>
    <w:rsid w:val="00391A37"/>
    <w:rsid w:val="003F2B62"/>
    <w:rsid w:val="0046437E"/>
    <w:rsid w:val="0048225A"/>
    <w:rsid w:val="004C7871"/>
    <w:rsid w:val="005347E8"/>
    <w:rsid w:val="0059200B"/>
    <w:rsid w:val="005A690C"/>
    <w:rsid w:val="005C651A"/>
    <w:rsid w:val="005F037C"/>
    <w:rsid w:val="00603FFE"/>
    <w:rsid w:val="0060538B"/>
    <w:rsid w:val="00656276"/>
    <w:rsid w:val="006E79D6"/>
    <w:rsid w:val="007164FF"/>
    <w:rsid w:val="007358EA"/>
    <w:rsid w:val="007A3B06"/>
    <w:rsid w:val="007A484C"/>
    <w:rsid w:val="007B5864"/>
    <w:rsid w:val="007C62D8"/>
    <w:rsid w:val="008319AF"/>
    <w:rsid w:val="00887DD7"/>
    <w:rsid w:val="008C0355"/>
    <w:rsid w:val="009E0892"/>
    <w:rsid w:val="009F5721"/>
    <w:rsid w:val="00A261D9"/>
    <w:rsid w:val="00A33197"/>
    <w:rsid w:val="00A3515F"/>
    <w:rsid w:val="00A45283"/>
    <w:rsid w:val="00A456CA"/>
    <w:rsid w:val="00AA0AEB"/>
    <w:rsid w:val="00AD3A9C"/>
    <w:rsid w:val="00B375F3"/>
    <w:rsid w:val="00B97BFA"/>
    <w:rsid w:val="00BB54EC"/>
    <w:rsid w:val="00BE4F13"/>
    <w:rsid w:val="00C15C4E"/>
    <w:rsid w:val="00D51E7F"/>
    <w:rsid w:val="00D60F4C"/>
    <w:rsid w:val="00DC1053"/>
    <w:rsid w:val="00DF039A"/>
    <w:rsid w:val="00E47525"/>
    <w:rsid w:val="00E568DF"/>
    <w:rsid w:val="00E64BAD"/>
    <w:rsid w:val="00EC6354"/>
    <w:rsid w:val="00F11AC1"/>
    <w:rsid w:val="00F36DF9"/>
    <w:rsid w:val="00F7145A"/>
    <w:rsid w:val="00FC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F4C"/>
    <w:rPr>
      <w:sz w:val="24"/>
      <w:szCs w:val="24"/>
    </w:rPr>
  </w:style>
  <w:style w:type="paragraph" w:styleId="Nadpis1">
    <w:name w:val="heading 1"/>
    <w:basedOn w:val="Normln"/>
    <w:next w:val="Normln"/>
    <w:qFormat/>
    <w:rsid w:val="00D60F4C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D60F4C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D60F4C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60F4C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60F4C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D60F4C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60F4C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D60F4C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60F4C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60F4C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D60F4C"/>
    <w:rPr>
      <w:sz w:val="40"/>
    </w:rPr>
  </w:style>
  <w:style w:type="character" w:styleId="Siln">
    <w:name w:val="Strong"/>
    <w:basedOn w:val="Standardnpsmoodstavce"/>
    <w:qFormat/>
    <w:rsid w:val="00D60F4C"/>
    <w:rPr>
      <w:b/>
      <w:bCs/>
    </w:rPr>
  </w:style>
  <w:style w:type="paragraph" w:styleId="Normlnweb">
    <w:name w:val="Normal (Web)"/>
    <w:basedOn w:val="Normln"/>
    <w:semiHidden/>
    <w:rsid w:val="00D60F4C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D60F4C"/>
    <w:rPr>
      <w:i/>
      <w:iCs/>
    </w:rPr>
  </w:style>
  <w:style w:type="paragraph" w:styleId="Zkladntextodsazen">
    <w:name w:val="Body Text Indent"/>
    <w:basedOn w:val="Normln"/>
    <w:semiHidden/>
    <w:rsid w:val="00D60F4C"/>
    <w:pPr>
      <w:ind w:firstLine="708"/>
      <w:jc w:val="both"/>
    </w:pPr>
  </w:style>
  <w:style w:type="paragraph" w:styleId="Zkladntextodsazen2">
    <w:name w:val="Body Text Indent 2"/>
    <w:basedOn w:val="Normln"/>
    <w:semiHidden/>
    <w:rsid w:val="00D60F4C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D60F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0F4C"/>
  </w:style>
  <w:style w:type="paragraph" w:styleId="Zhlav">
    <w:name w:val="header"/>
    <w:basedOn w:val="Normln"/>
    <w:semiHidden/>
    <w:rsid w:val="00D60F4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D60F4C"/>
    <w:rPr>
      <w:color w:val="0000FF"/>
      <w:u w:val="single"/>
    </w:rPr>
  </w:style>
  <w:style w:type="paragraph" w:styleId="Nzev">
    <w:name w:val="Title"/>
    <w:basedOn w:val="Normln"/>
    <w:qFormat/>
    <w:rsid w:val="00D60F4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D60F4C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D60F4C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D60F4C"/>
    <w:rPr>
      <w:color w:val="800080"/>
      <w:u w:val="single"/>
    </w:rPr>
  </w:style>
  <w:style w:type="paragraph" w:customStyle="1" w:styleId="Default">
    <w:name w:val="Default"/>
    <w:rsid w:val="00D60F4C"/>
    <w:pPr>
      <w:autoSpaceDE w:val="0"/>
      <w:autoSpaceDN w:val="0"/>
      <w:adjustRightInd w:val="0"/>
    </w:pPr>
    <w:rPr>
      <w:rFonts w:ascii="Wingdings" w:hAnsi="Wingdings"/>
      <w:color w:val="000000"/>
      <w:sz w:val="24"/>
      <w:szCs w:val="24"/>
    </w:rPr>
  </w:style>
  <w:style w:type="paragraph" w:customStyle="1" w:styleId="A-Uvod">
    <w:name w:val="A-Uvod"/>
    <w:basedOn w:val="Normln"/>
    <w:rsid w:val="00D60F4C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A-Metodpozn">
    <w:name w:val="A-Metod pozn"/>
    <w:basedOn w:val="A-Uvod"/>
    <w:rsid w:val="00D60F4C"/>
    <w:pPr>
      <w:tabs>
        <w:tab w:val="left" w:pos="180"/>
      </w:tabs>
      <w:spacing w:after="360" w:line="240" w:lineRule="auto"/>
    </w:pPr>
    <w:rPr>
      <w:bCs/>
      <w:sz w:val="20"/>
    </w:rPr>
  </w:style>
  <w:style w:type="paragraph" w:customStyle="1" w:styleId="A-Nadpis3">
    <w:name w:val="A-Nadpis3"/>
    <w:basedOn w:val="Nadpis3"/>
    <w:rsid w:val="00D60F4C"/>
    <w:pPr>
      <w:numPr>
        <w:ilvl w:val="0"/>
        <w:numId w:val="0"/>
      </w:numPr>
      <w:spacing w:after="240" w:line="240" w:lineRule="auto"/>
    </w:pPr>
    <w:rPr>
      <w:sz w:val="24"/>
    </w:rPr>
  </w:style>
  <w:style w:type="paragraph" w:styleId="Rozvrendokumentu">
    <w:name w:val="Document Map"/>
    <w:basedOn w:val="Normln"/>
    <w:semiHidden/>
    <w:rsid w:val="00D60F4C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Jan Bílík</cp:lastModifiedBy>
  <cp:revision>13</cp:revision>
  <cp:lastPrinted>2014-06-25T05:28:00Z</cp:lastPrinted>
  <dcterms:created xsi:type="dcterms:W3CDTF">2014-04-08T09:11:00Z</dcterms:created>
  <dcterms:modified xsi:type="dcterms:W3CDTF">2015-06-17T07:27:00Z</dcterms:modified>
</cp:coreProperties>
</file>