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C19C6" w14:textId="77777777" w:rsidR="00803507" w:rsidRPr="00884D55" w:rsidRDefault="00803507" w:rsidP="00803507">
      <w:pPr>
        <w:pStyle w:val="Nadpis1"/>
        <w:rPr>
          <w:lang w:val="en-GB"/>
        </w:rPr>
      </w:pPr>
      <w:bookmarkStart w:id="0" w:name="_Toc196386143"/>
      <w:r w:rsidRPr="00884D55">
        <w:rPr>
          <w:lang w:val="en-GB"/>
        </w:rPr>
        <w:t>7. Monetary Conditions</w:t>
      </w:r>
      <w:bookmarkEnd w:id="0"/>
    </w:p>
    <w:tbl>
      <w:tblPr>
        <w:tblW w:w="9641" w:type="dxa"/>
        <w:tblInd w:w="-15" w:type="dxa"/>
        <w:tblCellMar>
          <w:left w:w="0" w:type="dxa"/>
          <w:right w:w="0" w:type="dxa"/>
        </w:tblCellMar>
        <w:tblLook w:val="00A0" w:firstRow="1" w:lastRow="0" w:firstColumn="1" w:lastColumn="0" w:noHBand="0" w:noVBand="0"/>
      </w:tblPr>
      <w:tblGrid>
        <w:gridCol w:w="1802"/>
        <w:gridCol w:w="229"/>
        <w:gridCol w:w="7610"/>
      </w:tblGrid>
      <w:tr w:rsidR="00803507" w:rsidRPr="00884D55" w14:paraId="223078E6" w14:textId="77777777" w:rsidTr="00803507">
        <w:trPr>
          <w:trHeight w:val="145"/>
        </w:trPr>
        <w:tc>
          <w:tcPr>
            <w:tcW w:w="1802" w:type="dxa"/>
          </w:tcPr>
          <w:p w14:paraId="55D594A0" w14:textId="77777777" w:rsidR="00803507" w:rsidRPr="00884D55" w:rsidRDefault="00803507" w:rsidP="00803507">
            <w:pPr>
              <w:pStyle w:val="Marginlie"/>
              <w:rPr>
                <w:lang w:val="en-GB" w:eastAsia="en-US"/>
              </w:rPr>
            </w:pPr>
            <w:bookmarkStart w:id="1" w:name="_Hlk195362059"/>
            <w:r w:rsidRPr="00884D55">
              <w:rPr>
                <w:lang w:val="en-GB" w:eastAsia="en-US"/>
              </w:rPr>
              <w:t>The decrease of monetary policy-relevant interest rates moderated in the second half of 2024.</w:t>
            </w:r>
            <w:bookmarkEnd w:id="1"/>
          </w:p>
        </w:tc>
        <w:tc>
          <w:tcPr>
            <w:tcW w:w="229" w:type="dxa"/>
          </w:tcPr>
          <w:p w14:paraId="7DB393D7" w14:textId="77777777" w:rsidR="00803507" w:rsidRPr="00884D55" w:rsidRDefault="00803507" w:rsidP="00803507">
            <w:pPr>
              <w:pStyle w:val="Textpoznpodarou"/>
              <w:jc w:val="both"/>
              <w:rPr>
                <w:spacing w:val="-4"/>
                <w:lang w:val="en-GB" w:eastAsia="en-US"/>
              </w:rPr>
            </w:pPr>
          </w:p>
        </w:tc>
        <w:tc>
          <w:tcPr>
            <w:tcW w:w="7610" w:type="dxa"/>
          </w:tcPr>
          <w:p w14:paraId="6D3B9783" w14:textId="7C2794C8" w:rsidR="00803507" w:rsidRPr="00884D55" w:rsidRDefault="00803507" w:rsidP="00C03107">
            <w:pPr>
              <w:rPr>
                <w:spacing w:val="-2"/>
                <w:lang w:val="en-GB" w:eastAsia="en-US"/>
              </w:rPr>
            </w:pPr>
            <w:bookmarkStart w:id="2" w:name="_Hlk195362085"/>
            <w:r w:rsidRPr="00884D55">
              <w:rPr>
                <w:spacing w:val="-2"/>
                <w:lang w:val="en-GB" w:eastAsia="en-US"/>
              </w:rPr>
              <w:t>Monetary policy-relevant rates were cut once during Q4 2024. The two-week repo rate fell by 0.25 p. p. 4.00%</w:t>
            </w:r>
            <w:r w:rsidRPr="00884D55">
              <w:rPr>
                <w:rStyle w:val="Znakapoznpodarou"/>
                <w:spacing w:val="-2"/>
                <w:lang w:val="en-GB" w:eastAsia="en-US"/>
              </w:rPr>
              <w:footnoteReference w:id="2"/>
            </w:r>
            <w:r w:rsidRPr="00884D55">
              <w:rPr>
                <w:spacing w:val="-2"/>
                <w:lang w:val="en-GB" w:eastAsia="en-US"/>
              </w:rPr>
              <w:t xml:space="preserve"> in November, down by a total of 2.75 p. p. since the beginning of the year. The pace of reduction was only moderate at the end of the year compared to H1 (the rate fell by 1 p. p. in both Q1 and Q2). The discount rate was reduced to 3.00% and the Lombard rate to 5.00% in Q4. The koruna foreign exchange per euro averaged 25.25 CZK/EUR in Q4 and remained relatively stable throughout the quarter. It weakened by </w:t>
            </w:r>
            <w:r w:rsidR="00C03107">
              <w:rPr>
                <w:spacing w:val="-2"/>
                <w:lang w:val="en-GB" w:eastAsia="en-US"/>
              </w:rPr>
              <w:t>0.0</w:t>
            </w:r>
            <w:r w:rsidRPr="00884D55">
              <w:rPr>
                <w:spacing w:val="-2"/>
                <w:lang w:val="en-GB" w:eastAsia="en-US"/>
              </w:rPr>
              <w:t xml:space="preserve">5 </w:t>
            </w:r>
            <w:r w:rsidR="00C03107">
              <w:rPr>
                <w:spacing w:val="-2"/>
                <w:lang w:val="en-GB" w:eastAsia="en-US"/>
              </w:rPr>
              <w:t>CZK</w:t>
            </w:r>
            <w:r w:rsidRPr="00884D55">
              <w:rPr>
                <w:spacing w:val="-2"/>
                <w:lang w:val="en-GB" w:eastAsia="en-US"/>
              </w:rPr>
              <w:t xml:space="preserve">, quarter-on-quarter, and by </w:t>
            </w:r>
            <w:r w:rsidR="00C03107">
              <w:rPr>
                <w:spacing w:val="-2"/>
                <w:lang w:val="en-GB" w:eastAsia="en-US"/>
              </w:rPr>
              <w:t>0.</w:t>
            </w:r>
            <w:r w:rsidRPr="00884D55">
              <w:rPr>
                <w:spacing w:val="-2"/>
                <w:lang w:val="en-GB" w:eastAsia="en-US"/>
              </w:rPr>
              <w:t xml:space="preserve">73 </w:t>
            </w:r>
            <w:r w:rsidR="00C03107">
              <w:rPr>
                <w:spacing w:val="-2"/>
                <w:lang w:val="en-GB" w:eastAsia="en-US"/>
              </w:rPr>
              <w:t>CZK</w:t>
            </w:r>
            <w:r w:rsidRPr="00884D55">
              <w:rPr>
                <w:spacing w:val="-2"/>
                <w:lang w:val="en-GB" w:eastAsia="en-US"/>
              </w:rPr>
              <w:t xml:space="preserve">, year-on-year. The koruna foreign exchange per dollar weakened steadily throughout </w:t>
            </w:r>
            <w:r w:rsidR="00C03107">
              <w:rPr>
                <w:spacing w:val="-2"/>
                <w:lang w:val="en-GB" w:eastAsia="en-US"/>
              </w:rPr>
              <w:t>Q4 2024</w:t>
            </w:r>
            <w:r w:rsidRPr="00884D55">
              <w:rPr>
                <w:spacing w:val="-2"/>
                <w:lang w:val="en-GB" w:eastAsia="en-US"/>
              </w:rPr>
              <w:t xml:space="preserve"> (from the level of 22.50 CZK/USD on 30.9. to the 24.24 CZK/USD at the end of December). On average, the koruna foreign exchange per dollar was 23.64 CZK/USD in Q4 and was </w:t>
            </w:r>
            <w:r w:rsidR="00C03107">
              <w:rPr>
                <w:spacing w:val="-2"/>
                <w:lang w:val="en-GB" w:eastAsia="en-US"/>
              </w:rPr>
              <w:t>0.</w:t>
            </w:r>
            <w:r w:rsidRPr="00884D55">
              <w:rPr>
                <w:spacing w:val="-2"/>
                <w:lang w:val="en-GB" w:eastAsia="en-US"/>
              </w:rPr>
              <w:t xml:space="preserve">70 </w:t>
            </w:r>
            <w:r w:rsidR="00C03107">
              <w:rPr>
                <w:spacing w:val="-2"/>
                <w:lang w:val="en-GB" w:eastAsia="en-US"/>
              </w:rPr>
              <w:t>CZK</w:t>
            </w:r>
            <w:r w:rsidRPr="00884D55">
              <w:rPr>
                <w:spacing w:val="-2"/>
                <w:lang w:val="en-GB" w:eastAsia="en-US"/>
              </w:rPr>
              <w:t xml:space="preserve"> weaker, quarter-on-quarter and </w:t>
            </w:r>
            <w:r w:rsidR="00C03107">
              <w:rPr>
                <w:spacing w:val="-2"/>
                <w:lang w:val="en-GB" w:eastAsia="en-US"/>
              </w:rPr>
              <w:t>0.</w:t>
            </w:r>
            <w:r w:rsidRPr="00884D55">
              <w:rPr>
                <w:spacing w:val="-2"/>
                <w:lang w:val="en-GB" w:eastAsia="en-US"/>
              </w:rPr>
              <w:t xml:space="preserve">82 </w:t>
            </w:r>
            <w:r w:rsidR="00C03107">
              <w:rPr>
                <w:spacing w:val="-2"/>
                <w:lang w:val="en-GB" w:eastAsia="en-US"/>
              </w:rPr>
              <w:t>CZK</w:t>
            </w:r>
            <w:r w:rsidRPr="00884D55">
              <w:rPr>
                <w:spacing w:val="-2"/>
                <w:lang w:val="en-GB" w:eastAsia="en-US"/>
              </w:rPr>
              <w:t xml:space="preserve">, year-on-year.   </w:t>
            </w:r>
            <w:bookmarkEnd w:id="2"/>
          </w:p>
        </w:tc>
      </w:tr>
      <w:tr w:rsidR="00803507" w:rsidRPr="00884D55" w14:paraId="3DA06E72" w14:textId="77777777" w:rsidTr="00803507">
        <w:trPr>
          <w:trHeight w:val="145"/>
        </w:trPr>
        <w:tc>
          <w:tcPr>
            <w:tcW w:w="1802" w:type="dxa"/>
          </w:tcPr>
          <w:p w14:paraId="389AD038" w14:textId="77777777" w:rsidR="00803507" w:rsidRPr="00884D55" w:rsidRDefault="00803507" w:rsidP="00803507">
            <w:pPr>
              <w:pStyle w:val="Marginlie"/>
              <w:rPr>
                <w:lang w:val="en-GB" w:eastAsia="en-US"/>
              </w:rPr>
            </w:pPr>
            <w:r w:rsidRPr="00884D55">
              <w:rPr>
                <w:lang w:val="en-GB" w:eastAsia="en-US"/>
              </w:rPr>
              <w:t xml:space="preserve">Government bond yields rose in Q4. </w:t>
            </w:r>
          </w:p>
        </w:tc>
        <w:tc>
          <w:tcPr>
            <w:tcW w:w="229" w:type="dxa"/>
          </w:tcPr>
          <w:p w14:paraId="2632C4D2" w14:textId="77777777" w:rsidR="00803507" w:rsidRPr="00884D55" w:rsidRDefault="00803507" w:rsidP="00803507">
            <w:pPr>
              <w:pStyle w:val="Textpoznpodarou"/>
              <w:jc w:val="both"/>
              <w:rPr>
                <w:spacing w:val="-4"/>
                <w:lang w:val="en-GB" w:eastAsia="en-US"/>
              </w:rPr>
            </w:pPr>
          </w:p>
        </w:tc>
        <w:tc>
          <w:tcPr>
            <w:tcW w:w="7610" w:type="dxa"/>
          </w:tcPr>
          <w:p w14:paraId="04B562EA" w14:textId="77777777" w:rsidR="00803507" w:rsidRPr="00884D55" w:rsidRDefault="00803507" w:rsidP="00803507">
            <w:pPr>
              <w:rPr>
                <w:spacing w:val="-1"/>
                <w:lang w:val="en-GB" w:eastAsia="en-US"/>
              </w:rPr>
            </w:pPr>
            <w:bookmarkStart w:id="3" w:name="_Hlk195363368"/>
            <w:r w:rsidRPr="00884D55">
              <w:rPr>
                <w:spacing w:val="-1"/>
                <w:lang w:val="en-GB" w:eastAsia="en-US"/>
              </w:rPr>
              <w:t>Interbank interest rates also fell in Q4. Rates on deposits with shorter maturities decreased more (three-month PRIBOR by 0.39 p. p. to 3.91% at the end of December, six-month PRIBOR by 0.25 p. p. to 3.79%)</w:t>
            </w:r>
            <w:r w:rsidRPr="00884D55">
              <w:rPr>
                <w:rStyle w:val="Znakapoznpodarou"/>
                <w:spacing w:val="-1"/>
                <w:lang w:val="en-GB" w:eastAsia="en-US"/>
              </w:rPr>
              <w:footnoteReference w:id="3"/>
            </w:r>
            <w:r w:rsidRPr="00884D55">
              <w:rPr>
                <w:spacing w:val="-1"/>
                <w:lang w:val="en-GB" w:eastAsia="en-US"/>
              </w:rPr>
              <w:t xml:space="preserve">, while the annual PRIBOR rate was almost unchanged (−0.04 p. p. to 3.69%). Government bond yields rose. The average interest rate on bonds with a ten-year maturity increased the most (by 0.37 p. p. to 4.13% at the end of December). Yields on medium-term bonds (+0.26 p. p. to 3.73%) and short-term bonds (+0.13 p. p. to 3.63%) rose less.  </w:t>
            </w:r>
            <w:bookmarkEnd w:id="3"/>
          </w:p>
        </w:tc>
      </w:tr>
      <w:tr w:rsidR="00F619C3" w:rsidRPr="00884D55" w14:paraId="3B709EAF" w14:textId="77777777" w:rsidTr="00F619C3">
        <w:trPr>
          <w:trHeight w:val="170"/>
        </w:trPr>
        <w:tc>
          <w:tcPr>
            <w:tcW w:w="1802" w:type="dxa"/>
            <w:vMerge w:val="restart"/>
          </w:tcPr>
          <w:p w14:paraId="15D3CE8C" w14:textId="3040C2DE" w:rsidR="00F619C3" w:rsidRDefault="00F619C3" w:rsidP="00F619C3">
            <w:pPr>
              <w:pStyle w:val="Marginlie"/>
              <w:rPr>
                <w:lang w:val="en-GB" w:eastAsia="en-US"/>
              </w:rPr>
            </w:pPr>
          </w:p>
        </w:tc>
        <w:tc>
          <w:tcPr>
            <w:tcW w:w="229" w:type="dxa"/>
            <w:vMerge w:val="restart"/>
          </w:tcPr>
          <w:p w14:paraId="79A79CE9" w14:textId="77777777" w:rsidR="00F619C3" w:rsidRPr="00884D55" w:rsidRDefault="00F619C3" w:rsidP="00F619C3">
            <w:pPr>
              <w:pStyle w:val="Textpoznpodarou"/>
              <w:jc w:val="both"/>
              <w:rPr>
                <w:spacing w:val="-4"/>
                <w:lang w:val="en-GB" w:eastAsia="en-US"/>
              </w:rPr>
            </w:pPr>
          </w:p>
        </w:tc>
        <w:tc>
          <w:tcPr>
            <w:tcW w:w="7610" w:type="dxa"/>
          </w:tcPr>
          <w:p w14:paraId="2E3B7E7F" w14:textId="00E6C5D9" w:rsidR="00F619C3" w:rsidRPr="00884D55" w:rsidRDefault="00F619C3" w:rsidP="00F619C3">
            <w:pPr>
              <w:spacing w:after="0"/>
              <w:rPr>
                <w:spacing w:val="-3"/>
                <w:lang w:val="en-GB" w:eastAsia="en-US"/>
              </w:rPr>
            </w:pPr>
            <w:r w:rsidRPr="00884D55">
              <w:rPr>
                <w:rFonts w:cs="Arial"/>
                <w:b/>
                <w:bCs/>
                <w:color w:val="000000"/>
                <w:szCs w:val="20"/>
                <w:lang w:val="en-GB" w:eastAsia="en-US"/>
              </w:rPr>
              <w:t xml:space="preserve">Chart 16 Market interest rates </w:t>
            </w:r>
            <w:r w:rsidRPr="00884D55">
              <w:rPr>
                <w:bCs/>
                <w:spacing w:val="-4"/>
                <w:szCs w:val="20"/>
                <w:lang w:val="en-GB" w:eastAsia="en-US"/>
              </w:rPr>
              <w:t>(in %)</w:t>
            </w:r>
          </w:p>
        </w:tc>
      </w:tr>
      <w:tr w:rsidR="00F619C3" w:rsidRPr="00884D55" w14:paraId="520A0D50" w14:textId="77777777" w:rsidTr="00803507">
        <w:trPr>
          <w:trHeight w:val="170"/>
        </w:trPr>
        <w:tc>
          <w:tcPr>
            <w:tcW w:w="1802" w:type="dxa"/>
            <w:vMerge/>
          </w:tcPr>
          <w:p w14:paraId="56B644A6" w14:textId="77777777" w:rsidR="00F619C3" w:rsidRDefault="00F619C3" w:rsidP="00F619C3">
            <w:pPr>
              <w:pStyle w:val="Marginlie"/>
              <w:rPr>
                <w:lang w:val="en-GB" w:eastAsia="en-US"/>
              </w:rPr>
            </w:pPr>
          </w:p>
        </w:tc>
        <w:tc>
          <w:tcPr>
            <w:tcW w:w="229" w:type="dxa"/>
            <w:vMerge/>
          </w:tcPr>
          <w:p w14:paraId="29746707" w14:textId="77777777" w:rsidR="00F619C3" w:rsidRPr="00884D55" w:rsidRDefault="00F619C3" w:rsidP="00F619C3">
            <w:pPr>
              <w:pStyle w:val="Textpoznpodarou"/>
              <w:jc w:val="both"/>
              <w:rPr>
                <w:spacing w:val="-4"/>
                <w:lang w:val="en-GB" w:eastAsia="en-US"/>
              </w:rPr>
            </w:pPr>
          </w:p>
        </w:tc>
        <w:tc>
          <w:tcPr>
            <w:tcW w:w="7610" w:type="dxa"/>
          </w:tcPr>
          <w:p w14:paraId="71A13F66" w14:textId="47E65002" w:rsidR="00F619C3" w:rsidRDefault="00F619C3" w:rsidP="00F619C3">
            <w:pPr>
              <w:spacing w:after="0"/>
              <w:rPr>
                <w:spacing w:val="-3"/>
                <w:lang w:val="en-GB" w:eastAsia="en-US"/>
              </w:rPr>
            </w:pPr>
            <w:r>
              <w:rPr>
                <w:noProof/>
              </w:rPr>
              <w:drawing>
                <wp:inline distT="0" distB="0" distL="0" distR="0" wp14:anchorId="69982AF3" wp14:editId="0DB49E66">
                  <wp:extent cx="4734425" cy="3559550"/>
                  <wp:effectExtent l="0" t="0" r="0" b="3175"/>
                  <wp:docPr id="24" name="Graf 24">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F619C3" w:rsidRPr="00884D55" w14:paraId="60CE2B97" w14:textId="77777777" w:rsidTr="00803507">
        <w:trPr>
          <w:trHeight w:val="170"/>
        </w:trPr>
        <w:tc>
          <w:tcPr>
            <w:tcW w:w="1802" w:type="dxa"/>
            <w:vMerge/>
          </w:tcPr>
          <w:p w14:paraId="66AD8735" w14:textId="77777777" w:rsidR="00F619C3" w:rsidRDefault="00F619C3" w:rsidP="00F619C3">
            <w:pPr>
              <w:pStyle w:val="Marginlie"/>
              <w:rPr>
                <w:lang w:val="en-GB" w:eastAsia="en-US"/>
              </w:rPr>
            </w:pPr>
          </w:p>
        </w:tc>
        <w:tc>
          <w:tcPr>
            <w:tcW w:w="229" w:type="dxa"/>
            <w:vMerge/>
          </w:tcPr>
          <w:p w14:paraId="2A28F198" w14:textId="77777777" w:rsidR="00F619C3" w:rsidRPr="00884D55" w:rsidRDefault="00F619C3" w:rsidP="00F619C3">
            <w:pPr>
              <w:pStyle w:val="Textpoznpodarou"/>
              <w:jc w:val="both"/>
              <w:rPr>
                <w:spacing w:val="-4"/>
                <w:lang w:val="en-GB" w:eastAsia="en-US"/>
              </w:rPr>
            </w:pPr>
          </w:p>
        </w:tc>
        <w:tc>
          <w:tcPr>
            <w:tcW w:w="7610" w:type="dxa"/>
          </w:tcPr>
          <w:p w14:paraId="7FC918ED" w14:textId="17160502" w:rsidR="00F619C3" w:rsidRDefault="00F619C3" w:rsidP="00F619C3">
            <w:pPr>
              <w:rPr>
                <w:spacing w:val="-3"/>
                <w:lang w:val="en-GB" w:eastAsia="en-US"/>
              </w:rPr>
            </w:pPr>
            <w:r w:rsidRPr="00884D55">
              <w:rPr>
                <w:sz w:val="14"/>
                <w:szCs w:val="14"/>
                <w:lang w:val="en-GB" w:eastAsia="en-US"/>
              </w:rPr>
              <w:t>Source: ARAD, CNB</w:t>
            </w:r>
          </w:p>
        </w:tc>
      </w:tr>
      <w:tr w:rsidR="00F619C3" w:rsidRPr="00884D55" w14:paraId="27988788" w14:textId="77777777" w:rsidTr="00803507">
        <w:trPr>
          <w:trHeight w:val="145"/>
        </w:trPr>
        <w:tc>
          <w:tcPr>
            <w:tcW w:w="1802" w:type="dxa"/>
          </w:tcPr>
          <w:p w14:paraId="4EB9D12C" w14:textId="02F15F6F" w:rsidR="00F619C3" w:rsidRPr="00884D55" w:rsidRDefault="00F619C3" w:rsidP="00F619C3">
            <w:pPr>
              <w:pStyle w:val="Marginlie"/>
              <w:rPr>
                <w:lang w:val="en-GB" w:eastAsia="en-US"/>
              </w:rPr>
            </w:pPr>
            <w:r>
              <w:rPr>
                <w:lang w:val="en-GB" w:eastAsia="en-US"/>
              </w:rPr>
              <w:t>renu</w:t>
            </w:r>
            <w:r w:rsidRPr="00884D55">
              <w:rPr>
                <w:lang w:val="en-GB" w:eastAsia="en-US"/>
              </w:rPr>
              <w:t xml:space="preserve">In particular, non-term deposits grew. </w:t>
            </w:r>
          </w:p>
        </w:tc>
        <w:tc>
          <w:tcPr>
            <w:tcW w:w="229" w:type="dxa"/>
          </w:tcPr>
          <w:p w14:paraId="499A62F2" w14:textId="77777777" w:rsidR="00F619C3" w:rsidRPr="00884D55" w:rsidRDefault="00F619C3" w:rsidP="00F619C3">
            <w:pPr>
              <w:pStyle w:val="Textpoznpodarou"/>
              <w:jc w:val="both"/>
              <w:rPr>
                <w:spacing w:val="-4"/>
                <w:lang w:val="en-GB" w:eastAsia="en-US"/>
              </w:rPr>
            </w:pPr>
          </w:p>
        </w:tc>
        <w:tc>
          <w:tcPr>
            <w:tcW w:w="7610" w:type="dxa"/>
          </w:tcPr>
          <w:p w14:paraId="42D2AF36" w14:textId="77777777" w:rsidR="00F619C3" w:rsidRPr="00884D55" w:rsidRDefault="00F619C3" w:rsidP="00F619C3">
            <w:pPr>
              <w:rPr>
                <w:spacing w:val="-3"/>
                <w:lang w:val="en-GB" w:eastAsia="en-US"/>
              </w:rPr>
            </w:pPr>
            <w:bookmarkStart w:id="4" w:name="_Hlk195364423"/>
            <w:r w:rsidRPr="00884D55">
              <w:rPr>
                <w:spacing w:val="-3"/>
                <w:lang w:val="en-GB" w:eastAsia="en-US"/>
              </w:rPr>
              <w:t xml:space="preserve">The interest rates on household deposits also gradually decreased. Overnight deposits had an average interest rate of 1.19% (−0.12 p. p.) at the end of December. The interest rates on current accounts remained virtually unchanged and amounted to 0.15% on average at the end of December. The average interest rate on deposits with agreed </w:t>
            </w:r>
            <w:r w:rsidRPr="00884D55">
              <w:rPr>
                <w:spacing w:val="-3"/>
                <w:lang w:val="en-GB" w:eastAsia="en-US"/>
              </w:rPr>
              <w:lastRenderedPageBreak/>
              <w:t>maturity had fallen by 2.53 p. p. since the beginning of the year and by 0.41 p. p. in Q4 and was 3.20% at the end of the year. The remuneration of deposits for non-financial businesses also shrank – deposits with agreed maturity in total were remunerated at 3.28% on average at the end of December (−0.52 p. p.). The year-on-year development of the volume of deposits reflected changes in the interest rate. The total year-on-year increase of the volume of deposits of 520.3 bn CZK was largely due to an increase in the volume of non-term deposits (+510.6 bn). The volume of term deposits increased by 9.8 bn CZK between the end of 2024 and 2023. Households</w:t>
            </w:r>
            <w:r w:rsidRPr="00884D55">
              <w:rPr>
                <w:rStyle w:val="Znakapoznpodarou"/>
                <w:spacing w:val="-3"/>
                <w:lang w:val="en-GB" w:eastAsia="en-US"/>
              </w:rPr>
              <w:footnoteReference w:id="4"/>
            </w:r>
            <w:r w:rsidRPr="00884D55">
              <w:rPr>
                <w:spacing w:val="-3"/>
                <w:lang w:val="en-GB" w:eastAsia="en-US"/>
              </w:rPr>
              <w:t xml:space="preserve"> accounted for half of the year-on-year increase of deposits (+260.8 bn CZK) and deposits of the general government sector were also significantly higher, year-on-year (+143.4 bn CZK). The year-on-year growth of deposits of non-financial businesses accelerated considerably (+128.6 bn CZK) and, conversely, deposits of financial businesses declined (−46.7 bn).   </w:t>
            </w:r>
            <w:bookmarkEnd w:id="4"/>
          </w:p>
        </w:tc>
      </w:tr>
      <w:tr w:rsidR="00F619C3" w:rsidRPr="00884D55" w14:paraId="22060359" w14:textId="77777777" w:rsidTr="00803507">
        <w:trPr>
          <w:trHeight w:val="145"/>
        </w:trPr>
        <w:tc>
          <w:tcPr>
            <w:tcW w:w="1802" w:type="dxa"/>
          </w:tcPr>
          <w:p w14:paraId="219428E0" w14:textId="77777777" w:rsidR="00F619C3" w:rsidRPr="00884D55" w:rsidRDefault="00F619C3" w:rsidP="00F619C3">
            <w:pPr>
              <w:pStyle w:val="Marginlie"/>
              <w:rPr>
                <w:lang w:val="en-GB" w:eastAsia="en-US"/>
              </w:rPr>
            </w:pPr>
            <w:bookmarkStart w:id="5" w:name="_Hlk195364665"/>
            <w:r w:rsidRPr="00884D55">
              <w:rPr>
                <w:lang w:val="en-GB" w:eastAsia="en-US"/>
              </w:rPr>
              <w:lastRenderedPageBreak/>
              <w:t xml:space="preserve">Interest rates on credit to households fell only slowly. </w:t>
            </w:r>
            <w:bookmarkEnd w:id="5"/>
          </w:p>
        </w:tc>
        <w:tc>
          <w:tcPr>
            <w:tcW w:w="229" w:type="dxa"/>
          </w:tcPr>
          <w:p w14:paraId="4BF0E341" w14:textId="77777777" w:rsidR="00F619C3" w:rsidRPr="00884D55" w:rsidRDefault="00F619C3" w:rsidP="00F619C3">
            <w:pPr>
              <w:pStyle w:val="Textpoznpodarou"/>
              <w:jc w:val="both"/>
              <w:rPr>
                <w:spacing w:val="-4"/>
                <w:lang w:val="en-GB" w:eastAsia="en-US"/>
              </w:rPr>
            </w:pPr>
          </w:p>
        </w:tc>
        <w:tc>
          <w:tcPr>
            <w:tcW w:w="7610" w:type="dxa"/>
          </w:tcPr>
          <w:p w14:paraId="734B1232" w14:textId="77777777" w:rsidR="00F619C3" w:rsidRPr="00884D55" w:rsidRDefault="00F619C3" w:rsidP="00F619C3">
            <w:pPr>
              <w:rPr>
                <w:lang w:val="en-GB" w:eastAsia="en-US"/>
              </w:rPr>
            </w:pPr>
            <w:bookmarkStart w:id="6" w:name="_Hlk195364685"/>
            <w:r w:rsidRPr="00884D55">
              <w:rPr>
                <w:lang w:val="en-GB" w:eastAsia="en-US"/>
              </w:rPr>
              <w:t>Interest rates on credit to households decreased only slightly during the year. The average interest rate on consumer credit was 0.65 p. p. lower, year on year, at the end of December and reached 8.63%.</w:t>
            </w:r>
            <w:bookmarkStart w:id="7" w:name="_Hlk195364859"/>
            <w:r w:rsidRPr="00884D55">
              <w:rPr>
                <w:lang w:val="en-GB" w:eastAsia="en-US"/>
              </w:rPr>
              <w:t xml:space="preserve"> The decline of interest rates on consumer credit was minimal (−0.06 p. p.) in Q4 alone. The recovery of domestic demand was evident in the volume of consumer credit. The year-on-year increase of volume accelerated to 9.9% at the end of December. </w:t>
            </w:r>
            <w:bookmarkStart w:id="8" w:name="_Hlk195366597"/>
            <w:bookmarkEnd w:id="6"/>
            <w:bookmarkEnd w:id="7"/>
            <w:r w:rsidRPr="00884D55">
              <w:rPr>
                <w:lang w:val="en-GB" w:eastAsia="en-US"/>
              </w:rPr>
              <w:t>Interest rates on mortgages were closely monitored throughout the year, but their reductions have also been only modest, as banks had already partially adjusted rates in the second half of 2023 in anticipation of the monetary policy-relevant rate cut that came in December 2023. The average interest rate on mortgages was 4.71% at the end of 2024, down by 0.70 p. p., year on year. Rates fell by 0.22 p. p. on average during Q4 alone. The total volume of mortgages was 5.3% higher, year on year, at the end of December 2024. The pace accelerated and was the highest since September 2022, mainly influenced by mortgage loans, the provided volume of which increased by 4.8%. The growth rate of credit from the building society accounts slowed to 19.4%</w:t>
            </w:r>
            <w:r w:rsidRPr="00884D55">
              <w:rPr>
                <w:rStyle w:val="Znakapoznpodarou"/>
                <w:lang w:val="en-GB" w:eastAsia="en-US"/>
              </w:rPr>
              <w:footnoteReference w:id="5"/>
            </w:r>
            <w:r w:rsidRPr="00884D55">
              <w:rPr>
                <w:lang w:val="en-GB" w:eastAsia="en-US"/>
              </w:rPr>
              <w:t>. New mortgage contracts</w:t>
            </w:r>
            <w:r w:rsidRPr="00884D55">
              <w:rPr>
                <w:rStyle w:val="Znakapoznpodarou"/>
                <w:lang w:val="en-GB" w:eastAsia="en-US"/>
              </w:rPr>
              <w:footnoteReference w:id="6"/>
            </w:r>
            <w:r w:rsidRPr="00884D55">
              <w:rPr>
                <w:lang w:val="en-GB" w:eastAsia="en-US"/>
              </w:rPr>
              <w:t xml:space="preserve"> amounted to 130.5 bn CZK in Q4 2024. Of this, 61.0 bn CZK comprised the other new arrangements and 60.4 bn CZK were net new loans. Refinanced loans from new contracts amounted to 9.0 bn CZK. New contracts worth 473.2 bn CZK were concluded for the whole of 2024 (169.1 bn CZK more than in 2023) and other new arrangements accounted for the majority (226.8 bn CZK, +52.7 bn). The volume of net new loans reached 212.7 bn CZK (+101.0 bn) last year. Total household debt reached 2,453.9 bn CZK at the end of 2024.          </w:t>
            </w:r>
            <w:bookmarkEnd w:id="8"/>
          </w:p>
        </w:tc>
      </w:tr>
      <w:tr w:rsidR="00F619C3" w:rsidRPr="00884D55" w14:paraId="234697B8" w14:textId="77777777" w:rsidTr="00803507">
        <w:trPr>
          <w:trHeight w:val="145"/>
        </w:trPr>
        <w:tc>
          <w:tcPr>
            <w:tcW w:w="1802" w:type="dxa"/>
          </w:tcPr>
          <w:p w14:paraId="5BBB387C" w14:textId="77777777" w:rsidR="00F619C3" w:rsidRPr="00884D55" w:rsidRDefault="00F619C3" w:rsidP="00F619C3">
            <w:pPr>
              <w:pStyle w:val="Marginlie"/>
              <w:rPr>
                <w:lang w:val="en-GB" w:eastAsia="en-US"/>
              </w:rPr>
            </w:pPr>
            <w:r w:rsidRPr="00884D55">
              <w:rPr>
                <w:lang w:val="en-GB" w:eastAsia="en-US"/>
              </w:rPr>
              <w:t xml:space="preserve">Businesses borrowed more in foreign currencies. </w:t>
            </w:r>
          </w:p>
        </w:tc>
        <w:tc>
          <w:tcPr>
            <w:tcW w:w="229" w:type="dxa"/>
          </w:tcPr>
          <w:p w14:paraId="3872CE01" w14:textId="77777777" w:rsidR="00F619C3" w:rsidRPr="00884D55" w:rsidRDefault="00F619C3" w:rsidP="00F619C3">
            <w:pPr>
              <w:pStyle w:val="Textpoznpodarou"/>
              <w:jc w:val="both"/>
              <w:rPr>
                <w:spacing w:val="-4"/>
                <w:lang w:val="en-GB" w:eastAsia="en-US"/>
              </w:rPr>
            </w:pPr>
          </w:p>
        </w:tc>
        <w:tc>
          <w:tcPr>
            <w:tcW w:w="7610" w:type="dxa"/>
          </w:tcPr>
          <w:p w14:paraId="2755D7DA" w14:textId="77777777" w:rsidR="00F619C3" w:rsidRPr="00884D55" w:rsidRDefault="00F619C3" w:rsidP="00F619C3">
            <w:pPr>
              <w:rPr>
                <w:lang w:val="en-GB" w:eastAsia="en-US"/>
              </w:rPr>
            </w:pPr>
            <w:bookmarkStart w:id="10" w:name="_Hlk195366768"/>
            <w:r w:rsidRPr="00884D55">
              <w:rPr>
                <w:lang w:val="en-GB" w:eastAsia="en-US"/>
              </w:rPr>
              <w:t>The average interest rate on credit to non-financial businesses fell the most in the case of credit up to 7.5 mil CZK in Q4 (−0.53 p. p. to 5.89% at the end of December). For credit between 7.5 mil CZK and 30 mil CZK, this represented a decrease of 0.30 p. p. to 5.86%. Credit over 30 mil CZK bore an average interest rate of 5.74% at the end of December, which was 0.24 p. p. less than at the end of September 2024. The total volume of credit and claims of non-financial businesses was 5.2% higher, year on year, at the end of December 2024. The pace slowed down throughout the year. As usual, credit denominated in foreign currency grew faster (8.0%), accounting for 52.5% of the total volume of credit and claims of non-financial businesses at the end of December</w:t>
            </w:r>
            <w:r w:rsidRPr="00884D55">
              <w:rPr>
                <w:rStyle w:val="Znakapoznpodarou"/>
                <w:lang w:val="en-GB" w:eastAsia="en-US"/>
              </w:rPr>
              <w:footnoteReference w:id="7"/>
            </w:r>
            <w:r w:rsidRPr="00884D55">
              <w:rPr>
                <w:lang w:val="en-GB" w:eastAsia="en-US"/>
              </w:rPr>
              <w:t xml:space="preserve">. However, growth of koruna credit is also gradually reviving (2.3%). The volume of credit provided increased the most, year-on-year, in professional, scientific, technical and administrative activities (31.1%) and in accommodation, food service and restaurants (13.2%) as of 31 December. Above-average growth of credit was also recorded in real </w:t>
            </w:r>
            <w:r w:rsidRPr="00884D55">
              <w:rPr>
                <w:lang w:val="en-GB" w:eastAsia="en-US"/>
              </w:rPr>
              <w:lastRenderedPageBreak/>
              <w:t xml:space="preserve">estate activities (7.8%), construction (6.5%) and transportation and storage (5.7%). The largest decrease was recorded in information and communication (−19.8%), electricity, gas, heat, air and water generation and distribution (−14.1%).  </w:t>
            </w:r>
            <w:bookmarkEnd w:id="10"/>
          </w:p>
        </w:tc>
      </w:tr>
    </w:tbl>
    <w:p w14:paraId="654454BF" w14:textId="7640D7F1" w:rsidR="00F619C3" w:rsidRDefault="00F619C3" w:rsidP="00592940">
      <w:pPr>
        <w:spacing w:after="0" w:line="240" w:lineRule="auto"/>
        <w:jc w:val="left"/>
        <w:rPr>
          <w:rFonts w:eastAsia="MS Gothic"/>
          <w:b/>
          <w:bCs/>
          <w:color w:val="71818C"/>
          <w:sz w:val="32"/>
          <w:szCs w:val="32"/>
          <w:highlight w:val="yellow"/>
          <w:lang w:val="en-GB"/>
        </w:rPr>
      </w:pPr>
      <w:bookmarkStart w:id="11" w:name="_GoBack"/>
      <w:bookmarkEnd w:id="11"/>
    </w:p>
    <w:sectPr w:rsidR="00F619C3" w:rsidSect="00592940">
      <w:headerReference w:type="even" r:id="rId12"/>
      <w:headerReference w:type="default" r:id="rId13"/>
      <w:footerReference w:type="even" r:id="rId14"/>
      <w:footerReference w:type="default" r:id="rId15"/>
      <w:pgSz w:w="11906" w:h="16838" w:code="9"/>
      <w:pgMar w:top="1134" w:right="1134" w:bottom="1418" w:left="1134" w:header="680" w:footer="680"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EB545" w14:textId="77777777" w:rsidR="006145FA" w:rsidRDefault="006145FA" w:rsidP="00E71A58">
      <w:r>
        <w:separator/>
      </w:r>
    </w:p>
  </w:endnote>
  <w:endnote w:type="continuationSeparator" w:id="0">
    <w:p w14:paraId="3C0B90D9" w14:textId="77777777" w:rsidR="006145FA" w:rsidRDefault="006145FA" w:rsidP="00E71A58">
      <w:r>
        <w:continuationSeparator/>
      </w:r>
    </w:p>
  </w:endnote>
  <w:endnote w:type="continuationNotice" w:id="1">
    <w:p w14:paraId="1EBDFB32" w14:textId="77777777" w:rsidR="006145FA" w:rsidRDefault="00614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8" w14:textId="06D1DB91" w:rsidR="006145FA" w:rsidRPr="00932443" w:rsidRDefault="006145FA"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592940">
      <w:rPr>
        <w:szCs w:val="16"/>
      </w:rPr>
      <w:t>46</w:t>
    </w:r>
    <w:r w:rsidRPr="00932443">
      <w:rPr>
        <w:szCs w:val="16"/>
      </w:rPr>
      <w:fldChar w:fldCharType="end"/>
    </w:r>
    <w:r w:rsidRPr="00932443">
      <w:rPr>
        <w:szCs w:val="16"/>
      </w:rPr>
      <w:tab/>
    </w:r>
    <w:r>
      <w:rPr>
        <w:szCs w:val="16"/>
      </w:rPr>
      <w:t>Year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1627744C" w:rsidR="006145FA" w:rsidRPr="00932443" w:rsidRDefault="006145FA"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Year 2024</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592940">
      <w:rPr>
        <w:rStyle w:val="ZpatChar"/>
        <w:szCs w:val="16"/>
      </w:rPr>
      <w:t>45</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6EFC" w14:textId="77777777" w:rsidR="006145FA" w:rsidRDefault="006145FA" w:rsidP="00EA4302">
      <w:pPr>
        <w:spacing w:after="0"/>
      </w:pPr>
      <w:r>
        <w:separator/>
      </w:r>
    </w:p>
  </w:footnote>
  <w:footnote w:type="continuationSeparator" w:id="0">
    <w:p w14:paraId="1A4436FD" w14:textId="77777777" w:rsidR="006145FA" w:rsidRDefault="006145FA" w:rsidP="00E71A58">
      <w:r>
        <w:continuationSeparator/>
      </w:r>
    </w:p>
  </w:footnote>
  <w:footnote w:type="continuationNotice" w:id="1">
    <w:p w14:paraId="4F32D3FB" w14:textId="77777777" w:rsidR="006145FA" w:rsidRDefault="006145FA">
      <w:pPr>
        <w:spacing w:after="0" w:line="240" w:lineRule="auto"/>
      </w:pPr>
    </w:p>
  </w:footnote>
  <w:footnote w:id="2">
    <w:p w14:paraId="20C0F228" w14:textId="77777777" w:rsidR="006145FA" w:rsidRPr="00FD084C" w:rsidRDefault="006145FA" w:rsidP="00803507">
      <w:pPr>
        <w:pStyle w:val="Textpoznpodarou"/>
        <w:jc w:val="both"/>
        <w:rPr>
          <w:sz w:val="16"/>
          <w:szCs w:val="16"/>
          <w:lang w:val="en-GB"/>
        </w:rPr>
      </w:pPr>
      <w:r>
        <w:rPr>
          <w:rStyle w:val="Znakapoznpodarou"/>
          <w:sz w:val="16"/>
          <w:szCs w:val="16"/>
        </w:rPr>
        <w:footnoteRef/>
      </w:r>
      <w:r>
        <w:rPr>
          <w:sz w:val="16"/>
          <w:szCs w:val="16"/>
        </w:rPr>
        <w:t xml:space="preserve"> </w:t>
      </w:r>
      <w:r w:rsidRPr="00FD084C">
        <w:rPr>
          <w:sz w:val="16"/>
          <w:szCs w:val="16"/>
          <w:lang w:val="en-GB"/>
        </w:rPr>
        <w:t xml:space="preserve">The source of data in the chapter is the Czech National Bank database ARAD. Values of foreign exchange rates also stem from the CNB. </w:t>
      </w:r>
    </w:p>
  </w:footnote>
  <w:footnote w:id="3">
    <w:p w14:paraId="2516A633" w14:textId="77777777" w:rsidR="006145FA" w:rsidRPr="00FD084C" w:rsidRDefault="006145FA" w:rsidP="00803507">
      <w:pPr>
        <w:pStyle w:val="Textpoznpodarou"/>
        <w:jc w:val="both"/>
        <w:rPr>
          <w:sz w:val="16"/>
          <w:szCs w:val="16"/>
          <w:lang w:val="en-GB"/>
        </w:rPr>
      </w:pPr>
      <w:r w:rsidRPr="00FD084C">
        <w:rPr>
          <w:rStyle w:val="Znakapoznpodarou"/>
          <w:sz w:val="16"/>
          <w:szCs w:val="16"/>
          <w:lang w:val="en-GB"/>
        </w:rPr>
        <w:footnoteRef/>
      </w:r>
      <w:r w:rsidRPr="00FD084C">
        <w:rPr>
          <w:sz w:val="16"/>
          <w:szCs w:val="16"/>
          <w:lang w:val="en-GB"/>
        </w:rPr>
        <w:t xml:space="preserve"> Unless stated otherwise, as the change of interest rates is meant the difference between value as of 31</w:t>
      </w:r>
      <w:r w:rsidRPr="00FD084C">
        <w:rPr>
          <w:sz w:val="16"/>
          <w:szCs w:val="16"/>
          <w:vertAlign w:val="superscript"/>
          <w:lang w:val="en-GB"/>
        </w:rPr>
        <w:t>st</w:t>
      </w:r>
      <w:r w:rsidRPr="00FD084C">
        <w:rPr>
          <w:sz w:val="16"/>
          <w:szCs w:val="16"/>
          <w:lang w:val="en-GB"/>
        </w:rPr>
        <w:t xml:space="preserve"> December 2024 and 30</w:t>
      </w:r>
      <w:r w:rsidRPr="00FD084C">
        <w:rPr>
          <w:sz w:val="16"/>
          <w:szCs w:val="16"/>
          <w:vertAlign w:val="superscript"/>
          <w:lang w:val="en-GB"/>
        </w:rPr>
        <w:t>th</w:t>
      </w:r>
      <w:r w:rsidRPr="00FD084C">
        <w:rPr>
          <w:sz w:val="16"/>
          <w:szCs w:val="16"/>
          <w:lang w:val="en-GB"/>
        </w:rPr>
        <w:t xml:space="preserve"> September 2024. </w:t>
      </w:r>
    </w:p>
  </w:footnote>
  <w:footnote w:id="4">
    <w:p w14:paraId="70F2B8CF" w14:textId="77777777" w:rsidR="006145FA" w:rsidRPr="00FD084C" w:rsidRDefault="006145FA" w:rsidP="00803507">
      <w:pPr>
        <w:pStyle w:val="Textpoznpodarou"/>
        <w:jc w:val="both"/>
        <w:rPr>
          <w:sz w:val="16"/>
          <w:szCs w:val="16"/>
          <w:lang w:val="en-GB"/>
        </w:rPr>
      </w:pPr>
      <w:r w:rsidRPr="00FD084C">
        <w:rPr>
          <w:rStyle w:val="Znakapoznpodarou"/>
          <w:sz w:val="16"/>
          <w:szCs w:val="16"/>
          <w:lang w:val="en-GB"/>
        </w:rPr>
        <w:footnoteRef/>
      </w:r>
      <w:r w:rsidRPr="00FD084C">
        <w:rPr>
          <w:sz w:val="16"/>
          <w:szCs w:val="16"/>
          <w:lang w:val="en-GB"/>
        </w:rPr>
        <w:t xml:space="preserve"> Population including self-employed persons. </w:t>
      </w:r>
    </w:p>
  </w:footnote>
  <w:footnote w:id="5">
    <w:p w14:paraId="2AA8C593" w14:textId="77777777" w:rsidR="006145FA" w:rsidRPr="008A675C" w:rsidRDefault="006145FA" w:rsidP="00803507">
      <w:pPr>
        <w:pStyle w:val="Textpoznpodarou"/>
        <w:jc w:val="both"/>
        <w:rPr>
          <w:sz w:val="16"/>
          <w:szCs w:val="16"/>
          <w:lang w:val="en-GB"/>
        </w:rPr>
      </w:pPr>
      <w:r w:rsidRPr="00A90EF9">
        <w:rPr>
          <w:rStyle w:val="Znakapoznpodarou"/>
          <w:sz w:val="16"/>
          <w:szCs w:val="16"/>
        </w:rPr>
        <w:footnoteRef/>
      </w:r>
      <w:r w:rsidRPr="00A90EF9">
        <w:rPr>
          <w:sz w:val="16"/>
          <w:szCs w:val="16"/>
        </w:rPr>
        <w:t xml:space="preserve"> </w:t>
      </w:r>
      <w:bookmarkStart w:id="9" w:name="_Hlk195367415"/>
      <w:r>
        <w:rPr>
          <w:sz w:val="16"/>
          <w:szCs w:val="16"/>
        </w:rPr>
        <w:t xml:space="preserve">The credit from the building society accounts maintain double digit pace since the end of year </w:t>
      </w:r>
      <w:r w:rsidRPr="004839DD">
        <w:rPr>
          <w:sz w:val="16"/>
          <w:szCs w:val="16"/>
          <w:lang w:val="en-GB"/>
        </w:rPr>
        <w:t xml:space="preserve">2022. </w:t>
      </w:r>
      <w:r>
        <w:rPr>
          <w:sz w:val="16"/>
          <w:szCs w:val="16"/>
          <w:lang w:val="en-GB"/>
        </w:rPr>
        <w:t xml:space="preserve">Their maximum interest is restricted by the law, so they have become a more advantageous financing instrument compared to mortgages for the debtors. </w:t>
      </w:r>
      <w:r w:rsidRPr="008A675C">
        <w:rPr>
          <w:sz w:val="16"/>
          <w:szCs w:val="16"/>
          <w:lang w:val="en-GB"/>
        </w:rPr>
        <w:t xml:space="preserve"> </w:t>
      </w:r>
    </w:p>
    <w:bookmarkEnd w:id="9"/>
  </w:footnote>
  <w:footnote w:id="6">
    <w:p w14:paraId="27B0734B" w14:textId="77777777" w:rsidR="006145FA" w:rsidRPr="008A675C" w:rsidRDefault="006145FA" w:rsidP="00803507">
      <w:pPr>
        <w:pStyle w:val="Textpoznpodarou"/>
        <w:jc w:val="both"/>
        <w:rPr>
          <w:sz w:val="16"/>
          <w:szCs w:val="16"/>
          <w:lang w:val="en-GB"/>
        </w:rPr>
      </w:pPr>
      <w:r w:rsidRPr="008A675C">
        <w:rPr>
          <w:rStyle w:val="Znakapoznpodarou"/>
          <w:sz w:val="16"/>
          <w:szCs w:val="16"/>
          <w:lang w:val="en-GB"/>
        </w:rPr>
        <w:footnoteRef/>
      </w:r>
      <w:r w:rsidRPr="008A675C">
        <w:rPr>
          <w:sz w:val="16"/>
          <w:szCs w:val="16"/>
          <w:lang w:val="en-GB"/>
        </w:rPr>
        <w:t xml:space="preserve"> </w:t>
      </w:r>
      <w:r w:rsidRPr="007E1443">
        <w:rPr>
          <w:sz w:val="16"/>
          <w:szCs w:val="16"/>
          <w:lang w:val="en-GB"/>
        </w:rPr>
        <w:t xml:space="preserve">New contracts also include the refinanced credit and </w:t>
      </w:r>
      <w:r>
        <w:rPr>
          <w:sz w:val="16"/>
          <w:szCs w:val="16"/>
          <w:lang w:val="en-GB"/>
        </w:rPr>
        <w:t>o</w:t>
      </w:r>
      <w:r w:rsidRPr="007A3C7D">
        <w:rPr>
          <w:sz w:val="16"/>
          <w:szCs w:val="16"/>
          <w:lang w:val="en-GB"/>
        </w:rPr>
        <w:t>ther renegotiated loans</w:t>
      </w:r>
      <w:r w:rsidRPr="007E1443">
        <w:rPr>
          <w:sz w:val="16"/>
          <w:szCs w:val="16"/>
          <w:lang w:val="en-GB"/>
        </w:rPr>
        <w:t>. Refinanc</w:t>
      </w:r>
      <w:r>
        <w:rPr>
          <w:sz w:val="16"/>
          <w:szCs w:val="16"/>
          <w:lang w:val="en-GB"/>
        </w:rPr>
        <w:t xml:space="preserve">ed credit includes current contracts concluded newly at other bank, while other renegotiated loans are current contracts concluded with new conditions at the same bank. </w:t>
      </w:r>
    </w:p>
  </w:footnote>
  <w:footnote w:id="7">
    <w:p w14:paraId="3743C463" w14:textId="77777777" w:rsidR="006145FA" w:rsidRPr="008A675C" w:rsidRDefault="006145FA" w:rsidP="00803507">
      <w:pPr>
        <w:pStyle w:val="Textpoznpodarou"/>
        <w:jc w:val="both"/>
        <w:rPr>
          <w:sz w:val="16"/>
          <w:szCs w:val="16"/>
          <w:lang w:val="en-GB"/>
        </w:rPr>
      </w:pPr>
      <w:r w:rsidRPr="008A675C">
        <w:rPr>
          <w:rStyle w:val="Znakapoznpodarou"/>
          <w:sz w:val="16"/>
          <w:szCs w:val="16"/>
          <w:lang w:val="en-GB"/>
        </w:rPr>
        <w:footnoteRef/>
      </w:r>
      <w:r w:rsidRPr="008A675C">
        <w:rPr>
          <w:sz w:val="16"/>
          <w:szCs w:val="16"/>
          <w:lang w:val="en-GB"/>
        </w:rPr>
        <w:t xml:space="preserve"> </w:t>
      </w:r>
      <w:r>
        <w:rPr>
          <w:sz w:val="16"/>
          <w:szCs w:val="16"/>
          <w:lang w:val="en-GB"/>
        </w:rPr>
        <w:t xml:space="preserve">Credit in foreign currency started to rise steeply following the commencement of the repeated increase of the monetary policy-relevant rates in June </w:t>
      </w:r>
      <w:r w:rsidRPr="007E1443">
        <w:rPr>
          <w:sz w:val="16"/>
          <w:szCs w:val="16"/>
          <w:lang w:val="en-GB"/>
        </w:rPr>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3008622" w:rsidR="006145FA" w:rsidRPr="00C27E4F" w:rsidRDefault="006145FA" w:rsidP="00C27E4F">
    <w:pPr>
      <w:pStyle w:val="Zhlav"/>
    </w:pPr>
    <w: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66FE4D49" w:rsidR="006145FA" w:rsidRPr="006F5416" w:rsidRDefault="006145FA" w:rsidP="00937AE2">
    <w:pPr>
      <w:pStyle w:val="Zhlav"/>
    </w:pPr>
    <w: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1.25pt;height:11.25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5"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3"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26"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29"/>
  </w:num>
  <w:num w:numId="14">
    <w:abstractNumId w:val="14"/>
  </w:num>
  <w:num w:numId="15">
    <w:abstractNumId w:val="20"/>
  </w:num>
  <w:num w:numId="16">
    <w:abstractNumId w:val="16"/>
  </w:num>
  <w:num w:numId="17">
    <w:abstractNumId w:val="30"/>
  </w:num>
  <w:num w:numId="18">
    <w:abstractNumId w:val="21"/>
  </w:num>
  <w:num w:numId="19">
    <w:abstractNumId w:val="32"/>
  </w:num>
  <w:num w:numId="20">
    <w:abstractNumId w:val="37"/>
  </w:num>
  <w:num w:numId="21">
    <w:abstractNumId w:val="28"/>
  </w:num>
  <w:num w:numId="22">
    <w:abstractNumId w:val="19"/>
  </w:num>
  <w:num w:numId="23">
    <w:abstractNumId w:val="17"/>
  </w:num>
  <w:num w:numId="24">
    <w:abstractNumId w:val="18"/>
  </w:num>
  <w:num w:numId="25">
    <w:abstractNumId w:val="35"/>
  </w:num>
  <w:num w:numId="26">
    <w:abstractNumId w:val="36"/>
  </w:num>
  <w:num w:numId="27">
    <w:abstractNumId w:val="13"/>
  </w:num>
  <w:num w:numId="28">
    <w:abstractNumId w:val="23"/>
  </w:num>
  <w:num w:numId="29">
    <w:abstractNumId w:val="22"/>
  </w:num>
  <w:num w:numId="30">
    <w:abstractNumId w:val="10"/>
  </w:num>
  <w:num w:numId="31">
    <w:abstractNumId w:val="24"/>
  </w:num>
  <w:num w:numId="32">
    <w:abstractNumId w:val="12"/>
  </w:num>
  <w:num w:numId="33">
    <w:abstractNumId w:val="39"/>
  </w:num>
  <w:num w:numId="34">
    <w:abstractNumId w:val="11"/>
  </w:num>
  <w:num w:numId="35">
    <w:abstractNumId w:val="31"/>
  </w:num>
  <w:num w:numId="36">
    <w:abstractNumId w:val="26"/>
  </w:num>
  <w:num w:numId="37">
    <w:abstractNumId w:val="25"/>
  </w:num>
  <w:num w:numId="38">
    <w:abstractNumId w:val="33"/>
  </w:num>
  <w:num w:numId="39">
    <w:abstractNumId w:val="3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24D3"/>
    <w:rsid w:val="00004D5A"/>
    <w:rsid w:val="000056D5"/>
    <w:rsid w:val="00006ABD"/>
    <w:rsid w:val="0000767A"/>
    <w:rsid w:val="00010256"/>
    <w:rsid w:val="00010702"/>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B461F"/>
    <w:rsid w:val="003B5A32"/>
    <w:rsid w:val="003C3490"/>
    <w:rsid w:val="003C7E62"/>
    <w:rsid w:val="003D6920"/>
    <w:rsid w:val="003E0A6F"/>
    <w:rsid w:val="003E48F2"/>
    <w:rsid w:val="003E4C91"/>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41A0"/>
    <w:rsid w:val="004455BA"/>
    <w:rsid w:val="0045078A"/>
    <w:rsid w:val="0045086D"/>
    <w:rsid w:val="00451504"/>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2940"/>
    <w:rsid w:val="00593152"/>
    <w:rsid w:val="005A10F2"/>
    <w:rsid w:val="005A21E0"/>
    <w:rsid w:val="005A28FF"/>
    <w:rsid w:val="005A3DF8"/>
    <w:rsid w:val="005A5549"/>
    <w:rsid w:val="005A7038"/>
    <w:rsid w:val="005B121D"/>
    <w:rsid w:val="005C06ED"/>
    <w:rsid w:val="005C159F"/>
    <w:rsid w:val="005C2609"/>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95BEF"/>
    <w:rsid w:val="006977F6"/>
    <w:rsid w:val="00697A13"/>
    <w:rsid w:val="006A109C"/>
    <w:rsid w:val="006B0F9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2180"/>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60D1"/>
    <w:rsid w:val="009B6FD3"/>
    <w:rsid w:val="009C1750"/>
    <w:rsid w:val="009C2E29"/>
    <w:rsid w:val="009C554B"/>
    <w:rsid w:val="009C719E"/>
    <w:rsid w:val="009C7A10"/>
    <w:rsid w:val="009D3ACD"/>
    <w:rsid w:val="009E5273"/>
    <w:rsid w:val="009E5DDB"/>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FED"/>
    <w:rsid w:val="00AA2996"/>
    <w:rsid w:val="00AA52BF"/>
    <w:rsid w:val="00AA559A"/>
    <w:rsid w:val="00AB2AF1"/>
    <w:rsid w:val="00AC45BD"/>
    <w:rsid w:val="00AD168E"/>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3C1C"/>
    <w:rsid w:val="00E47EBA"/>
    <w:rsid w:val="00E50156"/>
    <w:rsid w:val="00E51643"/>
    <w:rsid w:val="00E53470"/>
    <w:rsid w:val="00E539F6"/>
    <w:rsid w:val="00E551F6"/>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62C6"/>
    <w:rsid w:val="00ED64C1"/>
    <w:rsid w:val="00EE3446"/>
    <w:rsid w:val="00EE3E78"/>
    <w:rsid w:val="00EE4B1B"/>
    <w:rsid w:val="00EE7F19"/>
    <w:rsid w:val="00EF150D"/>
    <w:rsid w:val="00EF1F5A"/>
    <w:rsid w:val="00EF3741"/>
    <w:rsid w:val="00EF47BF"/>
    <w:rsid w:val="00F00320"/>
    <w:rsid w:val="00F04811"/>
    <w:rsid w:val="00F0488C"/>
    <w:rsid w:val="00F10F11"/>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557159743329959E-2"/>
          <c:y val="2.1711264016309892E-2"/>
          <c:w val="0.93757303275920301"/>
          <c:h val="0.73130361364404473"/>
        </c:manualLayout>
      </c:layout>
      <c:barChart>
        <c:barDir val="col"/>
        <c:grouping val="clustered"/>
        <c:varyColors val="0"/>
        <c:ser>
          <c:idx val="0"/>
          <c:order val="0"/>
          <c:tx>
            <c:strRef>
              <c:f>'Měnové podmínky 1'!$C$5</c:f>
              <c:strCache>
                <c:ptCount val="1"/>
                <c:pt idx="0">
                  <c:v>2W repo rate</c:v>
                </c:pt>
              </c:strCache>
            </c:strRef>
          </c:tx>
          <c:spPr>
            <a:solidFill>
              <a:schemeClr val="bg1">
                <a:lumMod val="65000"/>
              </a:schemeClr>
            </a:solidFill>
          </c:spPr>
          <c:invertIfNegative val="0"/>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1'!$C$18:$C$89</c:f>
              <c:numCache>
                <c:formatCode>General</c:formatCode>
                <c:ptCount val="72"/>
                <c:pt idx="0">
                  <c:v>1.75</c:v>
                </c:pt>
                <c:pt idx="1">
                  <c:v>1.75</c:v>
                </c:pt>
                <c:pt idx="2">
                  <c:v>1.75</c:v>
                </c:pt>
                <c:pt idx="3">
                  <c:v>1.75</c:v>
                </c:pt>
                <c:pt idx="4">
                  <c:v>2</c:v>
                </c:pt>
                <c:pt idx="5">
                  <c:v>2</c:v>
                </c:pt>
                <c:pt idx="6">
                  <c:v>2</c:v>
                </c:pt>
                <c:pt idx="7">
                  <c:v>2</c:v>
                </c:pt>
                <c:pt idx="8">
                  <c:v>2</c:v>
                </c:pt>
                <c:pt idx="9">
                  <c:v>2</c:v>
                </c:pt>
                <c:pt idx="10">
                  <c:v>2</c:v>
                </c:pt>
                <c:pt idx="11">
                  <c:v>2</c:v>
                </c:pt>
                <c:pt idx="12">
                  <c:v>2</c:v>
                </c:pt>
                <c:pt idx="13">
                  <c:v>2.25</c:v>
                </c:pt>
                <c:pt idx="14">
                  <c:v>1</c:v>
                </c:pt>
                <c:pt idx="15">
                  <c:v>1</c:v>
                </c:pt>
                <c:pt idx="16">
                  <c:v>0.25</c:v>
                </c:pt>
                <c:pt idx="17">
                  <c:v>0.25</c:v>
                </c:pt>
                <c:pt idx="18">
                  <c:v>0.25</c:v>
                </c:pt>
                <c:pt idx="19">
                  <c:v>0.25</c:v>
                </c:pt>
                <c:pt idx="20">
                  <c:v>0.25</c:v>
                </c:pt>
                <c:pt idx="21">
                  <c:v>0.25</c:v>
                </c:pt>
                <c:pt idx="22">
                  <c:v>0.25</c:v>
                </c:pt>
                <c:pt idx="23">
                  <c:v>0.25</c:v>
                </c:pt>
                <c:pt idx="24">
                  <c:v>0.25</c:v>
                </c:pt>
                <c:pt idx="25">
                  <c:v>0.25</c:v>
                </c:pt>
                <c:pt idx="26">
                  <c:v>0.25</c:v>
                </c:pt>
                <c:pt idx="27">
                  <c:v>0.25</c:v>
                </c:pt>
                <c:pt idx="28">
                  <c:v>0.25</c:v>
                </c:pt>
                <c:pt idx="29">
                  <c:v>0.5</c:v>
                </c:pt>
                <c:pt idx="30">
                  <c:v>0.5</c:v>
                </c:pt>
                <c:pt idx="31">
                  <c:v>0.75</c:v>
                </c:pt>
                <c:pt idx="32">
                  <c:v>0.75</c:v>
                </c:pt>
                <c:pt idx="33">
                  <c:v>1.5</c:v>
                </c:pt>
                <c:pt idx="34">
                  <c:v>2.75</c:v>
                </c:pt>
                <c:pt idx="35">
                  <c:v>3.75</c:v>
                </c:pt>
                <c:pt idx="36">
                  <c:v>3.75</c:v>
                </c:pt>
                <c:pt idx="37">
                  <c:v>4.5</c:v>
                </c:pt>
                <c:pt idx="38">
                  <c:v>4.5</c:v>
                </c:pt>
                <c:pt idx="39">
                  <c:v>5</c:v>
                </c:pt>
                <c:pt idx="40">
                  <c:v>5.75</c:v>
                </c:pt>
                <c:pt idx="41">
                  <c:v>7</c:v>
                </c:pt>
                <c:pt idx="42">
                  <c:v>7</c:v>
                </c:pt>
                <c:pt idx="43">
                  <c:v>7</c:v>
                </c:pt>
                <c:pt idx="44">
                  <c:v>7</c:v>
                </c:pt>
                <c:pt idx="45">
                  <c:v>7</c:v>
                </c:pt>
                <c:pt idx="46">
                  <c:v>7</c:v>
                </c:pt>
                <c:pt idx="47">
                  <c:v>7</c:v>
                </c:pt>
                <c:pt idx="48">
                  <c:v>7</c:v>
                </c:pt>
                <c:pt idx="49">
                  <c:v>7</c:v>
                </c:pt>
                <c:pt idx="50">
                  <c:v>7</c:v>
                </c:pt>
                <c:pt idx="51" formatCode="###\ ###\ ###\ ###\ ##0.00;\-###\ ###\ ###\ ###\ ##0.00">
                  <c:v>7</c:v>
                </c:pt>
                <c:pt idx="52" formatCode="###\ ###\ ###\ ###\ ##0.00;\-###\ ###\ ###\ ###\ ##0.00">
                  <c:v>7</c:v>
                </c:pt>
                <c:pt idx="53" formatCode="###\ ###\ ###\ ###\ ##0.00;\-###\ ###\ ###\ ###\ ##0.00">
                  <c:v>7</c:v>
                </c:pt>
                <c:pt idx="54" formatCode="###\ ###\ ###\ ###\ ##0.00;\-###\ ###\ ###\ ###\ ##0.00">
                  <c:v>7</c:v>
                </c:pt>
                <c:pt idx="55" formatCode="###\ ###\ ###\ ###\ ##0.00;\-###\ ###\ ###\ ###\ ##0.00">
                  <c:v>7</c:v>
                </c:pt>
                <c:pt idx="56" formatCode="###\ ###\ ###\ ###\ ##0.00;\-###\ ###\ ###\ ###\ ##0.00">
                  <c:v>7</c:v>
                </c:pt>
                <c:pt idx="57" formatCode="###\ ###\ ###\ ###\ ##0.00;\-###\ ###\ ###\ ###\ ##0.00">
                  <c:v>7</c:v>
                </c:pt>
                <c:pt idx="58" formatCode="###\ ###\ ###\ ###\ ##0.00;\-###\ ###\ ###\ ###\ ##0.00">
                  <c:v>7</c:v>
                </c:pt>
                <c:pt idx="59" formatCode="###\ ###\ ###\ ###\ ##0.00;\-###\ ###\ ###\ ###\ ##0.00">
                  <c:v>6.75</c:v>
                </c:pt>
                <c:pt idx="60" formatCode="###\ ###\ ###\ ###\ ##0.00;\-###\ ###\ ###\ ###\ ##0.00">
                  <c:v>6.75</c:v>
                </c:pt>
                <c:pt idx="61" formatCode="###\ ###\ ###\ ###\ ##0.00;\-###\ ###\ ###\ ###\ ##0.00">
                  <c:v>6.25</c:v>
                </c:pt>
                <c:pt idx="62" formatCode="###\ ###\ ###\ ###\ ##0.00;\-###\ ###\ ###\ ###\ ##0.00">
                  <c:v>5.75</c:v>
                </c:pt>
                <c:pt idx="63" formatCode="###\ ###\ ###\ ###\ ##0.00;\-###\ ###\ ###\ ###\ ##0.00">
                  <c:v>5.75</c:v>
                </c:pt>
                <c:pt idx="64" formatCode="###\ ###\ ###\ ###\ ##0.00;\-###\ ###\ ###\ ###\ ##0.00">
                  <c:v>5.25</c:v>
                </c:pt>
                <c:pt idx="65" formatCode="###\ ###\ ###\ ###\ ##0.00;\-###\ ###\ ###\ ###\ ##0.00">
                  <c:v>4.75</c:v>
                </c:pt>
                <c:pt idx="66" formatCode="###\ ###\ ###\ ###\ ##0.00;\-###\ ###\ ###\ ###\ ##0.00">
                  <c:v>4.75</c:v>
                </c:pt>
                <c:pt idx="67" formatCode="###\ ###\ ###\ ###\ ##0.00;\-###\ ###\ ###\ ###\ ##0.00">
                  <c:v>4.5</c:v>
                </c:pt>
                <c:pt idx="68" formatCode="###\ ###\ ###\ ###\ ##0.00;\-###\ ###\ ###\ ###\ ##0.00">
                  <c:v>4.25</c:v>
                </c:pt>
                <c:pt idx="69" formatCode="###\ ###\ ###\ ###\ ##0.00;\-###\ ###\ ###\ ###\ ##0.00">
                  <c:v>4.25</c:v>
                </c:pt>
                <c:pt idx="70" formatCode="###\ ###\ ###\ ###\ ##0.00;\-###\ ###\ ###\ ###\ ##0.00">
                  <c:v>4</c:v>
                </c:pt>
                <c:pt idx="71" formatCode="###\ ###\ ###\ ###\ ##0.00;\-###\ ###\ ###\ ###\ ##0.00">
                  <c:v>4</c:v>
                </c:pt>
              </c:numCache>
            </c:numRef>
          </c:val>
          <c:extLst>
            <c:ext xmlns:c16="http://schemas.microsoft.com/office/drawing/2014/chart" uri="{C3380CC4-5D6E-409C-BE32-E72D297353CC}">
              <c16:uniqueId val="{00000000-ECEE-4DC5-8EC2-E980353AB105}"/>
            </c:ext>
          </c:extLst>
        </c:ser>
        <c:dLbls>
          <c:showLegendKey val="0"/>
          <c:showVal val="0"/>
          <c:showCatName val="0"/>
          <c:showSerName val="0"/>
          <c:showPercent val="0"/>
          <c:showBubbleSize val="0"/>
        </c:dLbls>
        <c:gapWidth val="31"/>
        <c:axId val="131001344"/>
        <c:axId val="131027712"/>
      </c:barChart>
      <c:lineChart>
        <c:grouping val="standard"/>
        <c:varyColors val="0"/>
        <c:ser>
          <c:idx val="3"/>
          <c:order val="1"/>
          <c:tx>
            <c:strRef>
              <c:f>'Měnové podmínky 1'!$F$5</c:f>
              <c:strCache>
                <c:ptCount val="1"/>
                <c:pt idx="0">
                  <c:v>Average yield of government bonds (2Y)</c:v>
                </c:pt>
              </c:strCache>
            </c:strRef>
          </c:tx>
          <c:spPr>
            <a:ln w="19050">
              <a:solidFill>
                <a:srgbClr val="7DBB2D"/>
              </a:solidFill>
            </a:ln>
          </c:spPr>
          <c:marker>
            <c:symbol val="none"/>
          </c:marker>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1'!$F$18:$F$89</c:f>
              <c:numCache>
                <c:formatCode>General</c:formatCode>
                <c:ptCount val="72"/>
                <c:pt idx="0">
                  <c:v>1.66</c:v>
                </c:pt>
                <c:pt idx="1">
                  <c:v>1.74</c:v>
                </c:pt>
                <c:pt idx="2">
                  <c:v>1.71</c:v>
                </c:pt>
                <c:pt idx="3">
                  <c:v>1.63</c:v>
                </c:pt>
                <c:pt idx="4">
                  <c:v>1.62</c:v>
                </c:pt>
                <c:pt idx="5">
                  <c:v>1.52</c:v>
                </c:pt>
                <c:pt idx="6">
                  <c:v>1.35</c:v>
                </c:pt>
                <c:pt idx="7">
                  <c:v>0.85</c:v>
                </c:pt>
                <c:pt idx="8">
                  <c:v>1.07</c:v>
                </c:pt>
                <c:pt idx="9">
                  <c:v>1.17</c:v>
                </c:pt>
                <c:pt idx="10">
                  <c:v>1.33</c:v>
                </c:pt>
                <c:pt idx="11">
                  <c:v>1.36</c:v>
                </c:pt>
                <c:pt idx="12">
                  <c:v>1.55</c:v>
                </c:pt>
                <c:pt idx="13">
                  <c:v>1.57</c:v>
                </c:pt>
                <c:pt idx="14">
                  <c:v>1.27</c:v>
                </c:pt>
                <c:pt idx="15">
                  <c:v>0.71</c:v>
                </c:pt>
                <c:pt idx="16">
                  <c:v>0.13</c:v>
                </c:pt>
                <c:pt idx="17">
                  <c:v>0.08</c:v>
                </c:pt>
                <c:pt idx="18">
                  <c:v>0.02</c:v>
                </c:pt>
                <c:pt idx="19">
                  <c:v>0.04</c:v>
                </c:pt>
                <c:pt idx="20">
                  <c:v>0.05</c:v>
                </c:pt>
                <c:pt idx="21">
                  <c:v>0</c:v>
                </c:pt>
                <c:pt idx="22">
                  <c:v>0.06</c:v>
                </c:pt>
                <c:pt idx="23">
                  <c:v>0.16</c:v>
                </c:pt>
                <c:pt idx="24">
                  <c:v>0.26</c:v>
                </c:pt>
                <c:pt idx="25">
                  <c:v>0.45</c:v>
                </c:pt>
                <c:pt idx="26">
                  <c:v>0.75</c:v>
                </c:pt>
                <c:pt idx="27">
                  <c:v>0.76</c:v>
                </c:pt>
                <c:pt idx="28">
                  <c:v>0.76</c:v>
                </c:pt>
                <c:pt idx="29">
                  <c:v>0.69</c:v>
                </c:pt>
                <c:pt idx="30">
                  <c:v>0.84</c:v>
                </c:pt>
                <c:pt idx="31">
                  <c:v>1.24</c:v>
                </c:pt>
                <c:pt idx="32">
                  <c:v>1.6</c:v>
                </c:pt>
                <c:pt idx="33">
                  <c:v>2.29</c:v>
                </c:pt>
                <c:pt idx="34">
                  <c:v>3</c:v>
                </c:pt>
                <c:pt idx="35">
                  <c:v>3.07</c:v>
                </c:pt>
                <c:pt idx="36">
                  <c:v>3.81</c:v>
                </c:pt>
                <c:pt idx="37">
                  <c:v>3.77</c:v>
                </c:pt>
                <c:pt idx="38">
                  <c:v>4.54</c:v>
                </c:pt>
                <c:pt idx="39">
                  <c:v>5.13</c:v>
                </c:pt>
                <c:pt idx="40">
                  <c:v>5.65</c:v>
                </c:pt>
                <c:pt idx="41">
                  <c:v>6.26</c:v>
                </c:pt>
                <c:pt idx="42">
                  <c:v>6.38</c:v>
                </c:pt>
                <c:pt idx="43">
                  <c:v>5.86</c:v>
                </c:pt>
                <c:pt idx="44">
                  <c:v>5.9</c:v>
                </c:pt>
                <c:pt idx="45">
                  <c:v>6.18</c:v>
                </c:pt>
                <c:pt idx="46">
                  <c:v>5.68</c:v>
                </c:pt>
                <c:pt idx="47">
                  <c:v>5.19</c:v>
                </c:pt>
                <c:pt idx="48" formatCode="###\ ###\ ###\ ###\ ##0.00;\-###\ ###\ ###\ ###\ ##0.00">
                  <c:v>5.3820143358172814</c:v>
                </c:pt>
                <c:pt idx="49" formatCode="###\ ###\ ###\ ###\ ##0.00;\-###\ ###\ ###\ ###\ ##0.00">
                  <c:v>5.5102623550618501</c:v>
                </c:pt>
                <c:pt idx="50" formatCode="###\ ###\ ###\ ###\ ##0.00;\-###\ ###\ ###\ ###\ ##0.00">
                  <c:v>5.2897725027111999</c:v>
                </c:pt>
                <c:pt idx="51" formatCode="###\ ###\ ###\ ###\ ##0.00;\-###\ ###\ ###\ ###\ ##0.00">
                  <c:v>5.4232360381175866</c:v>
                </c:pt>
                <c:pt idx="52" formatCode="###\ ###\ ###\ ###\ ##0.00;\-###\ ###\ ###\ ###\ ##0.00">
                  <c:v>5.4162815888395777</c:v>
                </c:pt>
                <c:pt idx="53" formatCode="###\ ###\ ###\ ###\ ##0.00;\-###\ ###\ ###\ ###\ ##0.00">
                  <c:v>5.3664752553650841</c:v>
                </c:pt>
                <c:pt idx="54" formatCode="###\ ###\ ###\ ###\ ##0.00;\-###\ ###\ ###\ ###\ ##0.00">
                  <c:v>5.2428078558777935</c:v>
                </c:pt>
                <c:pt idx="55" formatCode="###\ ###\ ###\ ###\ ##0.00;\-###\ ###\ ###\ ###\ ##0.00">
                  <c:v>5.1353490658602521</c:v>
                </c:pt>
                <c:pt idx="56" formatCode="###\ ###\ ###\ ###\ ##0.00;\-###\ ###\ ###\ ###\ ##0.00">
                  <c:v>5.0416686003519704</c:v>
                </c:pt>
                <c:pt idx="57" formatCode="###\ ###\ ###\ ###\ ##0.00;\-###\ ###\ ###\ ###\ ##0.00">
                  <c:v>5.0079198294298592</c:v>
                </c:pt>
                <c:pt idx="58" formatCode="###\ ###\ ###\ ###\ ##0.00;\-###\ ###\ ###\ ###\ ##0.00">
                  <c:v>4.8554647740100689</c:v>
                </c:pt>
                <c:pt idx="59" formatCode="###\ ###\ ###\ ###\ ##0.00;\-###\ ###\ ###\ ###\ ##0.00">
                  <c:v>4.6053753410259048</c:v>
                </c:pt>
                <c:pt idx="60" formatCode="###\ ###\ ###\ ###\ ##0.00;\-###\ ###\ ###\ ###\ ##0.00">
                  <c:v>4.2136537187056122</c:v>
                </c:pt>
                <c:pt idx="61" formatCode="###\ ###\ ###\ ###\ ##0.00;\-###\ ###\ ###\ ###\ ##0.00">
                  <c:v>3.7766020145670578</c:v>
                </c:pt>
                <c:pt idx="62" formatCode="###\ ###\ ###\ ###\ ##0.00;\-###\ ###\ ###\ ###\ ##0.00">
                  <c:v>3.7279261080474861</c:v>
                </c:pt>
                <c:pt idx="63" formatCode="###\ ###\ ###\ ###\ ##0.00;\-###\ ###\ ###\ ###\ ##0.00">
                  <c:v>4.0118973322405145</c:v>
                </c:pt>
                <c:pt idx="64" formatCode="###\ ###\ ###\ ###\ ##0.00;\-###\ ###\ ###\ ###\ ##0.00">
                  <c:v>4.1300681765456435</c:v>
                </c:pt>
                <c:pt idx="65" formatCode="###\ ###\ ###\ ###\ ##0.00;\-###\ ###\ ###\ ###\ ##0.00">
                  <c:v>4.2164856033630391</c:v>
                </c:pt>
                <c:pt idx="66" formatCode="###\ ###\ ###\ ###\ ##0.00;\-###\ ###\ ###\ ###\ ##0.00">
                  <c:v>3.9029960800170911</c:v>
                </c:pt>
                <c:pt idx="67" formatCode="###\ ###\ ###\ ###\ ##0.00;\-###\ ###\ ###\ ###\ ##0.00">
                  <c:v>3.6092171953235983</c:v>
                </c:pt>
                <c:pt idx="68" formatCode="###\ ###\ ###\ ###\ ##0.00;\-###\ ###\ ###\ ###\ ##0.00">
                  <c:v>3.5038942508225221</c:v>
                </c:pt>
                <c:pt idx="69" formatCode="###\ ###\ ###\ ###\ ##0.00;\-###\ ###\ ###\ ###\ ##0.00">
                  <c:v>3.5913124701621322</c:v>
                </c:pt>
                <c:pt idx="70" formatCode="###\ ###\ ###\ ###\ ##0.00;\-###\ ###\ ###\ ###\ ##0.00">
                  <c:v>3.6229260484095986</c:v>
                </c:pt>
                <c:pt idx="71" formatCode="###\ ###\ ###\ ###\ ##0.00;\-###\ ###\ ###\ ###\ ##0.00">
                  <c:v>3.633213073730468</c:v>
                </c:pt>
              </c:numCache>
            </c:numRef>
          </c:val>
          <c:smooth val="0"/>
          <c:extLst>
            <c:ext xmlns:c16="http://schemas.microsoft.com/office/drawing/2014/chart" uri="{C3380CC4-5D6E-409C-BE32-E72D297353CC}">
              <c16:uniqueId val="{00000001-ECEE-4DC5-8EC2-E980353AB105}"/>
            </c:ext>
          </c:extLst>
        </c:ser>
        <c:ser>
          <c:idx val="1"/>
          <c:order val="2"/>
          <c:tx>
            <c:strRef>
              <c:f>'Měnové podmínky 1'!$D$5</c:f>
              <c:strCache>
                <c:ptCount val="1"/>
                <c:pt idx="0">
                  <c:v>PRIBOR (3M)</c:v>
                </c:pt>
              </c:strCache>
            </c:strRef>
          </c:tx>
          <c:spPr>
            <a:ln w="19050">
              <a:solidFill>
                <a:srgbClr val="0071BC"/>
              </a:solidFill>
            </a:ln>
          </c:spPr>
          <c:marker>
            <c:symbol val="none"/>
          </c:marker>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1'!$D$18:$D$89</c:f>
              <c:numCache>
                <c:formatCode>General</c:formatCode>
                <c:ptCount val="72"/>
                <c:pt idx="0">
                  <c:v>2.0099999999999998</c:v>
                </c:pt>
                <c:pt idx="1">
                  <c:v>2.0099999999999998</c:v>
                </c:pt>
                <c:pt idx="2">
                  <c:v>2.0299999999999998</c:v>
                </c:pt>
                <c:pt idx="3">
                  <c:v>2.02</c:v>
                </c:pt>
                <c:pt idx="4">
                  <c:v>2.19</c:v>
                </c:pt>
                <c:pt idx="5">
                  <c:v>2.17</c:v>
                </c:pt>
                <c:pt idx="6">
                  <c:v>2.16</c:v>
                </c:pt>
                <c:pt idx="7">
                  <c:v>2.14</c:v>
                </c:pt>
                <c:pt idx="8">
                  <c:v>2.14</c:v>
                </c:pt>
                <c:pt idx="9">
                  <c:v>2.17</c:v>
                </c:pt>
                <c:pt idx="10">
                  <c:v>2.1800000000000002</c:v>
                </c:pt>
                <c:pt idx="11">
                  <c:v>2.1800000000000002</c:v>
                </c:pt>
                <c:pt idx="12">
                  <c:v>2.17</c:v>
                </c:pt>
                <c:pt idx="13">
                  <c:v>2.34</c:v>
                </c:pt>
                <c:pt idx="14">
                  <c:v>2</c:v>
                </c:pt>
                <c:pt idx="15">
                  <c:v>0.97</c:v>
                </c:pt>
                <c:pt idx="16">
                  <c:v>0.46</c:v>
                </c:pt>
                <c:pt idx="17">
                  <c:v>0.34</c:v>
                </c:pt>
                <c:pt idx="18">
                  <c:v>0.34</c:v>
                </c:pt>
                <c:pt idx="19">
                  <c:v>0.34</c:v>
                </c:pt>
                <c:pt idx="20">
                  <c:v>0.34</c:v>
                </c:pt>
                <c:pt idx="21">
                  <c:v>0.35</c:v>
                </c:pt>
                <c:pt idx="22">
                  <c:v>0.35</c:v>
                </c:pt>
                <c:pt idx="23">
                  <c:v>0.35</c:v>
                </c:pt>
                <c:pt idx="24">
                  <c:v>0.36</c:v>
                </c:pt>
                <c:pt idx="25">
                  <c:v>0.36</c:v>
                </c:pt>
                <c:pt idx="26">
                  <c:v>0.36</c:v>
                </c:pt>
                <c:pt idx="27">
                  <c:v>0.36</c:v>
                </c:pt>
                <c:pt idx="28">
                  <c:v>0.37</c:v>
                </c:pt>
                <c:pt idx="29">
                  <c:v>0.48</c:v>
                </c:pt>
                <c:pt idx="30">
                  <c:v>0.69</c:v>
                </c:pt>
                <c:pt idx="31">
                  <c:v>0.94</c:v>
                </c:pt>
                <c:pt idx="32">
                  <c:v>1.1100000000000001</c:v>
                </c:pt>
                <c:pt idx="33">
                  <c:v>2.02</c:v>
                </c:pt>
                <c:pt idx="34">
                  <c:v>2.97</c:v>
                </c:pt>
                <c:pt idx="35">
                  <c:v>3.5</c:v>
                </c:pt>
                <c:pt idx="36">
                  <c:v>4.21</c:v>
                </c:pt>
                <c:pt idx="37">
                  <c:v>4.6900000000000004</c:v>
                </c:pt>
                <c:pt idx="38">
                  <c:v>4.8600000000000003</c:v>
                </c:pt>
                <c:pt idx="39">
                  <c:v>5.36</c:v>
                </c:pt>
                <c:pt idx="40">
                  <c:v>5.97</c:v>
                </c:pt>
                <c:pt idx="41">
                  <c:v>6.64</c:v>
                </c:pt>
                <c:pt idx="42">
                  <c:v>7.3</c:v>
                </c:pt>
                <c:pt idx="43">
                  <c:v>7.27</c:v>
                </c:pt>
                <c:pt idx="44">
                  <c:v>7.25</c:v>
                </c:pt>
                <c:pt idx="45">
                  <c:v>7.28</c:v>
                </c:pt>
                <c:pt idx="46">
                  <c:v>7.27</c:v>
                </c:pt>
                <c:pt idx="47">
                  <c:v>7.26</c:v>
                </c:pt>
                <c:pt idx="48" formatCode="###\ ###\ ###\ ###\ ##0.00;\-###\ ###\ ###\ ###\ ##0.00">
                  <c:v>7.2161904761904765</c:v>
                </c:pt>
                <c:pt idx="49" formatCode="###\ ###\ ###\ ###\ ##0.00;\-###\ ###\ ###\ ###\ ##0.00">
                  <c:v>7.2010526315789471</c:v>
                </c:pt>
                <c:pt idx="50" formatCode="###\ ###\ ###\ ###\ ##0.00;\-###\ ###\ ###\ ###\ ##0.00">
                  <c:v>7.1931818181818183</c:v>
                </c:pt>
                <c:pt idx="51" formatCode="###\ ###\ ###\ ###\ ##0.00;\-###\ ###\ ###\ ###\ ##0.00">
                  <c:v>7.1788888888888893</c:v>
                </c:pt>
                <c:pt idx="52" formatCode="###\ ###\ ###\ ###\ ##0.00;\-###\ ###\ ###\ ###\ ##0.00">
                  <c:v>7.1790476190476191</c:v>
                </c:pt>
                <c:pt idx="53" formatCode="###\ ###\ ###\ ###\ ##0.00;\-###\ ###\ ###\ ###\ ##0.00">
                  <c:v>7.1472727272727274</c:v>
                </c:pt>
                <c:pt idx="54" formatCode="###\ ###\ ###\ ###\ ##0.00;\-###\ ###\ ###\ ###\ ##0.00">
                  <c:v>7.1121052631578952</c:v>
                </c:pt>
                <c:pt idx="55" formatCode="###\ ###\ ###\ ###\ ##0.00;\-###\ ###\ ###\ ###\ ##0.00">
                  <c:v>7.1030434782608696</c:v>
                </c:pt>
                <c:pt idx="56" formatCode="###\ ###\ ###\ ###\ ##0.00;\-###\ ###\ ###\ ###\ ##0.00">
                  <c:v>7.0895000000000001</c:v>
                </c:pt>
                <c:pt idx="57" formatCode="###\ ###\ ###\ ###\ ##0.00;\-###\ ###\ ###\ ###\ ##0.00">
                  <c:v>7.0472727272727269</c:v>
                </c:pt>
                <c:pt idx="58" formatCode="###\ ###\ ###\ ###\ ##0.00;\-###\ ###\ ###\ ###\ ##0.00">
                  <c:v>7.062380952380952</c:v>
                </c:pt>
                <c:pt idx="59" formatCode="###\ ###\ ###\ ###\ ##0.00;\-###\ ###\ ###\ ###\ ##0.00">
                  <c:v>6.9663157894736845</c:v>
                </c:pt>
                <c:pt idx="60" formatCode="###\ ###\ ###\ ###\ ##0.00;\-###\ ###\ ###\ ###\ ##0.00">
                  <c:v>6.6340909090909088</c:v>
                </c:pt>
                <c:pt idx="61" formatCode="###\ ###\ ###\ ###\ ##0.00;\-###\ ###\ ###\ ###\ ##0.00">
                  <c:v>6.2019047619047623</c:v>
                </c:pt>
                <c:pt idx="62" formatCode="###\ ###\ ###\ ###\ ##0.00;\-###\ ###\ ###\ ###\ ##0.00">
                  <c:v>5.8363157894736846</c:v>
                </c:pt>
                <c:pt idx="63" formatCode="###\ ###\ ###\ ###\ ##0.00;\-###\ ###\ ###\ ###\ ##0.00">
                  <c:v>5.5461904761904766</c:v>
                </c:pt>
                <c:pt idx="64" formatCode="###\ ###\ ###\ ###\ ##0.00;\-###\ ###\ ###\ ###\ ##0.00">
                  <c:v>5.1704761904761902</c:v>
                </c:pt>
                <c:pt idx="65" formatCode="###\ ###\ ###\ ###\ ##0.00;\-###\ ###\ ###\ ###\ ##0.00">
                  <c:v>5.0274999999999999</c:v>
                </c:pt>
                <c:pt idx="66" formatCode="###\ ###\ ###\ ###\ ##0.00;\-###\ ###\ ###\ ###\ ##0.00">
                  <c:v>4.6090909090909093</c:v>
                </c:pt>
                <c:pt idx="67" formatCode="###\ ###\ ###\ ###\ ##0.00;\-###\ ###\ ###\ ###\ ##0.00">
                  <c:v>4.4118181818181821</c:v>
                </c:pt>
                <c:pt idx="68" formatCode="###\ ###\ ###\ ###\ ##0.00;\-###\ ###\ ###\ ###\ ##0.00">
                  <c:v>4.3004761904761901</c:v>
                </c:pt>
                <c:pt idx="69" formatCode="###\ ###\ ###\ ###\ ##0.00;\-###\ ###\ ###\ ###\ ##0.00">
                  <c:v>4.1322727272727269</c:v>
                </c:pt>
                <c:pt idx="70" formatCode="###\ ###\ ###\ ###\ ##0.00;\-###\ ###\ ###\ ###\ ##0.00">
                  <c:v>3.9452380952380954</c:v>
                </c:pt>
                <c:pt idx="71" formatCode="###\ ###\ ###\ ###\ ##0.00;\-###\ ###\ ###\ ###\ ##0.00">
                  <c:v>3.9066666666666667</c:v>
                </c:pt>
              </c:numCache>
            </c:numRef>
          </c:val>
          <c:smooth val="0"/>
          <c:extLst>
            <c:ext xmlns:c16="http://schemas.microsoft.com/office/drawing/2014/chart" uri="{C3380CC4-5D6E-409C-BE32-E72D297353CC}">
              <c16:uniqueId val="{00000002-ECEE-4DC5-8EC2-E980353AB105}"/>
            </c:ext>
          </c:extLst>
        </c:ser>
        <c:ser>
          <c:idx val="4"/>
          <c:order val="3"/>
          <c:tx>
            <c:strRef>
              <c:f>'Měnové podmínky 1'!$G$5</c:f>
              <c:strCache>
                <c:ptCount val="1"/>
                <c:pt idx="0">
                  <c:v>Average yield of government bonds (5Y)</c:v>
                </c:pt>
              </c:strCache>
            </c:strRef>
          </c:tx>
          <c:spPr>
            <a:ln w="19050">
              <a:solidFill>
                <a:srgbClr val="F8A124"/>
              </a:solidFill>
            </a:ln>
          </c:spPr>
          <c:marker>
            <c:symbol val="none"/>
          </c:marker>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1'!$G$18:$G$89</c:f>
              <c:numCache>
                <c:formatCode>General</c:formatCode>
                <c:ptCount val="72"/>
                <c:pt idx="0">
                  <c:v>1.6</c:v>
                </c:pt>
                <c:pt idx="1">
                  <c:v>1.61</c:v>
                </c:pt>
                <c:pt idx="2">
                  <c:v>1.7</c:v>
                </c:pt>
                <c:pt idx="3">
                  <c:v>1.63</c:v>
                </c:pt>
                <c:pt idx="4">
                  <c:v>1.57</c:v>
                </c:pt>
                <c:pt idx="5">
                  <c:v>1.43</c:v>
                </c:pt>
                <c:pt idx="6">
                  <c:v>1.31</c:v>
                </c:pt>
                <c:pt idx="7">
                  <c:v>0.89</c:v>
                </c:pt>
                <c:pt idx="8">
                  <c:v>1.1299999999999999</c:v>
                </c:pt>
                <c:pt idx="9">
                  <c:v>1.23</c:v>
                </c:pt>
                <c:pt idx="10">
                  <c:v>1.32</c:v>
                </c:pt>
                <c:pt idx="11">
                  <c:v>1.31</c:v>
                </c:pt>
                <c:pt idx="12">
                  <c:v>1.51</c:v>
                </c:pt>
                <c:pt idx="13">
                  <c:v>1.52</c:v>
                </c:pt>
                <c:pt idx="14">
                  <c:v>1.23</c:v>
                </c:pt>
                <c:pt idx="15">
                  <c:v>1.06</c:v>
                </c:pt>
                <c:pt idx="16">
                  <c:v>0.56999999999999995</c:v>
                </c:pt>
                <c:pt idx="17">
                  <c:v>0.52</c:v>
                </c:pt>
                <c:pt idx="18">
                  <c:v>0.52</c:v>
                </c:pt>
                <c:pt idx="19">
                  <c:v>0.57999999999999996</c:v>
                </c:pt>
                <c:pt idx="20">
                  <c:v>0.57999999999999996</c:v>
                </c:pt>
                <c:pt idx="21">
                  <c:v>0.54</c:v>
                </c:pt>
                <c:pt idx="22">
                  <c:v>0.66</c:v>
                </c:pt>
                <c:pt idx="23">
                  <c:v>0.8</c:v>
                </c:pt>
                <c:pt idx="24">
                  <c:v>0.82</c:v>
                </c:pt>
                <c:pt idx="25">
                  <c:v>1.06</c:v>
                </c:pt>
                <c:pt idx="26">
                  <c:v>1.4</c:v>
                </c:pt>
                <c:pt idx="27">
                  <c:v>1.43</c:v>
                </c:pt>
                <c:pt idx="28">
                  <c:v>1.47</c:v>
                </c:pt>
                <c:pt idx="29">
                  <c:v>1.55</c:v>
                </c:pt>
                <c:pt idx="30">
                  <c:v>1.63</c:v>
                </c:pt>
                <c:pt idx="31">
                  <c:v>1.68</c:v>
                </c:pt>
                <c:pt idx="32">
                  <c:v>1.87</c:v>
                </c:pt>
                <c:pt idx="33">
                  <c:v>2.37</c:v>
                </c:pt>
                <c:pt idx="34">
                  <c:v>2.84</c:v>
                </c:pt>
                <c:pt idx="35">
                  <c:v>2.84</c:v>
                </c:pt>
                <c:pt idx="36">
                  <c:v>3.36</c:v>
                </c:pt>
                <c:pt idx="37">
                  <c:v>3.2</c:v>
                </c:pt>
                <c:pt idx="38">
                  <c:v>3.85</c:v>
                </c:pt>
                <c:pt idx="39">
                  <c:v>4.54</c:v>
                </c:pt>
                <c:pt idx="40">
                  <c:v>4.99</c:v>
                </c:pt>
                <c:pt idx="41">
                  <c:v>5.49</c:v>
                </c:pt>
                <c:pt idx="42">
                  <c:v>5.12</c:v>
                </c:pt>
                <c:pt idx="43">
                  <c:v>4.67</c:v>
                </c:pt>
                <c:pt idx="44">
                  <c:v>5.0599999999999996</c:v>
                </c:pt>
                <c:pt idx="45">
                  <c:v>5.69</c:v>
                </c:pt>
                <c:pt idx="46">
                  <c:v>5.31</c:v>
                </c:pt>
                <c:pt idx="47">
                  <c:v>4.9000000000000004</c:v>
                </c:pt>
                <c:pt idx="48" formatCode="###\ ###\ ###\ ###\ ##0.00;\-###\ ###\ ###\ ###\ ##0.00">
                  <c:v>4.7307064721228871</c:v>
                </c:pt>
                <c:pt idx="49" formatCode="###\ ###\ ###\ ###\ ##0.00;\-###\ ###\ ###\ ###\ ##0.00">
                  <c:v>4.869274267276765</c:v>
                </c:pt>
                <c:pt idx="50" formatCode="###\ ###\ ###\ ###\ ##0.00;\-###\ ###\ ###\ ###\ ##0.00">
                  <c:v>4.8901662581800389</c:v>
                </c:pt>
                <c:pt idx="51" formatCode="###\ ###\ ###\ ###\ ##0.00;\-###\ ###\ ###\ ###\ ##0.00">
                  <c:v>4.9165403661897455</c:v>
                </c:pt>
                <c:pt idx="52" formatCode="###\ ###\ ###\ ###\ ##0.00;\-###\ ###\ ###\ ###\ ##0.00">
                  <c:v>4.8278684891401031</c:v>
                </c:pt>
                <c:pt idx="53" formatCode="###\ ###\ ###\ ###\ ##0.00;\-###\ ###\ ###\ ###\ ##0.00">
                  <c:v>4.641252073600076</c:v>
                </c:pt>
                <c:pt idx="54" formatCode="###\ ###\ ###\ ###\ ##0.00;\-###\ ###\ ###\ ###\ ##0.00">
                  <c:v>4.3712476122939803</c:v>
                </c:pt>
                <c:pt idx="55" formatCode="###\ ###\ ###\ ###\ ##0.00;\-###\ ###\ ###\ ###\ ##0.00">
                  <c:v>4.4394883944569479</c:v>
                </c:pt>
                <c:pt idx="56" formatCode="###\ ###\ ###\ ###\ ##0.00;\-###\ ###\ ###\ ###\ ##0.00">
                  <c:v>4.5697569170379646</c:v>
                </c:pt>
                <c:pt idx="57" formatCode="###\ ###\ ###\ ###\ ##0.00;\-###\ ###\ ###\ ###\ ##0.00">
                  <c:v>4.6213398432367514</c:v>
                </c:pt>
                <c:pt idx="58" formatCode="###\ ###\ ###\ ###\ ##0.00;\-###\ ###\ ###\ ###\ ##0.00">
                  <c:v>4.3189525391351618</c:v>
                </c:pt>
                <c:pt idx="59" formatCode="###\ ###\ ###\ ###\ ##0.00;\-###\ ###\ ###\ ###\ ##0.00">
                  <c:v>3.9581509254616192</c:v>
                </c:pt>
                <c:pt idx="60" formatCode="###\ ###\ ###\ ###\ ##0.00;\-###\ ###\ ###\ ###\ ##0.00">
                  <c:v>3.7948081133062201</c:v>
                </c:pt>
                <c:pt idx="61" formatCode="###\ ###\ ###\ ###\ ##0.00;\-###\ ###\ ###\ ###\ ##0.00">
                  <c:v>3.5373832658022923</c:v>
                </c:pt>
                <c:pt idx="62" formatCode="###\ ###\ ###\ ###\ ##0.00;\-###\ ###\ ###\ ###\ ##0.00">
                  <c:v>3.5659496523361214</c:v>
                </c:pt>
                <c:pt idx="63" formatCode="###\ ###\ ###\ ###\ ##0.00;\-###\ ###\ ###\ ###\ ##0.00">
                  <c:v>4.0341267380705332</c:v>
                </c:pt>
                <c:pt idx="64" formatCode="###\ ###\ ###\ ###\ ##0.00;\-###\ ###\ ###\ ###\ ##0.00">
                  <c:v>4.0872759187026269</c:v>
                </c:pt>
                <c:pt idx="65" formatCode="###\ ###\ ###\ ###\ ##0.00;\-###\ ###\ ###\ ###\ ##0.00">
                  <c:v>4.1227102073974615</c:v>
                </c:pt>
                <c:pt idx="66" formatCode="###\ ###\ ###\ ###\ ##0.00;\-###\ ###\ ###\ ###\ ##0.00">
                  <c:v>3.7623325475565603</c:v>
                </c:pt>
                <c:pt idx="67" formatCode="###\ ###\ ###\ ###\ ##0.00;\-###\ ###\ ###\ ###\ ##0.00">
                  <c:v>3.5039129182503443</c:v>
                </c:pt>
                <c:pt idx="68" formatCode="###\ ###\ ###\ ###\ ##0.00;\-###\ ###\ ###\ ###\ ##0.00">
                  <c:v>3.4678035691094786</c:v>
                </c:pt>
                <c:pt idx="69" formatCode="###\ ###\ ###\ ###\ ##0.00;\-###\ ###\ ###\ ###\ ##0.00">
                  <c:v>3.6478032298510006</c:v>
                </c:pt>
                <c:pt idx="70" formatCode="###\ ###\ ###\ ###\ ##0.00;\-###\ ###\ ###\ ###\ ##0.00">
                  <c:v>3.6973093706088598</c:v>
                </c:pt>
                <c:pt idx="71" formatCode="###\ ###\ ###\ ###\ ##0.00;\-###\ ###\ ###\ ###\ ##0.00">
                  <c:v>3.7325675120007555</c:v>
                </c:pt>
              </c:numCache>
            </c:numRef>
          </c:val>
          <c:smooth val="0"/>
          <c:extLst>
            <c:ext xmlns:c16="http://schemas.microsoft.com/office/drawing/2014/chart" uri="{C3380CC4-5D6E-409C-BE32-E72D297353CC}">
              <c16:uniqueId val="{00000003-ECEE-4DC5-8EC2-E980353AB105}"/>
            </c:ext>
          </c:extLst>
        </c:ser>
        <c:ser>
          <c:idx val="2"/>
          <c:order val="4"/>
          <c:tx>
            <c:strRef>
              <c:f>'Měnové podmínky 1'!$E$5</c:f>
              <c:strCache>
                <c:ptCount val="1"/>
                <c:pt idx="0">
                  <c:v>PRIBOR (1Y)</c:v>
                </c:pt>
              </c:strCache>
            </c:strRef>
          </c:tx>
          <c:spPr>
            <a:ln w="19050">
              <a:solidFill>
                <a:srgbClr val="BD1B21"/>
              </a:solidFill>
            </a:ln>
          </c:spPr>
          <c:marker>
            <c:symbol val="none"/>
          </c:marker>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1'!$E$18:$E$89</c:f>
              <c:numCache>
                <c:formatCode>General</c:formatCode>
                <c:ptCount val="72"/>
                <c:pt idx="0">
                  <c:v>2.21</c:v>
                </c:pt>
                <c:pt idx="1">
                  <c:v>2.2000000000000002</c:v>
                </c:pt>
                <c:pt idx="2">
                  <c:v>2.2000000000000002</c:v>
                </c:pt>
                <c:pt idx="3">
                  <c:v>2.21</c:v>
                </c:pt>
                <c:pt idx="4">
                  <c:v>2.3199999999999998</c:v>
                </c:pt>
                <c:pt idx="5">
                  <c:v>2.29</c:v>
                </c:pt>
                <c:pt idx="6">
                  <c:v>2.2799999999999998</c:v>
                </c:pt>
                <c:pt idx="7">
                  <c:v>2.2200000000000002</c:v>
                </c:pt>
                <c:pt idx="8">
                  <c:v>2.2000000000000002</c:v>
                </c:pt>
                <c:pt idx="9">
                  <c:v>2.2799999999999998</c:v>
                </c:pt>
                <c:pt idx="10">
                  <c:v>2.2799999999999998</c:v>
                </c:pt>
                <c:pt idx="11">
                  <c:v>2.27</c:v>
                </c:pt>
                <c:pt idx="12">
                  <c:v>2.27</c:v>
                </c:pt>
                <c:pt idx="13">
                  <c:v>2.42</c:v>
                </c:pt>
                <c:pt idx="14">
                  <c:v>2.0099999999999998</c:v>
                </c:pt>
                <c:pt idx="15">
                  <c:v>0.92</c:v>
                </c:pt>
                <c:pt idx="16">
                  <c:v>0.51</c:v>
                </c:pt>
                <c:pt idx="17">
                  <c:v>0.43</c:v>
                </c:pt>
                <c:pt idx="18">
                  <c:v>0.43</c:v>
                </c:pt>
                <c:pt idx="19">
                  <c:v>0.43</c:v>
                </c:pt>
                <c:pt idx="20">
                  <c:v>0.44</c:v>
                </c:pt>
                <c:pt idx="21">
                  <c:v>0.43</c:v>
                </c:pt>
                <c:pt idx="22">
                  <c:v>0.44</c:v>
                </c:pt>
                <c:pt idx="23">
                  <c:v>0.49</c:v>
                </c:pt>
                <c:pt idx="24">
                  <c:v>0.49</c:v>
                </c:pt>
                <c:pt idx="25">
                  <c:v>0.54</c:v>
                </c:pt>
                <c:pt idx="26">
                  <c:v>0.56000000000000005</c:v>
                </c:pt>
                <c:pt idx="27">
                  <c:v>0.56000000000000005</c:v>
                </c:pt>
                <c:pt idx="28">
                  <c:v>0.67</c:v>
                </c:pt>
                <c:pt idx="29">
                  <c:v>0.78</c:v>
                </c:pt>
                <c:pt idx="30">
                  <c:v>1</c:v>
                </c:pt>
                <c:pt idx="31">
                  <c:v>1.3</c:v>
                </c:pt>
                <c:pt idx="32">
                  <c:v>1.52</c:v>
                </c:pt>
                <c:pt idx="33">
                  <c:v>2.44</c:v>
                </c:pt>
                <c:pt idx="34">
                  <c:v>3.5</c:v>
                </c:pt>
                <c:pt idx="35">
                  <c:v>3.96</c:v>
                </c:pt>
                <c:pt idx="36">
                  <c:v>4.55</c:v>
                </c:pt>
                <c:pt idx="37">
                  <c:v>4.87</c:v>
                </c:pt>
                <c:pt idx="38">
                  <c:v>5.12</c:v>
                </c:pt>
                <c:pt idx="39">
                  <c:v>5.74</c:v>
                </c:pt>
                <c:pt idx="40">
                  <c:v>6.33</c:v>
                </c:pt>
                <c:pt idx="41">
                  <c:v>7.02</c:v>
                </c:pt>
                <c:pt idx="42">
                  <c:v>7.55</c:v>
                </c:pt>
                <c:pt idx="43">
                  <c:v>7.48</c:v>
                </c:pt>
                <c:pt idx="44">
                  <c:v>7.44</c:v>
                </c:pt>
                <c:pt idx="45">
                  <c:v>7.45</c:v>
                </c:pt>
                <c:pt idx="46">
                  <c:v>7.39</c:v>
                </c:pt>
                <c:pt idx="47">
                  <c:v>7.28</c:v>
                </c:pt>
                <c:pt idx="48" formatCode="###\ ###\ ###\ ###\ ##0.00;\-###\ ###\ ###\ ###\ ##0.00">
                  <c:v>7.2480952380952379</c:v>
                </c:pt>
                <c:pt idx="49" formatCode="###\ ###\ ###\ ###\ ##0.00;\-###\ ###\ ###\ ###\ ##0.00">
                  <c:v>7.2326315789473687</c:v>
                </c:pt>
                <c:pt idx="50" formatCode="###\ ###\ ###\ ###\ ##0.00;\-###\ ###\ ###\ ###\ ##0.00">
                  <c:v>7.2263636363636365</c:v>
                </c:pt>
                <c:pt idx="51" formatCode="###\ ###\ ###\ ###\ ##0.00;\-###\ ###\ ###\ ###\ ##0.00">
                  <c:v>7.2088888888888887</c:v>
                </c:pt>
                <c:pt idx="52" formatCode="###\ ###\ ###\ ###\ ##0.00;\-###\ ###\ ###\ ###\ ##0.00">
                  <c:v>7.196190476190476</c:v>
                </c:pt>
                <c:pt idx="53" formatCode="###\ ###\ ###\ ###\ ##0.00;\-###\ ###\ ###\ ###\ ##0.00">
                  <c:v>7.1377272727272727</c:v>
                </c:pt>
                <c:pt idx="54" formatCode="###\ ###\ ###\ ###\ ##0.00;\-###\ ###\ ###\ ###\ ##0.00">
                  <c:v>7.0289473684210524</c:v>
                </c:pt>
                <c:pt idx="55" formatCode="###\ ###\ ###\ ###\ ##0.00;\-###\ ###\ ###\ ###\ ##0.00">
                  <c:v>6.9473913043478257</c:v>
                </c:pt>
                <c:pt idx="56" formatCode="###\ ###\ ###\ ###\ ##0.00;\-###\ ###\ ###\ ###\ ##0.00">
                  <c:v>6.8470000000000004</c:v>
                </c:pt>
                <c:pt idx="57" formatCode="###\ ###\ ###\ ###\ ##0.00;\-###\ ###\ ###\ ###\ ##0.00">
                  <c:v>6.6090909090909093</c:v>
                </c:pt>
                <c:pt idx="58" formatCode="###\ ###\ ###\ ###\ ##0.00;\-###\ ###\ ###\ ###\ ##0.00">
                  <c:v>6.4771428571428569</c:v>
                </c:pt>
                <c:pt idx="59" formatCode="###\ ###\ ###\ ###\ ##0.00;\-###\ ###\ ###\ ###\ ##0.00">
                  <c:v>6.1873684210526312</c:v>
                </c:pt>
                <c:pt idx="60" formatCode="###\ ###\ ###\ ###\ ##0.00;\-###\ ###\ ###\ ###\ ##0.00">
                  <c:v>5.4690909090909088</c:v>
                </c:pt>
                <c:pt idx="61" formatCode="###\ ###\ ###\ ###\ ##0.00;\-###\ ###\ ###\ ###\ ##0.00">
                  <c:v>5.0338095238095235</c:v>
                </c:pt>
                <c:pt idx="62" formatCode="###\ ###\ ###\ ###\ ##0.00;\-###\ ###\ ###\ ###\ ##0.00">
                  <c:v>4.7994736842105263</c:v>
                </c:pt>
                <c:pt idx="63" formatCode="###\ ###\ ###\ ###\ ##0.00;\-###\ ###\ ###\ ###\ ##0.00">
                  <c:v>4.588571428571429</c:v>
                </c:pt>
                <c:pt idx="64" formatCode="###\ ###\ ###\ ###\ ##0.00;\-###\ ###\ ###\ ###\ ##0.00">
                  <c:v>4.6500000000000004</c:v>
                </c:pt>
                <c:pt idx="65" formatCode="###\ ###\ ###\ ###\ ##0.00;\-###\ ###\ ###\ ###\ ##0.00">
                  <c:v>4.5715000000000003</c:v>
                </c:pt>
                <c:pt idx="66" formatCode="###\ ###\ ###\ ###\ ##0.00;\-###\ ###\ ###\ ###\ ##0.00">
                  <c:v>4.2559090909090909</c:v>
                </c:pt>
                <c:pt idx="67" formatCode="###\ ###\ ###\ ###\ ##0.00;\-###\ ###\ ###\ ###\ ##0.00">
                  <c:v>3.8945454545454545</c:v>
                </c:pt>
                <c:pt idx="68" formatCode="###\ ###\ ###\ ###\ ##0.00;\-###\ ###\ ###\ ###\ ##0.00">
                  <c:v>3.7338095238095237</c:v>
                </c:pt>
                <c:pt idx="69" formatCode="###\ ###\ ###\ ###\ ##0.00;\-###\ ###\ ###\ ###\ ##0.00">
                  <c:v>3.6840909090909091</c:v>
                </c:pt>
                <c:pt idx="70" formatCode="###\ ###\ ###\ ###\ ##0.00;\-###\ ###\ ###\ ###\ ##0.00">
                  <c:v>3.6609523809523807</c:v>
                </c:pt>
                <c:pt idx="71" formatCode="###\ ###\ ###\ ###\ ##0.00;\-###\ ###\ ###\ ###\ ##0.00">
                  <c:v>3.6933333333333334</c:v>
                </c:pt>
              </c:numCache>
            </c:numRef>
          </c:val>
          <c:smooth val="0"/>
          <c:extLst>
            <c:ext xmlns:c16="http://schemas.microsoft.com/office/drawing/2014/chart" uri="{C3380CC4-5D6E-409C-BE32-E72D297353CC}">
              <c16:uniqueId val="{00000004-ECEE-4DC5-8EC2-E980353AB105}"/>
            </c:ext>
          </c:extLst>
        </c:ser>
        <c:ser>
          <c:idx val="5"/>
          <c:order val="5"/>
          <c:tx>
            <c:strRef>
              <c:f>'Měnové podmínky 1'!$H$5</c:f>
              <c:strCache>
                <c:ptCount val="1"/>
                <c:pt idx="0">
                  <c:v>Average yield of government bonds (10Y)</c:v>
                </c:pt>
              </c:strCache>
            </c:strRef>
          </c:tx>
          <c:spPr>
            <a:ln w="19050">
              <a:solidFill>
                <a:srgbClr val="48AEE7"/>
              </a:solidFill>
            </a:ln>
          </c:spPr>
          <c:marker>
            <c:symbol val="none"/>
          </c:marker>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1'!$H$18:$H$89</c:f>
              <c:numCache>
                <c:formatCode>General</c:formatCode>
                <c:ptCount val="72"/>
                <c:pt idx="0">
                  <c:v>1.85</c:v>
                </c:pt>
                <c:pt idx="1">
                  <c:v>1.76</c:v>
                </c:pt>
                <c:pt idx="2">
                  <c:v>1.82</c:v>
                </c:pt>
                <c:pt idx="3">
                  <c:v>1.82</c:v>
                </c:pt>
                <c:pt idx="4">
                  <c:v>1.86</c:v>
                </c:pt>
                <c:pt idx="5">
                  <c:v>1.58</c:v>
                </c:pt>
                <c:pt idx="6">
                  <c:v>1.36</c:v>
                </c:pt>
                <c:pt idx="7">
                  <c:v>0.99</c:v>
                </c:pt>
                <c:pt idx="8">
                  <c:v>1.24</c:v>
                </c:pt>
                <c:pt idx="9">
                  <c:v>1.32</c:v>
                </c:pt>
                <c:pt idx="10">
                  <c:v>1.47</c:v>
                </c:pt>
                <c:pt idx="11">
                  <c:v>1.51</c:v>
                </c:pt>
                <c:pt idx="12">
                  <c:v>1.62</c:v>
                </c:pt>
                <c:pt idx="13">
                  <c:v>1.47</c:v>
                </c:pt>
                <c:pt idx="14">
                  <c:v>1.28</c:v>
                </c:pt>
                <c:pt idx="15">
                  <c:v>1.28</c:v>
                </c:pt>
                <c:pt idx="16">
                  <c:v>0.92</c:v>
                </c:pt>
                <c:pt idx="17">
                  <c:v>0.86</c:v>
                </c:pt>
                <c:pt idx="18">
                  <c:v>0.86</c:v>
                </c:pt>
                <c:pt idx="19">
                  <c:v>0.95</c:v>
                </c:pt>
                <c:pt idx="20">
                  <c:v>0.98</c:v>
                </c:pt>
                <c:pt idx="21">
                  <c:v>0.94</c:v>
                </c:pt>
                <c:pt idx="22">
                  <c:v>1.1200000000000001</c:v>
                </c:pt>
                <c:pt idx="23">
                  <c:v>1.26</c:v>
                </c:pt>
                <c:pt idx="24">
                  <c:v>1.28</c:v>
                </c:pt>
                <c:pt idx="25">
                  <c:v>1.49</c:v>
                </c:pt>
                <c:pt idx="26">
                  <c:v>1.87</c:v>
                </c:pt>
                <c:pt idx="27">
                  <c:v>1.86</c:v>
                </c:pt>
                <c:pt idx="28">
                  <c:v>1.74</c:v>
                </c:pt>
                <c:pt idx="29">
                  <c:v>1.67</c:v>
                </c:pt>
                <c:pt idx="30">
                  <c:v>1.72</c:v>
                </c:pt>
                <c:pt idx="31">
                  <c:v>1.74</c:v>
                </c:pt>
                <c:pt idx="32">
                  <c:v>1.9</c:v>
                </c:pt>
                <c:pt idx="33">
                  <c:v>2.34</c:v>
                </c:pt>
                <c:pt idx="34">
                  <c:v>2.62</c:v>
                </c:pt>
                <c:pt idx="35">
                  <c:v>2.62</c:v>
                </c:pt>
                <c:pt idx="36">
                  <c:v>3.12</c:v>
                </c:pt>
                <c:pt idx="37">
                  <c:v>3.03</c:v>
                </c:pt>
                <c:pt idx="38">
                  <c:v>3.53</c:v>
                </c:pt>
                <c:pt idx="39">
                  <c:v>4.01</c:v>
                </c:pt>
                <c:pt idx="40">
                  <c:v>4.6100000000000003</c:v>
                </c:pt>
                <c:pt idx="41">
                  <c:v>5.12</c:v>
                </c:pt>
                <c:pt idx="42">
                  <c:v>4.4000000000000004</c:v>
                </c:pt>
                <c:pt idx="43">
                  <c:v>4.1100000000000003</c:v>
                </c:pt>
                <c:pt idx="44">
                  <c:v>4.72</c:v>
                </c:pt>
                <c:pt idx="45">
                  <c:v>5.52</c:v>
                </c:pt>
                <c:pt idx="46">
                  <c:v>5.1100000000000003</c:v>
                </c:pt>
                <c:pt idx="47">
                  <c:v>4.71</c:v>
                </c:pt>
                <c:pt idx="48" formatCode="###\ ###\ ###\ ###\ ##0.00;\-###\ ###\ ###\ ###\ ##0.00">
                  <c:v>4.4683071740930735</c:v>
                </c:pt>
                <c:pt idx="49" formatCode="###\ ###\ ###\ ###\ ##0.00;\-###\ ###\ ###\ ###\ ##0.00">
                  <c:v>4.6124456250457779</c:v>
                </c:pt>
                <c:pt idx="50" formatCode="###\ ###\ ###\ ###\ ##0.00;\-###\ ###\ ###\ ###\ ##0.00">
                  <c:v>4.6664316498532505</c:v>
                </c:pt>
                <c:pt idx="51" formatCode="###\ ###\ ###\ ###\ ##0.00;\-###\ ###\ ###\ ###\ ##0.00">
                  <c:v>4.6464031535593682</c:v>
                </c:pt>
                <c:pt idx="52" formatCode="###\ ###\ ###\ ###\ ##0.00;\-###\ ###\ ###\ ###\ ##0.00">
                  <c:v>4.4999821517871696</c:v>
                </c:pt>
                <c:pt idx="53" formatCode="###\ ###\ ###\ ###\ ##0.00;\-###\ ###\ ###\ ###\ ##0.00">
                  <c:v>4.3475817201909166</c:v>
                </c:pt>
                <c:pt idx="54" formatCode="###\ ###\ ###\ ###\ ##0.00;\-###\ ###\ ###\ ###\ ##0.00">
                  <c:v>4.1488922058727873</c:v>
                </c:pt>
                <c:pt idx="55" formatCode="###\ ###\ ###\ ###\ ##0.00;\-###\ ###\ ###\ ###\ ##0.00">
                  <c:v>4.2612326220421171</c:v>
                </c:pt>
                <c:pt idx="56" formatCode="###\ ###\ ###\ ###\ ##0.00;\-###\ ###\ ###\ ###\ ##0.00">
                  <c:v>4.4941452526073471</c:v>
                </c:pt>
                <c:pt idx="57" formatCode="###\ ###\ ###\ ###\ ##0.00;\-###\ ###\ ###\ ###\ ##0.00">
                  <c:v>4.7196492538174732</c:v>
                </c:pt>
                <c:pt idx="58" formatCode="###\ ###\ ###\ ###\ ##0.00;\-###\ ###\ ###\ ###\ ##0.00">
                  <c:v>4.4238011822001155</c:v>
                </c:pt>
                <c:pt idx="59" formatCode="###\ ###\ ###\ ###\ ##0.00;\-###\ ###\ ###\ ###\ ##0.00">
                  <c:v>3.9723129766524465</c:v>
                </c:pt>
                <c:pt idx="60" formatCode="###\ ###\ ###\ ###\ ##0.00;\-###\ ###\ ###\ ###\ ##0.00">
                  <c:v>3.8808928950535173</c:v>
                </c:pt>
                <c:pt idx="61" formatCode="###\ ###\ ###\ ###\ ##0.00;\-###\ ###\ ###\ ###\ ##0.00">
                  <c:v>3.7595547903987336</c:v>
                </c:pt>
                <c:pt idx="62" formatCode="###\ ###\ ###\ ###\ ##0.00;\-###\ ###\ ###\ ###\ ##0.00">
                  <c:v>3.8237627295684833</c:v>
                </c:pt>
                <c:pt idx="63" formatCode="###\ ###\ ###\ ###\ ##0.00;\-###\ ###\ ###\ ###\ ##0.00">
                  <c:v>4.2047003389485704</c:v>
                </c:pt>
                <c:pt idx="64" formatCode="###\ ###\ ###\ ###\ ##0.00;\-###\ ###\ ###\ ###\ ##0.00">
                  <c:v>4.1563388742973695</c:v>
                </c:pt>
                <c:pt idx="65" formatCode="###\ ###\ ###\ ###\ ##0.00;\-###\ ###\ ###\ ###\ ##0.00">
                  <c:v>4.2111868231811522</c:v>
                </c:pt>
                <c:pt idx="66" formatCode="###\ ###\ ###\ ###\ ##0.00;\-###\ ###\ ###\ ###\ ##0.00">
                  <c:v>3.9530858135362124</c:v>
                </c:pt>
                <c:pt idx="67" formatCode="###\ ###\ ###\ ###\ ##0.00;\-###\ ###\ ###\ ###\ ##0.00">
                  <c:v>3.7819619047615758</c:v>
                </c:pt>
                <c:pt idx="68" formatCode="###\ ###\ ###\ ###\ ##0.00;\-###\ ###\ ###\ ###\ ##0.00">
                  <c:v>3.7680573318990085</c:v>
                </c:pt>
                <c:pt idx="69" formatCode="###\ ###\ ###\ ###\ ##0.00;\-###\ ###\ ###\ ###\ ##0.00">
                  <c:v>3.9822987021498251</c:v>
                </c:pt>
                <c:pt idx="70" formatCode="###\ ###\ ###\ ###\ ##0.00;\-###\ ###\ ###\ ###\ ##0.00">
                  <c:v>4.1040262289864691</c:v>
                </c:pt>
                <c:pt idx="71" formatCode="###\ ###\ ###\ ###\ ##0.00;\-###\ ###\ ###\ ###\ ##0.00">
                  <c:v>4.1331038326115088</c:v>
                </c:pt>
              </c:numCache>
            </c:numRef>
          </c:val>
          <c:smooth val="0"/>
          <c:extLst>
            <c:ext xmlns:c16="http://schemas.microsoft.com/office/drawing/2014/chart" uri="{C3380CC4-5D6E-409C-BE32-E72D297353CC}">
              <c16:uniqueId val="{00000005-ECEE-4DC5-8EC2-E980353AB105}"/>
            </c:ext>
          </c:extLst>
        </c:ser>
        <c:dLbls>
          <c:showLegendKey val="0"/>
          <c:showVal val="0"/>
          <c:showCatName val="0"/>
          <c:showSerName val="0"/>
          <c:showPercent val="0"/>
          <c:showBubbleSize val="0"/>
        </c:dLbls>
        <c:marker val="1"/>
        <c:smooth val="0"/>
        <c:axId val="131001344"/>
        <c:axId val="131027712"/>
      </c:lineChart>
      <c:catAx>
        <c:axId val="131001344"/>
        <c:scaling>
          <c:orientation val="minMax"/>
        </c:scaling>
        <c:delete val="0"/>
        <c:axPos val="b"/>
        <c:numFmt formatCode="General" sourceLinked="0"/>
        <c:majorTickMark val="out"/>
        <c:minorTickMark val="none"/>
        <c:tickLblPos val="low"/>
        <c:spPr>
          <a:ln>
            <a:solidFill>
              <a:schemeClr val="tx1"/>
            </a:solidFill>
          </a:ln>
        </c:spPr>
        <c:crossAx val="131027712"/>
        <c:crosses val="autoZero"/>
        <c:auto val="1"/>
        <c:lblAlgn val="ctr"/>
        <c:lblOffset val="100"/>
        <c:noMultiLvlLbl val="0"/>
      </c:catAx>
      <c:valAx>
        <c:axId val="131027712"/>
        <c:scaling>
          <c:orientation val="minMax"/>
          <c:min val="-1"/>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1001344"/>
        <c:crosses val="autoZero"/>
        <c:crossBetween val="between"/>
        <c:majorUnit val="1"/>
      </c:valAx>
      <c:spPr>
        <a:ln>
          <a:solidFill>
            <a:schemeClr val="tx1"/>
          </a:solidFill>
        </a:ln>
      </c:spPr>
    </c:plotArea>
    <c:legend>
      <c:legendPos val="b"/>
      <c:layout>
        <c:manualLayout>
          <c:xMode val="edge"/>
          <c:yMode val="edge"/>
          <c:x val="4.2139690982776527E-2"/>
          <c:y val="0.87558269120103249"/>
          <c:w val="0.93886651469098281"/>
          <c:h val="0.11015705924459968"/>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b8c0c86d-151e-4fca-b0d5-747e6692fa1d"/>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BDA042F-31FE-43E6-88CB-844512F4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5375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3</cp:revision>
  <cp:lastPrinted>2014-07-17T14:07:00Z</cp:lastPrinted>
  <dcterms:created xsi:type="dcterms:W3CDTF">2025-04-24T09:24:00Z</dcterms:created>
  <dcterms:modified xsi:type="dcterms:W3CDTF">2025-04-24T09:39:00Z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