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7.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8.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9.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0.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xml" ContentType="application/vnd.openxmlformats-officedocument.themeOverride+xml"/>
  <Override PartName="/word/charts/chart21.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2.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3.xml" ContentType="application/vnd.openxmlformats-officedocument.drawingml.chart+xml"/>
  <Override PartName="/word/theme/themeOverride2.xml" ContentType="application/vnd.openxmlformats-officedocument.themeOverride+xml"/>
  <Override PartName="/word/charts/chart24.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25.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4.xml" ContentType="application/vnd.openxmlformats-officedocument.themeOverride+xml"/>
  <Override PartName="/word/drawings/drawing3.xml" ContentType="application/vnd.openxmlformats-officedocument.drawingml.chartshapes+xml"/>
  <Override PartName="/word/charts/chart26.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5.xml" ContentType="application/vnd.openxmlformats-officedocument.themeOverride+xml"/>
  <Override PartName="/word/charts/chart27.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6.xml" ContentType="application/vnd.openxmlformats-officedocument.themeOverride+xml"/>
  <Override PartName="/word/charts/chart28.xml" ContentType="application/vnd.openxmlformats-officedocument.drawingml.chart+xml"/>
  <Override PartName="/word/theme/themeOverride7.xml" ContentType="application/vnd.openxmlformats-officedocument.themeOverride+xml"/>
  <Override PartName="/word/drawings/drawing4.xml" ContentType="application/vnd.openxmlformats-officedocument.drawingml.chartshapes+xml"/>
  <Override PartName="/word/charts/chart29.xml" ContentType="application/vnd.openxmlformats-officedocument.drawingml.chart+xml"/>
  <Override PartName="/word/theme/themeOverride8.xml" ContentType="application/vnd.openxmlformats-officedocument.themeOverride+xml"/>
  <Override PartName="/word/drawings/drawing5.xml" ContentType="application/vnd.openxmlformats-officedocument.drawingml.chartshapes+xml"/>
  <Override PartName="/word/charts/chart30.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9.xml" ContentType="application/vnd.openxmlformats-officedocument.themeOverride+xml"/>
  <Override PartName="/word/charts/chart31.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10.xml" ContentType="application/vnd.openxmlformats-officedocument.themeOverride+xml"/>
  <Override PartName="/word/charts/chart32.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11.xml" ContentType="application/vnd.openxmlformats-officedocument.themeOverride+xml"/>
  <Override PartName="/word/charts/chart33.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34.xml" ContentType="application/vnd.openxmlformats-officedocument.drawingml.chart+xml"/>
  <Override PartName="/word/charts/chart35.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45C2F" w14:textId="77777777" w:rsidR="00231A58" w:rsidRDefault="00231A58" w:rsidP="002441A8">
      <w:r>
        <w:rPr>
          <w:rFonts w:ascii="Times New Roman" w:eastAsia="Calibri" w:hAnsi="Times New Roman"/>
          <w:noProof/>
          <w:sz w:val="24"/>
        </w:rPr>
        <mc:AlternateContent>
          <mc:Choice Requires="wps">
            <w:drawing>
              <wp:anchor distT="0" distB="0" distL="114300" distR="114300" simplePos="0" relativeHeight="251663872" behindDoc="0" locked="1" layoutInCell="1" allowOverlap="1" wp14:anchorId="4F0224FB" wp14:editId="2B3D9423">
                <wp:simplePos x="0" y="0"/>
                <wp:positionH relativeFrom="margin">
                  <wp:align>right</wp:align>
                </wp:positionH>
                <wp:positionV relativeFrom="page">
                  <wp:posOffset>5772150</wp:posOffset>
                </wp:positionV>
                <wp:extent cx="3419475" cy="876300"/>
                <wp:effectExtent l="0" t="0" r="9525" b="0"/>
                <wp:wrapTopAndBottom/>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876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EDECDC" w14:textId="77777777" w:rsidR="001E10D0" w:rsidRDefault="001E10D0" w:rsidP="00231A58">
                            <w:pPr>
                              <w:spacing w:after="0" w:line="360" w:lineRule="auto"/>
                            </w:pPr>
                            <w:r>
                              <w:t xml:space="preserve">Zpracoval: Odbor statistiky trhu práce a rovných příležitostí </w:t>
                            </w:r>
                          </w:p>
                          <w:p w14:paraId="62A48AD6" w14:textId="77777777" w:rsidR="001E10D0" w:rsidRDefault="001E10D0" w:rsidP="00231A58">
                            <w:pPr>
                              <w:spacing w:after="0" w:line="360" w:lineRule="auto"/>
                            </w:pPr>
                            <w:r>
                              <w:t>Ředitel odboru: Mgr. Dalibor Holý</w:t>
                            </w:r>
                          </w:p>
                          <w:p w14:paraId="5D6F288E" w14:textId="77777777" w:rsidR="001E10D0" w:rsidRDefault="001E10D0" w:rsidP="00231A58">
                            <w:pPr>
                              <w:spacing w:after="0" w:line="360" w:lineRule="auto"/>
                            </w:pPr>
                            <w:r>
                              <w:t>Kontaktní osoba: Mgr. Dalibor Holý</w:t>
                            </w:r>
                            <w:r>
                              <w:br/>
                              <w:t>e-mail: dalibor.holy@czso.cz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0224FB" id="_x0000_t202" coordsize="21600,21600" o:spt="202" path="m,l,21600r21600,l21600,xe">
                <v:stroke joinstyle="miter"/>
                <v:path gradientshapeok="t" o:connecttype="rect"/>
              </v:shapetype>
              <v:shape id="Textové pole 17" o:spid="_x0000_s1026" type="#_x0000_t202" style="position:absolute;margin-left:218.05pt;margin-top:454.5pt;width:269.25pt;height:69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" filled="f" stroked="f">
                <v:textbox inset="0,0,0,0">
                  <w:txbxContent>
                    <w:p w14:paraId="20EDECDC" w14:textId="77777777" w:rsidR="001E10D0" w:rsidRDefault="001E10D0" w:rsidP="00231A58">
                      <w:pPr>
                        <w:spacing w:after="0" w:line="360" w:lineRule="auto"/>
                      </w:pPr>
                      <w:r>
                        <w:t xml:space="preserve">Zpracoval: Odbor statistiky trhu práce a rovných příležitostí </w:t>
                      </w:r>
                    </w:p>
                    <w:p w14:paraId="62A48AD6" w14:textId="77777777" w:rsidR="001E10D0" w:rsidRDefault="001E10D0" w:rsidP="00231A58">
                      <w:pPr>
                        <w:spacing w:after="0" w:line="360" w:lineRule="auto"/>
                      </w:pPr>
                      <w:r>
                        <w:t>Ředitel odboru: Mgr. Dalibor Holý</w:t>
                      </w:r>
                    </w:p>
                    <w:p w14:paraId="5D6F288E" w14:textId="77777777" w:rsidR="001E10D0" w:rsidRDefault="001E10D0" w:rsidP="00231A58">
                      <w:pPr>
                        <w:spacing w:after="0" w:line="360" w:lineRule="auto"/>
                      </w:pPr>
                      <w:r>
                        <w:t>Kontaktní osoba: Mgr. Dalibor Holý</w:t>
                      </w:r>
                      <w:r>
                        <w:br/>
                        <w:t>e-mail: dalibor.holy@czso.cz</w:t>
                      </w:r>
                    </w:p>
                  </w:txbxContent>
                </v:textbox>
                <w10:wrap type="topAndBottom" anchorx="margin" anchory="page"/>
                <w10:anchorlock/>
              </v:shape>
            </w:pict>
          </mc:Fallback>
        </mc:AlternateContent>
      </w:r>
    </w:p>
    <w:p w14:paraId="6E5127C6" w14:textId="77777777" w:rsidR="003C19E3" w:rsidRDefault="00231A58" w:rsidP="002441A8">
      <w:pPr>
        <w:rPr>
          <w:b/>
          <w:bCs/>
          <w:sz w:val="21"/>
          <w:szCs w:val="21"/>
        </w:rPr>
      </w:pPr>
      <w:r>
        <w:rPr>
          <w:rFonts w:ascii="Times New Roman" w:eastAsia="Calibri" w:hAnsi="Times New Roman"/>
          <w:noProof/>
          <w:sz w:val="24"/>
        </w:rPr>
        <mc:AlternateContent>
          <mc:Choice Requires="wps">
            <w:drawing>
              <wp:anchor distT="4294967294" distB="4294967294" distL="114300" distR="114300" simplePos="0" relativeHeight="251665920" behindDoc="0" locked="0" layoutInCell="0" allowOverlap="1" wp14:anchorId="75D319E1" wp14:editId="7468D44F">
                <wp:simplePos x="0" y="0"/>
                <wp:positionH relativeFrom="page">
                  <wp:posOffset>1359535</wp:posOffset>
                </wp:positionH>
                <wp:positionV relativeFrom="page">
                  <wp:posOffset>6701790</wp:posOffset>
                </wp:positionV>
                <wp:extent cx="3420000" cy="0"/>
                <wp:effectExtent l="0" t="0" r="0" b="0"/>
                <wp:wrapNone/>
                <wp:docPr id="19" name="Přímá spojnic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00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82DE74" id="Přímá spojnice 19" o:spid="_x0000_s1026" style="position:absolute;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107.05pt,527.7pt" to="376.35pt,5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" o:allowincell="f" strokecolor="windowText" strokeweight="1pt">
                <o:lock v:ext="edit" shapetype="f"/>
                <w10:wrap anchorx="page" anchory="page"/>
              </v:line>
            </w:pict>
          </mc:Fallback>
        </mc:AlternateContent>
      </w:r>
      <w:r>
        <w:rPr>
          <w:rFonts w:ascii="Times New Roman" w:eastAsia="Calibri" w:hAnsi="Times New Roman"/>
          <w:noProof/>
          <w:sz w:val="24"/>
        </w:rPr>
        <mc:AlternateContent>
          <mc:Choice Requires="wps">
            <w:drawing>
              <wp:anchor distT="0" distB="0" distL="114300" distR="114300" simplePos="0" relativeHeight="251666944" behindDoc="0" locked="1" layoutInCell="1" allowOverlap="1" wp14:anchorId="6D19D036" wp14:editId="74A5D37B">
                <wp:simplePos x="0" y="0"/>
                <wp:positionH relativeFrom="margin">
                  <wp:align>right</wp:align>
                </wp:positionH>
                <wp:positionV relativeFrom="bottomMargin">
                  <wp:align>top</wp:align>
                </wp:positionV>
                <wp:extent cx="3419475" cy="179705"/>
                <wp:effectExtent l="0" t="0" r="9525" b="10795"/>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797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3D2080" w14:textId="3615BC74" w:rsidR="001E10D0" w:rsidRDefault="001E10D0" w:rsidP="00231A58">
                            <w:r>
                              <w:t>© Český statistický úřad, Praha, 2022</w:t>
                            </w:r>
                          </w:p>
                          <w:p w14:paraId="3D14B082" w14:textId="77777777" w:rsidR="001E10D0" w:rsidRDefault="001E10D0" w:rsidP="00231A58"/>
                          <w:p w14:paraId="5DC4352E" w14:textId="77777777" w:rsidR="001E10D0" w:rsidRDefault="001E10D0" w:rsidP="00231A58"/>
                          <w:p w14:paraId="4B390A44" w14:textId="77777777" w:rsidR="001E10D0" w:rsidRDefault="001E10D0" w:rsidP="00231A58"/>
                          <w:p w14:paraId="664BA366" w14:textId="77777777" w:rsidR="001E10D0" w:rsidRDefault="001E10D0" w:rsidP="00231A58">
                            <w:r>
                              <w:t xml:space="preserve">© Český statistický úřad / </w:t>
                            </w:r>
                            <w:r>
                              <w:rPr>
                                <w:i/>
                              </w:rPr>
                              <w:t xml:space="preserve">Czech </w:t>
                            </w:r>
                            <w:r>
                              <w:rPr>
                                <w:rFonts w:cs="Arial"/>
                                <w:i/>
                                <w:szCs w:val="20"/>
                              </w:rPr>
                              <w:t>Statistical Office</w:t>
                            </w:r>
                            <w:r>
                              <w:t>, místo, rok vydání</w:t>
                            </w:r>
                          </w:p>
                          <w:p w14:paraId="7EC871F1" w14:textId="77777777" w:rsidR="001E10D0" w:rsidRDefault="001E10D0" w:rsidP="00231A58"/>
                          <w:p w14:paraId="6AC82E59" w14:textId="77777777" w:rsidR="001E10D0" w:rsidRDefault="001E10D0" w:rsidP="00231A58"/>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19D036" id="Textové pole 18" o:spid="_x0000_s1027" type="#_x0000_t202" style="position:absolute;margin-left:218.05pt;margin-top:0;width:269.25pt;height:14.15pt;z-index:25166694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" filled="f" stroked="f">
                <v:textbox inset="0,0,0,0">
                  <w:txbxContent>
                    <w:p w14:paraId="4D3D2080" w14:textId="3615BC74" w:rsidR="001E10D0" w:rsidRDefault="001E10D0" w:rsidP="00231A58">
                      <w:r>
                        <w:t>© Český statistický úřad, Praha, 2022</w:t>
                      </w:r>
                    </w:p>
                    <w:p w14:paraId="3D14B082" w14:textId="77777777" w:rsidR="001E10D0" w:rsidRDefault="001E10D0" w:rsidP="00231A58"/>
                    <w:p w14:paraId="5DC4352E" w14:textId="77777777" w:rsidR="001E10D0" w:rsidRDefault="001E10D0" w:rsidP="00231A58"/>
                    <w:p w14:paraId="4B390A44" w14:textId="77777777" w:rsidR="001E10D0" w:rsidRDefault="001E10D0" w:rsidP="00231A58"/>
                    <w:p w14:paraId="664BA366" w14:textId="77777777" w:rsidR="001E10D0" w:rsidRDefault="001E10D0" w:rsidP="00231A58">
                      <w:r>
                        <w:t xml:space="preserve">© Český statistický úřad / </w:t>
                      </w:r>
                      <w:r>
                        <w:rPr>
                          <w:i/>
                        </w:rPr>
                        <w:t xml:space="preserve">Czech </w:t>
                      </w:r>
                      <w:r>
                        <w:rPr>
                          <w:rFonts w:cs="Arial"/>
                          <w:i/>
                          <w:szCs w:val="20"/>
                        </w:rPr>
                        <w:t>Statistical Office</w:t>
                      </w:r>
                      <w:r>
                        <w:t>, místo, rok vydání</w:t>
                      </w:r>
                    </w:p>
                    <w:p w14:paraId="7EC871F1" w14:textId="77777777" w:rsidR="001E10D0" w:rsidRDefault="001E10D0" w:rsidP="00231A58"/>
                    <w:p w14:paraId="6AC82E59" w14:textId="77777777" w:rsidR="001E10D0" w:rsidRDefault="001E10D0" w:rsidP="00231A58"/>
                  </w:txbxContent>
                </v:textbox>
                <w10:wrap anchorx="margin" anchory="margin"/>
                <w10:anchorlock/>
              </v:shape>
            </w:pict>
          </mc:Fallback>
        </mc:AlternateContent>
      </w:r>
      <w:r w:rsidR="00B1438F">
        <w:rPr>
          <w:noProof/>
        </w:rPr>
        <mc:AlternateContent>
          <mc:Choice Requires="wpg">
            <w:drawing>
              <wp:anchor distT="0" distB="0" distL="114300" distR="114300" simplePos="0" relativeHeight="251657728" behindDoc="0" locked="1" layoutInCell="1" allowOverlap="1" wp14:anchorId="76C7067D" wp14:editId="18AF0E65">
                <wp:simplePos x="0" y="0"/>
                <wp:positionH relativeFrom="page">
                  <wp:posOffset>494030</wp:posOffset>
                </wp:positionH>
                <wp:positionV relativeFrom="page">
                  <wp:posOffset>540385</wp:posOffset>
                </wp:positionV>
                <wp:extent cx="1728000" cy="424800"/>
                <wp:effectExtent l="0" t="0" r="5715" b="0"/>
                <wp:wrapSquare wrapText="bothSides"/>
                <wp:docPr id="5"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28000" cy="424800"/>
                          <a:chOff x="567" y="851"/>
                          <a:chExt cx="2714" cy="667"/>
                        </a:xfrm>
                      </wpg:grpSpPr>
                      <wps:wsp>
                        <wps:cNvPr id="6" name="Rectangle 9"/>
                        <wps:cNvSpPr>
                          <a:spLocks noChangeAspect="1" noChangeArrowheads="1"/>
                        </wps:cNvSpPr>
                        <wps:spPr bwMode="auto">
                          <a:xfrm>
                            <a:off x="1215" y="901"/>
                            <a:ext cx="676" cy="154"/>
                          </a:xfrm>
                          <a:prstGeom prst="rect">
                            <a:avLst/>
                          </a:prstGeom>
                          <a:solidFill>
                            <a:srgbClr val="0071B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spect="1" noChangeArrowheads="1"/>
                        </wps:cNvSpPr>
                        <wps:spPr bwMode="auto">
                          <a:xfrm>
                            <a:off x="567" y="1131"/>
                            <a:ext cx="1324" cy="154"/>
                          </a:xfrm>
                          <a:prstGeom prst="rect">
                            <a:avLst/>
                          </a:prstGeom>
                          <a:solidFill>
                            <a:srgbClr val="0071B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spect="1" noChangeArrowheads="1"/>
                        </wps:cNvSpPr>
                        <wps:spPr bwMode="auto">
                          <a:xfrm>
                            <a:off x="1288" y="1361"/>
                            <a:ext cx="603" cy="153"/>
                          </a:xfrm>
                          <a:prstGeom prst="rect">
                            <a:avLst/>
                          </a:prstGeom>
                          <a:solidFill>
                            <a:srgbClr val="0071B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2"/>
                        <wps:cNvSpPr>
                          <a:spLocks noChangeAspect="1" noEditPoints="1"/>
                        </wps:cNvSpPr>
                        <wps:spPr bwMode="auto">
                          <a:xfrm>
                            <a:off x="1969" y="1311"/>
                            <a:ext cx="600" cy="207"/>
                          </a:xfrm>
                          <a:custGeom>
                            <a:avLst/>
                            <a:gdLst>
                              <a:gd name="T0" fmla="*/ 520 w 1200"/>
                              <a:gd name="T1" fmla="*/ 84 h 415"/>
                              <a:gd name="T2" fmla="*/ 537 w 1200"/>
                              <a:gd name="T3" fmla="*/ 88 h 415"/>
                              <a:gd name="T4" fmla="*/ 550 w 1200"/>
                              <a:gd name="T5" fmla="*/ 100 h 415"/>
                              <a:gd name="T6" fmla="*/ 557 w 1200"/>
                              <a:gd name="T7" fmla="*/ 114 h 415"/>
                              <a:gd name="T8" fmla="*/ 559 w 1200"/>
                              <a:gd name="T9" fmla="*/ 131 h 415"/>
                              <a:gd name="T10" fmla="*/ 554 w 1200"/>
                              <a:gd name="T11" fmla="*/ 147 h 415"/>
                              <a:gd name="T12" fmla="*/ 544 w 1200"/>
                              <a:gd name="T13" fmla="*/ 160 h 415"/>
                              <a:gd name="T14" fmla="*/ 530 w 1200"/>
                              <a:gd name="T15" fmla="*/ 168 h 415"/>
                              <a:gd name="T16" fmla="*/ 506 w 1200"/>
                              <a:gd name="T17" fmla="*/ 170 h 415"/>
                              <a:gd name="T18" fmla="*/ 540 w 1200"/>
                              <a:gd name="T19" fmla="*/ 202 h 415"/>
                              <a:gd name="T20" fmla="*/ 567 w 1200"/>
                              <a:gd name="T21" fmla="*/ 190 h 415"/>
                              <a:gd name="T22" fmla="*/ 587 w 1200"/>
                              <a:gd name="T23" fmla="*/ 169 h 415"/>
                              <a:gd name="T24" fmla="*/ 599 w 1200"/>
                              <a:gd name="T25" fmla="*/ 142 h 415"/>
                              <a:gd name="T26" fmla="*/ 599 w 1200"/>
                              <a:gd name="T27" fmla="*/ 111 h 415"/>
                              <a:gd name="T28" fmla="*/ 587 w 1200"/>
                              <a:gd name="T29" fmla="*/ 84 h 415"/>
                              <a:gd name="T30" fmla="*/ 567 w 1200"/>
                              <a:gd name="T31" fmla="*/ 63 h 415"/>
                              <a:gd name="T32" fmla="*/ 540 w 1200"/>
                              <a:gd name="T33" fmla="*/ 51 h 415"/>
                              <a:gd name="T34" fmla="*/ 466 w 1200"/>
                              <a:gd name="T35" fmla="*/ 204 h 415"/>
                              <a:gd name="T36" fmla="*/ 388 w 1200"/>
                              <a:gd name="T37" fmla="*/ 146 h 415"/>
                              <a:gd name="T38" fmla="*/ 393 w 1200"/>
                              <a:gd name="T39" fmla="*/ 50 h 415"/>
                              <a:gd name="T40" fmla="*/ 343 w 1200"/>
                              <a:gd name="T41" fmla="*/ 177 h 415"/>
                              <a:gd name="T42" fmla="*/ 257 w 1200"/>
                              <a:gd name="T43" fmla="*/ 18 h 415"/>
                              <a:gd name="T44" fmla="*/ 174 w 1200"/>
                              <a:gd name="T45" fmla="*/ 18 h 415"/>
                              <a:gd name="T46" fmla="*/ 216 w 1200"/>
                              <a:gd name="T47" fmla="*/ 81 h 415"/>
                              <a:gd name="T48" fmla="*/ 231 w 1200"/>
                              <a:gd name="T49" fmla="*/ 88 h 415"/>
                              <a:gd name="T50" fmla="*/ 235 w 1200"/>
                              <a:gd name="T51" fmla="*/ 104 h 415"/>
                              <a:gd name="T52" fmla="*/ 225 w 1200"/>
                              <a:gd name="T53" fmla="*/ 116 h 415"/>
                              <a:gd name="T54" fmla="*/ 204 w 1200"/>
                              <a:gd name="T55" fmla="*/ 119 h 415"/>
                              <a:gd name="T56" fmla="*/ 258 w 1200"/>
                              <a:gd name="T57" fmla="*/ 135 h 415"/>
                              <a:gd name="T58" fmla="*/ 271 w 1200"/>
                              <a:gd name="T59" fmla="*/ 121 h 415"/>
                              <a:gd name="T60" fmla="*/ 276 w 1200"/>
                              <a:gd name="T61" fmla="*/ 102 h 415"/>
                              <a:gd name="T62" fmla="*/ 275 w 1200"/>
                              <a:gd name="T63" fmla="*/ 83 h 415"/>
                              <a:gd name="T64" fmla="*/ 266 w 1200"/>
                              <a:gd name="T65" fmla="*/ 67 h 415"/>
                              <a:gd name="T66" fmla="*/ 252 w 1200"/>
                              <a:gd name="T67" fmla="*/ 55 h 415"/>
                              <a:gd name="T68" fmla="*/ 232 w 1200"/>
                              <a:gd name="T69" fmla="*/ 50 h 415"/>
                              <a:gd name="T70" fmla="*/ 204 w 1200"/>
                              <a:gd name="T71" fmla="*/ 204 h 415"/>
                              <a:gd name="T72" fmla="*/ 243 w 1200"/>
                              <a:gd name="T73" fmla="*/ 141 h 415"/>
                              <a:gd name="T74" fmla="*/ 67 w 1200"/>
                              <a:gd name="T75" fmla="*/ 42 h 415"/>
                              <a:gd name="T76" fmla="*/ 0 w 1200"/>
                              <a:gd name="T77" fmla="*/ 139 h 415"/>
                              <a:gd name="T78" fmla="*/ 3 w 1200"/>
                              <a:gd name="T79" fmla="*/ 166 h 415"/>
                              <a:gd name="T80" fmla="*/ 12 w 1200"/>
                              <a:gd name="T81" fmla="*/ 184 h 415"/>
                              <a:gd name="T82" fmla="*/ 34 w 1200"/>
                              <a:gd name="T83" fmla="*/ 201 h 415"/>
                              <a:gd name="T84" fmla="*/ 67 w 1200"/>
                              <a:gd name="T85" fmla="*/ 207 h 415"/>
                              <a:gd name="T86" fmla="*/ 96 w 1200"/>
                              <a:gd name="T87" fmla="*/ 202 h 415"/>
                              <a:gd name="T88" fmla="*/ 119 w 1200"/>
                              <a:gd name="T89" fmla="*/ 186 h 415"/>
                              <a:gd name="T90" fmla="*/ 131 w 1200"/>
                              <a:gd name="T91" fmla="*/ 166 h 415"/>
                              <a:gd name="T92" fmla="*/ 134 w 1200"/>
                              <a:gd name="T93" fmla="*/ 139 h 415"/>
                              <a:gd name="T94" fmla="*/ 95 w 1200"/>
                              <a:gd name="T95" fmla="*/ 143 h 415"/>
                              <a:gd name="T96" fmla="*/ 89 w 1200"/>
                              <a:gd name="T97" fmla="*/ 163 h 415"/>
                              <a:gd name="T98" fmla="*/ 78 w 1200"/>
                              <a:gd name="T99" fmla="*/ 170 h 415"/>
                              <a:gd name="T100" fmla="*/ 63 w 1200"/>
                              <a:gd name="T101" fmla="*/ 172 h 415"/>
                              <a:gd name="T102" fmla="*/ 52 w 1200"/>
                              <a:gd name="T103" fmla="*/ 168 h 415"/>
                              <a:gd name="T104" fmla="*/ 42 w 1200"/>
                              <a:gd name="T105" fmla="*/ 156 h 415"/>
                              <a:gd name="T106" fmla="*/ 40 w 1200"/>
                              <a:gd name="T107" fmla="*/ 50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ChangeAspect="1" noEditPoints="1"/>
                        </wps:cNvSpPr>
                        <wps:spPr bwMode="auto">
                          <a:xfrm>
                            <a:off x="1962" y="1081"/>
                            <a:ext cx="1319" cy="208"/>
                          </a:xfrm>
                          <a:custGeom>
                            <a:avLst/>
                            <a:gdLst>
                              <a:gd name="T0" fmla="*/ 1221 w 2637"/>
                              <a:gd name="T1" fmla="*/ 204 h 416"/>
                              <a:gd name="T2" fmla="*/ 1166 w 2637"/>
                              <a:gd name="T3" fmla="*/ 50 h 416"/>
                              <a:gd name="T4" fmla="*/ 1072 w 2637"/>
                              <a:gd name="T5" fmla="*/ 137 h 416"/>
                              <a:gd name="T6" fmla="*/ 1004 w 2637"/>
                              <a:gd name="T7" fmla="*/ 54 h 416"/>
                              <a:gd name="T8" fmla="*/ 943 w 2637"/>
                              <a:gd name="T9" fmla="*/ 51 h 416"/>
                              <a:gd name="T10" fmla="*/ 900 w 2637"/>
                              <a:gd name="T11" fmla="*/ 82 h 416"/>
                              <a:gd name="T12" fmla="*/ 887 w 2637"/>
                              <a:gd name="T13" fmla="*/ 136 h 416"/>
                              <a:gd name="T14" fmla="*/ 907 w 2637"/>
                              <a:gd name="T15" fmla="*/ 181 h 416"/>
                              <a:gd name="T16" fmla="*/ 959 w 2637"/>
                              <a:gd name="T17" fmla="*/ 208 h 416"/>
                              <a:gd name="T18" fmla="*/ 1000 w 2637"/>
                              <a:gd name="T19" fmla="*/ 157 h 416"/>
                              <a:gd name="T20" fmla="*/ 969 w 2637"/>
                              <a:gd name="T21" fmla="*/ 169 h 416"/>
                              <a:gd name="T22" fmla="*/ 945 w 2637"/>
                              <a:gd name="T23" fmla="*/ 161 h 416"/>
                              <a:gd name="T24" fmla="*/ 929 w 2637"/>
                              <a:gd name="T25" fmla="*/ 137 h 416"/>
                              <a:gd name="T26" fmla="*/ 933 w 2637"/>
                              <a:gd name="T27" fmla="*/ 107 h 416"/>
                              <a:gd name="T28" fmla="*/ 953 w 2637"/>
                              <a:gd name="T29" fmla="*/ 89 h 416"/>
                              <a:gd name="T30" fmla="*/ 984 w 2637"/>
                              <a:gd name="T31" fmla="*/ 88 h 416"/>
                              <a:gd name="T32" fmla="*/ 864 w 2637"/>
                              <a:gd name="T33" fmla="*/ 50 h 416"/>
                              <a:gd name="T34" fmla="*/ 802 w 2637"/>
                              <a:gd name="T35" fmla="*/ 50 h 416"/>
                              <a:gd name="T36" fmla="*/ 680 w 2637"/>
                              <a:gd name="T37" fmla="*/ 59 h 416"/>
                              <a:gd name="T38" fmla="*/ 638 w 2637"/>
                              <a:gd name="T39" fmla="*/ 46 h 416"/>
                              <a:gd name="T40" fmla="*/ 602 w 2637"/>
                              <a:gd name="T41" fmla="*/ 54 h 416"/>
                              <a:gd name="T42" fmla="*/ 581 w 2637"/>
                              <a:gd name="T43" fmla="*/ 82 h 416"/>
                              <a:gd name="T44" fmla="*/ 583 w 2637"/>
                              <a:gd name="T45" fmla="*/ 116 h 416"/>
                              <a:gd name="T46" fmla="*/ 610 w 2637"/>
                              <a:gd name="T47" fmla="*/ 138 h 416"/>
                              <a:gd name="T48" fmla="*/ 644 w 2637"/>
                              <a:gd name="T49" fmla="*/ 153 h 416"/>
                              <a:gd name="T50" fmla="*/ 637 w 2637"/>
                              <a:gd name="T51" fmla="*/ 171 h 416"/>
                              <a:gd name="T52" fmla="*/ 608 w 2637"/>
                              <a:gd name="T53" fmla="*/ 170 h 416"/>
                              <a:gd name="T54" fmla="*/ 586 w 2637"/>
                              <a:gd name="T55" fmla="*/ 198 h 416"/>
                              <a:gd name="T56" fmla="*/ 633 w 2637"/>
                              <a:gd name="T57" fmla="*/ 208 h 416"/>
                              <a:gd name="T58" fmla="*/ 671 w 2637"/>
                              <a:gd name="T59" fmla="*/ 193 h 416"/>
                              <a:gd name="T60" fmla="*/ 687 w 2637"/>
                              <a:gd name="T61" fmla="*/ 160 h 416"/>
                              <a:gd name="T62" fmla="*/ 678 w 2637"/>
                              <a:gd name="T63" fmla="*/ 126 h 416"/>
                              <a:gd name="T64" fmla="*/ 638 w 2637"/>
                              <a:gd name="T65" fmla="*/ 107 h 416"/>
                              <a:gd name="T66" fmla="*/ 621 w 2637"/>
                              <a:gd name="T67" fmla="*/ 93 h 416"/>
                              <a:gd name="T68" fmla="*/ 635 w 2637"/>
                              <a:gd name="T69" fmla="*/ 80 h 416"/>
                              <a:gd name="T70" fmla="*/ 665 w 2637"/>
                              <a:gd name="T71" fmla="*/ 90 h 416"/>
                              <a:gd name="T72" fmla="*/ 452 w 2637"/>
                              <a:gd name="T73" fmla="*/ 84 h 416"/>
                              <a:gd name="T74" fmla="*/ 452 w 2637"/>
                              <a:gd name="T75" fmla="*/ 204 h 416"/>
                              <a:gd name="T76" fmla="*/ 343 w 2637"/>
                              <a:gd name="T77" fmla="*/ 204 h 416"/>
                              <a:gd name="T78" fmla="*/ 333 w 2637"/>
                              <a:gd name="T79" fmla="*/ 177 h 416"/>
                              <a:gd name="T80" fmla="*/ 158 w 2637"/>
                              <a:gd name="T81" fmla="*/ 204 h 416"/>
                              <a:gd name="T82" fmla="*/ 84 w 2637"/>
                              <a:gd name="T83" fmla="*/ 49 h 416"/>
                              <a:gd name="T84" fmla="*/ 42 w 2637"/>
                              <a:gd name="T85" fmla="*/ 48 h 416"/>
                              <a:gd name="T86" fmla="*/ 14 w 2637"/>
                              <a:gd name="T87" fmla="*/ 68 h 416"/>
                              <a:gd name="T88" fmla="*/ 6 w 2637"/>
                              <a:gd name="T89" fmla="*/ 103 h 416"/>
                              <a:gd name="T90" fmla="*/ 19 w 2637"/>
                              <a:gd name="T91" fmla="*/ 128 h 416"/>
                              <a:gd name="T92" fmla="*/ 64 w 2637"/>
                              <a:gd name="T93" fmla="*/ 147 h 416"/>
                              <a:gd name="T94" fmla="*/ 71 w 2637"/>
                              <a:gd name="T95" fmla="*/ 165 h 416"/>
                              <a:gd name="T96" fmla="*/ 48 w 2637"/>
                              <a:gd name="T97" fmla="*/ 174 h 416"/>
                              <a:gd name="T98" fmla="*/ 17 w 2637"/>
                              <a:gd name="T99" fmla="*/ 158 h 416"/>
                              <a:gd name="T100" fmla="*/ 40 w 2637"/>
                              <a:gd name="T101" fmla="*/ 207 h 416"/>
                              <a:gd name="T102" fmla="*/ 84 w 2637"/>
                              <a:gd name="T103" fmla="*/ 202 h 416"/>
                              <a:gd name="T104" fmla="*/ 110 w 2637"/>
                              <a:gd name="T105" fmla="*/ 176 h 416"/>
                              <a:gd name="T106" fmla="*/ 110 w 2637"/>
                              <a:gd name="T107" fmla="*/ 135 h 416"/>
                              <a:gd name="T108" fmla="*/ 93 w 2637"/>
                              <a:gd name="T109" fmla="*/ 117 h 416"/>
                              <a:gd name="T110" fmla="*/ 50 w 2637"/>
                              <a:gd name="T111" fmla="*/ 99 h 416"/>
                              <a:gd name="T112" fmla="*/ 53 w 2637"/>
                              <a:gd name="T113" fmla="*/ 84 h 416"/>
                              <a:gd name="T114" fmla="*/ 76 w 2637"/>
                              <a:gd name="T115" fmla="*/ 81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ChangeAspect="1" noEditPoints="1"/>
                        </wps:cNvSpPr>
                        <wps:spPr bwMode="auto">
                          <a:xfrm>
                            <a:off x="1962" y="851"/>
                            <a:ext cx="679" cy="208"/>
                          </a:xfrm>
                          <a:custGeom>
                            <a:avLst/>
                            <a:gdLst>
                              <a:gd name="T0" fmla="*/ 641 w 1358"/>
                              <a:gd name="T1" fmla="*/ 18 h 416"/>
                              <a:gd name="T2" fmla="*/ 679 w 1358"/>
                              <a:gd name="T3" fmla="*/ 50 h 416"/>
                              <a:gd name="T4" fmla="*/ 581 w 1358"/>
                              <a:gd name="T5" fmla="*/ 130 h 416"/>
                              <a:gd name="T6" fmla="*/ 432 w 1358"/>
                              <a:gd name="T7" fmla="*/ 204 h 416"/>
                              <a:gd name="T8" fmla="*/ 530 w 1358"/>
                              <a:gd name="T9" fmla="*/ 50 h 416"/>
                              <a:gd name="T10" fmla="*/ 349 w 1358"/>
                              <a:gd name="T11" fmla="*/ 54 h 416"/>
                              <a:gd name="T12" fmla="*/ 318 w 1358"/>
                              <a:gd name="T13" fmla="*/ 46 h 416"/>
                              <a:gd name="T14" fmla="*/ 290 w 1358"/>
                              <a:gd name="T15" fmla="*/ 50 h 416"/>
                              <a:gd name="T16" fmla="*/ 271 w 1358"/>
                              <a:gd name="T17" fmla="*/ 64 h 416"/>
                              <a:gd name="T18" fmla="*/ 261 w 1358"/>
                              <a:gd name="T19" fmla="*/ 87 h 416"/>
                              <a:gd name="T20" fmla="*/ 261 w 1358"/>
                              <a:gd name="T21" fmla="*/ 112 h 416"/>
                              <a:gd name="T22" fmla="*/ 272 w 1358"/>
                              <a:gd name="T23" fmla="*/ 129 h 416"/>
                              <a:gd name="T24" fmla="*/ 307 w 1358"/>
                              <a:gd name="T25" fmla="*/ 144 h 416"/>
                              <a:gd name="T26" fmla="*/ 324 w 1358"/>
                              <a:gd name="T27" fmla="*/ 153 h 416"/>
                              <a:gd name="T28" fmla="*/ 322 w 1358"/>
                              <a:gd name="T29" fmla="*/ 168 h 416"/>
                              <a:gd name="T30" fmla="*/ 306 w 1358"/>
                              <a:gd name="T31" fmla="*/ 174 h 416"/>
                              <a:gd name="T32" fmla="*/ 284 w 1358"/>
                              <a:gd name="T33" fmla="*/ 168 h 416"/>
                              <a:gd name="T34" fmla="*/ 260 w 1358"/>
                              <a:gd name="T35" fmla="*/ 195 h 416"/>
                              <a:gd name="T36" fmla="*/ 293 w 1358"/>
                              <a:gd name="T37" fmla="*/ 207 h 416"/>
                              <a:gd name="T38" fmla="*/ 326 w 1358"/>
                              <a:gd name="T39" fmla="*/ 206 h 416"/>
                              <a:gd name="T40" fmla="*/ 351 w 1358"/>
                              <a:gd name="T41" fmla="*/ 193 h 416"/>
                              <a:gd name="T42" fmla="*/ 365 w 1358"/>
                              <a:gd name="T43" fmla="*/ 172 h 416"/>
                              <a:gd name="T44" fmla="*/ 365 w 1358"/>
                              <a:gd name="T45" fmla="*/ 138 h 416"/>
                              <a:gd name="T46" fmla="*/ 356 w 1358"/>
                              <a:gd name="T47" fmla="*/ 124 h 416"/>
                              <a:gd name="T48" fmla="*/ 329 w 1358"/>
                              <a:gd name="T49" fmla="*/ 111 h 416"/>
                              <a:gd name="T50" fmla="*/ 304 w 1358"/>
                              <a:gd name="T51" fmla="*/ 99 h 416"/>
                              <a:gd name="T52" fmla="*/ 303 w 1358"/>
                              <a:gd name="T53" fmla="*/ 87 h 416"/>
                              <a:gd name="T54" fmla="*/ 315 w 1358"/>
                              <a:gd name="T55" fmla="*/ 80 h 416"/>
                              <a:gd name="T56" fmla="*/ 332 w 1358"/>
                              <a:gd name="T57" fmla="*/ 82 h 416"/>
                              <a:gd name="T58" fmla="*/ 232 w 1358"/>
                              <a:gd name="T59" fmla="*/ 50 h 416"/>
                              <a:gd name="T60" fmla="*/ 185 w 1358"/>
                              <a:gd name="T61" fmla="*/ 170 h 416"/>
                              <a:gd name="T62" fmla="*/ 185 w 1358"/>
                              <a:gd name="T63" fmla="*/ 84 h 416"/>
                              <a:gd name="T64" fmla="*/ 105 w 1358"/>
                              <a:gd name="T65" fmla="*/ 1 h 416"/>
                              <a:gd name="T66" fmla="*/ 108 w 1358"/>
                              <a:gd name="T67" fmla="*/ 51 h 416"/>
                              <a:gd name="T68" fmla="*/ 65 w 1358"/>
                              <a:gd name="T69" fmla="*/ 48 h 416"/>
                              <a:gd name="T70" fmla="*/ 29 w 1358"/>
                              <a:gd name="T71" fmla="*/ 65 h 416"/>
                              <a:gd name="T72" fmla="*/ 6 w 1358"/>
                              <a:gd name="T73" fmla="*/ 96 h 416"/>
                              <a:gd name="T74" fmla="*/ 0 w 1358"/>
                              <a:gd name="T75" fmla="*/ 136 h 416"/>
                              <a:gd name="T76" fmla="*/ 11 w 1358"/>
                              <a:gd name="T77" fmla="*/ 170 h 416"/>
                              <a:gd name="T78" fmla="*/ 41 w 1358"/>
                              <a:gd name="T79" fmla="*/ 197 h 416"/>
                              <a:gd name="T80" fmla="*/ 82 w 1358"/>
                              <a:gd name="T81" fmla="*/ 208 h 416"/>
                              <a:gd name="T82" fmla="*/ 118 w 1358"/>
                              <a:gd name="T83" fmla="*/ 153 h 416"/>
                              <a:gd name="T84" fmla="*/ 97 w 1358"/>
                              <a:gd name="T85" fmla="*/ 167 h 416"/>
                              <a:gd name="T86" fmla="*/ 76 w 1358"/>
                              <a:gd name="T87" fmla="*/ 168 h 416"/>
                              <a:gd name="T88" fmla="*/ 59 w 1358"/>
                              <a:gd name="T89" fmla="*/ 162 h 416"/>
                              <a:gd name="T90" fmla="*/ 45 w 1358"/>
                              <a:gd name="T91" fmla="*/ 146 h 416"/>
                              <a:gd name="T92" fmla="*/ 42 w 1358"/>
                              <a:gd name="T93" fmla="*/ 124 h 416"/>
                              <a:gd name="T94" fmla="*/ 49 w 1358"/>
                              <a:gd name="T95" fmla="*/ 104 h 416"/>
                              <a:gd name="T96" fmla="*/ 63 w 1358"/>
                              <a:gd name="T97" fmla="*/ 91 h 416"/>
                              <a:gd name="T98" fmla="*/ 83 w 1358"/>
                              <a:gd name="T99" fmla="*/ 86 h 416"/>
                              <a:gd name="T100" fmla="*/ 107 w 1358"/>
                              <a:gd name="T101" fmla="*/ 92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881BD" id="Group 24" o:spid="_x0000_s1026" style="position:absolute;margin-left:38.9pt;margin-top:42.55pt;width:136.05pt;height:33.4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">
                <o:lock v:ext="edit" aspectratio="t"/>
                <v:rect id="Rectangle 9" o:spid="_x0000_s1027" style="position:absolute;left:1215;top:901;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o:lock v:ext="edit" aspectratio="t"/>
                </v:rect>
                <v:rect id="Rectangle 10" o:spid="_x0000_s1028" style="position:absolute;left:567;top:1131;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o:lock v:ext="edit" aspectratio="t"/>
                </v:rect>
                <v:rect id="Rectangle 11" o:spid="_x0000_s1029" style="position:absolute;left:1288;top:1361;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" fillcolor="#0071bc" stroked="f">
                  <o:lock v:ext="edit" aspectratio="t"/>
                </v:rect>
                <v:shape id="Freeform 12"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mc:Fallback>
        </mc:AlternateContent>
      </w:r>
      <w:r w:rsidR="00B1438F">
        <w:rPr>
          <w:noProof/>
        </w:rPr>
        <mc:AlternateContent>
          <mc:Choice Requires="wps">
            <w:drawing>
              <wp:anchor distT="0" distB="0" distL="114300" distR="114300" simplePos="0" relativeHeight="251656704" behindDoc="0" locked="1" layoutInCell="1" allowOverlap="1" wp14:anchorId="57DF9531" wp14:editId="0EC80426">
                <wp:simplePos x="0" y="0"/>
                <wp:positionH relativeFrom="page">
                  <wp:posOffset>1705610</wp:posOffset>
                </wp:positionH>
                <wp:positionV relativeFrom="page">
                  <wp:posOffset>8173085</wp:posOffset>
                </wp:positionV>
                <wp:extent cx="5130165" cy="925195"/>
                <wp:effectExtent l="381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C4561B" w14:textId="77777777" w:rsidR="001E10D0" w:rsidRPr="006C5577" w:rsidRDefault="001E10D0" w:rsidP="004924DC">
                            <w:r>
                              <w:t>Z</w:t>
                            </w:r>
                            <w:r w:rsidRPr="006C5577">
                              <w:t xml:space="preserve">pracoval: Odbor </w:t>
                            </w:r>
                          </w:p>
                          <w:p w14:paraId="23282CDE" w14:textId="77777777" w:rsidR="001E10D0" w:rsidRPr="006C5577" w:rsidRDefault="001E10D0" w:rsidP="004924DC">
                            <w:r w:rsidRPr="006C5577">
                              <w:t>Ředitel odboru: Jméno Příjmení</w:t>
                            </w:r>
                          </w:p>
                          <w:p w14:paraId="574DF911" w14:textId="77777777" w:rsidR="001E10D0" w:rsidRPr="006C5577" w:rsidRDefault="001E10D0" w:rsidP="004924DC">
                            <w:r w:rsidRPr="006C5577">
                              <w:t>Kontaktní osoba: Jméno Příjmení,</w:t>
                            </w:r>
                            <w:r>
                              <w:t xml:space="preserve"> e-mail: jmeno.prijmeni@czso.cz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DF9531" id="Textové pole 2" o:spid="_x0000_s1028" type="#_x0000_t202" style="position:absolute;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" filled="f" stroked="f">
                <v:textbox inset="0,0,0,0">
                  <w:txbxContent>
                    <w:p w14:paraId="4CC4561B" w14:textId="77777777" w:rsidR="001E10D0" w:rsidRPr="006C5577" w:rsidRDefault="001E10D0" w:rsidP="004924DC">
                      <w:r>
                        <w:t>Z</w:t>
                      </w:r>
                      <w:r w:rsidRPr="006C5577">
                        <w:t xml:space="preserve">pracoval: Odbor </w:t>
                      </w:r>
                    </w:p>
                    <w:p w14:paraId="23282CDE" w14:textId="77777777" w:rsidR="001E10D0" w:rsidRPr="006C5577" w:rsidRDefault="001E10D0" w:rsidP="004924DC">
                      <w:r w:rsidRPr="006C5577">
                        <w:t>Ředitel odboru: Jméno Příjmení</w:t>
                      </w:r>
                    </w:p>
                    <w:p w14:paraId="574DF911" w14:textId="77777777" w:rsidR="001E10D0" w:rsidRPr="006C5577" w:rsidRDefault="001E10D0" w:rsidP="004924DC">
                      <w:r w:rsidRPr="006C5577">
                        <w:t>Kontaktní osoba: Jméno Příjmení,</w:t>
                      </w:r>
                      <w:r>
                        <w:t xml:space="preserve"> e-mail: jmeno.prijmeni@czso.cz</w:t>
                      </w:r>
                    </w:p>
                  </w:txbxContent>
                </v:textbox>
                <w10:wrap anchorx="page" anchory="page"/>
                <w10:anchorlock/>
              </v:shape>
            </w:pict>
          </mc:Fallback>
        </mc:AlternateContent>
      </w:r>
      <w:r w:rsidR="00B1438F">
        <w:rPr>
          <w:noProof/>
        </w:rPr>
        <mc:AlternateContent>
          <mc:Choice Requires="wps">
            <w:drawing>
              <wp:anchor distT="0" distB="0" distL="114300" distR="114300" simplePos="0" relativeHeight="251655680" behindDoc="0" locked="1" layoutInCell="1" allowOverlap="1" wp14:anchorId="2C314509" wp14:editId="2A53D5E9">
                <wp:simplePos x="0" y="0"/>
                <wp:positionH relativeFrom="margin">
                  <wp:align>right</wp:align>
                </wp:positionH>
                <wp:positionV relativeFrom="margin">
                  <wp:posOffset>3147060</wp:posOffset>
                </wp:positionV>
                <wp:extent cx="3419475" cy="1800225"/>
                <wp:effectExtent l="0" t="0" r="9525" b="9525"/>
                <wp:wrapTopAndBottom/>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8002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4C26C9" w14:textId="77777777" w:rsidR="001E10D0" w:rsidRPr="004924DC" w:rsidRDefault="001E10D0" w:rsidP="003818DB">
                            <w:pPr>
                              <w:pStyle w:val="TLIdentifikace-sted"/>
                              <w:spacing w:line="240" w:lineRule="auto"/>
                            </w:pPr>
                            <w:r>
                              <w:t>Lidé a společnost</w:t>
                            </w:r>
                          </w:p>
                          <w:p w14:paraId="0178AD9D" w14:textId="77777777" w:rsidR="001E10D0" w:rsidRPr="004924DC" w:rsidRDefault="001E10D0" w:rsidP="003818DB">
                            <w:pPr>
                              <w:pStyle w:val="TLIdentifikace-sted"/>
                              <w:spacing w:line="240" w:lineRule="auto"/>
                            </w:pPr>
                            <w:r>
                              <w:t>Praha</w:t>
                            </w:r>
                            <w:r w:rsidRPr="004924DC">
                              <w:t>, datum vydání</w:t>
                            </w:r>
                          </w:p>
                          <w:p w14:paraId="0DA9032E" w14:textId="77777777" w:rsidR="001E10D0" w:rsidRPr="004924DC" w:rsidRDefault="001E10D0" w:rsidP="003818DB">
                            <w:pPr>
                              <w:pStyle w:val="TLIdentifikace-sted"/>
                              <w:spacing w:line="240" w:lineRule="auto"/>
                            </w:pPr>
                            <w:r w:rsidRPr="004924DC">
                              <w:t xml:space="preserve">Kód publikace: </w:t>
                            </w:r>
                            <w:r>
                              <w:t>310034-</w:t>
                            </w:r>
                            <w:r w:rsidRPr="007B6F5A">
                              <w:t>22</w:t>
                            </w:r>
                          </w:p>
                          <w:p w14:paraId="27EBB675" w14:textId="528C2863" w:rsidR="001E10D0" w:rsidRPr="004924DC" w:rsidRDefault="001E10D0" w:rsidP="003818DB">
                            <w:pPr>
                              <w:pStyle w:val="TLIdentifikace-sted"/>
                              <w:spacing w:line="240" w:lineRule="auto"/>
                            </w:pPr>
                            <w:r>
                              <w:t>Č. j.: CSU</w:t>
                            </w:r>
                            <w:r w:rsidRPr="004924DC">
                              <w:t xml:space="preserve"> / </w:t>
                            </w:r>
                            <w:r w:rsidRPr="007B6F5A">
                              <w:t>CSU-17520/2022</w:t>
                            </w:r>
                          </w:p>
                          <w:p w14:paraId="18C37512" w14:textId="77777777" w:rsidR="001E10D0" w:rsidRPr="004924DC" w:rsidRDefault="001E10D0" w:rsidP="003818DB">
                            <w:pPr>
                              <w:pStyle w:val="TLIdentifikace-sted"/>
                              <w:spacing w:line="240" w:lineRule="auto"/>
                            </w:pPr>
                            <w:r w:rsidRPr="004924DC">
                              <w:t xml:space="preserve">Pořadové číslo v roce: </w:t>
                            </w:r>
                            <w:r>
                              <w:t>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14509" id="_x0000_s1029" type="#_x0000_t202" style="position:absolute;margin-left:218.05pt;margin-top:247.8pt;width:269.25pt;height:141.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" filled="f" stroked="f">
                <v:textbox inset="0,0,0,0">
                  <w:txbxContent>
                    <w:p w14:paraId="214C26C9" w14:textId="77777777" w:rsidR="001E10D0" w:rsidRPr="004924DC" w:rsidRDefault="001E10D0" w:rsidP="003818DB">
                      <w:pPr>
                        <w:pStyle w:val="TLIdentifikace-sted"/>
                        <w:spacing w:line="240" w:lineRule="auto"/>
                      </w:pPr>
                      <w:r>
                        <w:t>Lidé a společnost</w:t>
                      </w:r>
                    </w:p>
                    <w:p w14:paraId="0178AD9D" w14:textId="77777777" w:rsidR="001E10D0" w:rsidRPr="004924DC" w:rsidRDefault="001E10D0" w:rsidP="003818DB">
                      <w:pPr>
                        <w:pStyle w:val="TLIdentifikace-sted"/>
                        <w:spacing w:line="240" w:lineRule="auto"/>
                      </w:pPr>
                      <w:r>
                        <w:t>Praha</w:t>
                      </w:r>
                      <w:r w:rsidRPr="004924DC">
                        <w:t>, datum vydání</w:t>
                      </w:r>
                    </w:p>
                    <w:p w14:paraId="0DA9032E" w14:textId="77777777" w:rsidR="001E10D0" w:rsidRPr="004924DC" w:rsidRDefault="001E10D0" w:rsidP="003818DB">
                      <w:pPr>
                        <w:pStyle w:val="TLIdentifikace-sted"/>
                        <w:spacing w:line="240" w:lineRule="auto"/>
                      </w:pPr>
                      <w:r w:rsidRPr="004924DC">
                        <w:t xml:space="preserve">Kód publikace: </w:t>
                      </w:r>
                      <w:r>
                        <w:t>310034-</w:t>
                      </w:r>
                      <w:r w:rsidRPr="007B6F5A">
                        <w:t>22</w:t>
                      </w:r>
                    </w:p>
                    <w:p w14:paraId="27EBB675" w14:textId="528C2863" w:rsidR="001E10D0" w:rsidRPr="004924DC" w:rsidRDefault="001E10D0" w:rsidP="003818DB">
                      <w:pPr>
                        <w:pStyle w:val="TLIdentifikace-sted"/>
                        <w:spacing w:line="240" w:lineRule="auto"/>
                      </w:pPr>
                      <w:r>
                        <w:t>Č. j.: CSU</w:t>
                      </w:r>
                      <w:r w:rsidRPr="004924DC">
                        <w:t xml:space="preserve"> / </w:t>
                      </w:r>
                      <w:r w:rsidRPr="007B6F5A">
                        <w:t>CSU-17520/2022</w:t>
                      </w:r>
                    </w:p>
                    <w:p w14:paraId="18C37512" w14:textId="77777777" w:rsidR="001E10D0" w:rsidRPr="004924DC" w:rsidRDefault="001E10D0" w:rsidP="003818DB">
                      <w:pPr>
                        <w:pStyle w:val="TLIdentifikace-sted"/>
                        <w:spacing w:line="240" w:lineRule="auto"/>
                      </w:pPr>
                      <w:r w:rsidRPr="004924DC">
                        <w:t xml:space="preserve">Pořadové číslo v roce: </w:t>
                      </w:r>
                      <w:r>
                        <w:t>1</w:t>
                      </w:r>
                    </w:p>
                  </w:txbxContent>
                </v:textbox>
                <w10:wrap type="topAndBottom" anchorx="margin" anchory="margin"/>
                <w10:anchorlock/>
              </v:shape>
            </w:pict>
          </mc:Fallback>
        </mc:AlternateContent>
      </w:r>
      <w:r w:rsidR="00B1438F">
        <w:rPr>
          <w:noProof/>
        </w:rPr>
        <mc:AlternateContent>
          <mc:Choice Requires="wps">
            <w:drawing>
              <wp:anchor distT="0" distB="0" distL="114300" distR="114300" simplePos="0" relativeHeight="251654656" behindDoc="0" locked="1" layoutInCell="1" allowOverlap="1" wp14:anchorId="158EB8D3" wp14:editId="6D4216A5">
                <wp:simplePos x="0" y="0"/>
                <wp:positionH relativeFrom="margin">
                  <wp:align>right</wp:align>
                </wp:positionH>
                <wp:positionV relativeFrom="page">
                  <wp:posOffset>1524635</wp:posOffset>
                </wp:positionV>
                <wp:extent cx="3419475" cy="1892935"/>
                <wp:effectExtent l="0" t="0" r="9525" b="12065"/>
                <wp:wrapTopAndBottom/>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8929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58096C" w14:textId="77777777" w:rsidR="001E10D0" w:rsidRDefault="001E10D0" w:rsidP="00A0599E">
                            <w:pPr>
                              <w:pStyle w:val="Nzev"/>
                            </w:pPr>
                            <w:r>
                              <w:t>SENIOŘI V ČR V DATECH</w:t>
                            </w:r>
                          </w:p>
                          <w:p w14:paraId="466E56CD" w14:textId="77777777" w:rsidR="001E10D0" w:rsidRPr="00337FFE" w:rsidRDefault="001E10D0" w:rsidP="00A0599E">
                            <w:pPr>
                              <w:pStyle w:val="Nzev"/>
                            </w:pPr>
                          </w:p>
                          <w:p w14:paraId="1204E179" w14:textId="77777777" w:rsidR="001E10D0" w:rsidRPr="004B573D" w:rsidRDefault="001E10D0" w:rsidP="004B573D">
                            <w:pPr>
                              <w:pStyle w:val="Podnadpis"/>
                            </w:pPr>
                            <w:r>
                              <w:t>2022</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58EB8D3" id="_x0000_s1030" type="#_x0000_t202" style="position:absolute;margin-left:218.05pt;margin-top:120.05pt;width:269.25pt;height:149.0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" filled="f" stroked="f">
                <v:textbox style="mso-fit-shape-to-text:t" inset="0,0,0,0">
                  <w:txbxContent>
                    <w:p w14:paraId="4258096C" w14:textId="77777777" w:rsidR="001E10D0" w:rsidRDefault="001E10D0" w:rsidP="00A0599E">
                      <w:pPr>
                        <w:pStyle w:val="Nzev"/>
                      </w:pPr>
                      <w:r>
                        <w:t>SENIOŘI V ČR V DATECH</w:t>
                      </w:r>
                    </w:p>
                    <w:p w14:paraId="466E56CD" w14:textId="77777777" w:rsidR="001E10D0" w:rsidRPr="00337FFE" w:rsidRDefault="001E10D0" w:rsidP="00A0599E">
                      <w:pPr>
                        <w:pStyle w:val="Nzev"/>
                      </w:pPr>
                    </w:p>
                    <w:p w14:paraId="1204E179" w14:textId="77777777" w:rsidR="001E10D0" w:rsidRPr="004B573D" w:rsidRDefault="001E10D0" w:rsidP="004B573D">
                      <w:pPr>
                        <w:pStyle w:val="Podnadpis"/>
                      </w:pPr>
                      <w:r>
                        <w:t>2022</w:t>
                      </w:r>
                    </w:p>
                  </w:txbxContent>
                </v:textbox>
                <w10:wrap type="topAndBottom" anchorx="margin" anchory="page"/>
                <w10:anchorlock/>
              </v:shape>
            </w:pict>
          </mc:Fallback>
        </mc:AlternateContent>
      </w:r>
      <w:r w:rsidR="00B1438F">
        <w:rPr>
          <w:noProof/>
        </w:rPr>
        <mc:AlternateContent>
          <mc:Choice Requires="wps">
            <w:drawing>
              <wp:anchor distT="0" distB="0" distL="114300" distR="114300" simplePos="0" relativeHeight="251658752" behindDoc="0" locked="1" layoutInCell="1" allowOverlap="1" wp14:anchorId="23716C50" wp14:editId="1B6BB154">
                <wp:simplePos x="0" y="0"/>
                <wp:positionH relativeFrom="page">
                  <wp:posOffset>1710055</wp:posOffset>
                </wp:positionH>
                <wp:positionV relativeFrom="page">
                  <wp:posOffset>9649460</wp:posOffset>
                </wp:positionV>
                <wp:extent cx="5130165" cy="179705"/>
                <wp:effectExtent l="0" t="0" r="5080" b="63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13E4A6" w14:textId="77777777" w:rsidR="001E10D0" w:rsidRPr="004924DC" w:rsidRDefault="001E10D0" w:rsidP="004924DC">
                            <w:r w:rsidRPr="004924DC">
                              <w:t>© Český statistický úřad, místo, rok vydání</w:t>
                            </w:r>
                          </w:p>
                          <w:p w14:paraId="58378B98" w14:textId="77777777" w:rsidR="001E10D0" w:rsidRPr="005251DD" w:rsidRDefault="001E10D0" w:rsidP="00665BA4"/>
                          <w:p w14:paraId="65F33782" w14:textId="77777777" w:rsidR="001E10D0" w:rsidRPr="005251DD" w:rsidRDefault="001E10D0" w:rsidP="00FC684B"/>
                          <w:p w14:paraId="3EA568A4" w14:textId="77777777" w:rsidR="001E10D0" w:rsidRDefault="001E10D0"/>
                          <w:p w14:paraId="6AAC436D" w14:textId="77777777" w:rsidR="001E10D0" w:rsidRPr="00097407" w:rsidRDefault="001E10D0"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14:paraId="6DA3A35B" w14:textId="77777777" w:rsidR="001E10D0" w:rsidRPr="005251DD" w:rsidRDefault="001E10D0" w:rsidP="00665BA4"/>
                          <w:p w14:paraId="39BED671" w14:textId="77777777" w:rsidR="001E10D0" w:rsidRPr="005251DD" w:rsidRDefault="001E10D0"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16C50" id="_x0000_s1031" type="#_x0000_t202" style="position:absolute;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" filled="f" stroked="f">
                <v:textbox inset="0,0,0,0">
                  <w:txbxContent>
                    <w:p w14:paraId="2A13E4A6" w14:textId="77777777" w:rsidR="001E10D0" w:rsidRPr="004924DC" w:rsidRDefault="001E10D0" w:rsidP="004924DC">
                      <w:r w:rsidRPr="004924DC">
                        <w:t>© Český statistický úřad, místo, rok vydání</w:t>
                      </w:r>
                    </w:p>
                    <w:p w14:paraId="58378B98" w14:textId="77777777" w:rsidR="001E10D0" w:rsidRPr="005251DD" w:rsidRDefault="001E10D0" w:rsidP="00665BA4"/>
                    <w:p w14:paraId="65F33782" w14:textId="77777777" w:rsidR="001E10D0" w:rsidRPr="005251DD" w:rsidRDefault="001E10D0" w:rsidP="00FC684B"/>
                    <w:p w14:paraId="3EA568A4" w14:textId="77777777" w:rsidR="001E10D0" w:rsidRDefault="001E10D0"/>
                    <w:p w14:paraId="6AAC436D" w14:textId="77777777" w:rsidR="001E10D0" w:rsidRPr="00097407" w:rsidRDefault="001E10D0"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14:paraId="6DA3A35B" w14:textId="77777777" w:rsidR="001E10D0" w:rsidRPr="005251DD" w:rsidRDefault="001E10D0" w:rsidP="00665BA4"/>
                    <w:p w14:paraId="39BED671" w14:textId="77777777" w:rsidR="001E10D0" w:rsidRPr="005251DD" w:rsidRDefault="001E10D0" w:rsidP="00FC684B"/>
                  </w:txbxContent>
                </v:textbox>
                <w10:wrap anchorx="page" anchory="page"/>
                <w10:anchorlock/>
              </v:shape>
            </w:pict>
          </mc:Fallback>
        </mc:AlternateContent>
      </w:r>
      <w:r w:rsidR="00B1438F">
        <w:rPr>
          <w:noProof/>
        </w:rPr>
        <mc:AlternateContent>
          <mc:Choice Requires="wps">
            <w:drawing>
              <wp:anchor distT="4294967294" distB="4294967294" distL="114300" distR="114300" simplePos="0" relativeHeight="251653632" behindDoc="0" locked="1" layoutInCell="0" allowOverlap="1" wp14:anchorId="47613DFD" wp14:editId="0D7EA0E3">
                <wp:simplePos x="0" y="0"/>
                <wp:positionH relativeFrom="page">
                  <wp:posOffset>1710055</wp:posOffset>
                </wp:positionH>
                <wp:positionV relativeFrom="page">
                  <wp:posOffset>9361169</wp:posOffset>
                </wp:positionV>
                <wp:extent cx="5130165" cy="0"/>
                <wp:effectExtent l="0" t="0" r="26035" b="25400"/>
                <wp:wrapNone/>
                <wp:docPr id="33"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38FACB" id="Přímá spojnice 33" o:spid="_x0000_s1026" style="position:absolute;z-index:25165363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mc:Fallback>
        </mc:AlternateContent>
      </w:r>
      <w:r w:rsidR="00F63FB7">
        <w:br w:type="page"/>
      </w:r>
      <w:r w:rsidR="00B1438F" w:rsidRPr="00BA507E">
        <w:rPr>
          <w:noProof/>
          <w:color w:val="0071BC" w:themeColor="accent6"/>
        </w:rPr>
        <w:lastRenderedPageBreak/>
        <mc:AlternateContent>
          <mc:Choice Requires="wps">
            <w:drawing>
              <wp:anchor distT="0" distB="0" distL="114300" distR="114300" simplePos="0" relativeHeight="251661824" behindDoc="0" locked="1" layoutInCell="1" allowOverlap="1" wp14:anchorId="5BDD6B37" wp14:editId="4DEECEE0">
                <wp:simplePos x="0" y="0"/>
                <wp:positionH relativeFrom="page">
                  <wp:posOffset>720090</wp:posOffset>
                </wp:positionH>
                <wp:positionV relativeFrom="page">
                  <wp:posOffset>9486900</wp:posOffset>
                </wp:positionV>
                <wp:extent cx="6120130" cy="360045"/>
                <wp:effectExtent l="0" t="0" r="1270" b="20955"/>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C74A0E" w14:textId="77777777" w:rsidR="001E10D0" w:rsidRPr="00321924" w:rsidRDefault="001E10D0" w:rsidP="008F029B">
                            <w:r w:rsidRPr="00321924">
                              <w:rPr>
                                <w:szCs w:val="26"/>
                              </w:rPr>
                              <w:t xml:space="preserve">ISBN XX-XXXX-XXX-X </w:t>
                            </w:r>
                            <w:r w:rsidRPr="00321924">
                              <w:t>(pouze u nepravidelných a ročních publikací)</w:t>
                            </w:r>
                            <w:r w:rsidRPr="00321924">
                              <w:br/>
                              <w:t>© Český statistický úřad, místo, rok vydání</w:t>
                            </w:r>
                          </w:p>
                          <w:p w14:paraId="7270DC91" w14:textId="77777777" w:rsidR="001E10D0" w:rsidRDefault="001E10D0"/>
                          <w:p w14:paraId="6ECA8C93" w14:textId="77777777" w:rsidR="001E10D0" w:rsidRPr="00841D9F" w:rsidRDefault="001E10D0" w:rsidP="000A3A2C">
                            <w:r w:rsidRPr="00841D9F">
                              <w:rPr>
                                <w:szCs w:val="26"/>
                              </w:rPr>
                              <w:t xml:space="preserve">ISBN XX-XXXX-XXX-X  </w:t>
                            </w:r>
                            <w:r w:rsidRPr="00841D9F">
                              <w:t>(pouze u nepravidelných a ročních publikací)</w:t>
                            </w:r>
                          </w:p>
                          <w:p w14:paraId="6B7FE4CD" w14:textId="77777777" w:rsidR="001E10D0" w:rsidRPr="00AF2852" w:rsidRDefault="001E10D0" w:rsidP="000A3A2C">
                            <w:r w:rsidRPr="00841D9F">
                              <w:t>© Český sta</w:t>
                            </w:r>
                            <w:r>
                              <w:t xml:space="preserve">tistický úřad / </w:t>
                            </w:r>
                            <w:r w:rsidRPr="009A1902">
                              <w:rPr>
                                <w:i/>
                              </w:rPr>
                              <w:t xml:space="preserve">Czech </w:t>
                            </w:r>
                            <w:r w:rsidRPr="009A1902">
                              <w:rPr>
                                <w:rFonts w:cs="Arial"/>
                                <w:i/>
                                <w:szCs w:val="20"/>
                              </w:rPr>
                              <w:t>Statistical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D6B37" id="_x0000_s1032" type="#_x0000_t202" style="position:absolute;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" filled="f" stroked="f">
                <v:textbox inset="0,0,0,0">
                  <w:txbxContent>
                    <w:p w14:paraId="42C74A0E" w14:textId="77777777" w:rsidR="001E10D0" w:rsidRPr="00321924" w:rsidRDefault="001E10D0" w:rsidP="008F029B">
                      <w:r w:rsidRPr="00321924">
                        <w:rPr>
                          <w:szCs w:val="26"/>
                        </w:rPr>
                        <w:t xml:space="preserve">ISBN XX-XXXX-XXX-X </w:t>
                      </w:r>
                      <w:r w:rsidRPr="00321924">
                        <w:t>(pouze u nepravidelných a ročních publikací)</w:t>
                      </w:r>
                      <w:r w:rsidRPr="00321924">
                        <w:br/>
                        <w:t>© Český statistický úřad, místo, rok vydání</w:t>
                      </w:r>
                    </w:p>
                    <w:p w14:paraId="7270DC91" w14:textId="77777777" w:rsidR="001E10D0" w:rsidRDefault="001E10D0"/>
                    <w:p w14:paraId="6ECA8C93" w14:textId="77777777" w:rsidR="001E10D0" w:rsidRPr="00841D9F" w:rsidRDefault="001E10D0" w:rsidP="000A3A2C">
                      <w:r w:rsidRPr="00841D9F">
                        <w:rPr>
                          <w:szCs w:val="26"/>
                        </w:rPr>
                        <w:t xml:space="preserve">ISBN XX-XXXX-XXX-X  </w:t>
                      </w:r>
                      <w:r w:rsidRPr="00841D9F">
                        <w:t>(pouze u nepravidelných a ročních publikací)</w:t>
                      </w:r>
                    </w:p>
                    <w:p w14:paraId="6B7FE4CD" w14:textId="77777777" w:rsidR="001E10D0" w:rsidRPr="00AF2852" w:rsidRDefault="001E10D0" w:rsidP="000A3A2C">
                      <w:r w:rsidRPr="00841D9F">
                        <w:t>© Český sta</w:t>
                      </w:r>
                      <w:r>
                        <w:t xml:space="preserve">tistický úřad / </w:t>
                      </w:r>
                      <w:r w:rsidRPr="009A1902">
                        <w:rPr>
                          <w:i/>
                        </w:rPr>
                        <w:t xml:space="preserve">Czech </w:t>
                      </w:r>
                      <w:r w:rsidRPr="009A1902">
                        <w:rPr>
                          <w:rFonts w:cs="Arial"/>
                          <w:i/>
                          <w:szCs w:val="20"/>
                        </w:rPr>
                        <w:t>Statistical Office</w:t>
                      </w:r>
                      <w:r>
                        <w:t>, místo, rok vydání</w:t>
                      </w:r>
                    </w:p>
                  </w:txbxContent>
                </v:textbox>
                <w10:wrap anchorx="page" anchory="page"/>
                <w10:anchorlock/>
              </v:shape>
            </w:pict>
          </mc:Fallback>
        </mc:AlternateContent>
      </w:r>
      <w:r w:rsidR="003C19E3" w:rsidRPr="00BA507E">
        <w:rPr>
          <w:b/>
          <w:color w:val="0071BC" w:themeColor="accent6"/>
          <w:sz w:val="21"/>
          <w:szCs w:val="21"/>
        </w:rPr>
        <w:t xml:space="preserve">Zajímají Vás nejnovější údaje o inflaci, HDP, obyvatelstvu, průměrných mzdách a mnohé další? Najdete je na stránkách ČSÚ na internetu: </w:t>
      </w:r>
      <w:r w:rsidR="003C19E3" w:rsidRPr="003C19E3">
        <w:rPr>
          <w:b/>
          <w:bCs/>
          <w:sz w:val="21"/>
          <w:szCs w:val="21"/>
        </w:rPr>
        <w:t>www.czso.cz</w:t>
      </w:r>
    </w:p>
    <w:p w14:paraId="3A6FD9AE" w14:textId="77777777" w:rsidR="003C19E3" w:rsidRPr="006F5416" w:rsidRDefault="003C19E3" w:rsidP="00C804C6">
      <w:pPr>
        <w:pStyle w:val="TLKontaktyerven"/>
      </w:pPr>
      <w:r w:rsidRPr="006F5416">
        <w:t>KONTAKTY V ÚSTŘEDÍ</w:t>
      </w:r>
    </w:p>
    <w:p w14:paraId="6FFEC0B3" w14:textId="77777777" w:rsidR="003C19E3" w:rsidRPr="007D40DF" w:rsidRDefault="003C19E3" w:rsidP="003C19E3">
      <w:pPr>
        <w:pStyle w:val="TLKontakty"/>
        <w:spacing w:after="80" w:line="240" w:lineRule="auto"/>
        <w:contextualSpacing w:val="0"/>
        <w:rPr>
          <w:b w:val="0"/>
          <w:color w:val="auto"/>
        </w:rPr>
      </w:pPr>
      <w:r w:rsidRPr="00D66223">
        <w:t>Český statistický úřad</w:t>
      </w:r>
      <w:r w:rsidR="00782D2A">
        <w:rPr>
          <w:b w:val="0"/>
          <w:color w:val="auto"/>
        </w:rPr>
        <w:br/>
      </w:r>
      <w:r w:rsidRPr="007D40DF">
        <w:rPr>
          <w:b w:val="0"/>
          <w:color w:val="auto"/>
        </w:rPr>
        <w:t>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tel.: 274</w:t>
      </w:r>
      <w:r w:rsidR="00871CDD">
        <w:rPr>
          <w:b w:val="0"/>
          <w:color w:val="auto"/>
        </w:rPr>
        <w:t> </w:t>
      </w:r>
      <w:r w:rsidRPr="007D40DF">
        <w:rPr>
          <w:b w:val="0"/>
          <w:color w:val="auto"/>
        </w:rPr>
        <w:t>051</w:t>
      </w:r>
      <w:r w:rsidR="00782D2A">
        <w:rPr>
          <w:b w:val="0"/>
          <w:color w:val="auto"/>
        </w:rPr>
        <w:t> </w:t>
      </w:r>
      <w:r w:rsidRPr="007D40DF">
        <w:rPr>
          <w:b w:val="0"/>
          <w:color w:val="auto"/>
        </w:rPr>
        <w:t>111</w:t>
      </w:r>
      <w:r w:rsidR="00782D2A">
        <w:rPr>
          <w:b w:val="0"/>
          <w:color w:val="auto"/>
        </w:rPr>
        <w:br/>
      </w:r>
      <w:r w:rsidRPr="007D40DF">
        <w:rPr>
          <w:color w:val="auto"/>
        </w:rPr>
        <w:t>www.czso.cz</w:t>
      </w:r>
    </w:p>
    <w:p w14:paraId="1B3380BA" w14:textId="77777777" w:rsidR="003C19E3" w:rsidRPr="00D235B7" w:rsidRDefault="003C19E3" w:rsidP="003C19E3">
      <w:pPr>
        <w:pStyle w:val="TLKontakty"/>
        <w:spacing w:after="80" w:line="240" w:lineRule="auto"/>
        <w:contextualSpacing w:val="0"/>
        <w:rPr>
          <w:b w:val="0"/>
          <w:color w:val="auto"/>
        </w:rPr>
      </w:pPr>
      <w:r w:rsidRPr="00D235B7">
        <w:rPr>
          <w:color w:val="auto"/>
        </w:rPr>
        <w:t>Oddělení informačních služeb</w:t>
      </w:r>
      <w:r w:rsidR="00782D2A">
        <w:rPr>
          <w:b w:val="0"/>
          <w:color w:val="auto"/>
        </w:rPr>
        <w:br/>
      </w:r>
      <w:r w:rsidRPr="00D235B7">
        <w:rPr>
          <w:b w:val="0"/>
          <w:color w:val="auto"/>
        </w:rPr>
        <w:t>tel.: 274</w:t>
      </w:r>
      <w:r w:rsidR="00871CDD">
        <w:rPr>
          <w:b w:val="0"/>
          <w:color w:val="auto"/>
        </w:rPr>
        <w:t> </w:t>
      </w:r>
      <w:r w:rsidRPr="00D235B7">
        <w:rPr>
          <w:b w:val="0"/>
          <w:color w:val="auto"/>
        </w:rPr>
        <w:t>052</w:t>
      </w:r>
      <w:r w:rsidR="00871CDD">
        <w:rPr>
          <w:b w:val="0"/>
          <w:color w:val="auto"/>
        </w:rPr>
        <w:t> </w:t>
      </w:r>
      <w:r w:rsidRPr="00D235B7">
        <w:rPr>
          <w:b w:val="0"/>
          <w:color w:val="auto"/>
        </w:rPr>
        <w:t>304, 274</w:t>
      </w:r>
      <w:r w:rsidR="00871CDD">
        <w:rPr>
          <w:b w:val="0"/>
          <w:color w:val="auto"/>
        </w:rPr>
        <w:t> </w:t>
      </w:r>
      <w:r w:rsidRPr="00D235B7">
        <w:rPr>
          <w:b w:val="0"/>
          <w:color w:val="auto"/>
        </w:rPr>
        <w:t>052</w:t>
      </w:r>
      <w:r w:rsidR="00871CDD">
        <w:rPr>
          <w:b w:val="0"/>
          <w:color w:val="auto"/>
        </w:rPr>
        <w:t> </w:t>
      </w:r>
      <w:r w:rsidRPr="00D235B7">
        <w:rPr>
          <w:b w:val="0"/>
          <w:color w:val="auto"/>
        </w:rPr>
        <w:t xml:space="preserve">451 </w:t>
      </w:r>
      <w:r w:rsidR="00871CDD">
        <w:rPr>
          <w:b w:val="0"/>
          <w:color w:val="auto"/>
        </w:rPr>
        <w:br/>
      </w:r>
      <w:r w:rsidRPr="00D235B7">
        <w:rPr>
          <w:b w:val="0"/>
          <w:color w:val="auto"/>
        </w:rPr>
        <w:t>e-mail: infoservis@czso.cz</w:t>
      </w:r>
    </w:p>
    <w:p w14:paraId="21DE100D" w14:textId="77777777" w:rsidR="003C19E3" w:rsidRPr="00D235B7" w:rsidRDefault="003C19E3" w:rsidP="003C19E3">
      <w:pPr>
        <w:pStyle w:val="TLKontakty"/>
        <w:spacing w:after="80" w:line="240" w:lineRule="auto"/>
        <w:contextualSpacing w:val="0"/>
        <w:rPr>
          <w:b w:val="0"/>
          <w:color w:val="auto"/>
        </w:rPr>
      </w:pPr>
      <w:r w:rsidRPr="00D235B7">
        <w:rPr>
          <w:color w:val="auto"/>
        </w:rPr>
        <w:t>Prodejna publikací ČSÚ</w:t>
      </w:r>
      <w:r w:rsidR="00782D2A">
        <w:rPr>
          <w:color w:val="auto"/>
        </w:rPr>
        <w:br/>
      </w:r>
      <w:r w:rsidRPr="00D235B7">
        <w:rPr>
          <w:b w:val="0"/>
          <w:color w:val="auto"/>
        </w:rPr>
        <w:t>tel.: 274</w:t>
      </w:r>
      <w:r w:rsidR="00871CDD">
        <w:rPr>
          <w:b w:val="0"/>
          <w:color w:val="auto"/>
        </w:rPr>
        <w:t> </w:t>
      </w:r>
      <w:r w:rsidRPr="00D235B7">
        <w:rPr>
          <w:b w:val="0"/>
          <w:color w:val="auto"/>
        </w:rPr>
        <w:t>052</w:t>
      </w:r>
      <w:r w:rsidR="00871CDD">
        <w:rPr>
          <w:b w:val="0"/>
          <w:color w:val="auto"/>
        </w:rPr>
        <w:t> </w:t>
      </w:r>
      <w:r w:rsidRPr="00D235B7">
        <w:rPr>
          <w:b w:val="0"/>
          <w:color w:val="auto"/>
        </w:rPr>
        <w:t xml:space="preserve">361 </w:t>
      </w:r>
      <w:r w:rsidR="00782D2A">
        <w:rPr>
          <w:b w:val="0"/>
          <w:color w:val="auto"/>
        </w:rPr>
        <w:t xml:space="preserve">| </w:t>
      </w:r>
      <w:r w:rsidRPr="00D235B7">
        <w:rPr>
          <w:b w:val="0"/>
          <w:color w:val="auto"/>
        </w:rPr>
        <w:t>e-mail: prodejna@czso.cz</w:t>
      </w:r>
    </w:p>
    <w:p w14:paraId="5F1A8A34" w14:textId="77777777" w:rsidR="003C19E3" w:rsidRPr="00D235B7" w:rsidRDefault="003C19E3" w:rsidP="003C19E3">
      <w:pPr>
        <w:pStyle w:val="TLKontakty"/>
        <w:spacing w:after="80" w:line="240" w:lineRule="auto"/>
        <w:contextualSpacing w:val="0"/>
        <w:rPr>
          <w:b w:val="0"/>
          <w:color w:val="auto"/>
        </w:rPr>
      </w:pPr>
      <w:r w:rsidRPr="00D235B7">
        <w:rPr>
          <w:color w:val="auto"/>
        </w:rPr>
        <w:t>Evropská data (ESDS), mezinárodní srovnání</w:t>
      </w:r>
      <w:r w:rsidR="00782D2A">
        <w:rPr>
          <w:color w:val="auto"/>
        </w:rPr>
        <w:br/>
      </w:r>
      <w:r w:rsidRPr="00D235B7">
        <w:rPr>
          <w:b w:val="0"/>
          <w:color w:val="auto"/>
        </w:rPr>
        <w:t>tel.: 274</w:t>
      </w:r>
      <w:r w:rsidR="00871CDD">
        <w:rPr>
          <w:b w:val="0"/>
          <w:color w:val="auto"/>
        </w:rPr>
        <w:t> </w:t>
      </w:r>
      <w:r w:rsidRPr="00D235B7">
        <w:rPr>
          <w:b w:val="0"/>
          <w:color w:val="auto"/>
        </w:rPr>
        <w:t>052</w:t>
      </w:r>
      <w:r w:rsidR="00871CDD">
        <w:rPr>
          <w:b w:val="0"/>
          <w:color w:val="auto"/>
        </w:rPr>
        <w:t> </w:t>
      </w:r>
      <w:r w:rsidRPr="00D235B7">
        <w:rPr>
          <w:b w:val="0"/>
          <w:color w:val="auto"/>
        </w:rPr>
        <w:t>347, 274</w:t>
      </w:r>
      <w:r w:rsidR="00871CDD">
        <w:rPr>
          <w:b w:val="0"/>
          <w:color w:val="auto"/>
        </w:rPr>
        <w:t> </w:t>
      </w:r>
      <w:r w:rsidRPr="00D235B7">
        <w:rPr>
          <w:b w:val="0"/>
          <w:color w:val="auto"/>
        </w:rPr>
        <w:t>052</w:t>
      </w:r>
      <w:r w:rsidR="002558E2">
        <w:rPr>
          <w:b w:val="0"/>
          <w:color w:val="auto"/>
        </w:rPr>
        <w:t> </w:t>
      </w:r>
      <w:r w:rsidRPr="00D235B7">
        <w:rPr>
          <w:b w:val="0"/>
          <w:color w:val="auto"/>
        </w:rPr>
        <w:t>757</w:t>
      </w:r>
      <w:r w:rsidR="002558E2">
        <w:rPr>
          <w:b w:val="0"/>
          <w:color w:val="auto"/>
        </w:rPr>
        <w:t xml:space="preserve"> | </w:t>
      </w:r>
      <w:r w:rsidRPr="00D235B7">
        <w:rPr>
          <w:b w:val="0"/>
          <w:color w:val="auto"/>
        </w:rPr>
        <w:t>e-mail: esds@czso.cz</w:t>
      </w:r>
    </w:p>
    <w:p w14:paraId="1834D1AC" w14:textId="77777777" w:rsidR="003C19E3" w:rsidRPr="00D235B7" w:rsidRDefault="003C19E3" w:rsidP="003C19E3">
      <w:pPr>
        <w:pStyle w:val="TLKontakty"/>
        <w:spacing w:after="80" w:line="240" w:lineRule="auto"/>
        <w:contextualSpacing w:val="0"/>
        <w:rPr>
          <w:b w:val="0"/>
          <w:color w:val="auto"/>
        </w:rPr>
      </w:pPr>
      <w:r w:rsidRPr="00D235B7">
        <w:rPr>
          <w:color w:val="auto"/>
        </w:rPr>
        <w:t>Ústřední statistická knihovna</w:t>
      </w:r>
      <w:r w:rsidR="00782D2A">
        <w:rPr>
          <w:color w:val="auto"/>
        </w:rPr>
        <w:br/>
      </w:r>
      <w:r w:rsidRPr="00D235B7">
        <w:rPr>
          <w:b w:val="0"/>
          <w:color w:val="auto"/>
        </w:rPr>
        <w:t>tel.: 274</w:t>
      </w:r>
      <w:r w:rsidR="00871CDD">
        <w:rPr>
          <w:b w:val="0"/>
          <w:color w:val="auto"/>
        </w:rPr>
        <w:t> </w:t>
      </w:r>
      <w:r w:rsidRPr="00D235B7">
        <w:rPr>
          <w:b w:val="0"/>
          <w:color w:val="auto"/>
        </w:rPr>
        <w:t>052</w:t>
      </w:r>
      <w:r w:rsidR="00871CDD">
        <w:rPr>
          <w:b w:val="0"/>
          <w:color w:val="auto"/>
        </w:rPr>
        <w:t> </w:t>
      </w:r>
      <w:r w:rsidRPr="00D235B7">
        <w:rPr>
          <w:b w:val="0"/>
          <w:color w:val="auto"/>
        </w:rPr>
        <w:t xml:space="preserve">361 </w:t>
      </w:r>
      <w:r w:rsidR="00782D2A">
        <w:rPr>
          <w:b w:val="0"/>
          <w:color w:val="auto"/>
        </w:rPr>
        <w:t xml:space="preserve">| </w:t>
      </w:r>
      <w:r w:rsidRPr="00D235B7">
        <w:rPr>
          <w:b w:val="0"/>
          <w:color w:val="auto"/>
        </w:rPr>
        <w:t>e-mail: knihovna@czso.cz</w:t>
      </w:r>
    </w:p>
    <w:p w14:paraId="3D5C72B9" w14:textId="77777777" w:rsidR="003C19E3" w:rsidRPr="004A61C5" w:rsidRDefault="003C19E3" w:rsidP="003C19E3">
      <w:pPr>
        <w:pStyle w:val="TLKontakty"/>
        <w:spacing w:after="80" w:line="240" w:lineRule="auto"/>
        <w:contextualSpacing w:val="0"/>
        <w:rPr>
          <w:color w:val="auto"/>
        </w:rPr>
      </w:pPr>
    </w:p>
    <w:p w14:paraId="1EAA08BD" w14:textId="77777777" w:rsidR="003C19E3" w:rsidRPr="00D66223" w:rsidRDefault="003C19E3" w:rsidP="003C19E3">
      <w:pPr>
        <w:pStyle w:val="TLKontaktyerven"/>
      </w:pPr>
      <w:r w:rsidRPr="00D66223">
        <w:t>INFORMAČNÍ SLUŽBY V REGIONECH</w:t>
      </w:r>
    </w:p>
    <w:p w14:paraId="7C1DF2DA" w14:textId="77777777" w:rsidR="003C19E3" w:rsidRPr="00992CF3" w:rsidRDefault="003C19E3" w:rsidP="003C19E3">
      <w:pPr>
        <w:pStyle w:val="TLKontakty"/>
        <w:spacing w:after="80" w:line="240" w:lineRule="auto"/>
        <w:rPr>
          <w:b w:val="0"/>
          <w:color w:val="auto"/>
        </w:rPr>
      </w:pPr>
      <w:r w:rsidRPr="00D66223">
        <w:t>Hl. m. Praha</w:t>
      </w:r>
      <w:r w:rsidR="00782D2A">
        <w:br/>
      </w:r>
      <w:r w:rsidRPr="00992CF3">
        <w:rPr>
          <w:b w:val="0"/>
          <w:color w:val="auto"/>
        </w:rPr>
        <w:t>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w:t>
      </w:r>
      <w:r w:rsidR="00871CDD">
        <w:rPr>
          <w:b w:val="0"/>
          <w:color w:val="auto"/>
        </w:rPr>
        <w:t> </w:t>
      </w:r>
      <w:r>
        <w:rPr>
          <w:b w:val="0"/>
          <w:color w:val="auto"/>
        </w:rPr>
        <w:t>052</w:t>
      </w:r>
      <w:r w:rsidR="00871CDD">
        <w:rPr>
          <w:b w:val="0"/>
          <w:color w:val="auto"/>
        </w:rPr>
        <w:t> </w:t>
      </w:r>
      <w:r>
        <w:rPr>
          <w:b w:val="0"/>
          <w:color w:val="auto"/>
        </w:rPr>
        <w:t xml:space="preserve">673, </w:t>
      </w:r>
      <w:r w:rsidRPr="00992CF3">
        <w:rPr>
          <w:b w:val="0"/>
          <w:color w:val="auto"/>
        </w:rPr>
        <w:t>274</w:t>
      </w:r>
      <w:r w:rsidR="00871CDD">
        <w:rPr>
          <w:b w:val="0"/>
          <w:color w:val="auto"/>
        </w:rPr>
        <w:t> </w:t>
      </w:r>
      <w:r w:rsidRPr="00992CF3">
        <w:rPr>
          <w:b w:val="0"/>
          <w:color w:val="auto"/>
        </w:rPr>
        <w:t>054</w:t>
      </w:r>
      <w:r w:rsidR="00782D2A">
        <w:rPr>
          <w:b w:val="0"/>
          <w:color w:val="auto"/>
        </w:rPr>
        <w:t> </w:t>
      </w:r>
      <w:r w:rsidRPr="00992CF3">
        <w:rPr>
          <w:b w:val="0"/>
          <w:color w:val="auto"/>
        </w:rPr>
        <w:t>223</w:t>
      </w:r>
      <w:r w:rsidR="00782D2A">
        <w:rPr>
          <w:b w:val="0"/>
          <w:color w:val="auto"/>
        </w:rPr>
        <w:br/>
      </w:r>
      <w:r w:rsidRPr="00992CF3">
        <w:rPr>
          <w:b w:val="0"/>
          <w:color w:val="auto"/>
        </w:rPr>
        <w:t xml:space="preserve">e-mail: </w:t>
      </w:r>
      <w:r w:rsidR="00782D2A" w:rsidRPr="00782D2A">
        <w:rPr>
          <w:b w:val="0"/>
          <w:color w:val="auto"/>
        </w:rPr>
        <w:t>infoservispraha@czso.cz</w:t>
      </w:r>
      <w:r w:rsidR="00782D2A">
        <w:rPr>
          <w:b w:val="0"/>
          <w:color w:val="auto"/>
        </w:rPr>
        <w:t xml:space="preserve"> | </w:t>
      </w:r>
      <w:r w:rsidRPr="00992CF3">
        <w:rPr>
          <w:color w:val="auto"/>
        </w:rPr>
        <w:t>www.praha.czso.cz</w:t>
      </w:r>
    </w:p>
    <w:p w14:paraId="23FA9E3E" w14:textId="77777777" w:rsidR="003C19E3" w:rsidRPr="000D1C34" w:rsidRDefault="003C19E3" w:rsidP="003C19E3">
      <w:pPr>
        <w:pStyle w:val="TLKontakty"/>
        <w:spacing w:after="80" w:line="240" w:lineRule="auto"/>
        <w:rPr>
          <w:b w:val="0"/>
          <w:bCs/>
          <w:color w:val="auto"/>
          <w:sz w:val="18"/>
          <w:szCs w:val="18"/>
        </w:rPr>
      </w:pPr>
    </w:p>
    <w:p w14:paraId="60956C8A" w14:textId="77777777" w:rsidR="003C19E3" w:rsidRPr="00871CDD" w:rsidRDefault="003C19E3" w:rsidP="003C19E3">
      <w:pPr>
        <w:pStyle w:val="TLKontakty"/>
        <w:spacing w:after="80" w:line="240" w:lineRule="auto"/>
        <w:rPr>
          <w:b w:val="0"/>
          <w:color w:val="auto"/>
        </w:rPr>
      </w:pPr>
      <w:r w:rsidRPr="00D66223">
        <w:t>Středočeský kraj</w:t>
      </w:r>
      <w:r w:rsidR="00782D2A">
        <w:rPr>
          <w:b w:val="0"/>
          <w:color w:val="auto"/>
        </w:rPr>
        <w:br/>
      </w:r>
      <w:r w:rsidRPr="00992CF3">
        <w:rPr>
          <w:b w:val="0"/>
          <w:color w:val="auto"/>
        </w:rPr>
        <w:t>Na padesátém 81, 100 82 Praha 10, tel.</w:t>
      </w:r>
      <w:r>
        <w:rPr>
          <w:b w:val="0"/>
          <w:color w:val="auto"/>
        </w:rPr>
        <w:t xml:space="preserve">: </w:t>
      </w:r>
      <w:r w:rsidRPr="00992CF3">
        <w:rPr>
          <w:b w:val="0"/>
          <w:color w:val="auto"/>
        </w:rPr>
        <w:t>274</w:t>
      </w:r>
      <w:r w:rsidR="00871CDD">
        <w:rPr>
          <w:b w:val="0"/>
          <w:color w:val="auto"/>
        </w:rPr>
        <w:t> </w:t>
      </w:r>
      <w:r w:rsidRPr="00992CF3">
        <w:rPr>
          <w:b w:val="0"/>
          <w:color w:val="auto"/>
        </w:rPr>
        <w:t>054</w:t>
      </w:r>
      <w:r w:rsidR="000E6E5F">
        <w:rPr>
          <w:b w:val="0"/>
          <w:color w:val="auto"/>
        </w:rPr>
        <w:t> </w:t>
      </w:r>
      <w:r w:rsidRPr="00992CF3">
        <w:rPr>
          <w:b w:val="0"/>
          <w:color w:val="auto"/>
        </w:rPr>
        <w:t>175</w:t>
      </w:r>
      <w:r w:rsidR="000E6E5F">
        <w:rPr>
          <w:b w:val="0"/>
          <w:color w:val="auto"/>
        </w:rPr>
        <w:br/>
      </w:r>
      <w:r w:rsidRPr="00992CF3">
        <w:rPr>
          <w:b w:val="0"/>
          <w:color w:val="auto"/>
        </w:rPr>
        <w:t xml:space="preserve">e-mail: </w:t>
      </w:r>
      <w:r w:rsidR="00782D2A" w:rsidRPr="00782D2A">
        <w:rPr>
          <w:b w:val="0"/>
          <w:color w:val="auto"/>
        </w:rPr>
        <w:t>infoservisstc@czso.cz</w:t>
      </w:r>
      <w:r w:rsidR="00782D2A">
        <w:rPr>
          <w:b w:val="0"/>
          <w:color w:val="auto"/>
        </w:rPr>
        <w:t xml:space="preserve"> | </w:t>
      </w:r>
      <w:r w:rsidRPr="00992CF3">
        <w:rPr>
          <w:color w:val="auto"/>
        </w:rPr>
        <w:t>www.stredocesky.czso.cz</w:t>
      </w:r>
    </w:p>
    <w:p w14:paraId="5F71D6ED" w14:textId="77777777" w:rsidR="003C19E3" w:rsidRPr="000D1C34" w:rsidRDefault="003C19E3" w:rsidP="003C19E3">
      <w:pPr>
        <w:pStyle w:val="TLKontakty"/>
        <w:spacing w:after="80" w:line="240" w:lineRule="auto"/>
        <w:rPr>
          <w:b w:val="0"/>
          <w:bCs/>
          <w:color w:val="auto"/>
          <w:sz w:val="18"/>
          <w:szCs w:val="18"/>
        </w:rPr>
      </w:pPr>
    </w:p>
    <w:p w14:paraId="2D4F3869" w14:textId="77777777" w:rsidR="003C19E3" w:rsidRPr="00992CF3" w:rsidRDefault="003C19E3" w:rsidP="003C19E3">
      <w:pPr>
        <w:pStyle w:val="TLKontakty"/>
        <w:spacing w:after="80" w:line="240" w:lineRule="auto"/>
        <w:rPr>
          <w:b w:val="0"/>
          <w:color w:val="auto"/>
        </w:rPr>
      </w:pPr>
      <w:r w:rsidRPr="00D66223">
        <w:t>České Budějovice</w:t>
      </w:r>
      <w:r w:rsidR="00782D2A">
        <w:rPr>
          <w:b w:val="0"/>
          <w:color w:val="auto"/>
        </w:rPr>
        <w:br/>
      </w:r>
      <w:r w:rsidRPr="00992CF3">
        <w:rPr>
          <w:b w:val="0"/>
          <w:color w:val="auto"/>
        </w:rPr>
        <w:t>Žižkova 1, 370 77 České Budějovice</w:t>
      </w:r>
      <w:r>
        <w:rPr>
          <w:b w:val="0"/>
          <w:color w:val="auto"/>
        </w:rPr>
        <w:t xml:space="preserve">, </w:t>
      </w:r>
      <w:r w:rsidRPr="00992CF3">
        <w:rPr>
          <w:b w:val="0"/>
          <w:color w:val="auto"/>
        </w:rPr>
        <w:t>tel.</w:t>
      </w:r>
      <w:r>
        <w:rPr>
          <w:b w:val="0"/>
          <w:color w:val="auto"/>
        </w:rPr>
        <w:t>:</w:t>
      </w:r>
      <w:r w:rsidR="00AF788C">
        <w:rPr>
          <w:b w:val="0"/>
          <w:color w:val="auto"/>
        </w:rPr>
        <w:t> </w:t>
      </w:r>
      <w:r w:rsidRPr="00992CF3">
        <w:rPr>
          <w:b w:val="0"/>
          <w:color w:val="auto"/>
        </w:rPr>
        <w:t>386</w:t>
      </w:r>
      <w:r w:rsidR="00871CDD">
        <w:rPr>
          <w:b w:val="0"/>
          <w:color w:val="auto"/>
        </w:rPr>
        <w:t> </w:t>
      </w:r>
      <w:r w:rsidRPr="00992CF3">
        <w:rPr>
          <w:b w:val="0"/>
          <w:color w:val="auto"/>
        </w:rPr>
        <w:t>718</w:t>
      </w:r>
      <w:r w:rsidR="00782D2A">
        <w:rPr>
          <w:b w:val="0"/>
          <w:color w:val="auto"/>
        </w:rPr>
        <w:t> </w:t>
      </w:r>
      <w:r w:rsidRPr="00992CF3">
        <w:rPr>
          <w:b w:val="0"/>
          <w:color w:val="auto"/>
        </w:rPr>
        <w:t>440</w:t>
      </w:r>
      <w:r w:rsidR="00782D2A">
        <w:rPr>
          <w:b w:val="0"/>
          <w:color w:val="auto"/>
        </w:rPr>
        <w:br/>
      </w:r>
      <w:r w:rsidRPr="00992CF3">
        <w:rPr>
          <w:b w:val="0"/>
          <w:color w:val="auto"/>
        </w:rPr>
        <w:t xml:space="preserve">e-mail: </w:t>
      </w:r>
      <w:r w:rsidR="00782D2A" w:rsidRPr="00782D2A">
        <w:rPr>
          <w:b w:val="0"/>
          <w:color w:val="auto"/>
        </w:rPr>
        <w:t>infoserviscb@czso.cz</w:t>
      </w:r>
      <w:r w:rsidR="00782D2A">
        <w:rPr>
          <w:b w:val="0"/>
          <w:color w:val="auto"/>
        </w:rPr>
        <w:t xml:space="preserve"> | </w:t>
      </w:r>
      <w:r w:rsidRPr="00992CF3">
        <w:rPr>
          <w:color w:val="auto"/>
        </w:rPr>
        <w:t>www.cbudejovice.czso.cz</w:t>
      </w:r>
    </w:p>
    <w:p w14:paraId="5333E6B7" w14:textId="77777777" w:rsidR="003C19E3" w:rsidRPr="000D1C34" w:rsidRDefault="003C19E3" w:rsidP="003C19E3">
      <w:pPr>
        <w:pStyle w:val="TLKontakty"/>
        <w:spacing w:after="80" w:line="240" w:lineRule="auto"/>
        <w:rPr>
          <w:b w:val="0"/>
          <w:bCs/>
          <w:color w:val="auto"/>
          <w:sz w:val="18"/>
          <w:szCs w:val="18"/>
        </w:rPr>
      </w:pPr>
    </w:p>
    <w:p w14:paraId="0926DAC4" w14:textId="77777777" w:rsidR="003C19E3" w:rsidRPr="004A61C5" w:rsidRDefault="003C19E3" w:rsidP="003C19E3">
      <w:pPr>
        <w:pStyle w:val="TLKontakty"/>
        <w:spacing w:after="80" w:line="240" w:lineRule="auto"/>
        <w:rPr>
          <w:b w:val="0"/>
          <w:color w:val="auto"/>
        </w:rPr>
      </w:pPr>
      <w:r w:rsidRPr="00D66223">
        <w:t>Plzeň</w:t>
      </w:r>
      <w:r w:rsidR="00782D2A">
        <w:rPr>
          <w:b w:val="0"/>
          <w:color w:val="auto"/>
        </w:rPr>
        <w:br/>
      </w:r>
      <w:r w:rsidRPr="004A61C5">
        <w:rPr>
          <w:b w:val="0"/>
          <w:color w:val="auto"/>
        </w:rPr>
        <w:t>Slovanská alej 36, 326 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sidR="000E6E5F">
        <w:rPr>
          <w:b w:val="0"/>
          <w:color w:val="auto"/>
        </w:rPr>
        <w:t> </w:t>
      </w:r>
      <w:r w:rsidRPr="004A61C5">
        <w:rPr>
          <w:b w:val="0"/>
          <w:color w:val="auto"/>
        </w:rPr>
        <w:t>612</w:t>
      </w:r>
      <w:r w:rsidR="000E6E5F">
        <w:rPr>
          <w:b w:val="0"/>
          <w:color w:val="auto"/>
        </w:rPr>
        <w:t> </w:t>
      </w:r>
      <w:r w:rsidRPr="004A61C5">
        <w:rPr>
          <w:b w:val="0"/>
          <w:color w:val="auto"/>
        </w:rPr>
        <w:t>108</w:t>
      </w:r>
      <w:r w:rsidRPr="00BC731E">
        <w:rPr>
          <w:b w:val="0"/>
          <w:color w:val="auto"/>
        </w:rPr>
        <w:t>, 377 612</w:t>
      </w:r>
      <w:r w:rsidR="00871CDD">
        <w:rPr>
          <w:b w:val="0"/>
          <w:color w:val="auto"/>
        </w:rPr>
        <w:t> </w:t>
      </w:r>
      <w:r w:rsidRPr="00BC731E">
        <w:rPr>
          <w:b w:val="0"/>
          <w:color w:val="auto"/>
        </w:rPr>
        <w:t>145</w:t>
      </w:r>
      <w:r w:rsidR="00871CDD">
        <w:rPr>
          <w:b w:val="0"/>
          <w:color w:val="auto"/>
        </w:rPr>
        <w:br/>
      </w:r>
      <w:r w:rsidRPr="004A61C5">
        <w:rPr>
          <w:b w:val="0"/>
          <w:color w:val="auto"/>
        </w:rPr>
        <w:t xml:space="preserve">e-mail: </w:t>
      </w:r>
      <w:r w:rsidR="00782D2A" w:rsidRPr="00782D2A">
        <w:rPr>
          <w:b w:val="0"/>
          <w:color w:val="auto"/>
        </w:rPr>
        <w:t>infoservisplzen@czso.cz</w:t>
      </w:r>
      <w:r w:rsidR="00782D2A">
        <w:rPr>
          <w:b w:val="0"/>
          <w:color w:val="auto"/>
        </w:rPr>
        <w:t xml:space="preserve"> | </w:t>
      </w:r>
      <w:r w:rsidRPr="004A61C5">
        <w:rPr>
          <w:color w:val="auto"/>
        </w:rPr>
        <w:t>www.plzen.czso.cz</w:t>
      </w:r>
    </w:p>
    <w:p w14:paraId="32A35457" w14:textId="77777777" w:rsidR="003C19E3" w:rsidRPr="000D1C34" w:rsidRDefault="003C19E3" w:rsidP="003C19E3">
      <w:pPr>
        <w:pStyle w:val="TLKontakty"/>
        <w:spacing w:after="80" w:line="240" w:lineRule="auto"/>
        <w:rPr>
          <w:b w:val="0"/>
          <w:bCs/>
          <w:color w:val="auto"/>
          <w:sz w:val="18"/>
          <w:szCs w:val="18"/>
        </w:rPr>
      </w:pPr>
    </w:p>
    <w:p w14:paraId="3EE75DDB" w14:textId="77777777" w:rsidR="003C19E3" w:rsidRPr="004A61C5" w:rsidRDefault="003C19E3" w:rsidP="003C19E3">
      <w:pPr>
        <w:pStyle w:val="TLKontakty"/>
        <w:spacing w:after="80" w:line="240" w:lineRule="auto"/>
        <w:rPr>
          <w:b w:val="0"/>
          <w:color w:val="auto"/>
        </w:rPr>
      </w:pPr>
      <w:r w:rsidRPr="00D66223">
        <w:t>Karlovy Vary</w:t>
      </w:r>
      <w:r w:rsidR="00782D2A">
        <w:rPr>
          <w:b w:val="0"/>
          <w:color w:val="auto"/>
        </w:rPr>
        <w:br/>
      </w:r>
      <w:r w:rsidRPr="00095135">
        <w:rPr>
          <w:b w:val="0"/>
          <w:color w:val="auto"/>
        </w:rPr>
        <w:t>Závodní 360/94, 360 06 Karlovy Vary</w:t>
      </w:r>
      <w:r w:rsidRPr="004A61C5">
        <w:rPr>
          <w:b w:val="0"/>
          <w:color w:val="auto"/>
        </w:rPr>
        <w:t>, tel.</w:t>
      </w:r>
      <w:r>
        <w:rPr>
          <w:b w:val="0"/>
          <w:color w:val="auto"/>
        </w:rPr>
        <w:t xml:space="preserve">: </w:t>
      </w:r>
      <w:r w:rsidRPr="004A61C5">
        <w:rPr>
          <w:b w:val="0"/>
          <w:color w:val="auto"/>
        </w:rPr>
        <w:t>353</w:t>
      </w:r>
      <w:r w:rsidR="000E6E5F">
        <w:rPr>
          <w:b w:val="0"/>
          <w:color w:val="auto"/>
        </w:rPr>
        <w:t> </w:t>
      </w:r>
      <w:r w:rsidRPr="004A61C5">
        <w:rPr>
          <w:b w:val="0"/>
          <w:color w:val="auto"/>
        </w:rPr>
        <w:t>114</w:t>
      </w:r>
      <w:r w:rsidR="000E6E5F">
        <w:rPr>
          <w:b w:val="0"/>
          <w:color w:val="auto"/>
        </w:rPr>
        <w:t> </w:t>
      </w:r>
      <w:r w:rsidRPr="004A61C5">
        <w:rPr>
          <w:b w:val="0"/>
          <w:color w:val="auto"/>
        </w:rPr>
        <w:t>529, 353</w:t>
      </w:r>
      <w:r w:rsidR="000E6E5F">
        <w:rPr>
          <w:b w:val="0"/>
          <w:color w:val="auto"/>
        </w:rPr>
        <w:t> </w:t>
      </w:r>
      <w:r w:rsidRPr="004A61C5">
        <w:rPr>
          <w:b w:val="0"/>
          <w:color w:val="auto"/>
        </w:rPr>
        <w:t>114</w:t>
      </w:r>
      <w:r w:rsidR="00782D2A">
        <w:rPr>
          <w:b w:val="0"/>
          <w:color w:val="auto"/>
        </w:rPr>
        <w:t> </w:t>
      </w:r>
      <w:r w:rsidRPr="004A61C5">
        <w:rPr>
          <w:b w:val="0"/>
          <w:color w:val="auto"/>
        </w:rPr>
        <w:t>525</w:t>
      </w:r>
      <w:r w:rsidR="00782D2A">
        <w:rPr>
          <w:b w:val="0"/>
          <w:color w:val="auto"/>
        </w:rPr>
        <w:br/>
      </w:r>
      <w:r w:rsidRPr="004A61C5">
        <w:rPr>
          <w:b w:val="0"/>
          <w:color w:val="auto"/>
        </w:rPr>
        <w:t xml:space="preserve">e-mail: </w:t>
      </w:r>
      <w:r w:rsidR="00782D2A" w:rsidRPr="00782D2A">
        <w:rPr>
          <w:b w:val="0"/>
          <w:color w:val="auto"/>
        </w:rPr>
        <w:t>infoserviskv@czso.cz</w:t>
      </w:r>
      <w:r w:rsidR="00782D2A">
        <w:rPr>
          <w:b w:val="0"/>
          <w:color w:val="auto"/>
        </w:rPr>
        <w:t xml:space="preserve"> </w:t>
      </w:r>
      <w:r w:rsidR="000D1C34">
        <w:rPr>
          <w:b w:val="0"/>
          <w:color w:val="auto"/>
        </w:rPr>
        <w:t xml:space="preserve">| </w:t>
      </w:r>
      <w:r w:rsidRPr="004A61C5">
        <w:rPr>
          <w:color w:val="auto"/>
        </w:rPr>
        <w:t>www.kvary.czso.cz</w:t>
      </w:r>
    </w:p>
    <w:p w14:paraId="4D0862A4" w14:textId="77777777" w:rsidR="003C19E3" w:rsidRDefault="003C19E3" w:rsidP="003C19E3">
      <w:pPr>
        <w:pStyle w:val="TLKontakty"/>
        <w:spacing w:after="80" w:line="240" w:lineRule="auto"/>
        <w:rPr>
          <w:color w:val="auto"/>
        </w:rPr>
      </w:pPr>
      <w:r w:rsidRPr="00D66223">
        <w:lastRenderedPageBreak/>
        <w:t>Ústí nad Labem</w:t>
      </w:r>
      <w:r w:rsidR="00782D2A">
        <w:rPr>
          <w:b w:val="0"/>
          <w:color w:val="auto"/>
        </w:rPr>
        <w:br/>
      </w:r>
      <w:r w:rsidRPr="004A61C5">
        <w:rPr>
          <w:b w:val="0"/>
          <w:color w:val="auto"/>
        </w:rPr>
        <w:t>Špálova 2684, 400 11 Ústí nad Labem</w:t>
      </w:r>
      <w:r>
        <w:rPr>
          <w:b w:val="0"/>
          <w:color w:val="auto"/>
        </w:rPr>
        <w:t xml:space="preserve">, </w:t>
      </w:r>
      <w:r w:rsidRPr="004A61C5">
        <w:rPr>
          <w:b w:val="0"/>
          <w:color w:val="auto"/>
        </w:rPr>
        <w:t>tel.</w:t>
      </w:r>
      <w:r>
        <w:rPr>
          <w:b w:val="0"/>
          <w:color w:val="auto"/>
        </w:rPr>
        <w:t>:</w:t>
      </w:r>
      <w:r w:rsidR="00AF788C">
        <w:rPr>
          <w:b w:val="0"/>
          <w:color w:val="auto"/>
        </w:rPr>
        <w:t> </w:t>
      </w:r>
      <w:r w:rsidRPr="004A61C5">
        <w:rPr>
          <w:b w:val="0"/>
          <w:color w:val="auto"/>
        </w:rPr>
        <w:t>472</w:t>
      </w:r>
      <w:r w:rsidR="000E6E5F">
        <w:rPr>
          <w:b w:val="0"/>
          <w:color w:val="auto"/>
        </w:rPr>
        <w:t> </w:t>
      </w:r>
      <w:r w:rsidRPr="004A61C5">
        <w:rPr>
          <w:b w:val="0"/>
          <w:color w:val="auto"/>
        </w:rPr>
        <w:t>706</w:t>
      </w:r>
      <w:r w:rsidR="000E6E5F">
        <w:rPr>
          <w:b w:val="0"/>
          <w:color w:val="auto"/>
        </w:rPr>
        <w:t> </w:t>
      </w:r>
      <w:r w:rsidRPr="004A61C5">
        <w:rPr>
          <w:b w:val="0"/>
          <w:color w:val="auto"/>
        </w:rPr>
        <w:t>176,</w:t>
      </w:r>
      <w:r>
        <w:rPr>
          <w:b w:val="0"/>
          <w:color w:val="auto"/>
        </w:rPr>
        <w:t xml:space="preserve"> </w:t>
      </w:r>
      <w:r w:rsidRPr="004A61C5">
        <w:rPr>
          <w:b w:val="0"/>
          <w:color w:val="auto"/>
        </w:rPr>
        <w:t>472</w:t>
      </w:r>
      <w:r w:rsidR="000E6E5F">
        <w:rPr>
          <w:b w:val="0"/>
          <w:color w:val="auto"/>
        </w:rPr>
        <w:t> </w:t>
      </w:r>
      <w:r w:rsidRPr="004A61C5">
        <w:rPr>
          <w:b w:val="0"/>
          <w:color w:val="auto"/>
        </w:rPr>
        <w:t>706</w:t>
      </w:r>
      <w:r w:rsidR="00782D2A">
        <w:rPr>
          <w:b w:val="0"/>
          <w:color w:val="auto"/>
        </w:rPr>
        <w:t> </w:t>
      </w:r>
      <w:r w:rsidRPr="004A61C5">
        <w:rPr>
          <w:b w:val="0"/>
          <w:color w:val="auto"/>
        </w:rPr>
        <w:t>121</w:t>
      </w:r>
      <w:r w:rsidR="00782D2A">
        <w:rPr>
          <w:b w:val="0"/>
          <w:color w:val="auto"/>
        </w:rPr>
        <w:br/>
      </w:r>
      <w:r w:rsidRPr="004A61C5">
        <w:rPr>
          <w:b w:val="0"/>
          <w:color w:val="auto"/>
        </w:rPr>
        <w:t xml:space="preserve">e-mail: </w:t>
      </w:r>
      <w:r w:rsidR="00AF788C" w:rsidRPr="00AF788C">
        <w:rPr>
          <w:b w:val="0"/>
          <w:color w:val="auto"/>
        </w:rPr>
        <w:t>infoservisul@czso.cz</w:t>
      </w:r>
      <w:r w:rsidR="000D1C34">
        <w:rPr>
          <w:b w:val="0"/>
          <w:color w:val="auto"/>
        </w:rPr>
        <w:t xml:space="preserve"> | </w:t>
      </w:r>
      <w:r w:rsidR="00782D2A" w:rsidRPr="00782D2A">
        <w:rPr>
          <w:color w:val="auto"/>
        </w:rPr>
        <w:t>www.ustinadlabem.czso.cz</w:t>
      </w:r>
    </w:p>
    <w:p w14:paraId="55BCFD60" w14:textId="77777777" w:rsidR="00782D2A" w:rsidRPr="000D1C34" w:rsidRDefault="00782D2A" w:rsidP="003C19E3">
      <w:pPr>
        <w:pStyle w:val="TLKontakty"/>
        <w:spacing w:after="80" w:line="240" w:lineRule="auto"/>
        <w:rPr>
          <w:b w:val="0"/>
          <w:bCs/>
          <w:color w:val="auto"/>
          <w:sz w:val="18"/>
          <w:szCs w:val="18"/>
        </w:rPr>
      </w:pPr>
    </w:p>
    <w:p w14:paraId="4E5136DF" w14:textId="77777777" w:rsidR="003C19E3" w:rsidRPr="004A61C5" w:rsidRDefault="003C19E3" w:rsidP="000D1C34">
      <w:pPr>
        <w:pStyle w:val="TLKontakty"/>
        <w:spacing w:after="80" w:line="240" w:lineRule="auto"/>
        <w:rPr>
          <w:b w:val="0"/>
          <w:color w:val="auto"/>
        </w:rPr>
      </w:pPr>
      <w:r w:rsidRPr="00D66223">
        <w:t>Liberec</w:t>
      </w:r>
      <w:r w:rsidR="00782D2A">
        <w:rPr>
          <w:b w:val="0"/>
          <w:color w:val="auto"/>
        </w:rPr>
        <w:br/>
      </w:r>
      <w:r w:rsidRPr="004A61C5">
        <w:rPr>
          <w:b w:val="0"/>
          <w:color w:val="auto"/>
        </w:rPr>
        <w:t>Nám. Dr. Edvarda Beneše 585/26, 460 01 Liberec 1, tel.</w:t>
      </w:r>
      <w:r>
        <w:rPr>
          <w:b w:val="0"/>
          <w:color w:val="auto"/>
        </w:rPr>
        <w:t>:</w:t>
      </w:r>
      <w:r w:rsidR="00AF788C">
        <w:rPr>
          <w:b w:val="0"/>
          <w:color w:val="auto"/>
        </w:rPr>
        <w:t> </w:t>
      </w:r>
      <w:r w:rsidRPr="004A61C5">
        <w:rPr>
          <w:b w:val="0"/>
          <w:color w:val="auto"/>
        </w:rPr>
        <w:t>485</w:t>
      </w:r>
      <w:r w:rsidR="000E6E5F">
        <w:rPr>
          <w:b w:val="0"/>
          <w:color w:val="auto"/>
        </w:rPr>
        <w:t> </w:t>
      </w:r>
      <w:r w:rsidRPr="004A61C5">
        <w:rPr>
          <w:b w:val="0"/>
          <w:color w:val="auto"/>
        </w:rPr>
        <w:t>238</w:t>
      </w:r>
      <w:r w:rsidR="00782D2A">
        <w:rPr>
          <w:b w:val="0"/>
          <w:color w:val="auto"/>
        </w:rPr>
        <w:t> </w:t>
      </w:r>
      <w:r w:rsidRPr="004A61C5">
        <w:rPr>
          <w:b w:val="0"/>
          <w:color w:val="auto"/>
        </w:rPr>
        <w:t>811</w:t>
      </w:r>
      <w:r w:rsidR="00782D2A">
        <w:rPr>
          <w:b w:val="0"/>
          <w:color w:val="auto"/>
        </w:rPr>
        <w:br/>
      </w:r>
      <w:r w:rsidRPr="004A61C5">
        <w:rPr>
          <w:b w:val="0"/>
          <w:color w:val="auto"/>
        </w:rPr>
        <w:t xml:space="preserve">e-mail: </w:t>
      </w:r>
      <w:r w:rsidR="00782D2A" w:rsidRPr="00782D2A">
        <w:rPr>
          <w:b w:val="0"/>
          <w:color w:val="auto"/>
        </w:rPr>
        <w:t>infoservislbc@czso.cz</w:t>
      </w:r>
      <w:r w:rsidR="000D1C34">
        <w:rPr>
          <w:b w:val="0"/>
          <w:color w:val="auto"/>
        </w:rPr>
        <w:t xml:space="preserve"> | </w:t>
      </w:r>
      <w:r w:rsidRPr="004A61C5">
        <w:rPr>
          <w:color w:val="auto"/>
        </w:rPr>
        <w:t>www.liberec.czso.cz</w:t>
      </w:r>
    </w:p>
    <w:p w14:paraId="1CB2F18A" w14:textId="77777777" w:rsidR="003C19E3" w:rsidRPr="000D1C34" w:rsidRDefault="003C19E3" w:rsidP="003C19E3">
      <w:pPr>
        <w:pStyle w:val="TLKontakty"/>
        <w:spacing w:after="80" w:line="240" w:lineRule="auto"/>
        <w:rPr>
          <w:b w:val="0"/>
          <w:bCs/>
          <w:color w:val="auto"/>
          <w:sz w:val="18"/>
          <w:szCs w:val="18"/>
        </w:rPr>
      </w:pPr>
    </w:p>
    <w:p w14:paraId="17E8FD86" w14:textId="77777777" w:rsidR="003C19E3" w:rsidRPr="004A61C5" w:rsidRDefault="003C19E3" w:rsidP="003C19E3">
      <w:pPr>
        <w:pStyle w:val="TLKontakty"/>
        <w:spacing w:after="80" w:line="240" w:lineRule="auto"/>
        <w:rPr>
          <w:b w:val="0"/>
          <w:color w:val="auto"/>
        </w:rPr>
      </w:pPr>
      <w:r w:rsidRPr="00D66223">
        <w:t>Hradec Králové</w:t>
      </w:r>
      <w:r w:rsidR="00782D2A">
        <w:rPr>
          <w:b w:val="0"/>
          <w:color w:val="auto"/>
        </w:rPr>
        <w:br/>
      </w:r>
      <w:r w:rsidRPr="004A61C5">
        <w:rPr>
          <w:b w:val="0"/>
          <w:color w:val="auto"/>
        </w:rPr>
        <w:t xml:space="preserve">Myslivečkova 914, 500 03 Hradec Králové 3, </w:t>
      </w:r>
      <w:r>
        <w:rPr>
          <w:b w:val="0"/>
          <w:color w:val="auto"/>
        </w:rPr>
        <w:t>tel.</w:t>
      </w:r>
      <w:r w:rsidRPr="007D40DF">
        <w:rPr>
          <w:b w:val="0"/>
          <w:color w:val="auto"/>
        </w:rPr>
        <w:t>:</w:t>
      </w:r>
      <w:r w:rsidR="00AF788C">
        <w:rPr>
          <w:b w:val="0"/>
          <w:color w:val="auto"/>
        </w:rPr>
        <w:t> </w:t>
      </w:r>
      <w:r w:rsidRPr="004A61C5">
        <w:rPr>
          <w:b w:val="0"/>
          <w:color w:val="auto"/>
        </w:rPr>
        <w:t>495</w:t>
      </w:r>
      <w:r w:rsidR="000E6E5F">
        <w:rPr>
          <w:b w:val="0"/>
          <w:color w:val="auto"/>
        </w:rPr>
        <w:t> </w:t>
      </w:r>
      <w:r w:rsidRPr="004A61C5">
        <w:rPr>
          <w:b w:val="0"/>
          <w:color w:val="auto"/>
        </w:rPr>
        <w:t>762</w:t>
      </w:r>
      <w:r w:rsidR="000E6E5F">
        <w:rPr>
          <w:b w:val="0"/>
          <w:color w:val="auto"/>
        </w:rPr>
        <w:t> </w:t>
      </w:r>
      <w:r w:rsidRPr="004A61C5">
        <w:rPr>
          <w:b w:val="0"/>
          <w:color w:val="auto"/>
        </w:rPr>
        <w:t>322,</w:t>
      </w:r>
      <w:r>
        <w:rPr>
          <w:b w:val="0"/>
          <w:color w:val="auto"/>
        </w:rPr>
        <w:t xml:space="preserve"> </w:t>
      </w:r>
      <w:r w:rsidRPr="004A61C5">
        <w:rPr>
          <w:b w:val="0"/>
          <w:color w:val="auto"/>
        </w:rPr>
        <w:t>495</w:t>
      </w:r>
      <w:r w:rsidR="000E6E5F">
        <w:rPr>
          <w:b w:val="0"/>
          <w:color w:val="auto"/>
        </w:rPr>
        <w:t> </w:t>
      </w:r>
      <w:r w:rsidRPr="004A61C5">
        <w:rPr>
          <w:b w:val="0"/>
          <w:color w:val="auto"/>
        </w:rPr>
        <w:t>762</w:t>
      </w:r>
      <w:r w:rsidR="000E6E5F">
        <w:rPr>
          <w:b w:val="0"/>
          <w:color w:val="auto"/>
        </w:rPr>
        <w:t> </w:t>
      </w:r>
      <w:r w:rsidRPr="004A61C5">
        <w:rPr>
          <w:b w:val="0"/>
          <w:color w:val="auto"/>
        </w:rPr>
        <w:t>317</w:t>
      </w:r>
      <w:r w:rsidR="000E6E5F">
        <w:rPr>
          <w:b w:val="0"/>
          <w:color w:val="auto"/>
        </w:rPr>
        <w:t xml:space="preserve"> |</w:t>
      </w:r>
      <w:r w:rsidR="000D1C34">
        <w:rPr>
          <w:b w:val="0"/>
          <w:color w:val="auto"/>
        </w:rPr>
        <w:t xml:space="preserve"> </w:t>
      </w:r>
      <w:r w:rsidRPr="004A61C5">
        <w:rPr>
          <w:b w:val="0"/>
          <w:color w:val="auto"/>
        </w:rPr>
        <w:t xml:space="preserve">e-mail: infoservishk@czso.cz </w:t>
      </w:r>
      <w:r w:rsidR="000D1C34">
        <w:rPr>
          <w:b w:val="0"/>
          <w:color w:val="auto"/>
        </w:rPr>
        <w:t xml:space="preserve">| </w:t>
      </w:r>
      <w:r w:rsidRPr="004A61C5">
        <w:rPr>
          <w:color w:val="auto"/>
        </w:rPr>
        <w:t>www.hradeckralove.czso.cz</w:t>
      </w:r>
    </w:p>
    <w:p w14:paraId="6052AE9B" w14:textId="77777777" w:rsidR="003C19E3" w:rsidRPr="000D1C34" w:rsidRDefault="003C19E3" w:rsidP="003C19E3">
      <w:pPr>
        <w:pStyle w:val="TLKontakty"/>
        <w:spacing w:after="80" w:line="240" w:lineRule="auto"/>
        <w:rPr>
          <w:b w:val="0"/>
          <w:bCs/>
          <w:color w:val="auto"/>
          <w:sz w:val="18"/>
          <w:szCs w:val="18"/>
        </w:rPr>
      </w:pPr>
    </w:p>
    <w:p w14:paraId="5F016199" w14:textId="77777777" w:rsidR="003C19E3" w:rsidRPr="004A61C5" w:rsidRDefault="003C19E3" w:rsidP="003C19E3">
      <w:pPr>
        <w:pStyle w:val="TLKontakty"/>
        <w:spacing w:after="80" w:line="240" w:lineRule="auto"/>
        <w:rPr>
          <w:b w:val="0"/>
          <w:color w:val="auto"/>
        </w:rPr>
      </w:pPr>
      <w:r w:rsidRPr="00D66223">
        <w:t>Pardubice</w:t>
      </w:r>
      <w:r w:rsidR="00782D2A">
        <w:rPr>
          <w:b w:val="0"/>
          <w:color w:val="auto"/>
        </w:rPr>
        <w:br/>
      </w:r>
      <w:r w:rsidRPr="004A61C5">
        <w:rPr>
          <w:b w:val="0"/>
          <w:color w:val="auto"/>
        </w:rPr>
        <w:t>V Ráji 872, 531 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sidR="000E6E5F">
        <w:rPr>
          <w:b w:val="0"/>
          <w:color w:val="auto"/>
        </w:rPr>
        <w:t> </w:t>
      </w:r>
      <w:r w:rsidRPr="004A61C5">
        <w:rPr>
          <w:b w:val="0"/>
          <w:color w:val="auto"/>
        </w:rPr>
        <w:t>743</w:t>
      </w:r>
      <w:r w:rsidR="000E6E5F">
        <w:rPr>
          <w:b w:val="0"/>
          <w:color w:val="auto"/>
        </w:rPr>
        <w:t> </w:t>
      </w:r>
      <w:r w:rsidRPr="004A61C5">
        <w:rPr>
          <w:b w:val="0"/>
          <w:color w:val="auto"/>
        </w:rPr>
        <w:t>480, 466</w:t>
      </w:r>
      <w:r w:rsidR="000E6E5F">
        <w:rPr>
          <w:b w:val="0"/>
          <w:color w:val="auto"/>
        </w:rPr>
        <w:t> </w:t>
      </w:r>
      <w:r w:rsidRPr="004A61C5">
        <w:rPr>
          <w:b w:val="0"/>
          <w:color w:val="auto"/>
        </w:rPr>
        <w:t>743</w:t>
      </w:r>
      <w:r w:rsidR="00782D2A">
        <w:rPr>
          <w:b w:val="0"/>
          <w:color w:val="auto"/>
        </w:rPr>
        <w:t> </w:t>
      </w:r>
      <w:r w:rsidRPr="004A61C5">
        <w:rPr>
          <w:b w:val="0"/>
          <w:color w:val="auto"/>
        </w:rPr>
        <w:t>418</w:t>
      </w:r>
      <w:r w:rsidR="00782D2A">
        <w:rPr>
          <w:b w:val="0"/>
          <w:color w:val="auto"/>
        </w:rPr>
        <w:br/>
      </w:r>
      <w:r w:rsidRPr="004A61C5">
        <w:rPr>
          <w:b w:val="0"/>
          <w:color w:val="auto"/>
        </w:rPr>
        <w:t xml:space="preserve">e-mail: </w:t>
      </w:r>
      <w:r w:rsidR="00782D2A" w:rsidRPr="00782D2A">
        <w:rPr>
          <w:b w:val="0"/>
          <w:color w:val="auto"/>
        </w:rPr>
        <w:t>infoservispa@czso.cz</w:t>
      </w:r>
      <w:r w:rsidR="000D1C34">
        <w:rPr>
          <w:b w:val="0"/>
          <w:color w:val="auto"/>
        </w:rPr>
        <w:t xml:space="preserve"> | </w:t>
      </w:r>
      <w:r w:rsidRPr="004A61C5">
        <w:rPr>
          <w:color w:val="auto"/>
        </w:rPr>
        <w:t>www.pardubice.czso.cz</w:t>
      </w:r>
    </w:p>
    <w:p w14:paraId="530A1CFF" w14:textId="77777777" w:rsidR="003C19E3" w:rsidRPr="000D1C34" w:rsidRDefault="003C19E3" w:rsidP="003C19E3">
      <w:pPr>
        <w:pStyle w:val="TLKontakty"/>
        <w:spacing w:after="80" w:line="240" w:lineRule="auto"/>
        <w:rPr>
          <w:b w:val="0"/>
          <w:bCs/>
          <w:color w:val="auto"/>
          <w:sz w:val="18"/>
          <w:szCs w:val="18"/>
        </w:rPr>
      </w:pPr>
    </w:p>
    <w:p w14:paraId="46074A7D" w14:textId="77777777" w:rsidR="003C19E3" w:rsidRPr="004A61C5" w:rsidRDefault="003C19E3" w:rsidP="003C19E3">
      <w:pPr>
        <w:pStyle w:val="TLKontakty"/>
        <w:spacing w:after="80" w:line="240" w:lineRule="auto"/>
        <w:rPr>
          <w:b w:val="0"/>
          <w:color w:val="auto"/>
        </w:rPr>
      </w:pPr>
      <w:r w:rsidRPr="00D66223">
        <w:t>Jihlava</w:t>
      </w:r>
      <w:r w:rsidR="00782D2A">
        <w:rPr>
          <w:b w:val="0"/>
          <w:color w:val="auto"/>
        </w:rPr>
        <w:br/>
      </w:r>
      <w:r w:rsidRPr="004A61C5">
        <w:rPr>
          <w:b w:val="0"/>
          <w:color w:val="auto"/>
        </w:rPr>
        <w:t>Ke Skalce 30,</w:t>
      </w:r>
      <w:r>
        <w:rPr>
          <w:b w:val="0"/>
          <w:color w:val="auto"/>
        </w:rPr>
        <w:t xml:space="preserve"> 586 01 Jihlava, tel.: </w:t>
      </w:r>
      <w:r w:rsidRPr="004A61C5">
        <w:rPr>
          <w:b w:val="0"/>
          <w:color w:val="auto"/>
        </w:rPr>
        <w:t>567</w:t>
      </w:r>
      <w:r w:rsidR="000E6E5F">
        <w:rPr>
          <w:b w:val="0"/>
          <w:color w:val="auto"/>
        </w:rPr>
        <w:t> </w:t>
      </w:r>
      <w:r w:rsidRPr="004A61C5">
        <w:rPr>
          <w:b w:val="0"/>
          <w:color w:val="auto"/>
        </w:rPr>
        <w:t>109</w:t>
      </w:r>
      <w:r w:rsidR="000E6E5F">
        <w:rPr>
          <w:b w:val="0"/>
          <w:color w:val="auto"/>
        </w:rPr>
        <w:t> </w:t>
      </w:r>
      <w:r w:rsidRPr="00BC731E">
        <w:rPr>
          <w:b w:val="0"/>
          <w:color w:val="auto"/>
        </w:rPr>
        <w:t>062, 567</w:t>
      </w:r>
      <w:r w:rsidR="000E6E5F">
        <w:rPr>
          <w:b w:val="0"/>
          <w:color w:val="auto"/>
        </w:rPr>
        <w:t> </w:t>
      </w:r>
      <w:r w:rsidRPr="00BC731E">
        <w:rPr>
          <w:b w:val="0"/>
          <w:color w:val="auto"/>
        </w:rPr>
        <w:t>109</w:t>
      </w:r>
      <w:r w:rsidR="00782D2A">
        <w:rPr>
          <w:b w:val="0"/>
          <w:color w:val="auto"/>
        </w:rPr>
        <w:t> </w:t>
      </w:r>
      <w:r w:rsidRPr="00BC731E">
        <w:rPr>
          <w:b w:val="0"/>
          <w:color w:val="auto"/>
        </w:rPr>
        <w:t>073</w:t>
      </w:r>
      <w:r w:rsidR="00782D2A">
        <w:rPr>
          <w:b w:val="0"/>
          <w:color w:val="auto"/>
        </w:rPr>
        <w:br/>
      </w:r>
      <w:r w:rsidRPr="004A61C5">
        <w:rPr>
          <w:b w:val="0"/>
          <w:color w:val="auto"/>
        </w:rPr>
        <w:t xml:space="preserve">e-mail: </w:t>
      </w:r>
      <w:r w:rsidR="000D1C34" w:rsidRPr="000D1C34">
        <w:rPr>
          <w:b w:val="0"/>
          <w:color w:val="auto"/>
        </w:rPr>
        <w:t>infoservisvys@czso.cz</w:t>
      </w:r>
      <w:r w:rsidR="000D1C34">
        <w:rPr>
          <w:b w:val="0"/>
          <w:color w:val="auto"/>
        </w:rPr>
        <w:t xml:space="preserve"> | </w:t>
      </w:r>
      <w:r w:rsidRPr="004A61C5">
        <w:rPr>
          <w:color w:val="auto"/>
        </w:rPr>
        <w:t>www.jihlava.czso.cz</w:t>
      </w:r>
    </w:p>
    <w:p w14:paraId="20C16DCF" w14:textId="77777777" w:rsidR="000D1C34" w:rsidRPr="000D1C34" w:rsidRDefault="000D1C34" w:rsidP="000D1C34">
      <w:pPr>
        <w:pStyle w:val="TLKontakty"/>
        <w:spacing w:after="80" w:line="240" w:lineRule="auto"/>
        <w:rPr>
          <w:b w:val="0"/>
          <w:bCs/>
          <w:color w:val="auto"/>
          <w:sz w:val="18"/>
          <w:szCs w:val="18"/>
        </w:rPr>
      </w:pPr>
    </w:p>
    <w:p w14:paraId="379E7438" w14:textId="77777777" w:rsidR="003C19E3" w:rsidRPr="000D1C34" w:rsidRDefault="003C19E3" w:rsidP="003C19E3">
      <w:pPr>
        <w:pStyle w:val="TLKontakty"/>
        <w:spacing w:after="80" w:line="240" w:lineRule="auto"/>
        <w:rPr>
          <w:b w:val="0"/>
          <w:color w:val="auto"/>
        </w:rPr>
      </w:pPr>
      <w:r w:rsidRPr="00D66223">
        <w:t>Brno</w:t>
      </w:r>
      <w:r w:rsidR="000D1C34">
        <w:rPr>
          <w:b w:val="0"/>
          <w:color w:val="auto"/>
        </w:rPr>
        <w:br/>
      </w:r>
      <w:r w:rsidRPr="004A61C5">
        <w:rPr>
          <w:b w:val="0"/>
          <w:color w:val="auto"/>
        </w:rPr>
        <w:t xml:space="preserve">Jezuitská 2, 601 59 Brno, </w:t>
      </w:r>
      <w:r>
        <w:rPr>
          <w:b w:val="0"/>
          <w:color w:val="auto"/>
        </w:rPr>
        <w:t xml:space="preserve">tel: </w:t>
      </w:r>
      <w:r w:rsidRPr="004A61C5">
        <w:rPr>
          <w:b w:val="0"/>
          <w:color w:val="auto"/>
        </w:rPr>
        <w:t>542</w:t>
      </w:r>
      <w:r w:rsidR="000E6E5F">
        <w:rPr>
          <w:b w:val="0"/>
          <w:color w:val="auto"/>
        </w:rPr>
        <w:t> </w:t>
      </w:r>
      <w:r w:rsidRPr="004A61C5">
        <w:rPr>
          <w:b w:val="0"/>
          <w:color w:val="auto"/>
        </w:rPr>
        <w:t>528</w:t>
      </w:r>
      <w:r w:rsidR="000E6E5F">
        <w:rPr>
          <w:b w:val="0"/>
          <w:color w:val="auto"/>
        </w:rPr>
        <w:t> </w:t>
      </w:r>
      <w:r w:rsidRPr="00BC731E">
        <w:rPr>
          <w:b w:val="0"/>
          <w:color w:val="auto"/>
        </w:rPr>
        <w:t>115, 542</w:t>
      </w:r>
      <w:r w:rsidR="000E6E5F">
        <w:rPr>
          <w:b w:val="0"/>
          <w:color w:val="auto"/>
        </w:rPr>
        <w:t> </w:t>
      </w:r>
      <w:r w:rsidRPr="00BC731E">
        <w:rPr>
          <w:b w:val="0"/>
          <w:color w:val="auto"/>
        </w:rPr>
        <w:t>528</w:t>
      </w:r>
      <w:r w:rsidR="000D1C34">
        <w:rPr>
          <w:b w:val="0"/>
          <w:color w:val="auto"/>
        </w:rPr>
        <w:t> </w:t>
      </w:r>
      <w:r w:rsidRPr="00BC731E">
        <w:rPr>
          <w:b w:val="0"/>
          <w:color w:val="auto"/>
        </w:rPr>
        <w:t>200</w:t>
      </w:r>
      <w:r w:rsidR="000D1C34">
        <w:rPr>
          <w:b w:val="0"/>
          <w:color w:val="auto"/>
        </w:rPr>
        <w:br/>
      </w:r>
      <w:r w:rsidRPr="004A61C5">
        <w:rPr>
          <w:b w:val="0"/>
          <w:color w:val="auto"/>
        </w:rPr>
        <w:t xml:space="preserve">e-mail: infoservisbrno@czso.cz | </w:t>
      </w:r>
      <w:r w:rsidRPr="004A61C5">
        <w:rPr>
          <w:color w:val="auto"/>
        </w:rPr>
        <w:t>www.brno.czso.cz</w:t>
      </w:r>
    </w:p>
    <w:p w14:paraId="54DD4FE6" w14:textId="77777777" w:rsidR="003C19E3" w:rsidRPr="000D1C34" w:rsidRDefault="003C19E3" w:rsidP="003C19E3">
      <w:pPr>
        <w:pStyle w:val="TLKontakty"/>
        <w:spacing w:after="80" w:line="240" w:lineRule="auto"/>
        <w:rPr>
          <w:b w:val="0"/>
          <w:bCs/>
          <w:color w:val="auto"/>
          <w:sz w:val="18"/>
          <w:szCs w:val="18"/>
        </w:rPr>
      </w:pPr>
    </w:p>
    <w:p w14:paraId="494F164D" w14:textId="77777777" w:rsidR="003C19E3" w:rsidRPr="005E7C78" w:rsidRDefault="003C19E3" w:rsidP="003C19E3">
      <w:pPr>
        <w:pStyle w:val="TLKontakty"/>
        <w:spacing w:after="80" w:line="240" w:lineRule="auto"/>
        <w:rPr>
          <w:b w:val="0"/>
          <w:color w:val="auto"/>
        </w:rPr>
      </w:pPr>
      <w:r w:rsidRPr="00D66223">
        <w:t>Olomouc</w:t>
      </w:r>
      <w:r w:rsidR="000D1C34">
        <w:rPr>
          <w:b w:val="0"/>
          <w:color w:val="auto"/>
        </w:rPr>
        <w:br/>
      </w:r>
      <w:r w:rsidRPr="005E7C78">
        <w:rPr>
          <w:b w:val="0"/>
          <w:color w:val="auto"/>
        </w:rPr>
        <w:t xml:space="preserve">Jeremenkova 1142/42, 772 11 Olomouc, </w:t>
      </w:r>
      <w:r>
        <w:rPr>
          <w:b w:val="0"/>
          <w:color w:val="auto"/>
        </w:rPr>
        <w:t xml:space="preserve">tel.: </w:t>
      </w:r>
      <w:r w:rsidRPr="005E7C78">
        <w:rPr>
          <w:b w:val="0"/>
          <w:color w:val="auto"/>
        </w:rPr>
        <w:t>585</w:t>
      </w:r>
      <w:r w:rsidR="000E6E5F">
        <w:rPr>
          <w:b w:val="0"/>
          <w:color w:val="auto"/>
        </w:rPr>
        <w:t> </w:t>
      </w:r>
      <w:r w:rsidRPr="005E7C78">
        <w:rPr>
          <w:b w:val="0"/>
          <w:color w:val="auto"/>
        </w:rPr>
        <w:t>731</w:t>
      </w:r>
      <w:r w:rsidR="000E6E5F">
        <w:rPr>
          <w:b w:val="0"/>
          <w:color w:val="auto"/>
        </w:rPr>
        <w:t> </w:t>
      </w:r>
      <w:r w:rsidRPr="00BC731E">
        <w:rPr>
          <w:b w:val="0"/>
          <w:color w:val="auto"/>
        </w:rPr>
        <w:t>516, 585</w:t>
      </w:r>
      <w:r w:rsidR="000E6E5F">
        <w:rPr>
          <w:b w:val="0"/>
          <w:color w:val="auto"/>
        </w:rPr>
        <w:t> </w:t>
      </w:r>
      <w:r w:rsidRPr="00BC731E">
        <w:rPr>
          <w:b w:val="0"/>
          <w:color w:val="auto"/>
        </w:rPr>
        <w:t>731</w:t>
      </w:r>
      <w:r w:rsidR="000D1C34">
        <w:rPr>
          <w:b w:val="0"/>
          <w:color w:val="auto"/>
        </w:rPr>
        <w:t> </w:t>
      </w:r>
      <w:r w:rsidRPr="00BC731E">
        <w:rPr>
          <w:b w:val="0"/>
          <w:color w:val="auto"/>
        </w:rPr>
        <w:t>511</w:t>
      </w:r>
      <w:r w:rsidR="000D1C34">
        <w:rPr>
          <w:b w:val="0"/>
          <w:color w:val="auto"/>
        </w:rPr>
        <w:br/>
      </w:r>
      <w:r w:rsidRPr="005E7C78">
        <w:rPr>
          <w:b w:val="0"/>
          <w:color w:val="auto"/>
        </w:rPr>
        <w:t xml:space="preserve">e-mail: infoservisolom@czso.cz | </w:t>
      </w:r>
      <w:r w:rsidRPr="005E7C78">
        <w:rPr>
          <w:color w:val="auto"/>
        </w:rPr>
        <w:t>www.olomouc.czso.cz</w:t>
      </w:r>
    </w:p>
    <w:p w14:paraId="7A176973" w14:textId="77777777" w:rsidR="003C19E3" w:rsidRPr="000D1C34" w:rsidRDefault="003C19E3" w:rsidP="003C19E3">
      <w:pPr>
        <w:pStyle w:val="TLKontakty"/>
        <w:spacing w:after="80" w:line="240" w:lineRule="auto"/>
        <w:rPr>
          <w:b w:val="0"/>
          <w:bCs/>
          <w:color w:val="auto"/>
          <w:sz w:val="18"/>
          <w:szCs w:val="18"/>
        </w:rPr>
      </w:pPr>
    </w:p>
    <w:p w14:paraId="6F356D0A" w14:textId="77777777" w:rsidR="003C19E3" w:rsidRPr="005E7C78" w:rsidRDefault="003C19E3" w:rsidP="003C19E3">
      <w:pPr>
        <w:pStyle w:val="TLKontakty"/>
        <w:spacing w:after="80" w:line="240" w:lineRule="auto"/>
        <w:rPr>
          <w:b w:val="0"/>
          <w:color w:val="auto"/>
        </w:rPr>
      </w:pPr>
      <w:r w:rsidRPr="00D66223">
        <w:t>Zlín</w:t>
      </w:r>
      <w:r w:rsidR="000D1C34">
        <w:rPr>
          <w:b w:val="0"/>
          <w:color w:val="auto"/>
        </w:rPr>
        <w:br/>
      </w:r>
      <w:r w:rsidRPr="005E7C78">
        <w:rPr>
          <w:b w:val="0"/>
          <w:color w:val="auto"/>
        </w:rPr>
        <w:t xml:space="preserve">tř. Tomáše Bati 1565, 761 76 Zlín, </w:t>
      </w:r>
      <w:r w:rsidRPr="00BC731E">
        <w:rPr>
          <w:b w:val="0"/>
          <w:color w:val="auto"/>
        </w:rPr>
        <w:t>tel.: 577</w:t>
      </w:r>
      <w:r w:rsidR="000E6E5F">
        <w:rPr>
          <w:b w:val="0"/>
          <w:color w:val="auto"/>
        </w:rPr>
        <w:t> </w:t>
      </w:r>
      <w:r w:rsidRPr="00BC731E">
        <w:rPr>
          <w:b w:val="0"/>
          <w:color w:val="auto"/>
        </w:rPr>
        <w:t>004 932, 5</w:t>
      </w:r>
      <w:r w:rsidRPr="005E7C78">
        <w:rPr>
          <w:b w:val="0"/>
          <w:color w:val="auto"/>
        </w:rPr>
        <w:t>77</w:t>
      </w:r>
      <w:r w:rsidR="000E6E5F">
        <w:rPr>
          <w:b w:val="0"/>
          <w:color w:val="auto"/>
        </w:rPr>
        <w:t> </w:t>
      </w:r>
      <w:r w:rsidRPr="005E7C78">
        <w:rPr>
          <w:b w:val="0"/>
          <w:color w:val="auto"/>
        </w:rPr>
        <w:t>004</w:t>
      </w:r>
      <w:r w:rsidR="000E6E5F">
        <w:rPr>
          <w:b w:val="0"/>
          <w:color w:val="auto"/>
        </w:rPr>
        <w:t> </w:t>
      </w:r>
      <w:r w:rsidRPr="005E7C78">
        <w:rPr>
          <w:b w:val="0"/>
          <w:color w:val="auto"/>
        </w:rPr>
        <w:t>935</w:t>
      </w:r>
    </w:p>
    <w:p w14:paraId="6FA51A08" w14:textId="77777777" w:rsidR="003C19E3" w:rsidRDefault="003C19E3" w:rsidP="003C19E3">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2BE4996C" w14:textId="77777777" w:rsidR="003C19E3" w:rsidRPr="000D1C34" w:rsidRDefault="003C19E3" w:rsidP="003C19E3">
      <w:pPr>
        <w:pStyle w:val="TLKontakty"/>
        <w:spacing w:after="80" w:line="240" w:lineRule="auto"/>
        <w:rPr>
          <w:b w:val="0"/>
          <w:bCs/>
          <w:color w:val="auto"/>
          <w:sz w:val="18"/>
          <w:szCs w:val="18"/>
        </w:rPr>
      </w:pPr>
    </w:p>
    <w:p w14:paraId="7BDE8917" w14:textId="77777777" w:rsidR="003C19E3" w:rsidRPr="005E7C78" w:rsidRDefault="003C19E3" w:rsidP="003C19E3">
      <w:pPr>
        <w:pStyle w:val="TLKontakty"/>
        <w:spacing w:after="80" w:line="240" w:lineRule="auto"/>
        <w:rPr>
          <w:b w:val="0"/>
          <w:color w:val="auto"/>
        </w:rPr>
      </w:pPr>
      <w:r w:rsidRPr="00D66223">
        <w:t>Ostrava</w:t>
      </w:r>
      <w:r w:rsidR="000D1C34">
        <w:rPr>
          <w:b w:val="0"/>
          <w:color w:val="auto"/>
        </w:rPr>
        <w:br/>
      </w:r>
      <w:r w:rsidRPr="005E7C78">
        <w:rPr>
          <w:b w:val="0"/>
          <w:color w:val="auto"/>
        </w:rPr>
        <w:t>Repinova 17, 702 03 Ostrava,</w:t>
      </w:r>
      <w:r>
        <w:rPr>
          <w:b w:val="0"/>
          <w:color w:val="auto"/>
        </w:rPr>
        <w:t xml:space="preserve"> tel: </w:t>
      </w:r>
      <w:r w:rsidRPr="005E7C78">
        <w:rPr>
          <w:b w:val="0"/>
          <w:color w:val="auto"/>
        </w:rPr>
        <w:t>595</w:t>
      </w:r>
      <w:r w:rsidR="000E6E5F">
        <w:rPr>
          <w:b w:val="0"/>
          <w:color w:val="auto"/>
        </w:rPr>
        <w:t> </w:t>
      </w:r>
      <w:r w:rsidRPr="005E7C78">
        <w:rPr>
          <w:b w:val="0"/>
          <w:color w:val="auto"/>
        </w:rPr>
        <w:t>131</w:t>
      </w:r>
      <w:r w:rsidR="000E6E5F">
        <w:rPr>
          <w:b w:val="0"/>
          <w:color w:val="auto"/>
        </w:rPr>
        <w:t> </w:t>
      </w:r>
      <w:r w:rsidRPr="005E7C78">
        <w:rPr>
          <w:b w:val="0"/>
          <w:color w:val="auto"/>
        </w:rPr>
        <w:t>230, 595</w:t>
      </w:r>
      <w:r w:rsidR="000E6E5F">
        <w:rPr>
          <w:b w:val="0"/>
          <w:color w:val="auto"/>
        </w:rPr>
        <w:t> </w:t>
      </w:r>
      <w:r w:rsidRPr="005E7C78">
        <w:rPr>
          <w:b w:val="0"/>
          <w:color w:val="auto"/>
        </w:rPr>
        <w:t>131</w:t>
      </w:r>
      <w:r w:rsidR="000E6E5F">
        <w:rPr>
          <w:b w:val="0"/>
          <w:color w:val="auto"/>
        </w:rPr>
        <w:t> </w:t>
      </w:r>
      <w:r w:rsidRPr="005E7C78">
        <w:rPr>
          <w:b w:val="0"/>
          <w:color w:val="auto"/>
        </w:rPr>
        <w:t>232</w:t>
      </w:r>
    </w:p>
    <w:p w14:paraId="233E34CA" w14:textId="77777777" w:rsidR="003C19E3" w:rsidRPr="00AF6600" w:rsidRDefault="003C19E3" w:rsidP="003C19E3">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p w14:paraId="247BDF8F" w14:textId="77777777" w:rsidR="000D1C34" w:rsidRDefault="000D1C34" w:rsidP="000D1C34"/>
    <w:p w14:paraId="032E45AD" w14:textId="166A3904" w:rsidR="000E6E5F" w:rsidRPr="007B6F5A" w:rsidRDefault="007B6F5A" w:rsidP="007B6F5A">
      <w:pPr>
        <w:pStyle w:val="Box2"/>
        <w:ind w:left="0"/>
        <w:rPr>
          <w:color w:val="auto"/>
        </w:rPr>
      </w:pPr>
      <w:r w:rsidRPr="007B6F5A">
        <w:rPr>
          <w:color w:val="auto"/>
        </w:rPr>
        <w:t xml:space="preserve">ISBN </w:t>
      </w:r>
      <w:bookmarkStart w:id="0" w:name="_GoBack"/>
      <w:bookmarkEnd w:id="0"/>
      <w:r w:rsidRPr="007B6F5A">
        <w:rPr>
          <w:color w:val="auto"/>
        </w:rPr>
        <w:t>978-80-250-3302-9 (pdf)</w:t>
      </w:r>
    </w:p>
    <w:p w14:paraId="2133B333" w14:textId="77777777" w:rsidR="003818DB" w:rsidRPr="000E6E5F" w:rsidRDefault="003818DB" w:rsidP="000D1C34">
      <w:pPr>
        <w:spacing w:after="0" w:line="240" w:lineRule="auto"/>
        <w:rPr>
          <w:iCs/>
          <w:szCs w:val="20"/>
        </w:rPr>
      </w:pPr>
      <w:r>
        <w:t xml:space="preserve">© Český </w:t>
      </w:r>
      <w:r w:rsidRPr="003818DB">
        <w:t>statistický</w:t>
      </w:r>
      <w:r>
        <w:t xml:space="preserve"> úřad, </w:t>
      </w:r>
      <w:r w:rsidR="00B230CE">
        <w:t>Praha</w:t>
      </w:r>
      <w:r>
        <w:t xml:space="preserve">, </w:t>
      </w:r>
      <w:r w:rsidR="00B230CE">
        <w:t>202</w:t>
      </w:r>
      <w:r w:rsidR="000D108D">
        <w:t>2</w:t>
      </w:r>
    </w:p>
    <w:p w14:paraId="576E6B98" w14:textId="77777777" w:rsidR="000E6E5F" w:rsidRPr="000E6E5F" w:rsidRDefault="000E6E5F" w:rsidP="000E6E5F">
      <w:pPr>
        <w:rPr>
          <w:lang w:eastAsia="ar-SA"/>
        </w:rPr>
        <w:sectPr w:rsidR="000E6E5F" w:rsidRPr="000E6E5F" w:rsidSect="004B573D">
          <w:pgSz w:w="8391" w:h="11906" w:code="11"/>
          <w:pgMar w:top="1134" w:right="851" w:bottom="1134" w:left="851" w:header="709" w:footer="709" w:gutter="0"/>
          <w:pgNumType w:start="1"/>
          <w:cols w:space="708"/>
          <w:titlePg/>
          <w:docGrid w:linePitch="360"/>
        </w:sectPr>
      </w:pPr>
    </w:p>
    <w:p w14:paraId="42227C50" w14:textId="77777777" w:rsidR="00EE4B1B" w:rsidRPr="006F5416" w:rsidRDefault="00EE4B1B" w:rsidP="001660A3">
      <w:pPr>
        <w:pStyle w:val="Obsah"/>
        <w:spacing w:after="240"/>
      </w:pPr>
      <w:r w:rsidRPr="00C804C6">
        <w:lastRenderedPageBreak/>
        <w:t>Obsah</w:t>
      </w:r>
    </w:p>
    <w:p w14:paraId="76481769" w14:textId="030CAF06" w:rsidR="005B7036" w:rsidRDefault="003818DB">
      <w:pPr>
        <w:pStyle w:val="Obsah1"/>
        <w:tabs>
          <w:tab w:val="left" w:pos="400"/>
        </w:tabs>
        <w:rPr>
          <w:rFonts w:asciiTheme="minorHAnsi" w:eastAsiaTheme="minorEastAsia" w:hAnsiTheme="minorHAnsi" w:cstheme="minorBidi"/>
          <w:noProof/>
          <w:sz w:val="22"/>
          <w:szCs w:val="22"/>
        </w:rPr>
      </w:pPr>
      <w:r>
        <w:rPr>
          <w:bCs/>
        </w:rPr>
        <w:fldChar w:fldCharType="begin"/>
      </w:r>
      <w:r>
        <w:rPr>
          <w:bCs/>
        </w:rPr>
        <w:instrText xml:space="preserve"> TOC \o "1-4" \h \z \u </w:instrText>
      </w:r>
      <w:r>
        <w:rPr>
          <w:bCs/>
        </w:rPr>
        <w:fldChar w:fldCharType="separate"/>
      </w:r>
      <w:hyperlink w:anchor="_Toc121211608" w:history="1">
        <w:r w:rsidR="005B7036" w:rsidRPr="009E017E">
          <w:rPr>
            <w:rStyle w:val="Hypertextovodkaz"/>
            <w:noProof/>
          </w:rPr>
          <w:t>Úvod</w:t>
        </w:r>
        <w:r w:rsidR="005B7036">
          <w:rPr>
            <w:noProof/>
            <w:webHidden/>
          </w:rPr>
          <w:tab/>
        </w:r>
        <w:r w:rsidR="005B7036">
          <w:rPr>
            <w:noProof/>
            <w:webHidden/>
          </w:rPr>
          <w:fldChar w:fldCharType="begin"/>
        </w:r>
        <w:r w:rsidR="005B7036">
          <w:rPr>
            <w:noProof/>
            <w:webHidden/>
          </w:rPr>
          <w:instrText xml:space="preserve"> PAGEREF _Toc121211608 \h </w:instrText>
        </w:r>
        <w:r w:rsidR="005B7036">
          <w:rPr>
            <w:noProof/>
            <w:webHidden/>
          </w:rPr>
        </w:r>
        <w:r w:rsidR="005B7036">
          <w:rPr>
            <w:noProof/>
            <w:webHidden/>
          </w:rPr>
          <w:fldChar w:fldCharType="separate"/>
        </w:r>
        <w:r w:rsidR="00A0046C">
          <w:rPr>
            <w:noProof/>
            <w:webHidden/>
          </w:rPr>
          <w:t>6</w:t>
        </w:r>
        <w:r w:rsidR="005B7036">
          <w:rPr>
            <w:noProof/>
            <w:webHidden/>
          </w:rPr>
          <w:fldChar w:fldCharType="end"/>
        </w:r>
      </w:hyperlink>
    </w:p>
    <w:p w14:paraId="46B71420" w14:textId="426A6111" w:rsidR="005B7036" w:rsidRDefault="00942090">
      <w:pPr>
        <w:pStyle w:val="Obsah1"/>
        <w:rPr>
          <w:rFonts w:asciiTheme="minorHAnsi" w:eastAsiaTheme="minorEastAsia" w:hAnsiTheme="minorHAnsi" w:cstheme="minorBidi"/>
          <w:noProof/>
          <w:sz w:val="22"/>
          <w:szCs w:val="22"/>
        </w:rPr>
      </w:pPr>
      <w:hyperlink w:anchor="_Toc121211609" w:history="1">
        <w:r w:rsidR="005B7036" w:rsidRPr="009E017E">
          <w:rPr>
            <w:rStyle w:val="Hypertextovodkaz"/>
            <w:noProof/>
          </w:rPr>
          <w:t>1. Demografické charakteristiky seniorů</w:t>
        </w:r>
        <w:r w:rsidR="005B7036">
          <w:rPr>
            <w:noProof/>
            <w:webHidden/>
          </w:rPr>
          <w:tab/>
        </w:r>
        <w:r w:rsidR="005B7036">
          <w:rPr>
            <w:noProof/>
            <w:webHidden/>
          </w:rPr>
          <w:fldChar w:fldCharType="begin"/>
        </w:r>
        <w:r w:rsidR="005B7036">
          <w:rPr>
            <w:noProof/>
            <w:webHidden/>
          </w:rPr>
          <w:instrText xml:space="preserve"> PAGEREF _Toc121211609 \h </w:instrText>
        </w:r>
        <w:r w:rsidR="005B7036">
          <w:rPr>
            <w:noProof/>
            <w:webHidden/>
          </w:rPr>
        </w:r>
        <w:r w:rsidR="005B7036">
          <w:rPr>
            <w:noProof/>
            <w:webHidden/>
          </w:rPr>
          <w:fldChar w:fldCharType="separate"/>
        </w:r>
        <w:r w:rsidR="00A0046C">
          <w:rPr>
            <w:noProof/>
            <w:webHidden/>
          </w:rPr>
          <w:t>8</w:t>
        </w:r>
        <w:r w:rsidR="005B7036">
          <w:rPr>
            <w:noProof/>
            <w:webHidden/>
          </w:rPr>
          <w:fldChar w:fldCharType="end"/>
        </w:r>
      </w:hyperlink>
    </w:p>
    <w:p w14:paraId="788BE890" w14:textId="441562D8" w:rsidR="005B7036" w:rsidRDefault="00942090">
      <w:pPr>
        <w:pStyle w:val="Obsah2"/>
        <w:tabs>
          <w:tab w:val="left" w:pos="800"/>
        </w:tabs>
        <w:rPr>
          <w:rFonts w:asciiTheme="minorHAnsi" w:eastAsiaTheme="minorEastAsia" w:hAnsiTheme="minorHAnsi" w:cstheme="minorBidi"/>
          <w:noProof/>
          <w:sz w:val="22"/>
          <w:szCs w:val="22"/>
        </w:rPr>
      </w:pPr>
      <w:hyperlink w:anchor="_Toc121211610" w:history="1">
        <w:r w:rsidR="005B7036" w:rsidRPr="009E017E">
          <w:rPr>
            <w:rStyle w:val="Hypertextovodkaz"/>
            <w:noProof/>
          </w:rPr>
          <w:t>1.1.</w:t>
        </w:r>
        <w:r w:rsidR="008D70F6">
          <w:rPr>
            <w:rStyle w:val="Hypertextovodkaz"/>
            <w:noProof/>
          </w:rPr>
          <w:t xml:space="preserve"> </w:t>
        </w:r>
        <w:r w:rsidR="005B7036" w:rsidRPr="009E017E">
          <w:rPr>
            <w:rStyle w:val="Hypertextovodkaz"/>
            <w:noProof/>
          </w:rPr>
          <w:t>Počet a podíl seniorů</w:t>
        </w:r>
        <w:r w:rsidR="005B7036">
          <w:rPr>
            <w:noProof/>
            <w:webHidden/>
          </w:rPr>
          <w:tab/>
        </w:r>
        <w:r w:rsidR="005B7036">
          <w:rPr>
            <w:noProof/>
            <w:webHidden/>
          </w:rPr>
          <w:fldChar w:fldCharType="begin"/>
        </w:r>
        <w:r w:rsidR="005B7036">
          <w:rPr>
            <w:noProof/>
            <w:webHidden/>
          </w:rPr>
          <w:instrText xml:space="preserve"> PAGEREF _Toc121211610 \h </w:instrText>
        </w:r>
        <w:r w:rsidR="005B7036">
          <w:rPr>
            <w:noProof/>
            <w:webHidden/>
          </w:rPr>
        </w:r>
        <w:r w:rsidR="005B7036">
          <w:rPr>
            <w:noProof/>
            <w:webHidden/>
          </w:rPr>
          <w:fldChar w:fldCharType="separate"/>
        </w:r>
        <w:r w:rsidR="00A0046C">
          <w:rPr>
            <w:noProof/>
            <w:webHidden/>
          </w:rPr>
          <w:t>8</w:t>
        </w:r>
        <w:r w:rsidR="005B7036">
          <w:rPr>
            <w:noProof/>
            <w:webHidden/>
          </w:rPr>
          <w:fldChar w:fldCharType="end"/>
        </w:r>
      </w:hyperlink>
    </w:p>
    <w:p w14:paraId="2A65CD75" w14:textId="0DEE4762" w:rsidR="005B7036" w:rsidRDefault="00942090">
      <w:pPr>
        <w:pStyle w:val="Obsah2"/>
        <w:tabs>
          <w:tab w:val="left" w:pos="800"/>
        </w:tabs>
        <w:rPr>
          <w:rFonts w:asciiTheme="minorHAnsi" w:eastAsiaTheme="minorEastAsia" w:hAnsiTheme="minorHAnsi" w:cstheme="minorBidi"/>
          <w:noProof/>
          <w:sz w:val="22"/>
          <w:szCs w:val="22"/>
        </w:rPr>
      </w:pPr>
      <w:hyperlink w:anchor="_Toc121211611" w:history="1">
        <w:r w:rsidR="005B7036" w:rsidRPr="009E017E">
          <w:rPr>
            <w:rStyle w:val="Hypertextovodkaz"/>
            <w:noProof/>
          </w:rPr>
          <w:t>1.2.</w:t>
        </w:r>
        <w:r w:rsidR="008D70F6">
          <w:rPr>
            <w:rStyle w:val="Hypertextovodkaz"/>
            <w:noProof/>
          </w:rPr>
          <w:t xml:space="preserve"> </w:t>
        </w:r>
        <w:r w:rsidR="005B7036" w:rsidRPr="009E017E">
          <w:rPr>
            <w:rStyle w:val="Hypertextovodkaz"/>
            <w:noProof/>
          </w:rPr>
          <w:t>Věkové složení seniorské populace</w:t>
        </w:r>
        <w:r w:rsidR="005B7036">
          <w:rPr>
            <w:noProof/>
            <w:webHidden/>
          </w:rPr>
          <w:tab/>
        </w:r>
        <w:r w:rsidR="005B7036">
          <w:rPr>
            <w:noProof/>
            <w:webHidden/>
          </w:rPr>
          <w:fldChar w:fldCharType="begin"/>
        </w:r>
        <w:r w:rsidR="005B7036">
          <w:rPr>
            <w:noProof/>
            <w:webHidden/>
          </w:rPr>
          <w:instrText xml:space="preserve"> PAGEREF _Toc121211611 \h </w:instrText>
        </w:r>
        <w:r w:rsidR="005B7036">
          <w:rPr>
            <w:noProof/>
            <w:webHidden/>
          </w:rPr>
        </w:r>
        <w:r w:rsidR="005B7036">
          <w:rPr>
            <w:noProof/>
            <w:webHidden/>
          </w:rPr>
          <w:fldChar w:fldCharType="separate"/>
        </w:r>
        <w:r w:rsidR="00A0046C">
          <w:rPr>
            <w:noProof/>
            <w:webHidden/>
          </w:rPr>
          <w:t>10</w:t>
        </w:r>
        <w:r w:rsidR="005B7036">
          <w:rPr>
            <w:noProof/>
            <w:webHidden/>
          </w:rPr>
          <w:fldChar w:fldCharType="end"/>
        </w:r>
      </w:hyperlink>
    </w:p>
    <w:p w14:paraId="1E87BFC6" w14:textId="5763B061" w:rsidR="005B7036" w:rsidRDefault="00942090">
      <w:pPr>
        <w:pStyle w:val="Obsah2"/>
        <w:tabs>
          <w:tab w:val="left" w:pos="800"/>
        </w:tabs>
        <w:rPr>
          <w:rFonts w:asciiTheme="minorHAnsi" w:eastAsiaTheme="minorEastAsia" w:hAnsiTheme="minorHAnsi" w:cstheme="minorBidi"/>
          <w:noProof/>
          <w:sz w:val="22"/>
          <w:szCs w:val="22"/>
        </w:rPr>
      </w:pPr>
      <w:hyperlink w:anchor="_Toc121211612" w:history="1">
        <w:r w:rsidR="005B7036" w:rsidRPr="009E017E">
          <w:rPr>
            <w:rStyle w:val="Hypertextovodkaz"/>
            <w:noProof/>
          </w:rPr>
          <w:t>1.3.</w:t>
        </w:r>
        <w:r w:rsidR="008D70F6">
          <w:rPr>
            <w:rStyle w:val="Hypertextovodkaz"/>
            <w:noProof/>
          </w:rPr>
          <w:t xml:space="preserve"> </w:t>
        </w:r>
        <w:r w:rsidR="005B7036" w:rsidRPr="009E017E">
          <w:rPr>
            <w:rStyle w:val="Hypertextovodkaz"/>
            <w:noProof/>
          </w:rPr>
          <w:t>Senioři podle pohlaví</w:t>
        </w:r>
        <w:r w:rsidR="005B7036">
          <w:rPr>
            <w:noProof/>
            <w:webHidden/>
          </w:rPr>
          <w:tab/>
        </w:r>
        <w:r w:rsidR="005B7036">
          <w:rPr>
            <w:noProof/>
            <w:webHidden/>
          </w:rPr>
          <w:fldChar w:fldCharType="begin"/>
        </w:r>
        <w:r w:rsidR="005B7036">
          <w:rPr>
            <w:noProof/>
            <w:webHidden/>
          </w:rPr>
          <w:instrText xml:space="preserve"> PAGEREF _Toc121211612 \h </w:instrText>
        </w:r>
        <w:r w:rsidR="005B7036">
          <w:rPr>
            <w:noProof/>
            <w:webHidden/>
          </w:rPr>
        </w:r>
        <w:r w:rsidR="005B7036">
          <w:rPr>
            <w:noProof/>
            <w:webHidden/>
          </w:rPr>
          <w:fldChar w:fldCharType="separate"/>
        </w:r>
        <w:r w:rsidR="00A0046C">
          <w:rPr>
            <w:noProof/>
            <w:webHidden/>
          </w:rPr>
          <w:t>12</w:t>
        </w:r>
        <w:r w:rsidR="005B7036">
          <w:rPr>
            <w:noProof/>
            <w:webHidden/>
          </w:rPr>
          <w:fldChar w:fldCharType="end"/>
        </w:r>
      </w:hyperlink>
    </w:p>
    <w:p w14:paraId="58D4C03B" w14:textId="09EFE331" w:rsidR="005B7036" w:rsidRDefault="00942090">
      <w:pPr>
        <w:pStyle w:val="Obsah2"/>
        <w:tabs>
          <w:tab w:val="left" w:pos="800"/>
        </w:tabs>
        <w:rPr>
          <w:rFonts w:asciiTheme="minorHAnsi" w:eastAsiaTheme="minorEastAsia" w:hAnsiTheme="minorHAnsi" w:cstheme="minorBidi"/>
          <w:noProof/>
          <w:sz w:val="22"/>
          <w:szCs w:val="22"/>
        </w:rPr>
      </w:pPr>
      <w:hyperlink w:anchor="_Toc121211613" w:history="1">
        <w:r w:rsidR="005B7036" w:rsidRPr="009E017E">
          <w:rPr>
            <w:rStyle w:val="Hypertextovodkaz"/>
            <w:noProof/>
          </w:rPr>
          <w:t>1.4.</w:t>
        </w:r>
        <w:r w:rsidR="008D70F6">
          <w:rPr>
            <w:rStyle w:val="Hypertextovodkaz"/>
            <w:noProof/>
          </w:rPr>
          <w:t xml:space="preserve"> </w:t>
        </w:r>
        <w:r w:rsidR="005B7036" w:rsidRPr="009E017E">
          <w:rPr>
            <w:rStyle w:val="Hypertextovodkaz"/>
            <w:noProof/>
          </w:rPr>
          <w:t>Senioři podle rodinného stavu</w:t>
        </w:r>
        <w:r w:rsidR="005B7036">
          <w:rPr>
            <w:noProof/>
            <w:webHidden/>
          </w:rPr>
          <w:tab/>
        </w:r>
        <w:r w:rsidR="005B7036">
          <w:rPr>
            <w:noProof/>
            <w:webHidden/>
          </w:rPr>
          <w:fldChar w:fldCharType="begin"/>
        </w:r>
        <w:r w:rsidR="005B7036">
          <w:rPr>
            <w:noProof/>
            <w:webHidden/>
          </w:rPr>
          <w:instrText xml:space="preserve"> PAGEREF _Toc121211613 \h </w:instrText>
        </w:r>
        <w:r w:rsidR="005B7036">
          <w:rPr>
            <w:noProof/>
            <w:webHidden/>
          </w:rPr>
        </w:r>
        <w:r w:rsidR="005B7036">
          <w:rPr>
            <w:noProof/>
            <w:webHidden/>
          </w:rPr>
          <w:fldChar w:fldCharType="separate"/>
        </w:r>
        <w:r w:rsidR="00A0046C">
          <w:rPr>
            <w:noProof/>
            <w:webHidden/>
          </w:rPr>
          <w:t>12</w:t>
        </w:r>
        <w:r w:rsidR="005B7036">
          <w:rPr>
            <w:noProof/>
            <w:webHidden/>
          </w:rPr>
          <w:fldChar w:fldCharType="end"/>
        </w:r>
      </w:hyperlink>
    </w:p>
    <w:p w14:paraId="74DF8533" w14:textId="31DD395A" w:rsidR="005B7036" w:rsidRDefault="00942090">
      <w:pPr>
        <w:pStyle w:val="Obsah2"/>
        <w:tabs>
          <w:tab w:val="left" w:pos="800"/>
        </w:tabs>
        <w:rPr>
          <w:rFonts w:asciiTheme="minorHAnsi" w:eastAsiaTheme="minorEastAsia" w:hAnsiTheme="minorHAnsi" w:cstheme="minorBidi"/>
          <w:noProof/>
          <w:sz w:val="22"/>
          <w:szCs w:val="22"/>
        </w:rPr>
      </w:pPr>
      <w:hyperlink w:anchor="_Toc121211614" w:history="1">
        <w:r w:rsidR="005B7036" w:rsidRPr="009E017E">
          <w:rPr>
            <w:rStyle w:val="Hypertextovodkaz"/>
            <w:noProof/>
          </w:rPr>
          <w:t>1.5.</w:t>
        </w:r>
        <w:r w:rsidR="008D70F6">
          <w:rPr>
            <w:rStyle w:val="Hypertextovodkaz"/>
            <w:noProof/>
          </w:rPr>
          <w:t xml:space="preserve"> </w:t>
        </w:r>
        <w:r w:rsidR="005B7036" w:rsidRPr="009E017E">
          <w:rPr>
            <w:rStyle w:val="Hypertextovodkaz"/>
            <w:noProof/>
          </w:rPr>
          <w:t>Demografické události seniorů</w:t>
        </w:r>
        <w:r w:rsidR="005B7036">
          <w:rPr>
            <w:noProof/>
            <w:webHidden/>
          </w:rPr>
          <w:tab/>
        </w:r>
        <w:r w:rsidR="005B7036">
          <w:rPr>
            <w:noProof/>
            <w:webHidden/>
          </w:rPr>
          <w:fldChar w:fldCharType="begin"/>
        </w:r>
        <w:r w:rsidR="005B7036">
          <w:rPr>
            <w:noProof/>
            <w:webHidden/>
          </w:rPr>
          <w:instrText xml:space="preserve"> PAGEREF _Toc121211614 \h </w:instrText>
        </w:r>
        <w:r w:rsidR="005B7036">
          <w:rPr>
            <w:noProof/>
            <w:webHidden/>
          </w:rPr>
        </w:r>
        <w:r w:rsidR="005B7036">
          <w:rPr>
            <w:noProof/>
            <w:webHidden/>
          </w:rPr>
          <w:fldChar w:fldCharType="separate"/>
        </w:r>
        <w:r w:rsidR="00A0046C">
          <w:rPr>
            <w:noProof/>
            <w:webHidden/>
          </w:rPr>
          <w:t>13</w:t>
        </w:r>
        <w:r w:rsidR="005B7036">
          <w:rPr>
            <w:noProof/>
            <w:webHidden/>
          </w:rPr>
          <w:fldChar w:fldCharType="end"/>
        </w:r>
      </w:hyperlink>
    </w:p>
    <w:p w14:paraId="3E05F9B4" w14:textId="5B0CD1A9" w:rsidR="005B7036" w:rsidRDefault="008D70F6" w:rsidP="008D70F6">
      <w:pPr>
        <w:pStyle w:val="Obsah3"/>
        <w:rPr>
          <w:rFonts w:asciiTheme="minorHAnsi" w:eastAsiaTheme="minorEastAsia" w:hAnsiTheme="minorHAnsi" w:cstheme="minorBidi"/>
          <w:noProof/>
          <w:sz w:val="22"/>
          <w:szCs w:val="22"/>
        </w:rPr>
      </w:pPr>
      <w:r>
        <w:rPr>
          <w:noProof/>
        </w:rPr>
        <w:tab/>
      </w:r>
      <w:hyperlink w:anchor="_Toc121211615" w:history="1">
        <w:r w:rsidR="005B7036" w:rsidRPr="009E017E">
          <w:rPr>
            <w:rStyle w:val="Hypertextovodkaz"/>
            <w:noProof/>
          </w:rPr>
          <w:t>1.5.1.</w:t>
        </w:r>
        <w:r w:rsidR="00482435">
          <w:rPr>
            <w:rStyle w:val="Hypertextovodkaz"/>
            <w:noProof/>
          </w:rPr>
          <w:t xml:space="preserve"> </w:t>
        </w:r>
        <w:r w:rsidR="005B7036" w:rsidRPr="009E017E">
          <w:rPr>
            <w:rStyle w:val="Hypertextovodkaz"/>
            <w:noProof/>
          </w:rPr>
          <w:t>Sňatky a rozvody</w:t>
        </w:r>
        <w:r w:rsidR="005B7036">
          <w:rPr>
            <w:noProof/>
            <w:webHidden/>
          </w:rPr>
          <w:tab/>
        </w:r>
        <w:r w:rsidR="005B7036">
          <w:rPr>
            <w:noProof/>
            <w:webHidden/>
          </w:rPr>
          <w:fldChar w:fldCharType="begin"/>
        </w:r>
        <w:r w:rsidR="005B7036">
          <w:rPr>
            <w:noProof/>
            <w:webHidden/>
          </w:rPr>
          <w:instrText xml:space="preserve"> PAGEREF _Toc121211615 \h </w:instrText>
        </w:r>
        <w:r w:rsidR="005B7036">
          <w:rPr>
            <w:noProof/>
            <w:webHidden/>
          </w:rPr>
        </w:r>
        <w:r w:rsidR="005B7036">
          <w:rPr>
            <w:noProof/>
            <w:webHidden/>
          </w:rPr>
          <w:fldChar w:fldCharType="separate"/>
        </w:r>
        <w:r w:rsidR="00A0046C">
          <w:rPr>
            <w:noProof/>
            <w:webHidden/>
          </w:rPr>
          <w:t>13</w:t>
        </w:r>
        <w:r w:rsidR="005B7036">
          <w:rPr>
            <w:noProof/>
            <w:webHidden/>
          </w:rPr>
          <w:fldChar w:fldCharType="end"/>
        </w:r>
      </w:hyperlink>
    </w:p>
    <w:p w14:paraId="064931C1" w14:textId="04A065BE" w:rsidR="005B7036" w:rsidRDefault="008D70F6" w:rsidP="008D70F6">
      <w:pPr>
        <w:pStyle w:val="Obsah3"/>
        <w:rPr>
          <w:rFonts w:asciiTheme="minorHAnsi" w:eastAsiaTheme="minorEastAsia" w:hAnsiTheme="minorHAnsi" w:cstheme="minorBidi"/>
          <w:noProof/>
          <w:sz w:val="22"/>
          <w:szCs w:val="22"/>
        </w:rPr>
      </w:pPr>
      <w:r>
        <w:rPr>
          <w:noProof/>
        </w:rPr>
        <w:tab/>
      </w:r>
      <w:hyperlink w:anchor="_Toc121211616" w:history="1">
        <w:r w:rsidR="005B7036" w:rsidRPr="009E017E">
          <w:rPr>
            <w:rStyle w:val="Hypertextovodkaz"/>
            <w:noProof/>
          </w:rPr>
          <w:t>1.5.2.</w:t>
        </w:r>
        <w:r>
          <w:rPr>
            <w:rStyle w:val="Hypertextovodkaz"/>
            <w:noProof/>
          </w:rPr>
          <w:t xml:space="preserve"> </w:t>
        </w:r>
        <w:r w:rsidR="005B7036" w:rsidRPr="009E017E">
          <w:rPr>
            <w:rStyle w:val="Hypertextovodkaz"/>
            <w:noProof/>
          </w:rPr>
          <w:t>Narození dítěte</w:t>
        </w:r>
        <w:r w:rsidR="005B7036">
          <w:rPr>
            <w:noProof/>
            <w:webHidden/>
          </w:rPr>
          <w:tab/>
        </w:r>
        <w:r w:rsidR="005B7036">
          <w:rPr>
            <w:noProof/>
            <w:webHidden/>
          </w:rPr>
          <w:fldChar w:fldCharType="begin"/>
        </w:r>
        <w:r w:rsidR="005B7036">
          <w:rPr>
            <w:noProof/>
            <w:webHidden/>
          </w:rPr>
          <w:instrText xml:space="preserve"> PAGEREF _Toc121211616 \h </w:instrText>
        </w:r>
        <w:r w:rsidR="005B7036">
          <w:rPr>
            <w:noProof/>
            <w:webHidden/>
          </w:rPr>
        </w:r>
        <w:r w:rsidR="005B7036">
          <w:rPr>
            <w:noProof/>
            <w:webHidden/>
          </w:rPr>
          <w:fldChar w:fldCharType="separate"/>
        </w:r>
        <w:r w:rsidR="00A0046C">
          <w:rPr>
            <w:noProof/>
            <w:webHidden/>
          </w:rPr>
          <w:t>14</w:t>
        </w:r>
        <w:r w:rsidR="005B7036">
          <w:rPr>
            <w:noProof/>
            <w:webHidden/>
          </w:rPr>
          <w:fldChar w:fldCharType="end"/>
        </w:r>
      </w:hyperlink>
    </w:p>
    <w:p w14:paraId="3032BB00" w14:textId="7A6E4814" w:rsidR="005B7036" w:rsidRDefault="008D70F6" w:rsidP="008D70F6">
      <w:pPr>
        <w:pStyle w:val="Obsah3"/>
        <w:rPr>
          <w:rFonts w:asciiTheme="minorHAnsi" w:eastAsiaTheme="minorEastAsia" w:hAnsiTheme="minorHAnsi" w:cstheme="minorBidi"/>
          <w:noProof/>
          <w:sz w:val="22"/>
          <w:szCs w:val="22"/>
        </w:rPr>
      </w:pPr>
      <w:r>
        <w:rPr>
          <w:noProof/>
        </w:rPr>
        <w:tab/>
      </w:r>
      <w:hyperlink w:anchor="_Toc121211617" w:history="1">
        <w:r w:rsidR="005B7036" w:rsidRPr="009E017E">
          <w:rPr>
            <w:rStyle w:val="Hypertextovodkaz"/>
            <w:noProof/>
          </w:rPr>
          <w:t>1.5.3.</w:t>
        </w:r>
        <w:r>
          <w:rPr>
            <w:rStyle w:val="Hypertextovodkaz"/>
            <w:noProof/>
          </w:rPr>
          <w:t xml:space="preserve"> </w:t>
        </w:r>
        <w:r w:rsidR="005B7036" w:rsidRPr="009E017E">
          <w:rPr>
            <w:rStyle w:val="Hypertextovodkaz"/>
            <w:noProof/>
          </w:rPr>
          <w:t>Stěhování</w:t>
        </w:r>
        <w:r w:rsidR="005B7036">
          <w:rPr>
            <w:noProof/>
            <w:webHidden/>
          </w:rPr>
          <w:tab/>
        </w:r>
        <w:r w:rsidR="005B7036">
          <w:rPr>
            <w:noProof/>
            <w:webHidden/>
          </w:rPr>
          <w:fldChar w:fldCharType="begin"/>
        </w:r>
        <w:r w:rsidR="005B7036">
          <w:rPr>
            <w:noProof/>
            <w:webHidden/>
          </w:rPr>
          <w:instrText xml:space="preserve"> PAGEREF _Toc121211617 \h </w:instrText>
        </w:r>
        <w:r w:rsidR="005B7036">
          <w:rPr>
            <w:noProof/>
            <w:webHidden/>
          </w:rPr>
        </w:r>
        <w:r w:rsidR="005B7036">
          <w:rPr>
            <w:noProof/>
            <w:webHidden/>
          </w:rPr>
          <w:fldChar w:fldCharType="separate"/>
        </w:r>
        <w:r w:rsidR="00A0046C">
          <w:rPr>
            <w:noProof/>
            <w:webHidden/>
          </w:rPr>
          <w:t>15</w:t>
        </w:r>
        <w:r w:rsidR="005B7036">
          <w:rPr>
            <w:noProof/>
            <w:webHidden/>
          </w:rPr>
          <w:fldChar w:fldCharType="end"/>
        </w:r>
      </w:hyperlink>
    </w:p>
    <w:p w14:paraId="253CBFED" w14:textId="1195AECB" w:rsidR="005B7036" w:rsidRDefault="008D70F6" w:rsidP="008D70F6">
      <w:pPr>
        <w:pStyle w:val="Obsah3"/>
        <w:rPr>
          <w:rFonts w:asciiTheme="minorHAnsi" w:eastAsiaTheme="minorEastAsia" w:hAnsiTheme="minorHAnsi" w:cstheme="minorBidi"/>
          <w:noProof/>
          <w:sz w:val="22"/>
          <w:szCs w:val="22"/>
        </w:rPr>
      </w:pPr>
      <w:r>
        <w:rPr>
          <w:noProof/>
        </w:rPr>
        <w:tab/>
      </w:r>
      <w:hyperlink w:anchor="_Toc121211619" w:history="1">
        <w:r w:rsidR="005B7036" w:rsidRPr="009E017E">
          <w:rPr>
            <w:rStyle w:val="Hypertextovodkaz"/>
            <w:noProof/>
          </w:rPr>
          <w:t>1.5.4.</w:t>
        </w:r>
        <w:r>
          <w:rPr>
            <w:rStyle w:val="Hypertextovodkaz"/>
            <w:noProof/>
          </w:rPr>
          <w:t xml:space="preserve"> </w:t>
        </w:r>
        <w:r w:rsidR="005B7036" w:rsidRPr="009E017E">
          <w:rPr>
            <w:rStyle w:val="Hypertextovodkaz"/>
            <w:noProof/>
          </w:rPr>
          <w:t>Zemřelí a úroveň úmrtnosti</w:t>
        </w:r>
        <w:r w:rsidR="005B7036">
          <w:rPr>
            <w:noProof/>
            <w:webHidden/>
          </w:rPr>
          <w:tab/>
        </w:r>
        <w:r w:rsidR="005B7036">
          <w:rPr>
            <w:noProof/>
            <w:webHidden/>
          </w:rPr>
          <w:fldChar w:fldCharType="begin"/>
        </w:r>
        <w:r w:rsidR="005B7036">
          <w:rPr>
            <w:noProof/>
            <w:webHidden/>
          </w:rPr>
          <w:instrText xml:space="preserve"> PAGEREF _Toc121211619 \h </w:instrText>
        </w:r>
        <w:r w:rsidR="005B7036">
          <w:rPr>
            <w:noProof/>
            <w:webHidden/>
          </w:rPr>
        </w:r>
        <w:r w:rsidR="005B7036">
          <w:rPr>
            <w:noProof/>
            <w:webHidden/>
          </w:rPr>
          <w:fldChar w:fldCharType="separate"/>
        </w:r>
        <w:r w:rsidR="00A0046C">
          <w:rPr>
            <w:noProof/>
            <w:webHidden/>
          </w:rPr>
          <w:t>16</w:t>
        </w:r>
        <w:r w:rsidR="005B7036">
          <w:rPr>
            <w:noProof/>
            <w:webHidden/>
          </w:rPr>
          <w:fldChar w:fldCharType="end"/>
        </w:r>
      </w:hyperlink>
    </w:p>
    <w:p w14:paraId="269BA12B" w14:textId="01F94185" w:rsidR="005B7036" w:rsidRDefault="005B7036" w:rsidP="008F2923">
      <w:pPr>
        <w:pStyle w:val="Obsah4"/>
        <w:rPr>
          <w:rFonts w:asciiTheme="minorHAnsi" w:eastAsiaTheme="minorEastAsia" w:hAnsiTheme="minorHAnsi" w:cstheme="minorBidi"/>
          <w:noProof/>
          <w:sz w:val="22"/>
          <w:szCs w:val="22"/>
        </w:rPr>
      </w:pPr>
      <w:r w:rsidRPr="005B7036">
        <w:rPr>
          <w:rStyle w:val="Hypertextovodkaz"/>
          <w:noProof/>
          <w:u w:val="none"/>
        </w:rPr>
        <w:t xml:space="preserve">  </w:t>
      </w:r>
      <w:r w:rsidR="008D70F6">
        <w:rPr>
          <w:rStyle w:val="Hypertextovodkaz"/>
          <w:noProof/>
          <w:u w:val="none"/>
        </w:rPr>
        <w:tab/>
      </w:r>
      <w:hyperlink w:anchor="_Toc121211620" w:history="1">
        <w:r w:rsidRPr="009E017E">
          <w:rPr>
            <w:rStyle w:val="Hypertextovodkaz"/>
            <w:noProof/>
          </w:rPr>
          <w:t>1.5.5.</w:t>
        </w:r>
        <w:r w:rsidR="008D70F6">
          <w:rPr>
            <w:rStyle w:val="Hypertextovodkaz"/>
            <w:noProof/>
          </w:rPr>
          <w:t xml:space="preserve"> </w:t>
        </w:r>
        <w:r w:rsidRPr="009E017E">
          <w:rPr>
            <w:rStyle w:val="Hypertextovodkaz"/>
            <w:noProof/>
          </w:rPr>
          <w:t>Příčiny smrti</w:t>
        </w:r>
        <w:r>
          <w:rPr>
            <w:noProof/>
            <w:webHidden/>
          </w:rPr>
          <w:tab/>
        </w:r>
        <w:r>
          <w:rPr>
            <w:noProof/>
            <w:webHidden/>
          </w:rPr>
          <w:fldChar w:fldCharType="begin"/>
        </w:r>
        <w:r>
          <w:rPr>
            <w:noProof/>
            <w:webHidden/>
          </w:rPr>
          <w:instrText xml:space="preserve"> PAGEREF _Toc121211620 \h </w:instrText>
        </w:r>
        <w:r>
          <w:rPr>
            <w:noProof/>
            <w:webHidden/>
          </w:rPr>
        </w:r>
        <w:r>
          <w:rPr>
            <w:noProof/>
            <w:webHidden/>
          </w:rPr>
          <w:fldChar w:fldCharType="separate"/>
        </w:r>
        <w:r w:rsidR="00A0046C">
          <w:rPr>
            <w:noProof/>
            <w:webHidden/>
          </w:rPr>
          <w:t>18</w:t>
        </w:r>
        <w:r>
          <w:rPr>
            <w:noProof/>
            <w:webHidden/>
          </w:rPr>
          <w:fldChar w:fldCharType="end"/>
        </w:r>
      </w:hyperlink>
    </w:p>
    <w:p w14:paraId="3B82BFB2" w14:textId="610F673A" w:rsidR="005B7036" w:rsidRDefault="00942090">
      <w:pPr>
        <w:pStyle w:val="Obsah1"/>
        <w:tabs>
          <w:tab w:val="left" w:pos="400"/>
        </w:tabs>
        <w:rPr>
          <w:rFonts w:asciiTheme="minorHAnsi" w:eastAsiaTheme="minorEastAsia" w:hAnsiTheme="minorHAnsi" w:cstheme="minorBidi"/>
          <w:noProof/>
          <w:sz w:val="22"/>
          <w:szCs w:val="22"/>
        </w:rPr>
      </w:pPr>
      <w:hyperlink w:anchor="_Toc121211621" w:history="1">
        <w:r w:rsidR="005B7036" w:rsidRPr="009E017E">
          <w:rPr>
            <w:rStyle w:val="Hypertextovodkaz"/>
            <w:noProof/>
          </w:rPr>
          <w:t>2.</w:t>
        </w:r>
        <w:r w:rsidR="008D70F6">
          <w:rPr>
            <w:rStyle w:val="Hypertextovodkaz"/>
            <w:noProof/>
          </w:rPr>
          <w:t xml:space="preserve"> </w:t>
        </w:r>
        <w:r w:rsidR="005B7036" w:rsidRPr="009E017E">
          <w:rPr>
            <w:rStyle w:val="Hypertextovodkaz"/>
            <w:noProof/>
          </w:rPr>
          <w:t>Senioři a první obvyklé bydliště po narození</w:t>
        </w:r>
        <w:r w:rsidR="005B7036">
          <w:rPr>
            <w:noProof/>
            <w:webHidden/>
          </w:rPr>
          <w:tab/>
        </w:r>
        <w:r w:rsidR="005B7036">
          <w:rPr>
            <w:noProof/>
            <w:webHidden/>
          </w:rPr>
          <w:fldChar w:fldCharType="begin"/>
        </w:r>
        <w:r w:rsidR="005B7036">
          <w:rPr>
            <w:noProof/>
            <w:webHidden/>
          </w:rPr>
          <w:instrText xml:space="preserve"> PAGEREF _Toc121211621 \h </w:instrText>
        </w:r>
        <w:r w:rsidR="005B7036">
          <w:rPr>
            <w:noProof/>
            <w:webHidden/>
          </w:rPr>
        </w:r>
        <w:r w:rsidR="005B7036">
          <w:rPr>
            <w:noProof/>
            <w:webHidden/>
          </w:rPr>
          <w:fldChar w:fldCharType="separate"/>
        </w:r>
        <w:r w:rsidR="00A0046C">
          <w:rPr>
            <w:noProof/>
            <w:webHidden/>
          </w:rPr>
          <w:t>20</w:t>
        </w:r>
        <w:r w:rsidR="005B7036">
          <w:rPr>
            <w:noProof/>
            <w:webHidden/>
          </w:rPr>
          <w:fldChar w:fldCharType="end"/>
        </w:r>
      </w:hyperlink>
    </w:p>
    <w:p w14:paraId="2200D7AC" w14:textId="129BD211" w:rsidR="005B7036" w:rsidRDefault="00942090" w:rsidP="008D70F6">
      <w:pPr>
        <w:pStyle w:val="Obsah3"/>
        <w:rPr>
          <w:rFonts w:asciiTheme="minorHAnsi" w:eastAsiaTheme="minorEastAsia" w:hAnsiTheme="minorHAnsi" w:cstheme="minorBidi"/>
          <w:noProof/>
          <w:sz w:val="22"/>
          <w:szCs w:val="22"/>
        </w:rPr>
      </w:pPr>
      <w:hyperlink w:anchor="_Toc121211622" w:history="1">
        <w:r w:rsidR="005B7036" w:rsidRPr="009E017E">
          <w:rPr>
            <w:rStyle w:val="Hypertextovodkaz"/>
            <w:noProof/>
          </w:rPr>
          <w:t>2.1.</w:t>
        </w:r>
        <w:r w:rsidR="008D70F6">
          <w:rPr>
            <w:rStyle w:val="Hypertextovodkaz"/>
            <w:noProof/>
          </w:rPr>
          <w:t xml:space="preserve"> </w:t>
        </w:r>
        <w:r w:rsidR="005B7036" w:rsidRPr="009E017E">
          <w:rPr>
            <w:rStyle w:val="Hypertextovodkaz"/>
            <w:noProof/>
          </w:rPr>
          <w:t>Senioři podle prvního obvyklého bydliště po narození</w:t>
        </w:r>
        <w:r w:rsidR="005B7036">
          <w:rPr>
            <w:noProof/>
            <w:webHidden/>
          </w:rPr>
          <w:tab/>
        </w:r>
        <w:r w:rsidR="005B7036">
          <w:rPr>
            <w:noProof/>
            <w:webHidden/>
          </w:rPr>
          <w:fldChar w:fldCharType="begin"/>
        </w:r>
        <w:r w:rsidR="005B7036">
          <w:rPr>
            <w:noProof/>
            <w:webHidden/>
          </w:rPr>
          <w:instrText xml:space="preserve"> PAGEREF _Toc121211622 \h </w:instrText>
        </w:r>
        <w:r w:rsidR="005B7036">
          <w:rPr>
            <w:noProof/>
            <w:webHidden/>
          </w:rPr>
        </w:r>
        <w:r w:rsidR="005B7036">
          <w:rPr>
            <w:noProof/>
            <w:webHidden/>
          </w:rPr>
          <w:fldChar w:fldCharType="separate"/>
        </w:r>
        <w:r w:rsidR="00A0046C">
          <w:rPr>
            <w:noProof/>
            <w:webHidden/>
          </w:rPr>
          <w:t>21</w:t>
        </w:r>
        <w:r w:rsidR="005B7036">
          <w:rPr>
            <w:noProof/>
            <w:webHidden/>
          </w:rPr>
          <w:fldChar w:fldCharType="end"/>
        </w:r>
      </w:hyperlink>
    </w:p>
    <w:p w14:paraId="155EAA51" w14:textId="0B1D52CC" w:rsidR="005B7036" w:rsidRDefault="00942090" w:rsidP="008D70F6">
      <w:pPr>
        <w:pStyle w:val="Obsah3"/>
        <w:rPr>
          <w:rFonts w:asciiTheme="minorHAnsi" w:eastAsiaTheme="minorEastAsia" w:hAnsiTheme="minorHAnsi" w:cstheme="minorBidi"/>
          <w:noProof/>
          <w:sz w:val="22"/>
          <w:szCs w:val="22"/>
        </w:rPr>
      </w:pPr>
      <w:hyperlink w:anchor="_Toc121211623" w:history="1">
        <w:r w:rsidR="005B7036" w:rsidRPr="009E017E">
          <w:rPr>
            <w:rStyle w:val="Hypertextovodkaz"/>
            <w:noProof/>
          </w:rPr>
          <w:t>2.2.</w:t>
        </w:r>
        <w:r w:rsidR="008D70F6">
          <w:rPr>
            <w:rStyle w:val="Hypertextovodkaz"/>
            <w:noProof/>
          </w:rPr>
          <w:t xml:space="preserve"> </w:t>
        </w:r>
        <w:r w:rsidR="008F2923">
          <w:rPr>
            <w:rStyle w:val="Hypertextovodkaz"/>
            <w:noProof/>
          </w:rPr>
          <w:t>S</w:t>
        </w:r>
        <w:r w:rsidR="005B7036" w:rsidRPr="009E017E">
          <w:rPr>
            <w:rStyle w:val="Hypertextovodkaz"/>
            <w:noProof/>
          </w:rPr>
          <w:t>rovnání prvního obvyklého bydliště po narození podle věku</w:t>
        </w:r>
        <w:r w:rsidR="005B7036">
          <w:rPr>
            <w:noProof/>
            <w:webHidden/>
          </w:rPr>
          <w:tab/>
        </w:r>
        <w:r w:rsidR="005B7036">
          <w:rPr>
            <w:noProof/>
            <w:webHidden/>
          </w:rPr>
          <w:fldChar w:fldCharType="begin"/>
        </w:r>
        <w:r w:rsidR="005B7036">
          <w:rPr>
            <w:noProof/>
            <w:webHidden/>
          </w:rPr>
          <w:instrText xml:space="preserve"> PAGEREF _Toc121211623 \h </w:instrText>
        </w:r>
        <w:r w:rsidR="005B7036">
          <w:rPr>
            <w:noProof/>
            <w:webHidden/>
          </w:rPr>
        </w:r>
        <w:r w:rsidR="005B7036">
          <w:rPr>
            <w:noProof/>
            <w:webHidden/>
          </w:rPr>
          <w:fldChar w:fldCharType="separate"/>
        </w:r>
        <w:r w:rsidR="00A0046C">
          <w:rPr>
            <w:noProof/>
            <w:webHidden/>
          </w:rPr>
          <w:t>22</w:t>
        </w:r>
        <w:r w:rsidR="005B7036">
          <w:rPr>
            <w:noProof/>
            <w:webHidden/>
          </w:rPr>
          <w:fldChar w:fldCharType="end"/>
        </w:r>
      </w:hyperlink>
    </w:p>
    <w:p w14:paraId="6BB8AE2E" w14:textId="71A35671" w:rsidR="005B7036" w:rsidRDefault="00942090" w:rsidP="008D70F6">
      <w:pPr>
        <w:pStyle w:val="Obsah3"/>
        <w:rPr>
          <w:rFonts w:asciiTheme="minorHAnsi" w:eastAsiaTheme="minorEastAsia" w:hAnsiTheme="minorHAnsi" w:cstheme="minorBidi"/>
          <w:noProof/>
          <w:sz w:val="22"/>
          <w:szCs w:val="22"/>
        </w:rPr>
      </w:pPr>
      <w:hyperlink w:anchor="_Toc121211624" w:history="1">
        <w:r w:rsidR="005B7036" w:rsidRPr="009E017E">
          <w:rPr>
            <w:rStyle w:val="Hypertextovodkaz"/>
            <w:noProof/>
          </w:rPr>
          <w:t>2.3.</w:t>
        </w:r>
        <w:r w:rsidR="008D70F6">
          <w:rPr>
            <w:rStyle w:val="Hypertextovodkaz"/>
            <w:noProof/>
          </w:rPr>
          <w:t xml:space="preserve"> </w:t>
        </w:r>
        <w:r w:rsidR="005B7036" w:rsidRPr="009E017E">
          <w:rPr>
            <w:rStyle w:val="Hypertextovodkaz"/>
            <w:noProof/>
          </w:rPr>
          <w:t>Srovnání prvního obvyklého bydliště</w:t>
        </w:r>
        <w:r w:rsidR="009415A5">
          <w:rPr>
            <w:rStyle w:val="Hypertextovodkaz"/>
            <w:noProof/>
          </w:rPr>
          <w:t xml:space="preserve"> po narození seniorů podle</w:t>
        </w:r>
        <w:r w:rsidR="009415A5">
          <w:rPr>
            <w:rStyle w:val="Hypertextovodkaz"/>
            <w:noProof/>
          </w:rPr>
          <w:br/>
        </w:r>
        <w:r w:rsidR="008D70F6">
          <w:rPr>
            <w:rStyle w:val="Hypertextovodkaz"/>
            <w:noProof/>
          </w:rPr>
          <w:t xml:space="preserve">       </w:t>
        </w:r>
        <w:r w:rsidR="005B7036">
          <w:rPr>
            <w:rStyle w:val="Hypertextovodkaz"/>
            <w:noProof/>
          </w:rPr>
          <w:t>krajů</w:t>
        </w:r>
        <w:r w:rsidR="008F2923">
          <w:rPr>
            <w:rStyle w:val="Hypertextovodkaz"/>
            <w:noProof/>
          </w:rPr>
          <w:tab/>
        </w:r>
        <w:r w:rsidR="005B7036">
          <w:rPr>
            <w:noProof/>
            <w:webHidden/>
          </w:rPr>
          <w:fldChar w:fldCharType="begin"/>
        </w:r>
        <w:r w:rsidR="005B7036">
          <w:rPr>
            <w:noProof/>
            <w:webHidden/>
          </w:rPr>
          <w:instrText xml:space="preserve"> PAGEREF _Toc121211624 \h </w:instrText>
        </w:r>
        <w:r w:rsidR="005B7036">
          <w:rPr>
            <w:noProof/>
            <w:webHidden/>
          </w:rPr>
        </w:r>
        <w:r w:rsidR="005B7036">
          <w:rPr>
            <w:noProof/>
            <w:webHidden/>
          </w:rPr>
          <w:fldChar w:fldCharType="separate"/>
        </w:r>
        <w:r w:rsidR="00A0046C">
          <w:rPr>
            <w:noProof/>
            <w:webHidden/>
          </w:rPr>
          <w:t>23</w:t>
        </w:r>
        <w:r w:rsidR="005B7036">
          <w:rPr>
            <w:noProof/>
            <w:webHidden/>
          </w:rPr>
          <w:fldChar w:fldCharType="end"/>
        </w:r>
      </w:hyperlink>
    </w:p>
    <w:p w14:paraId="26FF02DD" w14:textId="5C5014D9" w:rsidR="005B7036" w:rsidRDefault="00942090" w:rsidP="008D70F6">
      <w:pPr>
        <w:pStyle w:val="Obsah3"/>
        <w:rPr>
          <w:rFonts w:asciiTheme="minorHAnsi" w:eastAsiaTheme="minorEastAsia" w:hAnsiTheme="minorHAnsi" w:cstheme="minorBidi"/>
          <w:noProof/>
          <w:sz w:val="22"/>
          <w:szCs w:val="22"/>
        </w:rPr>
      </w:pPr>
      <w:hyperlink w:anchor="_Toc121211625" w:history="1">
        <w:r w:rsidR="005B7036" w:rsidRPr="009E017E">
          <w:rPr>
            <w:rStyle w:val="Hypertextovodkaz"/>
            <w:noProof/>
          </w:rPr>
          <w:t>2.4.</w:t>
        </w:r>
        <w:r w:rsidR="008D70F6">
          <w:rPr>
            <w:rStyle w:val="Hypertextovodkaz"/>
            <w:noProof/>
          </w:rPr>
          <w:t xml:space="preserve"> </w:t>
        </w:r>
        <w:r w:rsidR="005B7036" w:rsidRPr="009E017E">
          <w:rPr>
            <w:rStyle w:val="Hypertextovodkaz"/>
            <w:noProof/>
          </w:rPr>
          <w:t>Srovnání prvního obvyklého bydliště po narození seniorů podle</w:t>
        </w:r>
        <w:r w:rsidR="009415A5">
          <w:rPr>
            <w:rStyle w:val="Hypertextovodkaz"/>
            <w:noProof/>
          </w:rPr>
          <w:br/>
        </w:r>
        <w:r w:rsidR="008D70F6">
          <w:rPr>
            <w:rStyle w:val="Hypertextovodkaz"/>
            <w:noProof/>
          </w:rPr>
          <w:t xml:space="preserve">       </w:t>
        </w:r>
        <w:r w:rsidR="005B7036" w:rsidRPr="009E017E">
          <w:rPr>
            <w:rStyle w:val="Hypertextovodkaz"/>
            <w:noProof/>
          </w:rPr>
          <w:t>velikostních skupin obcí</w:t>
        </w:r>
        <w:r w:rsidR="005B7036">
          <w:rPr>
            <w:noProof/>
            <w:webHidden/>
          </w:rPr>
          <w:tab/>
        </w:r>
        <w:r w:rsidR="005B7036">
          <w:rPr>
            <w:noProof/>
            <w:webHidden/>
          </w:rPr>
          <w:fldChar w:fldCharType="begin"/>
        </w:r>
        <w:r w:rsidR="005B7036">
          <w:rPr>
            <w:noProof/>
            <w:webHidden/>
          </w:rPr>
          <w:instrText xml:space="preserve"> PAGEREF _Toc121211625 \h </w:instrText>
        </w:r>
        <w:r w:rsidR="005B7036">
          <w:rPr>
            <w:noProof/>
            <w:webHidden/>
          </w:rPr>
        </w:r>
        <w:r w:rsidR="005B7036">
          <w:rPr>
            <w:noProof/>
            <w:webHidden/>
          </w:rPr>
          <w:fldChar w:fldCharType="separate"/>
        </w:r>
        <w:r w:rsidR="00A0046C">
          <w:rPr>
            <w:noProof/>
            <w:webHidden/>
          </w:rPr>
          <w:t>25</w:t>
        </w:r>
        <w:r w:rsidR="005B7036">
          <w:rPr>
            <w:noProof/>
            <w:webHidden/>
          </w:rPr>
          <w:fldChar w:fldCharType="end"/>
        </w:r>
      </w:hyperlink>
    </w:p>
    <w:p w14:paraId="201D9E58" w14:textId="3CEE8A02" w:rsidR="005B7036" w:rsidRDefault="00942090">
      <w:pPr>
        <w:pStyle w:val="Obsah1"/>
        <w:tabs>
          <w:tab w:val="left" w:pos="400"/>
        </w:tabs>
        <w:rPr>
          <w:rFonts w:asciiTheme="minorHAnsi" w:eastAsiaTheme="minorEastAsia" w:hAnsiTheme="minorHAnsi" w:cstheme="minorBidi"/>
          <w:noProof/>
          <w:sz w:val="22"/>
          <w:szCs w:val="22"/>
        </w:rPr>
      </w:pPr>
      <w:hyperlink w:anchor="_Toc121211626" w:history="1">
        <w:r w:rsidR="005B7036" w:rsidRPr="009E017E">
          <w:rPr>
            <w:rStyle w:val="Hypertextovodkaz"/>
            <w:noProof/>
          </w:rPr>
          <w:t>3.</w:t>
        </w:r>
        <w:r w:rsidR="008D70F6">
          <w:rPr>
            <w:rStyle w:val="Hypertextovodkaz"/>
            <w:noProof/>
          </w:rPr>
          <w:t xml:space="preserve"> </w:t>
        </w:r>
        <w:r w:rsidR="005B7036" w:rsidRPr="009E017E">
          <w:rPr>
            <w:rStyle w:val="Hypertextovodkaz"/>
            <w:noProof/>
          </w:rPr>
          <w:t>Příjmy a výdaje domácností seniorů</w:t>
        </w:r>
        <w:r w:rsidR="005B7036">
          <w:rPr>
            <w:noProof/>
            <w:webHidden/>
          </w:rPr>
          <w:tab/>
        </w:r>
        <w:r w:rsidR="005B7036">
          <w:rPr>
            <w:noProof/>
            <w:webHidden/>
          </w:rPr>
          <w:fldChar w:fldCharType="begin"/>
        </w:r>
        <w:r w:rsidR="005B7036">
          <w:rPr>
            <w:noProof/>
            <w:webHidden/>
          </w:rPr>
          <w:instrText xml:space="preserve"> PAGEREF _Toc121211626 \h </w:instrText>
        </w:r>
        <w:r w:rsidR="005B7036">
          <w:rPr>
            <w:noProof/>
            <w:webHidden/>
          </w:rPr>
        </w:r>
        <w:r w:rsidR="005B7036">
          <w:rPr>
            <w:noProof/>
            <w:webHidden/>
          </w:rPr>
          <w:fldChar w:fldCharType="separate"/>
        </w:r>
        <w:r w:rsidR="00A0046C">
          <w:rPr>
            <w:noProof/>
            <w:webHidden/>
          </w:rPr>
          <w:t>27</w:t>
        </w:r>
        <w:r w:rsidR="005B7036">
          <w:rPr>
            <w:noProof/>
            <w:webHidden/>
          </w:rPr>
          <w:fldChar w:fldCharType="end"/>
        </w:r>
      </w:hyperlink>
    </w:p>
    <w:p w14:paraId="2B506971" w14:textId="4CFE85BC" w:rsidR="005B7036" w:rsidRDefault="00942090">
      <w:pPr>
        <w:pStyle w:val="Obsah2"/>
        <w:tabs>
          <w:tab w:val="left" w:pos="800"/>
        </w:tabs>
        <w:rPr>
          <w:rFonts w:asciiTheme="minorHAnsi" w:eastAsiaTheme="minorEastAsia" w:hAnsiTheme="minorHAnsi" w:cstheme="minorBidi"/>
          <w:noProof/>
          <w:sz w:val="22"/>
          <w:szCs w:val="22"/>
        </w:rPr>
      </w:pPr>
      <w:hyperlink w:anchor="_Toc121211627" w:history="1">
        <w:r w:rsidR="005B7036" w:rsidRPr="009E017E">
          <w:rPr>
            <w:rStyle w:val="Hypertextovodkaz"/>
            <w:noProof/>
          </w:rPr>
          <w:t>3.1.</w:t>
        </w:r>
        <w:r w:rsidR="008D70F6">
          <w:rPr>
            <w:rFonts w:asciiTheme="minorHAnsi" w:eastAsiaTheme="minorEastAsia" w:hAnsiTheme="minorHAnsi" w:cstheme="minorBidi"/>
            <w:noProof/>
            <w:sz w:val="22"/>
            <w:szCs w:val="22"/>
          </w:rPr>
          <w:t xml:space="preserve"> </w:t>
        </w:r>
        <w:r w:rsidR="005B7036" w:rsidRPr="009E017E">
          <w:rPr>
            <w:rStyle w:val="Hypertextovodkaz"/>
            <w:noProof/>
          </w:rPr>
          <w:t>Velikost a složení domácností seniorů</w:t>
        </w:r>
        <w:r w:rsidR="005B7036">
          <w:rPr>
            <w:noProof/>
            <w:webHidden/>
          </w:rPr>
          <w:tab/>
        </w:r>
        <w:r w:rsidR="005B7036">
          <w:rPr>
            <w:noProof/>
            <w:webHidden/>
          </w:rPr>
          <w:fldChar w:fldCharType="begin"/>
        </w:r>
        <w:r w:rsidR="005B7036">
          <w:rPr>
            <w:noProof/>
            <w:webHidden/>
          </w:rPr>
          <w:instrText xml:space="preserve"> PAGEREF _Toc121211627 \h </w:instrText>
        </w:r>
        <w:r w:rsidR="005B7036">
          <w:rPr>
            <w:noProof/>
            <w:webHidden/>
          </w:rPr>
        </w:r>
        <w:r w:rsidR="005B7036">
          <w:rPr>
            <w:noProof/>
            <w:webHidden/>
          </w:rPr>
          <w:fldChar w:fldCharType="separate"/>
        </w:r>
        <w:r w:rsidR="00A0046C">
          <w:rPr>
            <w:noProof/>
            <w:webHidden/>
          </w:rPr>
          <w:t>27</w:t>
        </w:r>
        <w:r w:rsidR="005B7036">
          <w:rPr>
            <w:noProof/>
            <w:webHidden/>
          </w:rPr>
          <w:fldChar w:fldCharType="end"/>
        </w:r>
      </w:hyperlink>
    </w:p>
    <w:p w14:paraId="46E9D4DD" w14:textId="26075559" w:rsidR="005B7036" w:rsidRDefault="00942090">
      <w:pPr>
        <w:pStyle w:val="Obsah2"/>
        <w:tabs>
          <w:tab w:val="left" w:pos="800"/>
        </w:tabs>
        <w:rPr>
          <w:rFonts w:asciiTheme="minorHAnsi" w:eastAsiaTheme="minorEastAsia" w:hAnsiTheme="minorHAnsi" w:cstheme="minorBidi"/>
          <w:noProof/>
          <w:sz w:val="22"/>
          <w:szCs w:val="22"/>
        </w:rPr>
      </w:pPr>
      <w:hyperlink w:anchor="_Toc121211628" w:history="1">
        <w:r w:rsidR="005B7036" w:rsidRPr="009E017E">
          <w:rPr>
            <w:rStyle w:val="Hypertextovodkaz"/>
            <w:noProof/>
          </w:rPr>
          <w:t>3.2.</w:t>
        </w:r>
        <w:r w:rsidR="008D70F6">
          <w:rPr>
            <w:rStyle w:val="Hypertextovodkaz"/>
            <w:noProof/>
          </w:rPr>
          <w:t xml:space="preserve"> </w:t>
        </w:r>
        <w:r w:rsidR="005B7036" w:rsidRPr="009E017E">
          <w:rPr>
            <w:rStyle w:val="Hypertextovodkaz"/>
            <w:noProof/>
          </w:rPr>
          <w:t>Čistý peněžní příjem</w:t>
        </w:r>
        <w:r w:rsidR="005B7036">
          <w:rPr>
            <w:noProof/>
            <w:webHidden/>
          </w:rPr>
          <w:tab/>
        </w:r>
        <w:r w:rsidR="005B7036">
          <w:rPr>
            <w:noProof/>
            <w:webHidden/>
          </w:rPr>
          <w:fldChar w:fldCharType="begin"/>
        </w:r>
        <w:r w:rsidR="005B7036">
          <w:rPr>
            <w:noProof/>
            <w:webHidden/>
          </w:rPr>
          <w:instrText xml:space="preserve"> PAGEREF _Toc121211628 \h </w:instrText>
        </w:r>
        <w:r w:rsidR="005B7036">
          <w:rPr>
            <w:noProof/>
            <w:webHidden/>
          </w:rPr>
        </w:r>
        <w:r w:rsidR="005B7036">
          <w:rPr>
            <w:noProof/>
            <w:webHidden/>
          </w:rPr>
          <w:fldChar w:fldCharType="separate"/>
        </w:r>
        <w:r w:rsidR="00A0046C">
          <w:rPr>
            <w:noProof/>
            <w:webHidden/>
          </w:rPr>
          <w:t>29</w:t>
        </w:r>
        <w:r w:rsidR="005B7036">
          <w:rPr>
            <w:noProof/>
            <w:webHidden/>
          </w:rPr>
          <w:fldChar w:fldCharType="end"/>
        </w:r>
      </w:hyperlink>
    </w:p>
    <w:p w14:paraId="139800B3" w14:textId="02F827AD" w:rsidR="005B7036" w:rsidRDefault="00942090">
      <w:pPr>
        <w:pStyle w:val="Obsah2"/>
        <w:tabs>
          <w:tab w:val="left" w:pos="800"/>
        </w:tabs>
        <w:rPr>
          <w:rFonts w:asciiTheme="minorHAnsi" w:eastAsiaTheme="minorEastAsia" w:hAnsiTheme="minorHAnsi" w:cstheme="minorBidi"/>
          <w:noProof/>
          <w:sz w:val="22"/>
          <w:szCs w:val="22"/>
        </w:rPr>
      </w:pPr>
      <w:hyperlink w:anchor="_Toc121211629" w:history="1">
        <w:r w:rsidR="005B7036" w:rsidRPr="009E017E">
          <w:rPr>
            <w:rStyle w:val="Hypertextovodkaz"/>
            <w:noProof/>
          </w:rPr>
          <w:t>3.3.</w:t>
        </w:r>
        <w:r w:rsidR="008D70F6">
          <w:rPr>
            <w:rStyle w:val="Hypertextovodkaz"/>
            <w:noProof/>
          </w:rPr>
          <w:t xml:space="preserve"> </w:t>
        </w:r>
        <w:r w:rsidR="005B7036" w:rsidRPr="009E017E">
          <w:rPr>
            <w:rStyle w:val="Hypertextovodkaz"/>
            <w:noProof/>
          </w:rPr>
          <w:t>Vycházení s příjmem</w:t>
        </w:r>
        <w:r w:rsidR="005B7036">
          <w:rPr>
            <w:noProof/>
            <w:webHidden/>
          </w:rPr>
          <w:tab/>
        </w:r>
        <w:r w:rsidR="005B7036">
          <w:rPr>
            <w:noProof/>
            <w:webHidden/>
          </w:rPr>
          <w:fldChar w:fldCharType="begin"/>
        </w:r>
        <w:r w:rsidR="005B7036">
          <w:rPr>
            <w:noProof/>
            <w:webHidden/>
          </w:rPr>
          <w:instrText xml:space="preserve"> PAGEREF _Toc121211629 \h </w:instrText>
        </w:r>
        <w:r w:rsidR="005B7036">
          <w:rPr>
            <w:noProof/>
            <w:webHidden/>
          </w:rPr>
        </w:r>
        <w:r w:rsidR="005B7036">
          <w:rPr>
            <w:noProof/>
            <w:webHidden/>
          </w:rPr>
          <w:fldChar w:fldCharType="separate"/>
        </w:r>
        <w:r w:rsidR="00A0046C">
          <w:rPr>
            <w:noProof/>
            <w:webHidden/>
          </w:rPr>
          <w:t>30</w:t>
        </w:r>
        <w:r w:rsidR="005B7036">
          <w:rPr>
            <w:noProof/>
            <w:webHidden/>
          </w:rPr>
          <w:fldChar w:fldCharType="end"/>
        </w:r>
      </w:hyperlink>
    </w:p>
    <w:p w14:paraId="495F8168" w14:textId="54CB4B9C" w:rsidR="005B7036" w:rsidRDefault="00942090">
      <w:pPr>
        <w:pStyle w:val="Obsah2"/>
        <w:tabs>
          <w:tab w:val="left" w:pos="800"/>
        </w:tabs>
        <w:rPr>
          <w:rFonts w:asciiTheme="minorHAnsi" w:eastAsiaTheme="minorEastAsia" w:hAnsiTheme="minorHAnsi" w:cstheme="minorBidi"/>
          <w:noProof/>
          <w:sz w:val="22"/>
          <w:szCs w:val="22"/>
        </w:rPr>
      </w:pPr>
      <w:hyperlink w:anchor="_Toc121211630" w:history="1">
        <w:r w:rsidR="005B7036" w:rsidRPr="009E017E">
          <w:rPr>
            <w:rStyle w:val="Hypertextovodkaz"/>
            <w:noProof/>
          </w:rPr>
          <w:t>3.4.</w:t>
        </w:r>
        <w:r w:rsidR="008D70F6">
          <w:rPr>
            <w:rFonts w:asciiTheme="minorHAnsi" w:eastAsiaTheme="minorEastAsia" w:hAnsiTheme="minorHAnsi" w:cstheme="minorBidi"/>
            <w:noProof/>
            <w:sz w:val="22"/>
            <w:szCs w:val="22"/>
          </w:rPr>
          <w:t xml:space="preserve"> </w:t>
        </w:r>
        <w:r w:rsidR="005B7036" w:rsidRPr="009E017E">
          <w:rPr>
            <w:rStyle w:val="Hypertextovodkaz"/>
            <w:noProof/>
          </w:rPr>
          <w:t>Příjmová chudoba</w:t>
        </w:r>
        <w:r w:rsidR="005B7036">
          <w:rPr>
            <w:noProof/>
            <w:webHidden/>
          </w:rPr>
          <w:tab/>
        </w:r>
        <w:r w:rsidR="005B7036">
          <w:rPr>
            <w:noProof/>
            <w:webHidden/>
          </w:rPr>
          <w:fldChar w:fldCharType="begin"/>
        </w:r>
        <w:r w:rsidR="005B7036">
          <w:rPr>
            <w:noProof/>
            <w:webHidden/>
          </w:rPr>
          <w:instrText xml:space="preserve"> PAGEREF _Toc121211630 \h </w:instrText>
        </w:r>
        <w:r w:rsidR="005B7036">
          <w:rPr>
            <w:noProof/>
            <w:webHidden/>
          </w:rPr>
        </w:r>
        <w:r w:rsidR="005B7036">
          <w:rPr>
            <w:noProof/>
            <w:webHidden/>
          </w:rPr>
          <w:fldChar w:fldCharType="separate"/>
        </w:r>
        <w:r w:rsidR="00A0046C">
          <w:rPr>
            <w:noProof/>
            <w:webHidden/>
          </w:rPr>
          <w:t>31</w:t>
        </w:r>
        <w:r w:rsidR="005B7036">
          <w:rPr>
            <w:noProof/>
            <w:webHidden/>
          </w:rPr>
          <w:fldChar w:fldCharType="end"/>
        </w:r>
      </w:hyperlink>
    </w:p>
    <w:p w14:paraId="6FF45D54" w14:textId="76D1B2FA" w:rsidR="005B7036" w:rsidRDefault="00942090">
      <w:pPr>
        <w:pStyle w:val="Obsah2"/>
        <w:tabs>
          <w:tab w:val="left" w:pos="800"/>
        </w:tabs>
        <w:rPr>
          <w:rFonts w:asciiTheme="minorHAnsi" w:eastAsiaTheme="minorEastAsia" w:hAnsiTheme="minorHAnsi" w:cstheme="minorBidi"/>
          <w:noProof/>
          <w:sz w:val="22"/>
          <w:szCs w:val="22"/>
        </w:rPr>
      </w:pPr>
      <w:hyperlink w:anchor="_Toc121211631" w:history="1">
        <w:r w:rsidR="005B7036" w:rsidRPr="009E017E">
          <w:rPr>
            <w:rStyle w:val="Hypertextovodkaz"/>
            <w:noProof/>
          </w:rPr>
          <w:t>3.5.</w:t>
        </w:r>
        <w:r w:rsidR="008D70F6">
          <w:rPr>
            <w:rStyle w:val="Hypertextovodkaz"/>
            <w:noProof/>
          </w:rPr>
          <w:t xml:space="preserve"> </w:t>
        </w:r>
        <w:r w:rsidR="005B7036" w:rsidRPr="009E017E">
          <w:rPr>
            <w:rStyle w:val="Hypertextovodkaz"/>
            <w:noProof/>
          </w:rPr>
          <w:t>Materiální a sociální deprivace</w:t>
        </w:r>
        <w:r w:rsidR="005B7036">
          <w:rPr>
            <w:noProof/>
            <w:webHidden/>
          </w:rPr>
          <w:tab/>
        </w:r>
        <w:r w:rsidR="005B7036">
          <w:rPr>
            <w:noProof/>
            <w:webHidden/>
          </w:rPr>
          <w:fldChar w:fldCharType="begin"/>
        </w:r>
        <w:r w:rsidR="005B7036">
          <w:rPr>
            <w:noProof/>
            <w:webHidden/>
          </w:rPr>
          <w:instrText xml:space="preserve"> PAGEREF _Toc121211631 \h </w:instrText>
        </w:r>
        <w:r w:rsidR="005B7036">
          <w:rPr>
            <w:noProof/>
            <w:webHidden/>
          </w:rPr>
        </w:r>
        <w:r w:rsidR="005B7036">
          <w:rPr>
            <w:noProof/>
            <w:webHidden/>
          </w:rPr>
          <w:fldChar w:fldCharType="separate"/>
        </w:r>
        <w:r w:rsidR="00A0046C">
          <w:rPr>
            <w:noProof/>
            <w:webHidden/>
          </w:rPr>
          <w:t>32</w:t>
        </w:r>
        <w:r w:rsidR="005B7036">
          <w:rPr>
            <w:noProof/>
            <w:webHidden/>
          </w:rPr>
          <w:fldChar w:fldCharType="end"/>
        </w:r>
      </w:hyperlink>
    </w:p>
    <w:p w14:paraId="0CAD4499" w14:textId="634C92A7" w:rsidR="005B7036" w:rsidRDefault="00942090">
      <w:pPr>
        <w:pStyle w:val="Obsah2"/>
        <w:tabs>
          <w:tab w:val="left" w:pos="800"/>
        </w:tabs>
        <w:rPr>
          <w:rFonts w:asciiTheme="minorHAnsi" w:eastAsiaTheme="minorEastAsia" w:hAnsiTheme="minorHAnsi" w:cstheme="minorBidi"/>
          <w:noProof/>
          <w:sz w:val="22"/>
          <w:szCs w:val="22"/>
        </w:rPr>
      </w:pPr>
      <w:hyperlink w:anchor="_Toc121211632" w:history="1">
        <w:r w:rsidR="005B7036" w:rsidRPr="009E017E">
          <w:rPr>
            <w:rStyle w:val="Hypertextovodkaz"/>
            <w:noProof/>
          </w:rPr>
          <w:t>3.6.</w:t>
        </w:r>
        <w:r w:rsidR="008D70F6">
          <w:rPr>
            <w:rStyle w:val="Hypertextovodkaz"/>
            <w:noProof/>
          </w:rPr>
          <w:t xml:space="preserve"> </w:t>
        </w:r>
        <w:r w:rsidR="005B7036" w:rsidRPr="009E017E">
          <w:rPr>
            <w:rStyle w:val="Hypertextovodkaz"/>
            <w:noProof/>
          </w:rPr>
          <w:t>Výdaje</w:t>
        </w:r>
        <w:r w:rsidR="005B7036">
          <w:rPr>
            <w:noProof/>
            <w:webHidden/>
          </w:rPr>
          <w:tab/>
        </w:r>
        <w:r w:rsidR="005B7036">
          <w:rPr>
            <w:noProof/>
            <w:webHidden/>
          </w:rPr>
          <w:fldChar w:fldCharType="begin"/>
        </w:r>
        <w:r w:rsidR="005B7036">
          <w:rPr>
            <w:noProof/>
            <w:webHidden/>
          </w:rPr>
          <w:instrText xml:space="preserve"> PAGEREF _Toc121211632 \h </w:instrText>
        </w:r>
        <w:r w:rsidR="005B7036">
          <w:rPr>
            <w:noProof/>
            <w:webHidden/>
          </w:rPr>
        </w:r>
        <w:r w:rsidR="005B7036">
          <w:rPr>
            <w:noProof/>
            <w:webHidden/>
          </w:rPr>
          <w:fldChar w:fldCharType="separate"/>
        </w:r>
        <w:r w:rsidR="00A0046C">
          <w:rPr>
            <w:noProof/>
            <w:webHidden/>
          </w:rPr>
          <w:t>33</w:t>
        </w:r>
        <w:r w:rsidR="005B7036">
          <w:rPr>
            <w:noProof/>
            <w:webHidden/>
          </w:rPr>
          <w:fldChar w:fldCharType="end"/>
        </w:r>
      </w:hyperlink>
    </w:p>
    <w:p w14:paraId="6E2D5667" w14:textId="04F9E42B" w:rsidR="005B7036" w:rsidRDefault="00942090">
      <w:pPr>
        <w:pStyle w:val="Obsah1"/>
        <w:tabs>
          <w:tab w:val="left" w:pos="400"/>
        </w:tabs>
        <w:rPr>
          <w:rFonts w:asciiTheme="minorHAnsi" w:eastAsiaTheme="minorEastAsia" w:hAnsiTheme="minorHAnsi" w:cstheme="minorBidi"/>
          <w:noProof/>
          <w:sz w:val="22"/>
          <w:szCs w:val="22"/>
        </w:rPr>
      </w:pPr>
      <w:hyperlink w:anchor="_Toc121211633" w:history="1">
        <w:r w:rsidR="005B7036" w:rsidRPr="009E017E">
          <w:rPr>
            <w:rStyle w:val="Hypertextovodkaz"/>
            <w:noProof/>
          </w:rPr>
          <w:t>4.</w:t>
        </w:r>
        <w:r w:rsidR="008D70F6">
          <w:rPr>
            <w:rStyle w:val="Hypertextovodkaz"/>
            <w:noProof/>
          </w:rPr>
          <w:t xml:space="preserve"> </w:t>
        </w:r>
        <w:r w:rsidR="005B7036" w:rsidRPr="009E017E">
          <w:rPr>
            <w:rStyle w:val="Hypertextovodkaz"/>
            <w:noProof/>
          </w:rPr>
          <w:t>Výdaje zdravotních pojišťoven na léčbu seniorů</w:t>
        </w:r>
        <w:r w:rsidR="005B7036">
          <w:rPr>
            <w:noProof/>
            <w:webHidden/>
          </w:rPr>
          <w:tab/>
        </w:r>
        <w:r w:rsidR="005B7036">
          <w:rPr>
            <w:noProof/>
            <w:webHidden/>
          </w:rPr>
          <w:fldChar w:fldCharType="begin"/>
        </w:r>
        <w:r w:rsidR="005B7036">
          <w:rPr>
            <w:noProof/>
            <w:webHidden/>
          </w:rPr>
          <w:instrText xml:space="preserve"> PAGEREF _Toc121211633 \h </w:instrText>
        </w:r>
        <w:r w:rsidR="005B7036">
          <w:rPr>
            <w:noProof/>
            <w:webHidden/>
          </w:rPr>
        </w:r>
        <w:r w:rsidR="005B7036">
          <w:rPr>
            <w:noProof/>
            <w:webHidden/>
          </w:rPr>
          <w:fldChar w:fldCharType="separate"/>
        </w:r>
        <w:r w:rsidR="00A0046C">
          <w:rPr>
            <w:noProof/>
            <w:webHidden/>
          </w:rPr>
          <w:t>34</w:t>
        </w:r>
        <w:r w:rsidR="005B7036">
          <w:rPr>
            <w:noProof/>
            <w:webHidden/>
          </w:rPr>
          <w:fldChar w:fldCharType="end"/>
        </w:r>
      </w:hyperlink>
    </w:p>
    <w:p w14:paraId="5C58AFCB" w14:textId="4A7560F8" w:rsidR="005B7036" w:rsidRDefault="00942090">
      <w:pPr>
        <w:pStyle w:val="Obsah1"/>
        <w:tabs>
          <w:tab w:val="left" w:pos="400"/>
        </w:tabs>
        <w:rPr>
          <w:rFonts w:asciiTheme="minorHAnsi" w:eastAsiaTheme="minorEastAsia" w:hAnsiTheme="minorHAnsi" w:cstheme="minorBidi"/>
          <w:noProof/>
          <w:sz w:val="22"/>
          <w:szCs w:val="22"/>
        </w:rPr>
      </w:pPr>
      <w:hyperlink w:anchor="_Toc121211634" w:history="1">
        <w:r w:rsidR="005B7036" w:rsidRPr="009E017E">
          <w:rPr>
            <w:rStyle w:val="Hypertextovodkaz"/>
            <w:noProof/>
          </w:rPr>
          <w:t>5.</w:t>
        </w:r>
        <w:r w:rsidR="008D70F6">
          <w:rPr>
            <w:rFonts w:asciiTheme="minorHAnsi" w:eastAsiaTheme="minorEastAsia" w:hAnsiTheme="minorHAnsi" w:cstheme="minorBidi"/>
            <w:noProof/>
            <w:sz w:val="22"/>
            <w:szCs w:val="22"/>
          </w:rPr>
          <w:t xml:space="preserve"> </w:t>
        </w:r>
        <w:r w:rsidR="005B7036" w:rsidRPr="009E017E">
          <w:rPr>
            <w:rStyle w:val="Hypertextovodkaz"/>
            <w:noProof/>
          </w:rPr>
          <w:t>Senioři na trhu práce</w:t>
        </w:r>
        <w:r w:rsidR="005B7036">
          <w:rPr>
            <w:noProof/>
            <w:webHidden/>
          </w:rPr>
          <w:tab/>
        </w:r>
        <w:r w:rsidR="005B7036">
          <w:rPr>
            <w:noProof/>
            <w:webHidden/>
          </w:rPr>
          <w:fldChar w:fldCharType="begin"/>
        </w:r>
        <w:r w:rsidR="005B7036">
          <w:rPr>
            <w:noProof/>
            <w:webHidden/>
          </w:rPr>
          <w:instrText xml:space="preserve"> PAGEREF _Toc121211634 \h </w:instrText>
        </w:r>
        <w:r w:rsidR="005B7036">
          <w:rPr>
            <w:noProof/>
            <w:webHidden/>
          </w:rPr>
        </w:r>
        <w:r w:rsidR="005B7036">
          <w:rPr>
            <w:noProof/>
            <w:webHidden/>
          </w:rPr>
          <w:fldChar w:fldCharType="separate"/>
        </w:r>
        <w:r w:rsidR="00A0046C">
          <w:rPr>
            <w:noProof/>
            <w:webHidden/>
          </w:rPr>
          <w:t>41</w:t>
        </w:r>
        <w:r w:rsidR="005B7036">
          <w:rPr>
            <w:noProof/>
            <w:webHidden/>
          </w:rPr>
          <w:fldChar w:fldCharType="end"/>
        </w:r>
      </w:hyperlink>
    </w:p>
    <w:p w14:paraId="515CDAAF" w14:textId="26EA4F98" w:rsidR="005B7036" w:rsidRDefault="00942090">
      <w:pPr>
        <w:pStyle w:val="Obsah2"/>
        <w:tabs>
          <w:tab w:val="left" w:pos="800"/>
        </w:tabs>
        <w:rPr>
          <w:rFonts w:asciiTheme="minorHAnsi" w:eastAsiaTheme="minorEastAsia" w:hAnsiTheme="minorHAnsi" w:cstheme="minorBidi"/>
          <w:noProof/>
          <w:sz w:val="22"/>
          <w:szCs w:val="22"/>
        </w:rPr>
      </w:pPr>
      <w:hyperlink w:anchor="_Toc121211635" w:history="1">
        <w:r w:rsidR="005B7036" w:rsidRPr="009E017E">
          <w:rPr>
            <w:rStyle w:val="Hypertextovodkaz"/>
            <w:noProof/>
          </w:rPr>
          <w:t>5.1.</w:t>
        </w:r>
        <w:r w:rsidR="008D70F6">
          <w:rPr>
            <w:rStyle w:val="Hypertextovodkaz"/>
            <w:noProof/>
          </w:rPr>
          <w:t xml:space="preserve"> </w:t>
        </w:r>
        <w:r w:rsidR="005B7036" w:rsidRPr="009E017E">
          <w:rPr>
            <w:rStyle w:val="Hypertextovodkaz"/>
            <w:noProof/>
          </w:rPr>
          <w:t>Vývoj ekonomické aktivity a neaktivity</w:t>
        </w:r>
        <w:r w:rsidR="005B7036">
          <w:rPr>
            <w:noProof/>
            <w:webHidden/>
          </w:rPr>
          <w:tab/>
        </w:r>
        <w:r w:rsidR="005B7036">
          <w:rPr>
            <w:noProof/>
            <w:webHidden/>
          </w:rPr>
          <w:fldChar w:fldCharType="begin"/>
        </w:r>
        <w:r w:rsidR="005B7036">
          <w:rPr>
            <w:noProof/>
            <w:webHidden/>
          </w:rPr>
          <w:instrText xml:space="preserve"> PAGEREF _Toc121211635 \h </w:instrText>
        </w:r>
        <w:r w:rsidR="005B7036">
          <w:rPr>
            <w:noProof/>
            <w:webHidden/>
          </w:rPr>
        </w:r>
        <w:r w:rsidR="005B7036">
          <w:rPr>
            <w:noProof/>
            <w:webHidden/>
          </w:rPr>
          <w:fldChar w:fldCharType="separate"/>
        </w:r>
        <w:r w:rsidR="00A0046C">
          <w:rPr>
            <w:noProof/>
            <w:webHidden/>
          </w:rPr>
          <w:t>41</w:t>
        </w:r>
        <w:r w:rsidR="005B7036">
          <w:rPr>
            <w:noProof/>
            <w:webHidden/>
          </w:rPr>
          <w:fldChar w:fldCharType="end"/>
        </w:r>
      </w:hyperlink>
    </w:p>
    <w:p w14:paraId="723E408A" w14:textId="3C31951F" w:rsidR="005B7036" w:rsidRDefault="00942090">
      <w:pPr>
        <w:pStyle w:val="Obsah2"/>
        <w:tabs>
          <w:tab w:val="left" w:pos="800"/>
        </w:tabs>
        <w:rPr>
          <w:rFonts w:asciiTheme="minorHAnsi" w:eastAsiaTheme="minorEastAsia" w:hAnsiTheme="minorHAnsi" w:cstheme="minorBidi"/>
          <w:noProof/>
          <w:sz w:val="22"/>
          <w:szCs w:val="22"/>
        </w:rPr>
      </w:pPr>
      <w:hyperlink w:anchor="_Toc121211636" w:history="1">
        <w:r w:rsidR="005B7036" w:rsidRPr="009E017E">
          <w:rPr>
            <w:rStyle w:val="Hypertextovodkaz"/>
            <w:noProof/>
          </w:rPr>
          <w:t>5.2.</w:t>
        </w:r>
        <w:r w:rsidR="008D70F6">
          <w:rPr>
            <w:rStyle w:val="Hypertextovodkaz"/>
            <w:noProof/>
          </w:rPr>
          <w:t xml:space="preserve"> </w:t>
        </w:r>
        <w:r w:rsidR="005B7036" w:rsidRPr="009E017E">
          <w:rPr>
            <w:rStyle w:val="Hypertextovodkaz"/>
            <w:noProof/>
          </w:rPr>
          <w:t>Pracující senioři</w:t>
        </w:r>
        <w:r w:rsidR="005B7036">
          <w:rPr>
            <w:noProof/>
            <w:webHidden/>
          </w:rPr>
          <w:tab/>
        </w:r>
        <w:r w:rsidR="005B7036">
          <w:rPr>
            <w:noProof/>
            <w:webHidden/>
          </w:rPr>
          <w:fldChar w:fldCharType="begin"/>
        </w:r>
        <w:r w:rsidR="005B7036">
          <w:rPr>
            <w:noProof/>
            <w:webHidden/>
          </w:rPr>
          <w:instrText xml:space="preserve"> PAGEREF _Toc121211636 \h </w:instrText>
        </w:r>
        <w:r w:rsidR="005B7036">
          <w:rPr>
            <w:noProof/>
            <w:webHidden/>
          </w:rPr>
        </w:r>
        <w:r w:rsidR="005B7036">
          <w:rPr>
            <w:noProof/>
            <w:webHidden/>
          </w:rPr>
          <w:fldChar w:fldCharType="separate"/>
        </w:r>
        <w:r w:rsidR="00A0046C">
          <w:rPr>
            <w:noProof/>
            <w:webHidden/>
          </w:rPr>
          <w:t>43</w:t>
        </w:r>
        <w:r w:rsidR="005B7036">
          <w:rPr>
            <w:noProof/>
            <w:webHidden/>
          </w:rPr>
          <w:fldChar w:fldCharType="end"/>
        </w:r>
      </w:hyperlink>
    </w:p>
    <w:p w14:paraId="593EED96" w14:textId="122397E5" w:rsidR="005B7036" w:rsidRDefault="00942090">
      <w:pPr>
        <w:pStyle w:val="Obsah2"/>
        <w:tabs>
          <w:tab w:val="left" w:pos="800"/>
        </w:tabs>
        <w:rPr>
          <w:rFonts w:asciiTheme="minorHAnsi" w:eastAsiaTheme="minorEastAsia" w:hAnsiTheme="minorHAnsi" w:cstheme="minorBidi"/>
          <w:noProof/>
          <w:sz w:val="22"/>
          <w:szCs w:val="22"/>
        </w:rPr>
      </w:pPr>
      <w:hyperlink w:anchor="_Toc121211637" w:history="1">
        <w:r w:rsidR="005B7036" w:rsidRPr="009E017E">
          <w:rPr>
            <w:rStyle w:val="Hypertextovodkaz"/>
            <w:noProof/>
          </w:rPr>
          <w:t>5.3.</w:t>
        </w:r>
        <w:r w:rsidR="008D70F6">
          <w:rPr>
            <w:rFonts w:asciiTheme="minorHAnsi" w:eastAsiaTheme="minorEastAsia" w:hAnsiTheme="minorHAnsi" w:cstheme="minorBidi"/>
            <w:noProof/>
            <w:sz w:val="22"/>
            <w:szCs w:val="22"/>
          </w:rPr>
          <w:t xml:space="preserve"> </w:t>
        </w:r>
        <w:r w:rsidR="005B7036" w:rsidRPr="009E017E">
          <w:rPr>
            <w:rStyle w:val="Hypertextovodkaz"/>
            <w:noProof/>
          </w:rPr>
          <w:t>Pracující senioři podle odvětví</w:t>
        </w:r>
        <w:r w:rsidR="005B7036">
          <w:rPr>
            <w:noProof/>
            <w:webHidden/>
          </w:rPr>
          <w:tab/>
        </w:r>
        <w:r w:rsidR="005B7036">
          <w:rPr>
            <w:noProof/>
            <w:webHidden/>
          </w:rPr>
          <w:fldChar w:fldCharType="begin"/>
        </w:r>
        <w:r w:rsidR="005B7036">
          <w:rPr>
            <w:noProof/>
            <w:webHidden/>
          </w:rPr>
          <w:instrText xml:space="preserve"> PAGEREF _Toc121211637 \h </w:instrText>
        </w:r>
        <w:r w:rsidR="005B7036">
          <w:rPr>
            <w:noProof/>
            <w:webHidden/>
          </w:rPr>
        </w:r>
        <w:r w:rsidR="005B7036">
          <w:rPr>
            <w:noProof/>
            <w:webHidden/>
          </w:rPr>
          <w:fldChar w:fldCharType="separate"/>
        </w:r>
        <w:r w:rsidR="00A0046C">
          <w:rPr>
            <w:noProof/>
            <w:webHidden/>
          </w:rPr>
          <w:t>44</w:t>
        </w:r>
        <w:r w:rsidR="005B7036">
          <w:rPr>
            <w:noProof/>
            <w:webHidden/>
          </w:rPr>
          <w:fldChar w:fldCharType="end"/>
        </w:r>
      </w:hyperlink>
    </w:p>
    <w:p w14:paraId="5E2D6C48" w14:textId="26E2CAE5" w:rsidR="005B7036" w:rsidRDefault="00942090">
      <w:pPr>
        <w:pStyle w:val="Obsah2"/>
        <w:tabs>
          <w:tab w:val="left" w:pos="800"/>
        </w:tabs>
        <w:rPr>
          <w:rFonts w:asciiTheme="minorHAnsi" w:eastAsiaTheme="minorEastAsia" w:hAnsiTheme="minorHAnsi" w:cstheme="minorBidi"/>
          <w:noProof/>
          <w:sz w:val="22"/>
          <w:szCs w:val="22"/>
        </w:rPr>
      </w:pPr>
      <w:hyperlink w:anchor="_Toc121211638" w:history="1">
        <w:r w:rsidR="005B7036" w:rsidRPr="009E017E">
          <w:rPr>
            <w:rStyle w:val="Hypertextovodkaz"/>
            <w:noProof/>
          </w:rPr>
          <w:t>5.4.</w:t>
        </w:r>
        <w:r w:rsidR="008D70F6">
          <w:rPr>
            <w:rStyle w:val="Hypertextovodkaz"/>
            <w:noProof/>
          </w:rPr>
          <w:t xml:space="preserve"> </w:t>
        </w:r>
        <w:r w:rsidR="005B7036" w:rsidRPr="009E017E">
          <w:rPr>
            <w:rStyle w:val="Hypertextovodkaz"/>
            <w:noProof/>
          </w:rPr>
          <w:t>Nezaměstnaní senioři</w:t>
        </w:r>
        <w:r w:rsidR="005B7036">
          <w:rPr>
            <w:noProof/>
            <w:webHidden/>
          </w:rPr>
          <w:tab/>
        </w:r>
        <w:r w:rsidR="005B7036">
          <w:rPr>
            <w:noProof/>
            <w:webHidden/>
          </w:rPr>
          <w:fldChar w:fldCharType="begin"/>
        </w:r>
        <w:r w:rsidR="005B7036">
          <w:rPr>
            <w:noProof/>
            <w:webHidden/>
          </w:rPr>
          <w:instrText xml:space="preserve"> PAGEREF _Toc121211638 \h </w:instrText>
        </w:r>
        <w:r w:rsidR="005B7036">
          <w:rPr>
            <w:noProof/>
            <w:webHidden/>
          </w:rPr>
        </w:r>
        <w:r w:rsidR="005B7036">
          <w:rPr>
            <w:noProof/>
            <w:webHidden/>
          </w:rPr>
          <w:fldChar w:fldCharType="separate"/>
        </w:r>
        <w:r w:rsidR="00A0046C">
          <w:rPr>
            <w:noProof/>
            <w:webHidden/>
          </w:rPr>
          <w:t>46</w:t>
        </w:r>
        <w:r w:rsidR="005B7036">
          <w:rPr>
            <w:noProof/>
            <w:webHidden/>
          </w:rPr>
          <w:fldChar w:fldCharType="end"/>
        </w:r>
      </w:hyperlink>
    </w:p>
    <w:p w14:paraId="0F9FE95D" w14:textId="24197361" w:rsidR="005B7036" w:rsidRDefault="00942090">
      <w:pPr>
        <w:pStyle w:val="Obsah1"/>
        <w:tabs>
          <w:tab w:val="left" w:pos="400"/>
        </w:tabs>
        <w:rPr>
          <w:rFonts w:asciiTheme="minorHAnsi" w:eastAsiaTheme="minorEastAsia" w:hAnsiTheme="minorHAnsi" w:cstheme="minorBidi"/>
          <w:noProof/>
          <w:sz w:val="22"/>
          <w:szCs w:val="22"/>
        </w:rPr>
      </w:pPr>
      <w:hyperlink w:anchor="_Toc121211639" w:history="1">
        <w:r w:rsidR="005B7036" w:rsidRPr="009E017E">
          <w:rPr>
            <w:rStyle w:val="Hypertextovodkaz"/>
            <w:iCs/>
            <w:noProof/>
          </w:rPr>
          <w:t>6.</w:t>
        </w:r>
        <w:r w:rsidR="008D70F6">
          <w:rPr>
            <w:rStyle w:val="Hypertextovodkaz"/>
            <w:iCs/>
            <w:noProof/>
          </w:rPr>
          <w:t xml:space="preserve"> </w:t>
        </w:r>
        <w:r w:rsidR="005B7036" w:rsidRPr="009E017E">
          <w:rPr>
            <w:rStyle w:val="Hypertextovodkaz"/>
            <w:iCs/>
            <w:noProof/>
          </w:rPr>
          <w:t>Sociální zabezpečení</w:t>
        </w:r>
        <w:r w:rsidR="005B7036">
          <w:rPr>
            <w:noProof/>
            <w:webHidden/>
          </w:rPr>
          <w:tab/>
        </w:r>
        <w:r w:rsidR="005B7036">
          <w:rPr>
            <w:noProof/>
            <w:webHidden/>
          </w:rPr>
          <w:fldChar w:fldCharType="begin"/>
        </w:r>
        <w:r w:rsidR="005B7036">
          <w:rPr>
            <w:noProof/>
            <w:webHidden/>
          </w:rPr>
          <w:instrText xml:space="preserve"> PAGEREF _Toc121211639 \h </w:instrText>
        </w:r>
        <w:r w:rsidR="005B7036">
          <w:rPr>
            <w:noProof/>
            <w:webHidden/>
          </w:rPr>
        </w:r>
        <w:r w:rsidR="005B7036">
          <w:rPr>
            <w:noProof/>
            <w:webHidden/>
          </w:rPr>
          <w:fldChar w:fldCharType="separate"/>
        </w:r>
        <w:r w:rsidR="00A0046C">
          <w:rPr>
            <w:noProof/>
            <w:webHidden/>
          </w:rPr>
          <w:t>47</w:t>
        </w:r>
        <w:r w:rsidR="005B7036">
          <w:rPr>
            <w:noProof/>
            <w:webHidden/>
          </w:rPr>
          <w:fldChar w:fldCharType="end"/>
        </w:r>
      </w:hyperlink>
    </w:p>
    <w:p w14:paraId="04C85B26" w14:textId="71B9E867" w:rsidR="005B7036" w:rsidRDefault="00942090" w:rsidP="008D70F6">
      <w:pPr>
        <w:pStyle w:val="Obsah3"/>
        <w:rPr>
          <w:rFonts w:asciiTheme="minorHAnsi" w:eastAsiaTheme="minorEastAsia" w:hAnsiTheme="minorHAnsi" w:cstheme="minorBidi"/>
          <w:noProof/>
          <w:sz w:val="22"/>
          <w:szCs w:val="22"/>
        </w:rPr>
      </w:pPr>
      <w:hyperlink w:anchor="_Toc121211640" w:history="1">
        <w:r w:rsidR="005B7036" w:rsidRPr="009E017E">
          <w:rPr>
            <w:rStyle w:val="Hypertextovodkaz"/>
            <w:noProof/>
          </w:rPr>
          <w:t>6.1.</w:t>
        </w:r>
        <w:r w:rsidR="005B7036">
          <w:rPr>
            <w:rFonts w:asciiTheme="minorHAnsi" w:eastAsiaTheme="minorEastAsia" w:hAnsiTheme="minorHAnsi" w:cstheme="minorBidi"/>
            <w:noProof/>
            <w:sz w:val="22"/>
            <w:szCs w:val="22"/>
          </w:rPr>
          <w:tab/>
        </w:r>
        <w:r w:rsidR="005B7036" w:rsidRPr="009E017E">
          <w:rPr>
            <w:rStyle w:val="Hypertextovodkaz"/>
            <w:noProof/>
          </w:rPr>
          <w:t>Důchody</w:t>
        </w:r>
        <w:r w:rsidR="005B7036">
          <w:rPr>
            <w:noProof/>
            <w:webHidden/>
          </w:rPr>
          <w:tab/>
        </w:r>
        <w:r w:rsidR="005B7036">
          <w:rPr>
            <w:noProof/>
            <w:webHidden/>
          </w:rPr>
          <w:fldChar w:fldCharType="begin"/>
        </w:r>
        <w:r w:rsidR="005B7036">
          <w:rPr>
            <w:noProof/>
            <w:webHidden/>
          </w:rPr>
          <w:instrText xml:space="preserve"> PAGEREF _Toc121211640 \h </w:instrText>
        </w:r>
        <w:r w:rsidR="005B7036">
          <w:rPr>
            <w:noProof/>
            <w:webHidden/>
          </w:rPr>
        </w:r>
        <w:r w:rsidR="005B7036">
          <w:rPr>
            <w:noProof/>
            <w:webHidden/>
          </w:rPr>
          <w:fldChar w:fldCharType="separate"/>
        </w:r>
        <w:r w:rsidR="00A0046C">
          <w:rPr>
            <w:noProof/>
            <w:webHidden/>
          </w:rPr>
          <w:t>47</w:t>
        </w:r>
        <w:r w:rsidR="005B7036">
          <w:rPr>
            <w:noProof/>
            <w:webHidden/>
          </w:rPr>
          <w:fldChar w:fldCharType="end"/>
        </w:r>
      </w:hyperlink>
    </w:p>
    <w:p w14:paraId="155D636D" w14:textId="4F29AC68" w:rsidR="005B7036" w:rsidRDefault="00942090" w:rsidP="008D70F6">
      <w:pPr>
        <w:pStyle w:val="Obsah3"/>
        <w:rPr>
          <w:rFonts w:asciiTheme="minorHAnsi" w:eastAsiaTheme="minorEastAsia" w:hAnsiTheme="minorHAnsi" w:cstheme="minorBidi"/>
          <w:noProof/>
          <w:sz w:val="22"/>
          <w:szCs w:val="22"/>
        </w:rPr>
      </w:pPr>
      <w:hyperlink w:anchor="_Toc121211641" w:history="1">
        <w:r w:rsidR="005B7036" w:rsidRPr="009E017E">
          <w:rPr>
            <w:rStyle w:val="Hypertextovodkaz"/>
            <w:noProof/>
          </w:rPr>
          <w:t>6.2.</w:t>
        </w:r>
        <w:r w:rsidR="005B7036">
          <w:rPr>
            <w:rFonts w:asciiTheme="minorHAnsi" w:eastAsiaTheme="minorEastAsia" w:hAnsiTheme="minorHAnsi" w:cstheme="minorBidi"/>
            <w:noProof/>
            <w:sz w:val="22"/>
            <w:szCs w:val="22"/>
          </w:rPr>
          <w:tab/>
        </w:r>
        <w:r w:rsidR="005B7036" w:rsidRPr="009E017E">
          <w:rPr>
            <w:rStyle w:val="Hypertextovodkaz"/>
            <w:noProof/>
          </w:rPr>
          <w:t>Zařízení sociálních služeb</w:t>
        </w:r>
        <w:r w:rsidR="005B7036">
          <w:rPr>
            <w:noProof/>
            <w:webHidden/>
          </w:rPr>
          <w:tab/>
        </w:r>
        <w:r w:rsidR="005B7036">
          <w:rPr>
            <w:noProof/>
            <w:webHidden/>
          </w:rPr>
          <w:fldChar w:fldCharType="begin"/>
        </w:r>
        <w:r w:rsidR="005B7036">
          <w:rPr>
            <w:noProof/>
            <w:webHidden/>
          </w:rPr>
          <w:instrText xml:space="preserve"> PAGEREF _Toc121211641 \h </w:instrText>
        </w:r>
        <w:r w:rsidR="005B7036">
          <w:rPr>
            <w:noProof/>
            <w:webHidden/>
          </w:rPr>
        </w:r>
        <w:r w:rsidR="005B7036">
          <w:rPr>
            <w:noProof/>
            <w:webHidden/>
          </w:rPr>
          <w:fldChar w:fldCharType="separate"/>
        </w:r>
        <w:r w:rsidR="00A0046C">
          <w:rPr>
            <w:noProof/>
            <w:webHidden/>
          </w:rPr>
          <w:t>52</w:t>
        </w:r>
        <w:r w:rsidR="005B7036">
          <w:rPr>
            <w:noProof/>
            <w:webHidden/>
          </w:rPr>
          <w:fldChar w:fldCharType="end"/>
        </w:r>
      </w:hyperlink>
    </w:p>
    <w:p w14:paraId="3ABBFCED" w14:textId="6CF4A0F0" w:rsidR="005B7036" w:rsidRDefault="00942090" w:rsidP="008D70F6">
      <w:pPr>
        <w:pStyle w:val="Obsah3"/>
        <w:rPr>
          <w:rFonts w:asciiTheme="minorHAnsi" w:eastAsiaTheme="minorEastAsia" w:hAnsiTheme="minorHAnsi" w:cstheme="minorBidi"/>
          <w:noProof/>
          <w:sz w:val="22"/>
          <w:szCs w:val="22"/>
        </w:rPr>
      </w:pPr>
      <w:hyperlink w:anchor="_Toc121211642" w:history="1">
        <w:r w:rsidR="005B7036" w:rsidRPr="009E017E">
          <w:rPr>
            <w:rStyle w:val="Hypertextovodkaz"/>
            <w:noProof/>
          </w:rPr>
          <w:t>6.3.</w:t>
        </w:r>
        <w:r w:rsidR="005B7036">
          <w:rPr>
            <w:rFonts w:asciiTheme="minorHAnsi" w:eastAsiaTheme="minorEastAsia" w:hAnsiTheme="minorHAnsi" w:cstheme="minorBidi"/>
            <w:noProof/>
            <w:sz w:val="22"/>
            <w:szCs w:val="22"/>
          </w:rPr>
          <w:tab/>
        </w:r>
        <w:r w:rsidR="005B7036" w:rsidRPr="009E017E">
          <w:rPr>
            <w:rStyle w:val="Hypertextovodkaz"/>
            <w:noProof/>
          </w:rPr>
          <w:t>Příspěvek na péči</w:t>
        </w:r>
        <w:r w:rsidR="005B7036">
          <w:rPr>
            <w:noProof/>
            <w:webHidden/>
          </w:rPr>
          <w:tab/>
        </w:r>
        <w:r w:rsidR="005B7036">
          <w:rPr>
            <w:noProof/>
            <w:webHidden/>
          </w:rPr>
          <w:fldChar w:fldCharType="begin"/>
        </w:r>
        <w:r w:rsidR="005B7036">
          <w:rPr>
            <w:noProof/>
            <w:webHidden/>
          </w:rPr>
          <w:instrText xml:space="preserve"> PAGEREF _Toc121211642 \h </w:instrText>
        </w:r>
        <w:r w:rsidR="005B7036">
          <w:rPr>
            <w:noProof/>
            <w:webHidden/>
          </w:rPr>
        </w:r>
        <w:r w:rsidR="005B7036">
          <w:rPr>
            <w:noProof/>
            <w:webHidden/>
          </w:rPr>
          <w:fldChar w:fldCharType="separate"/>
        </w:r>
        <w:r w:rsidR="00A0046C">
          <w:rPr>
            <w:noProof/>
            <w:webHidden/>
          </w:rPr>
          <w:t>54</w:t>
        </w:r>
        <w:r w:rsidR="005B7036">
          <w:rPr>
            <w:noProof/>
            <w:webHidden/>
          </w:rPr>
          <w:fldChar w:fldCharType="end"/>
        </w:r>
      </w:hyperlink>
    </w:p>
    <w:p w14:paraId="58E2F001" w14:textId="4742832E" w:rsidR="005B7036" w:rsidRDefault="00942090" w:rsidP="008D70F6">
      <w:pPr>
        <w:pStyle w:val="Obsah3"/>
        <w:rPr>
          <w:rFonts w:asciiTheme="minorHAnsi" w:eastAsiaTheme="minorEastAsia" w:hAnsiTheme="minorHAnsi" w:cstheme="minorBidi"/>
          <w:noProof/>
          <w:sz w:val="22"/>
          <w:szCs w:val="22"/>
        </w:rPr>
      </w:pPr>
      <w:hyperlink w:anchor="_Toc121211643" w:history="1">
        <w:r w:rsidR="005B7036" w:rsidRPr="009E017E">
          <w:rPr>
            <w:rStyle w:val="Hypertextovodkaz"/>
            <w:noProof/>
          </w:rPr>
          <w:t>6.4.</w:t>
        </w:r>
        <w:r w:rsidR="005B7036">
          <w:rPr>
            <w:rFonts w:asciiTheme="minorHAnsi" w:eastAsiaTheme="minorEastAsia" w:hAnsiTheme="minorHAnsi" w:cstheme="minorBidi"/>
            <w:noProof/>
            <w:sz w:val="22"/>
            <w:szCs w:val="22"/>
          </w:rPr>
          <w:tab/>
        </w:r>
        <w:r w:rsidR="005B7036" w:rsidRPr="009E017E">
          <w:rPr>
            <w:rStyle w:val="Hypertextovodkaz"/>
            <w:noProof/>
          </w:rPr>
          <w:t>Senioři s průkazem OZP</w:t>
        </w:r>
        <w:r w:rsidR="005B7036">
          <w:rPr>
            <w:noProof/>
            <w:webHidden/>
          </w:rPr>
          <w:tab/>
        </w:r>
        <w:r w:rsidR="005B7036">
          <w:rPr>
            <w:noProof/>
            <w:webHidden/>
          </w:rPr>
          <w:fldChar w:fldCharType="begin"/>
        </w:r>
        <w:r w:rsidR="005B7036">
          <w:rPr>
            <w:noProof/>
            <w:webHidden/>
          </w:rPr>
          <w:instrText xml:space="preserve"> PAGEREF _Toc121211643 \h </w:instrText>
        </w:r>
        <w:r w:rsidR="005B7036">
          <w:rPr>
            <w:noProof/>
            <w:webHidden/>
          </w:rPr>
        </w:r>
        <w:r w:rsidR="005B7036">
          <w:rPr>
            <w:noProof/>
            <w:webHidden/>
          </w:rPr>
          <w:fldChar w:fldCharType="separate"/>
        </w:r>
        <w:r w:rsidR="00A0046C">
          <w:rPr>
            <w:noProof/>
            <w:webHidden/>
          </w:rPr>
          <w:t>56</w:t>
        </w:r>
        <w:r w:rsidR="005B7036">
          <w:rPr>
            <w:noProof/>
            <w:webHidden/>
          </w:rPr>
          <w:fldChar w:fldCharType="end"/>
        </w:r>
      </w:hyperlink>
    </w:p>
    <w:p w14:paraId="151E4363" w14:textId="2B57C98D" w:rsidR="005B7036" w:rsidRDefault="00942090">
      <w:pPr>
        <w:pStyle w:val="Obsah1"/>
        <w:tabs>
          <w:tab w:val="left" w:pos="400"/>
        </w:tabs>
        <w:rPr>
          <w:rFonts w:asciiTheme="minorHAnsi" w:eastAsiaTheme="minorEastAsia" w:hAnsiTheme="minorHAnsi" w:cstheme="minorBidi"/>
          <w:noProof/>
          <w:sz w:val="22"/>
          <w:szCs w:val="22"/>
        </w:rPr>
      </w:pPr>
      <w:hyperlink w:anchor="_Toc121211644" w:history="1">
        <w:r w:rsidR="005B7036" w:rsidRPr="009E017E">
          <w:rPr>
            <w:rStyle w:val="Hypertextovodkaz"/>
            <w:iCs/>
            <w:noProof/>
          </w:rPr>
          <w:t>7.</w:t>
        </w:r>
        <w:r w:rsidR="008D70F6">
          <w:rPr>
            <w:rStyle w:val="Hypertextovodkaz"/>
            <w:iCs/>
            <w:noProof/>
          </w:rPr>
          <w:t xml:space="preserve"> </w:t>
        </w:r>
        <w:r w:rsidR="005B7036" w:rsidRPr="009E017E">
          <w:rPr>
            <w:rStyle w:val="Hypertextovodkaz"/>
            <w:iCs/>
            <w:noProof/>
          </w:rPr>
          <w:t>Senioři a kriminalita</w:t>
        </w:r>
        <w:r w:rsidR="005B7036">
          <w:rPr>
            <w:noProof/>
            <w:webHidden/>
          </w:rPr>
          <w:tab/>
        </w:r>
        <w:r w:rsidR="005B7036">
          <w:rPr>
            <w:noProof/>
            <w:webHidden/>
          </w:rPr>
          <w:fldChar w:fldCharType="begin"/>
        </w:r>
        <w:r w:rsidR="005B7036">
          <w:rPr>
            <w:noProof/>
            <w:webHidden/>
          </w:rPr>
          <w:instrText xml:space="preserve"> PAGEREF _Toc121211644 \h </w:instrText>
        </w:r>
        <w:r w:rsidR="005B7036">
          <w:rPr>
            <w:noProof/>
            <w:webHidden/>
          </w:rPr>
        </w:r>
        <w:r w:rsidR="005B7036">
          <w:rPr>
            <w:noProof/>
            <w:webHidden/>
          </w:rPr>
          <w:fldChar w:fldCharType="separate"/>
        </w:r>
        <w:r w:rsidR="00A0046C">
          <w:rPr>
            <w:noProof/>
            <w:webHidden/>
          </w:rPr>
          <w:t>58</w:t>
        </w:r>
        <w:r w:rsidR="005B7036">
          <w:rPr>
            <w:noProof/>
            <w:webHidden/>
          </w:rPr>
          <w:fldChar w:fldCharType="end"/>
        </w:r>
      </w:hyperlink>
    </w:p>
    <w:p w14:paraId="450BEB74" w14:textId="4C801F93" w:rsidR="005B7036" w:rsidRDefault="00942090" w:rsidP="008D70F6">
      <w:pPr>
        <w:pStyle w:val="Obsah3"/>
        <w:rPr>
          <w:rFonts w:asciiTheme="minorHAnsi" w:eastAsiaTheme="minorEastAsia" w:hAnsiTheme="minorHAnsi" w:cstheme="minorBidi"/>
          <w:noProof/>
          <w:sz w:val="22"/>
          <w:szCs w:val="22"/>
        </w:rPr>
      </w:pPr>
      <w:hyperlink w:anchor="_Toc121211645" w:history="1">
        <w:r w:rsidR="005B7036" w:rsidRPr="009E017E">
          <w:rPr>
            <w:rStyle w:val="Hypertextovodkaz"/>
            <w:noProof/>
          </w:rPr>
          <w:t>7.1.</w:t>
        </w:r>
        <w:r w:rsidR="008D70F6">
          <w:rPr>
            <w:rStyle w:val="Hypertextovodkaz"/>
            <w:noProof/>
          </w:rPr>
          <w:t xml:space="preserve"> </w:t>
        </w:r>
        <w:r w:rsidR="005B7036" w:rsidRPr="009E017E">
          <w:rPr>
            <w:rStyle w:val="Hypertextovodkaz"/>
            <w:noProof/>
          </w:rPr>
          <w:t>Majetková kriminalita</w:t>
        </w:r>
        <w:r w:rsidR="005B7036">
          <w:rPr>
            <w:noProof/>
            <w:webHidden/>
          </w:rPr>
          <w:tab/>
        </w:r>
        <w:r w:rsidR="005B7036">
          <w:rPr>
            <w:noProof/>
            <w:webHidden/>
          </w:rPr>
          <w:fldChar w:fldCharType="begin"/>
        </w:r>
        <w:r w:rsidR="005B7036">
          <w:rPr>
            <w:noProof/>
            <w:webHidden/>
          </w:rPr>
          <w:instrText xml:space="preserve"> PAGEREF _Toc121211645 \h </w:instrText>
        </w:r>
        <w:r w:rsidR="005B7036">
          <w:rPr>
            <w:noProof/>
            <w:webHidden/>
          </w:rPr>
        </w:r>
        <w:r w:rsidR="005B7036">
          <w:rPr>
            <w:noProof/>
            <w:webHidden/>
          </w:rPr>
          <w:fldChar w:fldCharType="separate"/>
        </w:r>
        <w:r w:rsidR="00A0046C">
          <w:rPr>
            <w:noProof/>
            <w:webHidden/>
          </w:rPr>
          <w:t>59</w:t>
        </w:r>
        <w:r w:rsidR="005B7036">
          <w:rPr>
            <w:noProof/>
            <w:webHidden/>
          </w:rPr>
          <w:fldChar w:fldCharType="end"/>
        </w:r>
      </w:hyperlink>
    </w:p>
    <w:p w14:paraId="7554ADB5" w14:textId="6E4C9D0D" w:rsidR="005B7036" w:rsidRDefault="00942090" w:rsidP="008D70F6">
      <w:pPr>
        <w:pStyle w:val="Obsah3"/>
        <w:rPr>
          <w:rFonts w:asciiTheme="minorHAnsi" w:eastAsiaTheme="minorEastAsia" w:hAnsiTheme="minorHAnsi" w:cstheme="minorBidi"/>
          <w:noProof/>
          <w:sz w:val="22"/>
          <w:szCs w:val="22"/>
        </w:rPr>
      </w:pPr>
      <w:hyperlink w:anchor="_Toc121211646" w:history="1">
        <w:r w:rsidR="005B7036" w:rsidRPr="009E017E">
          <w:rPr>
            <w:rStyle w:val="Hypertextovodkaz"/>
            <w:noProof/>
          </w:rPr>
          <w:t>7.2.</w:t>
        </w:r>
        <w:r w:rsidR="008D70F6">
          <w:rPr>
            <w:rStyle w:val="Hypertextovodkaz"/>
            <w:noProof/>
          </w:rPr>
          <w:t xml:space="preserve"> </w:t>
        </w:r>
        <w:r w:rsidR="005B7036" w:rsidRPr="009E017E">
          <w:rPr>
            <w:rStyle w:val="Hypertextovodkaz"/>
            <w:noProof/>
          </w:rPr>
          <w:t>Násilná kriminalita</w:t>
        </w:r>
        <w:r w:rsidR="005B7036">
          <w:rPr>
            <w:noProof/>
            <w:webHidden/>
          </w:rPr>
          <w:tab/>
        </w:r>
        <w:r w:rsidR="005B7036">
          <w:rPr>
            <w:noProof/>
            <w:webHidden/>
          </w:rPr>
          <w:fldChar w:fldCharType="begin"/>
        </w:r>
        <w:r w:rsidR="005B7036">
          <w:rPr>
            <w:noProof/>
            <w:webHidden/>
          </w:rPr>
          <w:instrText xml:space="preserve"> PAGEREF _Toc121211646 \h </w:instrText>
        </w:r>
        <w:r w:rsidR="005B7036">
          <w:rPr>
            <w:noProof/>
            <w:webHidden/>
          </w:rPr>
        </w:r>
        <w:r w:rsidR="005B7036">
          <w:rPr>
            <w:noProof/>
            <w:webHidden/>
          </w:rPr>
          <w:fldChar w:fldCharType="separate"/>
        </w:r>
        <w:r w:rsidR="00A0046C">
          <w:rPr>
            <w:noProof/>
            <w:webHidden/>
          </w:rPr>
          <w:t>61</w:t>
        </w:r>
        <w:r w:rsidR="005B7036">
          <w:rPr>
            <w:noProof/>
            <w:webHidden/>
          </w:rPr>
          <w:fldChar w:fldCharType="end"/>
        </w:r>
      </w:hyperlink>
    </w:p>
    <w:p w14:paraId="4C990086" w14:textId="751EBEE4" w:rsidR="005B7036" w:rsidRDefault="00942090" w:rsidP="008D70F6">
      <w:pPr>
        <w:pStyle w:val="Obsah3"/>
        <w:rPr>
          <w:rFonts w:asciiTheme="minorHAnsi" w:eastAsiaTheme="minorEastAsia" w:hAnsiTheme="minorHAnsi" w:cstheme="minorBidi"/>
          <w:noProof/>
          <w:sz w:val="22"/>
          <w:szCs w:val="22"/>
        </w:rPr>
      </w:pPr>
      <w:hyperlink w:anchor="_Toc121211647" w:history="1">
        <w:r w:rsidR="005B7036" w:rsidRPr="009E017E">
          <w:rPr>
            <w:rStyle w:val="Hypertextovodkaz"/>
            <w:noProof/>
          </w:rPr>
          <w:t>7.3.</w:t>
        </w:r>
        <w:r w:rsidR="008D70F6">
          <w:rPr>
            <w:rStyle w:val="Hypertextovodkaz"/>
            <w:noProof/>
          </w:rPr>
          <w:t xml:space="preserve"> </w:t>
        </w:r>
        <w:r w:rsidR="005B7036" w:rsidRPr="009E017E">
          <w:rPr>
            <w:rStyle w:val="Hypertextovodkaz"/>
            <w:noProof/>
          </w:rPr>
          <w:t>Senioři jako pachatelé trestné činnosti</w:t>
        </w:r>
        <w:r w:rsidR="005B7036">
          <w:rPr>
            <w:noProof/>
            <w:webHidden/>
          </w:rPr>
          <w:tab/>
        </w:r>
        <w:r w:rsidR="005B7036">
          <w:rPr>
            <w:noProof/>
            <w:webHidden/>
          </w:rPr>
          <w:fldChar w:fldCharType="begin"/>
        </w:r>
        <w:r w:rsidR="005B7036">
          <w:rPr>
            <w:noProof/>
            <w:webHidden/>
          </w:rPr>
          <w:instrText xml:space="preserve"> PAGEREF _Toc121211647 \h </w:instrText>
        </w:r>
        <w:r w:rsidR="005B7036">
          <w:rPr>
            <w:noProof/>
            <w:webHidden/>
          </w:rPr>
        </w:r>
        <w:r w:rsidR="005B7036">
          <w:rPr>
            <w:noProof/>
            <w:webHidden/>
          </w:rPr>
          <w:fldChar w:fldCharType="separate"/>
        </w:r>
        <w:r w:rsidR="00A0046C">
          <w:rPr>
            <w:noProof/>
            <w:webHidden/>
          </w:rPr>
          <w:t>62</w:t>
        </w:r>
        <w:r w:rsidR="005B7036">
          <w:rPr>
            <w:noProof/>
            <w:webHidden/>
          </w:rPr>
          <w:fldChar w:fldCharType="end"/>
        </w:r>
      </w:hyperlink>
    </w:p>
    <w:p w14:paraId="24B5F39E" w14:textId="664C2272" w:rsidR="005B7036" w:rsidRDefault="00942090">
      <w:pPr>
        <w:pStyle w:val="Obsah1"/>
        <w:tabs>
          <w:tab w:val="left" w:pos="400"/>
        </w:tabs>
        <w:rPr>
          <w:rFonts w:asciiTheme="minorHAnsi" w:eastAsiaTheme="minorEastAsia" w:hAnsiTheme="minorHAnsi" w:cstheme="minorBidi"/>
          <w:noProof/>
          <w:sz w:val="22"/>
          <w:szCs w:val="22"/>
        </w:rPr>
      </w:pPr>
      <w:hyperlink w:anchor="_Toc121211648" w:history="1">
        <w:r w:rsidR="005B7036" w:rsidRPr="009E017E">
          <w:rPr>
            <w:rStyle w:val="Hypertextovodkaz"/>
            <w:iCs/>
            <w:noProof/>
          </w:rPr>
          <w:t>8.</w:t>
        </w:r>
        <w:r w:rsidR="008D70F6">
          <w:rPr>
            <w:rStyle w:val="Hypertextovodkaz"/>
            <w:iCs/>
            <w:noProof/>
          </w:rPr>
          <w:t xml:space="preserve"> </w:t>
        </w:r>
        <w:r w:rsidR="005B7036" w:rsidRPr="009E017E">
          <w:rPr>
            <w:rStyle w:val="Hypertextovodkaz"/>
            <w:iCs/>
            <w:noProof/>
          </w:rPr>
          <w:t>Senioři a informační technologie</w:t>
        </w:r>
        <w:r w:rsidR="005B7036">
          <w:rPr>
            <w:noProof/>
            <w:webHidden/>
          </w:rPr>
          <w:tab/>
        </w:r>
        <w:r w:rsidR="005B7036">
          <w:rPr>
            <w:noProof/>
            <w:webHidden/>
          </w:rPr>
          <w:fldChar w:fldCharType="begin"/>
        </w:r>
        <w:r w:rsidR="005B7036">
          <w:rPr>
            <w:noProof/>
            <w:webHidden/>
          </w:rPr>
          <w:instrText xml:space="preserve"> PAGEREF _Toc121211648 \h </w:instrText>
        </w:r>
        <w:r w:rsidR="005B7036">
          <w:rPr>
            <w:noProof/>
            <w:webHidden/>
          </w:rPr>
        </w:r>
        <w:r w:rsidR="005B7036">
          <w:rPr>
            <w:noProof/>
            <w:webHidden/>
          </w:rPr>
          <w:fldChar w:fldCharType="separate"/>
        </w:r>
        <w:r w:rsidR="00A0046C">
          <w:rPr>
            <w:noProof/>
            <w:webHidden/>
          </w:rPr>
          <w:t>63</w:t>
        </w:r>
        <w:r w:rsidR="005B7036">
          <w:rPr>
            <w:noProof/>
            <w:webHidden/>
          </w:rPr>
          <w:fldChar w:fldCharType="end"/>
        </w:r>
      </w:hyperlink>
    </w:p>
    <w:p w14:paraId="734FAD31" w14:textId="4DBB187B" w:rsidR="005B7036" w:rsidRDefault="00942090" w:rsidP="008D70F6">
      <w:pPr>
        <w:pStyle w:val="Obsah3"/>
        <w:rPr>
          <w:rFonts w:asciiTheme="minorHAnsi" w:eastAsiaTheme="minorEastAsia" w:hAnsiTheme="minorHAnsi" w:cstheme="minorBidi"/>
          <w:noProof/>
          <w:sz w:val="22"/>
          <w:szCs w:val="22"/>
        </w:rPr>
      </w:pPr>
      <w:hyperlink w:anchor="_Toc121211649" w:history="1">
        <w:r w:rsidR="005B7036" w:rsidRPr="009E017E">
          <w:rPr>
            <w:rStyle w:val="Hypertextovodkaz"/>
            <w:noProof/>
          </w:rPr>
          <w:t>8.1.</w:t>
        </w:r>
        <w:r w:rsidR="008D70F6">
          <w:rPr>
            <w:rStyle w:val="Hypertextovodkaz"/>
            <w:noProof/>
          </w:rPr>
          <w:t xml:space="preserve"> </w:t>
        </w:r>
        <w:r w:rsidR="005B7036" w:rsidRPr="009E017E">
          <w:rPr>
            <w:rStyle w:val="Hypertextovodkaz"/>
            <w:noProof/>
          </w:rPr>
          <w:t>Mobilní telefon</w:t>
        </w:r>
        <w:r w:rsidR="005B7036">
          <w:rPr>
            <w:noProof/>
            <w:webHidden/>
          </w:rPr>
          <w:tab/>
        </w:r>
        <w:r w:rsidR="005B7036">
          <w:rPr>
            <w:noProof/>
            <w:webHidden/>
          </w:rPr>
          <w:fldChar w:fldCharType="begin"/>
        </w:r>
        <w:r w:rsidR="005B7036">
          <w:rPr>
            <w:noProof/>
            <w:webHidden/>
          </w:rPr>
          <w:instrText xml:space="preserve"> PAGEREF _Toc121211649 \h </w:instrText>
        </w:r>
        <w:r w:rsidR="005B7036">
          <w:rPr>
            <w:noProof/>
            <w:webHidden/>
          </w:rPr>
        </w:r>
        <w:r w:rsidR="005B7036">
          <w:rPr>
            <w:noProof/>
            <w:webHidden/>
          </w:rPr>
          <w:fldChar w:fldCharType="separate"/>
        </w:r>
        <w:r w:rsidR="00A0046C">
          <w:rPr>
            <w:noProof/>
            <w:webHidden/>
          </w:rPr>
          <w:t>63</w:t>
        </w:r>
        <w:r w:rsidR="005B7036">
          <w:rPr>
            <w:noProof/>
            <w:webHidden/>
          </w:rPr>
          <w:fldChar w:fldCharType="end"/>
        </w:r>
      </w:hyperlink>
    </w:p>
    <w:p w14:paraId="52B424DD" w14:textId="2A2DCD77" w:rsidR="005B7036" w:rsidRDefault="00942090">
      <w:pPr>
        <w:pStyle w:val="Obsah1"/>
        <w:tabs>
          <w:tab w:val="left" w:pos="400"/>
        </w:tabs>
        <w:rPr>
          <w:rFonts w:asciiTheme="minorHAnsi" w:eastAsiaTheme="minorEastAsia" w:hAnsiTheme="minorHAnsi" w:cstheme="minorBidi"/>
          <w:noProof/>
          <w:sz w:val="22"/>
          <w:szCs w:val="22"/>
        </w:rPr>
      </w:pPr>
      <w:hyperlink w:anchor="_Toc121211650" w:history="1">
        <w:r w:rsidR="005B7036" w:rsidRPr="009E017E">
          <w:rPr>
            <w:rStyle w:val="Hypertextovodkaz"/>
            <w:noProof/>
          </w:rPr>
          <w:t>9.</w:t>
        </w:r>
        <w:r w:rsidR="008D70F6">
          <w:rPr>
            <w:rStyle w:val="Hypertextovodkaz"/>
            <w:noProof/>
          </w:rPr>
          <w:t xml:space="preserve"> </w:t>
        </w:r>
        <w:r w:rsidR="005B7036" w:rsidRPr="009E017E">
          <w:rPr>
            <w:rStyle w:val="Hypertextovodkaz"/>
            <w:noProof/>
          </w:rPr>
          <w:t>Shrnutí</w:t>
        </w:r>
        <w:r w:rsidR="005B7036">
          <w:rPr>
            <w:noProof/>
            <w:webHidden/>
          </w:rPr>
          <w:tab/>
        </w:r>
        <w:r w:rsidR="005B7036">
          <w:rPr>
            <w:noProof/>
            <w:webHidden/>
          </w:rPr>
          <w:fldChar w:fldCharType="begin"/>
        </w:r>
        <w:r w:rsidR="005B7036">
          <w:rPr>
            <w:noProof/>
            <w:webHidden/>
          </w:rPr>
          <w:instrText xml:space="preserve"> PAGEREF _Toc121211650 \h </w:instrText>
        </w:r>
        <w:r w:rsidR="005B7036">
          <w:rPr>
            <w:noProof/>
            <w:webHidden/>
          </w:rPr>
        </w:r>
        <w:r w:rsidR="005B7036">
          <w:rPr>
            <w:noProof/>
            <w:webHidden/>
          </w:rPr>
          <w:fldChar w:fldCharType="separate"/>
        </w:r>
        <w:r w:rsidR="00A0046C">
          <w:rPr>
            <w:noProof/>
            <w:webHidden/>
          </w:rPr>
          <w:t>68</w:t>
        </w:r>
        <w:r w:rsidR="005B7036">
          <w:rPr>
            <w:noProof/>
            <w:webHidden/>
          </w:rPr>
          <w:fldChar w:fldCharType="end"/>
        </w:r>
      </w:hyperlink>
    </w:p>
    <w:p w14:paraId="63F71A0F" w14:textId="63E5B310" w:rsidR="005B7036" w:rsidRDefault="00942090">
      <w:pPr>
        <w:pStyle w:val="Obsah1"/>
        <w:rPr>
          <w:rFonts w:asciiTheme="minorHAnsi" w:eastAsiaTheme="minorEastAsia" w:hAnsiTheme="minorHAnsi" w:cstheme="minorBidi"/>
          <w:noProof/>
          <w:sz w:val="22"/>
          <w:szCs w:val="22"/>
        </w:rPr>
      </w:pPr>
      <w:hyperlink w:anchor="_Toc121211651" w:history="1">
        <w:r w:rsidR="005B7036" w:rsidRPr="009E017E">
          <w:rPr>
            <w:rStyle w:val="Hypertextovodkaz"/>
            <w:noProof/>
          </w:rPr>
          <w:t>Seznam grafů a tabulek</w:t>
        </w:r>
        <w:r w:rsidR="005B7036">
          <w:rPr>
            <w:noProof/>
            <w:webHidden/>
          </w:rPr>
          <w:tab/>
        </w:r>
        <w:r w:rsidR="005B7036">
          <w:rPr>
            <w:noProof/>
            <w:webHidden/>
          </w:rPr>
          <w:fldChar w:fldCharType="begin"/>
        </w:r>
        <w:r w:rsidR="005B7036">
          <w:rPr>
            <w:noProof/>
            <w:webHidden/>
          </w:rPr>
          <w:instrText xml:space="preserve"> PAGEREF _Toc121211651 \h </w:instrText>
        </w:r>
        <w:r w:rsidR="005B7036">
          <w:rPr>
            <w:noProof/>
            <w:webHidden/>
          </w:rPr>
        </w:r>
        <w:r w:rsidR="005B7036">
          <w:rPr>
            <w:noProof/>
            <w:webHidden/>
          </w:rPr>
          <w:fldChar w:fldCharType="separate"/>
        </w:r>
        <w:r w:rsidR="00A0046C">
          <w:rPr>
            <w:noProof/>
            <w:webHidden/>
          </w:rPr>
          <w:t>72</w:t>
        </w:r>
        <w:r w:rsidR="005B7036">
          <w:rPr>
            <w:noProof/>
            <w:webHidden/>
          </w:rPr>
          <w:fldChar w:fldCharType="end"/>
        </w:r>
      </w:hyperlink>
    </w:p>
    <w:p w14:paraId="19AFA13F" w14:textId="48757934" w:rsidR="005B7036" w:rsidRDefault="00942090">
      <w:pPr>
        <w:pStyle w:val="Obsah2"/>
        <w:rPr>
          <w:rFonts w:asciiTheme="minorHAnsi" w:eastAsiaTheme="minorEastAsia" w:hAnsiTheme="minorHAnsi" w:cstheme="minorBidi"/>
          <w:noProof/>
          <w:sz w:val="22"/>
          <w:szCs w:val="22"/>
        </w:rPr>
      </w:pPr>
      <w:hyperlink w:anchor="_Toc121211652" w:history="1">
        <w:r w:rsidR="005B7036" w:rsidRPr="009E017E">
          <w:rPr>
            <w:rStyle w:val="Hypertextovodkaz"/>
            <w:noProof/>
          </w:rPr>
          <w:t>Grafy</w:t>
        </w:r>
        <w:r w:rsidR="005B7036">
          <w:rPr>
            <w:noProof/>
            <w:webHidden/>
          </w:rPr>
          <w:tab/>
        </w:r>
        <w:r w:rsidR="005B7036">
          <w:rPr>
            <w:noProof/>
            <w:webHidden/>
          </w:rPr>
          <w:fldChar w:fldCharType="begin"/>
        </w:r>
        <w:r w:rsidR="005B7036">
          <w:rPr>
            <w:noProof/>
            <w:webHidden/>
          </w:rPr>
          <w:instrText xml:space="preserve"> PAGEREF _Toc121211652 \h </w:instrText>
        </w:r>
        <w:r w:rsidR="005B7036">
          <w:rPr>
            <w:noProof/>
            <w:webHidden/>
          </w:rPr>
        </w:r>
        <w:r w:rsidR="005B7036">
          <w:rPr>
            <w:noProof/>
            <w:webHidden/>
          </w:rPr>
          <w:fldChar w:fldCharType="separate"/>
        </w:r>
        <w:r w:rsidR="00A0046C">
          <w:rPr>
            <w:noProof/>
            <w:webHidden/>
          </w:rPr>
          <w:t>72</w:t>
        </w:r>
        <w:r w:rsidR="005B7036">
          <w:rPr>
            <w:noProof/>
            <w:webHidden/>
          </w:rPr>
          <w:fldChar w:fldCharType="end"/>
        </w:r>
      </w:hyperlink>
    </w:p>
    <w:p w14:paraId="01C9A1AB" w14:textId="6A714B7F" w:rsidR="005B7036" w:rsidRDefault="00942090">
      <w:pPr>
        <w:pStyle w:val="Obsah2"/>
        <w:rPr>
          <w:rFonts w:asciiTheme="minorHAnsi" w:eastAsiaTheme="minorEastAsia" w:hAnsiTheme="minorHAnsi" w:cstheme="minorBidi"/>
          <w:noProof/>
          <w:sz w:val="22"/>
          <w:szCs w:val="22"/>
        </w:rPr>
      </w:pPr>
      <w:hyperlink w:anchor="_Toc121211653" w:history="1">
        <w:r w:rsidR="005B7036" w:rsidRPr="009E017E">
          <w:rPr>
            <w:rStyle w:val="Hypertextovodkaz"/>
            <w:noProof/>
          </w:rPr>
          <w:t>Tabulky</w:t>
        </w:r>
        <w:r w:rsidR="005B7036">
          <w:rPr>
            <w:noProof/>
            <w:webHidden/>
          </w:rPr>
          <w:tab/>
        </w:r>
        <w:r w:rsidR="005B7036">
          <w:rPr>
            <w:noProof/>
            <w:webHidden/>
          </w:rPr>
          <w:fldChar w:fldCharType="begin"/>
        </w:r>
        <w:r w:rsidR="005B7036">
          <w:rPr>
            <w:noProof/>
            <w:webHidden/>
          </w:rPr>
          <w:instrText xml:space="preserve"> PAGEREF _Toc121211653 \h </w:instrText>
        </w:r>
        <w:r w:rsidR="005B7036">
          <w:rPr>
            <w:noProof/>
            <w:webHidden/>
          </w:rPr>
        </w:r>
        <w:r w:rsidR="005B7036">
          <w:rPr>
            <w:noProof/>
            <w:webHidden/>
          </w:rPr>
          <w:fldChar w:fldCharType="separate"/>
        </w:r>
        <w:r w:rsidR="00A0046C">
          <w:rPr>
            <w:noProof/>
            <w:webHidden/>
          </w:rPr>
          <w:t>74</w:t>
        </w:r>
        <w:r w:rsidR="005B7036">
          <w:rPr>
            <w:noProof/>
            <w:webHidden/>
          </w:rPr>
          <w:fldChar w:fldCharType="end"/>
        </w:r>
      </w:hyperlink>
    </w:p>
    <w:p w14:paraId="2F4BBDF1" w14:textId="604E8829" w:rsidR="005B7036" w:rsidRDefault="00942090">
      <w:pPr>
        <w:pStyle w:val="Obsah1"/>
        <w:rPr>
          <w:rFonts w:asciiTheme="minorHAnsi" w:eastAsiaTheme="minorEastAsia" w:hAnsiTheme="minorHAnsi" w:cstheme="minorBidi"/>
          <w:noProof/>
          <w:sz w:val="22"/>
          <w:szCs w:val="22"/>
        </w:rPr>
      </w:pPr>
      <w:hyperlink w:anchor="_Toc121211654" w:history="1">
        <w:r w:rsidR="005B7036" w:rsidRPr="009E017E">
          <w:rPr>
            <w:rStyle w:val="Hypertextovodkaz"/>
            <w:noProof/>
          </w:rPr>
          <w:t>Seznam autorů publikace</w:t>
        </w:r>
        <w:r w:rsidR="005B7036">
          <w:rPr>
            <w:noProof/>
            <w:webHidden/>
          </w:rPr>
          <w:tab/>
        </w:r>
        <w:r w:rsidR="005B7036">
          <w:rPr>
            <w:noProof/>
            <w:webHidden/>
          </w:rPr>
          <w:fldChar w:fldCharType="begin"/>
        </w:r>
        <w:r w:rsidR="005B7036">
          <w:rPr>
            <w:noProof/>
            <w:webHidden/>
          </w:rPr>
          <w:instrText xml:space="preserve"> PAGEREF _Toc121211654 \h </w:instrText>
        </w:r>
        <w:r w:rsidR="005B7036">
          <w:rPr>
            <w:noProof/>
            <w:webHidden/>
          </w:rPr>
        </w:r>
        <w:r w:rsidR="005B7036">
          <w:rPr>
            <w:noProof/>
            <w:webHidden/>
          </w:rPr>
          <w:fldChar w:fldCharType="separate"/>
        </w:r>
        <w:r w:rsidR="00A0046C">
          <w:rPr>
            <w:noProof/>
            <w:webHidden/>
          </w:rPr>
          <w:t>75</w:t>
        </w:r>
        <w:r w:rsidR="005B7036">
          <w:rPr>
            <w:noProof/>
            <w:webHidden/>
          </w:rPr>
          <w:fldChar w:fldCharType="end"/>
        </w:r>
      </w:hyperlink>
    </w:p>
    <w:p w14:paraId="54DE5618" w14:textId="07C6409C" w:rsidR="000C4E62" w:rsidRPr="000C4E62" w:rsidRDefault="003818DB" w:rsidP="000C4E62">
      <w:pPr>
        <w:pStyle w:val="Nadpis1"/>
        <w:jc w:val="both"/>
        <w:rPr>
          <w:b w:val="0"/>
          <w:color w:val="auto"/>
        </w:rPr>
      </w:pPr>
      <w:r>
        <w:rPr>
          <w:rFonts w:eastAsia="Times New Roman"/>
          <w:bCs w:val="0"/>
          <w:color w:val="auto"/>
          <w:sz w:val="20"/>
          <w:szCs w:val="24"/>
        </w:rPr>
        <w:fldChar w:fldCharType="end"/>
      </w:r>
      <w:r w:rsidR="000C4E62">
        <w:rPr>
          <w:rFonts w:eastAsia="Times New Roman"/>
          <w:bCs w:val="0"/>
          <w:color w:val="auto"/>
          <w:sz w:val="20"/>
          <w:szCs w:val="24"/>
        </w:rPr>
        <w:br w:type="page"/>
      </w:r>
    </w:p>
    <w:p w14:paraId="7236B902" w14:textId="77777777" w:rsidR="00FC01AA" w:rsidRPr="00F9772E" w:rsidRDefault="00FC01AA" w:rsidP="009415A5">
      <w:pPr>
        <w:pStyle w:val="Nadpis1"/>
        <w:spacing w:after="240"/>
      </w:pPr>
      <w:bookmarkStart w:id="1" w:name="_Toc90293515"/>
      <w:bookmarkStart w:id="2" w:name="_Toc121211608"/>
      <w:r>
        <w:lastRenderedPageBreak/>
        <w:t>Úvod</w:t>
      </w:r>
      <w:bookmarkEnd w:id="1"/>
      <w:bookmarkEnd w:id="2"/>
    </w:p>
    <w:p w14:paraId="2DC1D519" w14:textId="77777777" w:rsidR="00FC01AA" w:rsidRDefault="00FC01AA" w:rsidP="00FC01AA">
      <w:pPr>
        <w:spacing w:line="240" w:lineRule="auto"/>
        <w:jc w:val="both"/>
        <w:rPr>
          <w:rFonts w:cs="Arial"/>
          <w:szCs w:val="20"/>
        </w:rPr>
      </w:pPr>
      <w:r>
        <w:rPr>
          <w:rFonts w:cs="Arial"/>
          <w:szCs w:val="20"/>
        </w:rPr>
        <w:t>Milí čtenáři,</w:t>
      </w:r>
    </w:p>
    <w:p w14:paraId="007DB45F" w14:textId="4B605EBB" w:rsidR="00FC01AA" w:rsidRDefault="00FC01AA" w:rsidP="00FC01AA">
      <w:pPr>
        <w:spacing w:line="240" w:lineRule="auto"/>
        <w:jc w:val="both"/>
        <w:rPr>
          <w:rFonts w:cs="Arial"/>
          <w:szCs w:val="20"/>
        </w:rPr>
      </w:pPr>
      <w:r>
        <w:rPr>
          <w:rFonts w:cs="Arial"/>
          <w:szCs w:val="20"/>
        </w:rPr>
        <w:t>dostáváte do rukou každoroční souhrnnou analýzu o seniorech v datech, která loni na Českém statistickém úřadě prošla výraznou revizí. Na jejím obsahu se podílí hned několik oddělení se snahou dodat laické i odborné veřejnosti co nejkomplexnější pohled na tuto skupinu naší populace, a to z nejrůznějších hledisek. Každý autor zpracoval část</w:t>
      </w:r>
      <w:r w:rsidR="001B125D">
        <w:rPr>
          <w:rFonts w:cs="Arial"/>
          <w:szCs w:val="20"/>
        </w:rPr>
        <w:t xml:space="preserve"> v oblasti své expertizy</w:t>
      </w:r>
      <w:r>
        <w:rPr>
          <w:rFonts w:cs="Arial"/>
          <w:szCs w:val="20"/>
        </w:rPr>
        <w:t>.</w:t>
      </w:r>
    </w:p>
    <w:p w14:paraId="717D4992" w14:textId="5BDAE826" w:rsidR="00FC01AA" w:rsidRDefault="00FC01AA" w:rsidP="00FC01AA">
      <w:pPr>
        <w:spacing w:line="240" w:lineRule="auto"/>
        <w:jc w:val="both"/>
        <w:rPr>
          <w:rFonts w:cs="Arial"/>
          <w:szCs w:val="20"/>
        </w:rPr>
      </w:pPr>
      <w:r>
        <w:rPr>
          <w:rFonts w:cs="Arial"/>
          <w:szCs w:val="20"/>
        </w:rPr>
        <w:t>Jednotlivé kapitoly jsou prováz</w:t>
      </w:r>
      <w:r w:rsidR="001B125D">
        <w:rPr>
          <w:rFonts w:cs="Arial"/>
          <w:szCs w:val="20"/>
        </w:rPr>
        <w:t>e</w:t>
      </w:r>
      <w:r>
        <w:rPr>
          <w:rFonts w:cs="Arial"/>
          <w:szCs w:val="20"/>
        </w:rPr>
        <w:t>ny názornými tabulkami a grafy.</w:t>
      </w:r>
    </w:p>
    <w:p w14:paraId="6E7C548F" w14:textId="5D1A1ABF" w:rsidR="00FC01AA" w:rsidRDefault="00FC01AA" w:rsidP="00FC01AA">
      <w:pPr>
        <w:spacing w:line="240" w:lineRule="auto"/>
        <w:jc w:val="both"/>
        <w:rPr>
          <w:rFonts w:cs="Arial"/>
          <w:szCs w:val="20"/>
        </w:rPr>
      </w:pPr>
      <w:r>
        <w:rPr>
          <w:rFonts w:cs="Arial"/>
          <w:szCs w:val="20"/>
        </w:rPr>
        <w:t xml:space="preserve">Každý rok </w:t>
      </w:r>
      <w:r w:rsidR="003B1F6F">
        <w:rPr>
          <w:rFonts w:cs="Arial"/>
          <w:szCs w:val="20"/>
        </w:rPr>
        <w:t>j</w:t>
      </w:r>
      <w:r>
        <w:rPr>
          <w:rFonts w:cs="Arial"/>
          <w:szCs w:val="20"/>
        </w:rPr>
        <w:t xml:space="preserve">e upřednostněna jiná problematika, která v publikaci dostane výraznější prostor než ostatní kapitoly. </w:t>
      </w:r>
      <w:r w:rsidR="003B1F6F">
        <w:rPr>
          <w:rFonts w:cs="Arial"/>
          <w:szCs w:val="20"/>
        </w:rPr>
        <w:t>V roce 2022 tvoří páteř publikace oblast sociálního zabezpečení.</w:t>
      </w:r>
    </w:p>
    <w:p w14:paraId="5C0B207E" w14:textId="4DF41EDF" w:rsidR="00FC01AA" w:rsidRDefault="00FC01AA" w:rsidP="00FC01AA">
      <w:pPr>
        <w:spacing w:line="240" w:lineRule="auto"/>
        <w:jc w:val="both"/>
        <w:rPr>
          <w:rFonts w:cs="Arial"/>
          <w:szCs w:val="20"/>
        </w:rPr>
      </w:pPr>
      <w:r>
        <w:rPr>
          <w:rFonts w:cs="Arial"/>
          <w:szCs w:val="20"/>
        </w:rPr>
        <w:t xml:space="preserve">Specifikou letošního roku je kapitola věnovaná výstupům ze </w:t>
      </w:r>
      <w:r>
        <w:t>Sčítání lidu, domů a bytů 2021.</w:t>
      </w:r>
    </w:p>
    <w:p w14:paraId="32C4D455" w14:textId="6E0C9A2F" w:rsidR="00FC01AA" w:rsidRDefault="00FC01AA" w:rsidP="00FC01AA">
      <w:pPr>
        <w:spacing w:line="240" w:lineRule="auto"/>
        <w:jc w:val="both"/>
        <w:rPr>
          <w:rFonts w:cs="Arial"/>
          <w:szCs w:val="20"/>
        </w:rPr>
      </w:pPr>
      <w:r>
        <w:rPr>
          <w:rFonts w:cs="Arial"/>
          <w:szCs w:val="20"/>
        </w:rPr>
        <w:t xml:space="preserve">Vymezení pojmu seniorské populace není v publikaci jednoznačné – a odvíjí se od obsahu </w:t>
      </w:r>
      <w:r w:rsidR="003B1F6F">
        <w:rPr>
          <w:rFonts w:cs="Arial"/>
          <w:szCs w:val="20"/>
        </w:rPr>
        <w:t>každé</w:t>
      </w:r>
      <w:r>
        <w:rPr>
          <w:rFonts w:cs="Arial"/>
          <w:szCs w:val="20"/>
        </w:rPr>
        <w:t xml:space="preserve"> kapitoly.</w:t>
      </w:r>
    </w:p>
    <w:p w14:paraId="44128763" w14:textId="77777777" w:rsidR="00FC01AA" w:rsidRDefault="00FC01AA" w:rsidP="00FC01AA">
      <w:pPr>
        <w:spacing w:line="240" w:lineRule="auto"/>
        <w:jc w:val="both"/>
        <w:rPr>
          <w:rFonts w:cs="Arial"/>
          <w:szCs w:val="20"/>
        </w:rPr>
      </w:pPr>
      <w:r>
        <w:rPr>
          <w:rFonts w:cs="Arial"/>
          <w:szCs w:val="20"/>
        </w:rPr>
        <w:t xml:space="preserve">Statistická data mohou být založena pouze na chronologickém věku jako měřitelné proměnné. </w:t>
      </w:r>
    </w:p>
    <w:p w14:paraId="15E0B7E2" w14:textId="77777777" w:rsidR="00FC01AA" w:rsidRDefault="00FC01AA" w:rsidP="00FC01AA">
      <w:pPr>
        <w:spacing w:line="240" w:lineRule="auto"/>
        <w:jc w:val="both"/>
        <w:rPr>
          <w:rFonts w:cs="Arial"/>
          <w:szCs w:val="20"/>
        </w:rPr>
      </w:pPr>
      <w:r>
        <w:rPr>
          <w:rFonts w:cs="Arial"/>
          <w:szCs w:val="20"/>
        </w:rPr>
        <w:t xml:space="preserve">Oproti tomu „sociální věk“ se váže na jednotlivé etapy a fáze života, které jsou historicky proměnlivé. </w:t>
      </w:r>
    </w:p>
    <w:p w14:paraId="68FB278D" w14:textId="4055223D" w:rsidR="00FC01AA" w:rsidRDefault="00FC01AA" w:rsidP="00FC01AA">
      <w:pPr>
        <w:spacing w:line="240" w:lineRule="auto"/>
        <w:jc w:val="both"/>
        <w:rPr>
          <w:rFonts w:cs="Arial"/>
          <w:szCs w:val="20"/>
        </w:rPr>
      </w:pPr>
      <w:r>
        <w:rPr>
          <w:rFonts w:cs="Arial"/>
          <w:szCs w:val="20"/>
        </w:rPr>
        <w:t>V kapitole věnované demografickým charakteristikám seniorů lze najít nejenom jejich počty, ale i pohled na jejich demografické události.</w:t>
      </w:r>
    </w:p>
    <w:p w14:paraId="64F8EBA7" w14:textId="77777777" w:rsidR="00482435" w:rsidRDefault="00482435" w:rsidP="00482435">
      <w:pPr>
        <w:spacing w:line="240" w:lineRule="auto"/>
        <w:jc w:val="both"/>
        <w:rPr>
          <w:rFonts w:cs="Arial"/>
          <w:szCs w:val="20"/>
        </w:rPr>
      </w:pPr>
      <w:r>
        <w:rPr>
          <w:rFonts w:cs="Arial"/>
          <w:szCs w:val="20"/>
        </w:rPr>
        <w:t>Kapitola věnovaná sociálnímu zabezpečení cílí nejen na důchody, ale i na zařízení sociálních služeb.</w:t>
      </w:r>
    </w:p>
    <w:p w14:paraId="7634E37C" w14:textId="226A6165" w:rsidR="00901781" w:rsidRDefault="00FC01AA" w:rsidP="00FC01AA">
      <w:pPr>
        <w:spacing w:line="240" w:lineRule="auto"/>
        <w:jc w:val="both"/>
        <w:rPr>
          <w:rFonts w:cs="Arial"/>
          <w:szCs w:val="20"/>
        </w:rPr>
      </w:pPr>
      <w:r>
        <w:rPr>
          <w:rFonts w:cs="Arial"/>
          <w:szCs w:val="20"/>
        </w:rPr>
        <w:t>Významný je též blok věnovaný příjmům a výdajům domácností seniorů a ohrožení chudobou.</w:t>
      </w:r>
    </w:p>
    <w:p w14:paraId="66271D95" w14:textId="77777777" w:rsidR="00901781" w:rsidRDefault="00901781">
      <w:pPr>
        <w:spacing w:after="0" w:line="240" w:lineRule="auto"/>
        <w:rPr>
          <w:rFonts w:cs="Arial"/>
          <w:szCs w:val="20"/>
        </w:rPr>
      </w:pPr>
      <w:r>
        <w:rPr>
          <w:rFonts w:cs="Arial"/>
          <w:szCs w:val="20"/>
        </w:rPr>
        <w:br w:type="page"/>
      </w:r>
    </w:p>
    <w:p w14:paraId="6607FC5D" w14:textId="25A462DC" w:rsidR="00FC01AA" w:rsidRDefault="00FC01AA" w:rsidP="00482435">
      <w:pPr>
        <w:spacing w:line="240" w:lineRule="auto"/>
        <w:jc w:val="both"/>
        <w:rPr>
          <w:rFonts w:cs="Arial"/>
          <w:szCs w:val="20"/>
        </w:rPr>
      </w:pPr>
      <w:r>
        <w:rPr>
          <w:rFonts w:cs="Arial"/>
          <w:szCs w:val="20"/>
        </w:rPr>
        <w:lastRenderedPageBreak/>
        <w:t>Zajímavá může být nesporně i jejich participace na trhu práce či oblast kriminality seniorů, v níž je pozornost upřena na jejich zranitelnost v podobě obětí trestných činů. Čím dál více pozornosti si senioři zaslouží rovněž na  poli informačních a komunikačních technologií, s nimiž nejenže čím dál častěji přicházejí do konta</w:t>
      </w:r>
      <w:r w:rsidR="001660A3">
        <w:rPr>
          <w:rFonts w:cs="Arial"/>
          <w:szCs w:val="20"/>
        </w:rPr>
        <w:t>ktu, ale aktivně je využívají.</w:t>
      </w:r>
    </w:p>
    <w:p w14:paraId="41DA97FA" w14:textId="5B69606A" w:rsidR="00FC01AA" w:rsidRPr="00FC01AA" w:rsidRDefault="00FC01AA" w:rsidP="00945D5E">
      <w:pPr>
        <w:spacing w:line="240" w:lineRule="auto"/>
        <w:jc w:val="both"/>
      </w:pPr>
      <w:r>
        <w:rPr>
          <w:rFonts w:cs="Arial"/>
          <w:szCs w:val="20"/>
        </w:rPr>
        <w:t>Tato analýza by měla přispět k ucelenějšímu pohledu na výraznou složku naší populace a stát se fundovaným podkladem pro nejrůznější politická opatření, jež těmto spoluobčanům pomohou.</w:t>
      </w:r>
    </w:p>
    <w:p w14:paraId="241F2812" w14:textId="77777777" w:rsidR="00EE4B1B" w:rsidRDefault="00087F2B" w:rsidP="00630C07">
      <w:pPr>
        <w:pStyle w:val="Nadpis1"/>
        <w:spacing w:after="240"/>
        <w:jc w:val="both"/>
      </w:pPr>
      <w:r w:rsidRPr="00FC01AA">
        <w:br w:type="page"/>
      </w:r>
      <w:bookmarkStart w:id="3" w:name="_Toc121211609"/>
      <w:r w:rsidR="008E1DB7">
        <w:lastRenderedPageBreak/>
        <w:t xml:space="preserve">1. </w:t>
      </w:r>
      <w:r w:rsidR="005A679B">
        <w:t>Demografické charakteristiky seniorů</w:t>
      </w:r>
      <w:bookmarkEnd w:id="3"/>
    </w:p>
    <w:p w14:paraId="1AFB31FD" w14:textId="215A9192" w:rsidR="00280CE2" w:rsidRDefault="00280CE2" w:rsidP="00917551">
      <w:pPr>
        <w:pStyle w:val="Box1"/>
        <w:spacing w:line="240" w:lineRule="auto"/>
        <w:jc w:val="both"/>
      </w:pPr>
      <w:r>
        <w:rPr>
          <w:b/>
        </w:rPr>
        <w:t>Kdo je senior?</w:t>
      </w:r>
      <w:r w:rsidRPr="00DB2EC8">
        <w:rPr>
          <w:b/>
        </w:rPr>
        <w:t xml:space="preserve"> </w:t>
      </w:r>
      <w:r>
        <w:t xml:space="preserve">V demografické statistice je senior </w:t>
      </w:r>
      <w:r w:rsidR="009628B9">
        <w:t xml:space="preserve">běžně </w:t>
      </w:r>
      <w:r>
        <w:t>definován pomocí kritéria jeho věku, kdy za seniora je považována každá osoba ve věku 65 či více let.</w:t>
      </w:r>
    </w:p>
    <w:p w14:paraId="31B9897B" w14:textId="566A1161" w:rsidR="00280CE2" w:rsidRDefault="00B63A50" w:rsidP="00917551">
      <w:pPr>
        <w:pStyle w:val="Box1"/>
        <w:spacing w:line="240" w:lineRule="auto"/>
        <w:jc w:val="both"/>
      </w:pPr>
      <w:r>
        <w:t>(Ve starších </w:t>
      </w:r>
      <w:r w:rsidR="00280CE2">
        <w:t>da</w:t>
      </w:r>
      <w:r>
        <w:t>tových zdrojích se lze setkat i s nižší hranicí </w:t>
      </w:r>
      <w:r w:rsidR="00280CE2">
        <w:t>senior</w:t>
      </w:r>
      <w:r>
        <w:t>-</w:t>
      </w:r>
      <w:r w:rsidR="00280CE2">
        <w:t>ského věku 60 let.)</w:t>
      </w:r>
    </w:p>
    <w:p w14:paraId="08E8F02C" w14:textId="77777777" w:rsidR="001660A3" w:rsidRPr="001660A3" w:rsidRDefault="001660A3" w:rsidP="00B63A50">
      <w:pPr>
        <w:spacing w:after="0" w:line="120" w:lineRule="auto"/>
      </w:pPr>
    </w:p>
    <w:p w14:paraId="35DC13F8" w14:textId="489515D1" w:rsidR="00280CE2" w:rsidRDefault="00280CE2" w:rsidP="00917551">
      <w:pPr>
        <w:pStyle w:val="Box1"/>
        <w:spacing w:line="240" w:lineRule="auto"/>
        <w:jc w:val="both"/>
      </w:pPr>
      <w:r>
        <w:rPr>
          <w:b/>
        </w:rPr>
        <w:t xml:space="preserve">Zdroje dat: </w:t>
      </w:r>
      <w:r>
        <w:t xml:space="preserve">Počet obyvatel a jeho složení podle věku </w:t>
      </w:r>
      <w:r w:rsidR="000434D7">
        <w:t xml:space="preserve">a rodinného stavu </w:t>
      </w:r>
      <w:r>
        <w:t>vychází z výsledků sčítání a návazné bilance demografických událostí podle pohlaví, ročníku narození a rodinného stavu. Počínaje rokem 2021 stav obyvatel navazuje na výsledky sčítání lidu, domů a</w:t>
      </w:r>
      <w:r w:rsidR="00250F74">
        <w:t> </w:t>
      </w:r>
      <w:r>
        <w:t>bytů 2021, v letech 2011–2020 byl základem bilance stav zjištěný při sčítání lidu, domů a bytů 2011.</w:t>
      </w:r>
    </w:p>
    <w:p w14:paraId="56F6D43A" w14:textId="41A7A70E" w:rsidR="00280CE2" w:rsidRPr="00DB2EC8" w:rsidRDefault="00280CE2" w:rsidP="00917551">
      <w:pPr>
        <w:pStyle w:val="Box1"/>
        <w:spacing w:line="240" w:lineRule="auto"/>
        <w:jc w:val="both"/>
      </w:pPr>
      <w:r>
        <w:t>Údaje o sňatcích, narozených a úmrtích vychází z hlášení,</w:t>
      </w:r>
      <w:r w:rsidR="007B19D3">
        <w:t xml:space="preserve"> které zasílají Českému statistickému úřadu matriční úřady,</w:t>
      </w:r>
      <w:r>
        <w:t xml:space="preserve"> </w:t>
      </w:r>
      <w:r w:rsidR="007B19D3">
        <w:t>zdrojem dat o</w:t>
      </w:r>
      <w:r w:rsidR="00092B38">
        <w:t> </w:t>
      </w:r>
      <w:r>
        <w:t>rozvod</w:t>
      </w:r>
      <w:r w:rsidR="007B19D3">
        <w:t xml:space="preserve">ech je informační systém </w:t>
      </w:r>
      <w:r>
        <w:t>M</w:t>
      </w:r>
      <w:r w:rsidR="007B19D3">
        <w:t>inisterstva spravedlnosti ČR</w:t>
      </w:r>
      <w:r>
        <w:t xml:space="preserve"> </w:t>
      </w:r>
      <w:r w:rsidR="007B19D3">
        <w:t>a</w:t>
      </w:r>
      <w:r w:rsidR="00250F74">
        <w:t> </w:t>
      </w:r>
      <w:r w:rsidR="007B19D3">
        <w:t xml:space="preserve">v případě </w:t>
      </w:r>
      <w:r>
        <w:t>stěhování I</w:t>
      </w:r>
      <w:r w:rsidR="007B19D3">
        <w:t>nformační systém evidence obyvatel a</w:t>
      </w:r>
      <w:r w:rsidR="00250F74">
        <w:t> </w:t>
      </w:r>
      <w:r w:rsidR="007B19D3">
        <w:t xml:space="preserve">Cizinecký </w:t>
      </w:r>
      <w:r w:rsidR="00092B38">
        <w:t>informační systém (oba ve správ</w:t>
      </w:r>
      <w:r w:rsidR="007B19D3">
        <w:t>ě Ministerstva vnitra ČR).</w:t>
      </w:r>
    </w:p>
    <w:p w14:paraId="741A539F" w14:textId="4F423795" w:rsidR="00FC1A51" w:rsidRDefault="007B19D3" w:rsidP="00B63A50">
      <w:pPr>
        <w:pStyle w:val="Nadpis2"/>
        <w:numPr>
          <w:ilvl w:val="1"/>
          <w:numId w:val="15"/>
        </w:numPr>
        <w:spacing w:before="240" w:after="240"/>
        <w:ind w:left="1077"/>
      </w:pPr>
      <w:bookmarkStart w:id="4" w:name="_Toc121211610"/>
      <w:r>
        <w:t>Počet a podíl seniorů</w:t>
      </w:r>
      <w:bookmarkEnd w:id="4"/>
    </w:p>
    <w:p w14:paraId="571F20A7" w14:textId="6339A648" w:rsidR="00B63A50" w:rsidRDefault="00896F62" w:rsidP="00917551">
      <w:pPr>
        <w:spacing w:line="240" w:lineRule="auto"/>
        <w:jc w:val="both"/>
      </w:pPr>
      <w:r>
        <w:t>Počet osob ve věku 65 či více let se v Česku nepřetržitě zvyšuje od poloviny 80. let 20</w:t>
      </w:r>
      <w:r w:rsidR="00534A28">
        <w:t>.</w:t>
      </w:r>
      <w:r>
        <w:t> století.</w:t>
      </w:r>
      <w:r w:rsidR="00377790">
        <w:t xml:space="preserve"> </w:t>
      </w:r>
      <w:r w:rsidR="00875208">
        <w:t>Nárůst počtu seniorů výrazně zrychlil na konci prvního desetiletí 21.</w:t>
      </w:r>
      <w:r w:rsidR="00092B38">
        <w:t> </w:t>
      </w:r>
      <w:r w:rsidR="00875208">
        <w:t>století, když přes hranici 65 let věk</w:t>
      </w:r>
      <w:r w:rsidR="00092B38">
        <w:t>u</w:t>
      </w:r>
      <w:r w:rsidR="00875208">
        <w:t xml:space="preserve"> začaly přecházet silné populační ročníky osob narozených ve 40. letech 20. století.</w:t>
      </w:r>
      <w:r w:rsidR="00A17C52">
        <w:t xml:space="preserve"> Zatímco během let 2001–2010 se počet seniorů navýšil o 185 tisíc, mezi počátkem roku 2011 a koncem roku 2020 to bylo o 521 tisíc. V posledních dvou letech byl r</w:t>
      </w:r>
      <w:r w:rsidR="00A17C52" w:rsidRPr="00A17C52">
        <w:t xml:space="preserve">ůst počtu seniorů </w:t>
      </w:r>
      <w:r w:rsidR="00A17C52">
        <w:t>zbrzděn</w:t>
      </w:r>
      <w:r w:rsidR="00523843">
        <w:t>, kromě již méně početných ročníků překračujících hranici 65 let také</w:t>
      </w:r>
      <w:r w:rsidR="00092B38">
        <w:t xml:space="preserve"> </w:t>
      </w:r>
      <w:r w:rsidR="00A17C52">
        <w:t>v důsledku</w:t>
      </w:r>
      <w:r w:rsidR="00A17C52" w:rsidRPr="00A17C52">
        <w:t xml:space="preserve"> zhoršen</w:t>
      </w:r>
      <w:r w:rsidR="00A17C52">
        <w:t>ých</w:t>
      </w:r>
      <w:r w:rsidR="00A17C52" w:rsidRPr="00A17C52">
        <w:t xml:space="preserve"> úmrtnostní</w:t>
      </w:r>
      <w:r w:rsidR="00A17C52">
        <w:t>ch</w:t>
      </w:r>
      <w:r w:rsidR="00A17C52" w:rsidRPr="00A17C52">
        <w:t xml:space="preserve"> podmín</w:t>
      </w:r>
      <w:r w:rsidR="00A17C52">
        <w:t>e</w:t>
      </w:r>
      <w:r w:rsidR="00A17C52" w:rsidRPr="00A17C52">
        <w:t>k v</w:t>
      </w:r>
      <w:r w:rsidR="00366E7D">
        <w:t> </w:t>
      </w:r>
      <w:r w:rsidR="00A17C52" w:rsidRPr="00A17C52">
        <w:t>době pandemie covidu-19</w:t>
      </w:r>
      <w:r w:rsidR="00A17C52" w:rsidRPr="003F7C12">
        <w:t>.</w:t>
      </w:r>
      <w:r w:rsidR="00366E7D" w:rsidRPr="003F7C12">
        <w:t xml:space="preserve"> </w:t>
      </w:r>
      <w:r w:rsidR="003F7C12" w:rsidRPr="003F7C12">
        <w:t>V závěru roku 2021 bylo v populaci Česka o necelých 11 tisíc seniorů více než před rokem, což představovalo růst o 0,5 %, nejméně za poslední dekádu.</w:t>
      </w:r>
    </w:p>
    <w:p w14:paraId="5ED45565" w14:textId="77777777" w:rsidR="00B63A50" w:rsidRDefault="00B63A50">
      <w:pPr>
        <w:spacing w:after="0" w:line="240" w:lineRule="auto"/>
      </w:pPr>
      <w:r>
        <w:br w:type="page"/>
      </w:r>
    </w:p>
    <w:p w14:paraId="60349CD4" w14:textId="7630EC94" w:rsidR="00875208" w:rsidRDefault="00875208" w:rsidP="00917551">
      <w:pPr>
        <w:spacing w:line="240" w:lineRule="auto"/>
        <w:jc w:val="both"/>
      </w:pPr>
      <w:r>
        <w:lastRenderedPageBreak/>
        <w:t xml:space="preserve">Podle posledních údajů o věkovém složení populace bylo </w:t>
      </w:r>
      <w:r w:rsidR="004A5340">
        <w:t xml:space="preserve">na konci roku 2021 </w:t>
      </w:r>
      <w:r>
        <w:t>ve věku 65 či více let 2,17 milionu obyvatel</w:t>
      </w:r>
      <w:r w:rsidRPr="00875208">
        <w:t xml:space="preserve"> </w:t>
      </w:r>
      <w:r>
        <w:t>České republiky.</w:t>
      </w:r>
      <w:r w:rsidR="00A17C52">
        <w:t xml:space="preserve"> Z regionálního pohledu absolutně nejvíce z nich mělo trvalé bydliště ve Středočeském kraji </w:t>
      </w:r>
      <w:r w:rsidR="00366E7D">
        <w:t>(262</w:t>
      </w:r>
      <w:r w:rsidR="00630C07">
        <w:t> </w:t>
      </w:r>
      <w:r w:rsidR="00366E7D">
        <w:t>tisíc)</w:t>
      </w:r>
      <w:r w:rsidR="00092B38">
        <w:t xml:space="preserve">, </w:t>
      </w:r>
      <w:r w:rsidR="00092B38" w:rsidRPr="005500CA">
        <w:t>dále</w:t>
      </w:r>
      <w:r w:rsidR="00B63A50">
        <w:t xml:space="preserve"> v </w:t>
      </w:r>
      <w:r w:rsidR="00A17C52" w:rsidRPr="005500CA">
        <w:t>Praze</w:t>
      </w:r>
      <w:r w:rsidR="00630C07">
        <w:t xml:space="preserve"> (251 </w:t>
      </w:r>
      <w:r w:rsidR="00366E7D" w:rsidRPr="005500CA">
        <w:t>tisíc)</w:t>
      </w:r>
      <w:r w:rsidR="00630C07">
        <w:t>, Moravskoslezském (245 </w:t>
      </w:r>
      <w:r w:rsidR="00092B38" w:rsidRPr="005500CA">
        <w:t>tisíc) a</w:t>
      </w:r>
      <w:r w:rsidR="00250F74">
        <w:t> </w:t>
      </w:r>
      <w:r w:rsidR="00092B38" w:rsidRPr="005500CA">
        <w:t>Jihomoravském kraji</w:t>
      </w:r>
      <w:r w:rsidR="00837AED">
        <w:t xml:space="preserve"> </w:t>
      </w:r>
      <w:r w:rsidR="00837AED" w:rsidRPr="005500CA">
        <w:t>(244 tisíc)</w:t>
      </w:r>
      <w:r w:rsidR="00A17C52" w:rsidRPr="005500CA">
        <w:t>.</w:t>
      </w:r>
    </w:p>
    <w:p w14:paraId="5D715C03" w14:textId="11F0D529" w:rsidR="0073451C" w:rsidRPr="0073451C" w:rsidRDefault="00630C07" w:rsidP="00273982">
      <w:pPr>
        <w:spacing w:after="60" w:line="240" w:lineRule="auto"/>
        <w:ind w:left="709" w:hanging="709"/>
        <w:rPr>
          <w:b/>
        </w:rPr>
      </w:pPr>
      <w:r>
        <w:rPr>
          <w:b/>
        </w:rPr>
        <w:t>Graf 1.1 </w:t>
      </w:r>
      <w:r w:rsidR="0073451C" w:rsidRPr="0073451C">
        <w:rPr>
          <w:b/>
        </w:rPr>
        <w:t>Počet a podíl seniorů</w:t>
      </w:r>
      <w:r w:rsidR="00560FB5">
        <w:rPr>
          <w:b/>
        </w:rPr>
        <w:t xml:space="preserve"> 65+</w:t>
      </w:r>
      <w:r w:rsidR="0073451C" w:rsidRPr="0073451C">
        <w:rPr>
          <w:b/>
        </w:rPr>
        <w:t xml:space="preserve"> v</w:t>
      </w:r>
      <w:r w:rsidR="00B10D65">
        <w:rPr>
          <w:b/>
        </w:rPr>
        <w:t> </w:t>
      </w:r>
      <w:r w:rsidR="0073451C" w:rsidRPr="0073451C">
        <w:rPr>
          <w:b/>
        </w:rPr>
        <w:t>populaci</w:t>
      </w:r>
      <w:r w:rsidR="00B10D65">
        <w:rPr>
          <w:b/>
        </w:rPr>
        <w:t xml:space="preserve"> v letech 1980–2021 </w:t>
      </w:r>
      <w:r w:rsidR="00273982">
        <w:rPr>
          <w:b/>
        </w:rPr>
        <w:br/>
        <w:t xml:space="preserve"> </w:t>
      </w:r>
      <w:r w:rsidR="007F4374">
        <w:rPr>
          <w:b/>
        </w:rPr>
        <w:t>(</w:t>
      </w:r>
      <w:r w:rsidR="00B10D65">
        <w:rPr>
          <w:b/>
        </w:rPr>
        <w:t>k</w:t>
      </w:r>
      <w:r w:rsidR="0039277F">
        <w:rPr>
          <w:b/>
        </w:rPr>
        <w:t> </w:t>
      </w:r>
      <w:r w:rsidR="00B10D65">
        <w:rPr>
          <w:b/>
        </w:rPr>
        <w:t>31. 12.</w:t>
      </w:r>
      <w:r w:rsidR="007F4374">
        <w:rPr>
          <w:b/>
        </w:rPr>
        <w:t>)</w:t>
      </w:r>
    </w:p>
    <w:p w14:paraId="60E3C79D" w14:textId="2644B10B" w:rsidR="0073451C" w:rsidRDefault="007C0C49" w:rsidP="00917551">
      <w:pPr>
        <w:spacing w:after="60" w:line="240" w:lineRule="auto"/>
        <w:jc w:val="both"/>
      </w:pPr>
      <w:r>
        <w:rPr>
          <w:noProof/>
        </w:rPr>
        <w:drawing>
          <wp:inline distT="0" distB="0" distL="0" distR="0" wp14:anchorId="3448CC16" wp14:editId="5D8339DF">
            <wp:extent cx="4247515" cy="2654300"/>
            <wp:effectExtent l="0" t="0" r="635" b="0"/>
            <wp:docPr id="56" name="Graf 56">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52D38A" w14:textId="18372412" w:rsidR="00B10D65" w:rsidRPr="00B10D65" w:rsidRDefault="00B10D65" w:rsidP="00917551">
      <w:pPr>
        <w:spacing w:line="240" w:lineRule="auto"/>
        <w:jc w:val="both"/>
        <w:rPr>
          <w:i/>
        </w:rPr>
      </w:pPr>
      <w:r w:rsidRPr="00B10D65">
        <w:rPr>
          <w:rFonts w:cs="Arial"/>
          <w:i/>
          <w:sz w:val="18"/>
          <w:szCs w:val="18"/>
        </w:rPr>
        <w:t>Zdroj: ČSÚ</w:t>
      </w:r>
    </w:p>
    <w:p w14:paraId="1D6DBACA" w14:textId="44FB7074" w:rsidR="008E02BB" w:rsidRDefault="007D2611" w:rsidP="00917551">
      <w:pPr>
        <w:spacing w:line="240" w:lineRule="auto"/>
        <w:jc w:val="both"/>
      </w:pPr>
      <w:r w:rsidRPr="007D2611">
        <w:t xml:space="preserve">Dlouhodobě rostoucí je v Česku i podíl seniorů na celkové populaci, který je jedním ze základních ukazatelů stárnutí populace. </w:t>
      </w:r>
      <w:r>
        <w:t>S</w:t>
      </w:r>
      <w:r w:rsidRPr="007D2611">
        <w:t>tejně jako absolutní počet seniorů</w:t>
      </w:r>
      <w:r>
        <w:t xml:space="preserve"> se </w:t>
      </w:r>
      <w:r w:rsidRPr="007D2611">
        <w:t xml:space="preserve">i váha seniorů v populaci v podstatě nepřetržitě </w:t>
      </w:r>
      <w:r>
        <w:t xml:space="preserve">zvyšuje </w:t>
      </w:r>
      <w:r w:rsidRPr="007D2611">
        <w:t>od</w:t>
      </w:r>
      <w:r w:rsidR="00250F74">
        <w:t> </w:t>
      </w:r>
      <w:r w:rsidRPr="007D2611">
        <w:t>poloviny 80. let 20. století, tedy již téměř 40 let. Na počátku tohoto století bylo ve věku 65 či více let 1</w:t>
      </w:r>
      <w:r w:rsidR="00B10D65">
        <w:t>3,9 </w:t>
      </w:r>
      <w:r w:rsidRPr="007D2611">
        <w:t xml:space="preserve">% obyvatel, </w:t>
      </w:r>
      <w:r>
        <w:t xml:space="preserve">na počátku roku 2011 pak 15,6 % a na konci roku 2021 již </w:t>
      </w:r>
      <w:r w:rsidR="00734EF8">
        <w:t xml:space="preserve">tyto osoby </w:t>
      </w:r>
      <w:r>
        <w:t>představoval</w:t>
      </w:r>
      <w:r w:rsidR="00734EF8">
        <w:t>y</w:t>
      </w:r>
      <w:r>
        <w:t xml:space="preserve"> více než pětinu populace, a to 20,6</w:t>
      </w:r>
      <w:r w:rsidR="00B10D65">
        <w:t> </w:t>
      </w:r>
      <w:r w:rsidRPr="007D2611">
        <w:t>%</w:t>
      </w:r>
      <w:r w:rsidR="00366E7D">
        <w:t>.</w:t>
      </w:r>
      <w:r w:rsidR="00B8677A">
        <w:t xml:space="preserve"> </w:t>
      </w:r>
      <w:r w:rsidR="00366E7D">
        <w:t>M</w:t>
      </w:r>
      <w:r w:rsidR="00B8677A">
        <w:t>eziročně jejich podíl v populaci vzrostl o 0,5 p. b.</w:t>
      </w:r>
      <w:r w:rsidRPr="007D2611">
        <w:t xml:space="preserve"> Na úrovni krajů se </w:t>
      </w:r>
      <w:r w:rsidR="00366E7D">
        <w:t xml:space="preserve">podíl seniorů </w:t>
      </w:r>
      <w:r w:rsidR="00B8677A">
        <w:t>k 31. 12. 2021</w:t>
      </w:r>
      <w:r w:rsidRPr="007D2611">
        <w:t xml:space="preserve"> pohyboval v rozmezí 18,9 až 22,4</w:t>
      </w:r>
      <w:r w:rsidR="008C003E">
        <w:t> </w:t>
      </w:r>
      <w:r>
        <w:t>%</w:t>
      </w:r>
      <w:r w:rsidRPr="007D2611">
        <w:t>, přičemž nejmenší zastoupení měli senioři v populaci Středočeského kraje a</w:t>
      </w:r>
      <w:r w:rsidR="00250F74">
        <w:t> </w:t>
      </w:r>
      <w:r w:rsidRPr="007D2611">
        <w:t>největší v populaci kraje Královéhradeckého.</w:t>
      </w:r>
    </w:p>
    <w:p w14:paraId="5C8B32A8" w14:textId="77777777" w:rsidR="008E02BB" w:rsidRDefault="008E02BB">
      <w:pPr>
        <w:spacing w:after="0" w:line="240" w:lineRule="auto"/>
      </w:pPr>
      <w:r>
        <w:br w:type="page"/>
      </w:r>
    </w:p>
    <w:p w14:paraId="15A38850" w14:textId="00BFDA82" w:rsidR="007D2611" w:rsidRPr="002A0E72" w:rsidRDefault="002A0E72" w:rsidP="00917551">
      <w:pPr>
        <w:spacing w:line="240" w:lineRule="auto"/>
        <w:jc w:val="both"/>
      </w:pPr>
      <w:r w:rsidRPr="005500CA">
        <w:lastRenderedPageBreak/>
        <w:t>Z</w:t>
      </w:r>
      <w:r w:rsidR="00F60647" w:rsidRPr="005500CA">
        <w:t xml:space="preserve"> pohledu veřejných financí je důležitým ukazatelem také počet </w:t>
      </w:r>
      <w:r w:rsidR="007D2611" w:rsidRPr="005500CA">
        <w:t>osob ekonomicky aktivníh</w:t>
      </w:r>
      <w:r w:rsidR="00F60647" w:rsidRPr="005500CA">
        <w:t xml:space="preserve">o věku (zde </w:t>
      </w:r>
      <w:r w:rsidR="00734EF8" w:rsidRPr="005500CA">
        <w:t xml:space="preserve">aproximován </w:t>
      </w:r>
      <w:r w:rsidR="00F60647" w:rsidRPr="005500CA">
        <w:t>věk</w:t>
      </w:r>
      <w:r w:rsidR="00734EF8" w:rsidRPr="005500CA">
        <w:t>em</w:t>
      </w:r>
      <w:r w:rsidR="00F60647" w:rsidRPr="005500CA">
        <w:t xml:space="preserve"> 20–64 let)</w:t>
      </w:r>
      <w:r w:rsidR="007D2611" w:rsidRPr="005500CA">
        <w:t xml:space="preserve"> na jednoho seniora</w:t>
      </w:r>
      <w:r w:rsidR="00F60647" w:rsidRPr="005500CA">
        <w:t>. Ten</w:t>
      </w:r>
      <w:r w:rsidR="00FF519A" w:rsidRPr="005500CA">
        <w:t>to poměr</w:t>
      </w:r>
      <w:r w:rsidR="00F60647" w:rsidRPr="005500CA">
        <w:t xml:space="preserve"> v posledních patnácti letech výrazně klesal, když</w:t>
      </w:r>
      <w:r w:rsidR="00250F74">
        <w:t> </w:t>
      </w:r>
      <w:r w:rsidR="00F60647" w:rsidRPr="005500CA">
        <w:t xml:space="preserve">početní nárůst seniorů </w:t>
      </w:r>
      <w:r w:rsidR="008506F4" w:rsidRPr="005500CA">
        <w:t xml:space="preserve">doprovázel úbytek osob </w:t>
      </w:r>
      <w:r w:rsidR="006B01AD" w:rsidRPr="005500CA">
        <w:t xml:space="preserve">ekonomicky aktivního </w:t>
      </w:r>
      <w:r w:rsidR="008506F4" w:rsidRPr="005500CA">
        <w:t>věku. Zatímco v letech 2006 a 2007 připadlo na jednoho seniora (65+ let) 4,5 osob ve věku 20–64 let, do roku 2019 se tento počet snížil na hranici 3</w:t>
      </w:r>
      <w:r w:rsidR="00250F74">
        <w:t>,</w:t>
      </w:r>
      <w:r w:rsidR="008506F4" w:rsidRPr="005500CA">
        <w:t xml:space="preserve"> a na konci roku 2021 </w:t>
      </w:r>
      <w:r w:rsidR="006B01AD" w:rsidRPr="005500CA">
        <w:t xml:space="preserve">dosáhl </w:t>
      </w:r>
      <w:r w:rsidR="008506F4" w:rsidRPr="005500CA">
        <w:t>2,8 osob.</w:t>
      </w:r>
      <w:r w:rsidR="00567C32" w:rsidRPr="005500CA">
        <w:t xml:space="preserve"> Od roku 2006 zároveň počet seniorů převyšuje počet dětí do 15 let věku a jejich převaha se neustále zvyšuje. </w:t>
      </w:r>
      <w:r w:rsidR="005500CA">
        <w:t>Dle</w:t>
      </w:r>
      <w:r w:rsidR="00250F74">
        <w:t> </w:t>
      </w:r>
      <w:r w:rsidR="005500CA" w:rsidRPr="005500CA">
        <w:t>hodnot</w:t>
      </w:r>
      <w:r w:rsidR="005500CA">
        <w:t>y</w:t>
      </w:r>
      <w:r w:rsidR="005500CA" w:rsidRPr="005500CA">
        <w:t xml:space="preserve"> indexu stáří </w:t>
      </w:r>
      <w:r w:rsidR="005500CA">
        <w:t>n</w:t>
      </w:r>
      <w:r w:rsidR="00567C32" w:rsidRPr="005500CA">
        <w:t>a konci roku 2021 na sto dětí ve věku 0–14 let připad</w:t>
      </w:r>
      <w:r w:rsidR="00E9005F" w:rsidRPr="005500CA">
        <w:t>alo</w:t>
      </w:r>
      <w:r w:rsidR="00567C32" w:rsidRPr="005500CA">
        <w:t xml:space="preserve"> již 128 seniorů ve věku 65 či více let.</w:t>
      </w:r>
    </w:p>
    <w:p w14:paraId="60177AEA" w14:textId="1BF7596D" w:rsidR="004E30D4" w:rsidRPr="0073451C" w:rsidRDefault="00630C07" w:rsidP="000B0365">
      <w:pPr>
        <w:spacing w:after="60" w:line="240" w:lineRule="auto"/>
        <w:ind w:left="709" w:hanging="709"/>
        <w:jc w:val="both"/>
        <w:rPr>
          <w:b/>
        </w:rPr>
      </w:pPr>
      <w:r>
        <w:rPr>
          <w:b/>
        </w:rPr>
        <w:t>Graf 1.2 </w:t>
      </w:r>
      <w:r w:rsidR="005500CA" w:rsidRPr="005500CA">
        <w:rPr>
          <w:b/>
        </w:rPr>
        <w:t xml:space="preserve">Počet osob ve věku 65+ let na 100 dětí ve věku 0–14 let </w:t>
      </w:r>
      <w:r w:rsidR="00931DC1">
        <w:rPr>
          <w:b/>
        </w:rPr>
        <w:br/>
      </w:r>
      <w:r w:rsidR="000B0365">
        <w:rPr>
          <w:b/>
        </w:rPr>
        <w:t xml:space="preserve"> </w:t>
      </w:r>
      <w:r w:rsidR="005500CA" w:rsidRPr="005500CA">
        <w:rPr>
          <w:b/>
        </w:rPr>
        <w:t>(i</w:t>
      </w:r>
      <w:r w:rsidR="004E30D4" w:rsidRPr="005500CA">
        <w:rPr>
          <w:b/>
        </w:rPr>
        <w:t>ndex stáří</w:t>
      </w:r>
      <w:r w:rsidR="005500CA" w:rsidRPr="005500CA">
        <w:rPr>
          <w:b/>
        </w:rPr>
        <w:t>)</w:t>
      </w:r>
      <w:r w:rsidR="004E30D4" w:rsidRPr="005500CA">
        <w:rPr>
          <w:b/>
        </w:rPr>
        <w:t xml:space="preserve"> a počet osob </w:t>
      </w:r>
      <w:r w:rsidR="005500CA" w:rsidRPr="005500CA">
        <w:rPr>
          <w:b/>
        </w:rPr>
        <w:t>ve</w:t>
      </w:r>
      <w:r w:rsidR="004E30D4" w:rsidRPr="005500CA">
        <w:rPr>
          <w:b/>
        </w:rPr>
        <w:t xml:space="preserve"> věku </w:t>
      </w:r>
      <w:r w:rsidR="00931DC1">
        <w:rPr>
          <w:b/>
        </w:rPr>
        <w:t>20–64 let na 1 osobu ve věku</w:t>
      </w:r>
      <w:r w:rsidR="00931DC1">
        <w:rPr>
          <w:b/>
        </w:rPr>
        <w:br/>
      </w:r>
      <w:r w:rsidR="000B0365">
        <w:rPr>
          <w:b/>
        </w:rPr>
        <w:t xml:space="preserve"> </w:t>
      </w:r>
      <w:r w:rsidR="005500CA" w:rsidRPr="005500CA">
        <w:rPr>
          <w:b/>
        </w:rPr>
        <w:t xml:space="preserve">65+ let </w:t>
      </w:r>
      <w:r w:rsidR="007F4374">
        <w:rPr>
          <w:b/>
        </w:rPr>
        <w:t>v letech 1980–2021 (</w:t>
      </w:r>
      <w:r w:rsidR="004E30D4" w:rsidRPr="005500CA">
        <w:rPr>
          <w:b/>
        </w:rPr>
        <w:t>k 31. 12.</w:t>
      </w:r>
      <w:r w:rsidR="007F4374">
        <w:rPr>
          <w:b/>
        </w:rPr>
        <w:t>)</w:t>
      </w:r>
    </w:p>
    <w:p w14:paraId="4EFE80CE" w14:textId="0C02F9D7" w:rsidR="004E30D4" w:rsidRDefault="007C0C49" w:rsidP="00917551">
      <w:pPr>
        <w:spacing w:after="60" w:line="240" w:lineRule="auto"/>
        <w:jc w:val="both"/>
      </w:pPr>
      <w:r>
        <w:rPr>
          <w:noProof/>
        </w:rPr>
        <w:drawing>
          <wp:inline distT="0" distB="0" distL="0" distR="0" wp14:anchorId="6937696C" wp14:editId="0E4FF954">
            <wp:extent cx="4247515" cy="2654300"/>
            <wp:effectExtent l="0" t="0" r="635" b="0"/>
            <wp:docPr id="58" name="Graf 5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D823F3" w14:textId="1F1898D4" w:rsidR="00FF519A" w:rsidRPr="00FF519A" w:rsidRDefault="00FF519A" w:rsidP="00917551">
      <w:pPr>
        <w:spacing w:line="240" w:lineRule="auto"/>
        <w:jc w:val="both"/>
        <w:rPr>
          <w:i/>
          <w:sz w:val="18"/>
          <w:szCs w:val="18"/>
        </w:rPr>
      </w:pPr>
      <w:r>
        <w:rPr>
          <w:i/>
          <w:sz w:val="18"/>
          <w:szCs w:val="18"/>
        </w:rPr>
        <w:t>Zdroj: ČSÚ</w:t>
      </w:r>
    </w:p>
    <w:p w14:paraId="5EAD6A71" w14:textId="2E21C0BE" w:rsidR="008E1DB7" w:rsidRDefault="00A32169" w:rsidP="00630C07">
      <w:pPr>
        <w:pStyle w:val="Nadpis2"/>
        <w:numPr>
          <w:ilvl w:val="1"/>
          <w:numId w:val="15"/>
        </w:numPr>
        <w:spacing w:after="240"/>
        <w:ind w:left="1077"/>
        <w:jc w:val="both"/>
      </w:pPr>
      <w:bookmarkStart w:id="5" w:name="_Toc121211611"/>
      <w:r>
        <w:t>Věkové složení seniorské populace</w:t>
      </w:r>
      <w:bookmarkEnd w:id="5"/>
    </w:p>
    <w:p w14:paraId="2BFA2215" w14:textId="77777777" w:rsidR="00931DC1" w:rsidRDefault="00A32169" w:rsidP="00917551">
      <w:pPr>
        <w:spacing w:line="240" w:lineRule="auto"/>
        <w:jc w:val="both"/>
      </w:pPr>
      <w:r>
        <w:t xml:space="preserve">Početně nejsilnější pětiletou věkovou skupinu v rámci seniorské populace </w:t>
      </w:r>
      <w:r w:rsidR="00367A89">
        <w:t>(se zhruba třetinovým podílem) tvoří t</w:t>
      </w:r>
      <w:r>
        <w:t>radičně ti nejmladší, tj. osoby ve věku 65–69 let</w:t>
      </w:r>
      <w:r w:rsidR="00367A89">
        <w:t>.</w:t>
      </w:r>
      <w:r>
        <w:t xml:space="preserve"> Jejich převaha nad vyššími věkovými skupinami však aktuálně není nikterak výrazná, což souvisí s historickým vývojem porodnosti. </w:t>
      </w:r>
    </w:p>
    <w:p w14:paraId="518AEF53" w14:textId="17BC4044" w:rsidR="00367A89" w:rsidRDefault="00A32169" w:rsidP="00917551">
      <w:pPr>
        <w:spacing w:line="240" w:lineRule="auto"/>
        <w:jc w:val="both"/>
      </w:pPr>
      <w:r>
        <w:lastRenderedPageBreak/>
        <w:t xml:space="preserve">Díky silným populačním ročníkům narozených ve 40. letech 20. století totiž v posledních deseti letech </w:t>
      </w:r>
      <w:r w:rsidR="00A159F2">
        <w:t xml:space="preserve">velmi </w:t>
      </w:r>
      <w:r>
        <w:t>výrazně přibylo seniorů ve věku 70–74 let</w:t>
      </w:r>
      <w:r w:rsidR="00B11F1F">
        <w:t>,</w:t>
      </w:r>
      <w:r w:rsidR="00367A89">
        <w:t xml:space="preserve"> a</w:t>
      </w:r>
      <w:r w:rsidR="00560FB5">
        <w:t> </w:t>
      </w:r>
      <w:r w:rsidR="00A159F2">
        <w:t>naopak počet obyvatel ve věku 65–69 let se od roku 2016 snižoval.</w:t>
      </w:r>
      <w:r>
        <w:t xml:space="preserve"> </w:t>
      </w:r>
      <w:r w:rsidR="00A159F2">
        <w:t xml:space="preserve">V roce 2021 bylo starších šedesátníků </w:t>
      </w:r>
      <w:r w:rsidR="00367A89">
        <w:t>660</w:t>
      </w:r>
      <w:r w:rsidR="00590B0C">
        <w:t xml:space="preserve"> </w:t>
      </w:r>
      <w:r w:rsidR="00367A89">
        <w:t xml:space="preserve">tisíc, </w:t>
      </w:r>
      <w:r w:rsidR="00A159F2">
        <w:t>jen o necelých 45 tisíc více než</w:t>
      </w:r>
      <w:r w:rsidR="00E74EA7">
        <w:t> </w:t>
      </w:r>
      <w:r w:rsidR="00A159F2">
        <w:t>mladších sedmdesátníků</w:t>
      </w:r>
      <w:r w:rsidR="00367A89">
        <w:t xml:space="preserve"> (615 tisíc)</w:t>
      </w:r>
      <w:r w:rsidR="00A159F2">
        <w:t>, zatímco o šest let dříve byl rozdíl těchto dvou skupin téměř 200tisícový</w:t>
      </w:r>
      <w:r w:rsidR="00367A89">
        <w:t xml:space="preserve"> (na konci roku 2015 </w:t>
      </w:r>
      <w:r w:rsidR="00590B0C">
        <w:t xml:space="preserve">bylo 65–69letých </w:t>
      </w:r>
      <w:r w:rsidR="00A437B2">
        <w:t xml:space="preserve">693 tisíc </w:t>
      </w:r>
      <w:r w:rsidR="00590B0C">
        <w:t>a 70–74letých seniorů</w:t>
      </w:r>
      <w:r w:rsidR="00A437B2">
        <w:t xml:space="preserve"> 495 tisíc</w:t>
      </w:r>
      <w:r w:rsidR="00367A89">
        <w:t>)</w:t>
      </w:r>
      <w:r w:rsidR="00A159F2">
        <w:t>.</w:t>
      </w:r>
      <w:r w:rsidR="00367A89">
        <w:t xml:space="preserve"> Stále však platí, že v každé další pětileté věkové skupině vyššího věku je </w:t>
      </w:r>
      <w:r w:rsidR="00B8677A">
        <w:t xml:space="preserve">vlivem s věkem rostoucí úmrtnosti </w:t>
      </w:r>
      <w:r w:rsidR="00367A89">
        <w:t>počet obyvatel nižší.</w:t>
      </w:r>
    </w:p>
    <w:p w14:paraId="5A0C2B00" w14:textId="3EABD160" w:rsidR="00A159F2" w:rsidRDefault="00367A89" w:rsidP="00917551">
      <w:pPr>
        <w:spacing w:line="240" w:lineRule="auto"/>
        <w:jc w:val="both"/>
      </w:pPr>
      <w:r>
        <w:t>Senioři ve věku 65 až 74 let společně zahrn</w:t>
      </w:r>
      <w:r w:rsidR="00360204">
        <w:t>ují téměř tři pětiny všech seniorů, zbylé dvě pětiny zastupují dvě podobně velké skupiny osob ve věku 7</w:t>
      </w:r>
      <w:r w:rsidR="005F7867">
        <w:t>0</w:t>
      </w:r>
      <w:r w:rsidR="00360204">
        <w:t>–79 let (443 tisíc</w:t>
      </w:r>
      <w:r w:rsidR="00BD53FB">
        <w:t xml:space="preserve"> v roce 2021</w:t>
      </w:r>
      <w:r w:rsidR="00360204">
        <w:t>) a osob ve věku 80 a více let (451 tisíc). Většina z věkové skupiny 80+</w:t>
      </w:r>
      <w:r w:rsidR="00A437B2">
        <w:t> </w:t>
      </w:r>
      <w:r w:rsidR="005F7867">
        <w:t>let</w:t>
      </w:r>
      <w:r w:rsidR="00360204">
        <w:t xml:space="preserve"> patř</w:t>
      </w:r>
      <w:r w:rsidR="005F7867">
        <w:t>ila</w:t>
      </w:r>
      <w:r w:rsidR="002E2512">
        <w:t xml:space="preserve"> mezi osmdesátníky (387 </w:t>
      </w:r>
      <w:r w:rsidR="00360204">
        <w:t>tisíc), devadesátník</w:t>
      </w:r>
      <w:r w:rsidR="000434D7">
        <w:t>y</w:t>
      </w:r>
      <w:r w:rsidR="00360204">
        <w:t xml:space="preserve"> bylo podle bilance ČSÚ na konci roku 2021 </w:t>
      </w:r>
      <w:r w:rsidR="00A02B48">
        <w:t xml:space="preserve">přibližně </w:t>
      </w:r>
      <w:r w:rsidR="00C42EE9">
        <w:t>64</w:t>
      </w:r>
      <w:r w:rsidR="00B11F1F">
        <w:t xml:space="preserve"> </w:t>
      </w:r>
      <w:r w:rsidR="00360204">
        <w:t>tisíc obyvatel Česka</w:t>
      </w:r>
      <w:r w:rsidR="00B11F1F">
        <w:t>,</w:t>
      </w:r>
      <w:r w:rsidR="00360204">
        <w:t xml:space="preserve"> a ve věku 100 a více let</w:t>
      </w:r>
      <w:r w:rsidR="00B11F1F">
        <w:t xml:space="preserve"> bylo</w:t>
      </w:r>
      <w:r w:rsidR="00360204">
        <w:t xml:space="preserve"> 756</w:t>
      </w:r>
      <w:r w:rsidR="00B11F1F">
        <w:t xml:space="preserve"> osob</w:t>
      </w:r>
      <w:r w:rsidR="00360204">
        <w:t>.</w:t>
      </w:r>
    </w:p>
    <w:tbl>
      <w:tblPr>
        <w:tblW w:w="5000" w:type="pct"/>
        <w:tblLayout w:type="fixed"/>
        <w:tblCellMar>
          <w:left w:w="70" w:type="dxa"/>
          <w:right w:w="70" w:type="dxa"/>
        </w:tblCellMar>
        <w:tblLook w:val="04A0" w:firstRow="1" w:lastRow="0" w:firstColumn="1" w:lastColumn="0" w:noHBand="0" w:noVBand="1"/>
      </w:tblPr>
      <w:tblGrid>
        <w:gridCol w:w="1416"/>
        <w:gridCol w:w="877"/>
        <w:gridCol w:w="138"/>
        <w:gridCol w:w="741"/>
        <w:gridCol w:w="110"/>
        <w:gridCol w:w="768"/>
        <w:gridCol w:w="83"/>
        <w:gridCol w:w="796"/>
        <w:gridCol w:w="55"/>
        <w:gridCol w:w="823"/>
        <w:gridCol w:w="28"/>
        <w:gridCol w:w="854"/>
      </w:tblGrid>
      <w:tr w:rsidR="0073451C" w:rsidRPr="00FC56DE" w14:paraId="1FB02FDC" w14:textId="77777777" w:rsidTr="00323865">
        <w:trPr>
          <w:trHeight w:val="300"/>
        </w:trPr>
        <w:tc>
          <w:tcPr>
            <w:tcW w:w="5000" w:type="pct"/>
            <w:gridSpan w:val="12"/>
            <w:tcBorders>
              <w:top w:val="nil"/>
              <w:left w:val="nil"/>
              <w:bottom w:val="single" w:sz="12" w:space="0" w:color="auto"/>
              <w:right w:val="nil"/>
            </w:tcBorders>
            <w:shd w:val="clear" w:color="auto" w:fill="auto"/>
            <w:noWrap/>
            <w:vAlign w:val="center"/>
            <w:hideMark/>
          </w:tcPr>
          <w:p w14:paraId="1FDA95C3" w14:textId="4E00F8EF" w:rsidR="0073451C" w:rsidRPr="00332190" w:rsidRDefault="0073451C" w:rsidP="00917551">
            <w:pPr>
              <w:pStyle w:val="Titulek"/>
              <w:spacing w:line="240" w:lineRule="auto"/>
              <w:jc w:val="both"/>
            </w:pPr>
            <w:r w:rsidRPr="00332190">
              <w:t xml:space="preserve">Tab. </w:t>
            </w:r>
            <w:r w:rsidR="00CD55B5">
              <w:t>1.1</w:t>
            </w:r>
            <w:r>
              <w:t xml:space="preserve"> </w:t>
            </w:r>
            <w:r w:rsidR="00CD55B5">
              <w:t>Senioři</w:t>
            </w:r>
            <w:r w:rsidR="00560FB5">
              <w:t xml:space="preserve"> 65+</w:t>
            </w:r>
            <w:r w:rsidR="00CD55B5">
              <w:t xml:space="preserve"> podle věku </w:t>
            </w:r>
            <w:r w:rsidR="005F7867">
              <w:t xml:space="preserve">ve vybraných letech </w:t>
            </w:r>
            <w:r w:rsidR="00CD55B5">
              <w:t>(k 31.</w:t>
            </w:r>
            <w:r w:rsidR="005F7867">
              <w:t> </w:t>
            </w:r>
            <w:r w:rsidR="00CD55B5">
              <w:t>12.)</w:t>
            </w:r>
            <w:r>
              <w:t xml:space="preserve"> </w:t>
            </w:r>
          </w:p>
        </w:tc>
      </w:tr>
      <w:tr w:rsidR="0073451C" w:rsidRPr="00FC56DE" w14:paraId="36780CE8" w14:textId="77777777" w:rsidTr="00323865">
        <w:trPr>
          <w:trHeight w:val="465"/>
        </w:trPr>
        <w:tc>
          <w:tcPr>
            <w:tcW w:w="1059" w:type="pct"/>
            <w:tcBorders>
              <w:top w:val="single" w:sz="12" w:space="0" w:color="auto"/>
              <w:left w:val="nil"/>
              <w:bottom w:val="single" w:sz="12" w:space="0" w:color="auto"/>
              <w:right w:val="single" w:sz="8" w:space="0" w:color="auto"/>
            </w:tcBorders>
            <w:shd w:val="clear" w:color="auto" w:fill="F5DADD" w:themeFill="accent5"/>
            <w:vAlign w:val="center"/>
            <w:hideMark/>
          </w:tcPr>
          <w:p w14:paraId="4528D27A" w14:textId="7A1A18D3" w:rsidR="0073451C" w:rsidRPr="006C123E" w:rsidRDefault="0073451C" w:rsidP="00931DC1">
            <w:pPr>
              <w:pStyle w:val="Zkladnodstavec"/>
              <w:spacing w:line="240" w:lineRule="auto"/>
              <w:jc w:val="center"/>
              <w:rPr>
                <w:rFonts w:cs="Arial"/>
                <w:b/>
                <w:sz w:val="16"/>
                <w:szCs w:val="16"/>
              </w:rPr>
            </w:pPr>
            <w:r>
              <w:rPr>
                <w:rFonts w:cs="Arial"/>
                <w:b/>
                <w:sz w:val="16"/>
                <w:szCs w:val="16"/>
              </w:rPr>
              <w:t>Věková skupina</w:t>
            </w:r>
            <w:r w:rsidR="00931DC1">
              <w:rPr>
                <w:rFonts w:cs="Arial"/>
                <w:b/>
                <w:sz w:val="16"/>
                <w:szCs w:val="16"/>
              </w:rPr>
              <w:br/>
              <w:t>(v letech)</w:t>
            </w:r>
          </w:p>
        </w:tc>
        <w:tc>
          <w:tcPr>
            <w:tcW w:w="656" w:type="pct"/>
            <w:tcBorders>
              <w:top w:val="single" w:sz="12" w:space="0" w:color="auto"/>
              <w:left w:val="nil"/>
              <w:bottom w:val="single" w:sz="12" w:space="0" w:color="auto"/>
              <w:right w:val="single" w:sz="8" w:space="0" w:color="auto"/>
            </w:tcBorders>
            <w:shd w:val="clear" w:color="auto" w:fill="F5DADD" w:themeFill="accent5"/>
            <w:vAlign w:val="center"/>
            <w:hideMark/>
          </w:tcPr>
          <w:p w14:paraId="4A1F7E11" w14:textId="77777777" w:rsidR="0073451C" w:rsidRPr="006C123E" w:rsidRDefault="0073451C" w:rsidP="00917551">
            <w:pPr>
              <w:pStyle w:val="Zkladnodstavec"/>
              <w:spacing w:line="240" w:lineRule="auto"/>
              <w:jc w:val="center"/>
              <w:rPr>
                <w:rFonts w:cs="Arial"/>
                <w:b/>
                <w:sz w:val="16"/>
                <w:szCs w:val="16"/>
              </w:rPr>
            </w:pPr>
            <w:r>
              <w:rPr>
                <w:rFonts w:cs="Arial"/>
                <w:b/>
                <w:sz w:val="16"/>
                <w:szCs w:val="16"/>
              </w:rPr>
              <w:t>2011</w:t>
            </w:r>
          </w:p>
        </w:tc>
        <w:tc>
          <w:tcPr>
            <w:tcW w:w="657" w:type="pct"/>
            <w:gridSpan w:val="2"/>
            <w:tcBorders>
              <w:top w:val="single" w:sz="12" w:space="0" w:color="auto"/>
              <w:left w:val="nil"/>
              <w:bottom w:val="single" w:sz="12" w:space="0" w:color="auto"/>
              <w:right w:val="single" w:sz="8" w:space="0" w:color="auto"/>
            </w:tcBorders>
            <w:shd w:val="clear" w:color="auto" w:fill="F5DADD" w:themeFill="accent5"/>
            <w:vAlign w:val="center"/>
            <w:hideMark/>
          </w:tcPr>
          <w:p w14:paraId="353433A9" w14:textId="77777777" w:rsidR="0073451C" w:rsidRPr="0073451C" w:rsidRDefault="0073451C" w:rsidP="00917551">
            <w:pPr>
              <w:pStyle w:val="Zkladnodstavec"/>
              <w:spacing w:line="240" w:lineRule="auto"/>
              <w:jc w:val="center"/>
              <w:rPr>
                <w:rFonts w:asciiTheme="majorHAnsi" w:hAnsiTheme="majorHAnsi" w:cstheme="majorHAnsi"/>
                <w:b/>
                <w:sz w:val="16"/>
                <w:szCs w:val="16"/>
              </w:rPr>
            </w:pPr>
            <w:r w:rsidRPr="0073451C">
              <w:rPr>
                <w:rFonts w:asciiTheme="majorHAnsi" w:hAnsiTheme="majorHAnsi" w:cstheme="majorHAnsi"/>
                <w:b/>
                <w:sz w:val="16"/>
                <w:szCs w:val="16"/>
              </w:rPr>
              <w:t>2013</w:t>
            </w:r>
          </w:p>
        </w:tc>
        <w:tc>
          <w:tcPr>
            <w:tcW w:w="656" w:type="pct"/>
            <w:gridSpan w:val="2"/>
            <w:tcBorders>
              <w:top w:val="single" w:sz="12" w:space="0" w:color="auto"/>
              <w:left w:val="nil"/>
              <w:bottom w:val="single" w:sz="12" w:space="0" w:color="auto"/>
              <w:right w:val="single" w:sz="8" w:space="0" w:color="auto"/>
            </w:tcBorders>
            <w:shd w:val="clear" w:color="auto" w:fill="F5DADD" w:themeFill="accent5"/>
            <w:vAlign w:val="center"/>
            <w:hideMark/>
          </w:tcPr>
          <w:p w14:paraId="2EAE99EF" w14:textId="77777777" w:rsidR="0073451C" w:rsidRPr="0073451C" w:rsidRDefault="0073451C" w:rsidP="00917551">
            <w:pPr>
              <w:pStyle w:val="Zkladnodstavec"/>
              <w:spacing w:line="240" w:lineRule="auto"/>
              <w:jc w:val="center"/>
              <w:rPr>
                <w:rFonts w:asciiTheme="majorHAnsi" w:hAnsiTheme="majorHAnsi" w:cstheme="majorHAnsi"/>
                <w:b/>
                <w:sz w:val="16"/>
                <w:szCs w:val="16"/>
              </w:rPr>
            </w:pPr>
            <w:r w:rsidRPr="0073451C">
              <w:rPr>
                <w:rFonts w:asciiTheme="majorHAnsi" w:hAnsiTheme="majorHAnsi" w:cstheme="majorHAnsi"/>
                <w:b/>
                <w:sz w:val="16"/>
                <w:szCs w:val="16"/>
              </w:rPr>
              <w:t>2015</w:t>
            </w:r>
          </w:p>
        </w:tc>
        <w:tc>
          <w:tcPr>
            <w:tcW w:w="657" w:type="pct"/>
            <w:gridSpan w:val="2"/>
            <w:tcBorders>
              <w:top w:val="single" w:sz="12" w:space="0" w:color="auto"/>
              <w:left w:val="nil"/>
              <w:bottom w:val="single" w:sz="12" w:space="0" w:color="auto"/>
              <w:right w:val="single" w:sz="8" w:space="0" w:color="auto"/>
            </w:tcBorders>
            <w:shd w:val="clear" w:color="auto" w:fill="F5DADD" w:themeFill="accent5"/>
            <w:vAlign w:val="center"/>
            <w:hideMark/>
          </w:tcPr>
          <w:p w14:paraId="7B5440DC" w14:textId="77777777" w:rsidR="0073451C" w:rsidRPr="0073451C" w:rsidRDefault="0073451C" w:rsidP="00917551">
            <w:pPr>
              <w:pStyle w:val="Zkladnodstavec"/>
              <w:spacing w:line="240" w:lineRule="auto"/>
              <w:jc w:val="center"/>
              <w:rPr>
                <w:rFonts w:asciiTheme="majorHAnsi" w:hAnsiTheme="majorHAnsi" w:cstheme="majorHAnsi"/>
                <w:b/>
                <w:sz w:val="16"/>
                <w:szCs w:val="16"/>
              </w:rPr>
            </w:pPr>
            <w:r w:rsidRPr="0073451C">
              <w:rPr>
                <w:rFonts w:asciiTheme="majorHAnsi" w:hAnsiTheme="majorHAnsi" w:cstheme="majorHAnsi"/>
                <w:b/>
                <w:sz w:val="16"/>
                <w:szCs w:val="16"/>
              </w:rPr>
              <w:t>2017</w:t>
            </w:r>
          </w:p>
        </w:tc>
        <w:tc>
          <w:tcPr>
            <w:tcW w:w="656" w:type="pct"/>
            <w:gridSpan w:val="2"/>
            <w:tcBorders>
              <w:top w:val="single" w:sz="12" w:space="0" w:color="auto"/>
              <w:left w:val="nil"/>
              <w:bottom w:val="single" w:sz="12" w:space="0" w:color="auto"/>
              <w:right w:val="single" w:sz="8" w:space="0" w:color="auto"/>
            </w:tcBorders>
            <w:shd w:val="clear" w:color="auto" w:fill="F5DADD" w:themeFill="accent5"/>
            <w:vAlign w:val="center"/>
            <w:hideMark/>
          </w:tcPr>
          <w:p w14:paraId="6A492C5C" w14:textId="77777777" w:rsidR="0073451C" w:rsidRPr="006C123E" w:rsidRDefault="0073451C" w:rsidP="00917551">
            <w:pPr>
              <w:pStyle w:val="Zkladnodstavec"/>
              <w:spacing w:line="240" w:lineRule="auto"/>
              <w:jc w:val="center"/>
              <w:rPr>
                <w:rFonts w:cs="Arial"/>
                <w:b/>
                <w:sz w:val="16"/>
                <w:szCs w:val="16"/>
              </w:rPr>
            </w:pPr>
            <w:r>
              <w:rPr>
                <w:rFonts w:cs="Arial"/>
                <w:b/>
                <w:sz w:val="16"/>
                <w:szCs w:val="16"/>
              </w:rPr>
              <w:t>2019</w:t>
            </w:r>
          </w:p>
        </w:tc>
        <w:tc>
          <w:tcPr>
            <w:tcW w:w="658" w:type="pct"/>
            <w:gridSpan w:val="2"/>
            <w:tcBorders>
              <w:top w:val="single" w:sz="12" w:space="0" w:color="auto"/>
              <w:left w:val="nil"/>
              <w:bottom w:val="single" w:sz="12" w:space="0" w:color="auto"/>
              <w:right w:val="nil"/>
            </w:tcBorders>
            <w:shd w:val="clear" w:color="auto" w:fill="F5DADD" w:themeFill="accent5"/>
            <w:vAlign w:val="center"/>
            <w:hideMark/>
          </w:tcPr>
          <w:p w14:paraId="1437A9C1" w14:textId="77777777" w:rsidR="0073451C" w:rsidRPr="006C123E" w:rsidRDefault="0073451C" w:rsidP="00917551">
            <w:pPr>
              <w:pStyle w:val="Zkladnodstavec"/>
              <w:spacing w:line="240" w:lineRule="auto"/>
              <w:jc w:val="center"/>
              <w:rPr>
                <w:rFonts w:cs="Arial"/>
                <w:b/>
                <w:sz w:val="16"/>
                <w:szCs w:val="16"/>
              </w:rPr>
            </w:pPr>
            <w:r>
              <w:rPr>
                <w:rFonts w:cs="Arial"/>
                <w:b/>
                <w:sz w:val="16"/>
                <w:szCs w:val="16"/>
              </w:rPr>
              <w:t>2021</w:t>
            </w:r>
          </w:p>
        </w:tc>
      </w:tr>
      <w:tr w:rsidR="0073451C" w:rsidRPr="006C123E" w14:paraId="6BC4535A" w14:textId="77777777" w:rsidTr="00323865">
        <w:trPr>
          <w:trHeight w:val="282"/>
        </w:trPr>
        <w:tc>
          <w:tcPr>
            <w:tcW w:w="1059" w:type="pct"/>
            <w:tcBorders>
              <w:top w:val="single" w:sz="12" w:space="0" w:color="auto"/>
              <w:left w:val="nil"/>
              <w:bottom w:val="nil"/>
              <w:right w:val="nil"/>
            </w:tcBorders>
            <w:shd w:val="clear" w:color="auto" w:fill="auto"/>
            <w:noWrap/>
            <w:vAlign w:val="center"/>
            <w:hideMark/>
          </w:tcPr>
          <w:p w14:paraId="3693F82C" w14:textId="77777777" w:rsidR="0073451C" w:rsidRPr="006C123E" w:rsidRDefault="0073451C" w:rsidP="00917551">
            <w:pPr>
              <w:pStyle w:val="Zkladnodstavec"/>
              <w:spacing w:line="240" w:lineRule="auto"/>
              <w:jc w:val="both"/>
              <w:rPr>
                <w:rFonts w:cs="Arial"/>
                <w:sz w:val="16"/>
                <w:szCs w:val="16"/>
              </w:rPr>
            </w:pPr>
            <w:r>
              <w:rPr>
                <w:rFonts w:cs="Arial"/>
                <w:sz w:val="16"/>
                <w:szCs w:val="16"/>
              </w:rPr>
              <w:t>65–69</w:t>
            </w:r>
          </w:p>
        </w:tc>
        <w:tc>
          <w:tcPr>
            <w:tcW w:w="656" w:type="pct"/>
            <w:tcBorders>
              <w:top w:val="single" w:sz="12" w:space="0" w:color="auto"/>
              <w:left w:val="single" w:sz="8" w:space="0" w:color="auto"/>
              <w:bottom w:val="nil"/>
              <w:right w:val="single" w:sz="8" w:space="0" w:color="auto"/>
            </w:tcBorders>
            <w:shd w:val="clear" w:color="auto" w:fill="auto"/>
            <w:noWrap/>
            <w:vAlign w:val="center"/>
            <w:hideMark/>
          </w:tcPr>
          <w:p w14:paraId="65A48C4B" w14:textId="247FFC7E" w:rsidR="0073451C" w:rsidRPr="00CD55B5" w:rsidRDefault="0073451C" w:rsidP="00917551">
            <w:pPr>
              <w:spacing w:after="0" w:line="240" w:lineRule="auto"/>
              <w:jc w:val="right"/>
              <w:rPr>
                <w:rFonts w:asciiTheme="minorHAnsi" w:hAnsiTheme="minorHAnsi" w:cstheme="minorHAnsi"/>
                <w:color w:val="000000"/>
                <w:sz w:val="16"/>
                <w:szCs w:val="16"/>
              </w:rPr>
            </w:pPr>
            <w:r w:rsidRPr="00CD55B5">
              <w:rPr>
                <w:rFonts w:asciiTheme="minorHAnsi" w:hAnsiTheme="minorHAnsi" w:cstheme="minorHAnsi"/>
                <w:color w:val="000000"/>
                <w:sz w:val="16"/>
                <w:szCs w:val="16"/>
              </w:rPr>
              <w:t>595</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116</w:t>
            </w:r>
          </w:p>
        </w:tc>
        <w:tc>
          <w:tcPr>
            <w:tcW w:w="657" w:type="pct"/>
            <w:gridSpan w:val="2"/>
            <w:tcBorders>
              <w:top w:val="single" w:sz="12" w:space="0" w:color="auto"/>
              <w:left w:val="nil"/>
              <w:bottom w:val="nil"/>
              <w:right w:val="single" w:sz="8" w:space="0" w:color="auto"/>
            </w:tcBorders>
            <w:shd w:val="clear" w:color="auto" w:fill="auto"/>
            <w:noWrap/>
            <w:vAlign w:val="center"/>
            <w:hideMark/>
          </w:tcPr>
          <w:p w14:paraId="74A7110E" w14:textId="6128CB44"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657</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256</w:t>
            </w:r>
          </w:p>
        </w:tc>
        <w:tc>
          <w:tcPr>
            <w:tcW w:w="656" w:type="pct"/>
            <w:gridSpan w:val="2"/>
            <w:tcBorders>
              <w:top w:val="single" w:sz="12" w:space="0" w:color="auto"/>
              <w:left w:val="nil"/>
              <w:bottom w:val="nil"/>
              <w:right w:val="single" w:sz="8" w:space="0" w:color="auto"/>
            </w:tcBorders>
            <w:shd w:val="clear" w:color="auto" w:fill="auto"/>
            <w:noWrap/>
            <w:vAlign w:val="center"/>
            <w:hideMark/>
          </w:tcPr>
          <w:p w14:paraId="484630EF" w14:textId="4C334850"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692</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992</w:t>
            </w:r>
          </w:p>
        </w:tc>
        <w:tc>
          <w:tcPr>
            <w:tcW w:w="657" w:type="pct"/>
            <w:gridSpan w:val="2"/>
            <w:tcBorders>
              <w:top w:val="single" w:sz="12" w:space="0" w:color="auto"/>
              <w:left w:val="nil"/>
              <w:bottom w:val="nil"/>
              <w:right w:val="single" w:sz="8" w:space="0" w:color="auto"/>
            </w:tcBorders>
            <w:shd w:val="clear" w:color="auto" w:fill="auto"/>
            <w:noWrap/>
            <w:vAlign w:val="center"/>
          </w:tcPr>
          <w:p w14:paraId="47D01B90" w14:textId="5EFDE0A8"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684</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548</w:t>
            </w:r>
          </w:p>
        </w:tc>
        <w:tc>
          <w:tcPr>
            <w:tcW w:w="656" w:type="pct"/>
            <w:gridSpan w:val="2"/>
            <w:tcBorders>
              <w:top w:val="single" w:sz="12" w:space="0" w:color="auto"/>
              <w:left w:val="nil"/>
              <w:bottom w:val="nil"/>
              <w:right w:val="single" w:sz="8" w:space="0" w:color="auto"/>
            </w:tcBorders>
            <w:shd w:val="clear" w:color="auto" w:fill="auto"/>
            <w:noWrap/>
            <w:vAlign w:val="center"/>
            <w:hideMark/>
          </w:tcPr>
          <w:p w14:paraId="15BE3BE1" w14:textId="5764672C"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678</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927</w:t>
            </w:r>
          </w:p>
        </w:tc>
        <w:tc>
          <w:tcPr>
            <w:tcW w:w="658" w:type="pct"/>
            <w:gridSpan w:val="2"/>
            <w:tcBorders>
              <w:top w:val="single" w:sz="12" w:space="0" w:color="auto"/>
              <w:left w:val="nil"/>
              <w:bottom w:val="nil"/>
              <w:right w:val="nil"/>
            </w:tcBorders>
            <w:shd w:val="clear" w:color="auto" w:fill="auto"/>
            <w:noWrap/>
            <w:vAlign w:val="center"/>
            <w:hideMark/>
          </w:tcPr>
          <w:p w14:paraId="3E0BF50A" w14:textId="6E91C924"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659</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696</w:t>
            </w:r>
          </w:p>
        </w:tc>
      </w:tr>
      <w:tr w:rsidR="0073451C" w:rsidRPr="006C123E" w14:paraId="6C8A3BE2" w14:textId="77777777" w:rsidTr="00556DC5">
        <w:trPr>
          <w:trHeight w:val="282"/>
        </w:trPr>
        <w:tc>
          <w:tcPr>
            <w:tcW w:w="1059" w:type="pct"/>
            <w:tcBorders>
              <w:top w:val="nil"/>
              <w:left w:val="nil"/>
              <w:bottom w:val="nil"/>
              <w:right w:val="nil"/>
            </w:tcBorders>
            <w:shd w:val="clear" w:color="auto" w:fill="auto"/>
            <w:noWrap/>
            <w:vAlign w:val="center"/>
            <w:hideMark/>
          </w:tcPr>
          <w:p w14:paraId="65BE91EA" w14:textId="77777777" w:rsidR="0073451C" w:rsidRPr="006C123E" w:rsidRDefault="0073451C" w:rsidP="00917551">
            <w:pPr>
              <w:pStyle w:val="Zkladnodstavec"/>
              <w:spacing w:line="240" w:lineRule="auto"/>
              <w:jc w:val="both"/>
              <w:rPr>
                <w:rFonts w:cs="Arial"/>
                <w:sz w:val="16"/>
                <w:szCs w:val="16"/>
              </w:rPr>
            </w:pPr>
            <w:r>
              <w:rPr>
                <w:rFonts w:cs="Arial"/>
                <w:sz w:val="16"/>
                <w:szCs w:val="16"/>
              </w:rPr>
              <w:t>70–74</w:t>
            </w:r>
          </w:p>
        </w:tc>
        <w:tc>
          <w:tcPr>
            <w:tcW w:w="656" w:type="pct"/>
            <w:tcBorders>
              <w:top w:val="nil"/>
              <w:left w:val="single" w:sz="8" w:space="0" w:color="auto"/>
              <w:bottom w:val="nil"/>
              <w:right w:val="single" w:sz="8" w:space="0" w:color="auto"/>
            </w:tcBorders>
            <w:shd w:val="clear" w:color="auto" w:fill="auto"/>
            <w:noWrap/>
            <w:vAlign w:val="center"/>
            <w:hideMark/>
          </w:tcPr>
          <w:p w14:paraId="5AF09F57" w14:textId="181AC6CA" w:rsidR="0073451C" w:rsidRPr="00CD55B5" w:rsidRDefault="0073451C" w:rsidP="00917551">
            <w:pPr>
              <w:spacing w:after="0" w:line="240" w:lineRule="auto"/>
              <w:jc w:val="right"/>
              <w:rPr>
                <w:rFonts w:asciiTheme="minorHAnsi" w:hAnsiTheme="minorHAnsi" w:cstheme="minorHAnsi"/>
                <w:color w:val="000000"/>
                <w:sz w:val="16"/>
                <w:szCs w:val="16"/>
              </w:rPr>
            </w:pPr>
            <w:r w:rsidRPr="00CD55B5">
              <w:rPr>
                <w:rFonts w:asciiTheme="minorHAnsi" w:hAnsiTheme="minorHAnsi" w:cstheme="minorHAnsi"/>
                <w:color w:val="000000"/>
                <w:sz w:val="16"/>
                <w:szCs w:val="16"/>
              </w:rPr>
              <w:t>402</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749</w:t>
            </w:r>
          </w:p>
        </w:tc>
        <w:tc>
          <w:tcPr>
            <w:tcW w:w="657" w:type="pct"/>
            <w:gridSpan w:val="2"/>
            <w:tcBorders>
              <w:top w:val="nil"/>
              <w:left w:val="nil"/>
              <w:bottom w:val="nil"/>
              <w:right w:val="single" w:sz="8" w:space="0" w:color="auto"/>
            </w:tcBorders>
            <w:shd w:val="clear" w:color="auto" w:fill="auto"/>
            <w:noWrap/>
            <w:vAlign w:val="center"/>
            <w:hideMark/>
          </w:tcPr>
          <w:p w14:paraId="5C1DA492" w14:textId="768A30FC"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452</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772</w:t>
            </w:r>
          </w:p>
        </w:tc>
        <w:tc>
          <w:tcPr>
            <w:tcW w:w="656" w:type="pct"/>
            <w:gridSpan w:val="2"/>
            <w:tcBorders>
              <w:top w:val="nil"/>
              <w:left w:val="nil"/>
              <w:bottom w:val="nil"/>
              <w:right w:val="single" w:sz="8" w:space="0" w:color="auto"/>
            </w:tcBorders>
            <w:shd w:val="clear" w:color="auto" w:fill="auto"/>
            <w:noWrap/>
            <w:vAlign w:val="center"/>
            <w:hideMark/>
          </w:tcPr>
          <w:p w14:paraId="783F5851" w14:textId="1B10C9DD"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495</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189</w:t>
            </w:r>
          </w:p>
        </w:tc>
        <w:tc>
          <w:tcPr>
            <w:tcW w:w="657" w:type="pct"/>
            <w:gridSpan w:val="2"/>
            <w:tcBorders>
              <w:top w:val="nil"/>
              <w:left w:val="nil"/>
              <w:bottom w:val="nil"/>
              <w:right w:val="single" w:sz="8" w:space="0" w:color="auto"/>
            </w:tcBorders>
            <w:shd w:val="clear" w:color="auto" w:fill="auto"/>
            <w:noWrap/>
            <w:vAlign w:val="center"/>
          </w:tcPr>
          <w:p w14:paraId="312C0F1E" w14:textId="485ABA2F"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569</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661</w:t>
            </w:r>
          </w:p>
        </w:tc>
        <w:tc>
          <w:tcPr>
            <w:tcW w:w="656" w:type="pct"/>
            <w:gridSpan w:val="2"/>
            <w:tcBorders>
              <w:top w:val="nil"/>
              <w:left w:val="nil"/>
              <w:bottom w:val="nil"/>
              <w:right w:val="single" w:sz="8" w:space="0" w:color="auto"/>
            </w:tcBorders>
            <w:shd w:val="clear" w:color="auto" w:fill="auto"/>
            <w:noWrap/>
            <w:vAlign w:val="center"/>
            <w:hideMark/>
          </w:tcPr>
          <w:p w14:paraId="024CB6C3" w14:textId="7D06C21D"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602</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974</w:t>
            </w:r>
          </w:p>
        </w:tc>
        <w:tc>
          <w:tcPr>
            <w:tcW w:w="658" w:type="pct"/>
            <w:gridSpan w:val="2"/>
            <w:tcBorders>
              <w:top w:val="nil"/>
              <w:left w:val="nil"/>
              <w:bottom w:val="nil"/>
              <w:right w:val="nil"/>
            </w:tcBorders>
            <w:shd w:val="clear" w:color="auto" w:fill="auto"/>
            <w:noWrap/>
            <w:vAlign w:val="center"/>
            <w:hideMark/>
          </w:tcPr>
          <w:p w14:paraId="540C078B" w14:textId="37D3793D"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615</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177</w:t>
            </w:r>
          </w:p>
        </w:tc>
      </w:tr>
      <w:tr w:rsidR="0073451C" w:rsidRPr="006C123E" w14:paraId="6577082E" w14:textId="77777777" w:rsidTr="00556DC5">
        <w:trPr>
          <w:trHeight w:val="282"/>
        </w:trPr>
        <w:tc>
          <w:tcPr>
            <w:tcW w:w="1059" w:type="pct"/>
            <w:tcBorders>
              <w:top w:val="nil"/>
              <w:left w:val="nil"/>
              <w:bottom w:val="nil"/>
              <w:right w:val="nil"/>
            </w:tcBorders>
            <w:shd w:val="clear" w:color="auto" w:fill="auto"/>
            <w:noWrap/>
            <w:vAlign w:val="center"/>
            <w:hideMark/>
          </w:tcPr>
          <w:p w14:paraId="0E283C86" w14:textId="77777777" w:rsidR="0073451C" w:rsidRPr="006C123E" w:rsidRDefault="0073451C" w:rsidP="00917551">
            <w:pPr>
              <w:pStyle w:val="Zkladnodstavec"/>
              <w:spacing w:line="240" w:lineRule="auto"/>
              <w:jc w:val="both"/>
              <w:rPr>
                <w:rFonts w:cs="Arial"/>
                <w:sz w:val="16"/>
                <w:szCs w:val="16"/>
              </w:rPr>
            </w:pPr>
            <w:r>
              <w:rPr>
                <w:rFonts w:cs="Arial"/>
                <w:sz w:val="16"/>
                <w:szCs w:val="16"/>
              </w:rPr>
              <w:t>75–79</w:t>
            </w:r>
          </w:p>
        </w:tc>
        <w:tc>
          <w:tcPr>
            <w:tcW w:w="656" w:type="pct"/>
            <w:tcBorders>
              <w:top w:val="nil"/>
              <w:left w:val="single" w:sz="8" w:space="0" w:color="auto"/>
              <w:bottom w:val="nil"/>
              <w:right w:val="single" w:sz="8" w:space="0" w:color="auto"/>
            </w:tcBorders>
            <w:shd w:val="clear" w:color="auto" w:fill="auto"/>
            <w:noWrap/>
            <w:vAlign w:val="center"/>
            <w:hideMark/>
          </w:tcPr>
          <w:p w14:paraId="38A6980D" w14:textId="269256D0" w:rsidR="0073451C" w:rsidRPr="00CD55B5" w:rsidRDefault="0073451C" w:rsidP="00917551">
            <w:pPr>
              <w:spacing w:after="0" w:line="240" w:lineRule="auto"/>
              <w:jc w:val="right"/>
              <w:rPr>
                <w:rFonts w:asciiTheme="minorHAnsi" w:hAnsiTheme="minorHAnsi" w:cstheme="minorHAnsi"/>
                <w:color w:val="000000"/>
                <w:sz w:val="16"/>
                <w:szCs w:val="16"/>
              </w:rPr>
            </w:pPr>
            <w:r w:rsidRPr="00CD55B5">
              <w:rPr>
                <w:rFonts w:asciiTheme="minorHAnsi" w:hAnsiTheme="minorHAnsi" w:cstheme="minorHAnsi"/>
                <w:color w:val="000000"/>
                <w:sz w:val="16"/>
                <w:szCs w:val="16"/>
              </w:rPr>
              <w:t>307</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188</w:t>
            </w:r>
          </w:p>
        </w:tc>
        <w:tc>
          <w:tcPr>
            <w:tcW w:w="657" w:type="pct"/>
            <w:gridSpan w:val="2"/>
            <w:tcBorders>
              <w:top w:val="nil"/>
              <w:left w:val="nil"/>
              <w:bottom w:val="nil"/>
              <w:right w:val="single" w:sz="8" w:space="0" w:color="auto"/>
            </w:tcBorders>
            <w:shd w:val="clear" w:color="auto" w:fill="auto"/>
            <w:noWrap/>
            <w:vAlign w:val="center"/>
            <w:hideMark/>
          </w:tcPr>
          <w:p w14:paraId="6A240D7A" w14:textId="76A34C60"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303</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467</w:t>
            </w:r>
          </w:p>
        </w:tc>
        <w:tc>
          <w:tcPr>
            <w:tcW w:w="656" w:type="pct"/>
            <w:gridSpan w:val="2"/>
            <w:tcBorders>
              <w:top w:val="nil"/>
              <w:left w:val="nil"/>
              <w:bottom w:val="nil"/>
              <w:right w:val="single" w:sz="8" w:space="0" w:color="auto"/>
            </w:tcBorders>
            <w:shd w:val="clear" w:color="auto" w:fill="auto"/>
            <w:noWrap/>
            <w:vAlign w:val="center"/>
            <w:hideMark/>
          </w:tcPr>
          <w:p w14:paraId="0425EA99" w14:textId="5E111BAE"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323</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695</w:t>
            </w:r>
          </w:p>
        </w:tc>
        <w:tc>
          <w:tcPr>
            <w:tcW w:w="657" w:type="pct"/>
            <w:gridSpan w:val="2"/>
            <w:tcBorders>
              <w:top w:val="nil"/>
              <w:left w:val="nil"/>
              <w:bottom w:val="nil"/>
              <w:right w:val="single" w:sz="8" w:space="0" w:color="auto"/>
            </w:tcBorders>
            <w:shd w:val="clear" w:color="auto" w:fill="auto"/>
            <w:noWrap/>
            <w:vAlign w:val="center"/>
          </w:tcPr>
          <w:p w14:paraId="3DA5AAED" w14:textId="38485ABD"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358</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552</w:t>
            </w:r>
          </w:p>
        </w:tc>
        <w:tc>
          <w:tcPr>
            <w:tcW w:w="656" w:type="pct"/>
            <w:gridSpan w:val="2"/>
            <w:tcBorders>
              <w:top w:val="nil"/>
              <w:left w:val="nil"/>
              <w:bottom w:val="nil"/>
              <w:right w:val="single" w:sz="8" w:space="0" w:color="auto"/>
            </w:tcBorders>
            <w:shd w:val="clear" w:color="auto" w:fill="auto"/>
            <w:noWrap/>
            <w:vAlign w:val="center"/>
            <w:hideMark/>
          </w:tcPr>
          <w:p w14:paraId="179B1A8B" w14:textId="3112CA83"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408</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629</w:t>
            </w:r>
          </w:p>
        </w:tc>
        <w:tc>
          <w:tcPr>
            <w:tcW w:w="658" w:type="pct"/>
            <w:gridSpan w:val="2"/>
            <w:tcBorders>
              <w:top w:val="nil"/>
              <w:left w:val="nil"/>
              <w:bottom w:val="nil"/>
              <w:right w:val="nil"/>
            </w:tcBorders>
            <w:shd w:val="clear" w:color="auto" w:fill="auto"/>
            <w:noWrap/>
            <w:vAlign w:val="center"/>
            <w:hideMark/>
          </w:tcPr>
          <w:p w14:paraId="3456152C" w14:textId="6A946BD2"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443</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093</w:t>
            </w:r>
          </w:p>
        </w:tc>
      </w:tr>
      <w:tr w:rsidR="0073451C" w:rsidRPr="006C123E" w14:paraId="4DEF7C1C" w14:textId="77777777" w:rsidTr="00556DC5">
        <w:trPr>
          <w:trHeight w:val="282"/>
        </w:trPr>
        <w:tc>
          <w:tcPr>
            <w:tcW w:w="1059" w:type="pct"/>
            <w:tcBorders>
              <w:top w:val="nil"/>
              <w:left w:val="nil"/>
              <w:bottom w:val="nil"/>
              <w:right w:val="nil"/>
            </w:tcBorders>
            <w:shd w:val="clear" w:color="auto" w:fill="auto"/>
            <w:noWrap/>
            <w:vAlign w:val="center"/>
            <w:hideMark/>
          </w:tcPr>
          <w:p w14:paraId="2281CCB1" w14:textId="77777777" w:rsidR="0073451C" w:rsidRPr="006C123E" w:rsidRDefault="0073451C" w:rsidP="00917551">
            <w:pPr>
              <w:pStyle w:val="Zkladnodstavec"/>
              <w:spacing w:line="240" w:lineRule="auto"/>
              <w:jc w:val="both"/>
              <w:rPr>
                <w:rFonts w:cs="Arial"/>
                <w:sz w:val="16"/>
                <w:szCs w:val="16"/>
              </w:rPr>
            </w:pPr>
            <w:r>
              <w:rPr>
                <w:rFonts w:cs="Arial"/>
                <w:sz w:val="16"/>
                <w:szCs w:val="16"/>
              </w:rPr>
              <w:t>80–84</w:t>
            </w:r>
          </w:p>
        </w:tc>
        <w:tc>
          <w:tcPr>
            <w:tcW w:w="656" w:type="pct"/>
            <w:tcBorders>
              <w:top w:val="nil"/>
              <w:left w:val="single" w:sz="8" w:space="0" w:color="auto"/>
              <w:bottom w:val="nil"/>
              <w:right w:val="single" w:sz="8" w:space="0" w:color="auto"/>
            </w:tcBorders>
            <w:shd w:val="clear" w:color="auto" w:fill="auto"/>
            <w:noWrap/>
            <w:vAlign w:val="center"/>
            <w:hideMark/>
          </w:tcPr>
          <w:p w14:paraId="68965F11" w14:textId="37EC0C53" w:rsidR="0073451C" w:rsidRPr="00CD55B5" w:rsidRDefault="0073451C" w:rsidP="00917551">
            <w:pPr>
              <w:spacing w:after="0" w:line="240" w:lineRule="auto"/>
              <w:jc w:val="right"/>
              <w:rPr>
                <w:rFonts w:asciiTheme="minorHAnsi" w:hAnsiTheme="minorHAnsi" w:cstheme="minorHAnsi"/>
                <w:color w:val="000000"/>
                <w:sz w:val="16"/>
                <w:szCs w:val="16"/>
              </w:rPr>
            </w:pPr>
            <w:r w:rsidRPr="00CD55B5">
              <w:rPr>
                <w:rFonts w:asciiTheme="minorHAnsi" w:hAnsiTheme="minorHAnsi" w:cstheme="minorHAnsi"/>
                <w:color w:val="000000"/>
                <w:sz w:val="16"/>
                <w:szCs w:val="16"/>
              </w:rPr>
              <w:t>234</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820</w:t>
            </w:r>
          </w:p>
        </w:tc>
        <w:tc>
          <w:tcPr>
            <w:tcW w:w="657" w:type="pct"/>
            <w:gridSpan w:val="2"/>
            <w:tcBorders>
              <w:top w:val="nil"/>
              <w:left w:val="nil"/>
              <w:bottom w:val="nil"/>
              <w:right w:val="single" w:sz="8" w:space="0" w:color="auto"/>
            </w:tcBorders>
            <w:shd w:val="clear" w:color="auto" w:fill="auto"/>
            <w:noWrap/>
            <w:vAlign w:val="center"/>
            <w:hideMark/>
          </w:tcPr>
          <w:p w14:paraId="6BC9F4ED" w14:textId="742F6B28"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237</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196</w:t>
            </w:r>
          </w:p>
        </w:tc>
        <w:tc>
          <w:tcPr>
            <w:tcW w:w="656" w:type="pct"/>
            <w:gridSpan w:val="2"/>
            <w:tcBorders>
              <w:top w:val="nil"/>
              <w:left w:val="nil"/>
              <w:bottom w:val="nil"/>
              <w:right w:val="single" w:sz="8" w:space="0" w:color="auto"/>
            </w:tcBorders>
            <w:shd w:val="clear" w:color="auto" w:fill="auto"/>
            <w:noWrap/>
            <w:vAlign w:val="center"/>
            <w:hideMark/>
          </w:tcPr>
          <w:p w14:paraId="3DC61B90" w14:textId="6A061A35"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232</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005</w:t>
            </w:r>
          </w:p>
        </w:tc>
        <w:tc>
          <w:tcPr>
            <w:tcW w:w="657" w:type="pct"/>
            <w:gridSpan w:val="2"/>
            <w:tcBorders>
              <w:top w:val="nil"/>
              <w:left w:val="nil"/>
              <w:bottom w:val="nil"/>
              <w:right w:val="single" w:sz="8" w:space="0" w:color="auto"/>
            </w:tcBorders>
            <w:shd w:val="clear" w:color="auto" w:fill="auto"/>
            <w:noWrap/>
            <w:vAlign w:val="center"/>
          </w:tcPr>
          <w:p w14:paraId="741C39B4" w14:textId="0FCE356D"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226</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588</w:t>
            </w:r>
          </w:p>
        </w:tc>
        <w:tc>
          <w:tcPr>
            <w:tcW w:w="656" w:type="pct"/>
            <w:gridSpan w:val="2"/>
            <w:tcBorders>
              <w:top w:val="nil"/>
              <w:left w:val="nil"/>
              <w:bottom w:val="nil"/>
              <w:right w:val="single" w:sz="8" w:space="0" w:color="auto"/>
            </w:tcBorders>
            <w:shd w:val="clear" w:color="auto" w:fill="auto"/>
            <w:noWrap/>
            <w:vAlign w:val="center"/>
            <w:hideMark/>
          </w:tcPr>
          <w:p w14:paraId="79DE98C9" w14:textId="79D2AB73"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234</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495</w:t>
            </w:r>
          </w:p>
        </w:tc>
        <w:tc>
          <w:tcPr>
            <w:tcW w:w="658" w:type="pct"/>
            <w:gridSpan w:val="2"/>
            <w:tcBorders>
              <w:top w:val="nil"/>
              <w:left w:val="nil"/>
              <w:bottom w:val="nil"/>
              <w:right w:val="nil"/>
            </w:tcBorders>
            <w:shd w:val="clear" w:color="auto" w:fill="auto"/>
            <w:noWrap/>
            <w:vAlign w:val="center"/>
            <w:hideMark/>
          </w:tcPr>
          <w:p w14:paraId="6B985486" w14:textId="2EF47B67"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252</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668</w:t>
            </w:r>
          </w:p>
        </w:tc>
      </w:tr>
      <w:tr w:rsidR="0073451C" w:rsidRPr="006C123E" w14:paraId="52FBC614" w14:textId="77777777" w:rsidTr="00556DC5">
        <w:trPr>
          <w:trHeight w:val="282"/>
        </w:trPr>
        <w:tc>
          <w:tcPr>
            <w:tcW w:w="1059" w:type="pct"/>
            <w:tcBorders>
              <w:top w:val="nil"/>
              <w:left w:val="nil"/>
              <w:bottom w:val="nil"/>
              <w:right w:val="nil"/>
            </w:tcBorders>
            <w:shd w:val="clear" w:color="auto" w:fill="auto"/>
            <w:noWrap/>
            <w:vAlign w:val="center"/>
            <w:hideMark/>
          </w:tcPr>
          <w:p w14:paraId="77791982" w14:textId="77777777" w:rsidR="0073451C" w:rsidRPr="006C123E" w:rsidRDefault="0073451C" w:rsidP="00917551">
            <w:pPr>
              <w:pStyle w:val="Zkladnodstavec"/>
              <w:spacing w:line="240" w:lineRule="auto"/>
              <w:jc w:val="both"/>
              <w:rPr>
                <w:rFonts w:cs="Arial"/>
                <w:sz w:val="16"/>
                <w:szCs w:val="16"/>
              </w:rPr>
            </w:pPr>
            <w:r>
              <w:rPr>
                <w:rFonts w:cs="Arial"/>
                <w:sz w:val="16"/>
                <w:szCs w:val="16"/>
              </w:rPr>
              <w:t>85–89</w:t>
            </w:r>
          </w:p>
        </w:tc>
        <w:tc>
          <w:tcPr>
            <w:tcW w:w="656" w:type="pct"/>
            <w:tcBorders>
              <w:top w:val="nil"/>
              <w:left w:val="single" w:sz="8" w:space="0" w:color="auto"/>
              <w:bottom w:val="nil"/>
              <w:right w:val="single" w:sz="8" w:space="0" w:color="auto"/>
            </w:tcBorders>
            <w:shd w:val="clear" w:color="auto" w:fill="auto"/>
            <w:noWrap/>
            <w:vAlign w:val="center"/>
            <w:hideMark/>
          </w:tcPr>
          <w:p w14:paraId="7BD47A2C" w14:textId="63AEAB39" w:rsidR="0073451C" w:rsidRPr="00CD55B5" w:rsidRDefault="0073451C" w:rsidP="00917551">
            <w:pPr>
              <w:spacing w:after="0" w:line="240" w:lineRule="auto"/>
              <w:jc w:val="right"/>
              <w:rPr>
                <w:rFonts w:asciiTheme="minorHAnsi" w:hAnsiTheme="minorHAnsi" w:cstheme="minorHAnsi"/>
                <w:color w:val="000000"/>
                <w:sz w:val="16"/>
                <w:szCs w:val="16"/>
              </w:rPr>
            </w:pPr>
            <w:r w:rsidRPr="00CD55B5">
              <w:rPr>
                <w:rFonts w:asciiTheme="minorHAnsi" w:hAnsiTheme="minorHAnsi" w:cstheme="minorHAnsi"/>
                <w:color w:val="000000"/>
                <w:sz w:val="16"/>
                <w:szCs w:val="16"/>
              </w:rPr>
              <w:t>124</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404</w:t>
            </w:r>
          </w:p>
        </w:tc>
        <w:tc>
          <w:tcPr>
            <w:tcW w:w="657" w:type="pct"/>
            <w:gridSpan w:val="2"/>
            <w:tcBorders>
              <w:top w:val="nil"/>
              <w:left w:val="nil"/>
              <w:bottom w:val="nil"/>
              <w:right w:val="single" w:sz="8" w:space="0" w:color="auto"/>
            </w:tcBorders>
            <w:shd w:val="clear" w:color="auto" w:fill="auto"/>
            <w:noWrap/>
            <w:vAlign w:val="center"/>
            <w:hideMark/>
          </w:tcPr>
          <w:p w14:paraId="215FE432" w14:textId="19461CF5"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128</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160</w:t>
            </w:r>
          </w:p>
        </w:tc>
        <w:tc>
          <w:tcPr>
            <w:tcW w:w="656" w:type="pct"/>
            <w:gridSpan w:val="2"/>
            <w:tcBorders>
              <w:top w:val="nil"/>
              <w:left w:val="nil"/>
              <w:bottom w:val="nil"/>
              <w:right w:val="single" w:sz="8" w:space="0" w:color="auto"/>
            </w:tcBorders>
            <w:shd w:val="clear" w:color="auto" w:fill="auto"/>
            <w:noWrap/>
            <w:vAlign w:val="center"/>
            <w:hideMark/>
          </w:tcPr>
          <w:p w14:paraId="76C20F87" w14:textId="44CC7FE6"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135</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023</w:t>
            </w:r>
          </w:p>
        </w:tc>
        <w:tc>
          <w:tcPr>
            <w:tcW w:w="657" w:type="pct"/>
            <w:gridSpan w:val="2"/>
            <w:tcBorders>
              <w:top w:val="nil"/>
              <w:left w:val="nil"/>
              <w:bottom w:val="nil"/>
              <w:right w:val="single" w:sz="8" w:space="0" w:color="auto"/>
            </w:tcBorders>
            <w:shd w:val="clear" w:color="auto" w:fill="auto"/>
            <w:noWrap/>
            <w:vAlign w:val="center"/>
          </w:tcPr>
          <w:p w14:paraId="0DDAA52F" w14:textId="6DC0B02A"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141</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839</w:t>
            </w:r>
          </w:p>
        </w:tc>
        <w:tc>
          <w:tcPr>
            <w:tcW w:w="656" w:type="pct"/>
            <w:gridSpan w:val="2"/>
            <w:tcBorders>
              <w:top w:val="nil"/>
              <w:left w:val="nil"/>
              <w:bottom w:val="nil"/>
              <w:right w:val="single" w:sz="8" w:space="0" w:color="auto"/>
            </w:tcBorders>
            <w:shd w:val="clear" w:color="auto" w:fill="auto"/>
            <w:noWrap/>
            <w:vAlign w:val="center"/>
            <w:hideMark/>
          </w:tcPr>
          <w:p w14:paraId="17FFA85C" w14:textId="3F035EF0"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142</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589</w:t>
            </w:r>
          </w:p>
        </w:tc>
        <w:tc>
          <w:tcPr>
            <w:tcW w:w="658" w:type="pct"/>
            <w:gridSpan w:val="2"/>
            <w:tcBorders>
              <w:top w:val="nil"/>
              <w:left w:val="nil"/>
              <w:bottom w:val="nil"/>
              <w:right w:val="nil"/>
            </w:tcBorders>
            <w:shd w:val="clear" w:color="auto" w:fill="auto"/>
            <w:noWrap/>
            <w:vAlign w:val="center"/>
            <w:hideMark/>
          </w:tcPr>
          <w:p w14:paraId="45EA924F" w14:textId="00AF427B"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134</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175</w:t>
            </w:r>
          </w:p>
        </w:tc>
      </w:tr>
      <w:tr w:rsidR="0073451C" w:rsidRPr="006C123E" w14:paraId="3B9EA1F3" w14:textId="77777777" w:rsidTr="00556DC5">
        <w:trPr>
          <w:trHeight w:val="282"/>
        </w:trPr>
        <w:tc>
          <w:tcPr>
            <w:tcW w:w="1059" w:type="pct"/>
            <w:tcBorders>
              <w:top w:val="nil"/>
              <w:left w:val="nil"/>
              <w:bottom w:val="nil"/>
              <w:right w:val="nil"/>
            </w:tcBorders>
            <w:shd w:val="clear" w:color="auto" w:fill="auto"/>
            <w:noWrap/>
            <w:vAlign w:val="center"/>
            <w:hideMark/>
          </w:tcPr>
          <w:p w14:paraId="1FEABDE4" w14:textId="77777777" w:rsidR="0073451C" w:rsidRPr="006C123E" w:rsidRDefault="0073451C" w:rsidP="00917551">
            <w:pPr>
              <w:pStyle w:val="Zkladnodstavec"/>
              <w:spacing w:line="240" w:lineRule="auto"/>
              <w:jc w:val="both"/>
              <w:rPr>
                <w:rFonts w:cs="Arial"/>
                <w:b/>
                <w:sz w:val="16"/>
                <w:szCs w:val="16"/>
              </w:rPr>
            </w:pPr>
            <w:r>
              <w:rPr>
                <w:rFonts w:cs="Arial"/>
                <w:sz w:val="16"/>
                <w:szCs w:val="16"/>
              </w:rPr>
              <w:t>90–94</w:t>
            </w:r>
          </w:p>
        </w:tc>
        <w:tc>
          <w:tcPr>
            <w:tcW w:w="656" w:type="pct"/>
            <w:tcBorders>
              <w:top w:val="nil"/>
              <w:left w:val="single" w:sz="8" w:space="0" w:color="auto"/>
              <w:bottom w:val="nil"/>
              <w:right w:val="single" w:sz="8" w:space="0" w:color="auto"/>
            </w:tcBorders>
            <w:shd w:val="clear" w:color="auto" w:fill="auto"/>
            <w:noWrap/>
            <w:vAlign w:val="center"/>
            <w:hideMark/>
          </w:tcPr>
          <w:p w14:paraId="0B839864" w14:textId="7BE2D0A8" w:rsidR="0073451C" w:rsidRPr="00CD55B5" w:rsidRDefault="0073451C" w:rsidP="00917551">
            <w:pPr>
              <w:spacing w:after="0" w:line="240" w:lineRule="auto"/>
              <w:jc w:val="right"/>
              <w:rPr>
                <w:rFonts w:asciiTheme="minorHAnsi" w:hAnsiTheme="minorHAnsi" w:cstheme="minorHAnsi"/>
                <w:color w:val="000000"/>
                <w:sz w:val="16"/>
                <w:szCs w:val="16"/>
              </w:rPr>
            </w:pPr>
            <w:r w:rsidRPr="00CD55B5">
              <w:rPr>
                <w:rFonts w:asciiTheme="minorHAnsi" w:hAnsiTheme="minorHAnsi" w:cstheme="minorHAnsi"/>
                <w:color w:val="000000"/>
                <w:sz w:val="16"/>
                <w:szCs w:val="16"/>
              </w:rPr>
              <w:t>31</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495</w:t>
            </w:r>
          </w:p>
        </w:tc>
        <w:tc>
          <w:tcPr>
            <w:tcW w:w="657" w:type="pct"/>
            <w:gridSpan w:val="2"/>
            <w:tcBorders>
              <w:top w:val="nil"/>
              <w:left w:val="nil"/>
              <w:bottom w:val="nil"/>
              <w:right w:val="single" w:sz="8" w:space="0" w:color="auto"/>
            </w:tcBorders>
            <w:shd w:val="clear" w:color="auto" w:fill="auto"/>
            <w:noWrap/>
            <w:vAlign w:val="center"/>
            <w:hideMark/>
          </w:tcPr>
          <w:p w14:paraId="5279EF85" w14:textId="244DA3D8"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42</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044</w:t>
            </w:r>
          </w:p>
        </w:tc>
        <w:tc>
          <w:tcPr>
            <w:tcW w:w="656" w:type="pct"/>
            <w:gridSpan w:val="2"/>
            <w:tcBorders>
              <w:top w:val="nil"/>
              <w:left w:val="nil"/>
              <w:bottom w:val="nil"/>
              <w:right w:val="single" w:sz="8" w:space="0" w:color="auto"/>
            </w:tcBorders>
            <w:shd w:val="clear" w:color="auto" w:fill="auto"/>
            <w:noWrap/>
            <w:vAlign w:val="center"/>
            <w:hideMark/>
          </w:tcPr>
          <w:p w14:paraId="2AE6AE30" w14:textId="162592B0"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47</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086</w:t>
            </w:r>
          </w:p>
        </w:tc>
        <w:tc>
          <w:tcPr>
            <w:tcW w:w="657" w:type="pct"/>
            <w:gridSpan w:val="2"/>
            <w:tcBorders>
              <w:top w:val="nil"/>
              <w:left w:val="nil"/>
              <w:bottom w:val="nil"/>
              <w:right w:val="single" w:sz="8" w:space="0" w:color="auto"/>
            </w:tcBorders>
            <w:shd w:val="clear" w:color="auto" w:fill="auto"/>
            <w:noWrap/>
            <w:vAlign w:val="center"/>
          </w:tcPr>
          <w:p w14:paraId="6EB53E5A" w14:textId="75187A0F"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49</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852</w:t>
            </w:r>
          </w:p>
        </w:tc>
        <w:tc>
          <w:tcPr>
            <w:tcW w:w="656" w:type="pct"/>
            <w:gridSpan w:val="2"/>
            <w:tcBorders>
              <w:top w:val="nil"/>
              <w:left w:val="nil"/>
              <w:bottom w:val="nil"/>
              <w:right w:val="single" w:sz="8" w:space="0" w:color="auto"/>
            </w:tcBorders>
            <w:shd w:val="clear" w:color="auto" w:fill="auto"/>
            <w:noWrap/>
            <w:vAlign w:val="center"/>
            <w:hideMark/>
          </w:tcPr>
          <w:p w14:paraId="3A25F782" w14:textId="3E42E76C"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52</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981</w:t>
            </w:r>
          </w:p>
        </w:tc>
        <w:tc>
          <w:tcPr>
            <w:tcW w:w="658" w:type="pct"/>
            <w:gridSpan w:val="2"/>
            <w:tcBorders>
              <w:top w:val="nil"/>
              <w:left w:val="nil"/>
              <w:bottom w:val="nil"/>
              <w:right w:val="nil"/>
            </w:tcBorders>
            <w:shd w:val="clear" w:color="auto" w:fill="auto"/>
            <w:noWrap/>
            <w:vAlign w:val="center"/>
            <w:hideMark/>
          </w:tcPr>
          <w:p w14:paraId="5D9516F5" w14:textId="19F778C9" w:rsidR="0073451C" w:rsidRPr="00CD55B5" w:rsidRDefault="0073451C" w:rsidP="00917551">
            <w:pPr>
              <w:spacing w:after="0" w:line="240" w:lineRule="auto"/>
              <w:jc w:val="right"/>
              <w:rPr>
                <w:rFonts w:asciiTheme="minorHAnsi" w:hAnsiTheme="minorHAnsi" w:cstheme="minorHAnsi"/>
                <w:sz w:val="16"/>
                <w:szCs w:val="16"/>
              </w:rPr>
            </w:pPr>
            <w:r w:rsidRPr="00C42EE9">
              <w:rPr>
                <w:rFonts w:asciiTheme="minorHAnsi" w:hAnsiTheme="minorHAnsi" w:cstheme="minorHAnsi"/>
                <w:sz w:val="16"/>
                <w:szCs w:val="16"/>
              </w:rPr>
              <w:t>53</w:t>
            </w:r>
            <w:r w:rsidR="00556DC5" w:rsidRPr="00C42EE9">
              <w:rPr>
                <w:rFonts w:asciiTheme="minorHAnsi" w:hAnsiTheme="minorHAnsi" w:cstheme="minorHAnsi"/>
                <w:sz w:val="16"/>
                <w:szCs w:val="16"/>
              </w:rPr>
              <w:t xml:space="preserve"> </w:t>
            </w:r>
            <w:r w:rsidRPr="00C42EE9">
              <w:rPr>
                <w:rFonts w:asciiTheme="minorHAnsi" w:hAnsiTheme="minorHAnsi" w:cstheme="minorHAnsi"/>
                <w:sz w:val="16"/>
                <w:szCs w:val="16"/>
              </w:rPr>
              <w:t>591</w:t>
            </w:r>
          </w:p>
        </w:tc>
      </w:tr>
      <w:tr w:rsidR="0073451C" w:rsidRPr="006C123E" w14:paraId="4AE9C0B7" w14:textId="77777777" w:rsidTr="00556DC5">
        <w:trPr>
          <w:trHeight w:val="282"/>
        </w:trPr>
        <w:tc>
          <w:tcPr>
            <w:tcW w:w="1059" w:type="pct"/>
            <w:tcBorders>
              <w:top w:val="nil"/>
              <w:left w:val="nil"/>
              <w:bottom w:val="nil"/>
              <w:right w:val="nil"/>
            </w:tcBorders>
            <w:shd w:val="clear" w:color="auto" w:fill="auto"/>
            <w:noWrap/>
            <w:vAlign w:val="center"/>
            <w:hideMark/>
          </w:tcPr>
          <w:p w14:paraId="4FB7C529" w14:textId="77777777" w:rsidR="0073451C" w:rsidRPr="006C123E" w:rsidRDefault="0073451C" w:rsidP="00917551">
            <w:pPr>
              <w:pStyle w:val="Zkladnodstavec"/>
              <w:spacing w:line="240" w:lineRule="auto"/>
              <w:jc w:val="both"/>
              <w:rPr>
                <w:rFonts w:cs="Arial"/>
                <w:sz w:val="16"/>
                <w:szCs w:val="16"/>
              </w:rPr>
            </w:pPr>
            <w:r>
              <w:rPr>
                <w:rFonts w:cs="Arial"/>
                <w:sz w:val="16"/>
                <w:szCs w:val="16"/>
              </w:rPr>
              <w:t>95+</w:t>
            </w:r>
          </w:p>
        </w:tc>
        <w:tc>
          <w:tcPr>
            <w:tcW w:w="656" w:type="pct"/>
            <w:tcBorders>
              <w:top w:val="nil"/>
              <w:left w:val="single" w:sz="8" w:space="0" w:color="auto"/>
              <w:bottom w:val="nil"/>
              <w:right w:val="single" w:sz="8" w:space="0" w:color="auto"/>
            </w:tcBorders>
            <w:shd w:val="clear" w:color="auto" w:fill="auto"/>
            <w:noWrap/>
            <w:vAlign w:val="center"/>
            <w:hideMark/>
          </w:tcPr>
          <w:p w14:paraId="5813A696" w14:textId="20BB7AFF" w:rsidR="0073451C" w:rsidRPr="00CD55B5" w:rsidRDefault="0073451C" w:rsidP="00917551">
            <w:pPr>
              <w:spacing w:after="0" w:line="240" w:lineRule="auto"/>
              <w:jc w:val="right"/>
              <w:rPr>
                <w:rFonts w:asciiTheme="minorHAnsi" w:hAnsiTheme="minorHAnsi" w:cstheme="minorHAnsi"/>
                <w:color w:val="000000"/>
                <w:sz w:val="16"/>
                <w:szCs w:val="16"/>
              </w:rPr>
            </w:pPr>
            <w:r w:rsidRPr="00CD55B5">
              <w:rPr>
                <w:rFonts w:asciiTheme="minorHAnsi" w:hAnsiTheme="minorHAnsi" w:cstheme="minorHAnsi"/>
                <w:color w:val="000000"/>
                <w:sz w:val="16"/>
                <w:szCs w:val="16"/>
              </w:rPr>
              <w:t>5</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664</w:t>
            </w:r>
          </w:p>
        </w:tc>
        <w:tc>
          <w:tcPr>
            <w:tcW w:w="657" w:type="pct"/>
            <w:gridSpan w:val="2"/>
            <w:tcBorders>
              <w:top w:val="nil"/>
              <w:left w:val="nil"/>
              <w:bottom w:val="nil"/>
              <w:right w:val="single" w:sz="8" w:space="0" w:color="auto"/>
            </w:tcBorders>
            <w:shd w:val="clear" w:color="auto" w:fill="auto"/>
            <w:noWrap/>
            <w:vAlign w:val="center"/>
            <w:hideMark/>
          </w:tcPr>
          <w:p w14:paraId="04EAA987" w14:textId="5DF598DA"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4</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649</w:t>
            </w:r>
          </w:p>
        </w:tc>
        <w:tc>
          <w:tcPr>
            <w:tcW w:w="656" w:type="pct"/>
            <w:gridSpan w:val="2"/>
            <w:tcBorders>
              <w:top w:val="nil"/>
              <w:left w:val="nil"/>
              <w:bottom w:val="nil"/>
              <w:right w:val="single" w:sz="8" w:space="0" w:color="auto"/>
            </w:tcBorders>
            <w:shd w:val="clear" w:color="auto" w:fill="auto"/>
            <w:noWrap/>
            <w:vAlign w:val="center"/>
            <w:hideMark/>
          </w:tcPr>
          <w:p w14:paraId="39765C23" w14:textId="347B257D"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6</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422</w:t>
            </w:r>
          </w:p>
        </w:tc>
        <w:tc>
          <w:tcPr>
            <w:tcW w:w="657" w:type="pct"/>
            <w:gridSpan w:val="2"/>
            <w:tcBorders>
              <w:top w:val="nil"/>
              <w:left w:val="nil"/>
              <w:bottom w:val="nil"/>
              <w:right w:val="single" w:sz="8" w:space="0" w:color="auto"/>
            </w:tcBorders>
            <w:shd w:val="clear" w:color="auto" w:fill="auto"/>
            <w:noWrap/>
            <w:vAlign w:val="center"/>
          </w:tcPr>
          <w:p w14:paraId="0CB9781F" w14:textId="644C41D9"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9</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143</w:t>
            </w:r>
          </w:p>
        </w:tc>
        <w:tc>
          <w:tcPr>
            <w:tcW w:w="656" w:type="pct"/>
            <w:gridSpan w:val="2"/>
            <w:tcBorders>
              <w:top w:val="nil"/>
              <w:left w:val="nil"/>
              <w:bottom w:val="nil"/>
              <w:right w:val="single" w:sz="8" w:space="0" w:color="auto"/>
            </w:tcBorders>
            <w:shd w:val="clear" w:color="auto" w:fill="auto"/>
            <w:noWrap/>
            <w:vAlign w:val="center"/>
            <w:hideMark/>
          </w:tcPr>
          <w:p w14:paraId="4241E2BA" w14:textId="3031A97A"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11</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035</w:t>
            </w:r>
          </w:p>
        </w:tc>
        <w:tc>
          <w:tcPr>
            <w:tcW w:w="658" w:type="pct"/>
            <w:gridSpan w:val="2"/>
            <w:tcBorders>
              <w:top w:val="nil"/>
              <w:left w:val="nil"/>
              <w:bottom w:val="nil"/>
              <w:right w:val="nil"/>
            </w:tcBorders>
            <w:shd w:val="clear" w:color="auto" w:fill="auto"/>
            <w:noWrap/>
            <w:vAlign w:val="center"/>
            <w:hideMark/>
          </w:tcPr>
          <w:p w14:paraId="74A3CC83" w14:textId="1541885E" w:rsidR="0073451C" w:rsidRPr="00CD55B5" w:rsidRDefault="0073451C" w:rsidP="00917551">
            <w:pPr>
              <w:spacing w:after="0" w:line="240" w:lineRule="auto"/>
              <w:jc w:val="right"/>
              <w:rPr>
                <w:rFonts w:asciiTheme="minorHAnsi" w:hAnsiTheme="minorHAnsi" w:cstheme="minorHAnsi"/>
                <w:sz w:val="16"/>
                <w:szCs w:val="16"/>
              </w:rPr>
            </w:pPr>
            <w:r w:rsidRPr="00CD55B5">
              <w:rPr>
                <w:rFonts w:asciiTheme="minorHAnsi" w:hAnsiTheme="minorHAnsi" w:cstheme="minorHAnsi"/>
                <w:sz w:val="16"/>
                <w:szCs w:val="16"/>
              </w:rPr>
              <w:t>10</w:t>
            </w:r>
            <w:r w:rsidR="00556DC5">
              <w:rPr>
                <w:rFonts w:asciiTheme="minorHAnsi" w:hAnsiTheme="minorHAnsi" w:cstheme="minorHAnsi"/>
                <w:sz w:val="16"/>
                <w:szCs w:val="16"/>
              </w:rPr>
              <w:t xml:space="preserve"> </w:t>
            </w:r>
            <w:r w:rsidRPr="00CD55B5">
              <w:rPr>
                <w:rFonts w:asciiTheme="minorHAnsi" w:hAnsiTheme="minorHAnsi" w:cstheme="minorHAnsi"/>
                <w:sz w:val="16"/>
                <w:szCs w:val="16"/>
              </w:rPr>
              <w:t>709</w:t>
            </w:r>
          </w:p>
        </w:tc>
      </w:tr>
      <w:tr w:rsidR="0073451C" w:rsidRPr="006C123E" w14:paraId="200D84CC" w14:textId="77777777" w:rsidTr="00556DC5">
        <w:trPr>
          <w:trHeight w:val="282"/>
        </w:trPr>
        <w:tc>
          <w:tcPr>
            <w:tcW w:w="1059" w:type="pct"/>
            <w:tcBorders>
              <w:top w:val="nil"/>
              <w:left w:val="nil"/>
              <w:bottom w:val="nil"/>
              <w:right w:val="nil"/>
            </w:tcBorders>
            <w:shd w:val="clear" w:color="auto" w:fill="auto"/>
            <w:noWrap/>
            <w:vAlign w:val="center"/>
            <w:hideMark/>
          </w:tcPr>
          <w:p w14:paraId="04930187" w14:textId="77777777" w:rsidR="0073451C" w:rsidRPr="006C123E" w:rsidRDefault="0073451C" w:rsidP="00917551">
            <w:pPr>
              <w:pStyle w:val="Zkladnodstavec"/>
              <w:spacing w:line="240" w:lineRule="auto"/>
              <w:jc w:val="both"/>
              <w:rPr>
                <w:rFonts w:cs="Arial"/>
                <w:sz w:val="16"/>
                <w:szCs w:val="16"/>
              </w:rPr>
            </w:pPr>
            <w:r>
              <w:rPr>
                <w:rFonts w:cs="Arial"/>
                <w:sz w:val="16"/>
                <w:szCs w:val="16"/>
              </w:rPr>
              <w:t>Celkem 65+</w:t>
            </w:r>
          </w:p>
        </w:tc>
        <w:tc>
          <w:tcPr>
            <w:tcW w:w="656" w:type="pct"/>
            <w:tcBorders>
              <w:top w:val="nil"/>
              <w:left w:val="single" w:sz="8" w:space="0" w:color="auto"/>
              <w:bottom w:val="nil"/>
              <w:right w:val="single" w:sz="8" w:space="0" w:color="auto"/>
            </w:tcBorders>
            <w:shd w:val="clear" w:color="auto" w:fill="auto"/>
            <w:noWrap/>
            <w:vAlign w:val="center"/>
            <w:hideMark/>
          </w:tcPr>
          <w:p w14:paraId="16AE51BE" w14:textId="353A943E" w:rsidR="0073451C" w:rsidRPr="00CD55B5" w:rsidRDefault="0073451C" w:rsidP="00917551">
            <w:pPr>
              <w:spacing w:after="0" w:line="240" w:lineRule="auto"/>
              <w:jc w:val="right"/>
              <w:rPr>
                <w:rFonts w:asciiTheme="minorHAnsi" w:hAnsiTheme="minorHAnsi" w:cstheme="minorHAnsi"/>
                <w:color w:val="000000"/>
                <w:sz w:val="16"/>
                <w:szCs w:val="16"/>
              </w:rPr>
            </w:pPr>
            <w:r w:rsidRPr="00CD55B5">
              <w:rPr>
                <w:rFonts w:asciiTheme="minorHAnsi" w:hAnsiTheme="minorHAnsi" w:cstheme="minorHAnsi"/>
                <w:color w:val="000000"/>
                <w:sz w:val="16"/>
                <w:szCs w:val="16"/>
              </w:rPr>
              <w:t>1</w:t>
            </w:r>
            <w:r w:rsidR="00556DC5">
              <w:rPr>
                <w:rFonts w:asciiTheme="minorHAnsi" w:hAnsiTheme="minorHAnsi" w:cstheme="minorHAnsi"/>
                <w:color w:val="000000"/>
                <w:sz w:val="16"/>
                <w:szCs w:val="16"/>
              </w:rPr>
              <w:t> </w:t>
            </w:r>
            <w:r w:rsidRPr="00CD55B5">
              <w:rPr>
                <w:rFonts w:asciiTheme="minorHAnsi" w:hAnsiTheme="minorHAnsi" w:cstheme="minorHAnsi"/>
                <w:color w:val="000000"/>
                <w:sz w:val="16"/>
                <w:szCs w:val="16"/>
              </w:rPr>
              <w:t>701</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436</w:t>
            </w:r>
          </w:p>
        </w:tc>
        <w:tc>
          <w:tcPr>
            <w:tcW w:w="657" w:type="pct"/>
            <w:gridSpan w:val="2"/>
            <w:tcBorders>
              <w:top w:val="nil"/>
              <w:left w:val="nil"/>
              <w:bottom w:val="nil"/>
              <w:right w:val="single" w:sz="8" w:space="0" w:color="auto"/>
            </w:tcBorders>
            <w:shd w:val="clear" w:color="auto" w:fill="auto"/>
            <w:noWrap/>
            <w:vAlign w:val="center"/>
            <w:hideMark/>
          </w:tcPr>
          <w:p w14:paraId="38829441" w14:textId="2FE34923" w:rsidR="0073451C" w:rsidRPr="00CD55B5" w:rsidRDefault="0073451C" w:rsidP="00917551">
            <w:pPr>
              <w:spacing w:after="0" w:line="240" w:lineRule="auto"/>
              <w:jc w:val="right"/>
              <w:rPr>
                <w:rFonts w:asciiTheme="minorHAnsi" w:hAnsiTheme="minorHAnsi" w:cstheme="minorHAnsi"/>
                <w:color w:val="000000"/>
                <w:sz w:val="16"/>
                <w:szCs w:val="16"/>
              </w:rPr>
            </w:pPr>
            <w:r w:rsidRPr="00CD55B5">
              <w:rPr>
                <w:rFonts w:asciiTheme="minorHAnsi" w:hAnsiTheme="minorHAnsi" w:cstheme="minorHAnsi"/>
                <w:color w:val="000000"/>
                <w:sz w:val="16"/>
                <w:szCs w:val="16"/>
              </w:rPr>
              <w:t>1</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825</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544</w:t>
            </w:r>
          </w:p>
        </w:tc>
        <w:tc>
          <w:tcPr>
            <w:tcW w:w="656" w:type="pct"/>
            <w:gridSpan w:val="2"/>
            <w:tcBorders>
              <w:top w:val="nil"/>
              <w:left w:val="nil"/>
              <w:bottom w:val="nil"/>
              <w:right w:val="single" w:sz="8" w:space="0" w:color="auto"/>
            </w:tcBorders>
            <w:shd w:val="clear" w:color="auto" w:fill="auto"/>
            <w:noWrap/>
            <w:vAlign w:val="center"/>
            <w:hideMark/>
          </w:tcPr>
          <w:p w14:paraId="047E5E3B" w14:textId="7D20FC0B" w:rsidR="0073451C" w:rsidRPr="00CD55B5" w:rsidRDefault="0073451C" w:rsidP="00917551">
            <w:pPr>
              <w:spacing w:after="0" w:line="240" w:lineRule="auto"/>
              <w:jc w:val="right"/>
              <w:rPr>
                <w:rFonts w:asciiTheme="minorHAnsi" w:hAnsiTheme="minorHAnsi" w:cstheme="minorHAnsi"/>
                <w:color w:val="000000"/>
                <w:sz w:val="16"/>
                <w:szCs w:val="16"/>
              </w:rPr>
            </w:pPr>
            <w:r w:rsidRPr="00CD55B5">
              <w:rPr>
                <w:rFonts w:asciiTheme="minorHAnsi" w:hAnsiTheme="minorHAnsi" w:cstheme="minorHAnsi"/>
                <w:color w:val="000000"/>
                <w:sz w:val="16"/>
                <w:szCs w:val="16"/>
              </w:rPr>
              <w:t>1</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932</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412</w:t>
            </w:r>
          </w:p>
        </w:tc>
        <w:tc>
          <w:tcPr>
            <w:tcW w:w="657" w:type="pct"/>
            <w:gridSpan w:val="2"/>
            <w:tcBorders>
              <w:top w:val="nil"/>
              <w:left w:val="nil"/>
              <w:bottom w:val="nil"/>
              <w:right w:val="single" w:sz="8" w:space="0" w:color="auto"/>
            </w:tcBorders>
            <w:shd w:val="clear" w:color="auto" w:fill="auto"/>
            <w:noWrap/>
            <w:vAlign w:val="center"/>
          </w:tcPr>
          <w:p w14:paraId="7EF19E06" w14:textId="1D9B19BE" w:rsidR="0073451C" w:rsidRPr="00CD55B5" w:rsidRDefault="0073451C" w:rsidP="00917551">
            <w:pPr>
              <w:spacing w:after="0" w:line="240" w:lineRule="auto"/>
              <w:jc w:val="right"/>
              <w:rPr>
                <w:rFonts w:asciiTheme="minorHAnsi" w:hAnsiTheme="minorHAnsi" w:cstheme="minorHAnsi"/>
                <w:color w:val="000000"/>
                <w:sz w:val="16"/>
                <w:szCs w:val="16"/>
              </w:rPr>
            </w:pPr>
            <w:r w:rsidRPr="00CD55B5">
              <w:rPr>
                <w:rFonts w:asciiTheme="minorHAnsi" w:hAnsiTheme="minorHAnsi" w:cstheme="minorHAnsi"/>
                <w:color w:val="000000"/>
                <w:sz w:val="16"/>
                <w:szCs w:val="16"/>
              </w:rPr>
              <w:t>2</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040</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183</w:t>
            </w:r>
          </w:p>
        </w:tc>
        <w:tc>
          <w:tcPr>
            <w:tcW w:w="656" w:type="pct"/>
            <w:gridSpan w:val="2"/>
            <w:tcBorders>
              <w:top w:val="nil"/>
              <w:left w:val="nil"/>
              <w:bottom w:val="nil"/>
              <w:right w:val="single" w:sz="8" w:space="0" w:color="auto"/>
            </w:tcBorders>
            <w:shd w:val="clear" w:color="auto" w:fill="auto"/>
            <w:noWrap/>
            <w:vAlign w:val="center"/>
            <w:hideMark/>
          </w:tcPr>
          <w:p w14:paraId="16484CE9" w14:textId="0F4808CD" w:rsidR="0073451C" w:rsidRPr="00CD55B5" w:rsidRDefault="0073451C" w:rsidP="00917551">
            <w:pPr>
              <w:spacing w:after="0" w:line="240" w:lineRule="auto"/>
              <w:jc w:val="right"/>
              <w:rPr>
                <w:rFonts w:asciiTheme="minorHAnsi" w:hAnsiTheme="minorHAnsi" w:cstheme="minorHAnsi"/>
                <w:color w:val="000000"/>
                <w:sz w:val="16"/>
                <w:szCs w:val="16"/>
              </w:rPr>
            </w:pPr>
            <w:r w:rsidRPr="00CD55B5">
              <w:rPr>
                <w:rFonts w:asciiTheme="minorHAnsi" w:hAnsiTheme="minorHAnsi" w:cstheme="minorHAnsi"/>
                <w:color w:val="000000"/>
                <w:sz w:val="16"/>
                <w:szCs w:val="16"/>
              </w:rPr>
              <w:t>2</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131</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630</w:t>
            </w:r>
          </w:p>
        </w:tc>
        <w:tc>
          <w:tcPr>
            <w:tcW w:w="658" w:type="pct"/>
            <w:gridSpan w:val="2"/>
            <w:tcBorders>
              <w:top w:val="nil"/>
              <w:left w:val="nil"/>
              <w:bottom w:val="nil"/>
              <w:right w:val="nil"/>
            </w:tcBorders>
            <w:shd w:val="clear" w:color="auto" w:fill="auto"/>
            <w:noWrap/>
            <w:vAlign w:val="center"/>
            <w:hideMark/>
          </w:tcPr>
          <w:p w14:paraId="6EBB3C84" w14:textId="20C1092D" w:rsidR="0073451C" w:rsidRPr="00CD55B5" w:rsidRDefault="0073451C" w:rsidP="00917551">
            <w:pPr>
              <w:spacing w:after="0" w:line="240" w:lineRule="auto"/>
              <w:jc w:val="right"/>
              <w:rPr>
                <w:rFonts w:asciiTheme="minorHAnsi" w:hAnsiTheme="minorHAnsi" w:cstheme="minorHAnsi"/>
                <w:color w:val="000000"/>
                <w:sz w:val="16"/>
                <w:szCs w:val="16"/>
              </w:rPr>
            </w:pPr>
            <w:r w:rsidRPr="00CD55B5">
              <w:rPr>
                <w:rFonts w:asciiTheme="minorHAnsi" w:hAnsiTheme="minorHAnsi" w:cstheme="minorHAnsi"/>
                <w:color w:val="000000"/>
                <w:sz w:val="16"/>
                <w:szCs w:val="16"/>
              </w:rPr>
              <w:t>2</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169</w:t>
            </w:r>
            <w:r w:rsidR="00556DC5">
              <w:rPr>
                <w:rFonts w:asciiTheme="minorHAnsi" w:hAnsiTheme="minorHAnsi" w:cstheme="minorHAnsi"/>
                <w:color w:val="000000"/>
                <w:sz w:val="16"/>
                <w:szCs w:val="16"/>
              </w:rPr>
              <w:t xml:space="preserve"> </w:t>
            </w:r>
            <w:r w:rsidRPr="00CD55B5">
              <w:rPr>
                <w:rFonts w:asciiTheme="minorHAnsi" w:hAnsiTheme="minorHAnsi" w:cstheme="minorHAnsi"/>
                <w:color w:val="000000"/>
                <w:sz w:val="16"/>
                <w:szCs w:val="16"/>
              </w:rPr>
              <w:t>109</w:t>
            </w:r>
          </w:p>
        </w:tc>
      </w:tr>
      <w:tr w:rsidR="0073451C" w:rsidRPr="006C123E" w14:paraId="793FC69C" w14:textId="77777777" w:rsidTr="00556DC5">
        <w:trPr>
          <w:trHeight w:val="282"/>
        </w:trPr>
        <w:tc>
          <w:tcPr>
            <w:tcW w:w="1059" w:type="pct"/>
            <w:tcBorders>
              <w:top w:val="nil"/>
              <w:left w:val="nil"/>
              <w:bottom w:val="nil"/>
              <w:right w:val="nil"/>
            </w:tcBorders>
            <w:shd w:val="clear" w:color="auto" w:fill="auto"/>
            <w:noWrap/>
            <w:vAlign w:val="center"/>
            <w:hideMark/>
          </w:tcPr>
          <w:p w14:paraId="41AC4EDD" w14:textId="68AE13AE" w:rsidR="0073451C" w:rsidRPr="006C123E" w:rsidRDefault="0073451C" w:rsidP="00917551">
            <w:pPr>
              <w:pStyle w:val="Zkladnodstavec"/>
              <w:spacing w:line="240" w:lineRule="auto"/>
              <w:rPr>
                <w:rFonts w:cs="Arial"/>
                <w:sz w:val="16"/>
                <w:szCs w:val="16"/>
              </w:rPr>
            </w:pPr>
            <w:r>
              <w:rPr>
                <w:rFonts w:cs="Arial"/>
                <w:sz w:val="16"/>
                <w:szCs w:val="16"/>
              </w:rPr>
              <w:t>Podíl 65+ v populaci v %</w:t>
            </w:r>
          </w:p>
        </w:tc>
        <w:tc>
          <w:tcPr>
            <w:tcW w:w="656" w:type="pct"/>
            <w:tcBorders>
              <w:top w:val="nil"/>
              <w:left w:val="single" w:sz="8" w:space="0" w:color="auto"/>
              <w:bottom w:val="nil"/>
              <w:right w:val="single" w:sz="8" w:space="0" w:color="auto"/>
            </w:tcBorders>
            <w:shd w:val="clear" w:color="auto" w:fill="auto"/>
            <w:noWrap/>
            <w:vAlign w:val="center"/>
          </w:tcPr>
          <w:p w14:paraId="0A5A5C70" w14:textId="77777777" w:rsidR="0073451C" w:rsidRPr="0073451C" w:rsidRDefault="00CD55B5" w:rsidP="00917551">
            <w:pPr>
              <w:pStyle w:val="Zkladnodstavec"/>
              <w:spacing w:line="240" w:lineRule="auto"/>
              <w:jc w:val="right"/>
              <w:rPr>
                <w:rFonts w:asciiTheme="majorHAnsi" w:hAnsiTheme="majorHAnsi" w:cstheme="majorHAnsi"/>
                <w:color w:val="auto"/>
                <w:sz w:val="16"/>
                <w:szCs w:val="16"/>
              </w:rPr>
            </w:pPr>
            <w:r>
              <w:rPr>
                <w:rFonts w:asciiTheme="majorHAnsi" w:hAnsiTheme="majorHAnsi" w:cstheme="majorHAnsi"/>
                <w:color w:val="auto"/>
                <w:sz w:val="16"/>
                <w:szCs w:val="16"/>
              </w:rPr>
              <w:t>16,2</w:t>
            </w:r>
          </w:p>
        </w:tc>
        <w:tc>
          <w:tcPr>
            <w:tcW w:w="657" w:type="pct"/>
            <w:gridSpan w:val="2"/>
            <w:tcBorders>
              <w:top w:val="nil"/>
              <w:left w:val="nil"/>
              <w:bottom w:val="nil"/>
              <w:right w:val="single" w:sz="8" w:space="0" w:color="auto"/>
            </w:tcBorders>
            <w:shd w:val="clear" w:color="auto" w:fill="auto"/>
            <w:noWrap/>
            <w:vAlign w:val="center"/>
          </w:tcPr>
          <w:p w14:paraId="4798FA98" w14:textId="77777777" w:rsidR="0073451C" w:rsidRPr="0073451C" w:rsidRDefault="00CD55B5" w:rsidP="00917551">
            <w:pPr>
              <w:pStyle w:val="Zkladnodstavec"/>
              <w:spacing w:line="240" w:lineRule="auto"/>
              <w:jc w:val="right"/>
              <w:rPr>
                <w:rFonts w:asciiTheme="majorHAnsi" w:hAnsiTheme="majorHAnsi" w:cstheme="majorHAnsi"/>
                <w:color w:val="auto"/>
                <w:sz w:val="16"/>
                <w:szCs w:val="16"/>
              </w:rPr>
            </w:pPr>
            <w:r>
              <w:rPr>
                <w:rFonts w:asciiTheme="majorHAnsi" w:hAnsiTheme="majorHAnsi" w:cstheme="majorHAnsi"/>
                <w:color w:val="auto"/>
                <w:sz w:val="16"/>
                <w:szCs w:val="16"/>
              </w:rPr>
              <w:t>17,4</w:t>
            </w:r>
          </w:p>
        </w:tc>
        <w:tc>
          <w:tcPr>
            <w:tcW w:w="656" w:type="pct"/>
            <w:gridSpan w:val="2"/>
            <w:tcBorders>
              <w:top w:val="nil"/>
              <w:left w:val="nil"/>
              <w:bottom w:val="nil"/>
              <w:right w:val="single" w:sz="8" w:space="0" w:color="auto"/>
            </w:tcBorders>
            <w:shd w:val="clear" w:color="auto" w:fill="auto"/>
            <w:noWrap/>
            <w:vAlign w:val="center"/>
          </w:tcPr>
          <w:p w14:paraId="52D2851D" w14:textId="77777777" w:rsidR="0073451C" w:rsidRPr="0073451C" w:rsidRDefault="00CD55B5" w:rsidP="00917551">
            <w:pPr>
              <w:pStyle w:val="Zkladnodstavec"/>
              <w:spacing w:line="240" w:lineRule="auto"/>
              <w:jc w:val="right"/>
              <w:rPr>
                <w:rFonts w:asciiTheme="majorHAnsi" w:hAnsiTheme="majorHAnsi" w:cstheme="majorHAnsi"/>
                <w:color w:val="auto"/>
                <w:sz w:val="16"/>
                <w:szCs w:val="16"/>
              </w:rPr>
            </w:pPr>
            <w:r>
              <w:rPr>
                <w:rFonts w:asciiTheme="majorHAnsi" w:hAnsiTheme="majorHAnsi" w:cstheme="majorHAnsi"/>
                <w:color w:val="auto"/>
                <w:sz w:val="16"/>
                <w:szCs w:val="16"/>
              </w:rPr>
              <w:t>18,3</w:t>
            </w:r>
          </w:p>
        </w:tc>
        <w:tc>
          <w:tcPr>
            <w:tcW w:w="657" w:type="pct"/>
            <w:gridSpan w:val="2"/>
            <w:tcBorders>
              <w:top w:val="nil"/>
              <w:left w:val="nil"/>
              <w:bottom w:val="nil"/>
              <w:right w:val="single" w:sz="8" w:space="0" w:color="auto"/>
            </w:tcBorders>
            <w:shd w:val="clear" w:color="auto" w:fill="auto"/>
            <w:noWrap/>
            <w:vAlign w:val="center"/>
          </w:tcPr>
          <w:p w14:paraId="714998F3" w14:textId="77777777" w:rsidR="0073451C" w:rsidRPr="0073451C" w:rsidRDefault="00CD55B5" w:rsidP="00917551">
            <w:pPr>
              <w:pStyle w:val="Zkladnodstavec"/>
              <w:spacing w:line="240" w:lineRule="auto"/>
              <w:jc w:val="right"/>
              <w:rPr>
                <w:rFonts w:asciiTheme="majorHAnsi" w:hAnsiTheme="majorHAnsi" w:cstheme="majorHAnsi"/>
                <w:color w:val="auto"/>
                <w:sz w:val="16"/>
                <w:szCs w:val="16"/>
              </w:rPr>
            </w:pPr>
            <w:r>
              <w:rPr>
                <w:rFonts w:asciiTheme="majorHAnsi" w:hAnsiTheme="majorHAnsi" w:cstheme="majorHAnsi"/>
                <w:color w:val="auto"/>
                <w:sz w:val="16"/>
                <w:szCs w:val="16"/>
              </w:rPr>
              <w:t>19,2</w:t>
            </w:r>
          </w:p>
        </w:tc>
        <w:tc>
          <w:tcPr>
            <w:tcW w:w="656" w:type="pct"/>
            <w:gridSpan w:val="2"/>
            <w:tcBorders>
              <w:top w:val="nil"/>
              <w:left w:val="nil"/>
              <w:bottom w:val="nil"/>
              <w:right w:val="single" w:sz="8" w:space="0" w:color="auto"/>
            </w:tcBorders>
            <w:shd w:val="clear" w:color="auto" w:fill="auto"/>
            <w:noWrap/>
            <w:vAlign w:val="center"/>
          </w:tcPr>
          <w:p w14:paraId="2F7DA64D" w14:textId="77777777" w:rsidR="0073451C" w:rsidRPr="0073451C" w:rsidRDefault="00CD55B5" w:rsidP="00917551">
            <w:pPr>
              <w:pStyle w:val="Zkladnodstavec"/>
              <w:spacing w:line="240" w:lineRule="auto"/>
              <w:jc w:val="right"/>
              <w:rPr>
                <w:rFonts w:asciiTheme="majorHAnsi" w:hAnsiTheme="majorHAnsi" w:cstheme="majorHAnsi"/>
                <w:color w:val="auto"/>
                <w:sz w:val="16"/>
                <w:szCs w:val="16"/>
              </w:rPr>
            </w:pPr>
            <w:r>
              <w:rPr>
                <w:rFonts w:asciiTheme="majorHAnsi" w:hAnsiTheme="majorHAnsi" w:cstheme="majorHAnsi"/>
                <w:color w:val="auto"/>
                <w:sz w:val="16"/>
                <w:szCs w:val="16"/>
              </w:rPr>
              <w:t>19,9</w:t>
            </w:r>
          </w:p>
        </w:tc>
        <w:tc>
          <w:tcPr>
            <w:tcW w:w="658" w:type="pct"/>
            <w:gridSpan w:val="2"/>
            <w:tcBorders>
              <w:top w:val="nil"/>
              <w:left w:val="nil"/>
              <w:bottom w:val="nil"/>
              <w:right w:val="nil"/>
            </w:tcBorders>
            <w:shd w:val="clear" w:color="auto" w:fill="auto"/>
            <w:noWrap/>
            <w:vAlign w:val="center"/>
          </w:tcPr>
          <w:p w14:paraId="0261B3EA" w14:textId="77777777" w:rsidR="0073451C" w:rsidRPr="0073451C" w:rsidRDefault="00CD55B5" w:rsidP="00917551">
            <w:pPr>
              <w:pStyle w:val="Zkladnodstavec"/>
              <w:spacing w:line="240" w:lineRule="auto"/>
              <w:jc w:val="right"/>
              <w:rPr>
                <w:rFonts w:asciiTheme="majorHAnsi" w:hAnsiTheme="majorHAnsi" w:cstheme="majorHAnsi"/>
                <w:color w:val="auto"/>
                <w:sz w:val="16"/>
                <w:szCs w:val="16"/>
              </w:rPr>
            </w:pPr>
            <w:r>
              <w:rPr>
                <w:rFonts w:asciiTheme="majorHAnsi" w:hAnsiTheme="majorHAnsi" w:cstheme="majorHAnsi"/>
                <w:color w:val="auto"/>
                <w:sz w:val="16"/>
                <w:szCs w:val="16"/>
              </w:rPr>
              <w:t>20,6</w:t>
            </w:r>
          </w:p>
        </w:tc>
      </w:tr>
      <w:tr w:rsidR="0073451C" w:rsidRPr="006C123E" w14:paraId="2F4273F8" w14:textId="77777777" w:rsidTr="00556DC5">
        <w:trPr>
          <w:trHeight w:val="170"/>
        </w:trPr>
        <w:tc>
          <w:tcPr>
            <w:tcW w:w="1059" w:type="pct"/>
            <w:tcBorders>
              <w:top w:val="nil"/>
              <w:left w:val="nil"/>
              <w:bottom w:val="nil"/>
              <w:right w:val="nil"/>
            </w:tcBorders>
            <w:shd w:val="clear" w:color="auto" w:fill="auto"/>
            <w:vAlign w:val="center"/>
            <w:hideMark/>
          </w:tcPr>
          <w:p w14:paraId="1EB34E21" w14:textId="77777777" w:rsidR="0073451C" w:rsidRPr="006C123E" w:rsidRDefault="0073451C" w:rsidP="00917551">
            <w:pPr>
              <w:pStyle w:val="Zkladnodstavec"/>
              <w:spacing w:line="240" w:lineRule="auto"/>
              <w:jc w:val="both"/>
              <w:rPr>
                <w:rFonts w:cs="Arial"/>
                <w:sz w:val="16"/>
                <w:szCs w:val="16"/>
              </w:rPr>
            </w:pPr>
          </w:p>
        </w:tc>
        <w:tc>
          <w:tcPr>
            <w:tcW w:w="759" w:type="pct"/>
            <w:gridSpan w:val="2"/>
            <w:tcBorders>
              <w:top w:val="nil"/>
              <w:left w:val="nil"/>
              <w:bottom w:val="nil"/>
              <w:right w:val="nil"/>
            </w:tcBorders>
            <w:shd w:val="clear" w:color="auto" w:fill="auto"/>
            <w:noWrap/>
            <w:vAlign w:val="bottom"/>
            <w:hideMark/>
          </w:tcPr>
          <w:p w14:paraId="5FC91157" w14:textId="77777777" w:rsidR="0073451C" w:rsidRPr="006C123E" w:rsidRDefault="0073451C" w:rsidP="00917551">
            <w:pPr>
              <w:pStyle w:val="Zkladnodstavec"/>
              <w:spacing w:line="240" w:lineRule="auto"/>
              <w:jc w:val="both"/>
              <w:rPr>
                <w:rFonts w:cs="Arial"/>
                <w:sz w:val="16"/>
                <w:szCs w:val="16"/>
              </w:rPr>
            </w:pPr>
          </w:p>
        </w:tc>
        <w:tc>
          <w:tcPr>
            <w:tcW w:w="636" w:type="pct"/>
            <w:gridSpan w:val="2"/>
            <w:tcBorders>
              <w:top w:val="nil"/>
              <w:left w:val="nil"/>
              <w:bottom w:val="nil"/>
              <w:right w:val="nil"/>
            </w:tcBorders>
            <w:shd w:val="clear" w:color="auto" w:fill="auto"/>
            <w:noWrap/>
            <w:vAlign w:val="bottom"/>
            <w:hideMark/>
          </w:tcPr>
          <w:p w14:paraId="3FAB3024" w14:textId="77777777" w:rsidR="0073451C" w:rsidRPr="006C123E" w:rsidRDefault="0073451C" w:rsidP="00917551">
            <w:pPr>
              <w:pStyle w:val="Zkladnodstavec"/>
              <w:spacing w:line="240" w:lineRule="auto"/>
              <w:jc w:val="both"/>
              <w:rPr>
                <w:rFonts w:cs="Arial"/>
                <w:sz w:val="16"/>
                <w:szCs w:val="16"/>
              </w:rPr>
            </w:pPr>
          </w:p>
        </w:tc>
        <w:tc>
          <w:tcPr>
            <w:tcW w:w="636" w:type="pct"/>
            <w:gridSpan w:val="2"/>
            <w:tcBorders>
              <w:top w:val="nil"/>
              <w:left w:val="nil"/>
              <w:bottom w:val="nil"/>
              <w:right w:val="nil"/>
            </w:tcBorders>
            <w:shd w:val="clear" w:color="auto" w:fill="auto"/>
            <w:noWrap/>
            <w:vAlign w:val="bottom"/>
            <w:hideMark/>
          </w:tcPr>
          <w:p w14:paraId="2562A062" w14:textId="77777777" w:rsidR="0073451C" w:rsidRPr="006C123E" w:rsidRDefault="0073451C" w:rsidP="00917551">
            <w:pPr>
              <w:pStyle w:val="Zkladnodstavec"/>
              <w:spacing w:line="240" w:lineRule="auto"/>
              <w:jc w:val="both"/>
              <w:rPr>
                <w:rFonts w:cs="Arial"/>
                <w:sz w:val="16"/>
                <w:szCs w:val="16"/>
              </w:rPr>
            </w:pPr>
          </w:p>
        </w:tc>
        <w:tc>
          <w:tcPr>
            <w:tcW w:w="636" w:type="pct"/>
            <w:gridSpan w:val="2"/>
            <w:tcBorders>
              <w:top w:val="nil"/>
              <w:left w:val="nil"/>
              <w:bottom w:val="nil"/>
              <w:right w:val="nil"/>
            </w:tcBorders>
            <w:shd w:val="clear" w:color="auto" w:fill="auto"/>
            <w:noWrap/>
            <w:vAlign w:val="bottom"/>
            <w:hideMark/>
          </w:tcPr>
          <w:p w14:paraId="53AF9822" w14:textId="77777777" w:rsidR="0073451C" w:rsidRPr="006C123E" w:rsidRDefault="0073451C" w:rsidP="00917551">
            <w:pPr>
              <w:pStyle w:val="Zkladnodstavec"/>
              <w:spacing w:line="240" w:lineRule="auto"/>
              <w:jc w:val="both"/>
              <w:rPr>
                <w:rFonts w:cs="Arial"/>
                <w:sz w:val="16"/>
                <w:szCs w:val="16"/>
              </w:rPr>
            </w:pPr>
          </w:p>
        </w:tc>
        <w:tc>
          <w:tcPr>
            <w:tcW w:w="636" w:type="pct"/>
            <w:gridSpan w:val="2"/>
            <w:tcBorders>
              <w:top w:val="nil"/>
              <w:left w:val="nil"/>
              <w:bottom w:val="nil"/>
              <w:right w:val="nil"/>
            </w:tcBorders>
            <w:shd w:val="clear" w:color="auto" w:fill="auto"/>
            <w:noWrap/>
            <w:vAlign w:val="bottom"/>
            <w:hideMark/>
          </w:tcPr>
          <w:p w14:paraId="126C239A" w14:textId="77777777" w:rsidR="0073451C" w:rsidRPr="006C123E" w:rsidRDefault="0073451C" w:rsidP="00917551">
            <w:pPr>
              <w:pStyle w:val="Zkladnodstavec"/>
              <w:spacing w:line="240" w:lineRule="auto"/>
              <w:jc w:val="both"/>
              <w:rPr>
                <w:rFonts w:cs="Arial"/>
                <w:sz w:val="16"/>
                <w:szCs w:val="16"/>
              </w:rPr>
            </w:pPr>
          </w:p>
        </w:tc>
        <w:tc>
          <w:tcPr>
            <w:tcW w:w="637" w:type="pct"/>
            <w:tcBorders>
              <w:top w:val="nil"/>
              <w:left w:val="nil"/>
              <w:bottom w:val="nil"/>
              <w:right w:val="nil"/>
            </w:tcBorders>
            <w:shd w:val="clear" w:color="auto" w:fill="auto"/>
            <w:noWrap/>
            <w:vAlign w:val="bottom"/>
            <w:hideMark/>
          </w:tcPr>
          <w:p w14:paraId="599E76DA" w14:textId="77777777" w:rsidR="0073451C" w:rsidRPr="006C123E" w:rsidRDefault="0073451C" w:rsidP="00917551">
            <w:pPr>
              <w:pStyle w:val="Zkladnodstavec"/>
              <w:spacing w:line="240" w:lineRule="auto"/>
              <w:jc w:val="both"/>
              <w:rPr>
                <w:rFonts w:cs="Arial"/>
                <w:sz w:val="16"/>
                <w:szCs w:val="16"/>
              </w:rPr>
            </w:pPr>
          </w:p>
        </w:tc>
      </w:tr>
      <w:tr w:rsidR="0073451C" w:rsidRPr="00FC56DE" w14:paraId="02FDE971" w14:textId="77777777" w:rsidTr="00556DC5">
        <w:trPr>
          <w:trHeight w:hRule="exact" w:val="284"/>
        </w:trPr>
        <w:tc>
          <w:tcPr>
            <w:tcW w:w="5000" w:type="pct"/>
            <w:gridSpan w:val="12"/>
            <w:tcBorders>
              <w:top w:val="nil"/>
              <w:left w:val="nil"/>
              <w:bottom w:val="nil"/>
              <w:right w:val="nil"/>
            </w:tcBorders>
            <w:shd w:val="clear" w:color="auto" w:fill="auto"/>
            <w:noWrap/>
            <w:vAlign w:val="bottom"/>
            <w:hideMark/>
          </w:tcPr>
          <w:p w14:paraId="15A2009B" w14:textId="77777777" w:rsidR="0073451C" w:rsidRPr="00556DC5" w:rsidRDefault="0073451C" w:rsidP="00917551">
            <w:pPr>
              <w:pStyle w:val="Zkladnodstavec"/>
              <w:spacing w:line="240" w:lineRule="auto"/>
              <w:jc w:val="both"/>
              <w:rPr>
                <w:rFonts w:cs="Arial"/>
                <w:i/>
                <w:sz w:val="18"/>
                <w:szCs w:val="18"/>
              </w:rPr>
            </w:pPr>
            <w:r w:rsidRPr="00556DC5">
              <w:rPr>
                <w:rFonts w:cs="Arial"/>
                <w:i/>
                <w:sz w:val="18"/>
                <w:szCs w:val="18"/>
              </w:rPr>
              <w:t>Zdroj: ČSÚ</w:t>
            </w:r>
          </w:p>
        </w:tc>
      </w:tr>
    </w:tbl>
    <w:p w14:paraId="61F15131" w14:textId="77777777" w:rsidR="00DA495F" w:rsidRDefault="00DA495F" w:rsidP="00917551">
      <w:pPr>
        <w:spacing w:line="240" w:lineRule="auto"/>
        <w:jc w:val="both"/>
      </w:pPr>
    </w:p>
    <w:p w14:paraId="7048D3C4" w14:textId="3A33C2D9" w:rsidR="00A159F2" w:rsidRPr="0074761E" w:rsidRDefault="00A159F2" w:rsidP="00917551">
      <w:pPr>
        <w:spacing w:line="240" w:lineRule="auto"/>
        <w:jc w:val="both"/>
      </w:pPr>
      <w:r>
        <w:t xml:space="preserve">Průměrný věk </w:t>
      </w:r>
      <w:r w:rsidR="000442B2">
        <w:t xml:space="preserve">seniorů se za posledních pět let zvýšil o téměř čtyři desetiny roku. Průměrný senior-muž byl na konci roku </w:t>
      </w:r>
      <w:r>
        <w:t>2021</w:t>
      </w:r>
      <w:r w:rsidR="000442B2">
        <w:t xml:space="preserve"> ve věku</w:t>
      </w:r>
      <w:r>
        <w:t xml:space="preserve"> 73,8 let a</w:t>
      </w:r>
      <w:r w:rsidR="00560FB5">
        <w:t> </w:t>
      </w:r>
      <w:r w:rsidR="000442B2">
        <w:t>průměrná žena-seniorka ve věku</w:t>
      </w:r>
      <w:r>
        <w:t xml:space="preserve"> 75,2 let.</w:t>
      </w:r>
    </w:p>
    <w:p w14:paraId="34F0FBB2" w14:textId="7BAD45C8" w:rsidR="00EE4B1B" w:rsidRDefault="00DB0202" w:rsidP="00630C07">
      <w:pPr>
        <w:pStyle w:val="Nadpis2"/>
        <w:numPr>
          <w:ilvl w:val="1"/>
          <w:numId w:val="15"/>
        </w:numPr>
        <w:spacing w:after="240"/>
        <w:ind w:left="1077"/>
        <w:jc w:val="both"/>
      </w:pPr>
      <w:bookmarkStart w:id="6" w:name="_Toc121211612"/>
      <w:r>
        <w:lastRenderedPageBreak/>
        <w:t>Senioři podle pohlaví</w:t>
      </w:r>
      <w:bookmarkEnd w:id="6"/>
    </w:p>
    <w:p w14:paraId="1BF49F07" w14:textId="32574C48" w:rsidR="00EE4B1B" w:rsidRDefault="00DB0202" w:rsidP="00917551">
      <w:pPr>
        <w:spacing w:line="240" w:lineRule="auto"/>
        <w:jc w:val="both"/>
      </w:pPr>
      <w:r w:rsidRPr="00DB0202">
        <w:t>Ač na počátku života, v</w:t>
      </w:r>
      <w:r>
        <w:t> </w:t>
      </w:r>
      <w:r w:rsidRPr="00DB0202">
        <w:t>dětském</w:t>
      </w:r>
      <w:r>
        <w:t>,</w:t>
      </w:r>
      <w:r w:rsidRPr="00DB0202">
        <w:t xml:space="preserve"> mladším </w:t>
      </w:r>
      <w:r>
        <w:t>i</w:t>
      </w:r>
      <w:r w:rsidRPr="00DB0202">
        <w:t xml:space="preserve"> středním produktivním věku mírně převládají muži nad ženami, v seniorské skupině je tomu naopak – žen je více než mužů. </w:t>
      </w:r>
      <w:r w:rsidR="00987CD9">
        <w:t>Jejich převaha se nicméně v čase mírně snižuje. Na</w:t>
      </w:r>
      <w:r w:rsidR="00A02B48">
        <w:t> </w:t>
      </w:r>
      <w:r w:rsidR="00987CD9">
        <w:t xml:space="preserve">konci roku 2021 bylo mezi </w:t>
      </w:r>
      <w:r w:rsidR="00985A49">
        <w:t xml:space="preserve">seniory ve věku </w:t>
      </w:r>
      <w:r w:rsidR="00987CD9">
        <w:t xml:space="preserve">65 </w:t>
      </w:r>
      <w:r w:rsidR="00985A49">
        <w:t>či</w:t>
      </w:r>
      <w:r w:rsidR="00987CD9">
        <w:t xml:space="preserve"> více</w:t>
      </w:r>
      <w:r w:rsidR="00985A49">
        <w:t xml:space="preserve"> </w:t>
      </w:r>
      <w:r w:rsidR="00987CD9">
        <w:t>let 57,9 % žen a</w:t>
      </w:r>
      <w:r w:rsidR="00E74EA7">
        <w:t> </w:t>
      </w:r>
      <w:r w:rsidR="00987CD9">
        <w:t>42,1 % mužů, na 100 žen tak připadalo 73 mužů</w:t>
      </w:r>
      <w:r w:rsidR="00366E7D">
        <w:t>, zatímco</w:t>
      </w:r>
      <w:r w:rsidR="00987CD9">
        <w:t xml:space="preserve"> na počátku roku 2011 bylo žen 59,7 %</w:t>
      </w:r>
      <w:r w:rsidR="00BD53FB">
        <w:t>, resp.</w:t>
      </w:r>
      <w:r w:rsidR="00987CD9">
        <w:t xml:space="preserve"> na 100 seniorek připadlo 68 seniorů. </w:t>
      </w:r>
      <w:r w:rsidRPr="00DB0202">
        <w:t>Podíl žen přitom s</w:t>
      </w:r>
      <w:r w:rsidR="00985A49">
        <w:t> </w:t>
      </w:r>
      <w:r w:rsidRPr="00DB0202">
        <w:t xml:space="preserve">věkem postupně roste, u nejmladších seniorů ve věku 65–69 let bylo </w:t>
      </w:r>
      <w:r w:rsidR="00366E7D">
        <w:t>podle</w:t>
      </w:r>
      <w:r w:rsidR="00B11F1F">
        <w:t> </w:t>
      </w:r>
      <w:r w:rsidR="00366E7D">
        <w:t xml:space="preserve">posledních dostupných údajů </w:t>
      </w:r>
      <w:r w:rsidRPr="00DB0202">
        <w:t>žen 53</w:t>
      </w:r>
      <w:r w:rsidR="00985A49">
        <w:t> </w:t>
      </w:r>
      <w:r w:rsidRPr="00DB0202">
        <w:t>%, v</w:t>
      </w:r>
      <w:r w:rsidR="00987CD9">
        <w:t> </w:t>
      </w:r>
      <w:r w:rsidRPr="00DB0202">
        <w:t>nejstarší věkové skupině od 95 let věku ženy představovaly až 81</w:t>
      </w:r>
      <w:r w:rsidR="00985A49">
        <w:t> </w:t>
      </w:r>
      <w:r w:rsidRPr="00DB0202">
        <w:t>% seniorů.</w:t>
      </w:r>
    </w:p>
    <w:p w14:paraId="12858E56" w14:textId="4FA77240" w:rsidR="00DB0202" w:rsidRDefault="00DB0202" w:rsidP="00630C07">
      <w:pPr>
        <w:pStyle w:val="Nadpis2"/>
        <w:numPr>
          <w:ilvl w:val="1"/>
          <w:numId w:val="15"/>
        </w:numPr>
        <w:spacing w:after="240"/>
        <w:ind w:left="1077"/>
        <w:jc w:val="both"/>
      </w:pPr>
      <w:bookmarkStart w:id="7" w:name="_Toc121211613"/>
      <w:r>
        <w:t>Senioři podle rodinného stavu</w:t>
      </w:r>
      <w:bookmarkEnd w:id="7"/>
    </w:p>
    <w:p w14:paraId="28B234F6" w14:textId="17A3471D" w:rsidR="0028122C" w:rsidRDefault="0028122C" w:rsidP="00917551">
      <w:pPr>
        <w:spacing w:line="240" w:lineRule="auto"/>
        <w:jc w:val="both"/>
      </w:pPr>
      <w:r>
        <w:t>Zatímco muži ve věku 65 a více let jsou většinou ženatí – podle údajů z</w:t>
      </w:r>
      <w:r w:rsidR="00985A49">
        <w:t xml:space="preserve"> konce </w:t>
      </w:r>
      <w:r>
        <w:t>roku 2021 ze 70</w:t>
      </w:r>
      <w:r w:rsidR="00985A49">
        <w:t> </w:t>
      </w:r>
      <w:r>
        <w:t xml:space="preserve">%, u žen-seniorek jsou početně významné dvě skupiny – vdané a ovdovělé. Do roku 2018 převažovaly </w:t>
      </w:r>
      <w:r w:rsidR="000442B2">
        <w:t xml:space="preserve">mezi seniorkami </w:t>
      </w:r>
      <w:r>
        <w:t xml:space="preserve">ovdovělé ženy, dle </w:t>
      </w:r>
      <w:r w:rsidR="00366E7D">
        <w:t>bilance k 31. 12. 2021 byly</w:t>
      </w:r>
      <w:r>
        <w:t xml:space="preserve"> vdané i ovdovělé ženy zastoupeny rovnoměrně, každá ze 41</w:t>
      </w:r>
      <w:r w:rsidR="00985A49">
        <w:t> </w:t>
      </w:r>
      <w:r>
        <w:t>%. Druhou nejpočetnější skupinu u</w:t>
      </w:r>
      <w:r w:rsidR="00985A49">
        <w:t> </w:t>
      </w:r>
      <w:r>
        <w:t>mužů</w:t>
      </w:r>
      <w:r w:rsidR="00985A49">
        <w:t>-seniorů</w:t>
      </w:r>
      <w:r>
        <w:t xml:space="preserve"> a třetí u žen</w:t>
      </w:r>
      <w:r w:rsidR="00985A49">
        <w:t>-seniorek</w:t>
      </w:r>
      <w:r>
        <w:t xml:space="preserve"> představ</w:t>
      </w:r>
      <w:r w:rsidR="00366E7D">
        <w:t>ovaly</w:t>
      </w:r>
      <w:r>
        <w:t xml:space="preserve"> osoby rozvedené.</w:t>
      </w:r>
    </w:p>
    <w:p w14:paraId="57A6924A" w14:textId="77777777" w:rsidR="0028122C" w:rsidRDefault="00366E7D" w:rsidP="00917551">
      <w:pPr>
        <w:spacing w:line="240" w:lineRule="auto"/>
        <w:jc w:val="both"/>
      </w:pPr>
      <w:r>
        <w:t>V</w:t>
      </w:r>
      <w:r w:rsidR="0028122C">
        <w:t xml:space="preserve"> průběhu </w:t>
      </w:r>
      <w:r>
        <w:t xml:space="preserve">posledních </w:t>
      </w:r>
      <w:r w:rsidR="0028122C">
        <w:t>20 let došlo ke snížení podílu ovdovělých mezi seniory a naopak k růstu zastoupení osob rozvedených. Mírně vzrostl v úhrnném pohledu i podíl sezdaných, nicméně zvýšilo se zastoupení pouze vdaných žen mezi seniorkami, naopak zastoupení ženatých mužů mezi seniory šlo mírně dolů.</w:t>
      </w:r>
    </w:p>
    <w:p w14:paraId="2C470151" w14:textId="586BE880" w:rsidR="00622F59" w:rsidRDefault="004C042D" w:rsidP="00917551">
      <w:pPr>
        <w:spacing w:line="240" w:lineRule="auto"/>
        <w:jc w:val="both"/>
      </w:pPr>
      <w:r>
        <w:t xml:space="preserve">Struktura seniorů </w:t>
      </w:r>
      <w:r w:rsidR="0028122C">
        <w:t xml:space="preserve">podle rodinného stavu </w:t>
      </w:r>
      <w:r>
        <w:t>se s rostoucím věkem mění</w:t>
      </w:r>
      <w:r w:rsidR="00363A31">
        <w:t xml:space="preserve"> –</w:t>
      </w:r>
      <w:r>
        <w:t xml:space="preserve"> mezi</w:t>
      </w:r>
      <w:r w:rsidR="00560FB5">
        <w:t> </w:t>
      </w:r>
      <w:r>
        <w:t xml:space="preserve">muži i ženami </w:t>
      </w:r>
      <w:r w:rsidR="0028122C">
        <w:t xml:space="preserve">s věkem postupně narůstá váha ovdovělých. U žen </w:t>
      </w:r>
      <w:r w:rsidR="00366FAE">
        <w:t>(dle</w:t>
      </w:r>
      <w:r w:rsidR="00560FB5">
        <w:t> </w:t>
      </w:r>
      <w:r w:rsidR="00366FAE">
        <w:t xml:space="preserve">koncového stavu roku 2021) </w:t>
      </w:r>
      <w:r w:rsidR="0028122C">
        <w:t>ovdovělé početně převažovaly nad</w:t>
      </w:r>
      <w:r w:rsidR="00560FB5">
        <w:t> </w:t>
      </w:r>
      <w:r w:rsidR="0028122C">
        <w:t>vdanými již od věku 7</w:t>
      </w:r>
      <w:r w:rsidR="00307F64">
        <w:t>6</w:t>
      </w:r>
      <w:r w:rsidR="0028122C">
        <w:t xml:space="preserve"> let, u mužů došlo k početnímu převýšení ovdovělých nad ženatými až od věku </w:t>
      </w:r>
      <w:r w:rsidR="00307F64">
        <w:t>91</w:t>
      </w:r>
      <w:r w:rsidR="0028122C">
        <w:t xml:space="preserve"> let</w:t>
      </w:r>
      <w:r w:rsidR="00987CD9">
        <w:t>.</w:t>
      </w:r>
    </w:p>
    <w:p w14:paraId="3EC350A4" w14:textId="77777777" w:rsidR="00622F59" w:rsidRDefault="00622F59">
      <w:pPr>
        <w:spacing w:after="0" w:line="240" w:lineRule="auto"/>
      </w:pPr>
      <w:r>
        <w:br w:type="page"/>
      </w:r>
    </w:p>
    <w:p w14:paraId="3B0A5180" w14:textId="6C49B1EC" w:rsidR="00133B34" w:rsidRDefault="00133B34" w:rsidP="002228C9">
      <w:pPr>
        <w:spacing w:after="60" w:line="240" w:lineRule="auto"/>
        <w:ind w:left="709" w:hanging="709"/>
        <w:rPr>
          <w:b/>
        </w:rPr>
      </w:pPr>
      <w:r w:rsidRPr="000442B2">
        <w:rPr>
          <w:b/>
        </w:rPr>
        <w:lastRenderedPageBreak/>
        <w:t>G</w:t>
      </w:r>
      <w:r w:rsidR="00622F59">
        <w:rPr>
          <w:b/>
        </w:rPr>
        <w:t>raf </w:t>
      </w:r>
      <w:r w:rsidR="000442B2">
        <w:rPr>
          <w:b/>
        </w:rPr>
        <w:t>1.</w:t>
      </w:r>
      <w:r w:rsidR="00616A6A">
        <w:rPr>
          <w:b/>
        </w:rPr>
        <w:t>3</w:t>
      </w:r>
      <w:r w:rsidR="00622F59">
        <w:rPr>
          <w:b/>
        </w:rPr>
        <w:t> </w:t>
      </w:r>
      <w:r w:rsidR="000442B2">
        <w:rPr>
          <w:b/>
        </w:rPr>
        <w:t>Senioři</w:t>
      </w:r>
      <w:r w:rsidR="002228C9">
        <w:rPr>
          <w:b/>
        </w:rPr>
        <w:t> </w:t>
      </w:r>
      <w:r w:rsidR="00560FB5">
        <w:rPr>
          <w:b/>
        </w:rPr>
        <w:t>65+</w:t>
      </w:r>
      <w:r w:rsidR="002228C9">
        <w:rPr>
          <w:b/>
        </w:rPr>
        <w:t> </w:t>
      </w:r>
      <w:r w:rsidR="00622F59">
        <w:rPr>
          <w:b/>
        </w:rPr>
        <w:t>podle</w:t>
      </w:r>
      <w:r w:rsidR="002228C9">
        <w:rPr>
          <w:b/>
        </w:rPr>
        <w:t> </w:t>
      </w:r>
      <w:r w:rsidR="000442B2">
        <w:rPr>
          <w:b/>
        </w:rPr>
        <w:t>věk</w:t>
      </w:r>
      <w:r w:rsidR="00366FAE">
        <w:rPr>
          <w:b/>
        </w:rPr>
        <w:t>u</w:t>
      </w:r>
      <w:r w:rsidR="00622F59">
        <w:rPr>
          <w:b/>
        </w:rPr>
        <w:t>,</w:t>
      </w:r>
      <w:r w:rsidR="002228C9">
        <w:rPr>
          <w:b/>
        </w:rPr>
        <w:t> </w:t>
      </w:r>
      <w:r w:rsidR="00622F59">
        <w:rPr>
          <w:b/>
        </w:rPr>
        <w:t>pohlaví</w:t>
      </w:r>
      <w:r w:rsidR="002228C9">
        <w:rPr>
          <w:b/>
        </w:rPr>
        <w:t xml:space="preserve"> </w:t>
      </w:r>
      <w:r w:rsidR="00622F59">
        <w:rPr>
          <w:b/>
        </w:rPr>
        <w:t>a</w:t>
      </w:r>
      <w:r w:rsidR="002228C9">
        <w:rPr>
          <w:b/>
        </w:rPr>
        <w:t xml:space="preserve"> </w:t>
      </w:r>
      <w:r w:rsidR="00622F59">
        <w:rPr>
          <w:b/>
        </w:rPr>
        <w:t>rodinného</w:t>
      </w:r>
      <w:r w:rsidR="002228C9">
        <w:rPr>
          <w:b/>
        </w:rPr>
        <w:t xml:space="preserve"> </w:t>
      </w:r>
      <w:r w:rsidR="000442B2">
        <w:rPr>
          <w:b/>
        </w:rPr>
        <w:t>stavu</w:t>
      </w:r>
      <w:r w:rsidR="00622F59">
        <w:rPr>
          <w:b/>
        </w:rPr>
        <w:br/>
        <w:t xml:space="preserve">  </w:t>
      </w:r>
      <w:r w:rsidR="00366FAE">
        <w:rPr>
          <w:b/>
        </w:rPr>
        <w:t>k 31. 12. 2021</w:t>
      </w:r>
    </w:p>
    <w:p w14:paraId="2E1CC929" w14:textId="3F7D2A72" w:rsidR="00366FAE" w:rsidRPr="000442B2" w:rsidRDefault="000F2173" w:rsidP="00917551">
      <w:pPr>
        <w:spacing w:after="60" w:line="240" w:lineRule="auto"/>
        <w:ind w:left="992" w:hanging="992"/>
        <w:jc w:val="both"/>
        <w:rPr>
          <w:b/>
        </w:rPr>
      </w:pPr>
      <w:r>
        <w:rPr>
          <w:noProof/>
        </w:rPr>
        <w:drawing>
          <wp:inline distT="0" distB="0" distL="0" distR="0" wp14:anchorId="3FD224D1" wp14:editId="3ECAB4E0">
            <wp:extent cx="4247515" cy="2863969"/>
            <wp:effectExtent l="0" t="0" r="635" b="0"/>
            <wp:docPr id="59" name="Graf 59">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E56382" w14:textId="27B205E6" w:rsidR="000442B2" w:rsidRPr="00366FAE" w:rsidRDefault="00366FAE" w:rsidP="00917551">
      <w:pPr>
        <w:spacing w:line="240" w:lineRule="auto"/>
        <w:jc w:val="both"/>
        <w:rPr>
          <w:i/>
          <w:sz w:val="18"/>
          <w:szCs w:val="18"/>
        </w:rPr>
      </w:pPr>
      <w:r>
        <w:rPr>
          <w:i/>
          <w:sz w:val="18"/>
          <w:szCs w:val="18"/>
        </w:rPr>
        <w:t>Zdroj: ČSÚ</w:t>
      </w:r>
    </w:p>
    <w:p w14:paraId="1C273B0F" w14:textId="03F4FFF0" w:rsidR="00D22505" w:rsidRDefault="00D22505" w:rsidP="00630C07">
      <w:pPr>
        <w:pStyle w:val="Nadpis2"/>
        <w:numPr>
          <w:ilvl w:val="1"/>
          <w:numId w:val="15"/>
        </w:numPr>
        <w:spacing w:after="240"/>
        <w:ind w:left="1077"/>
        <w:jc w:val="both"/>
      </w:pPr>
      <w:bookmarkStart w:id="8" w:name="_Toc121211614"/>
      <w:r>
        <w:t>Demografické události seniorů</w:t>
      </w:r>
      <w:bookmarkEnd w:id="8"/>
    </w:p>
    <w:p w14:paraId="28117735" w14:textId="3803D332" w:rsidR="00DB0202" w:rsidRDefault="00D22505" w:rsidP="00917551">
      <w:pPr>
        <w:spacing w:line="240" w:lineRule="auto"/>
        <w:jc w:val="both"/>
      </w:pPr>
      <w:r>
        <w:t>Do běžné každoroční demografické statistiky se senioři zapisují nejčastěji v případě úmrtí, najdeme je však také ve statistice sňatků, rozvodů</w:t>
      </w:r>
      <w:r w:rsidR="003A1792">
        <w:t xml:space="preserve">, stěhování, muže </w:t>
      </w:r>
      <w:r w:rsidR="0016191D">
        <w:t>i mezi otci narozených dětí</w:t>
      </w:r>
      <w:r w:rsidR="003A1792">
        <w:t>.</w:t>
      </w:r>
    </w:p>
    <w:p w14:paraId="4116EE0B" w14:textId="0C74B0AD" w:rsidR="00B01593" w:rsidRDefault="003A1792" w:rsidP="00630C07">
      <w:pPr>
        <w:pStyle w:val="Nadpis3"/>
        <w:numPr>
          <w:ilvl w:val="2"/>
          <w:numId w:val="15"/>
        </w:numPr>
        <w:spacing w:after="240"/>
        <w:ind w:left="1077"/>
      </w:pPr>
      <w:bookmarkStart w:id="9" w:name="_Toc121211615"/>
      <w:r>
        <w:t>Sňatky a rozvody</w:t>
      </w:r>
      <w:bookmarkEnd w:id="9"/>
    </w:p>
    <w:p w14:paraId="27B6E1E8" w14:textId="0EBDDDA0" w:rsidR="003A1792" w:rsidRDefault="003A1792" w:rsidP="00917551">
      <w:pPr>
        <w:spacing w:line="240" w:lineRule="auto"/>
        <w:jc w:val="both"/>
      </w:pPr>
      <w:r>
        <w:t>Do manželství vstupuje ročně více jak tisíc osob ve věku 65 či více let, častěji jde o muže než o ženy</w:t>
      </w:r>
      <w:r w:rsidR="001B070C">
        <w:t>.</w:t>
      </w:r>
      <w:r w:rsidR="006C7A00">
        <w:t xml:space="preserve"> Intenzita sňatečnosti je </w:t>
      </w:r>
      <w:r w:rsidR="000A44AD">
        <w:t xml:space="preserve">nicméně </w:t>
      </w:r>
      <w:r w:rsidR="006C7A00">
        <w:t>v seniorském věku již nízká, zejména v případě žen. V roce 2021 vstoupilo do manželství 1 318 mužů ve věku 65 a více let</w:t>
      </w:r>
      <w:r w:rsidR="00EB5581">
        <w:t>, tj.</w:t>
      </w:r>
      <w:r w:rsidR="006C7A00">
        <w:t xml:space="preserve"> necelých 5 z každého </w:t>
      </w:r>
      <w:r w:rsidR="008F6B79">
        <w:t xml:space="preserve">1 000 </w:t>
      </w:r>
      <w:r w:rsidR="006C7A00">
        <w:t>neženatých mužů a 645 žen tohoto věku</w:t>
      </w:r>
      <w:r w:rsidR="00EB5581">
        <w:t>,</w:t>
      </w:r>
      <w:r w:rsidR="006C7A00">
        <w:t xml:space="preserve"> méně než </w:t>
      </w:r>
      <w:r w:rsidR="008F6B79">
        <w:t xml:space="preserve">1 </w:t>
      </w:r>
      <w:r w:rsidR="006C7A00">
        <w:t>z </w:t>
      </w:r>
      <w:r w:rsidR="008F6B79">
        <w:t xml:space="preserve">1 000 </w:t>
      </w:r>
      <w:r w:rsidR="006C7A00">
        <w:t>nevdaných žen.</w:t>
      </w:r>
    </w:p>
    <w:p w14:paraId="65E0D903" w14:textId="77777777" w:rsidR="00622F59" w:rsidRDefault="00C12610" w:rsidP="00917551">
      <w:pPr>
        <w:spacing w:line="240" w:lineRule="auto"/>
        <w:jc w:val="both"/>
      </w:pPr>
      <w:r>
        <w:t xml:space="preserve">Jen mírně nižší je počet seniorů, kteří se zapisují do demografické statistiky svým rozvodem a opět jde častěji o rozvod muže než ženy tohoto věku. </w:t>
      </w:r>
    </w:p>
    <w:p w14:paraId="01336D77" w14:textId="42E1A76D" w:rsidR="00C12610" w:rsidRDefault="00C12610" w:rsidP="00917551">
      <w:pPr>
        <w:spacing w:line="240" w:lineRule="auto"/>
        <w:jc w:val="both"/>
      </w:pPr>
      <w:r>
        <w:lastRenderedPageBreak/>
        <w:t>V roce 2021 bylo právně ukončeno rozvodem manželství 746 mužů ve věku 65 či více let</w:t>
      </w:r>
      <w:r w:rsidR="00875608">
        <w:t>,</w:t>
      </w:r>
      <w:r>
        <w:t xml:space="preserve"> resp. 426 žen tohoto věku. Míra rozvodovosti mužů a žen si je ale bližší než v případě sňatečnosti (1,2 rozvodu muže na 1 000 ženatých 65+ let vs. 0,8 rozvodu ženy na 1 000 vdaných 65+ let).</w:t>
      </w:r>
    </w:p>
    <w:tbl>
      <w:tblPr>
        <w:tblW w:w="4890" w:type="pct"/>
        <w:tblCellMar>
          <w:left w:w="70" w:type="dxa"/>
          <w:right w:w="70" w:type="dxa"/>
        </w:tblCellMar>
        <w:tblLook w:val="04A0" w:firstRow="1" w:lastRow="0" w:firstColumn="1" w:lastColumn="0" w:noHBand="0" w:noVBand="1"/>
      </w:tblPr>
      <w:tblGrid>
        <w:gridCol w:w="2685"/>
        <w:gridCol w:w="641"/>
        <w:gridCol w:w="642"/>
        <w:gridCol w:w="642"/>
        <w:gridCol w:w="642"/>
        <w:gridCol w:w="642"/>
        <w:gridCol w:w="648"/>
      </w:tblGrid>
      <w:tr w:rsidR="005E0A26" w:rsidRPr="00FC56DE" w14:paraId="1B7A88FC" w14:textId="77777777" w:rsidTr="00323865">
        <w:trPr>
          <w:trHeight w:val="300"/>
        </w:trPr>
        <w:tc>
          <w:tcPr>
            <w:tcW w:w="5000" w:type="pct"/>
            <w:gridSpan w:val="7"/>
            <w:tcBorders>
              <w:top w:val="nil"/>
              <w:left w:val="nil"/>
              <w:bottom w:val="single" w:sz="12" w:space="0" w:color="auto"/>
              <w:right w:val="nil"/>
            </w:tcBorders>
            <w:shd w:val="clear" w:color="auto" w:fill="auto"/>
            <w:noWrap/>
            <w:vAlign w:val="center"/>
            <w:hideMark/>
          </w:tcPr>
          <w:p w14:paraId="2E0546D1" w14:textId="4E846AE4" w:rsidR="005E0A26" w:rsidRPr="00332190" w:rsidRDefault="005E0A26" w:rsidP="00917551">
            <w:pPr>
              <w:pStyle w:val="Titulek"/>
              <w:spacing w:line="240" w:lineRule="auto"/>
              <w:jc w:val="both"/>
            </w:pPr>
            <w:r w:rsidRPr="00332190">
              <w:t xml:space="preserve">Tab. </w:t>
            </w:r>
            <w:r>
              <w:t>1.2 Demografické události seniorů</w:t>
            </w:r>
            <w:r w:rsidR="00560FB5">
              <w:t xml:space="preserve"> 65+</w:t>
            </w:r>
            <w:r>
              <w:t xml:space="preserve"> </w:t>
            </w:r>
            <w:r w:rsidR="00EA45BD">
              <w:t>ve vybraných letech</w:t>
            </w:r>
          </w:p>
        </w:tc>
      </w:tr>
      <w:tr w:rsidR="005E0A26" w:rsidRPr="00FC56DE" w14:paraId="07BDC5FB" w14:textId="77777777" w:rsidTr="00323865">
        <w:trPr>
          <w:trHeight w:val="465"/>
        </w:trPr>
        <w:tc>
          <w:tcPr>
            <w:tcW w:w="2051" w:type="pct"/>
            <w:tcBorders>
              <w:top w:val="single" w:sz="12" w:space="0" w:color="auto"/>
              <w:left w:val="nil"/>
              <w:bottom w:val="single" w:sz="12" w:space="0" w:color="auto"/>
              <w:right w:val="single" w:sz="8" w:space="0" w:color="auto"/>
            </w:tcBorders>
            <w:shd w:val="clear" w:color="auto" w:fill="F5DADD" w:themeFill="accent5"/>
            <w:vAlign w:val="center"/>
            <w:hideMark/>
          </w:tcPr>
          <w:p w14:paraId="46E5E2D8" w14:textId="77777777" w:rsidR="005E0A26" w:rsidRPr="006C123E" w:rsidRDefault="005E0A26" w:rsidP="00273982">
            <w:pPr>
              <w:pStyle w:val="Zkladnodstavec"/>
              <w:spacing w:line="240" w:lineRule="auto"/>
              <w:jc w:val="center"/>
              <w:rPr>
                <w:rFonts w:cs="Arial"/>
                <w:b/>
                <w:sz w:val="16"/>
                <w:szCs w:val="16"/>
              </w:rPr>
            </w:pPr>
            <w:r>
              <w:rPr>
                <w:rFonts w:cs="Arial"/>
                <w:b/>
                <w:sz w:val="16"/>
                <w:szCs w:val="16"/>
              </w:rPr>
              <w:t>Událost a pohlaví</w:t>
            </w:r>
          </w:p>
        </w:tc>
        <w:tc>
          <w:tcPr>
            <w:tcW w:w="490" w:type="pct"/>
            <w:tcBorders>
              <w:top w:val="single" w:sz="12" w:space="0" w:color="auto"/>
              <w:left w:val="nil"/>
              <w:bottom w:val="single" w:sz="12" w:space="0" w:color="auto"/>
              <w:right w:val="single" w:sz="8" w:space="0" w:color="auto"/>
            </w:tcBorders>
            <w:shd w:val="clear" w:color="auto" w:fill="F5DADD" w:themeFill="accent5"/>
            <w:vAlign w:val="center"/>
            <w:hideMark/>
          </w:tcPr>
          <w:p w14:paraId="7C3C5441" w14:textId="77777777" w:rsidR="005E0A26" w:rsidRPr="006C123E" w:rsidRDefault="005E0A26" w:rsidP="00917551">
            <w:pPr>
              <w:pStyle w:val="Zkladnodstavec"/>
              <w:spacing w:line="240" w:lineRule="auto"/>
              <w:jc w:val="center"/>
              <w:rPr>
                <w:rFonts w:cs="Arial"/>
                <w:b/>
                <w:sz w:val="16"/>
                <w:szCs w:val="16"/>
              </w:rPr>
            </w:pPr>
            <w:r>
              <w:rPr>
                <w:rFonts w:cs="Arial"/>
                <w:b/>
                <w:sz w:val="16"/>
                <w:szCs w:val="16"/>
              </w:rPr>
              <w:t>2011</w:t>
            </w:r>
          </w:p>
        </w:tc>
        <w:tc>
          <w:tcPr>
            <w:tcW w:w="491" w:type="pct"/>
            <w:tcBorders>
              <w:top w:val="single" w:sz="12" w:space="0" w:color="auto"/>
              <w:left w:val="nil"/>
              <w:bottom w:val="single" w:sz="12" w:space="0" w:color="auto"/>
              <w:right w:val="single" w:sz="8" w:space="0" w:color="auto"/>
            </w:tcBorders>
            <w:shd w:val="clear" w:color="auto" w:fill="F5DADD" w:themeFill="accent5"/>
            <w:vAlign w:val="center"/>
            <w:hideMark/>
          </w:tcPr>
          <w:p w14:paraId="31792F03" w14:textId="77777777" w:rsidR="005E0A26" w:rsidRPr="0073451C" w:rsidRDefault="005E0A26" w:rsidP="00917551">
            <w:pPr>
              <w:pStyle w:val="Zkladnodstavec"/>
              <w:spacing w:line="240" w:lineRule="auto"/>
              <w:jc w:val="center"/>
              <w:rPr>
                <w:rFonts w:asciiTheme="majorHAnsi" w:hAnsiTheme="majorHAnsi" w:cstheme="majorHAnsi"/>
                <w:b/>
                <w:sz w:val="16"/>
                <w:szCs w:val="16"/>
              </w:rPr>
            </w:pPr>
            <w:r w:rsidRPr="0073451C">
              <w:rPr>
                <w:rFonts w:asciiTheme="majorHAnsi" w:hAnsiTheme="majorHAnsi" w:cstheme="majorHAnsi"/>
                <w:b/>
                <w:sz w:val="16"/>
                <w:szCs w:val="16"/>
              </w:rPr>
              <w:t>2013</w:t>
            </w:r>
          </w:p>
        </w:tc>
        <w:tc>
          <w:tcPr>
            <w:tcW w:w="491" w:type="pct"/>
            <w:tcBorders>
              <w:top w:val="single" w:sz="12" w:space="0" w:color="auto"/>
              <w:left w:val="nil"/>
              <w:bottom w:val="single" w:sz="12" w:space="0" w:color="auto"/>
              <w:right w:val="single" w:sz="8" w:space="0" w:color="auto"/>
            </w:tcBorders>
            <w:shd w:val="clear" w:color="auto" w:fill="F5DADD" w:themeFill="accent5"/>
            <w:vAlign w:val="center"/>
            <w:hideMark/>
          </w:tcPr>
          <w:p w14:paraId="110D4110" w14:textId="77777777" w:rsidR="005E0A26" w:rsidRPr="0073451C" w:rsidRDefault="005E0A26" w:rsidP="00917551">
            <w:pPr>
              <w:pStyle w:val="Zkladnodstavec"/>
              <w:spacing w:line="240" w:lineRule="auto"/>
              <w:jc w:val="center"/>
              <w:rPr>
                <w:rFonts w:asciiTheme="majorHAnsi" w:hAnsiTheme="majorHAnsi" w:cstheme="majorHAnsi"/>
                <w:b/>
                <w:sz w:val="16"/>
                <w:szCs w:val="16"/>
              </w:rPr>
            </w:pPr>
            <w:r w:rsidRPr="0073451C">
              <w:rPr>
                <w:rFonts w:asciiTheme="majorHAnsi" w:hAnsiTheme="majorHAnsi" w:cstheme="majorHAnsi"/>
                <w:b/>
                <w:sz w:val="16"/>
                <w:szCs w:val="16"/>
              </w:rPr>
              <w:t>2015</w:t>
            </w:r>
          </w:p>
        </w:tc>
        <w:tc>
          <w:tcPr>
            <w:tcW w:w="491" w:type="pct"/>
            <w:tcBorders>
              <w:top w:val="single" w:sz="12" w:space="0" w:color="auto"/>
              <w:left w:val="nil"/>
              <w:bottom w:val="single" w:sz="12" w:space="0" w:color="auto"/>
              <w:right w:val="single" w:sz="8" w:space="0" w:color="auto"/>
            </w:tcBorders>
            <w:shd w:val="clear" w:color="auto" w:fill="F5DADD" w:themeFill="accent5"/>
            <w:vAlign w:val="center"/>
            <w:hideMark/>
          </w:tcPr>
          <w:p w14:paraId="4485B46A" w14:textId="77777777" w:rsidR="005E0A26" w:rsidRPr="0073451C" w:rsidRDefault="005E0A26" w:rsidP="00917551">
            <w:pPr>
              <w:pStyle w:val="Zkladnodstavec"/>
              <w:spacing w:line="240" w:lineRule="auto"/>
              <w:jc w:val="center"/>
              <w:rPr>
                <w:rFonts w:asciiTheme="majorHAnsi" w:hAnsiTheme="majorHAnsi" w:cstheme="majorHAnsi"/>
                <w:b/>
                <w:sz w:val="16"/>
                <w:szCs w:val="16"/>
              </w:rPr>
            </w:pPr>
            <w:r w:rsidRPr="0073451C">
              <w:rPr>
                <w:rFonts w:asciiTheme="majorHAnsi" w:hAnsiTheme="majorHAnsi" w:cstheme="majorHAnsi"/>
                <w:b/>
                <w:sz w:val="16"/>
                <w:szCs w:val="16"/>
              </w:rPr>
              <w:t>2017</w:t>
            </w:r>
          </w:p>
        </w:tc>
        <w:tc>
          <w:tcPr>
            <w:tcW w:w="491" w:type="pct"/>
            <w:tcBorders>
              <w:top w:val="single" w:sz="12" w:space="0" w:color="auto"/>
              <w:left w:val="nil"/>
              <w:bottom w:val="single" w:sz="12" w:space="0" w:color="auto"/>
              <w:right w:val="single" w:sz="8" w:space="0" w:color="auto"/>
            </w:tcBorders>
            <w:shd w:val="clear" w:color="auto" w:fill="F5DADD" w:themeFill="accent5"/>
            <w:vAlign w:val="center"/>
            <w:hideMark/>
          </w:tcPr>
          <w:p w14:paraId="586729C9" w14:textId="77777777" w:rsidR="005E0A26" w:rsidRPr="006C123E" w:rsidRDefault="005E0A26" w:rsidP="00917551">
            <w:pPr>
              <w:pStyle w:val="Zkladnodstavec"/>
              <w:spacing w:line="240" w:lineRule="auto"/>
              <w:jc w:val="center"/>
              <w:rPr>
                <w:rFonts w:cs="Arial"/>
                <w:b/>
                <w:sz w:val="16"/>
                <w:szCs w:val="16"/>
              </w:rPr>
            </w:pPr>
            <w:r>
              <w:rPr>
                <w:rFonts w:cs="Arial"/>
                <w:b/>
                <w:sz w:val="16"/>
                <w:szCs w:val="16"/>
              </w:rPr>
              <w:t>2019</w:t>
            </w:r>
          </w:p>
        </w:tc>
        <w:tc>
          <w:tcPr>
            <w:tcW w:w="493" w:type="pct"/>
            <w:tcBorders>
              <w:top w:val="single" w:sz="12" w:space="0" w:color="auto"/>
              <w:left w:val="nil"/>
              <w:bottom w:val="single" w:sz="12" w:space="0" w:color="auto"/>
              <w:right w:val="nil"/>
            </w:tcBorders>
            <w:shd w:val="clear" w:color="auto" w:fill="F5DADD" w:themeFill="accent5"/>
            <w:vAlign w:val="center"/>
            <w:hideMark/>
          </w:tcPr>
          <w:p w14:paraId="08BAF7B6" w14:textId="77777777" w:rsidR="005E0A26" w:rsidRPr="006C123E" w:rsidRDefault="005E0A26" w:rsidP="00917551">
            <w:pPr>
              <w:pStyle w:val="Zkladnodstavec"/>
              <w:spacing w:line="240" w:lineRule="auto"/>
              <w:jc w:val="center"/>
              <w:rPr>
                <w:rFonts w:cs="Arial"/>
                <w:b/>
                <w:sz w:val="16"/>
                <w:szCs w:val="16"/>
              </w:rPr>
            </w:pPr>
            <w:r>
              <w:rPr>
                <w:rFonts w:cs="Arial"/>
                <w:b/>
                <w:sz w:val="16"/>
                <w:szCs w:val="16"/>
              </w:rPr>
              <w:t>2021</w:t>
            </w:r>
          </w:p>
        </w:tc>
      </w:tr>
      <w:tr w:rsidR="00271E01" w:rsidRPr="00271E01" w14:paraId="21C1D91E" w14:textId="77777777" w:rsidTr="00323865">
        <w:trPr>
          <w:trHeight w:val="282"/>
        </w:trPr>
        <w:tc>
          <w:tcPr>
            <w:tcW w:w="2051" w:type="pct"/>
            <w:tcBorders>
              <w:top w:val="single" w:sz="12" w:space="0" w:color="auto"/>
              <w:left w:val="nil"/>
              <w:bottom w:val="nil"/>
              <w:right w:val="nil"/>
            </w:tcBorders>
            <w:shd w:val="clear" w:color="auto" w:fill="auto"/>
            <w:noWrap/>
            <w:vAlign w:val="center"/>
            <w:hideMark/>
          </w:tcPr>
          <w:p w14:paraId="1660DEE4" w14:textId="77777777" w:rsidR="00271E01" w:rsidRPr="006C123E" w:rsidRDefault="00271E01" w:rsidP="00917551">
            <w:pPr>
              <w:pStyle w:val="Zkladnodstavec"/>
              <w:spacing w:line="240" w:lineRule="auto"/>
              <w:jc w:val="both"/>
              <w:rPr>
                <w:rFonts w:cs="Arial"/>
                <w:sz w:val="16"/>
                <w:szCs w:val="16"/>
              </w:rPr>
            </w:pPr>
            <w:r>
              <w:rPr>
                <w:rFonts w:cs="Arial"/>
                <w:sz w:val="16"/>
                <w:szCs w:val="16"/>
              </w:rPr>
              <w:t xml:space="preserve">Sňatky – muži </w:t>
            </w:r>
          </w:p>
        </w:tc>
        <w:tc>
          <w:tcPr>
            <w:tcW w:w="490" w:type="pct"/>
            <w:tcBorders>
              <w:top w:val="single" w:sz="12" w:space="0" w:color="auto"/>
              <w:left w:val="single" w:sz="8" w:space="0" w:color="auto"/>
              <w:bottom w:val="nil"/>
              <w:right w:val="single" w:sz="8" w:space="0" w:color="auto"/>
            </w:tcBorders>
            <w:shd w:val="clear" w:color="auto" w:fill="auto"/>
            <w:noWrap/>
            <w:vAlign w:val="center"/>
            <w:hideMark/>
          </w:tcPr>
          <w:p w14:paraId="1D5386DB"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608</w:t>
            </w:r>
          </w:p>
        </w:tc>
        <w:tc>
          <w:tcPr>
            <w:tcW w:w="491" w:type="pct"/>
            <w:tcBorders>
              <w:top w:val="single" w:sz="12" w:space="0" w:color="auto"/>
              <w:left w:val="nil"/>
              <w:bottom w:val="nil"/>
              <w:right w:val="single" w:sz="8" w:space="0" w:color="auto"/>
            </w:tcBorders>
            <w:shd w:val="clear" w:color="auto" w:fill="auto"/>
            <w:noWrap/>
            <w:vAlign w:val="center"/>
            <w:hideMark/>
          </w:tcPr>
          <w:p w14:paraId="2869319D" w14:textId="77777777"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706</w:t>
            </w:r>
          </w:p>
        </w:tc>
        <w:tc>
          <w:tcPr>
            <w:tcW w:w="491" w:type="pct"/>
            <w:tcBorders>
              <w:top w:val="single" w:sz="12" w:space="0" w:color="auto"/>
              <w:left w:val="nil"/>
              <w:bottom w:val="nil"/>
              <w:right w:val="single" w:sz="8" w:space="0" w:color="auto"/>
            </w:tcBorders>
            <w:shd w:val="clear" w:color="auto" w:fill="auto"/>
            <w:noWrap/>
            <w:vAlign w:val="center"/>
            <w:hideMark/>
          </w:tcPr>
          <w:p w14:paraId="66A11466" w14:textId="77777777"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841</w:t>
            </w:r>
          </w:p>
        </w:tc>
        <w:tc>
          <w:tcPr>
            <w:tcW w:w="491" w:type="pct"/>
            <w:tcBorders>
              <w:top w:val="single" w:sz="12" w:space="0" w:color="auto"/>
              <w:left w:val="nil"/>
              <w:bottom w:val="nil"/>
              <w:right w:val="single" w:sz="8" w:space="0" w:color="auto"/>
            </w:tcBorders>
            <w:shd w:val="clear" w:color="auto" w:fill="auto"/>
            <w:noWrap/>
            <w:vAlign w:val="center"/>
          </w:tcPr>
          <w:p w14:paraId="4C986804" w14:textId="2F1F43E5"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1</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094</w:t>
            </w:r>
          </w:p>
        </w:tc>
        <w:tc>
          <w:tcPr>
            <w:tcW w:w="491" w:type="pct"/>
            <w:tcBorders>
              <w:top w:val="single" w:sz="12" w:space="0" w:color="auto"/>
              <w:left w:val="nil"/>
              <w:bottom w:val="nil"/>
              <w:right w:val="single" w:sz="8" w:space="0" w:color="auto"/>
            </w:tcBorders>
            <w:shd w:val="clear" w:color="auto" w:fill="auto"/>
            <w:noWrap/>
            <w:vAlign w:val="center"/>
            <w:hideMark/>
          </w:tcPr>
          <w:p w14:paraId="0DDB4EED" w14:textId="6DF89DCD"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1</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267</w:t>
            </w:r>
          </w:p>
        </w:tc>
        <w:tc>
          <w:tcPr>
            <w:tcW w:w="493" w:type="pct"/>
            <w:tcBorders>
              <w:top w:val="single" w:sz="12" w:space="0" w:color="auto"/>
              <w:left w:val="nil"/>
              <w:bottom w:val="nil"/>
              <w:right w:val="nil"/>
            </w:tcBorders>
            <w:shd w:val="clear" w:color="auto" w:fill="auto"/>
            <w:noWrap/>
            <w:vAlign w:val="center"/>
            <w:hideMark/>
          </w:tcPr>
          <w:p w14:paraId="316F9C09" w14:textId="1D30344F"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1</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318</w:t>
            </w:r>
          </w:p>
        </w:tc>
      </w:tr>
      <w:tr w:rsidR="00271E01" w:rsidRPr="00271E01" w14:paraId="14EBE536" w14:textId="77777777" w:rsidTr="00C12610">
        <w:trPr>
          <w:trHeight w:val="282"/>
        </w:trPr>
        <w:tc>
          <w:tcPr>
            <w:tcW w:w="2051" w:type="pct"/>
            <w:tcBorders>
              <w:top w:val="nil"/>
              <w:left w:val="nil"/>
              <w:bottom w:val="nil"/>
              <w:right w:val="nil"/>
            </w:tcBorders>
            <w:shd w:val="clear" w:color="auto" w:fill="auto"/>
            <w:noWrap/>
            <w:vAlign w:val="center"/>
            <w:hideMark/>
          </w:tcPr>
          <w:p w14:paraId="24B31131" w14:textId="77777777" w:rsidR="00271E01" w:rsidRPr="006C123E" w:rsidRDefault="00271E01" w:rsidP="00917551">
            <w:pPr>
              <w:pStyle w:val="Zkladnodstavec"/>
              <w:spacing w:line="240" w:lineRule="auto"/>
              <w:jc w:val="both"/>
              <w:rPr>
                <w:rFonts w:cs="Arial"/>
                <w:sz w:val="16"/>
                <w:szCs w:val="16"/>
              </w:rPr>
            </w:pPr>
            <w:r>
              <w:rPr>
                <w:rFonts w:cs="Arial"/>
                <w:sz w:val="16"/>
                <w:szCs w:val="16"/>
              </w:rPr>
              <w:t xml:space="preserve">Sňatky – ženy </w:t>
            </w:r>
          </w:p>
        </w:tc>
        <w:tc>
          <w:tcPr>
            <w:tcW w:w="490" w:type="pct"/>
            <w:tcBorders>
              <w:top w:val="nil"/>
              <w:left w:val="single" w:sz="8" w:space="0" w:color="auto"/>
              <w:bottom w:val="nil"/>
              <w:right w:val="single" w:sz="8" w:space="0" w:color="auto"/>
            </w:tcBorders>
            <w:shd w:val="clear" w:color="auto" w:fill="auto"/>
            <w:noWrap/>
            <w:vAlign w:val="center"/>
            <w:hideMark/>
          </w:tcPr>
          <w:p w14:paraId="04A74E9C"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252</w:t>
            </w:r>
          </w:p>
        </w:tc>
        <w:tc>
          <w:tcPr>
            <w:tcW w:w="491" w:type="pct"/>
            <w:tcBorders>
              <w:top w:val="nil"/>
              <w:left w:val="nil"/>
              <w:bottom w:val="nil"/>
              <w:right w:val="single" w:sz="8" w:space="0" w:color="auto"/>
            </w:tcBorders>
            <w:shd w:val="clear" w:color="auto" w:fill="auto"/>
            <w:noWrap/>
            <w:vAlign w:val="center"/>
            <w:hideMark/>
          </w:tcPr>
          <w:p w14:paraId="217F66EE" w14:textId="77777777"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325</w:t>
            </w:r>
          </w:p>
        </w:tc>
        <w:tc>
          <w:tcPr>
            <w:tcW w:w="491" w:type="pct"/>
            <w:tcBorders>
              <w:top w:val="nil"/>
              <w:left w:val="nil"/>
              <w:bottom w:val="nil"/>
              <w:right w:val="single" w:sz="8" w:space="0" w:color="auto"/>
            </w:tcBorders>
            <w:shd w:val="clear" w:color="auto" w:fill="auto"/>
            <w:noWrap/>
            <w:vAlign w:val="center"/>
            <w:hideMark/>
          </w:tcPr>
          <w:p w14:paraId="2F9C6B0A" w14:textId="77777777"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374</w:t>
            </w:r>
          </w:p>
        </w:tc>
        <w:tc>
          <w:tcPr>
            <w:tcW w:w="491" w:type="pct"/>
            <w:tcBorders>
              <w:top w:val="nil"/>
              <w:left w:val="nil"/>
              <w:bottom w:val="nil"/>
              <w:right w:val="single" w:sz="8" w:space="0" w:color="auto"/>
            </w:tcBorders>
            <w:shd w:val="clear" w:color="auto" w:fill="auto"/>
            <w:noWrap/>
            <w:vAlign w:val="center"/>
          </w:tcPr>
          <w:p w14:paraId="1EC3296A"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486</w:t>
            </w:r>
          </w:p>
        </w:tc>
        <w:tc>
          <w:tcPr>
            <w:tcW w:w="491" w:type="pct"/>
            <w:tcBorders>
              <w:top w:val="nil"/>
              <w:left w:val="nil"/>
              <w:bottom w:val="nil"/>
              <w:right w:val="single" w:sz="8" w:space="0" w:color="auto"/>
            </w:tcBorders>
            <w:shd w:val="clear" w:color="auto" w:fill="auto"/>
            <w:noWrap/>
            <w:vAlign w:val="center"/>
            <w:hideMark/>
          </w:tcPr>
          <w:p w14:paraId="401885A0"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640</w:t>
            </w:r>
          </w:p>
        </w:tc>
        <w:tc>
          <w:tcPr>
            <w:tcW w:w="493" w:type="pct"/>
            <w:tcBorders>
              <w:top w:val="nil"/>
              <w:left w:val="nil"/>
              <w:bottom w:val="nil"/>
              <w:right w:val="nil"/>
            </w:tcBorders>
            <w:shd w:val="clear" w:color="auto" w:fill="auto"/>
            <w:noWrap/>
            <w:vAlign w:val="center"/>
            <w:hideMark/>
          </w:tcPr>
          <w:p w14:paraId="07CB14DC"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645</w:t>
            </w:r>
          </w:p>
        </w:tc>
      </w:tr>
      <w:tr w:rsidR="00271E01" w:rsidRPr="00271E01" w14:paraId="4B864F11" w14:textId="77777777" w:rsidTr="00C12610">
        <w:trPr>
          <w:trHeight w:val="282"/>
        </w:trPr>
        <w:tc>
          <w:tcPr>
            <w:tcW w:w="2051" w:type="pct"/>
            <w:tcBorders>
              <w:top w:val="nil"/>
              <w:left w:val="nil"/>
              <w:bottom w:val="nil"/>
              <w:right w:val="nil"/>
            </w:tcBorders>
            <w:shd w:val="clear" w:color="auto" w:fill="auto"/>
            <w:noWrap/>
            <w:vAlign w:val="center"/>
            <w:hideMark/>
          </w:tcPr>
          <w:p w14:paraId="38C4FF51" w14:textId="77777777" w:rsidR="00271E01" w:rsidRPr="006C123E" w:rsidRDefault="00271E01" w:rsidP="00917551">
            <w:pPr>
              <w:pStyle w:val="Zkladnodstavec"/>
              <w:spacing w:line="240" w:lineRule="auto"/>
              <w:jc w:val="both"/>
              <w:rPr>
                <w:rFonts w:cs="Arial"/>
                <w:sz w:val="16"/>
                <w:szCs w:val="16"/>
              </w:rPr>
            </w:pPr>
            <w:r>
              <w:rPr>
                <w:rFonts w:cs="Arial"/>
                <w:sz w:val="16"/>
                <w:szCs w:val="16"/>
              </w:rPr>
              <w:t xml:space="preserve">Rozvody – muži </w:t>
            </w:r>
          </w:p>
        </w:tc>
        <w:tc>
          <w:tcPr>
            <w:tcW w:w="490" w:type="pct"/>
            <w:tcBorders>
              <w:top w:val="nil"/>
              <w:left w:val="single" w:sz="8" w:space="0" w:color="auto"/>
              <w:bottom w:val="nil"/>
              <w:right w:val="single" w:sz="8" w:space="0" w:color="auto"/>
            </w:tcBorders>
            <w:shd w:val="clear" w:color="auto" w:fill="auto"/>
            <w:noWrap/>
            <w:vAlign w:val="center"/>
            <w:hideMark/>
          </w:tcPr>
          <w:p w14:paraId="788390D4"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527</w:t>
            </w:r>
          </w:p>
        </w:tc>
        <w:tc>
          <w:tcPr>
            <w:tcW w:w="491" w:type="pct"/>
            <w:tcBorders>
              <w:top w:val="nil"/>
              <w:left w:val="nil"/>
              <w:bottom w:val="nil"/>
              <w:right w:val="single" w:sz="8" w:space="0" w:color="auto"/>
            </w:tcBorders>
            <w:shd w:val="clear" w:color="auto" w:fill="auto"/>
            <w:noWrap/>
            <w:vAlign w:val="center"/>
            <w:hideMark/>
          </w:tcPr>
          <w:p w14:paraId="6A57FD04" w14:textId="77777777"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631</w:t>
            </w:r>
          </w:p>
        </w:tc>
        <w:tc>
          <w:tcPr>
            <w:tcW w:w="491" w:type="pct"/>
            <w:tcBorders>
              <w:top w:val="nil"/>
              <w:left w:val="nil"/>
              <w:bottom w:val="nil"/>
              <w:right w:val="single" w:sz="8" w:space="0" w:color="auto"/>
            </w:tcBorders>
            <w:shd w:val="clear" w:color="auto" w:fill="auto"/>
            <w:noWrap/>
            <w:vAlign w:val="center"/>
            <w:hideMark/>
          </w:tcPr>
          <w:p w14:paraId="4C9260CA" w14:textId="77777777"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727</w:t>
            </w:r>
          </w:p>
        </w:tc>
        <w:tc>
          <w:tcPr>
            <w:tcW w:w="491" w:type="pct"/>
            <w:tcBorders>
              <w:top w:val="nil"/>
              <w:left w:val="nil"/>
              <w:bottom w:val="nil"/>
              <w:right w:val="single" w:sz="8" w:space="0" w:color="auto"/>
            </w:tcBorders>
            <w:shd w:val="clear" w:color="auto" w:fill="auto"/>
            <w:noWrap/>
            <w:vAlign w:val="center"/>
          </w:tcPr>
          <w:p w14:paraId="2697F329"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766</w:t>
            </w:r>
          </w:p>
        </w:tc>
        <w:tc>
          <w:tcPr>
            <w:tcW w:w="491" w:type="pct"/>
            <w:tcBorders>
              <w:top w:val="nil"/>
              <w:left w:val="nil"/>
              <w:bottom w:val="nil"/>
              <w:right w:val="single" w:sz="8" w:space="0" w:color="auto"/>
            </w:tcBorders>
            <w:shd w:val="clear" w:color="auto" w:fill="auto"/>
            <w:noWrap/>
            <w:vAlign w:val="center"/>
            <w:hideMark/>
          </w:tcPr>
          <w:p w14:paraId="2E583434"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893</w:t>
            </w:r>
          </w:p>
        </w:tc>
        <w:tc>
          <w:tcPr>
            <w:tcW w:w="493" w:type="pct"/>
            <w:tcBorders>
              <w:top w:val="nil"/>
              <w:left w:val="nil"/>
              <w:bottom w:val="nil"/>
              <w:right w:val="nil"/>
            </w:tcBorders>
            <w:shd w:val="clear" w:color="auto" w:fill="auto"/>
            <w:noWrap/>
            <w:vAlign w:val="center"/>
            <w:hideMark/>
          </w:tcPr>
          <w:p w14:paraId="08D76D3C"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746</w:t>
            </w:r>
          </w:p>
        </w:tc>
      </w:tr>
      <w:tr w:rsidR="00271E01" w:rsidRPr="00271E01" w14:paraId="5666AA4E" w14:textId="77777777" w:rsidTr="00C12610">
        <w:trPr>
          <w:trHeight w:val="282"/>
        </w:trPr>
        <w:tc>
          <w:tcPr>
            <w:tcW w:w="2051" w:type="pct"/>
            <w:tcBorders>
              <w:top w:val="nil"/>
              <w:left w:val="nil"/>
              <w:bottom w:val="nil"/>
              <w:right w:val="nil"/>
            </w:tcBorders>
            <w:shd w:val="clear" w:color="auto" w:fill="auto"/>
            <w:noWrap/>
            <w:vAlign w:val="center"/>
            <w:hideMark/>
          </w:tcPr>
          <w:p w14:paraId="7A9428D2" w14:textId="77777777" w:rsidR="00271E01" w:rsidRPr="006C123E" w:rsidRDefault="00271E01" w:rsidP="00917551">
            <w:pPr>
              <w:pStyle w:val="Zkladnodstavec"/>
              <w:spacing w:line="240" w:lineRule="auto"/>
              <w:jc w:val="both"/>
              <w:rPr>
                <w:rFonts w:cs="Arial"/>
                <w:sz w:val="16"/>
                <w:szCs w:val="16"/>
              </w:rPr>
            </w:pPr>
            <w:r>
              <w:rPr>
                <w:rFonts w:cs="Arial"/>
                <w:sz w:val="16"/>
                <w:szCs w:val="16"/>
              </w:rPr>
              <w:t xml:space="preserve">Rozvody – ženy </w:t>
            </w:r>
          </w:p>
        </w:tc>
        <w:tc>
          <w:tcPr>
            <w:tcW w:w="490" w:type="pct"/>
            <w:tcBorders>
              <w:top w:val="nil"/>
              <w:left w:val="single" w:sz="8" w:space="0" w:color="auto"/>
              <w:bottom w:val="nil"/>
              <w:right w:val="single" w:sz="8" w:space="0" w:color="auto"/>
            </w:tcBorders>
            <w:shd w:val="clear" w:color="auto" w:fill="auto"/>
            <w:noWrap/>
            <w:vAlign w:val="center"/>
            <w:hideMark/>
          </w:tcPr>
          <w:p w14:paraId="20EF04D7"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260</w:t>
            </w:r>
          </w:p>
        </w:tc>
        <w:tc>
          <w:tcPr>
            <w:tcW w:w="491" w:type="pct"/>
            <w:tcBorders>
              <w:top w:val="nil"/>
              <w:left w:val="nil"/>
              <w:bottom w:val="nil"/>
              <w:right w:val="single" w:sz="8" w:space="0" w:color="auto"/>
            </w:tcBorders>
            <w:shd w:val="clear" w:color="auto" w:fill="auto"/>
            <w:noWrap/>
            <w:vAlign w:val="center"/>
            <w:hideMark/>
          </w:tcPr>
          <w:p w14:paraId="0C996C06" w14:textId="77777777"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339</w:t>
            </w:r>
          </w:p>
        </w:tc>
        <w:tc>
          <w:tcPr>
            <w:tcW w:w="491" w:type="pct"/>
            <w:tcBorders>
              <w:top w:val="nil"/>
              <w:left w:val="nil"/>
              <w:bottom w:val="nil"/>
              <w:right w:val="single" w:sz="8" w:space="0" w:color="auto"/>
            </w:tcBorders>
            <w:shd w:val="clear" w:color="auto" w:fill="auto"/>
            <w:noWrap/>
            <w:vAlign w:val="center"/>
            <w:hideMark/>
          </w:tcPr>
          <w:p w14:paraId="74D1D354" w14:textId="77777777"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400</w:t>
            </w:r>
          </w:p>
        </w:tc>
        <w:tc>
          <w:tcPr>
            <w:tcW w:w="491" w:type="pct"/>
            <w:tcBorders>
              <w:top w:val="nil"/>
              <w:left w:val="nil"/>
              <w:bottom w:val="nil"/>
              <w:right w:val="single" w:sz="8" w:space="0" w:color="auto"/>
            </w:tcBorders>
            <w:shd w:val="clear" w:color="auto" w:fill="auto"/>
            <w:noWrap/>
            <w:vAlign w:val="center"/>
          </w:tcPr>
          <w:p w14:paraId="30A543B7"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387</w:t>
            </w:r>
          </w:p>
        </w:tc>
        <w:tc>
          <w:tcPr>
            <w:tcW w:w="491" w:type="pct"/>
            <w:tcBorders>
              <w:top w:val="nil"/>
              <w:left w:val="nil"/>
              <w:bottom w:val="nil"/>
              <w:right w:val="single" w:sz="8" w:space="0" w:color="auto"/>
            </w:tcBorders>
            <w:shd w:val="clear" w:color="auto" w:fill="auto"/>
            <w:noWrap/>
            <w:vAlign w:val="center"/>
            <w:hideMark/>
          </w:tcPr>
          <w:p w14:paraId="4F23833E"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454</w:t>
            </w:r>
          </w:p>
        </w:tc>
        <w:tc>
          <w:tcPr>
            <w:tcW w:w="493" w:type="pct"/>
            <w:tcBorders>
              <w:top w:val="nil"/>
              <w:left w:val="nil"/>
              <w:bottom w:val="nil"/>
              <w:right w:val="nil"/>
            </w:tcBorders>
            <w:shd w:val="clear" w:color="auto" w:fill="auto"/>
            <w:noWrap/>
            <w:vAlign w:val="center"/>
            <w:hideMark/>
          </w:tcPr>
          <w:p w14:paraId="206ED178"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426</w:t>
            </w:r>
          </w:p>
        </w:tc>
      </w:tr>
      <w:tr w:rsidR="00271E01" w:rsidRPr="00271E01" w14:paraId="5D76A955" w14:textId="77777777" w:rsidTr="00C12610">
        <w:trPr>
          <w:trHeight w:val="282"/>
        </w:trPr>
        <w:tc>
          <w:tcPr>
            <w:tcW w:w="2051" w:type="pct"/>
            <w:tcBorders>
              <w:top w:val="nil"/>
              <w:left w:val="nil"/>
              <w:bottom w:val="nil"/>
              <w:right w:val="nil"/>
            </w:tcBorders>
            <w:shd w:val="clear" w:color="auto" w:fill="auto"/>
            <w:noWrap/>
            <w:vAlign w:val="center"/>
            <w:hideMark/>
          </w:tcPr>
          <w:p w14:paraId="3BA057A4" w14:textId="77777777" w:rsidR="00271E01" w:rsidRPr="006C123E" w:rsidRDefault="00271E01" w:rsidP="00917551">
            <w:pPr>
              <w:pStyle w:val="Zkladnodstavec"/>
              <w:spacing w:line="240" w:lineRule="auto"/>
              <w:jc w:val="both"/>
              <w:rPr>
                <w:rFonts w:cs="Arial"/>
                <w:sz w:val="16"/>
                <w:szCs w:val="16"/>
              </w:rPr>
            </w:pPr>
            <w:r>
              <w:rPr>
                <w:rFonts w:cs="Arial"/>
                <w:sz w:val="16"/>
                <w:szCs w:val="16"/>
              </w:rPr>
              <w:t xml:space="preserve">Narození potomka – muži </w:t>
            </w:r>
          </w:p>
        </w:tc>
        <w:tc>
          <w:tcPr>
            <w:tcW w:w="490" w:type="pct"/>
            <w:tcBorders>
              <w:top w:val="nil"/>
              <w:left w:val="single" w:sz="8" w:space="0" w:color="auto"/>
              <w:bottom w:val="nil"/>
              <w:right w:val="single" w:sz="8" w:space="0" w:color="auto"/>
            </w:tcBorders>
            <w:shd w:val="clear" w:color="auto" w:fill="auto"/>
            <w:noWrap/>
            <w:vAlign w:val="center"/>
            <w:hideMark/>
          </w:tcPr>
          <w:p w14:paraId="114EF83C"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22</w:t>
            </w:r>
          </w:p>
        </w:tc>
        <w:tc>
          <w:tcPr>
            <w:tcW w:w="491" w:type="pct"/>
            <w:tcBorders>
              <w:top w:val="nil"/>
              <w:left w:val="nil"/>
              <w:bottom w:val="nil"/>
              <w:right w:val="single" w:sz="8" w:space="0" w:color="auto"/>
            </w:tcBorders>
            <w:shd w:val="clear" w:color="auto" w:fill="auto"/>
            <w:noWrap/>
            <w:vAlign w:val="center"/>
            <w:hideMark/>
          </w:tcPr>
          <w:p w14:paraId="1D95DE7B" w14:textId="77777777"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32</w:t>
            </w:r>
          </w:p>
        </w:tc>
        <w:tc>
          <w:tcPr>
            <w:tcW w:w="491" w:type="pct"/>
            <w:tcBorders>
              <w:top w:val="nil"/>
              <w:left w:val="nil"/>
              <w:bottom w:val="nil"/>
              <w:right w:val="single" w:sz="8" w:space="0" w:color="auto"/>
            </w:tcBorders>
            <w:shd w:val="clear" w:color="auto" w:fill="auto"/>
            <w:noWrap/>
            <w:vAlign w:val="center"/>
            <w:hideMark/>
          </w:tcPr>
          <w:p w14:paraId="1984CF81" w14:textId="77777777"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45</w:t>
            </w:r>
          </w:p>
        </w:tc>
        <w:tc>
          <w:tcPr>
            <w:tcW w:w="491" w:type="pct"/>
            <w:tcBorders>
              <w:top w:val="nil"/>
              <w:left w:val="nil"/>
              <w:bottom w:val="nil"/>
              <w:right w:val="single" w:sz="8" w:space="0" w:color="auto"/>
            </w:tcBorders>
            <w:shd w:val="clear" w:color="auto" w:fill="auto"/>
            <w:noWrap/>
            <w:vAlign w:val="center"/>
          </w:tcPr>
          <w:p w14:paraId="171951E5"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62</w:t>
            </w:r>
          </w:p>
        </w:tc>
        <w:tc>
          <w:tcPr>
            <w:tcW w:w="491" w:type="pct"/>
            <w:tcBorders>
              <w:top w:val="nil"/>
              <w:left w:val="nil"/>
              <w:bottom w:val="nil"/>
              <w:right w:val="single" w:sz="8" w:space="0" w:color="auto"/>
            </w:tcBorders>
            <w:shd w:val="clear" w:color="auto" w:fill="auto"/>
            <w:noWrap/>
            <w:vAlign w:val="center"/>
            <w:hideMark/>
          </w:tcPr>
          <w:p w14:paraId="4167835A"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39</w:t>
            </w:r>
          </w:p>
        </w:tc>
        <w:tc>
          <w:tcPr>
            <w:tcW w:w="493" w:type="pct"/>
            <w:tcBorders>
              <w:top w:val="nil"/>
              <w:left w:val="nil"/>
              <w:bottom w:val="nil"/>
              <w:right w:val="nil"/>
            </w:tcBorders>
            <w:shd w:val="clear" w:color="auto" w:fill="auto"/>
            <w:noWrap/>
            <w:vAlign w:val="center"/>
            <w:hideMark/>
          </w:tcPr>
          <w:p w14:paraId="3B26E046" w14:textId="777777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38</w:t>
            </w:r>
          </w:p>
        </w:tc>
      </w:tr>
      <w:tr w:rsidR="00271E01" w:rsidRPr="00271E01" w14:paraId="3ED4486C" w14:textId="77777777" w:rsidTr="00C12610">
        <w:trPr>
          <w:trHeight w:val="282"/>
        </w:trPr>
        <w:tc>
          <w:tcPr>
            <w:tcW w:w="2051" w:type="pct"/>
            <w:tcBorders>
              <w:top w:val="nil"/>
              <w:left w:val="nil"/>
              <w:bottom w:val="nil"/>
              <w:right w:val="nil"/>
            </w:tcBorders>
            <w:shd w:val="clear" w:color="auto" w:fill="auto"/>
            <w:noWrap/>
            <w:vAlign w:val="center"/>
            <w:hideMark/>
          </w:tcPr>
          <w:p w14:paraId="2C4AFBCB" w14:textId="77777777" w:rsidR="00271E01" w:rsidRPr="006C123E" w:rsidRDefault="00271E01" w:rsidP="00917551">
            <w:pPr>
              <w:pStyle w:val="Zkladnodstavec"/>
              <w:spacing w:line="240" w:lineRule="auto"/>
              <w:jc w:val="both"/>
              <w:rPr>
                <w:rFonts w:cs="Arial"/>
                <w:b/>
                <w:sz w:val="16"/>
                <w:szCs w:val="16"/>
              </w:rPr>
            </w:pPr>
            <w:r>
              <w:rPr>
                <w:rFonts w:cs="Arial"/>
                <w:sz w:val="16"/>
                <w:szCs w:val="16"/>
              </w:rPr>
              <w:t xml:space="preserve">Narození potomky – ženy </w:t>
            </w:r>
          </w:p>
        </w:tc>
        <w:tc>
          <w:tcPr>
            <w:tcW w:w="490" w:type="pct"/>
            <w:tcBorders>
              <w:top w:val="nil"/>
              <w:left w:val="single" w:sz="8" w:space="0" w:color="auto"/>
              <w:bottom w:val="nil"/>
              <w:right w:val="single" w:sz="8" w:space="0" w:color="auto"/>
            </w:tcBorders>
            <w:shd w:val="clear" w:color="auto" w:fill="auto"/>
            <w:noWrap/>
            <w:vAlign w:val="center"/>
            <w:hideMark/>
          </w:tcPr>
          <w:p w14:paraId="53AA7363" w14:textId="77777777" w:rsidR="00271E01" w:rsidRPr="00271E01" w:rsidRDefault="00271E01" w:rsidP="002228C9">
            <w:pPr>
              <w:spacing w:after="0" w:line="240" w:lineRule="auto"/>
              <w:jc w:val="center"/>
              <w:rPr>
                <w:rFonts w:asciiTheme="minorHAnsi" w:hAnsiTheme="minorHAnsi" w:cstheme="minorHAnsi"/>
                <w:color w:val="000000"/>
                <w:sz w:val="16"/>
                <w:szCs w:val="16"/>
              </w:rPr>
            </w:pPr>
            <w:r w:rsidRPr="00271E01">
              <w:rPr>
                <w:rFonts w:asciiTheme="minorHAnsi" w:hAnsiTheme="minorHAnsi" w:cstheme="minorHAnsi"/>
                <w:color w:val="000000"/>
                <w:sz w:val="16"/>
                <w:szCs w:val="16"/>
              </w:rPr>
              <w:t>-</w:t>
            </w:r>
          </w:p>
        </w:tc>
        <w:tc>
          <w:tcPr>
            <w:tcW w:w="491" w:type="pct"/>
            <w:tcBorders>
              <w:top w:val="nil"/>
              <w:left w:val="nil"/>
              <w:bottom w:val="nil"/>
              <w:right w:val="single" w:sz="8" w:space="0" w:color="auto"/>
            </w:tcBorders>
            <w:shd w:val="clear" w:color="auto" w:fill="auto"/>
            <w:noWrap/>
            <w:vAlign w:val="center"/>
            <w:hideMark/>
          </w:tcPr>
          <w:p w14:paraId="4D19723C" w14:textId="77777777" w:rsidR="00271E01" w:rsidRPr="00271E01" w:rsidRDefault="00271E01" w:rsidP="002228C9">
            <w:pPr>
              <w:spacing w:after="0" w:line="240" w:lineRule="auto"/>
              <w:jc w:val="center"/>
              <w:rPr>
                <w:rFonts w:asciiTheme="minorHAnsi" w:hAnsiTheme="minorHAnsi" w:cstheme="minorHAnsi"/>
                <w:sz w:val="16"/>
                <w:szCs w:val="16"/>
              </w:rPr>
            </w:pPr>
            <w:r w:rsidRPr="00271E01">
              <w:rPr>
                <w:rFonts w:asciiTheme="minorHAnsi" w:hAnsiTheme="minorHAnsi" w:cstheme="minorHAnsi"/>
                <w:sz w:val="16"/>
                <w:szCs w:val="16"/>
              </w:rPr>
              <w:t>-</w:t>
            </w:r>
          </w:p>
        </w:tc>
        <w:tc>
          <w:tcPr>
            <w:tcW w:w="491" w:type="pct"/>
            <w:tcBorders>
              <w:top w:val="nil"/>
              <w:left w:val="nil"/>
              <w:bottom w:val="nil"/>
              <w:right w:val="single" w:sz="8" w:space="0" w:color="auto"/>
            </w:tcBorders>
            <w:shd w:val="clear" w:color="auto" w:fill="auto"/>
            <w:noWrap/>
            <w:vAlign w:val="center"/>
            <w:hideMark/>
          </w:tcPr>
          <w:p w14:paraId="64403665" w14:textId="77777777" w:rsidR="00271E01" w:rsidRPr="00271E01" w:rsidRDefault="00271E01" w:rsidP="002228C9">
            <w:pPr>
              <w:spacing w:after="0" w:line="240" w:lineRule="auto"/>
              <w:jc w:val="center"/>
              <w:rPr>
                <w:rFonts w:asciiTheme="minorHAnsi" w:hAnsiTheme="minorHAnsi" w:cstheme="minorHAnsi"/>
                <w:sz w:val="16"/>
                <w:szCs w:val="16"/>
              </w:rPr>
            </w:pPr>
            <w:r w:rsidRPr="00271E01">
              <w:rPr>
                <w:rFonts w:asciiTheme="minorHAnsi" w:hAnsiTheme="minorHAnsi" w:cstheme="minorHAnsi"/>
                <w:sz w:val="16"/>
                <w:szCs w:val="16"/>
              </w:rPr>
              <w:t>-</w:t>
            </w:r>
          </w:p>
        </w:tc>
        <w:tc>
          <w:tcPr>
            <w:tcW w:w="491" w:type="pct"/>
            <w:tcBorders>
              <w:top w:val="nil"/>
              <w:left w:val="nil"/>
              <w:bottom w:val="nil"/>
              <w:right w:val="single" w:sz="8" w:space="0" w:color="auto"/>
            </w:tcBorders>
            <w:shd w:val="clear" w:color="auto" w:fill="auto"/>
            <w:noWrap/>
            <w:vAlign w:val="center"/>
          </w:tcPr>
          <w:p w14:paraId="0E73AF4A" w14:textId="77777777" w:rsidR="00271E01" w:rsidRPr="00271E01" w:rsidRDefault="00271E01" w:rsidP="002228C9">
            <w:pPr>
              <w:spacing w:after="0" w:line="240" w:lineRule="auto"/>
              <w:jc w:val="center"/>
              <w:rPr>
                <w:rFonts w:asciiTheme="minorHAnsi" w:hAnsiTheme="minorHAnsi" w:cstheme="minorHAnsi"/>
                <w:color w:val="000000"/>
                <w:sz w:val="16"/>
                <w:szCs w:val="16"/>
              </w:rPr>
            </w:pPr>
            <w:r w:rsidRPr="00271E01">
              <w:rPr>
                <w:rFonts w:asciiTheme="minorHAnsi" w:hAnsiTheme="minorHAnsi" w:cstheme="minorHAnsi"/>
                <w:color w:val="000000"/>
                <w:sz w:val="16"/>
                <w:szCs w:val="16"/>
              </w:rPr>
              <w:t>-</w:t>
            </w:r>
          </w:p>
        </w:tc>
        <w:tc>
          <w:tcPr>
            <w:tcW w:w="491" w:type="pct"/>
            <w:tcBorders>
              <w:top w:val="nil"/>
              <w:left w:val="nil"/>
              <w:bottom w:val="nil"/>
              <w:right w:val="single" w:sz="8" w:space="0" w:color="auto"/>
            </w:tcBorders>
            <w:shd w:val="clear" w:color="auto" w:fill="auto"/>
            <w:noWrap/>
            <w:vAlign w:val="center"/>
            <w:hideMark/>
          </w:tcPr>
          <w:p w14:paraId="07186142" w14:textId="77777777" w:rsidR="00271E01" w:rsidRPr="00271E01" w:rsidRDefault="00271E01" w:rsidP="002228C9">
            <w:pPr>
              <w:spacing w:after="0" w:line="240" w:lineRule="auto"/>
              <w:jc w:val="center"/>
              <w:rPr>
                <w:rFonts w:asciiTheme="minorHAnsi" w:hAnsiTheme="minorHAnsi" w:cstheme="minorHAnsi"/>
                <w:color w:val="000000"/>
                <w:sz w:val="16"/>
                <w:szCs w:val="16"/>
              </w:rPr>
            </w:pPr>
            <w:r w:rsidRPr="00271E01">
              <w:rPr>
                <w:rFonts w:asciiTheme="minorHAnsi" w:hAnsiTheme="minorHAnsi" w:cstheme="minorHAnsi"/>
                <w:color w:val="000000"/>
                <w:sz w:val="16"/>
                <w:szCs w:val="16"/>
              </w:rPr>
              <w:t>-</w:t>
            </w:r>
          </w:p>
        </w:tc>
        <w:tc>
          <w:tcPr>
            <w:tcW w:w="493" w:type="pct"/>
            <w:tcBorders>
              <w:top w:val="nil"/>
              <w:left w:val="nil"/>
              <w:bottom w:val="nil"/>
              <w:right w:val="nil"/>
            </w:tcBorders>
            <w:shd w:val="clear" w:color="auto" w:fill="auto"/>
            <w:noWrap/>
            <w:vAlign w:val="center"/>
            <w:hideMark/>
          </w:tcPr>
          <w:p w14:paraId="4D57DD5E" w14:textId="77777777" w:rsidR="00271E01" w:rsidRPr="00271E01" w:rsidRDefault="00271E01" w:rsidP="002228C9">
            <w:pPr>
              <w:spacing w:after="0" w:line="240" w:lineRule="auto"/>
              <w:jc w:val="center"/>
              <w:rPr>
                <w:rFonts w:asciiTheme="minorHAnsi" w:hAnsiTheme="minorHAnsi" w:cstheme="minorHAnsi"/>
                <w:color w:val="000000"/>
                <w:sz w:val="16"/>
                <w:szCs w:val="16"/>
              </w:rPr>
            </w:pPr>
            <w:r w:rsidRPr="00271E01">
              <w:rPr>
                <w:rFonts w:asciiTheme="minorHAnsi" w:hAnsiTheme="minorHAnsi" w:cstheme="minorHAnsi"/>
                <w:color w:val="000000"/>
                <w:sz w:val="16"/>
                <w:szCs w:val="16"/>
              </w:rPr>
              <w:t>-</w:t>
            </w:r>
          </w:p>
        </w:tc>
      </w:tr>
      <w:tr w:rsidR="00271E01" w:rsidRPr="00271E01" w14:paraId="45FAAAB1" w14:textId="77777777" w:rsidTr="00C12610">
        <w:trPr>
          <w:trHeight w:val="282"/>
        </w:trPr>
        <w:tc>
          <w:tcPr>
            <w:tcW w:w="2051" w:type="pct"/>
            <w:tcBorders>
              <w:top w:val="nil"/>
              <w:left w:val="nil"/>
              <w:bottom w:val="nil"/>
              <w:right w:val="nil"/>
            </w:tcBorders>
            <w:shd w:val="clear" w:color="auto" w:fill="auto"/>
            <w:noWrap/>
            <w:vAlign w:val="center"/>
            <w:hideMark/>
          </w:tcPr>
          <w:p w14:paraId="70EB38F0" w14:textId="77777777" w:rsidR="00271E01" w:rsidRPr="006C123E" w:rsidRDefault="00271E01" w:rsidP="00917551">
            <w:pPr>
              <w:pStyle w:val="Zkladnodstavec"/>
              <w:spacing w:line="240" w:lineRule="auto"/>
              <w:jc w:val="both"/>
              <w:rPr>
                <w:rFonts w:cs="Arial"/>
                <w:sz w:val="16"/>
                <w:szCs w:val="16"/>
              </w:rPr>
            </w:pPr>
            <w:r>
              <w:rPr>
                <w:rFonts w:cs="Arial"/>
                <w:sz w:val="16"/>
                <w:szCs w:val="16"/>
              </w:rPr>
              <w:t xml:space="preserve">Ovdovění – muži </w:t>
            </w:r>
          </w:p>
        </w:tc>
        <w:tc>
          <w:tcPr>
            <w:tcW w:w="490" w:type="pct"/>
            <w:tcBorders>
              <w:top w:val="nil"/>
              <w:left w:val="single" w:sz="8" w:space="0" w:color="auto"/>
              <w:bottom w:val="nil"/>
              <w:right w:val="single" w:sz="8" w:space="0" w:color="auto"/>
            </w:tcBorders>
            <w:shd w:val="clear" w:color="auto" w:fill="auto"/>
            <w:noWrap/>
            <w:vAlign w:val="center"/>
            <w:hideMark/>
          </w:tcPr>
          <w:p w14:paraId="0AF44A00" w14:textId="2524133A"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8</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015</w:t>
            </w:r>
          </w:p>
        </w:tc>
        <w:tc>
          <w:tcPr>
            <w:tcW w:w="491" w:type="pct"/>
            <w:tcBorders>
              <w:top w:val="nil"/>
              <w:left w:val="nil"/>
              <w:bottom w:val="nil"/>
              <w:right w:val="single" w:sz="8" w:space="0" w:color="auto"/>
            </w:tcBorders>
            <w:shd w:val="clear" w:color="auto" w:fill="auto"/>
            <w:noWrap/>
            <w:vAlign w:val="center"/>
            <w:hideMark/>
          </w:tcPr>
          <w:p w14:paraId="58C78A63" w14:textId="0E8FC635"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8</w:t>
            </w:r>
            <w:r w:rsidR="00DA4A03">
              <w:rPr>
                <w:rFonts w:asciiTheme="minorHAnsi" w:hAnsiTheme="minorHAnsi" w:cstheme="minorHAnsi"/>
                <w:sz w:val="16"/>
                <w:szCs w:val="16"/>
              </w:rPr>
              <w:t xml:space="preserve"> </w:t>
            </w:r>
            <w:r w:rsidRPr="00271E01">
              <w:rPr>
                <w:rFonts w:asciiTheme="minorHAnsi" w:hAnsiTheme="minorHAnsi" w:cstheme="minorHAnsi"/>
                <w:sz w:val="16"/>
                <w:szCs w:val="16"/>
              </w:rPr>
              <w:t>540</w:t>
            </w:r>
          </w:p>
        </w:tc>
        <w:tc>
          <w:tcPr>
            <w:tcW w:w="491" w:type="pct"/>
            <w:tcBorders>
              <w:top w:val="nil"/>
              <w:left w:val="nil"/>
              <w:bottom w:val="nil"/>
              <w:right w:val="single" w:sz="8" w:space="0" w:color="auto"/>
            </w:tcBorders>
            <w:shd w:val="clear" w:color="auto" w:fill="auto"/>
            <w:noWrap/>
            <w:vAlign w:val="center"/>
            <w:hideMark/>
          </w:tcPr>
          <w:p w14:paraId="7A14CE21" w14:textId="2FECC6C6"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8</w:t>
            </w:r>
            <w:r w:rsidR="00DA4A03">
              <w:rPr>
                <w:rFonts w:asciiTheme="minorHAnsi" w:hAnsiTheme="minorHAnsi" w:cstheme="minorHAnsi"/>
                <w:sz w:val="16"/>
                <w:szCs w:val="16"/>
              </w:rPr>
              <w:t xml:space="preserve"> </w:t>
            </w:r>
            <w:r w:rsidRPr="00271E01">
              <w:rPr>
                <w:rFonts w:asciiTheme="minorHAnsi" w:hAnsiTheme="minorHAnsi" w:cstheme="minorHAnsi"/>
                <w:sz w:val="16"/>
                <w:szCs w:val="16"/>
              </w:rPr>
              <w:t>870</w:t>
            </w:r>
          </w:p>
        </w:tc>
        <w:tc>
          <w:tcPr>
            <w:tcW w:w="491" w:type="pct"/>
            <w:tcBorders>
              <w:top w:val="nil"/>
              <w:left w:val="nil"/>
              <w:bottom w:val="nil"/>
              <w:right w:val="single" w:sz="8" w:space="0" w:color="auto"/>
            </w:tcBorders>
            <w:shd w:val="clear" w:color="auto" w:fill="auto"/>
            <w:noWrap/>
            <w:vAlign w:val="center"/>
          </w:tcPr>
          <w:p w14:paraId="0B34C3D9" w14:textId="39D1DC2C"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9</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044</w:t>
            </w:r>
          </w:p>
        </w:tc>
        <w:tc>
          <w:tcPr>
            <w:tcW w:w="491" w:type="pct"/>
            <w:tcBorders>
              <w:top w:val="nil"/>
              <w:left w:val="nil"/>
              <w:bottom w:val="nil"/>
              <w:right w:val="single" w:sz="8" w:space="0" w:color="auto"/>
            </w:tcBorders>
            <w:shd w:val="clear" w:color="auto" w:fill="auto"/>
            <w:noWrap/>
            <w:vAlign w:val="center"/>
            <w:hideMark/>
          </w:tcPr>
          <w:p w14:paraId="024A190D" w14:textId="2B132EBD"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9</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512</w:t>
            </w:r>
          </w:p>
        </w:tc>
        <w:tc>
          <w:tcPr>
            <w:tcW w:w="493" w:type="pct"/>
            <w:tcBorders>
              <w:top w:val="nil"/>
              <w:left w:val="nil"/>
              <w:bottom w:val="nil"/>
              <w:right w:val="nil"/>
            </w:tcBorders>
            <w:shd w:val="clear" w:color="auto" w:fill="auto"/>
            <w:noWrap/>
            <w:vAlign w:val="center"/>
            <w:hideMark/>
          </w:tcPr>
          <w:p w14:paraId="6FAFCA8E" w14:textId="4FCDCE93"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11</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820</w:t>
            </w:r>
          </w:p>
        </w:tc>
      </w:tr>
      <w:tr w:rsidR="00271E01" w:rsidRPr="00271E01" w14:paraId="03998B53" w14:textId="77777777" w:rsidTr="00C12610">
        <w:trPr>
          <w:trHeight w:val="282"/>
        </w:trPr>
        <w:tc>
          <w:tcPr>
            <w:tcW w:w="2051" w:type="pct"/>
            <w:tcBorders>
              <w:top w:val="nil"/>
              <w:left w:val="nil"/>
              <w:bottom w:val="nil"/>
              <w:right w:val="nil"/>
            </w:tcBorders>
            <w:shd w:val="clear" w:color="auto" w:fill="auto"/>
            <w:noWrap/>
            <w:vAlign w:val="center"/>
            <w:hideMark/>
          </w:tcPr>
          <w:p w14:paraId="3C731182" w14:textId="77777777" w:rsidR="00271E01" w:rsidRPr="006C123E" w:rsidRDefault="00271E01" w:rsidP="00917551">
            <w:pPr>
              <w:pStyle w:val="Zkladnodstavec"/>
              <w:spacing w:line="240" w:lineRule="auto"/>
              <w:jc w:val="both"/>
              <w:rPr>
                <w:rFonts w:cs="Arial"/>
                <w:sz w:val="16"/>
                <w:szCs w:val="16"/>
              </w:rPr>
            </w:pPr>
            <w:r>
              <w:rPr>
                <w:rFonts w:cs="Arial"/>
                <w:sz w:val="16"/>
                <w:szCs w:val="16"/>
              </w:rPr>
              <w:t xml:space="preserve">Ovdovění – ženy </w:t>
            </w:r>
          </w:p>
        </w:tc>
        <w:tc>
          <w:tcPr>
            <w:tcW w:w="490" w:type="pct"/>
            <w:tcBorders>
              <w:top w:val="nil"/>
              <w:left w:val="single" w:sz="8" w:space="0" w:color="auto"/>
              <w:bottom w:val="nil"/>
              <w:right w:val="single" w:sz="8" w:space="0" w:color="auto"/>
            </w:tcBorders>
            <w:shd w:val="clear" w:color="auto" w:fill="auto"/>
            <w:noWrap/>
            <w:vAlign w:val="center"/>
            <w:hideMark/>
          </w:tcPr>
          <w:p w14:paraId="25736D76" w14:textId="4E0EDAEC"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19</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252</w:t>
            </w:r>
          </w:p>
        </w:tc>
        <w:tc>
          <w:tcPr>
            <w:tcW w:w="491" w:type="pct"/>
            <w:tcBorders>
              <w:top w:val="nil"/>
              <w:left w:val="nil"/>
              <w:bottom w:val="nil"/>
              <w:right w:val="single" w:sz="8" w:space="0" w:color="auto"/>
            </w:tcBorders>
            <w:shd w:val="clear" w:color="auto" w:fill="auto"/>
            <w:noWrap/>
            <w:vAlign w:val="center"/>
            <w:hideMark/>
          </w:tcPr>
          <w:p w14:paraId="583B1B69" w14:textId="49679653"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20</w:t>
            </w:r>
            <w:r w:rsidR="00DA4A03">
              <w:rPr>
                <w:rFonts w:asciiTheme="minorHAnsi" w:hAnsiTheme="minorHAnsi" w:cstheme="minorHAnsi"/>
                <w:sz w:val="16"/>
                <w:szCs w:val="16"/>
              </w:rPr>
              <w:t xml:space="preserve"> </w:t>
            </w:r>
            <w:r w:rsidRPr="00271E01">
              <w:rPr>
                <w:rFonts w:asciiTheme="minorHAnsi" w:hAnsiTheme="minorHAnsi" w:cstheme="minorHAnsi"/>
                <w:sz w:val="16"/>
                <w:szCs w:val="16"/>
              </w:rPr>
              <w:t>600</w:t>
            </w:r>
          </w:p>
        </w:tc>
        <w:tc>
          <w:tcPr>
            <w:tcW w:w="491" w:type="pct"/>
            <w:tcBorders>
              <w:top w:val="nil"/>
              <w:left w:val="nil"/>
              <w:bottom w:val="nil"/>
              <w:right w:val="single" w:sz="8" w:space="0" w:color="auto"/>
            </w:tcBorders>
            <w:shd w:val="clear" w:color="auto" w:fill="auto"/>
            <w:noWrap/>
            <w:vAlign w:val="center"/>
            <w:hideMark/>
          </w:tcPr>
          <w:p w14:paraId="6E977949" w14:textId="23C2A8BB"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21</w:t>
            </w:r>
            <w:r w:rsidR="00DA4A03">
              <w:rPr>
                <w:rFonts w:asciiTheme="minorHAnsi" w:hAnsiTheme="minorHAnsi" w:cstheme="minorHAnsi"/>
                <w:sz w:val="16"/>
                <w:szCs w:val="16"/>
              </w:rPr>
              <w:t xml:space="preserve"> </w:t>
            </w:r>
            <w:r w:rsidRPr="00271E01">
              <w:rPr>
                <w:rFonts w:asciiTheme="minorHAnsi" w:hAnsiTheme="minorHAnsi" w:cstheme="minorHAnsi"/>
                <w:sz w:val="16"/>
                <w:szCs w:val="16"/>
              </w:rPr>
              <w:t>521</w:t>
            </w:r>
          </w:p>
        </w:tc>
        <w:tc>
          <w:tcPr>
            <w:tcW w:w="491" w:type="pct"/>
            <w:tcBorders>
              <w:top w:val="nil"/>
              <w:left w:val="nil"/>
              <w:bottom w:val="nil"/>
              <w:right w:val="single" w:sz="8" w:space="0" w:color="auto"/>
            </w:tcBorders>
            <w:shd w:val="clear" w:color="auto" w:fill="auto"/>
            <w:noWrap/>
            <w:vAlign w:val="center"/>
          </w:tcPr>
          <w:p w14:paraId="4414E62C" w14:textId="385EC303"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22</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332</w:t>
            </w:r>
          </w:p>
        </w:tc>
        <w:tc>
          <w:tcPr>
            <w:tcW w:w="491" w:type="pct"/>
            <w:tcBorders>
              <w:top w:val="nil"/>
              <w:left w:val="nil"/>
              <w:bottom w:val="nil"/>
              <w:right w:val="single" w:sz="8" w:space="0" w:color="auto"/>
            </w:tcBorders>
            <w:shd w:val="clear" w:color="auto" w:fill="auto"/>
            <w:noWrap/>
            <w:vAlign w:val="center"/>
            <w:hideMark/>
          </w:tcPr>
          <w:p w14:paraId="70CEFB2D" w14:textId="3CFB2BAF"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23</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064</w:t>
            </w:r>
          </w:p>
        </w:tc>
        <w:tc>
          <w:tcPr>
            <w:tcW w:w="493" w:type="pct"/>
            <w:tcBorders>
              <w:top w:val="nil"/>
              <w:left w:val="nil"/>
              <w:bottom w:val="nil"/>
              <w:right w:val="nil"/>
            </w:tcBorders>
            <w:shd w:val="clear" w:color="auto" w:fill="auto"/>
            <w:noWrap/>
            <w:vAlign w:val="center"/>
            <w:hideMark/>
          </w:tcPr>
          <w:p w14:paraId="4F86DB57" w14:textId="1ECD0C64"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30</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332</w:t>
            </w:r>
          </w:p>
        </w:tc>
      </w:tr>
      <w:tr w:rsidR="00271E01" w:rsidRPr="00271E01" w14:paraId="5A380A00" w14:textId="77777777" w:rsidTr="00C12610">
        <w:trPr>
          <w:trHeight w:val="282"/>
        </w:trPr>
        <w:tc>
          <w:tcPr>
            <w:tcW w:w="2051" w:type="pct"/>
            <w:tcBorders>
              <w:top w:val="nil"/>
              <w:left w:val="nil"/>
              <w:bottom w:val="nil"/>
              <w:right w:val="nil"/>
            </w:tcBorders>
            <w:shd w:val="clear" w:color="auto" w:fill="auto"/>
            <w:noWrap/>
            <w:vAlign w:val="center"/>
          </w:tcPr>
          <w:p w14:paraId="3482A627" w14:textId="77777777" w:rsidR="00271E01" w:rsidRDefault="00271E01" w:rsidP="00917551">
            <w:pPr>
              <w:pStyle w:val="Zkladnodstavec"/>
              <w:spacing w:line="240" w:lineRule="auto"/>
              <w:jc w:val="both"/>
              <w:rPr>
                <w:rFonts w:cs="Arial"/>
                <w:sz w:val="16"/>
                <w:szCs w:val="16"/>
              </w:rPr>
            </w:pPr>
            <w:r>
              <w:rPr>
                <w:rFonts w:cs="Arial"/>
                <w:sz w:val="16"/>
                <w:szCs w:val="16"/>
              </w:rPr>
              <w:t xml:space="preserve">Zemřelí – muži </w:t>
            </w:r>
          </w:p>
        </w:tc>
        <w:tc>
          <w:tcPr>
            <w:tcW w:w="490" w:type="pct"/>
            <w:tcBorders>
              <w:top w:val="nil"/>
              <w:left w:val="single" w:sz="8" w:space="0" w:color="auto"/>
              <w:bottom w:val="nil"/>
              <w:right w:val="single" w:sz="8" w:space="0" w:color="auto"/>
            </w:tcBorders>
            <w:shd w:val="clear" w:color="auto" w:fill="auto"/>
            <w:noWrap/>
            <w:vAlign w:val="center"/>
          </w:tcPr>
          <w:p w14:paraId="132CE616" w14:textId="19E3F6E8"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37</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271</w:t>
            </w:r>
          </w:p>
        </w:tc>
        <w:tc>
          <w:tcPr>
            <w:tcW w:w="491" w:type="pct"/>
            <w:tcBorders>
              <w:top w:val="nil"/>
              <w:left w:val="nil"/>
              <w:bottom w:val="nil"/>
              <w:right w:val="single" w:sz="8" w:space="0" w:color="auto"/>
            </w:tcBorders>
            <w:shd w:val="clear" w:color="auto" w:fill="auto"/>
            <w:noWrap/>
            <w:vAlign w:val="center"/>
          </w:tcPr>
          <w:p w14:paraId="3C838B25" w14:textId="3C6DFFC7"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39</w:t>
            </w:r>
            <w:r w:rsidR="00DA4A03">
              <w:rPr>
                <w:rFonts w:asciiTheme="minorHAnsi" w:hAnsiTheme="minorHAnsi" w:cstheme="minorHAnsi"/>
                <w:sz w:val="16"/>
                <w:szCs w:val="16"/>
              </w:rPr>
              <w:t xml:space="preserve"> </w:t>
            </w:r>
            <w:r w:rsidRPr="00271E01">
              <w:rPr>
                <w:rFonts w:asciiTheme="minorHAnsi" w:hAnsiTheme="minorHAnsi" w:cstheme="minorHAnsi"/>
                <w:sz w:val="16"/>
                <w:szCs w:val="16"/>
              </w:rPr>
              <w:t>733</w:t>
            </w:r>
          </w:p>
        </w:tc>
        <w:tc>
          <w:tcPr>
            <w:tcW w:w="491" w:type="pct"/>
            <w:tcBorders>
              <w:top w:val="nil"/>
              <w:left w:val="nil"/>
              <w:bottom w:val="nil"/>
              <w:right w:val="single" w:sz="8" w:space="0" w:color="auto"/>
            </w:tcBorders>
            <w:shd w:val="clear" w:color="auto" w:fill="auto"/>
            <w:noWrap/>
            <w:vAlign w:val="center"/>
          </w:tcPr>
          <w:p w14:paraId="1D7DEA47" w14:textId="38B790DE"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41</w:t>
            </w:r>
            <w:r w:rsidR="00DA4A03">
              <w:rPr>
                <w:rFonts w:asciiTheme="minorHAnsi" w:hAnsiTheme="minorHAnsi" w:cstheme="minorHAnsi"/>
                <w:sz w:val="16"/>
                <w:szCs w:val="16"/>
              </w:rPr>
              <w:t xml:space="preserve"> </w:t>
            </w:r>
            <w:r w:rsidRPr="00271E01">
              <w:rPr>
                <w:rFonts w:asciiTheme="minorHAnsi" w:hAnsiTheme="minorHAnsi" w:cstheme="minorHAnsi"/>
                <w:sz w:val="16"/>
                <w:szCs w:val="16"/>
              </w:rPr>
              <w:t>622</w:t>
            </w:r>
          </w:p>
        </w:tc>
        <w:tc>
          <w:tcPr>
            <w:tcW w:w="491" w:type="pct"/>
            <w:tcBorders>
              <w:top w:val="nil"/>
              <w:left w:val="nil"/>
              <w:bottom w:val="nil"/>
              <w:right w:val="single" w:sz="8" w:space="0" w:color="auto"/>
            </w:tcBorders>
            <w:shd w:val="clear" w:color="auto" w:fill="auto"/>
            <w:noWrap/>
            <w:vAlign w:val="center"/>
          </w:tcPr>
          <w:p w14:paraId="0291657C" w14:textId="23902E38"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42</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797</w:t>
            </w:r>
          </w:p>
        </w:tc>
        <w:tc>
          <w:tcPr>
            <w:tcW w:w="491" w:type="pct"/>
            <w:tcBorders>
              <w:top w:val="nil"/>
              <w:left w:val="nil"/>
              <w:bottom w:val="nil"/>
              <w:right w:val="single" w:sz="8" w:space="0" w:color="auto"/>
            </w:tcBorders>
            <w:shd w:val="clear" w:color="auto" w:fill="auto"/>
            <w:noWrap/>
            <w:vAlign w:val="center"/>
          </w:tcPr>
          <w:p w14:paraId="1EEF08A9" w14:textId="05F76601"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44</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327</w:t>
            </w:r>
          </w:p>
        </w:tc>
        <w:tc>
          <w:tcPr>
            <w:tcW w:w="493" w:type="pct"/>
            <w:tcBorders>
              <w:top w:val="nil"/>
              <w:left w:val="nil"/>
              <w:bottom w:val="nil"/>
              <w:right w:val="nil"/>
            </w:tcBorders>
            <w:shd w:val="clear" w:color="auto" w:fill="auto"/>
            <w:noWrap/>
            <w:vAlign w:val="center"/>
          </w:tcPr>
          <w:p w14:paraId="532C013B" w14:textId="74FB4A5E"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57</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857</w:t>
            </w:r>
          </w:p>
        </w:tc>
      </w:tr>
      <w:tr w:rsidR="00271E01" w:rsidRPr="00271E01" w14:paraId="7AFDA3F8" w14:textId="77777777" w:rsidTr="00C12610">
        <w:trPr>
          <w:trHeight w:val="282"/>
        </w:trPr>
        <w:tc>
          <w:tcPr>
            <w:tcW w:w="2051" w:type="pct"/>
            <w:tcBorders>
              <w:top w:val="nil"/>
              <w:left w:val="nil"/>
              <w:bottom w:val="nil"/>
              <w:right w:val="nil"/>
            </w:tcBorders>
            <w:shd w:val="clear" w:color="auto" w:fill="auto"/>
            <w:noWrap/>
            <w:vAlign w:val="center"/>
            <w:hideMark/>
          </w:tcPr>
          <w:p w14:paraId="32E48C79" w14:textId="77777777" w:rsidR="00271E01" w:rsidRPr="006C123E" w:rsidRDefault="00271E01" w:rsidP="00917551">
            <w:pPr>
              <w:pStyle w:val="Zkladnodstavec"/>
              <w:spacing w:line="240" w:lineRule="auto"/>
              <w:jc w:val="both"/>
              <w:rPr>
                <w:rFonts w:cs="Arial"/>
                <w:sz w:val="16"/>
                <w:szCs w:val="16"/>
              </w:rPr>
            </w:pPr>
            <w:r>
              <w:rPr>
                <w:rFonts w:cs="Arial"/>
                <w:sz w:val="16"/>
                <w:szCs w:val="16"/>
              </w:rPr>
              <w:t xml:space="preserve">Zemřelí – ženy </w:t>
            </w:r>
          </w:p>
        </w:tc>
        <w:tc>
          <w:tcPr>
            <w:tcW w:w="490" w:type="pct"/>
            <w:tcBorders>
              <w:top w:val="nil"/>
              <w:left w:val="single" w:sz="8" w:space="0" w:color="auto"/>
              <w:bottom w:val="nil"/>
              <w:right w:val="single" w:sz="8" w:space="0" w:color="auto"/>
            </w:tcBorders>
            <w:shd w:val="clear" w:color="auto" w:fill="auto"/>
            <w:noWrap/>
            <w:vAlign w:val="center"/>
          </w:tcPr>
          <w:p w14:paraId="04EDDC12" w14:textId="7F2F4F8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45</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075</w:t>
            </w:r>
          </w:p>
        </w:tc>
        <w:tc>
          <w:tcPr>
            <w:tcW w:w="491" w:type="pct"/>
            <w:tcBorders>
              <w:top w:val="nil"/>
              <w:left w:val="nil"/>
              <w:bottom w:val="nil"/>
              <w:right w:val="single" w:sz="8" w:space="0" w:color="auto"/>
            </w:tcBorders>
            <w:shd w:val="clear" w:color="auto" w:fill="auto"/>
            <w:noWrap/>
            <w:vAlign w:val="center"/>
          </w:tcPr>
          <w:p w14:paraId="34205769" w14:textId="42C7AF15"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46</w:t>
            </w:r>
            <w:r w:rsidR="00DA4A03">
              <w:rPr>
                <w:rFonts w:asciiTheme="minorHAnsi" w:hAnsiTheme="minorHAnsi" w:cstheme="minorHAnsi"/>
                <w:sz w:val="16"/>
                <w:szCs w:val="16"/>
              </w:rPr>
              <w:t xml:space="preserve"> </w:t>
            </w:r>
            <w:r w:rsidRPr="00271E01">
              <w:rPr>
                <w:rFonts w:asciiTheme="minorHAnsi" w:hAnsiTheme="minorHAnsi" w:cstheme="minorHAnsi"/>
                <w:sz w:val="16"/>
                <w:szCs w:val="16"/>
              </w:rPr>
              <w:t>867</w:t>
            </w:r>
          </w:p>
        </w:tc>
        <w:tc>
          <w:tcPr>
            <w:tcW w:w="491" w:type="pct"/>
            <w:tcBorders>
              <w:top w:val="nil"/>
              <w:left w:val="nil"/>
              <w:bottom w:val="nil"/>
              <w:right w:val="single" w:sz="8" w:space="0" w:color="auto"/>
            </w:tcBorders>
            <w:shd w:val="clear" w:color="auto" w:fill="auto"/>
            <w:noWrap/>
            <w:vAlign w:val="center"/>
          </w:tcPr>
          <w:p w14:paraId="57C62BD0" w14:textId="31107B10"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48</w:t>
            </w:r>
            <w:r w:rsidR="00DA4A03">
              <w:rPr>
                <w:rFonts w:asciiTheme="minorHAnsi" w:hAnsiTheme="minorHAnsi" w:cstheme="minorHAnsi"/>
                <w:sz w:val="16"/>
                <w:szCs w:val="16"/>
              </w:rPr>
              <w:t xml:space="preserve"> </w:t>
            </w:r>
            <w:r w:rsidRPr="00271E01">
              <w:rPr>
                <w:rFonts w:asciiTheme="minorHAnsi" w:hAnsiTheme="minorHAnsi" w:cstheme="minorHAnsi"/>
                <w:sz w:val="16"/>
                <w:szCs w:val="16"/>
              </w:rPr>
              <w:t>612</w:t>
            </w:r>
          </w:p>
        </w:tc>
        <w:tc>
          <w:tcPr>
            <w:tcW w:w="491" w:type="pct"/>
            <w:tcBorders>
              <w:top w:val="nil"/>
              <w:left w:val="nil"/>
              <w:bottom w:val="nil"/>
              <w:right w:val="single" w:sz="8" w:space="0" w:color="auto"/>
            </w:tcBorders>
            <w:shd w:val="clear" w:color="auto" w:fill="auto"/>
            <w:noWrap/>
            <w:vAlign w:val="center"/>
          </w:tcPr>
          <w:p w14:paraId="688BAE24" w14:textId="7A81624C"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48</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700</w:t>
            </w:r>
          </w:p>
        </w:tc>
        <w:tc>
          <w:tcPr>
            <w:tcW w:w="491" w:type="pct"/>
            <w:tcBorders>
              <w:top w:val="nil"/>
              <w:left w:val="nil"/>
              <w:bottom w:val="nil"/>
              <w:right w:val="single" w:sz="8" w:space="0" w:color="auto"/>
            </w:tcBorders>
            <w:shd w:val="clear" w:color="auto" w:fill="auto"/>
            <w:noWrap/>
            <w:vAlign w:val="center"/>
          </w:tcPr>
          <w:p w14:paraId="51A48447" w14:textId="095C5298"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48</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779</w:t>
            </w:r>
          </w:p>
        </w:tc>
        <w:tc>
          <w:tcPr>
            <w:tcW w:w="493" w:type="pct"/>
            <w:tcBorders>
              <w:top w:val="nil"/>
              <w:left w:val="nil"/>
              <w:bottom w:val="nil"/>
              <w:right w:val="nil"/>
            </w:tcBorders>
            <w:shd w:val="clear" w:color="auto" w:fill="auto"/>
            <w:noWrap/>
            <w:vAlign w:val="center"/>
          </w:tcPr>
          <w:p w14:paraId="2F737288" w14:textId="6EC7E101"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59</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135</w:t>
            </w:r>
          </w:p>
        </w:tc>
      </w:tr>
      <w:tr w:rsidR="00271E01" w:rsidRPr="00271E01" w14:paraId="0439594A" w14:textId="77777777" w:rsidTr="00C12610">
        <w:trPr>
          <w:trHeight w:val="282"/>
        </w:trPr>
        <w:tc>
          <w:tcPr>
            <w:tcW w:w="2051" w:type="pct"/>
            <w:tcBorders>
              <w:top w:val="nil"/>
              <w:left w:val="nil"/>
              <w:bottom w:val="nil"/>
              <w:right w:val="nil"/>
            </w:tcBorders>
            <w:shd w:val="clear" w:color="auto" w:fill="auto"/>
            <w:noWrap/>
            <w:vAlign w:val="center"/>
          </w:tcPr>
          <w:p w14:paraId="6F8855C1" w14:textId="22110BD8" w:rsidR="00271E01" w:rsidRDefault="00B00538" w:rsidP="00917551">
            <w:pPr>
              <w:pStyle w:val="Zkladnodstavec"/>
              <w:spacing w:line="240" w:lineRule="auto"/>
              <w:jc w:val="both"/>
              <w:rPr>
                <w:rFonts w:cs="Arial"/>
                <w:sz w:val="16"/>
                <w:szCs w:val="16"/>
              </w:rPr>
            </w:pPr>
            <w:r>
              <w:rPr>
                <w:rFonts w:cs="Arial"/>
                <w:sz w:val="16"/>
                <w:szCs w:val="16"/>
              </w:rPr>
              <w:t>S</w:t>
            </w:r>
            <w:r w:rsidR="00271E01">
              <w:rPr>
                <w:rFonts w:cs="Arial"/>
                <w:sz w:val="16"/>
                <w:szCs w:val="16"/>
              </w:rPr>
              <w:t>těhování</w:t>
            </w:r>
            <w:r>
              <w:rPr>
                <w:rFonts w:cs="Arial"/>
                <w:sz w:val="16"/>
                <w:szCs w:val="16"/>
              </w:rPr>
              <w:t xml:space="preserve"> do jiné obce v ČR</w:t>
            </w:r>
            <w:r w:rsidR="00271E01">
              <w:rPr>
                <w:rFonts w:cs="Arial"/>
                <w:sz w:val="16"/>
                <w:szCs w:val="16"/>
              </w:rPr>
              <w:t xml:space="preserve"> – muži </w:t>
            </w:r>
          </w:p>
        </w:tc>
        <w:tc>
          <w:tcPr>
            <w:tcW w:w="490" w:type="pct"/>
            <w:tcBorders>
              <w:top w:val="nil"/>
              <w:left w:val="single" w:sz="8" w:space="0" w:color="auto"/>
              <w:bottom w:val="nil"/>
              <w:right w:val="single" w:sz="8" w:space="0" w:color="auto"/>
            </w:tcBorders>
            <w:shd w:val="clear" w:color="auto" w:fill="auto"/>
            <w:noWrap/>
            <w:vAlign w:val="center"/>
          </w:tcPr>
          <w:p w14:paraId="5C4EC645" w14:textId="5222F377"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4</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735</w:t>
            </w:r>
          </w:p>
        </w:tc>
        <w:tc>
          <w:tcPr>
            <w:tcW w:w="491" w:type="pct"/>
            <w:tcBorders>
              <w:top w:val="nil"/>
              <w:left w:val="nil"/>
              <w:bottom w:val="nil"/>
              <w:right w:val="single" w:sz="8" w:space="0" w:color="auto"/>
            </w:tcBorders>
            <w:shd w:val="clear" w:color="auto" w:fill="auto"/>
            <w:noWrap/>
            <w:vAlign w:val="center"/>
          </w:tcPr>
          <w:p w14:paraId="55193A54" w14:textId="7774A767"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4</w:t>
            </w:r>
            <w:r w:rsidR="00DA4A03">
              <w:rPr>
                <w:rFonts w:asciiTheme="minorHAnsi" w:hAnsiTheme="minorHAnsi" w:cstheme="minorHAnsi"/>
                <w:sz w:val="16"/>
                <w:szCs w:val="16"/>
              </w:rPr>
              <w:t xml:space="preserve"> </w:t>
            </w:r>
            <w:r w:rsidRPr="00271E01">
              <w:rPr>
                <w:rFonts w:asciiTheme="minorHAnsi" w:hAnsiTheme="minorHAnsi" w:cstheme="minorHAnsi"/>
                <w:sz w:val="16"/>
                <w:szCs w:val="16"/>
              </w:rPr>
              <w:t>967</w:t>
            </w:r>
          </w:p>
        </w:tc>
        <w:tc>
          <w:tcPr>
            <w:tcW w:w="491" w:type="pct"/>
            <w:tcBorders>
              <w:top w:val="nil"/>
              <w:left w:val="nil"/>
              <w:bottom w:val="nil"/>
              <w:right w:val="single" w:sz="8" w:space="0" w:color="auto"/>
            </w:tcBorders>
            <w:shd w:val="clear" w:color="auto" w:fill="auto"/>
            <w:noWrap/>
            <w:vAlign w:val="center"/>
          </w:tcPr>
          <w:p w14:paraId="43DF8C9F" w14:textId="250D24AB"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5</w:t>
            </w:r>
            <w:r w:rsidR="00DA4A03">
              <w:rPr>
                <w:rFonts w:asciiTheme="minorHAnsi" w:hAnsiTheme="minorHAnsi" w:cstheme="minorHAnsi"/>
                <w:sz w:val="16"/>
                <w:szCs w:val="16"/>
              </w:rPr>
              <w:t xml:space="preserve"> </w:t>
            </w:r>
            <w:r w:rsidRPr="00271E01">
              <w:rPr>
                <w:rFonts w:asciiTheme="minorHAnsi" w:hAnsiTheme="minorHAnsi" w:cstheme="minorHAnsi"/>
                <w:sz w:val="16"/>
                <w:szCs w:val="16"/>
              </w:rPr>
              <w:t>680</w:t>
            </w:r>
          </w:p>
        </w:tc>
        <w:tc>
          <w:tcPr>
            <w:tcW w:w="491" w:type="pct"/>
            <w:tcBorders>
              <w:top w:val="nil"/>
              <w:left w:val="nil"/>
              <w:bottom w:val="nil"/>
              <w:right w:val="single" w:sz="8" w:space="0" w:color="auto"/>
            </w:tcBorders>
            <w:shd w:val="clear" w:color="auto" w:fill="auto"/>
            <w:noWrap/>
            <w:vAlign w:val="center"/>
          </w:tcPr>
          <w:p w14:paraId="72227D03" w14:textId="488B1488"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5</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805</w:t>
            </w:r>
          </w:p>
        </w:tc>
        <w:tc>
          <w:tcPr>
            <w:tcW w:w="491" w:type="pct"/>
            <w:tcBorders>
              <w:top w:val="nil"/>
              <w:left w:val="nil"/>
              <w:bottom w:val="nil"/>
              <w:right w:val="single" w:sz="8" w:space="0" w:color="auto"/>
            </w:tcBorders>
            <w:shd w:val="clear" w:color="auto" w:fill="auto"/>
            <w:noWrap/>
            <w:vAlign w:val="center"/>
          </w:tcPr>
          <w:p w14:paraId="3022C058" w14:textId="7CFCE3D3"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5</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485</w:t>
            </w:r>
          </w:p>
        </w:tc>
        <w:tc>
          <w:tcPr>
            <w:tcW w:w="493" w:type="pct"/>
            <w:tcBorders>
              <w:top w:val="nil"/>
              <w:left w:val="nil"/>
              <w:bottom w:val="nil"/>
              <w:right w:val="nil"/>
            </w:tcBorders>
            <w:shd w:val="clear" w:color="auto" w:fill="auto"/>
            <w:noWrap/>
            <w:vAlign w:val="center"/>
          </w:tcPr>
          <w:p w14:paraId="4039CB4F" w14:textId="1996007D"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6</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310</w:t>
            </w:r>
          </w:p>
        </w:tc>
      </w:tr>
      <w:tr w:rsidR="00271E01" w:rsidRPr="00271E01" w14:paraId="4579C042" w14:textId="77777777" w:rsidTr="00C12610">
        <w:trPr>
          <w:trHeight w:val="282"/>
        </w:trPr>
        <w:tc>
          <w:tcPr>
            <w:tcW w:w="2051" w:type="pct"/>
            <w:tcBorders>
              <w:top w:val="nil"/>
              <w:left w:val="nil"/>
              <w:bottom w:val="nil"/>
              <w:right w:val="nil"/>
            </w:tcBorders>
            <w:shd w:val="clear" w:color="auto" w:fill="auto"/>
            <w:noWrap/>
            <w:vAlign w:val="center"/>
          </w:tcPr>
          <w:p w14:paraId="27231937" w14:textId="49653901" w:rsidR="00271E01" w:rsidRDefault="00B00538" w:rsidP="00917551">
            <w:pPr>
              <w:pStyle w:val="Zkladnodstavec"/>
              <w:spacing w:line="240" w:lineRule="auto"/>
              <w:jc w:val="both"/>
              <w:rPr>
                <w:rFonts w:cs="Arial"/>
                <w:sz w:val="16"/>
                <w:szCs w:val="16"/>
              </w:rPr>
            </w:pPr>
            <w:r>
              <w:rPr>
                <w:rFonts w:cs="Arial"/>
                <w:sz w:val="16"/>
                <w:szCs w:val="16"/>
              </w:rPr>
              <w:t>S</w:t>
            </w:r>
            <w:r w:rsidR="00271E01">
              <w:rPr>
                <w:rFonts w:cs="Arial"/>
                <w:sz w:val="16"/>
                <w:szCs w:val="16"/>
              </w:rPr>
              <w:t>těhování</w:t>
            </w:r>
            <w:r>
              <w:rPr>
                <w:rFonts w:cs="Arial"/>
                <w:sz w:val="16"/>
                <w:szCs w:val="16"/>
              </w:rPr>
              <w:t xml:space="preserve"> do jiné obce v ČR</w:t>
            </w:r>
            <w:r w:rsidR="00271E01">
              <w:rPr>
                <w:rFonts w:cs="Arial"/>
                <w:sz w:val="16"/>
                <w:szCs w:val="16"/>
              </w:rPr>
              <w:t xml:space="preserve"> – ženy </w:t>
            </w:r>
          </w:p>
        </w:tc>
        <w:tc>
          <w:tcPr>
            <w:tcW w:w="490" w:type="pct"/>
            <w:tcBorders>
              <w:top w:val="nil"/>
              <w:left w:val="single" w:sz="8" w:space="0" w:color="auto"/>
              <w:bottom w:val="nil"/>
              <w:right w:val="single" w:sz="8" w:space="0" w:color="auto"/>
            </w:tcBorders>
            <w:shd w:val="clear" w:color="auto" w:fill="auto"/>
            <w:noWrap/>
            <w:vAlign w:val="center"/>
          </w:tcPr>
          <w:p w14:paraId="088B28B4" w14:textId="4CFC4459"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8</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778</w:t>
            </w:r>
          </w:p>
        </w:tc>
        <w:tc>
          <w:tcPr>
            <w:tcW w:w="491" w:type="pct"/>
            <w:tcBorders>
              <w:top w:val="nil"/>
              <w:left w:val="nil"/>
              <w:bottom w:val="nil"/>
              <w:right w:val="single" w:sz="8" w:space="0" w:color="auto"/>
            </w:tcBorders>
            <w:shd w:val="clear" w:color="auto" w:fill="auto"/>
            <w:noWrap/>
            <w:vAlign w:val="center"/>
          </w:tcPr>
          <w:p w14:paraId="5DA52D13" w14:textId="37B060CE"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9</w:t>
            </w:r>
            <w:r w:rsidR="00DA4A03">
              <w:rPr>
                <w:rFonts w:asciiTheme="minorHAnsi" w:hAnsiTheme="minorHAnsi" w:cstheme="minorHAnsi"/>
                <w:sz w:val="16"/>
                <w:szCs w:val="16"/>
              </w:rPr>
              <w:t xml:space="preserve"> </w:t>
            </w:r>
            <w:r w:rsidRPr="00271E01">
              <w:rPr>
                <w:rFonts w:asciiTheme="minorHAnsi" w:hAnsiTheme="minorHAnsi" w:cstheme="minorHAnsi"/>
                <w:sz w:val="16"/>
                <w:szCs w:val="16"/>
              </w:rPr>
              <w:t>016</w:t>
            </w:r>
          </w:p>
        </w:tc>
        <w:tc>
          <w:tcPr>
            <w:tcW w:w="491" w:type="pct"/>
            <w:tcBorders>
              <w:top w:val="nil"/>
              <w:left w:val="nil"/>
              <w:bottom w:val="nil"/>
              <w:right w:val="single" w:sz="8" w:space="0" w:color="auto"/>
            </w:tcBorders>
            <w:shd w:val="clear" w:color="auto" w:fill="auto"/>
            <w:noWrap/>
            <w:vAlign w:val="center"/>
          </w:tcPr>
          <w:p w14:paraId="24BF07C6" w14:textId="42850A35" w:rsidR="00271E01" w:rsidRPr="00271E01" w:rsidRDefault="00271E01" w:rsidP="00917551">
            <w:pPr>
              <w:spacing w:after="0" w:line="240" w:lineRule="auto"/>
              <w:jc w:val="right"/>
              <w:rPr>
                <w:rFonts w:asciiTheme="minorHAnsi" w:hAnsiTheme="minorHAnsi" w:cstheme="minorHAnsi"/>
                <w:sz w:val="16"/>
                <w:szCs w:val="16"/>
              </w:rPr>
            </w:pPr>
            <w:r w:rsidRPr="00271E01">
              <w:rPr>
                <w:rFonts w:asciiTheme="minorHAnsi" w:hAnsiTheme="minorHAnsi" w:cstheme="minorHAnsi"/>
                <w:sz w:val="16"/>
                <w:szCs w:val="16"/>
              </w:rPr>
              <w:t>9</w:t>
            </w:r>
            <w:r w:rsidR="00DA4A03">
              <w:rPr>
                <w:rFonts w:asciiTheme="minorHAnsi" w:hAnsiTheme="minorHAnsi" w:cstheme="minorHAnsi"/>
                <w:sz w:val="16"/>
                <w:szCs w:val="16"/>
              </w:rPr>
              <w:t xml:space="preserve"> </w:t>
            </w:r>
            <w:r w:rsidRPr="00271E01">
              <w:rPr>
                <w:rFonts w:asciiTheme="minorHAnsi" w:hAnsiTheme="minorHAnsi" w:cstheme="minorHAnsi"/>
                <w:sz w:val="16"/>
                <w:szCs w:val="16"/>
              </w:rPr>
              <w:t>992</w:t>
            </w:r>
          </w:p>
        </w:tc>
        <w:tc>
          <w:tcPr>
            <w:tcW w:w="491" w:type="pct"/>
            <w:tcBorders>
              <w:top w:val="nil"/>
              <w:left w:val="nil"/>
              <w:bottom w:val="nil"/>
              <w:right w:val="single" w:sz="8" w:space="0" w:color="auto"/>
            </w:tcBorders>
            <w:shd w:val="clear" w:color="auto" w:fill="auto"/>
            <w:noWrap/>
            <w:vAlign w:val="center"/>
          </w:tcPr>
          <w:p w14:paraId="4F99F08D" w14:textId="3E1CD488"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9</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726</w:t>
            </w:r>
          </w:p>
        </w:tc>
        <w:tc>
          <w:tcPr>
            <w:tcW w:w="491" w:type="pct"/>
            <w:tcBorders>
              <w:top w:val="nil"/>
              <w:left w:val="nil"/>
              <w:bottom w:val="nil"/>
              <w:right w:val="single" w:sz="8" w:space="0" w:color="auto"/>
            </w:tcBorders>
            <w:shd w:val="clear" w:color="auto" w:fill="auto"/>
            <w:noWrap/>
            <w:vAlign w:val="center"/>
          </w:tcPr>
          <w:p w14:paraId="5FAE1ED9" w14:textId="79977A6C"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8</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834</w:t>
            </w:r>
          </w:p>
        </w:tc>
        <w:tc>
          <w:tcPr>
            <w:tcW w:w="493" w:type="pct"/>
            <w:tcBorders>
              <w:top w:val="nil"/>
              <w:left w:val="nil"/>
              <w:bottom w:val="nil"/>
              <w:right w:val="nil"/>
            </w:tcBorders>
            <w:shd w:val="clear" w:color="auto" w:fill="auto"/>
            <w:noWrap/>
            <w:vAlign w:val="center"/>
          </w:tcPr>
          <w:p w14:paraId="35E24B91" w14:textId="6E09FBAB" w:rsidR="00271E01" w:rsidRPr="00271E01" w:rsidRDefault="00271E01" w:rsidP="00917551">
            <w:pPr>
              <w:spacing w:after="0" w:line="240" w:lineRule="auto"/>
              <w:jc w:val="right"/>
              <w:rPr>
                <w:rFonts w:asciiTheme="minorHAnsi" w:hAnsiTheme="minorHAnsi" w:cstheme="minorHAnsi"/>
                <w:color w:val="000000"/>
                <w:sz w:val="16"/>
                <w:szCs w:val="16"/>
              </w:rPr>
            </w:pPr>
            <w:r w:rsidRPr="00271E01">
              <w:rPr>
                <w:rFonts w:asciiTheme="minorHAnsi" w:hAnsiTheme="minorHAnsi" w:cstheme="minorHAnsi"/>
                <w:color w:val="000000"/>
                <w:sz w:val="16"/>
                <w:szCs w:val="16"/>
              </w:rPr>
              <w:t>10</w:t>
            </w:r>
            <w:r w:rsidR="00DA4A03">
              <w:rPr>
                <w:rFonts w:asciiTheme="minorHAnsi" w:hAnsiTheme="minorHAnsi" w:cstheme="minorHAnsi"/>
                <w:color w:val="000000"/>
                <w:sz w:val="16"/>
                <w:szCs w:val="16"/>
              </w:rPr>
              <w:t xml:space="preserve"> </w:t>
            </w:r>
            <w:r w:rsidRPr="00271E01">
              <w:rPr>
                <w:rFonts w:asciiTheme="minorHAnsi" w:hAnsiTheme="minorHAnsi" w:cstheme="minorHAnsi"/>
                <w:color w:val="000000"/>
                <w:sz w:val="16"/>
                <w:szCs w:val="16"/>
              </w:rPr>
              <w:t>061</w:t>
            </w:r>
          </w:p>
        </w:tc>
      </w:tr>
      <w:tr w:rsidR="005E0A26" w:rsidRPr="006C123E" w14:paraId="6E45A6CB" w14:textId="77777777" w:rsidTr="00C12610">
        <w:trPr>
          <w:trHeight w:val="170"/>
        </w:trPr>
        <w:tc>
          <w:tcPr>
            <w:tcW w:w="2051" w:type="pct"/>
            <w:tcBorders>
              <w:top w:val="nil"/>
              <w:left w:val="nil"/>
              <w:bottom w:val="nil"/>
              <w:right w:val="nil"/>
            </w:tcBorders>
            <w:shd w:val="clear" w:color="auto" w:fill="auto"/>
            <w:vAlign w:val="center"/>
            <w:hideMark/>
          </w:tcPr>
          <w:p w14:paraId="6AD181DC" w14:textId="77777777" w:rsidR="005E0A26" w:rsidRPr="006C123E" w:rsidRDefault="005E0A26" w:rsidP="00917551">
            <w:pPr>
              <w:pStyle w:val="Zkladnodstavec"/>
              <w:spacing w:line="240" w:lineRule="auto"/>
              <w:jc w:val="both"/>
              <w:rPr>
                <w:rFonts w:cs="Arial"/>
                <w:sz w:val="16"/>
                <w:szCs w:val="16"/>
              </w:rPr>
            </w:pPr>
          </w:p>
        </w:tc>
        <w:tc>
          <w:tcPr>
            <w:tcW w:w="490" w:type="pct"/>
            <w:tcBorders>
              <w:top w:val="nil"/>
              <w:left w:val="nil"/>
              <w:bottom w:val="nil"/>
              <w:right w:val="nil"/>
            </w:tcBorders>
            <w:shd w:val="clear" w:color="auto" w:fill="auto"/>
            <w:noWrap/>
            <w:vAlign w:val="bottom"/>
            <w:hideMark/>
          </w:tcPr>
          <w:p w14:paraId="026FC59E" w14:textId="77777777" w:rsidR="005E0A26" w:rsidRPr="006C123E" w:rsidRDefault="005E0A26" w:rsidP="00917551">
            <w:pPr>
              <w:pStyle w:val="Zkladnodstavec"/>
              <w:spacing w:line="240" w:lineRule="auto"/>
              <w:jc w:val="both"/>
              <w:rPr>
                <w:rFonts w:cs="Arial"/>
                <w:sz w:val="16"/>
                <w:szCs w:val="16"/>
              </w:rPr>
            </w:pPr>
          </w:p>
        </w:tc>
        <w:tc>
          <w:tcPr>
            <w:tcW w:w="491" w:type="pct"/>
            <w:tcBorders>
              <w:top w:val="nil"/>
              <w:left w:val="nil"/>
              <w:bottom w:val="nil"/>
              <w:right w:val="nil"/>
            </w:tcBorders>
            <w:shd w:val="clear" w:color="auto" w:fill="auto"/>
            <w:noWrap/>
            <w:vAlign w:val="bottom"/>
            <w:hideMark/>
          </w:tcPr>
          <w:p w14:paraId="14FCF912" w14:textId="77777777" w:rsidR="005E0A26" w:rsidRPr="006C123E" w:rsidRDefault="005E0A26" w:rsidP="00917551">
            <w:pPr>
              <w:pStyle w:val="Zkladnodstavec"/>
              <w:spacing w:line="240" w:lineRule="auto"/>
              <w:jc w:val="both"/>
              <w:rPr>
                <w:rFonts w:cs="Arial"/>
                <w:sz w:val="16"/>
                <w:szCs w:val="16"/>
              </w:rPr>
            </w:pPr>
          </w:p>
        </w:tc>
        <w:tc>
          <w:tcPr>
            <w:tcW w:w="491" w:type="pct"/>
            <w:tcBorders>
              <w:top w:val="nil"/>
              <w:left w:val="nil"/>
              <w:bottom w:val="nil"/>
              <w:right w:val="nil"/>
            </w:tcBorders>
            <w:shd w:val="clear" w:color="auto" w:fill="auto"/>
            <w:noWrap/>
            <w:vAlign w:val="bottom"/>
            <w:hideMark/>
          </w:tcPr>
          <w:p w14:paraId="47EBE3A2" w14:textId="77777777" w:rsidR="005E0A26" w:rsidRPr="006C123E" w:rsidRDefault="005E0A26" w:rsidP="00917551">
            <w:pPr>
              <w:pStyle w:val="Zkladnodstavec"/>
              <w:spacing w:line="240" w:lineRule="auto"/>
              <w:jc w:val="both"/>
              <w:rPr>
                <w:rFonts w:cs="Arial"/>
                <w:sz w:val="16"/>
                <w:szCs w:val="16"/>
              </w:rPr>
            </w:pPr>
          </w:p>
        </w:tc>
        <w:tc>
          <w:tcPr>
            <w:tcW w:w="491" w:type="pct"/>
            <w:tcBorders>
              <w:top w:val="nil"/>
              <w:left w:val="nil"/>
              <w:bottom w:val="nil"/>
              <w:right w:val="nil"/>
            </w:tcBorders>
            <w:shd w:val="clear" w:color="auto" w:fill="auto"/>
            <w:noWrap/>
            <w:vAlign w:val="bottom"/>
            <w:hideMark/>
          </w:tcPr>
          <w:p w14:paraId="3F88A241" w14:textId="77777777" w:rsidR="005E0A26" w:rsidRPr="006C123E" w:rsidRDefault="005E0A26" w:rsidP="00917551">
            <w:pPr>
              <w:pStyle w:val="Zkladnodstavec"/>
              <w:spacing w:line="240" w:lineRule="auto"/>
              <w:jc w:val="both"/>
              <w:rPr>
                <w:rFonts w:cs="Arial"/>
                <w:sz w:val="16"/>
                <w:szCs w:val="16"/>
              </w:rPr>
            </w:pPr>
          </w:p>
        </w:tc>
        <w:tc>
          <w:tcPr>
            <w:tcW w:w="491" w:type="pct"/>
            <w:tcBorders>
              <w:top w:val="nil"/>
              <w:left w:val="nil"/>
              <w:bottom w:val="nil"/>
              <w:right w:val="nil"/>
            </w:tcBorders>
            <w:shd w:val="clear" w:color="auto" w:fill="auto"/>
            <w:noWrap/>
            <w:vAlign w:val="bottom"/>
            <w:hideMark/>
          </w:tcPr>
          <w:p w14:paraId="77C580BC" w14:textId="77777777" w:rsidR="005E0A26" w:rsidRPr="006C123E" w:rsidRDefault="005E0A26" w:rsidP="00917551">
            <w:pPr>
              <w:pStyle w:val="Zkladnodstavec"/>
              <w:spacing w:line="240" w:lineRule="auto"/>
              <w:jc w:val="both"/>
              <w:rPr>
                <w:rFonts w:cs="Arial"/>
                <w:sz w:val="16"/>
                <w:szCs w:val="16"/>
              </w:rPr>
            </w:pPr>
          </w:p>
        </w:tc>
        <w:tc>
          <w:tcPr>
            <w:tcW w:w="493" w:type="pct"/>
            <w:tcBorders>
              <w:top w:val="nil"/>
              <w:left w:val="nil"/>
              <w:bottom w:val="nil"/>
              <w:right w:val="nil"/>
            </w:tcBorders>
            <w:shd w:val="clear" w:color="auto" w:fill="auto"/>
            <w:noWrap/>
            <w:vAlign w:val="bottom"/>
            <w:hideMark/>
          </w:tcPr>
          <w:p w14:paraId="6EE8A66D" w14:textId="77777777" w:rsidR="005E0A26" w:rsidRPr="006C123E" w:rsidRDefault="005E0A26" w:rsidP="00917551">
            <w:pPr>
              <w:pStyle w:val="Zkladnodstavec"/>
              <w:spacing w:line="240" w:lineRule="auto"/>
              <w:jc w:val="both"/>
              <w:rPr>
                <w:rFonts w:cs="Arial"/>
                <w:sz w:val="16"/>
                <w:szCs w:val="16"/>
              </w:rPr>
            </w:pPr>
          </w:p>
        </w:tc>
      </w:tr>
      <w:tr w:rsidR="005E0A26" w:rsidRPr="00FC56DE" w14:paraId="4666ED67" w14:textId="77777777" w:rsidTr="00271E01">
        <w:trPr>
          <w:trHeight w:hRule="exact" w:val="284"/>
        </w:trPr>
        <w:tc>
          <w:tcPr>
            <w:tcW w:w="5000" w:type="pct"/>
            <w:gridSpan w:val="7"/>
            <w:tcBorders>
              <w:top w:val="nil"/>
              <w:left w:val="nil"/>
              <w:bottom w:val="nil"/>
              <w:right w:val="nil"/>
            </w:tcBorders>
            <w:shd w:val="clear" w:color="auto" w:fill="auto"/>
            <w:noWrap/>
            <w:vAlign w:val="bottom"/>
            <w:hideMark/>
          </w:tcPr>
          <w:p w14:paraId="011CBC0D" w14:textId="77777777" w:rsidR="005E0A26" w:rsidRPr="00DA4A03" w:rsidRDefault="005E0A26" w:rsidP="00917551">
            <w:pPr>
              <w:pStyle w:val="Zkladnodstavec"/>
              <w:spacing w:line="240" w:lineRule="auto"/>
              <w:jc w:val="both"/>
              <w:rPr>
                <w:rFonts w:cs="Arial"/>
                <w:i/>
                <w:sz w:val="18"/>
                <w:szCs w:val="18"/>
              </w:rPr>
            </w:pPr>
            <w:r w:rsidRPr="00DA4A03">
              <w:rPr>
                <w:rFonts w:cs="Arial"/>
                <w:i/>
                <w:sz w:val="18"/>
                <w:szCs w:val="18"/>
              </w:rPr>
              <w:t>Zdroj: ČSÚ</w:t>
            </w:r>
          </w:p>
        </w:tc>
      </w:tr>
    </w:tbl>
    <w:p w14:paraId="1BBD51B0" w14:textId="77777777" w:rsidR="009628B9" w:rsidRDefault="009628B9" w:rsidP="00917551">
      <w:pPr>
        <w:spacing w:after="60" w:line="240" w:lineRule="auto"/>
        <w:jc w:val="both"/>
      </w:pPr>
    </w:p>
    <w:p w14:paraId="56148DFB" w14:textId="0919E285" w:rsidR="003A1792" w:rsidRDefault="003A1792" w:rsidP="00630C07">
      <w:pPr>
        <w:pStyle w:val="Nadpis3"/>
        <w:numPr>
          <w:ilvl w:val="2"/>
          <w:numId w:val="15"/>
        </w:numPr>
        <w:spacing w:after="240"/>
        <w:ind w:left="1077"/>
      </w:pPr>
      <w:bookmarkStart w:id="10" w:name="_Toc121211616"/>
      <w:r>
        <w:t>Narození dítěte</w:t>
      </w:r>
      <w:bookmarkEnd w:id="10"/>
    </w:p>
    <w:p w14:paraId="6D97C0BB" w14:textId="09B802A1" w:rsidR="00630C07" w:rsidRDefault="002F7BD0" w:rsidP="00917551">
      <w:pPr>
        <w:spacing w:line="240" w:lineRule="auto"/>
        <w:jc w:val="both"/>
      </w:pPr>
      <w:r>
        <w:t>Ve statistice narozených dětí přirozeně nelze nalézt žádné záznamy o</w:t>
      </w:r>
      <w:r w:rsidR="00DA4A03">
        <w:t> </w:t>
      </w:r>
      <w:r>
        <w:t>novém mateřství žen po dosažení 65 let věku, mužů tohoto věku uvedených v hlášení o narození jako otec dítěte je však každoročně několik desítek.</w:t>
      </w:r>
      <w:r w:rsidR="000A44AD">
        <w:t xml:space="preserve"> V roce 2021 mělo takto leti</w:t>
      </w:r>
      <w:r w:rsidR="00DA4A03">
        <w:t>t</w:t>
      </w:r>
      <w:r w:rsidR="000A44AD">
        <w:t xml:space="preserve">ého otce uvedeno 38 živě narozených dětí, maximum posledního desetiletí připadlo na rok 2017, kdy šlo o 62 novorozenců s otcem </w:t>
      </w:r>
      <w:r w:rsidR="00DA4A03">
        <w:t xml:space="preserve">ve věku </w:t>
      </w:r>
      <w:r w:rsidR="000A44AD">
        <w:t>od 65 let výše.</w:t>
      </w:r>
    </w:p>
    <w:p w14:paraId="734987AB" w14:textId="77777777" w:rsidR="00630C07" w:rsidRDefault="00630C07">
      <w:pPr>
        <w:spacing w:after="0" w:line="240" w:lineRule="auto"/>
      </w:pPr>
      <w:r>
        <w:br w:type="page"/>
      </w:r>
    </w:p>
    <w:p w14:paraId="71C9AB02" w14:textId="5A71E486" w:rsidR="003A1792" w:rsidRDefault="003A1792" w:rsidP="00630C07">
      <w:pPr>
        <w:pStyle w:val="Nadpis3"/>
        <w:numPr>
          <w:ilvl w:val="2"/>
          <w:numId w:val="15"/>
        </w:numPr>
        <w:spacing w:after="240"/>
        <w:ind w:left="1077"/>
      </w:pPr>
      <w:bookmarkStart w:id="11" w:name="_Toc121211617"/>
      <w:r>
        <w:lastRenderedPageBreak/>
        <w:t>Stěhování</w:t>
      </w:r>
      <w:bookmarkEnd w:id="11"/>
    </w:p>
    <w:p w14:paraId="60B26D47" w14:textId="0453AED5" w:rsidR="002F7BD0" w:rsidRDefault="002F7BD0" w:rsidP="00917551">
      <w:pPr>
        <w:pStyle w:val="Nadpis3"/>
        <w:spacing w:after="240" w:line="240" w:lineRule="auto"/>
        <w:jc w:val="both"/>
        <w:rPr>
          <w:rFonts w:eastAsia="Times New Roman"/>
          <w:b w:val="0"/>
          <w:bCs w:val="0"/>
          <w:color w:val="auto"/>
          <w:sz w:val="20"/>
        </w:rPr>
      </w:pPr>
      <w:bookmarkStart w:id="12" w:name="_Toc120796017"/>
      <w:bookmarkStart w:id="13" w:name="_Toc121211618"/>
      <w:r>
        <w:rPr>
          <w:rFonts w:eastAsia="Times New Roman"/>
          <w:b w:val="0"/>
          <w:bCs w:val="0"/>
          <w:color w:val="auto"/>
          <w:sz w:val="20"/>
        </w:rPr>
        <w:t>S</w:t>
      </w:r>
      <w:r w:rsidRPr="002F7BD0">
        <w:rPr>
          <w:rFonts w:eastAsia="Times New Roman"/>
          <w:b w:val="0"/>
          <w:bCs w:val="0"/>
          <w:color w:val="auto"/>
          <w:sz w:val="20"/>
        </w:rPr>
        <w:t xml:space="preserve">enioři </w:t>
      </w:r>
      <w:r>
        <w:rPr>
          <w:rFonts w:eastAsia="Times New Roman"/>
          <w:b w:val="0"/>
          <w:bCs w:val="0"/>
          <w:color w:val="auto"/>
          <w:sz w:val="20"/>
        </w:rPr>
        <w:t xml:space="preserve">se </w:t>
      </w:r>
      <w:r w:rsidRPr="002F7BD0">
        <w:rPr>
          <w:rFonts w:eastAsia="Times New Roman"/>
          <w:b w:val="0"/>
          <w:bCs w:val="0"/>
          <w:color w:val="auto"/>
          <w:sz w:val="20"/>
        </w:rPr>
        <w:t xml:space="preserve">také stěhují, resp. mění své </w:t>
      </w:r>
      <w:r w:rsidR="00204485">
        <w:rPr>
          <w:rFonts w:eastAsia="Times New Roman"/>
          <w:b w:val="0"/>
          <w:bCs w:val="0"/>
          <w:color w:val="auto"/>
          <w:sz w:val="20"/>
        </w:rPr>
        <w:t xml:space="preserve">registrované </w:t>
      </w:r>
      <w:r w:rsidRPr="002F7BD0">
        <w:rPr>
          <w:rFonts w:eastAsia="Times New Roman"/>
          <w:b w:val="0"/>
          <w:bCs w:val="0"/>
          <w:color w:val="auto"/>
          <w:sz w:val="20"/>
        </w:rPr>
        <w:t xml:space="preserve">bydliště. Data přitom ukazují, že intenzita stěhování po území Česka se po 75. roce věku mírně zvyšuje – </w:t>
      </w:r>
      <w:r w:rsidR="00671A46">
        <w:rPr>
          <w:rFonts w:eastAsia="Times New Roman"/>
          <w:b w:val="0"/>
          <w:bCs w:val="0"/>
          <w:color w:val="auto"/>
          <w:sz w:val="20"/>
        </w:rPr>
        <w:t>pravděpodobně</w:t>
      </w:r>
      <w:r w:rsidRPr="002F7BD0">
        <w:rPr>
          <w:rFonts w:eastAsia="Times New Roman"/>
          <w:b w:val="0"/>
          <w:bCs w:val="0"/>
          <w:color w:val="auto"/>
          <w:sz w:val="20"/>
        </w:rPr>
        <w:t xml:space="preserve"> jde o důsledek stěhování do menšího obydlí, k</w:t>
      </w:r>
      <w:r w:rsidR="000A44AD">
        <w:rPr>
          <w:rFonts w:eastAsia="Times New Roman"/>
          <w:b w:val="0"/>
          <w:bCs w:val="0"/>
          <w:color w:val="auto"/>
          <w:sz w:val="20"/>
        </w:rPr>
        <w:t> </w:t>
      </w:r>
      <w:r w:rsidRPr="002F7BD0">
        <w:rPr>
          <w:rFonts w:eastAsia="Times New Roman"/>
          <w:b w:val="0"/>
          <w:bCs w:val="0"/>
          <w:color w:val="auto"/>
          <w:sz w:val="20"/>
        </w:rPr>
        <w:t>rodinným příslušníkům či do zařízení sociální péče, nicméně důvod stěhování statistika nezjišťuje.</w:t>
      </w:r>
      <w:r w:rsidR="005E0A26">
        <w:rPr>
          <w:rFonts w:eastAsia="Times New Roman"/>
          <w:b w:val="0"/>
          <w:bCs w:val="0"/>
          <w:color w:val="auto"/>
          <w:sz w:val="20"/>
        </w:rPr>
        <w:t xml:space="preserve"> </w:t>
      </w:r>
      <w:r w:rsidR="005E0A26" w:rsidRPr="00390502">
        <w:rPr>
          <w:rFonts w:eastAsia="Times New Roman"/>
          <w:b w:val="0"/>
          <w:bCs w:val="0"/>
          <w:color w:val="auto"/>
          <w:sz w:val="20"/>
        </w:rPr>
        <w:t xml:space="preserve">V roce 2021 nahlásilo změnu </w:t>
      </w:r>
      <w:r w:rsidR="00204485" w:rsidRPr="00390502">
        <w:rPr>
          <w:rFonts w:eastAsia="Times New Roman"/>
          <w:b w:val="0"/>
          <w:bCs w:val="0"/>
          <w:color w:val="auto"/>
          <w:sz w:val="20"/>
        </w:rPr>
        <w:t xml:space="preserve">obce </w:t>
      </w:r>
      <w:r w:rsidR="00616A6A" w:rsidRPr="00390502">
        <w:rPr>
          <w:rFonts w:eastAsia="Times New Roman"/>
          <w:b w:val="0"/>
          <w:bCs w:val="0"/>
          <w:color w:val="auto"/>
          <w:sz w:val="20"/>
        </w:rPr>
        <w:t xml:space="preserve">svého bydliště </w:t>
      </w:r>
      <w:r w:rsidR="005E0A26" w:rsidRPr="00390502">
        <w:rPr>
          <w:rFonts w:eastAsia="Times New Roman"/>
          <w:b w:val="0"/>
          <w:bCs w:val="0"/>
          <w:color w:val="auto"/>
          <w:sz w:val="20"/>
        </w:rPr>
        <w:t>v rámci České republiky 16,4</w:t>
      </w:r>
      <w:r w:rsidR="00404D6A" w:rsidRPr="00390502">
        <w:rPr>
          <w:rFonts w:eastAsia="Times New Roman"/>
          <w:b w:val="0"/>
          <w:bCs w:val="0"/>
          <w:color w:val="auto"/>
          <w:sz w:val="20"/>
        </w:rPr>
        <w:t xml:space="preserve"> </w:t>
      </w:r>
      <w:r w:rsidR="005E0A26" w:rsidRPr="00390502">
        <w:rPr>
          <w:rFonts w:eastAsia="Times New Roman"/>
          <w:b w:val="0"/>
          <w:bCs w:val="0"/>
          <w:color w:val="auto"/>
          <w:sz w:val="20"/>
        </w:rPr>
        <w:t>tisíce obyvatel</w:t>
      </w:r>
      <w:r w:rsidR="00404D6A" w:rsidRPr="00390502">
        <w:rPr>
          <w:rFonts w:eastAsia="Times New Roman"/>
          <w:b w:val="0"/>
          <w:bCs w:val="0"/>
          <w:color w:val="auto"/>
          <w:sz w:val="20"/>
        </w:rPr>
        <w:t>, kteří již</w:t>
      </w:r>
      <w:r w:rsidR="005E0A26" w:rsidRPr="00390502">
        <w:rPr>
          <w:rFonts w:eastAsia="Times New Roman"/>
          <w:b w:val="0"/>
          <w:bCs w:val="0"/>
          <w:color w:val="auto"/>
          <w:sz w:val="20"/>
        </w:rPr>
        <w:t xml:space="preserve"> </w:t>
      </w:r>
      <w:r w:rsidR="00404D6A" w:rsidRPr="00390502">
        <w:rPr>
          <w:rFonts w:eastAsia="Times New Roman"/>
          <w:b w:val="0"/>
          <w:bCs w:val="0"/>
          <w:color w:val="auto"/>
          <w:sz w:val="20"/>
        </w:rPr>
        <w:t xml:space="preserve">přesáhli </w:t>
      </w:r>
      <w:r w:rsidR="005E0A26" w:rsidRPr="00390502">
        <w:rPr>
          <w:rFonts w:eastAsia="Times New Roman"/>
          <w:b w:val="0"/>
          <w:bCs w:val="0"/>
          <w:color w:val="auto"/>
          <w:sz w:val="20"/>
        </w:rPr>
        <w:t>věk 65</w:t>
      </w:r>
      <w:r w:rsidR="00C12610">
        <w:rPr>
          <w:rFonts w:eastAsia="Times New Roman"/>
          <w:b w:val="0"/>
          <w:bCs w:val="0"/>
          <w:color w:val="auto"/>
          <w:sz w:val="20"/>
        </w:rPr>
        <w:t> </w:t>
      </w:r>
      <w:r w:rsidR="005E0A26" w:rsidRPr="00390502">
        <w:rPr>
          <w:rFonts w:eastAsia="Times New Roman"/>
          <w:b w:val="0"/>
          <w:bCs w:val="0"/>
          <w:color w:val="auto"/>
          <w:sz w:val="20"/>
        </w:rPr>
        <w:t>let</w:t>
      </w:r>
      <w:r w:rsidR="00C12610">
        <w:rPr>
          <w:rFonts w:eastAsia="Times New Roman"/>
          <w:b w:val="0"/>
          <w:bCs w:val="0"/>
          <w:color w:val="auto"/>
          <w:sz w:val="20"/>
        </w:rPr>
        <w:t>,</w:t>
      </w:r>
      <w:r w:rsidR="00404D6A" w:rsidRPr="00390502">
        <w:rPr>
          <w:rFonts w:eastAsia="Times New Roman"/>
          <w:b w:val="0"/>
          <w:bCs w:val="0"/>
          <w:color w:val="auto"/>
          <w:sz w:val="20"/>
        </w:rPr>
        <w:t xml:space="preserve"> </w:t>
      </w:r>
      <w:r w:rsidR="00204485" w:rsidRPr="00390502">
        <w:rPr>
          <w:rFonts w:eastAsia="Times New Roman"/>
          <w:b w:val="0"/>
          <w:bCs w:val="0"/>
          <w:color w:val="auto"/>
          <w:sz w:val="20"/>
        </w:rPr>
        <w:t xml:space="preserve">v relativním vyjádření </w:t>
      </w:r>
      <w:r w:rsidR="005E0A26" w:rsidRPr="00390502">
        <w:rPr>
          <w:rFonts w:eastAsia="Times New Roman"/>
          <w:b w:val="0"/>
          <w:bCs w:val="0"/>
          <w:color w:val="auto"/>
          <w:sz w:val="20"/>
        </w:rPr>
        <w:t>7,6 z </w:t>
      </w:r>
      <w:r w:rsidR="00AE00DF" w:rsidRPr="00390502">
        <w:rPr>
          <w:rFonts w:eastAsia="Times New Roman"/>
          <w:b w:val="0"/>
          <w:bCs w:val="0"/>
          <w:color w:val="auto"/>
          <w:sz w:val="20"/>
        </w:rPr>
        <w:t xml:space="preserve">1 000 </w:t>
      </w:r>
      <w:r w:rsidR="00616A6A" w:rsidRPr="00390502">
        <w:rPr>
          <w:rFonts w:eastAsia="Times New Roman"/>
          <w:b w:val="0"/>
          <w:bCs w:val="0"/>
          <w:color w:val="auto"/>
          <w:sz w:val="20"/>
        </w:rPr>
        <w:t>seniorů.</w:t>
      </w:r>
      <w:r w:rsidR="00390502">
        <w:rPr>
          <w:rFonts w:eastAsia="Times New Roman"/>
          <w:b w:val="0"/>
          <w:bCs w:val="0"/>
          <w:color w:val="auto"/>
          <w:sz w:val="20"/>
        </w:rPr>
        <w:t xml:space="preserve"> Skutečný počet stěhování je ale o něco vyšší, neboť s výjimkou Prahy statistika nesleduje změny bydliště uvnitř obce (mezi městskými částmi Prahy se v roce 2021 stěhovalo dalších 2,5 tisíce seniorů).</w:t>
      </w:r>
      <w:bookmarkEnd w:id="12"/>
      <w:bookmarkEnd w:id="13"/>
    </w:p>
    <w:p w14:paraId="354C2F10" w14:textId="77777777" w:rsidR="00574796" w:rsidRPr="00616A6A" w:rsidRDefault="00574796" w:rsidP="00574796">
      <w:pPr>
        <w:spacing w:after="60" w:line="240" w:lineRule="auto"/>
        <w:ind w:left="709" w:hanging="709"/>
        <w:rPr>
          <w:b/>
        </w:rPr>
      </w:pPr>
      <w:r>
        <w:rPr>
          <w:b/>
        </w:rPr>
        <w:t>Graf 1.4 Míry stěhování seniorů 65+ mezi obcemi České republiky v pětiletých věkových skupinách v roce 2021</w:t>
      </w:r>
    </w:p>
    <w:p w14:paraId="46B652E0" w14:textId="77777777" w:rsidR="00574796" w:rsidRDefault="00574796" w:rsidP="00574796">
      <w:pPr>
        <w:spacing w:line="240" w:lineRule="auto"/>
        <w:rPr>
          <w:i/>
          <w:noProof/>
          <w:sz w:val="18"/>
          <w:szCs w:val="18"/>
        </w:rPr>
      </w:pPr>
      <w:r>
        <w:rPr>
          <w:noProof/>
        </w:rPr>
        <w:drawing>
          <wp:inline distT="0" distB="0" distL="0" distR="0" wp14:anchorId="2E6CFAAB" wp14:editId="25D94179">
            <wp:extent cx="4247515" cy="2654300"/>
            <wp:effectExtent l="0" t="0" r="635"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9641F3" w14:textId="77777777" w:rsidR="00574796" w:rsidRPr="00A15FB8" w:rsidRDefault="00574796" w:rsidP="00574796">
      <w:pPr>
        <w:spacing w:line="240" w:lineRule="auto"/>
        <w:rPr>
          <w:i/>
          <w:sz w:val="18"/>
          <w:szCs w:val="18"/>
        </w:rPr>
      </w:pPr>
      <w:r>
        <w:rPr>
          <w:i/>
          <w:noProof/>
          <w:sz w:val="18"/>
          <w:szCs w:val="18"/>
        </w:rPr>
        <w:t>Zdroj: ČSÚ</w:t>
      </w:r>
    </w:p>
    <w:p w14:paraId="3F3E3AA6" w14:textId="77777777" w:rsidR="009628B9" w:rsidRPr="00FA50CB" w:rsidRDefault="009628B9" w:rsidP="00917551">
      <w:pPr>
        <w:spacing w:after="0" w:line="240" w:lineRule="auto"/>
        <w:rPr>
          <w:rFonts w:eastAsia="MS Gothic"/>
          <w:b/>
          <w:bCs/>
          <w:sz w:val="24"/>
        </w:rPr>
      </w:pPr>
      <w:r>
        <w:br w:type="page"/>
      </w:r>
    </w:p>
    <w:p w14:paraId="64C954CA" w14:textId="413F1923" w:rsidR="003A1792" w:rsidRDefault="003A1792" w:rsidP="00630C07">
      <w:pPr>
        <w:pStyle w:val="Nadpis3"/>
        <w:numPr>
          <w:ilvl w:val="2"/>
          <w:numId w:val="15"/>
        </w:numPr>
        <w:spacing w:after="240"/>
        <w:ind w:left="1077"/>
      </w:pPr>
      <w:bookmarkStart w:id="14" w:name="_Toc121211619"/>
      <w:r>
        <w:lastRenderedPageBreak/>
        <w:t>Zemřelí a úroveň úmrtnosti</w:t>
      </w:r>
      <w:bookmarkEnd w:id="14"/>
    </w:p>
    <w:p w14:paraId="1AC6A2DA" w14:textId="62B07A0C" w:rsidR="00133B34" w:rsidRDefault="00133B34" w:rsidP="00917551">
      <w:pPr>
        <w:spacing w:line="240" w:lineRule="auto"/>
        <w:jc w:val="both"/>
      </w:pPr>
      <w:r>
        <w:t>V</w:t>
      </w:r>
      <w:r w:rsidR="00126A63">
        <w:t xml:space="preserve"> </w:t>
      </w:r>
      <w:r>
        <w:t>průběhu roku 2021 zemřelo 140 tisíc osob, nejvíce v celém poválečném období, když počet úmrtí výrazně vzrostl v posledních dvou letech</w:t>
      </w:r>
      <w:r w:rsidR="00300B59">
        <w:t>, v době</w:t>
      </w:r>
      <w:r>
        <w:t xml:space="preserve"> epidemie covidu-19. Čtyři pětiny zemřelých se věkem řadí mezi seniory, v roce 2021 bylo ve věku 65 či více let téměř 117 tisíc zemřelých. V letech 2011–2019 přitom ročně umíralo, s mírně rostoucí tendencí, 82–93 tisíc seniorů, v roce 2020 pak </w:t>
      </w:r>
      <w:r w:rsidR="00013B53">
        <w:t xml:space="preserve">zemřelo </w:t>
      </w:r>
      <w:r>
        <w:t>109 tisíc</w:t>
      </w:r>
      <w:r w:rsidR="00013B53">
        <w:t xml:space="preserve"> seniorů</w:t>
      </w:r>
      <w:r>
        <w:t>.</w:t>
      </w:r>
    </w:p>
    <w:p w14:paraId="51623406" w14:textId="2DE66ABE" w:rsidR="00013B53" w:rsidRDefault="008E35B0" w:rsidP="00917551">
      <w:pPr>
        <w:spacing w:line="240" w:lineRule="auto"/>
        <w:jc w:val="both"/>
      </w:pPr>
      <w:r>
        <w:t>V</w:t>
      </w:r>
      <w:r w:rsidR="00126A63">
        <w:t xml:space="preserve"> </w:t>
      </w:r>
      <w:r w:rsidR="00013B53">
        <w:t>roce 2020 byl meziročně vyšší počet zemřelých ve všech seniorských věkových skupinách</w:t>
      </w:r>
      <w:r w:rsidR="00246102">
        <w:t>, přičemž</w:t>
      </w:r>
      <w:r w:rsidR="00013B53">
        <w:t xml:space="preserve"> nejvýrazněj</w:t>
      </w:r>
      <w:r w:rsidR="00F915F7">
        <w:t>i</w:t>
      </w:r>
      <w:r w:rsidR="00D378F2">
        <w:t>, o více než 20 </w:t>
      </w:r>
      <w:r w:rsidR="00013B53">
        <w:t>%, u skupin 80–84 a 75–79 let,</w:t>
      </w:r>
      <w:r w:rsidR="00246102">
        <w:t xml:space="preserve"> nejméně,</w:t>
      </w:r>
      <w:r>
        <w:t xml:space="preserve"> </w:t>
      </w:r>
      <w:r w:rsidR="00F915F7">
        <w:t xml:space="preserve">o </w:t>
      </w:r>
      <w:r w:rsidR="006433D4">
        <w:t>9 </w:t>
      </w:r>
      <w:r w:rsidR="00013B53">
        <w:t>%</w:t>
      </w:r>
      <w:r w:rsidR="00246102">
        <w:t>,</w:t>
      </w:r>
      <w:r w:rsidR="00013B53">
        <w:t xml:space="preserve"> ve skupině 65–69 let</w:t>
      </w:r>
      <w:r w:rsidR="00246102">
        <w:t>.</w:t>
      </w:r>
      <w:r w:rsidR="00013B53">
        <w:t xml:space="preserve"> </w:t>
      </w:r>
      <w:r>
        <w:t>V</w:t>
      </w:r>
      <w:r w:rsidR="00126A63">
        <w:t xml:space="preserve"> </w:t>
      </w:r>
      <w:r w:rsidR="00013B53">
        <w:t>roce 2021 dále rostl počet úmrtí ve skupinách do 85 let věku</w:t>
      </w:r>
      <w:r w:rsidR="00BA4955">
        <w:t xml:space="preserve"> </w:t>
      </w:r>
      <w:r>
        <w:t>–</w:t>
      </w:r>
      <w:r w:rsidR="006433D4">
        <w:t xml:space="preserve"> u pětiletých skupin sedmdesátníků o 16 %, u 65–69letých o 14 %</w:t>
      </w:r>
      <w:r>
        <w:t xml:space="preserve"> –</w:t>
      </w:r>
      <w:r w:rsidR="00013B53">
        <w:t xml:space="preserve"> ale úmrtí starších seniorů </w:t>
      </w:r>
      <w:r w:rsidR="006433D4">
        <w:t xml:space="preserve">ve skupinách 85–89, 90–94 a 95+ </w:t>
      </w:r>
      <w:r w:rsidR="00126A63">
        <w:t xml:space="preserve">let </w:t>
      </w:r>
      <w:r w:rsidR="00013B53">
        <w:t xml:space="preserve">bylo naopak </w:t>
      </w:r>
      <w:r>
        <w:t xml:space="preserve">meziročně </w:t>
      </w:r>
      <w:r w:rsidR="00013B53">
        <w:t>méně. Skupinou s nejvyšším počtem zemřelých se nově stala věková skupina 75–79 let</w:t>
      </w:r>
      <w:r w:rsidR="006433D4">
        <w:t xml:space="preserve"> (22,6</w:t>
      </w:r>
      <w:r w:rsidR="00126A63">
        <w:t xml:space="preserve"> </w:t>
      </w:r>
      <w:r w:rsidR="006433D4">
        <w:t>tisíce zemřelých), počet zemřelých ve věkových skupinách 70–74, 80–84 a 85–89</w:t>
      </w:r>
      <w:r w:rsidR="00C12610">
        <w:t xml:space="preserve"> let</w:t>
      </w:r>
      <w:r w:rsidR="006433D4">
        <w:t xml:space="preserve"> byl oproti ní mírně nižší (v každé skupin</w:t>
      </w:r>
      <w:r w:rsidR="00126A63">
        <w:t>ě</w:t>
      </w:r>
      <w:r w:rsidR="006433D4">
        <w:t xml:space="preserve"> necelých 21 tisíc úmrtí)</w:t>
      </w:r>
      <w:r w:rsidR="00013B53">
        <w:t xml:space="preserve">. </w:t>
      </w:r>
      <w:r w:rsidR="00F915F7">
        <w:t>Do</w:t>
      </w:r>
      <w:r w:rsidR="00560FB5">
        <w:t> </w:t>
      </w:r>
      <w:r w:rsidR="00013B53">
        <w:t>vývoj</w:t>
      </w:r>
      <w:r w:rsidR="00F915F7">
        <w:t>e</w:t>
      </w:r>
      <w:r w:rsidR="00013B53">
        <w:t xml:space="preserve"> počtu zemřelých v jednotlivých věkových skupinách se </w:t>
      </w:r>
      <w:r w:rsidR="00F915F7">
        <w:t xml:space="preserve">totiž </w:t>
      </w:r>
      <w:r w:rsidR="00013B53">
        <w:t>promítá nejen úroveň úmrtnosti, ale i historický vývoj porodnosti</w:t>
      </w:r>
      <w:r w:rsidR="00541222">
        <w:t xml:space="preserve"> (posun silného ročníku 1946 do věkové skupiny 75–79</w:t>
      </w:r>
      <w:r w:rsidR="004C7003">
        <w:t xml:space="preserve"> let</w:t>
      </w:r>
      <w:r w:rsidR="00541222">
        <w:t>)</w:t>
      </w:r>
      <w:r w:rsidR="00013B53">
        <w:t>.</w:t>
      </w:r>
    </w:p>
    <w:p w14:paraId="5045E02F" w14:textId="697DC1CB" w:rsidR="00273982" w:rsidRDefault="00541222" w:rsidP="00917551">
      <w:pPr>
        <w:spacing w:line="240" w:lineRule="auto"/>
        <w:jc w:val="both"/>
      </w:pPr>
      <w:r>
        <w:t xml:space="preserve">Míry úmrtnosti vyjadřující počet zemřelých na tisíc obyvatel daného věku </w:t>
      </w:r>
      <w:r w:rsidR="00F1184F">
        <w:t xml:space="preserve">měly v čase až do roku 2019 </w:t>
      </w:r>
      <w:r w:rsidR="00900974">
        <w:t>obecně klesající trend. Zcela jinak se však vyvíjely v letech 2020 a 2021, v době epidemie covidu-19. Zatímco v</w:t>
      </w:r>
      <w:r w:rsidR="00F1184F">
        <w:t xml:space="preserve"> předpandemickém </w:t>
      </w:r>
      <w:r w:rsidR="00900974">
        <w:t>roce 2019 se míry úmrtnost</w:t>
      </w:r>
      <w:r w:rsidR="00C12610">
        <w:t>i</w:t>
      </w:r>
      <w:r w:rsidR="00900974">
        <w:t xml:space="preserve"> ve všech seniorských pětiletých věkových skupinách (</w:t>
      </w:r>
      <w:r w:rsidR="00F1184F">
        <w:t>jako poslední uvažována kategorie</w:t>
      </w:r>
      <w:r w:rsidR="00900974">
        <w:t xml:space="preserve"> 90+) meziročně o 1–4 % snížily, v roce 2020 došlo k jejich </w:t>
      </w:r>
      <w:r w:rsidR="00F1184F">
        <w:t xml:space="preserve">nemalému </w:t>
      </w:r>
      <w:r w:rsidR="00900974">
        <w:t xml:space="preserve">plošnému zvýšení. </w:t>
      </w:r>
      <w:r w:rsidR="00F1184F">
        <w:t xml:space="preserve">U 65–69letých osob vzrostly </w:t>
      </w:r>
      <w:r w:rsidR="00900974">
        <w:t>o 9 %</w:t>
      </w:r>
      <w:r w:rsidR="00F1184F">
        <w:t xml:space="preserve"> (relativně nejnižší nárůst), u 80–84letých až o 19 %, v ostatních věkových skupinách o 14–16 %. V roce 2021 byly meziroční změny úmrtnosti u věkových skupin různorodější. Nejhorší vývoj zaznamenaly míry úmrtnosti nejmladších 65–69letých seniorů, k</w:t>
      </w:r>
      <w:r w:rsidR="00860B3C">
        <w:t>teré</w:t>
      </w:r>
      <w:r w:rsidR="00F1184F">
        <w:t xml:space="preserve"> se</w:t>
      </w:r>
      <w:r w:rsidR="00860B3C">
        <w:t xml:space="preserve"> dále navýšily o 16 %, </w:t>
      </w:r>
      <w:r w:rsidR="004C7003">
        <w:t xml:space="preserve">a </w:t>
      </w:r>
      <w:r w:rsidR="00860B3C">
        <w:t xml:space="preserve">nárůst měr úmrtnosti 70–74letých seniorů byl jen mírně nižší, 15%. </w:t>
      </w:r>
      <w:r w:rsidR="008E35B0">
        <w:t xml:space="preserve">Poměrně </w:t>
      </w:r>
      <w:r w:rsidR="00860B3C">
        <w:t xml:space="preserve">výrazné </w:t>
      </w:r>
      <w:r w:rsidR="008E35B0">
        <w:t xml:space="preserve">(11%) bylo </w:t>
      </w:r>
      <w:r w:rsidR="00860B3C">
        <w:t xml:space="preserve">i </w:t>
      </w:r>
      <w:r w:rsidR="008E35B0">
        <w:t>z</w:t>
      </w:r>
      <w:r w:rsidR="00860B3C">
        <w:t>výšení míry úmrtnosti 75–79letých</w:t>
      </w:r>
      <w:r w:rsidR="004C7003">
        <w:t xml:space="preserve"> osob</w:t>
      </w:r>
      <w:r w:rsidR="00860B3C">
        <w:t>. Oproti tomu meziroční změna úmrtnosti ve skupinách 80–84, 85–89 a 90+</w:t>
      </w:r>
      <w:r w:rsidR="009628B9">
        <w:t xml:space="preserve"> let</w:t>
      </w:r>
      <w:r w:rsidR="00860B3C">
        <w:t xml:space="preserve"> (+−1 až 2%) </w:t>
      </w:r>
      <w:r w:rsidR="008E35B0">
        <w:t>se nevymykala běžnému meziročnímu vývoji.</w:t>
      </w:r>
    </w:p>
    <w:p w14:paraId="18808714" w14:textId="77777777" w:rsidR="00273982" w:rsidRDefault="00273982">
      <w:pPr>
        <w:spacing w:after="0" w:line="240" w:lineRule="auto"/>
      </w:pPr>
      <w:r>
        <w:br w:type="page"/>
      </w:r>
    </w:p>
    <w:p w14:paraId="19046B6E" w14:textId="1063B20F" w:rsidR="000353BC" w:rsidRDefault="000353BC" w:rsidP="00B75F27">
      <w:pPr>
        <w:spacing w:after="60" w:line="240" w:lineRule="auto"/>
        <w:ind w:left="709" w:hanging="709"/>
        <w:rPr>
          <w:b/>
        </w:rPr>
      </w:pPr>
      <w:r w:rsidRPr="000B0EEE">
        <w:rPr>
          <w:b/>
        </w:rPr>
        <w:lastRenderedPageBreak/>
        <w:t>Graf</w:t>
      </w:r>
      <w:r w:rsidR="003C7B1C" w:rsidRPr="000B0EEE">
        <w:rPr>
          <w:b/>
        </w:rPr>
        <w:t xml:space="preserve"> 1.5 Míry úmrtnosti seniorů </w:t>
      </w:r>
      <w:r w:rsidR="00574796">
        <w:rPr>
          <w:b/>
        </w:rPr>
        <w:t xml:space="preserve">65+ </w:t>
      </w:r>
      <w:r w:rsidR="00B75F27">
        <w:rPr>
          <w:b/>
        </w:rPr>
        <w:t>v pětiletých věkových skupinách </w:t>
      </w:r>
      <w:r w:rsidR="00B75F27">
        <w:rPr>
          <w:b/>
        </w:rPr>
        <w:br/>
        <w:t xml:space="preserve">  </w:t>
      </w:r>
      <w:r w:rsidR="003C7B1C" w:rsidRPr="000B0EEE">
        <w:rPr>
          <w:b/>
        </w:rPr>
        <w:t>v letech 201</w:t>
      </w:r>
      <w:r w:rsidR="009628B9">
        <w:rPr>
          <w:b/>
        </w:rPr>
        <w:t>7</w:t>
      </w:r>
      <w:r w:rsidR="003C7B1C" w:rsidRPr="000B0EEE">
        <w:rPr>
          <w:b/>
        </w:rPr>
        <w:t>–2021</w:t>
      </w:r>
    </w:p>
    <w:p w14:paraId="59C1C9B3" w14:textId="7100538E" w:rsidR="000353BC" w:rsidRDefault="00D912FB" w:rsidP="00917551">
      <w:pPr>
        <w:spacing w:after="60" w:line="240" w:lineRule="auto"/>
        <w:jc w:val="both"/>
        <w:rPr>
          <w:b/>
        </w:rPr>
      </w:pPr>
      <w:r>
        <w:rPr>
          <w:noProof/>
        </w:rPr>
        <w:drawing>
          <wp:inline distT="0" distB="0" distL="0" distR="0" wp14:anchorId="34926619" wp14:editId="398951C0">
            <wp:extent cx="4247515" cy="2654300"/>
            <wp:effectExtent l="0" t="0" r="635" b="0"/>
            <wp:docPr id="193" name="Graf 193">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9C3321" w14:textId="296C2558" w:rsidR="004C7003" w:rsidRPr="004C7003" w:rsidRDefault="004C7003" w:rsidP="00917551">
      <w:pPr>
        <w:spacing w:line="240" w:lineRule="auto"/>
        <w:jc w:val="both"/>
        <w:rPr>
          <w:i/>
          <w:sz w:val="18"/>
          <w:szCs w:val="18"/>
        </w:rPr>
      </w:pPr>
      <w:r>
        <w:rPr>
          <w:i/>
          <w:sz w:val="18"/>
          <w:szCs w:val="18"/>
        </w:rPr>
        <w:t>Zdroj: ČSÚ</w:t>
      </w:r>
    </w:p>
    <w:p w14:paraId="22A74A64" w14:textId="6BD673BB" w:rsidR="00B75F27" w:rsidRDefault="003A1792" w:rsidP="00917551">
      <w:pPr>
        <w:spacing w:line="240" w:lineRule="auto"/>
        <w:jc w:val="both"/>
      </w:pPr>
      <w:r>
        <w:t xml:space="preserve">Úroveň úmrtnosti je </w:t>
      </w:r>
      <w:r w:rsidR="00D921EC">
        <w:t xml:space="preserve">často </w:t>
      </w:r>
      <w:r>
        <w:t xml:space="preserve">hodnocena </w:t>
      </w:r>
      <w:r w:rsidR="00D921EC">
        <w:t xml:space="preserve">také </w:t>
      </w:r>
      <w:r>
        <w:t xml:space="preserve">pomocí ukazatele naděje dožití, který vyčísluje průměrný počet let, který má osoba daného věku před sebou, pokud by zůstaly zachovány úmrtnostní poměry daného roku. Úmrtnost mužů je přitom prakticky v každém věku vyšší než úmrtnost žen, a tak naděje dožití mužů tradičně zaostává za nadějí žen, </w:t>
      </w:r>
      <w:r w:rsidR="00574796">
        <w:t xml:space="preserve">v Česku při dosažení věku 65 let aktuálně o 4 roky. </w:t>
      </w:r>
      <w:r>
        <w:t xml:space="preserve"> Do</w:t>
      </w:r>
      <w:r w:rsidR="00560FB5">
        <w:t> </w:t>
      </w:r>
      <w:r>
        <w:t>roku 2019 měla naděje dožití při narození, ale i ve věku 65 let, dlouhodobě rostoucí trend, muži ve věku 65 let mohli tehdy očekávat v</w:t>
      </w:r>
      <w:r w:rsidR="00560FB5">
        <w:t> </w:t>
      </w:r>
      <w:r>
        <w:t>průměru ještě 16</w:t>
      </w:r>
      <w:r w:rsidR="004C7003">
        <w:t> </w:t>
      </w:r>
      <w:r>
        <w:t>let života, 65leté ženy ještě téměř 20 let života. V letech 2020 a 2021 však v</w:t>
      </w:r>
      <w:r w:rsidR="00F915F7">
        <w:t> </w:t>
      </w:r>
      <w:r>
        <w:t xml:space="preserve">důsledku koronavirové epidemie naděje dožití poklesla, </w:t>
      </w:r>
      <w:r w:rsidR="00872EBE">
        <w:t xml:space="preserve">a to na úroveň zaznamenanou </w:t>
      </w:r>
      <w:r>
        <w:t xml:space="preserve">o zhruba 10 let dříve. </w:t>
      </w:r>
      <w:r w:rsidR="00987CD9">
        <w:t xml:space="preserve">Pokud by zůstaly zachovány úmrtnostní podmínky </w:t>
      </w:r>
      <w:r w:rsidR="0092265D">
        <w:t> z roku</w:t>
      </w:r>
      <w:r w:rsidR="00987CD9">
        <w:t xml:space="preserve"> 2021, pak by muži ve věku 65 let v průměru měli před sebou ještě </w:t>
      </w:r>
      <w:r w:rsidR="00F915F7">
        <w:t>14,5 roku</w:t>
      </w:r>
      <w:r w:rsidR="00987CD9">
        <w:t xml:space="preserve"> života, tj. dožili by se v průměru </w:t>
      </w:r>
      <w:r w:rsidR="004C7003">
        <w:t>necelých</w:t>
      </w:r>
      <w:r w:rsidR="00F915F7">
        <w:t xml:space="preserve"> 80</w:t>
      </w:r>
      <w:r w:rsidR="008E35B0">
        <w:t> </w:t>
      </w:r>
      <w:r w:rsidR="00987CD9">
        <w:t>let, a 65leté ženy by měl</w:t>
      </w:r>
      <w:r w:rsidR="001F0D99">
        <w:t>y</w:t>
      </w:r>
      <w:r w:rsidR="00987CD9">
        <w:t xml:space="preserve"> před sebou ještě </w:t>
      </w:r>
      <w:r w:rsidR="00F915F7">
        <w:t>18,6 roku</w:t>
      </w:r>
      <w:r w:rsidR="00987CD9">
        <w:t xml:space="preserve"> života, tj.</w:t>
      </w:r>
      <w:r w:rsidR="00560FB5">
        <w:t> </w:t>
      </w:r>
      <w:r w:rsidR="00987CD9">
        <w:t xml:space="preserve">dožily by se v průměru </w:t>
      </w:r>
      <w:r w:rsidR="004C7003">
        <w:t>téměř</w:t>
      </w:r>
      <w:r w:rsidR="00F915F7">
        <w:t xml:space="preserve"> 84</w:t>
      </w:r>
      <w:r w:rsidR="00987CD9">
        <w:t xml:space="preserve"> let.</w:t>
      </w:r>
    </w:p>
    <w:p w14:paraId="689A9613" w14:textId="77777777" w:rsidR="00B75F27" w:rsidRDefault="00B75F27">
      <w:pPr>
        <w:spacing w:after="0" w:line="240" w:lineRule="auto"/>
      </w:pPr>
      <w:r>
        <w:br w:type="page"/>
      </w:r>
    </w:p>
    <w:p w14:paraId="314BC977" w14:textId="03555A5A" w:rsidR="00EA4000" w:rsidRPr="006D6F65" w:rsidRDefault="00EA4000" w:rsidP="00630C07">
      <w:pPr>
        <w:pStyle w:val="Nadpis4"/>
        <w:numPr>
          <w:ilvl w:val="2"/>
          <w:numId w:val="15"/>
        </w:numPr>
        <w:spacing w:after="240"/>
        <w:ind w:left="1077"/>
        <w:rPr>
          <w:sz w:val="24"/>
        </w:rPr>
      </w:pPr>
      <w:bookmarkStart w:id="15" w:name="_Toc121211620"/>
      <w:r w:rsidRPr="006D6F65">
        <w:rPr>
          <w:sz w:val="24"/>
        </w:rPr>
        <w:lastRenderedPageBreak/>
        <w:t>Příčiny smrti</w:t>
      </w:r>
      <w:bookmarkEnd w:id="15"/>
    </w:p>
    <w:p w14:paraId="437CACCD" w14:textId="77777777" w:rsidR="00EA4000" w:rsidRDefault="00EA4000" w:rsidP="00917551">
      <w:pPr>
        <w:pStyle w:val="Box1"/>
        <w:spacing w:line="240" w:lineRule="auto"/>
        <w:jc w:val="both"/>
      </w:pPr>
      <w:r>
        <w:t>Statistika příčin smrti vychází ze zpracování údajů v Listu o prohlídce</w:t>
      </w:r>
    </w:p>
    <w:p w14:paraId="20FE14C2" w14:textId="1B51722C" w:rsidR="00EA4000" w:rsidRDefault="00EA4000" w:rsidP="00917551">
      <w:pPr>
        <w:pStyle w:val="Box1"/>
        <w:spacing w:line="240" w:lineRule="auto"/>
        <w:jc w:val="both"/>
      </w:pPr>
      <w:r>
        <w:t>zemřelého (LPZ), do kterého lékař uvádí onemocnění, stavy a</w:t>
      </w:r>
      <w:r w:rsidR="00560FB5">
        <w:t> </w:t>
      </w:r>
      <w:r>
        <w:t xml:space="preserve">případné další lékařské či jiné charakteristiky související s úmrtím. Z nich pak na základě mezinárodních pravidel ČSÚ vybírá (automatizovaně pomocí programu IRIS) základní příčinu smrti, z které pak vychází statistické třídění. </w:t>
      </w:r>
    </w:p>
    <w:p w14:paraId="4E6F199D" w14:textId="1E95C1D3" w:rsidR="00EA4000" w:rsidRDefault="00EA4000" w:rsidP="00917551">
      <w:pPr>
        <w:pStyle w:val="Box1"/>
        <w:spacing w:line="240" w:lineRule="auto"/>
        <w:jc w:val="both"/>
      </w:pPr>
      <w:r>
        <w:t>Základní příčina smrti je Světovou zdravotnickou organizací definována jako (a) onemocnění nebo zranění, které iniciovalo řetězec chorobných stavů přímo vedoucích ke smrti, nebo</w:t>
      </w:r>
      <w:r w:rsidR="00B11F1F">
        <w:t> </w:t>
      </w:r>
      <w:r>
        <w:br/>
        <w:t>(b) okolnosti nehody či násilí, jež způsobily smrtelné poranění.</w:t>
      </w:r>
    </w:p>
    <w:p w14:paraId="17366C49" w14:textId="77814121" w:rsidR="00EA4000" w:rsidRPr="00AA3DF4" w:rsidRDefault="00EA4000" w:rsidP="00917551">
      <w:pPr>
        <w:spacing w:line="240" w:lineRule="auto"/>
        <w:jc w:val="both"/>
      </w:pPr>
      <w:r w:rsidRPr="00AA3DF4">
        <w:t>Nejčastějšími příčinami úmrtí bývají u seniorů chronická ischemická choroba srdeční, cévní nemoci mozku, z dalších onemocnění oběhové soustavy pak srdeční selhání, akutní infarkt myokardu (v posledních letech na ústupu) a</w:t>
      </w:r>
      <w:r w:rsidR="00560FB5">
        <w:t> </w:t>
      </w:r>
      <w:r w:rsidRPr="00AA3DF4">
        <w:t>hypertenzní nemoci. Druhou velkou skupinou příčin smrti jsou zhoubné nádory, mezi nimiž převládá rakovina průdušnice, průdušky a plíce spolu s nádory ženských pohlavních orgánů a prsu, u mužů prostaty. Četnějšími příčinami úmrt</w:t>
      </w:r>
      <w:r>
        <w:t>í</w:t>
      </w:r>
      <w:r w:rsidRPr="00AA3DF4">
        <w:t xml:space="preserve"> bývají také nádory v trávicí soustavě (tlustého střeva, konečníku a řiti a slinivky břišní). Z ostatních </w:t>
      </w:r>
      <w:r>
        <w:t xml:space="preserve">významnějších </w:t>
      </w:r>
      <w:r w:rsidRPr="00AA3DF4">
        <w:t>skupin onemocnění vedoucích k úmrtí seniorů poslední dobou nabývá na významu Alzheimerova nemoc a vaskulární demence a cukrovka.</w:t>
      </w:r>
    </w:p>
    <w:p w14:paraId="1DE4F49A" w14:textId="521139FB" w:rsidR="00630C07" w:rsidRDefault="00EA4000" w:rsidP="00917551">
      <w:pPr>
        <w:spacing w:line="240" w:lineRule="auto"/>
        <w:jc w:val="both"/>
      </w:pPr>
      <w:r w:rsidRPr="00AA3DF4">
        <w:t xml:space="preserve">V roce 2021 však byl celkově nejčetnější příčinou úmrtí 65letých a starších osob covid-19, který stál za bezmála 22 tisíci úmrtími, tj. způsobil téměř každé páté úmrtí seniora. Druhá nejčastější příčina – chronická ischemická choroba srdeční </w:t>
      </w:r>
      <w:r>
        <w:t xml:space="preserve">– </w:t>
      </w:r>
      <w:r w:rsidRPr="00AA3DF4">
        <w:t>byla určena jako základní příčina smrti u necelých 17</w:t>
      </w:r>
      <w:r>
        <w:t> </w:t>
      </w:r>
      <w:r w:rsidRPr="00AA3DF4">
        <w:t xml:space="preserve">tisíc seniorů (jedna osmina úmrtí seniorů). Cévním nemocem mozku na třetí pozici podlehlo 6,5 tisíce </w:t>
      </w:r>
      <w:r>
        <w:t xml:space="preserve">seniorů </w:t>
      </w:r>
      <w:r w:rsidRPr="00AA3DF4">
        <w:t xml:space="preserve">a mezi 4 až 6 tisíci </w:t>
      </w:r>
      <w:r>
        <w:t>jich</w:t>
      </w:r>
      <w:r w:rsidRPr="00AA3DF4">
        <w:t xml:space="preserve"> zemřelo na příčiny na čtvrtém až devátém místě</w:t>
      </w:r>
      <w:r w:rsidR="0092265D">
        <w:t>, kterými</w:t>
      </w:r>
      <w:r w:rsidRPr="00AA3DF4">
        <w:t xml:space="preserve"> </w:t>
      </w:r>
      <w:r>
        <w:t xml:space="preserve">byly </w:t>
      </w:r>
      <w:r w:rsidRPr="00AA3DF4">
        <w:t>srdeční selhání, cukrovka, hypertenzní nemoci, zhoubný nádor průdušnice, průdušky a plíce, Alzheimerova nemoc a vaskulární demence a zhoubný nádor ženských pohlavních orgánů, prsu a prostaty.</w:t>
      </w:r>
    </w:p>
    <w:p w14:paraId="79EA2700" w14:textId="77777777" w:rsidR="00630C07" w:rsidRDefault="00630C07">
      <w:pPr>
        <w:spacing w:after="0" w:line="240" w:lineRule="auto"/>
      </w:pPr>
      <w:r>
        <w:br w:type="page"/>
      </w:r>
    </w:p>
    <w:p w14:paraId="2CB48446" w14:textId="3EB61B8D" w:rsidR="007D6000" w:rsidRDefault="00945D5E" w:rsidP="0066762C">
      <w:pPr>
        <w:spacing w:after="120" w:line="240" w:lineRule="auto"/>
        <w:ind w:left="709" w:hanging="709"/>
      </w:pPr>
      <w:r w:rsidRPr="00AA3DF4">
        <w:rPr>
          <w:b/>
        </w:rPr>
        <w:lastRenderedPageBreak/>
        <w:t xml:space="preserve">Graf </w:t>
      </w:r>
      <w:r>
        <w:rPr>
          <w:b/>
        </w:rPr>
        <w:t>1</w:t>
      </w:r>
      <w:r w:rsidRPr="00AA3DF4">
        <w:rPr>
          <w:b/>
        </w:rPr>
        <w:t>.</w:t>
      </w:r>
      <w:r>
        <w:rPr>
          <w:b/>
        </w:rPr>
        <w:t>6</w:t>
      </w:r>
      <w:r w:rsidRPr="00AA3DF4">
        <w:rPr>
          <w:b/>
        </w:rPr>
        <w:t xml:space="preserve"> </w:t>
      </w:r>
      <w:r>
        <w:rPr>
          <w:b/>
        </w:rPr>
        <w:t xml:space="preserve">Zemřelí senioři 65+ v letech 2019, 2020 a 2021 podle příčin </w:t>
      </w:r>
      <w:r w:rsidR="003E2079">
        <w:rPr>
          <w:b/>
        </w:rPr>
        <w:br/>
        <w:t xml:space="preserve">  </w:t>
      </w:r>
      <w:r>
        <w:rPr>
          <w:b/>
        </w:rPr>
        <w:t xml:space="preserve">smrti </w:t>
      </w:r>
      <w:r w:rsidRPr="00AA3DF4">
        <w:rPr>
          <w:b/>
        </w:rPr>
        <w:t xml:space="preserve">(15 nejčetnějších </w:t>
      </w:r>
      <w:r>
        <w:rPr>
          <w:b/>
        </w:rPr>
        <w:t xml:space="preserve">příčin </w:t>
      </w:r>
      <w:r w:rsidRPr="00AA3DF4">
        <w:rPr>
          <w:b/>
        </w:rPr>
        <w:t>v roce 2021)</w:t>
      </w:r>
    </w:p>
    <w:p w14:paraId="0A7C820B" w14:textId="5034E6F9" w:rsidR="009A727A" w:rsidRPr="003E2702" w:rsidRDefault="001E10D0" w:rsidP="00917551">
      <w:pPr>
        <w:spacing w:after="60" w:line="240" w:lineRule="auto"/>
        <w:rPr>
          <w:sz w:val="16"/>
          <w:szCs w:val="16"/>
        </w:rPr>
      </w:pPr>
      <w:r>
        <w:rPr>
          <w:noProof/>
        </w:rPr>
        <w:drawing>
          <wp:inline distT="0" distB="0" distL="0" distR="0" wp14:anchorId="188DB621" wp14:editId="75B6F3A6">
            <wp:extent cx="4247515" cy="3021177"/>
            <wp:effectExtent l="0" t="0" r="635" b="8255"/>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A727A" w:rsidRPr="003E2702">
        <w:rPr>
          <w:sz w:val="16"/>
          <w:szCs w:val="16"/>
        </w:rPr>
        <w:t>Pozn</w:t>
      </w:r>
      <w:r w:rsidR="008E35B0" w:rsidRPr="003E2702">
        <w:rPr>
          <w:sz w:val="16"/>
          <w:szCs w:val="16"/>
        </w:rPr>
        <w:t>.</w:t>
      </w:r>
      <w:r w:rsidR="009A727A" w:rsidRPr="003E2702">
        <w:rPr>
          <w:sz w:val="16"/>
          <w:szCs w:val="16"/>
        </w:rPr>
        <w:t>: Zkratkou ZN označeny zhoubné novotvary.</w:t>
      </w:r>
    </w:p>
    <w:p w14:paraId="353A548D" w14:textId="7CC0250F" w:rsidR="00736466" w:rsidRPr="00736466" w:rsidRDefault="00736466" w:rsidP="00917551">
      <w:pPr>
        <w:spacing w:line="240" w:lineRule="auto"/>
        <w:rPr>
          <w:i/>
          <w:sz w:val="18"/>
          <w:szCs w:val="18"/>
        </w:rPr>
      </w:pPr>
      <w:r>
        <w:rPr>
          <w:i/>
          <w:sz w:val="18"/>
          <w:szCs w:val="18"/>
        </w:rPr>
        <w:t>Zdroj: ČSÚ</w:t>
      </w:r>
    </w:p>
    <w:p w14:paraId="4ED62D55" w14:textId="6698A67B" w:rsidR="00630C07" w:rsidRDefault="00EA4000" w:rsidP="00917551">
      <w:pPr>
        <w:spacing w:line="240" w:lineRule="auto"/>
        <w:jc w:val="both"/>
      </w:pPr>
      <w:r w:rsidRPr="00AA3DF4">
        <w:t>Covid-19 vnesl do struktury příčin smrti seniorů významnou změnu již v</w:t>
      </w:r>
      <w:r w:rsidR="007D6000">
        <w:t> </w:t>
      </w:r>
      <w:r w:rsidRPr="00AA3DF4">
        <w:t xml:space="preserve">prvním roce </w:t>
      </w:r>
      <w:r w:rsidR="00A138F5">
        <w:t>výskytu v ČR</w:t>
      </w:r>
      <w:r w:rsidRPr="00AA3DF4">
        <w:t xml:space="preserve"> (2020), kdy způsobil druhý nejvyšší počet úmrtí seniorů (přes 9,5 tisíce), zastoupení dalších příčin smrti mezi </w:t>
      </w:r>
      <w:r w:rsidR="00416ADD">
        <w:t>nejčastějšími (top10, resp. </w:t>
      </w:r>
      <w:r w:rsidRPr="00AA3DF4">
        <w:t>t</w:t>
      </w:r>
      <w:r w:rsidR="00416ADD">
        <w:t>op15) se ale jinak nezměnilo, a to ani </w:t>
      </w:r>
      <w:r w:rsidR="007D6000">
        <w:t>vůči</w:t>
      </w:r>
      <w:r w:rsidR="00416ADD">
        <w:t xml:space="preserve"> </w:t>
      </w:r>
      <w:r w:rsidRPr="00AA3DF4">
        <w:t>ro</w:t>
      </w:r>
      <w:r w:rsidR="007D6000">
        <w:t>ku</w:t>
      </w:r>
      <w:r w:rsidR="00416ADD">
        <w:t xml:space="preserve"> před</w:t>
      </w:r>
      <w:r w:rsidRPr="00AA3DF4">
        <w:t>cházejí</w:t>
      </w:r>
      <w:r w:rsidR="00416ADD">
        <w:t>-cí</w:t>
      </w:r>
      <w:r w:rsidRPr="00AA3DF4">
        <w:t>m</w:t>
      </w:r>
      <w:r w:rsidR="009A727A">
        <w:t>u</w:t>
      </w:r>
      <w:r w:rsidRPr="00AA3DF4">
        <w:t xml:space="preserve"> covidové pandemii (covid-19 </w:t>
      </w:r>
      <w:r w:rsidR="009A727A">
        <w:t xml:space="preserve">jen </w:t>
      </w:r>
      <w:r w:rsidRPr="00AA3DF4">
        <w:t>vyřadil z top15 zhoubné nádory krvetvorné a příbuzné tkáně).</w:t>
      </w:r>
    </w:p>
    <w:p w14:paraId="7985D852" w14:textId="77777777" w:rsidR="00630C07" w:rsidRDefault="00630C07">
      <w:pPr>
        <w:spacing w:after="0" w:line="240" w:lineRule="auto"/>
      </w:pPr>
      <w:r>
        <w:br w:type="page"/>
      </w:r>
    </w:p>
    <w:p w14:paraId="26B90C35" w14:textId="6398D59A" w:rsidR="000D6937" w:rsidRPr="006E6C21" w:rsidRDefault="000D6937" w:rsidP="00070F10">
      <w:pPr>
        <w:pStyle w:val="Nadpis1"/>
        <w:numPr>
          <w:ilvl w:val="0"/>
          <w:numId w:val="15"/>
        </w:numPr>
        <w:spacing w:after="240"/>
        <w:ind w:left="714" w:hanging="357"/>
        <w:rPr>
          <w:color w:val="BC091B"/>
        </w:rPr>
      </w:pPr>
      <w:bookmarkStart w:id="16" w:name="_Toc444112494"/>
      <w:bookmarkStart w:id="17" w:name="_Toc121211621"/>
      <w:r w:rsidRPr="006E6C21">
        <w:rPr>
          <w:color w:val="BC091B"/>
        </w:rPr>
        <w:lastRenderedPageBreak/>
        <w:t>Senioři a první obvyklé bydliště</w:t>
      </w:r>
      <w:r w:rsidR="00070F10">
        <w:rPr>
          <w:color w:val="BC091B"/>
        </w:rPr>
        <w:t xml:space="preserve"> </w:t>
      </w:r>
      <w:r w:rsidRPr="006E6C21">
        <w:rPr>
          <w:color w:val="BC091B"/>
        </w:rPr>
        <w:t>po</w:t>
      </w:r>
      <w:r w:rsidR="00BA35A2">
        <w:rPr>
          <w:color w:val="BC091B"/>
        </w:rPr>
        <w:t> </w:t>
      </w:r>
      <w:r w:rsidRPr="006E6C21">
        <w:rPr>
          <w:color w:val="BC091B"/>
        </w:rPr>
        <w:t>narození</w:t>
      </w:r>
      <w:bookmarkEnd w:id="16"/>
      <w:bookmarkEnd w:id="17"/>
    </w:p>
    <w:p w14:paraId="025CD388" w14:textId="01A2DD42" w:rsidR="000D6937" w:rsidRDefault="000D6937" w:rsidP="00917551">
      <w:pPr>
        <w:spacing w:line="240" w:lineRule="auto"/>
        <w:jc w:val="both"/>
      </w:pPr>
      <w:r>
        <w:t>Kapitola Demografické charakteristiky seniorů ukázala na nezanedbatelné a</w:t>
      </w:r>
      <w:r w:rsidR="00E74EA7">
        <w:t> </w:t>
      </w:r>
      <w:r>
        <w:t>stále rostoucí zastoupení seniorů ve věku 65 a více let v populaci Česka, které dosáhlo pětinového podílu na konci roku 2021. Mimo to poukázala také na jejich specifika. Z nich lze ke konci roku 2021 připomenout například vyšší zastoupení žen (57,9</w:t>
      </w:r>
      <w:r w:rsidR="00DA2AAF">
        <w:t> </w:t>
      </w:r>
      <w:r>
        <w:t>%) než mužů (42,1</w:t>
      </w:r>
      <w:r w:rsidR="00DA2AAF">
        <w:t> </w:t>
      </w:r>
      <w:r>
        <w:t>%) nebo rozdílnou strukturu podle</w:t>
      </w:r>
      <w:r w:rsidR="00E74EA7">
        <w:t> </w:t>
      </w:r>
      <w:r>
        <w:t>rodinného stavu, kdy 70</w:t>
      </w:r>
      <w:r w:rsidR="00D378F2">
        <w:t> </w:t>
      </w:r>
      <w:r>
        <w:t>% seniorů-mužů byli ženatí muž</w:t>
      </w:r>
      <w:r w:rsidR="00D378F2">
        <w:t>i, zatímco vdaných ženy bylo 41 </w:t>
      </w:r>
      <w:r>
        <w:t>% seniorek a d</w:t>
      </w:r>
      <w:r w:rsidR="00DA2AAF">
        <w:t>alších 41 </w:t>
      </w:r>
      <w:r w:rsidR="00C95348">
        <w:t xml:space="preserve">% byly ženy ovdovělé. </w:t>
      </w:r>
      <w:r>
        <w:t>Sčítání lidu, domů a bytů 2021 zaznamenalo v populaci Česka 20,4% podíl seniorů ve věku 65 a více let a odhalilo další rozdíly demografických charakteristik této části populace od populace celkové. Podíl žen mezi obyvateli ve věku 65 a více let byl 57,9</w:t>
      </w:r>
      <w:r w:rsidR="00DA2AAF">
        <w:t> </w:t>
      </w:r>
      <w:r>
        <w:t>%, zatímco v celé populaci byl 50,7</w:t>
      </w:r>
      <w:r w:rsidR="00DA2AAF">
        <w:t> </w:t>
      </w:r>
      <w:r>
        <w:t>%. Populace seniorů byla</w:t>
      </w:r>
      <w:r w:rsidR="00DA2AAF">
        <w:t xml:space="preserve"> tvořena svobodnými pouze z 3,3 </w:t>
      </w:r>
      <w:r>
        <w:t>% a ovdovělými z 28,8</w:t>
      </w:r>
      <w:r w:rsidR="00DA2AAF">
        <w:t> </w:t>
      </w:r>
      <w:r>
        <w:t>%, zatímco populace ve věku 16 a více let svobodnými z 31,1</w:t>
      </w:r>
      <w:r w:rsidR="00DA2AAF">
        <w:t> </w:t>
      </w:r>
      <w:r>
        <w:t>% a ovdovělými z 8,3</w:t>
      </w:r>
      <w:r w:rsidR="00DA2AAF">
        <w:t> </w:t>
      </w:r>
      <w:r>
        <w:t>%. Ze seniorů ve věku 65 a více let deklarovalo 32,5</w:t>
      </w:r>
      <w:r w:rsidR="00DA2AAF">
        <w:t> </w:t>
      </w:r>
      <w:r>
        <w:t>% obyvatel, že</w:t>
      </w:r>
      <w:r w:rsidR="00E74EA7">
        <w:t> </w:t>
      </w:r>
      <w:r>
        <w:t>jsou věřící, zatímco v celé populaci byl tento podíl 22,2 %. Mezi seniory ve věku 65 a více let bylo takových s vysokoškolským vzděláním 11,2</w:t>
      </w:r>
      <w:r w:rsidR="00DA2AAF">
        <w:t> </w:t>
      </w:r>
      <w:r>
        <w:t>% a</w:t>
      </w:r>
      <w:r w:rsidR="00E74EA7">
        <w:t> </w:t>
      </w:r>
      <w:r>
        <w:t>se</w:t>
      </w:r>
      <w:r w:rsidR="00E74EA7">
        <w:t> </w:t>
      </w:r>
      <w:r>
        <w:t>vzděláním středním nebo vyučením (bez maturity) 39,7</w:t>
      </w:r>
      <w:r w:rsidR="00DA2AAF">
        <w:t> </w:t>
      </w:r>
      <w:r>
        <w:t>%. Stejné podíly byly mezi všemi obyvateli ve věku 15 a více let 17,6</w:t>
      </w:r>
      <w:r w:rsidR="00DA2AAF">
        <w:t> </w:t>
      </w:r>
      <w:r>
        <w:t>% a 31,0</w:t>
      </w:r>
      <w:r w:rsidR="00DA2AAF">
        <w:t> </w:t>
      </w:r>
      <w:r>
        <w:t>%. Odhalit specifika prvního obvyklého bydliště po narození právě u seniorů ve věku 65 a více let si klade za cíl analýza na následujících stránkách.</w:t>
      </w:r>
    </w:p>
    <w:p w14:paraId="1DA9FC22" w14:textId="36F574F4" w:rsidR="00792ACA" w:rsidRDefault="000D6937" w:rsidP="00917551">
      <w:pPr>
        <w:pStyle w:val="Box1"/>
        <w:spacing w:line="240" w:lineRule="auto"/>
        <w:jc w:val="both"/>
      </w:pPr>
      <w:r>
        <w:rPr>
          <w:b/>
        </w:rPr>
        <w:t>Metodika</w:t>
      </w:r>
      <w:r w:rsidR="00BC066A">
        <w:rPr>
          <w:b/>
        </w:rPr>
        <w:t>:</w:t>
      </w:r>
      <w:r w:rsidRPr="00DB2EC8">
        <w:t xml:space="preserve"> </w:t>
      </w:r>
      <w:r>
        <w:t xml:space="preserve">Dotaz na místo prvního obvyklého bydliště po narození byl ve sčítání lidu, domů a bytů 2021 formulován jako „Kde bylo Vaše první obvyklé bydliště po narození?“. Podle pokynu k této otázce měl respondent vyplnit první bydliště, kde žil hned po narození, přičemž ho neměl zaměnit za místo narození, které je uvedeno např. v rodném listu a označuje skutečné místo narození. Obec, okres, případně stát se měly uvádět podle názvu a hranic platných ke dni sčítání, tedy 26. 3. 2021. Praha byla pro účel této otázky považována za jednu obec. V odpovědi měl respondent možnost zaškrtnout odpověď „Ve stejné obci jako k 26. 3. 2021“ nebo „V jiné obci v ČR“ a slovy zapsat obec, okres a kraj nebo zaškrtnout odpověď „V jiném státě“ a tento stát dále slovy zapsat. </w:t>
      </w:r>
    </w:p>
    <w:p w14:paraId="019472AF" w14:textId="77777777" w:rsidR="00792ACA" w:rsidRDefault="00792ACA">
      <w:pPr>
        <w:spacing w:after="0" w:line="240" w:lineRule="auto"/>
        <w:rPr>
          <w:rFonts w:eastAsia="Calibri" w:cs="Arial"/>
          <w:szCs w:val="20"/>
        </w:rPr>
      </w:pPr>
      <w:r>
        <w:br w:type="page"/>
      </w:r>
    </w:p>
    <w:p w14:paraId="3E2BC0AE" w14:textId="6A83CD6C" w:rsidR="000D6937" w:rsidRPr="00785761" w:rsidRDefault="000D6937" w:rsidP="00917551">
      <w:pPr>
        <w:pStyle w:val="Box1"/>
        <w:spacing w:line="240" w:lineRule="auto"/>
        <w:jc w:val="both"/>
      </w:pPr>
      <w:r>
        <w:lastRenderedPageBreak/>
        <w:t>V případě, že respondent vyplňoval elektronický sčítací formulář, mohl vybrat ze seznamu obcí v Česku za pomoci našeptávače (našeptávač obsahoval všechny obce v Česku k rozhodnému datu sčítání) anebo vyplnit obec, okres a kraj volně textem bez našeptávače (tuto možnost využili respondenti v případě zaniklých obcí apod.). Kromě údajů ze</w:t>
      </w:r>
      <w:r w:rsidR="00E74EA7">
        <w:t> </w:t>
      </w:r>
      <w:r>
        <w:t>sčítacích formulářů byly využity i</w:t>
      </w:r>
      <w:r w:rsidR="008676D0">
        <w:t> </w:t>
      </w:r>
      <w:r>
        <w:t>informace ze soustavy registrů obyvatelstva ministerstva vnitra.</w:t>
      </w:r>
    </w:p>
    <w:p w14:paraId="19197B54" w14:textId="06557650" w:rsidR="000D6937" w:rsidRPr="00FC01AA" w:rsidRDefault="000D6937" w:rsidP="00630C07">
      <w:pPr>
        <w:pStyle w:val="Nadpis3"/>
        <w:numPr>
          <w:ilvl w:val="1"/>
          <w:numId w:val="15"/>
        </w:numPr>
        <w:spacing w:after="240"/>
        <w:ind w:left="1077"/>
        <w:jc w:val="both"/>
        <w:rPr>
          <w:color w:val="BC091B"/>
        </w:rPr>
      </w:pPr>
      <w:bookmarkStart w:id="18" w:name="_Toc121211622"/>
      <w:r w:rsidRPr="001B1A7F">
        <w:rPr>
          <w:color w:val="BC091B"/>
          <w:sz w:val="28"/>
          <w:szCs w:val="28"/>
        </w:rPr>
        <w:t>Senioři podle prvního obvyklého bydliště po</w:t>
      </w:r>
      <w:r w:rsidR="001B1A7F">
        <w:rPr>
          <w:color w:val="BC091B"/>
          <w:sz w:val="28"/>
          <w:szCs w:val="28"/>
        </w:rPr>
        <w:t> </w:t>
      </w:r>
      <w:r w:rsidRPr="001B1A7F">
        <w:rPr>
          <w:color w:val="BC091B"/>
          <w:sz w:val="28"/>
          <w:szCs w:val="28"/>
        </w:rPr>
        <w:t>narození</w:t>
      </w:r>
      <w:bookmarkEnd w:id="18"/>
    </w:p>
    <w:p w14:paraId="019CFC4B" w14:textId="77777777" w:rsidR="000D6937" w:rsidRDefault="000D6937" w:rsidP="00917551">
      <w:pPr>
        <w:spacing w:after="0" w:line="240" w:lineRule="auto"/>
        <w:jc w:val="both"/>
      </w:pPr>
      <w:r>
        <w:t xml:space="preserve">Senioři ve věku 65 a více let se od celé populace lišili při srovnání místa obvyklého bydliště v době sčítání s prvním obvyklým bydlištěm po narození. </w:t>
      </w:r>
    </w:p>
    <w:p w14:paraId="7E877440" w14:textId="23BEC018" w:rsidR="000D6937" w:rsidRDefault="000D6937" w:rsidP="00917551">
      <w:pPr>
        <w:pStyle w:val="Box1"/>
        <w:spacing w:line="240" w:lineRule="auto"/>
        <w:jc w:val="both"/>
      </w:pPr>
      <w:r>
        <w:rPr>
          <w:b/>
        </w:rPr>
        <w:t>Metodika</w:t>
      </w:r>
      <w:r w:rsidR="00BC066A">
        <w:rPr>
          <w:b/>
        </w:rPr>
        <w:t>:</w:t>
      </w:r>
      <w:r w:rsidRPr="00DB2EC8">
        <w:t xml:space="preserve"> </w:t>
      </w:r>
      <w:r>
        <w:t>osoba, která měla v době sčítání obvyklé bydliště ve stejné obci jako po narození, se někdy pro zjednodušení nazývá rodák.</w:t>
      </w:r>
    </w:p>
    <w:p w14:paraId="2D83C57F" w14:textId="39F221C3" w:rsidR="000D6937" w:rsidRDefault="000D6937" w:rsidP="003A0910">
      <w:pPr>
        <w:spacing w:line="240" w:lineRule="auto"/>
        <w:jc w:val="both"/>
      </w:pPr>
      <w:r>
        <w:t>Zatímco rodáky by</w:t>
      </w:r>
      <w:r w:rsidR="00D378F2">
        <w:t>la podle sčítání polovina (50,4 </w:t>
      </w:r>
      <w:r>
        <w:t>%) všech obyvatel, mezi seniory ve věku 65 a více l</w:t>
      </w:r>
      <w:r w:rsidR="00273982">
        <w:t>et bylo rodáků jen 38,6</w:t>
      </w:r>
      <w:r w:rsidR="00D378F2">
        <w:t> </w:t>
      </w:r>
      <w:r w:rsidR="00946378">
        <w:t>% (t</w:t>
      </w:r>
      <w:r w:rsidR="00273982">
        <w:t>ab.</w:t>
      </w:r>
      <w:r w:rsidR="00946378">
        <w:t xml:space="preserve"> </w:t>
      </w:r>
      <w:r w:rsidR="00273982">
        <w:t>2.</w:t>
      </w:r>
      <w:r>
        <w:t>1). Dále podíl všech obyvatel, kteří žili po narození v jiném kraji než v době sčítání, dosáhl 17,1 %. Mezi seniory byl tento podíl téměř čtvrtinový (24,4</w:t>
      </w:r>
      <w:r w:rsidR="00D378F2">
        <w:t> </w:t>
      </w:r>
      <w:r>
        <w:t>%).</w:t>
      </w:r>
    </w:p>
    <w:p w14:paraId="333C5D19" w14:textId="16860F3C" w:rsidR="000D6937" w:rsidRPr="00ED266A" w:rsidRDefault="000D6937" w:rsidP="001A29E2">
      <w:pPr>
        <w:spacing w:before="60" w:after="60" w:line="240" w:lineRule="auto"/>
        <w:ind w:left="709" w:hanging="709"/>
        <w:rPr>
          <w:b/>
        </w:rPr>
      </w:pPr>
      <w:r w:rsidRPr="00ED266A">
        <w:rPr>
          <w:b/>
        </w:rPr>
        <w:t xml:space="preserve">Tab. </w:t>
      </w:r>
      <w:r w:rsidR="00BA35A2">
        <w:rPr>
          <w:b/>
        </w:rPr>
        <w:t>2.</w:t>
      </w:r>
      <w:r w:rsidRPr="00ED266A">
        <w:rPr>
          <w:b/>
        </w:rPr>
        <w:t xml:space="preserve">1 Podíl </w:t>
      </w:r>
      <w:r>
        <w:rPr>
          <w:b/>
        </w:rPr>
        <w:t xml:space="preserve">obyvatel </w:t>
      </w:r>
      <w:r w:rsidRPr="00ED266A">
        <w:rPr>
          <w:b/>
        </w:rPr>
        <w:t>podle prvního obvykl</w:t>
      </w:r>
      <w:r>
        <w:rPr>
          <w:b/>
        </w:rPr>
        <w:t xml:space="preserve">ého bydliště po narození </w:t>
      </w:r>
      <w:r w:rsidR="0024492A">
        <w:rPr>
          <w:b/>
        </w:rPr>
        <w:br/>
      </w:r>
      <w:r w:rsidR="004679DB">
        <w:rPr>
          <w:b/>
        </w:rPr>
        <w:t xml:space="preserve"> </w:t>
      </w:r>
      <w:r w:rsidR="0024492A">
        <w:rPr>
          <w:b/>
        </w:rPr>
        <w:t xml:space="preserve"> </w:t>
      </w:r>
      <w:r>
        <w:rPr>
          <w:b/>
        </w:rPr>
        <w:t>podle S</w:t>
      </w:r>
      <w:r w:rsidRPr="00ED266A">
        <w:rPr>
          <w:b/>
        </w:rPr>
        <w:t>čítání 2021 (v</w:t>
      </w:r>
      <w:r w:rsidR="00D378F2">
        <w:rPr>
          <w:b/>
        </w:rPr>
        <w:t> </w:t>
      </w:r>
      <w:r w:rsidRPr="00ED266A">
        <w:rPr>
          <w:b/>
        </w:rPr>
        <w:t>%)</w:t>
      </w:r>
    </w:p>
    <w:tbl>
      <w:tblPr>
        <w:tblW w:w="5000" w:type="pct"/>
        <w:tblCellMar>
          <w:left w:w="70" w:type="dxa"/>
          <w:right w:w="70" w:type="dxa"/>
        </w:tblCellMar>
        <w:tblLook w:val="04A0" w:firstRow="1" w:lastRow="0" w:firstColumn="1" w:lastColumn="0" w:noHBand="0" w:noVBand="1"/>
      </w:tblPr>
      <w:tblGrid>
        <w:gridCol w:w="3570"/>
        <w:gridCol w:w="1338"/>
        <w:gridCol w:w="1781"/>
      </w:tblGrid>
      <w:tr w:rsidR="000D6937" w:rsidRPr="00FC56DE" w14:paraId="49314F46" w14:textId="77777777" w:rsidTr="00323865">
        <w:trPr>
          <w:trHeight w:val="405"/>
        </w:trPr>
        <w:tc>
          <w:tcPr>
            <w:tcW w:w="2669" w:type="pct"/>
            <w:vMerge w:val="restart"/>
            <w:tcBorders>
              <w:top w:val="single" w:sz="12" w:space="0" w:color="000000"/>
              <w:left w:val="nil"/>
              <w:bottom w:val="single" w:sz="4" w:space="0" w:color="000000"/>
              <w:right w:val="single" w:sz="8" w:space="0" w:color="000000"/>
            </w:tcBorders>
            <w:shd w:val="clear" w:color="auto" w:fill="F5DADD"/>
            <w:vAlign w:val="center"/>
            <w:hideMark/>
          </w:tcPr>
          <w:p w14:paraId="2DCC5842" w14:textId="77777777" w:rsidR="000D6937" w:rsidRPr="00115C8A" w:rsidRDefault="000D6937" w:rsidP="00273982">
            <w:pPr>
              <w:pStyle w:val="Zkladnodstavec"/>
              <w:spacing w:line="240" w:lineRule="auto"/>
              <w:jc w:val="center"/>
              <w:rPr>
                <w:rFonts w:cs="Arial"/>
                <w:b/>
                <w:sz w:val="16"/>
                <w:szCs w:val="16"/>
              </w:rPr>
            </w:pPr>
            <w:r w:rsidRPr="00115C8A">
              <w:rPr>
                <w:rFonts w:cs="Arial"/>
                <w:b/>
                <w:sz w:val="16"/>
                <w:szCs w:val="16"/>
              </w:rPr>
              <w:t>První obvyklé bydliště po narození</w:t>
            </w:r>
          </w:p>
        </w:tc>
        <w:tc>
          <w:tcPr>
            <w:tcW w:w="2331" w:type="pct"/>
            <w:gridSpan w:val="2"/>
            <w:tcBorders>
              <w:top w:val="single" w:sz="12" w:space="0" w:color="000000"/>
              <w:left w:val="single" w:sz="8" w:space="0" w:color="000000"/>
              <w:bottom w:val="single" w:sz="8" w:space="0" w:color="000000"/>
            </w:tcBorders>
            <w:shd w:val="clear" w:color="auto" w:fill="F5DADD"/>
            <w:vAlign w:val="center"/>
            <w:hideMark/>
          </w:tcPr>
          <w:p w14:paraId="13629D18" w14:textId="77777777" w:rsidR="000D6937" w:rsidRPr="00115C8A" w:rsidRDefault="000D6937" w:rsidP="00917551">
            <w:pPr>
              <w:pStyle w:val="Zkladnodstavec"/>
              <w:spacing w:line="240" w:lineRule="auto"/>
              <w:jc w:val="center"/>
              <w:rPr>
                <w:rFonts w:cs="Arial"/>
                <w:b/>
                <w:i/>
                <w:sz w:val="16"/>
                <w:szCs w:val="16"/>
              </w:rPr>
            </w:pPr>
            <w:r w:rsidRPr="00115C8A">
              <w:rPr>
                <w:rFonts w:cs="Arial"/>
                <w:b/>
                <w:sz w:val="16"/>
                <w:szCs w:val="16"/>
              </w:rPr>
              <w:t>Obyvatelé</w:t>
            </w:r>
          </w:p>
        </w:tc>
      </w:tr>
      <w:tr w:rsidR="000D6937" w:rsidRPr="00FC56DE" w14:paraId="1E7F845F" w14:textId="77777777" w:rsidTr="00323865">
        <w:trPr>
          <w:trHeight w:val="384"/>
        </w:trPr>
        <w:tc>
          <w:tcPr>
            <w:tcW w:w="2669" w:type="pct"/>
            <w:vMerge/>
            <w:tcBorders>
              <w:top w:val="single" w:sz="8" w:space="0" w:color="000000"/>
              <w:left w:val="nil"/>
              <w:bottom w:val="single" w:sz="12" w:space="0" w:color="000000"/>
              <w:right w:val="single" w:sz="8" w:space="0" w:color="000000"/>
            </w:tcBorders>
            <w:shd w:val="clear" w:color="auto" w:fill="F5DADD"/>
            <w:vAlign w:val="center"/>
            <w:hideMark/>
          </w:tcPr>
          <w:p w14:paraId="03BB1B0F" w14:textId="77777777" w:rsidR="000D6937" w:rsidRPr="00115C8A" w:rsidRDefault="000D6937" w:rsidP="00917551">
            <w:pPr>
              <w:pStyle w:val="Zkladnodstavec"/>
              <w:spacing w:line="240" w:lineRule="auto"/>
              <w:jc w:val="both"/>
              <w:rPr>
                <w:rFonts w:cs="Arial"/>
                <w:b/>
                <w:sz w:val="16"/>
                <w:szCs w:val="16"/>
              </w:rPr>
            </w:pPr>
          </w:p>
        </w:tc>
        <w:tc>
          <w:tcPr>
            <w:tcW w:w="1000" w:type="pct"/>
            <w:tcBorders>
              <w:top w:val="single" w:sz="8" w:space="0" w:color="000000"/>
              <w:left w:val="single" w:sz="8" w:space="0" w:color="000000"/>
              <w:bottom w:val="single" w:sz="12" w:space="0" w:color="000000"/>
              <w:right w:val="single" w:sz="8" w:space="0" w:color="000000"/>
            </w:tcBorders>
            <w:shd w:val="clear" w:color="auto" w:fill="F5DADD"/>
            <w:vAlign w:val="center"/>
            <w:hideMark/>
          </w:tcPr>
          <w:p w14:paraId="3C09ADC5" w14:textId="77777777" w:rsidR="000D6937" w:rsidRPr="00115C8A" w:rsidRDefault="000D6937" w:rsidP="00917551">
            <w:pPr>
              <w:pStyle w:val="Zkladnodstavec"/>
              <w:spacing w:line="240" w:lineRule="auto"/>
              <w:jc w:val="center"/>
              <w:rPr>
                <w:rFonts w:cs="Arial"/>
                <w:b/>
                <w:sz w:val="16"/>
                <w:szCs w:val="16"/>
              </w:rPr>
            </w:pPr>
            <w:r w:rsidRPr="00115C8A">
              <w:rPr>
                <w:rFonts w:cs="Arial"/>
                <w:b/>
                <w:sz w:val="16"/>
                <w:szCs w:val="16"/>
              </w:rPr>
              <w:t>všichni</w:t>
            </w:r>
          </w:p>
        </w:tc>
        <w:tc>
          <w:tcPr>
            <w:tcW w:w="1331" w:type="pct"/>
            <w:tcBorders>
              <w:top w:val="single" w:sz="8" w:space="0" w:color="000000"/>
              <w:left w:val="single" w:sz="8" w:space="0" w:color="000000"/>
              <w:bottom w:val="single" w:sz="12" w:space="0" w:color="000000"/>
            </w:tcBorders>
            <w:shd w:val="clear" w:color="auto" w:fill="F5DADD"/>
            <w:vAlign w:val="center"/>
            <w:hideMark/>
          </w:tcPr>
          <w:p w14:paraId="5A5C358F" w14:textId="0C6CE64E" w:rsidR="000D6937" w:rsidRPr="00115C8A" w:rsidRDefault="000D6937" w:rsidP="00115C8A">
            <w:pPr>
              <w:pStyle w:val="Zkladnodstavec"/>
              <w:spacing w:line="240" w:lineRule="auto"/>
              <w:jc w:val="center"/>
              <w:rPr>
                <w:rFonts w:cs="Arial"/>
                <w:b/>
                <w:sz w:val="16"/>
                <w:szCs w:val="16"/>
              </w:rPr>
            </w:pPr>
            <w:r w:rsidRPr="00115C8A">
              <w:rPr>
                <w:rFonts w:cs="Arial"/>
                <w:b/>
                <w:sz w:val="16"/>
                <w:szCs w:val="16"/>
              </w:rPr>
              <w:t>z toho ve věku 65 a</w:t>
            </w:r>
            <w:r w:rsidR="00115C8A">
              <w:rPr>
                <w:rFonts w:cs="Arial"/>
                <w:b/>
                <w:sz w:val="16"/>
                <w:szCs w:val="16"/>
              </w:rPr>
              <w:t> </w:t>
            </w:r>
            <w:r w:rsidRPr="00115C8A">
              <w:rPr>
                <w:rFonts w:cs="Arial"/>
                <w:b/>
                <w:sz w:val="16"/>
                <w:szCs w:val="16"/>
              </w:rPr>
              <w:t>více let</w:t>
            </w:r>
          </w:p>
        </w:tc>
      </w:tr>
      <w:tr w:rsidR="000D6937" w:rsidRPr="006C123E" w14:paraId="3DAA9ED7" w14:textId="77777777" w:rsidTr="00323865">
        <w:trPr>
          <w:trHeight w:val="282"/>
        </w:trPr>
        <w:tc>
          <w:tcPr>
            <w:tcW w:w="2669" w:type="pct"/>
            <w:tcBorders>
              <w:top w:val="single" w:sz="12" w:space="0" w:color="000000"/>
              <w:left w:val="nil"/>
              <w:bottom w:val="nil"/>
              <w:right w:val="single" w:sz="8" w:space="0" w:color="000000"/>
            </w:tcBorders>
            <w:shd w:val="clear" w:color="auto" w:fill="auto"/>
            <w:noWrap/>
            <w:vAlign w:val="center"/>
            <w:hideMark/>
          </w:tcPr>
          <w:p w14:paraId="1D05E6B0" w14:textId="77777777" w:rsidR="000D6937" w:rsidRPr="00115C8A" w:rsidRDefault="000D6937" w:rsidP="00917551">
            <w:pPr>
              <w:pStyle w:val="Zkladnodstavec"/>
              <w:spacing w:line="240" w:lineRule="auto"/>
              <w:jc w:val="both"/>
              <w:rPr>
                <w:rFonts w:cs="Arial"/>
                <w:sz w:val="16"/>
                <w:szCs w:val="16"/>
              </w:rPr>
            </w:pPr>
            <w:r w:rsidRPr="00115C8A">
              <w:rPr>
                <w:rFonts w:cs="Arial"/>
                <w:sz w:val="16"/>
                <w:szCs w:val="16"/>
              </w:rPr>
              <w:t>V obci obvyklého pobytu</w:t>
            </w:r>
          </w:p>
        </w:tc>
        <w:tc>
          <w:tcPr>
            <w:tcW w:w="1000" w:type="pct"/>
            <w:tcBorders>
              <w:top w:val="single" w:sz="12" w:space="0" w:color="000000"/>
              <w:left w:val="single" w:sz="8" w:space="0" w:color="000000"/>
              <w:bottom w:val="nil"/>
              <w:right w:val="single" w:sz="8" w:space="0" w:color="000000"/>
            </w:tcBorders>
            <w:shd w:val="clear" w:color="auto" w:fill="auto"/>
            <w:noWrap/>
            <w:vAlign w:val="center"/>
            <w:hideMark/>
          </w:tcPr>
          <w:p w14:paraId="066FADEE" w14:textId="77777777" w:rsidR="000D6937" w:rsidRPr="00115C8A" w:rsidRDefault="000D6937" w:rsidP="00917551">
            <w:pPr>
              <w:pStyle w:val="Zkladnodstavec"/>
              <w:spacing w:line="240" w:lineRule="auto"/>
              <w:jc w:val="right"/>
              <w:rPr>
                <w:rFonts w:cs="Arial"/>
                <w:color w:val="auto"/>
                <w:sz w:val="16"/>
                <w:szCs w:val="16"/>
              </w:rPr>
            </w:pPr>
            <w:r w:rsidRPr="00115C8A">
              <w:rPr>
                <w:rFonts w:cs="Arial"/>
                <w:color w:val="auto"/>
                <w:sz w:val="16"/>
                <w:szCs w:val="16"/>
              </w:rPr>
              <w:t>50,4</w:t>
            </w:r>
          </w:p>
        </w:tc>
        <w:tc>
          <w:tcPr>
            <w:tcW w:w="1331" w:type="pct"/>
            <w:tcBorders>
              <w:top w:val="single" w:sz="12" w:space="0" w:color="000000"/>
              <w:left w:val="single" w:sz="8" w:space="0" w:color="000000"/>
              <w:bottom w:val="nil"/>
            </w:tcBorders>
            <w:shd w:val="clear" w:color="auto" w:fill="auto"/>
            <w:noWrap/>
            <w:vAlign w:val="center"/>
            <w:hideMark/>
          </w:tcPr>
          <w:p w14:paraId="05703B96" w14:textId="77777777" w:rsidR="000D6937" w:rsidRPr="00115C8A" w:rsidRDefault="000D6937" w:rsidP="00917551">
            <w:pPr>
              <w:pStyle w:val="Zkladnodstavec"/>
              <w:spacing w:line="240" w:lineRule="auto"/>
              <w:jc w:val="right"/>
              <w:rPr>
                <w:rFonts w:cs="Arial"/>
                <w:color w:val="auto"/>
                <w:sz w:val="16"/>
                <w:szCs w:val="16"/>
              </w:rPr>
            </w:pPr>
            <w:r w:rsidRPr="00115C8A">
              <w:rPr>
                <w:rFonts w:cs="Arial"/>
                <w:color w:val="auto"/>
                <w:sz w:val="16"/>
                <w:szCs w:val="16"/>
              </w:rPr>
              <w:t>38,6</w:t>
            </w:r>
          </w:p>
        </w:tc>
      </w:tr>
      <w:tr w:rsidR="000D6937" w:rsidRPr="006C123E" w14:paraId="1E7B4578" w14:textId="77777777" w:rsidTr="00323865">
        <w:trPr>
          <w:trHeight w:val="282"/>
        </w:trPr>
        <w:tc>
          <w:tcPr>
            <w:tcW w:w="2669" w:type="pct"/>
            <w:tcBorders>
              <w:top w:val="nil"/>
              <w:left w:val="nil"/>
              <w:bottom w:val="nil"/>
              <w:right w:val="single" w:sz="8" w:space="0" w:color="000000"/>
            </w:tcBorders>
            <w:shd w:val="clear" w:color="auto" w:fill="auto"/>
            <w:noWrap/>
            <w:vAlign w:val="center"/>
            <w:hideMark/>
          </w:tcPr>
          <w:p w14:paraId="559C8488" w14:textId="77777777" w:rsidR="000D6937" w:rsidRPr="00115C8A" w:rsidRDefault="000D6937" w:rsidP="00917551">
            <w:pPr>
              <w:pStyle w:val="Zkladnodstavec"/>
              <w:spacing w:line="240" w:lineRule="auto"/>
              <w:jc w:val="both"/>
              <w:rPr>
                <w:rFonts w:cs="Arial"/>
                <w:sz w:val="16"/>
                <w:szCs w:val="16"/>
              </w:rPr>
            </w:pPr>
            <w:r w:rsidRPr="00115C8A">
              <w:rPr>
                <w:rFonts w:cs="Arial"/>
                <w:sz w:val="16"/>
                <w:szCs w:val="16"/>
              </w:rPr>
              <w:t>V jiné obci okresu obvyklého pobytu</w:t>
            </w:r>
          </w:p>
        </w:tc>
        <w:tc>
          <w:tcPr>
            <w:tcW w:w="1000" w:type="pct"/>
            <w:tcBorders>
              <w:top w:val="nil"/>
              <w:left w:val="single" w:sz="8" w:space="0" w:color="000000"/>
              <w:bottom w:val="nil"/>
              <w:right w:val="single" w:sz="8" w:space="0" w:color="000000"/>
            </w:tcBorders>
            <w:shd w:val="clear" w:color="auto" w:fill="auto"/>
            <w:noWrap/>
            <w:vAlign w:val="center"/>
            <w:hideMark/>
          </w:tcPr>
          <w:p w14:paraId="70953ADB" w14:textId="77777777" w:rsidR="000D6937" w:rsidRPr="00115C8A" w:rsidRDefault="000D6937" w:rsidP="00917551">
            <w:pPr>
              <w:pStyle w:val="Zkladnodstavec"/>
              <w:spacing w:line="240" w:lineRule="auto"/>
              <w:jc w:val="right"/>
              <w:rPr>
                <w:rFonts w:cs="Arial"/>
                <w:color w:val="auto"/>
                <w:sz w:val="16"/>
                <w:szCs w:val="16"/>
              </w:rPr>
            </w:pPr>
            <w:r w:rsidRPr="00115C8A">
              <w:rPr>
                <w:rFonts w:cs="Arial"/>
                <w:color w:val="auto"/>
                <w:sz w:val="16"/>
                <w:szCs w:val="16"/>
              </w:rPr>
              <w:t>14,6</w:t>
            </w:r>
          </w:p>
        </w:tc>
        <w:tc>
          <w:tcPr>
            <w:tcW w:w="1331" w:type="pct"/>
            <w:tcBorders>
              <w:top w:val="nil"/>
              <w:left w:val="single" w:sz="8" w:space="0" w:color="000000"/>
              <w:bottom w:val="nil"/>
            </w:tcBorders>
            <w:shd w:val="clear" w:color="auto" w:fill="auto"/>
            <w:noWrap/>
            <w:vAlign w:val="center"/>
            <w:hideMark/>
          </w:tcPr>
          <w:p w14:paraId="27FFE184" w14:textId="77777777" w:rsidR="000D6937" w:rsidRPr="00115C8A" w:rsidRDefault="000D6937" w:rsidP="00917551">
            <w:pPr>
              <w:pStyle w:val="Zkladnodstavec"/>
              <w:spacing w:line="240" w:lineRule="auto"/>
              <w:jc w:val="right"/>
              <w:rPr>
                <w:rFonts w:cs="Arial"/>
                <w:color w:val="auto"/>
                <w:sz w:val="16"/>
                <w:szCs w:val="16"/>
              </w:rPr>
            </w:pPr>
            <w:r w:rsidRPr="00115C8A">
              <w:rPr>
                <w:rFonts w:cs="Arial"/>
                <w:color w:val="auto"/>
                <w:sz w:val="16"/>
                <w:szCs w:val="16"/>
              </w:rPr>
              <w:t>16,7</w:t>
            </w:r>
          </w:p>
        </w:tc>
      </w:tr>
      <w:tr w:rsidR="000D6937" w:rsidRPr="006C123E" w14:paraId="2CB6E4A8" w14:textId="77777777" w:rsidTr="00323865">
        <w:trPr>
          <w:trHeight w:val="282"/>
        </w:trPr>
        <w:tc>
          <w:tcPr>
            <w:tcW w:w="2669" w:type="pct"/>
            <w:tcBorders>
              <w:top w:val="nil"/>
              <w:left w:val="nil"/>
              <w:bottom w:val="nil"/>
              <w:right w:val="single" w:sz="8" w:space="0" w:color="000000"/>
            </w:tcBorders>
            <w:shd w:val="clear" w:color="auto" w:fill="auto"/>
            <w:noWrap/>
            <w:vAlign w:val="center"/>
            <w:hideMark/>
          </w:tcPr>
          <w:p w14:paraId="7A24CF20" w14:textId="77777777" w:rsidR="000D6937" w:rsidRPr="00115C8A" w:rsidRDefault="000D6937" w:rsidP="00917551">
            <w:pPr>
              <w:pStyle w:val="Zkladnodstavec"/>
              <w:spacing w:line="240" w:lineRule="auto"/>
              <w:jc w:val="both"/>
              <w:rPr>
                <w:rFonts w:cs="Arial"/>
                <w:sz w:val="16"/>
                <w:szCs w:val="16"/>
              </w:rPr>
            </w:pPr>
            <w:r w:rsidRPr="00115C8A">
              <w:rPr>
                <w:rFonts w:cs="Arial"/>
                <w:sz w:val="16"/>
                <w:szCs w:val="16"/>
              </w:rPr>
              <w:t>V jiném okrese kraje obvyklého pobytu</w:t>
            </w:r>
          </w:p>
        </w:tc>
        <w:tc>
          <w:tcPr>
            <w:tcW w:w="1000" w:type="pct"/>
            <w:tcBorders>
              <w:top w:val="nil"/>
              <w:left w:val="single" w:sz="8" w:space="0" w:color="000000"/>
              <w:bottom w:val="nil"/>
              <w:right w:val="single" w:sz="8" w:space="0" w:color="000000"/>
            </w:tcBorders>
            <w:shd w:val="clear" w:color="auto" w:fill="auto"/>
            <w:noWrap/>
            <w:vAlign w:val="center"/>
            <w:hideMark/>
          </w:tcPr>
          <w:p w14:paraId="712B0A37" w14:textId="77777777" w:rsidR="000D6937" w:rsidRPr="00115C8A" w:rsidRDefault="000D6937" w:rsidP="00917551">
            <w:pPr>
              <w:pStyle w:val="Zkladnodstavec"/>
              <w:spacing w:line="240" w:lineRule="auto"/>
              <w:jc w:val="right"/>
              <w:rPr>
                <w:rFonts w:cs="Arial"/>
                <w:color w:val="auto"/>
                <w:sz w:val="16"/>
                <w:szCs w:val="16"/>
              </w:rPr>
            </w:pPr>
            <w:r w:rsidRPr="00115C8A">
              <w:rPr>
                <w:rFonts w:cs="Arial"/>
                <w:color w:val="auto"/>
                <w:sz w:val="16"/>
                <w:szCs w:val="16"/>
              </w:rPr>
              <w:t>8,2</w:t>
            </w:r>
          </w:p>
        </w:tc>
        <w:tc>
          <w:tcPr>
            <w:tcW w:w="1331" w:type="pct"/>
            <w:tcBorders>
              <w:top w:val="nil"/>
              <w:left w:val="single" w:sz="8" w:space="0" w:color="000000"/>
              <w:bottom w:val="nil"/>
            </w:tcBorders>
            <w:shd w:val="clear" w:color="auto" w:fill="auto"/>
            <w:noWrap/>
            <w:vAlign w:val="center"/>
            <w:hideMark/>
          </w:tcPr>
          <w:p w14:paraId="1B33C91C" w14:textId="77777777" w:rsidR="000D6937" w:rsidRPr="00115C8A" w:rsidRDefault="000D6937" w:rsidP="00917551">
            <w:pPr>
              <w:pStyle w:val="Zkladnodstavec"/>
              <w:spacing w:line="240" w:lineRule="auto"/>
              <w:jc w:val="right"/>
              <w:rPr>
                <w:rFonts w:cs="Arial"/>
                <w:color w:val="auto"/>
                <w:sz w:val="16"/>
                <w:szCs w:val="16"/>
              </w:rPr>
            </w:pPr>
            <w:r w:rsidRPr="00115C8A">
              <w:rPr>
                <w:rFonts w:cs="Arial"/>
                <w:color w:val="auto"/>
                <w:sz w:val="16"/>
                <w:szCs w:val="16"/>
              </w:rPr>
              <w:t>10,3</w:t>
            </w:r>
          </w:p>
        </w:tc>
      </w:tr>
      <w:tr w:rsidR="000D6937" w:rsidRPr="006C123E" w14:paraId="5F923C92" w14:textId="77777777" w:rsidTr="00323865">
        <w:trPr>
          <w:trHeight w:val="282"/>
        </w:trPr>
        <w:tc>
          <w:tcPr>
            <w:tcW w:w="2669" w:type="pct"/>
            <w:tcBorders>
              <w:top w:val="nil"/>
              <w:left w:val="nil"/>
              <w:bottom w:val="nil"/>
              <w:right w:val="single" w:sz="8" w:space="0" w:color="000000"/>
            </w:tcBorders>
            <w:shd w:val="clear" w:color="auto" w:fill="auto"/>
            <w:noWrap/>
            <w:vAlign w:val="center"/>
            <w:hideMark/>
          </w:tcPr>
          <w:p w14:paraId="7F6EBE52" w14:textId="77777777" w:rsidR="000D6937" w:rsidRPr="00115C8A" w:rsidRDefault="000D6937" w:rsidP="00917551">
            <w:pPr>
              <w:pStyle w:val="Zkladnodstavec"/>
              <w:spacing w:line="240" w:lineRule="auto"/>
              <w:jc w:val="both"/>
              <w:rPr>
                <w:rFonts w:cs="Arial"/>
                <w:sz w:val="16"/>
                <w:szCs w:val="16"/>
              </w:rPr>
            </w:pPr>
            <w:r w:rsidRPr="00115C8A">
              <w:rPr>
                <w:rFonts w:cs="Arial"/>
                <w:sz w:val="16"/>
                <w:szCs w:val="16"/>
              </w:rPr>
              <w:t>V jiném kraji</w:t>
            </w:r>
          </w:p>
        </w:tc>
        <w:tc>
          <w:tcPr>
            <w:tcW w:w="1000" w:type="pct"/>
            <w:tcBorders>
              <w:top w:val="nil"/>
              <w:left w:val="single" w:sz="8" w:space="0" w:color="000000"/>
              <w:bottom w:val="nil"/>
              <w:right w:val="single" w:sz="8" w:space="0" w:color="000000"/>
            </w:tcBorders>
            <w:shd w:val="clear" w:color="auto" w:fill="auto"/>
            <w:noWrap/>
            <w:vAlign w:val="center"/>
            <w:hideMark/>
          </w:tcPr>
          <w:p w14:paraId="56883FF5" w14:textId="77777777" w:rsidR="000D6937" w:rsidRPr="00115C8A" w:rsidRDefault="000D6937" w:rsidP="00917551">
            <w:pPr>
              <w:pStyle w:val="Zkladnodstavec"/>
              <w:spacing w:line="240" w:lineRule="auto"/>
              <w:jc w:val="right"/>
              <w:rPr>
                <w:rFonts w:cs="Arial"/>
                <w:color w:val="auto"/>
                <w:sz w:val="16"/>
                <w:szCs w:val="16"/>
              </w:rPr>
            </w:pPr>
            <w:r w:rsidRPr="00115C8A">
              <w:rPr>
                <w:rFonts w:cs="Arial"/>
                <w:color w:val="auto"/>
                <w:sz w:val="16"/>
                <w:szCs w:val="16"/>
              </w:rPr>
              <w:t>17,1</w:t>
            </w:r>
          </w:p>
        </w:tc>
        <w:tc>
          <w:tcPr>
            <w:tcW w:w="1331" w:type="pct"/>
            <w:tcBorders>
              <w:top w:val="nil"/>
              <w:left w:val="single" w:sz="8" w:space="0" w:color="000000"/>
              <w:bottom w:val="nil"/>
            </w:tcBorders>
            <w:shd w:val="clear" w:color="auto" w:fill="auto"/>
            <w:noWrap/>
            <w:vAlign w:val="center"/>
            <w:hideMark/>
          </w:tcPr>
          <w:p w14:paraId="440A70B2" w14:textId="77777777" w:rsidR="000D6937" w:rsidRPr="00115C8A" w:rsidRDefault="000D6937" w:rsidP="00917551">
            <w:pPr>
              <w:pStyle w:val="Zkladnodstavec"/>
              <w:spacing w:line="240" w:lineRule="auto"/>
              <w:jc w:val="right"/>
              <w:rPr>
                <w:rFonts w:cs="Arial"/>
                <w:color w:val="auto"/>
                <w:sz w:val="16"/>
                <w:szCs w:val="16"/>
              </w:rPr>
            </w:pPr>
            <w:r w:rsidRPr="00115C8A">
              <w:rPr>
                <w:rFonts w:cs="Arial"/>
                <w:color w:val="auto"/>
                <w:sz w:val="16"/>
                <w:szCs w:val="16"/>
              </w:rPr>
              <w:t>24,4</w:t>
            </w:r>
          </w:p>
        </w:tc>
      </w:tr>
      <w:tr w:rsidR="000D6937" w:rsidRPr="006C123E" w14:paraId="3C24D9E7" w14:textId="77777777" w:rsidTr="00323865">
        <w:trPr>
          <w:trHeight w:val="282"/>
        </w:trPr>
        <w:tc>
          <w:tcPr>
            <w:tcW w:w="2669" w:type="pct"/>
            <w:tcBorders>
              <w:top w:val="nil"/>
              <w:left w:val="nil"/>
              <w:bottom w:val="nil"/>
              <w:right w:val="single" w:sz="8" w:space="0" w:color="000000"/>
            </w:tcBorders>
            <w:shd w:val="clear" w:color="auto" w:fill="auto"/>
            <w:noWrap/>
            <w:vAlign w:val="center"/>
            <w:hideMark/>
          </w:tcPr>
          <w:p w14:paraId="082A9A10" w14:textId="77777777" w:rsidR="000D6937" w:rsidRPr="00115C8A" w:rsidRDefault="000D6937" w:rsidP="00917551">
            <w:pPr>
              <w:pStyle w:val="Zkladnodstavec"/>
              <w:spacing w:line="240" w:lineRule="auto"/>
              <w:jc w:val="both"/>
              <w:rPr>
                <w:rFonts w:cs="Arial"/>
                <w:sz w:val="16"/>
                <w:szCs w:val="16"/>
              </w:rPr>
            </w:pPr>
            <w:r w:rsidRPr="00115C8A">
              <w:rPr>
                <w:rFonts w:cs="Arial"/>
                <w:sz w:val="16"/>
                <w:szCs w:val="16"/>
              </w:rPr>
              <w:t>V zahraničí</w:t>
            </w:r>
          </w:p>
        </w:tc>
        <w:tc>
          <w:tcPr>
            <w:tcW w:w="1000" w:type="pct"/>
            <w:tcBorders>
              <w:top w:val="nil"/>
              <w:left w:val="single" w:sz="8" w:space="0" w:color="000000"/>
              <w:bottom w:val="nil"/>
              <w:right w:val="single" w:sz="8" w:space="0" w:color="000000"/>
            </w:tcBorders>
            <w:shd w:val="clear" w:color="auto" w:fill="auto"/>
            <w:noWrap/>
            <w:vAlign w:val="center"/>
            <w:hideMark/>
          </w:tcPr>
          <w:p w14:paraId="6565164D" w14:textId="77777777" w:rsidR="000D6937" w:rsidRPr="00115C8A" w:rsidRDefault="000D6937" w:rsidP="00917551">
            <w:pPr>
              <w:pStyle w:val="Zkladnodstavec"/>
              <w:spacing w:line="240" w:lineRule="auto"/>
              <w:jc w:val="right"/>
              <w:rPr>
                <w:rFonts w:cs="Arial"/>
                <w:color w:val="auto"/>
                <w:sz w:val="16"/>
                <w:szCs w:val="16"/>
              </w:rPr>
            </w:pPr>
            <w:r w:rsidRPr="00115C8A">
              <w:rPr>
                <w:rFonts w:cs="Arial"/>
                <w:color w:val="auto"/>
                <w:sz w:val="16"/>
                <w:szCs w:val="16"/>
              </w:rPr>
              <w:t>6,5</w:t>
            </w:r>
          </w:p>
        </w:tc>
        <w:tc>
          <w:tcPr>
            <w:tcW w:w="1331" w:type="pct"/>
            <w:tcBorders>
              <w:top w:val="nil"/>
              <w:left w:val="single" w:sz="8" w:space="0" w:color="000000"/>
              <w:bottom w:val="nil"/>
            </w:tcBorders>
            <w:shd w:val="clear" w:color="auto" w:fill="auto"/>
            <w:noWrap/>
            <w:vAlign w:val="center"/>
            <w:hideMark/>
          </w:tcPr>
          <w:p w14:paraId="7215748B" w14:textId="77777777" w:rsidR="000D6937" w:rsidRPr="00115C8A" w:rsidRDefault="000D6937" w:rsidP="00917551">
            <w:pPr>
              <w:pStyle w:val="Zkladnodstavec"/>
              <w:spacing w:line="240" w:lineRule="auto"/>
              <w:jc w:val="right"/>
              <w:rPr>
                <w:rFonts w:cs="Arial"/>
                <w:color w:val="auto"/>
                <w:sz w:val="16"/>
                <w:szCs w:val="16"/>
              </w:rPr>
            </w:pPr>
            <w:r w:rsidRPr="00115C8A">
              <w:rPr>
                <w:rFonts w:cs="Arial"/>
                <w:color w:val="auto"/>
                <w:sz w:val="16"/>
                <w:szCs w:val="16"/>
              </w:rPr>
              <w:t>5,6</w:t>
            </w:r>
          </w:p>
        </w:tc>
      </w:tr>
      <w:tr w:rsidR="000D6937" w:rsidRPr="006C123E" w14:paraId="2E3F58EC" w14:textId="77777777" w:rsidTr="00323865">
        <w:trPr>
          <w:trHeight w:val="282"/>
        </w:trPr>
        <w:tc>
          <w:tcPr>
            <w:tcW w:w="2669" w:type="pct"/>
            <w:tcBorders>
              <w:top w:val="nil"/>
              <w:left w:val="nil"/>
              <w:bottom w:val="nil"/>
              <w:right w:val="single" w:sz="8" w:space="0" w:color="000000"/>
            </w:tcBorders>
            <w:shd w:val="clear" w:color="auto" w:fill="auto"/>
            <w:noWrap/>
            <w:vAlign w:val="center"/>
            <w:hideMark/>
          </w:tcPr>
          <w:p w14:paraId="6CC851DA" w14:textId="11E8D26D" w:rsidR="000D6937" w:rsidRPr="00115C8A" w:rsidRDefault="000D6937" w:rsidP="001B49EB">
            <w:pPr>
              <w:pStyle w:val="Zkladnodstavec"/>
              <w:spacing w:line="240" w:lineRule="auto"/>
              <w:jc w:val="both"/>
              <w:rPr>
                <w:rFonts w:cs="Arial"/>
                <w:b/>
                <w:sz w:val="16"/>
                <w:szCs w:val="16"/>
              </w:rPr>
            </w:pPr>
            <w:r w:rsidRPr="00115C8A">
              <w:rPr>
                <w:rFonts w:cs="Arial"/>
                <w:sz w:val="16"/>
                <w:szCs w:val="16"/>
              </w:rPr>
              <w:t xml:space="preserve">V Česku </w:t>
            </w:r>
            <w:r w:rsidR="001B49EB">
              <w:rPr>
                <w:rFonts w:cs="Arial"/>
                <w:sz w:val="16"/>
                <w:szCs w:val="16"/>
              </w:rPr>
              <w:t>–</w:t>
            </w:r>
            <w:r w:rsidRPr="00115C8A">
              <w:rPr>
                <w:rFonts w:cs="Arial"/>
                <w:sz w:val="16"/>
                <w:szCs w:val="16"/>
              </w:rPr>
              <w:t xml:space="preserve"> nezjištěno</w:t>
            </w:r>
          </w:p>
        </w:tc>
        <w:tc>
          <w:tcPr>
            <w:tcW w:w="1000" w:type="pct"/>
            <w:tcBorders>
              <w:top w:val="nil"/>
              <w:left w:val="single" w:sz="8" w:space="0" w:color="000000"/>
              <w:bottom w:val="nil"/>
              <w:right w:val="single" w:sz="8" w:space="0" w:color="000000"/>
            </w:tcBorders>
            <w:shd w:val="clear" w:color="auto" w:fill="auto"/>
            <w:noWrap/>
            <w:vAlign w:val="center"/>
            <w:hideMark/>
          </w:tcPr>
          <w:p w14:paraId="5BF8F75A" w14:textId="77777777" w:rsidR="000D6937" w:rsidRPr="00115C8A" w:rsidRDefault="000D6937" w:rsidP="00917551">
            <w:pPr>
              <w:pStyle w:val="Zkladnodstavec"/>
              <w:spacing w:line="240" w:lineRule="auto"/>
              <w:jc w:val="right"/>
              <w:rPr>
                <w:rFonts w:cs="Arial"/>
                <w:color w:val="auto"/>
                <w:sz w:val="16"/>
                <w:szCs w:val="16"/>
              </w:rPr>
            </w:pPr>
            <w:r w:rsidRPr="00115C8A">
              <w:rPr>
                <w:rFonts w:cs="Arial"/>
                <w:color w:val="auto"/>
                <w:sz w:val="16"/>
                <w:szCs w:val="16"/>
              </w:rPr>
              <w:t>3,2</w:t>
            </w:r>
          </w:p>
        </w:tc>
        <w:tc>
          <w:tcPr>
            <w:tcW w:w="1331" w:type="pct"/>
            <w:tcBorders>
              <w:top w:val="nil"/>
              <w:left w:val="single" w:sz="8" w:space="0" w:color="000000"/>
              <w:bottom w:val="nil"/>
            </w:tcBorders>
            <w:shd w:val="clear" w:color="auto" w:fill="auto"/>
            <w:noWrap/>
            <w:vAlign w:val="center"/>
            <w:hideMark/>
          </w:tcPr>
          <w:p w14:paraId="79362BE8" w14:textId="77777777" w:rsidR="000D6937" w:rsidRPr="00115C8A" w:rsidRDefault="000D6937" w:rsidP="00917551">
            <w:pPr>
              <w:pStyle w:val="Zkladnodstavec"/>
              <w:spacing w:line="240" w:lineRule="auto"/>
              <w:jc w:val="right"/>
              <w:rPr>
                <w:rFonts w:cs="Arial"/>
                <w:color w:val="auto"/>
                <w:sz w:val="16"/>
                <w:szCs w:val="16"/>
              </w:rPr>
            </w:pPr>
            <w:r w:rsidRPr="00115C8A">
              <w:rPr>
                <w:rFonts w:cs="Arial"/>
                <w:color w:val="auto"/>
                <w:sz w:val="16"/>
                <w:szCs w:val="16"/>
              </w:rPr>
              <w:t>4,4</w:t>
            </w:r>
          </w:p>
        </w:tc>
      </w:tr>
      <w:tr w:rsidR="000D6937" w:rsidRPr="006C123E" w14:paraId="109D6C50" w14:textId="77777777" w:rsidTr="00323865">
        <w:trPr>
          <w:trHeight w:val="132"/>
        </w:trPr>
        <w:tc>
          <w:tcPr>
            <w:tcW w:w="2669" w:type="pct"/>
            <w:tcBorders>
              <w:top w:val="nil"/>
              <w:left w:val="nil"/>
              <w:bottom w:val="nil"/>
              <w:right w:val="single" w:sz="8" w:space="0" w:color="000000"/>
            </w:tcBorders>
            <w:shd w:val="clear" w:color="auto" w:fill="auto"/>
            <w:noWrap/>
            <w:vAlign w:val="center"/>
            <w:hideMark/>
          </w:tcPr>
          <w:p w14:paraId="4F43101A" w14:textId="77777777" w:rsidR="000D6937" w:rsidRPr="00115C8A" w:rsidRDefault="000D6937" w:rsidP="00917551">
            <w:pPr>
              <w:pStyle w:val="Zkladnodstavec"/>
              <w:spacing w:line="240" w:lineRule="auto"/>
              <w:jc w:val="both"/>
              <w:rPr>
                <w:rFonts w:cs="Arial"/>
                <w:sz w:val="16"/>
                <w:szCs w:val="16"/>
              </w:rPr>
            </w:pPr>
            <w:r w:rsidRPr="00115C8A">
              <w:rPr>
                <w:rFonts w:cs="Arial"/>
                <w:sz w:val="16"/>
                <w:szCs w:val="16"/>
              </w:rPr>
              <w:t>Nezjištěno</w:t>
            </w:r>
          </w:p>
        </w:tc>
        <w:tc>
          <w:tcPr>
            <w:tcW w:w="1000" w:type="pct"/>
            <w:tcBorders>
              <w:top w:val="nil"/>
              <w:left w:val="single" w:sz="8" w:space="0" w:color="000000"/>
              <w:bottom w:val="nil"/>
              <w:right w:val="single" w:sz="8" w:space="0" w:color="000000"/>
            </w:tcBorders>
            <w:shd w:val="clear" w:color="auto" w:fill="auto"/>
            <w:noWrap/>
            <w:vAlign w:val="center"/>
            <w:hideMark/>
          </w:tcPr>
          <w:p w14:paraId="5ACDA264" w14:textId="77777777" w:rsidR="000D6937" w:rsidRPr="00115C8A" w:rsidRDefault="000D6937" w:rsidP="00917551">
            <w:pPr>
              <w:pStyle w:val="Zkladnodstavec"/>
              <w:spacing w:line="240" w:lineRule="auto"/>
              <w:jc w:val="right"/>
              <w:rPr>
                <w:rFonts w:cs="Arial"/>
                <w:color w:val="auto"/>
                <w:sz w:val="16"/>
                <w:szCs w:val="16"/>
              </w:rPr>
            </w:pPr>
            <w:r w:rsidRPr="00115C8A">
              <w:rPr>
                <w:rFonts w:cs="Arial"/>
                <w:color w:val="auto"/>
                <w:sz w:val="16"/>
                <w:szCs w:val="16"/>
              </w:rPr>
              <w:t>0,0</w:t>
            </w:r>
          </w:p>
        </w:tc>
        <w:tc>
          <w:tcPr>
            <w:tcW w:w="1331" w:type="pct"/>
            <w:tcBorders>
              <w:top w:val="nil"/>
              <w:left w:val="single" w:sz="8" w:space="0" w:color="000000"/>
              <w:bottom w:val="nil"/>
            </w:tcBorders>
            <w:shd w:val="clear" w:color="auto" w:fill="auto"/>
            <w:noWrap/>
            <w:vAlign w:val="center"/>
            <w:hideMark/>
          </w:tcPr>
          <w:p w14:paraId="1DDBB437" w14:textId="77777777" w:rsidR="000D6937" w:rsidRPr="00115C8A" w:rsidRDefault="000D6937" w:rsidP="00917551">
            <w:pPr>
              <w:pStyle w:val="Zkladnodstavec"/>
              <w:spacing w:line="240" w:lineRule="auto"/>
              <w:jc w:val="right"/>
              <w:rPr>
                <w:rFonts w:cs="Arial"/>
                <w:color w:val="auto"/>
                <w:sz w:val="16"/>
                <w:szCs w:val="16"/>
              </w:rPr>
            </w:pPr>
            <w:r w:rsidRPr="00115C8A">
              <w:rPr>
                <w:rFonts w:cs="Arial"/>
                <w:color w:val="auto"/>
                <w:sz w:val="16"/>
                <w:szCs w:val="16"/>
              </w:rPr>
              <w:t>0,0</w:t>
            </w:r>
          </w:p>
        </w:tc>
      </w:tr>
      <w:tr w:rsidR="000D6937" w:rsidRPr="006C123E" w14:paraId="44E9D4C4" w14:textId="77777777" w:rsidTr="00810F97">
        <w:trPr>
          <w:trHeight w:val="170"/>
        </w:trPr>
        <w:tc>
          <w:tcPr>
            <w:tcW w:w="2669" w:type="pct"/>
            <w:tcBorders>
              <w:top w:val="nil"/>
              <w:left w:val="nil"/>
              <w:bottom w:val="nil"/>
              <w:right w:val="nil"/>
            </w:tcBorders>
            <w:shd w:val="clear" w:color="auto" w:fill="auto"/>
            <w:vAlign w:val="center"/>
            <w:hideMark/>
          </w:tcPr>
          <w:p w14:paraId="0250F3BC" w14:textId="77777777" w:rsidR="000D6937" w:rsidRPr="006C123E" w:rsidRDefault="000D6937" w:rsidP="00917551">
            <w:pPr>
              <w:pStyle w:val="Zkladnodstavec"/>
              <w:spacing w:line="240" w:lineRule="auto"/>
              <w:jc w:val="both"/>
              <w:rPr>
                <w:rFonts w:cs="Arial"/>
                <w:sz w:val="16"/>
                <w:szCs w:val="16"/>
              </w:rPr>
            </w:pPr>
          </w:p>
        </w:tc>
        <w:tc>
          <w:tcPr>
            <w:tcW w:w="1000" w:type="pct"/>
            <w:tcBorders>
              <w:top w:val="nil"/>
              <w:left w:val="nil"/>
              <w:bottom w:val="nil"/>
              <w:right w:val="nil"/>
            </w:tcBorders>
            <w:shd w:val="clear" w:color="auto" w:fill="auto"/>
            <w:noWrap/>
            <w:vAlign w:val="bottom"/>
            <w:hideMark/>
          </w:tcPr>
          <w:p w14:paraId="76A32F63" w14:textId="77777777" w:rsidR="000D6937" w:rsidRPr="006C123E" w:rsidRDefault="000D6937" w:rsidP="00917551">
            <w:pPr>
              <w:pStyle w:val="Zkladnodstavec"/>
              <w:spacing w:line="240" w:lineRule="auto"/>
              <w:jc w:val="both"/>
              <w:rPr>
                <w:rFonts w:cs="Arial"/>
                <w:sz w:val="16"/>
                <w:szCs w:val="16"/>
              </w:rPr>
            </w:pPr>
          </w:p>
        </w:tc>
        <w:tc>
          <w:tcPr>
            <w:tcW w:w="1331" w:type="pct"/>
            <w:tcBorders>
              <w:top w:val="nil"/>
              <w:left w:val="nil"/>
              <w:bottom w:val="nil"/>
              <w:right w:val="nil"/>
            </w:tcBorders>
            <w:shd w:val="clear" w:color="auto" w:fill="auto"/>
            <w:noWrap/>
            <w:vAlign w:val="bottom"/>
            <w:hideMark/>
          </w:tcPr>
          <w:p w14:paraId="6D5DDCBB" w14:textId="77777777" w:rsidR="000D6937" w:rsidRPr="006C123E" w:rsidRDefault="000D6937" w:rsidP="00917551">
            <w:pPr>
              <w:pStyle w:val="Zkladnodstavec"/>
              <w:spacing w:line="240" w:lineRule="auto"/>
              <w:jc w:val="both"/>
              <w:rPr>
                <w:rFonts w:cs="Arial"/>
                <w:sz w:val="16"/>
                <w:szCs w:val="16"/>
              </w:rPr>
            </w:pPr>
          </w:p>
        </w:tc>
      </w:tr>
    </w:tbl>
    <w:p w14:paraId="59942D28" w14:textId="77777777" w:rsidR="000D6937" w:rsidRPr="00EA5211" w:rsidRDefault="000D6937" w:rsidP="00DA2AAF">
      <w:pPr>
        <w:spacing w:after="120" w:line="240" w:lineRule="auto"/>
        <w:jc w:val="both"/>
        <w:rPr>
          <w:i/>
          <w:sz w:val="18"/>
          <w:szCs w:val="18"/>
        </w:rPr>
      </w:pPr>
      <w:r w:rsidRPr="00EA5211">
        <w:rPr>
          <w:i/>
          <w:sz w:val="18"/>
          <w:szCs w:val="18"/>
        </w:rPr>
        <w:t>Zdroj: Sčítání lidu, domů a bytů 2021 ČSÚ</w:t>
      </w:r>
    </w:p>
    <w:p w14:paraId="392C2789" w14:textId="77777777" w:rsidR="00DA2AAF" w:rsidRDefault="000D6937" w:rsidP="00917551">
      <w:pPr>
        <w:spacing w:line="240" w:lineRule="auto"/>
        <w:jc w:val="both"/>
      </w:pPr>
      <w:r>
        <w:lastRenderedPageBreak/>
        <w:t xml:space="preserve">Za bydliště po narození mohla být ve sčítacím formuláři také označena jiná obec stejného okresu, jiný okres stejného kraje, jiný kraj, zahraničí nebo blíže nespecifikované místo v Česku (minimální část respondentů otázku nezodpověděla). </w:t>
      </w:r>
    </w:p>
    <w:p w14:paraId="0C2EE8B2" w14:textId="3326D3B7" w:rsidR="000D6937" w:rsidRDefault="000D6937" w:rsidP="00917551">
      <w:pPr>
        <w:spacing w:line="240" w:lineRule="auto"/>
        <w:jc w:val="both"/>
      </w:pPr>
      <w:r>
        <w:t>Podíl každé z těchto kategorií byl mezi celou populací a</w:t>
      </w:r>
      <w:r w:rsidR="00E74EA7">
        <w:t> </w:t>
      </w:r>
      <w:r>
        <w:t>populací seniorů přibližně stejný. Populace seniorů se tedy ve výsledku lišila hlavně nižším zastoupením osob s bydlištěm ve stejné ob</w:t>
      </w:r>
      <w:r w:rsidR="00D83716">
        <w:t>ci při narození i při sčítání a </w:t>
      </w:r>
      <w:r>
        <w:t>vyšším zastoupením osob s prvním bydlištěm v jiném kraji než při sčítání.</w:t>
      </w:r>
    </w:p>
    <w:p w14:paraId="7EA199D3" w14:textId="206D653E" w:rsidR="000D6937" w:rsidRPr="001B1A7F" w:rsidRDefault="000D6937" w:rsidP="00526908">
      <w:pPr>
        <w:pStyle w:val="Nadpis3"/>
        <w:numPr>
          <w:ilvl w:val="1"/>
          <w:numId w:val="15"/>
        </w:numPr>
        <w:spacing w:after="240"/>
        <w:ind w:left="1077"/>
        <w:rPr>
          <w:color w:val="BC091B"/>
          <w:sz w:val="28"/>
          <w:szCs w:val="28"/>
        </w:rPr>
      </w:pPr>
      <w:bookmarkStart w:id="19" w:name="_Toc121211623"/>
      <w:r w:rsidRPr="001B1A7F">
        <w:rPr>
          <w:color w:val="BC091B"/>
          <w:sz w:val="28"/>
          <w:szCs w:val="28"/>
        </w:rPr>
        <w:t>Srovnání prvního obvyklého bydliště po</w:t>
      </w:r>
      <w:r w:rsidR="001B1A7F">
        <w:rPr>
          <w:color w:val="BC091B"/>
          <w:sz w:val="28"/>
          <w:szCs w:val="28"/>
        </w:rPr>
        <w:t> </w:t>
      </w:r>
      <w:r w:rsidRPr="001B1A7F">
        <w:rPr>
          <w:color w:val="BC091B"/>
          <w:sz w:val="28"/>
          <w:szCs w:val="28"/>
        </w:rPr>
        <w:t>narození podle</w:t>
      </w:r>
      <w:r w:rsidR="00BA35A2" w:rsidRPr="001B1A7F">
        <w:rPr>
          <w:color w:val="BC091B"/>
          <w:sz w:val="28"/>
          <w:szCs w:val="28"/>
        </w:rPr>
        <w:t> </w:t>
      </w:r>
      <w:r w:rsidRPr="001B1A7F">
        <w:rPr>
          <w:color w:val="BC091B"/>
          <w:sz w:val="28"/>
          <w:szCs w:val="28"/>
        </w:rPr>
        <w:t>věku</w:t>
      </w:r>
      <w:bookmarkEnd w:id="19"/>
    </w:p>
    <w:p w14:paraId="7C372418" w14:textId="0015C26F" w:rsidR="000D6937" w:rsidRDefault="000D6937" w:rsidP="00917551">
      <w:pPr>
        <w:spacing w:line="240" w:lineRule="auto"/>
        <w:jc w:val="both"/>
      </w:pPr>
      <w:r>
        <w:t xml:space="preserve">Shoda či neshoda prvního obvyklého bydliště po narození s obvyklým bydlištěm v době sčítání byla různá v závislosti na věku </w:t>
      </w:r>
      <w:r w:rsidR="00946378">
        <w:t>(g</w:t>
      </w:r>
      <w:r w:rsidRPr="00BA35A2">
        <w:t>raf 2.1).</w:t>
      </w:r>
      <w:r>
        <w:t xml:space="preserve"> Obec prvního bydliště po narození byla u všech pětiletých věkových skupin vyjma dvou nejčastěji totožná s obcí při sčítání. Dvěma výjimečnými skupinami jsou skupiny nejstarších obyvatel ve věku 95–99 let a 100 a více let, kteří měli obvyklé bydliště po narození nejčastěji v jiném kraji.</w:t>
      </w:r>
    </w:p>
    <w:p w14:paraId="6A70AD71" w14:textId="40EDEDA3" w:rsidR="000D6937" w:rsidRDefault="000D6937" w:rsidP="00917551">
      <w:pPr>
        <w:spacing w:line="240" w:lineRule="auto"/>
        <w:jc w:val="both"/>
      </w:pPr>
      <w:r>
        <w:t>Zastoupení rodáků, tedy obyvatel, kteří měli obec bydliště po narození shodnou s obcí bydliště při sčítání, bylo s 87,4</w:t>
      </w:r>
      <w:r w:rsidR="00D378F2">
        <w:t> </w:t>
      </w:r>
      <w:r>
        <w:t>% nejvyšší ve věku 0–4 let a klesalo s věkem na hodnotu 42,1</w:t>
      </w:r>
      <w:r w:rsidR="00D378F2">
        <w:t> </w:t>
      </w:r>
      <w:r>
        <w:t>% až do 35–39 let. Nad 40</w:t>
      </w:r>
      <w:r w:rsidR="00D378F2">
        <w:t> </w:t>
      </w:r>
      <w:r>
        <w:t>% se drželo do věku 70–74 let a s vyšším věkem dále klesalo.</w:t>
      </w:r>
    </w:p>
    <w:p w14:paraId="3BFD3326" w14:textId="273AA7CF" w:rsidR="000D6937" w:rsidRDefault="000D6937" w:rsidP="00917551">
      <w:pPr>
        <w:spacing w:line="240" w:lineRule="auto"/>
        <w:jc w:val="both"/>
      </w:pPr>
      <w:r>
        <w:t>Obyvatelé s prvním bydlištěm v jiné obci stejného okresu tvořili nejvyšších 18,3</w:t>
      </w:r>
      <w:r w:rsidR="00D378F2">
        <w:t> </w:t>
      </w:r>
      <w:r>
        <w:t>% obyvatel ve věku 60–64 let. Podíl obyvatel s prvním bydlištěm v jiném okrese stejného kraje rostl s věkem a dosáhl nejvyšších 11,4</w:t>
      </w:r>
      <w:r w:rsidR="00D378F2">
        <w:t> </w:t>
      </w:r>
      <w:r>
        <w:t>% ve věku 95–99 let.</w:t>
      </w:r>
      <w:r w:rsidR="00792ACA">
        <w:t xml:space="preserve"> </w:t>
      </w:r>
      <w:r>
        <w:t>Jiný kraj byl druhým nejčastějším bydlištěm po narození pro osoby od věku 25–29 let do věku 90–94 let. Každá desátá osoba ve věku 25–29, 30–34, 35–39 let a 100 a více let měla první bydliště v zahraničí. Podíl obyvatel s bydlištěm po narození v Česku bez bližší</w:t>
      </w:r>
      <w:r w:rsidR="00150B51">
        <w:t>ho určení dosáhl nejvyšších 8,0 </w:t>
      </w:r>
      <w:r>
        <w:t>% u nejstarší věkové skupiny.</w:t>
      </w:r>
    </w:p>
    <w:p w14:paraId="7BA0018F" w14:textId="0795051E" w:rsidR="00630C07" w:rsidRDefault="000D6937" w:rsidP="00917551">
      <w:pPr>
        <w:spacing w:line="240" w:lineRule="auto"/>
        <w:jc w:val="both"/>
      </w:pPr>
      <w:r>
        <w:t>Senioři tak v téměř všech pětiletých věkových skupinách vykazovaly s věkem klesající podíl rodáků a osob s prvním bydlištěm v jiné obci stejného okresu a naopak rostoucí zastoupení osob s prvním bydlištěm v jiném okrese stejného kraje, v jiném kraji, v zahraničí a v blíže neurčené obci v Česku.</w:t>
      </w:r>
    </w:p>
    <w:p w14:paraId="4468B31A" w14:textId="320B0EE2" w:rsidR="000D6937" w:rsidRPr="00314693" w:rsidRDefault="000D6937" w:rsidP="00273982">
      <w:pPr>
        <w:spacing w:before="60" w:after="0" w:line="240" w:lineRule="auto"/>
        <w:ind w:left="709" w:hanging="709"/>
        <w:rPr>
          <w:b/>
        </w:rPr>
      </w:pPr>
      <w:r w:rsidRPr="00314693">
        <w:rPr>
          <w:b/>
        </w:rPr>
        <w:lastRenderedPageBreak/>
        <w:t xml:space="preserve">Graf </w:t>
      </w:r>
      <w:r>
        <w:rPr>
          <w:b/>
        </w:rPr>
        <w:t>2.</w:t>
      </w:r>
      <w:r w:rsidRPr="00314693">
        <w:rPr>
          <w:b/>
        </w:rPr>
        <w:t>1 Podíl obyvatel podle obce</w:t>
      </w:r>
      <w:r>
        <w:rPr>
          <w:b/>
        </w:rPr>
        <w:t xml:space="preserve"> prvního obvyklého bydliště</w:t>
      </w:r>
      <w:r w:rsidRPr="00314693">
        <w:rPr>
          <w:b/>
        </w:rPr>
        <w:t xml:space="preserve"> </w:t>
      </w:r>
      <w:r w:rsidR="00273982">
        <w:rPr>
          <w:b/>
        </w:rPr>
        <w:br/>
        <w:t xml:space="preserve"> </w:t>
      </w:r>
      <w:r w:rsidRPr="00314693">
        <w:rPr>
          <w:b/>
        </w:rPr>
        <w:t>po</w:t>
      </w:r>
      <w:r w:rsidR="009963A2">
        <w:rPr>
          <w:b/>
        </w:rPr>
        <w:t> </w:t>
      </w:r>
      <w:r w:rsidRPr="00314693">
        <w:rPr>
          <w:b/>
        </w:rPr>
        <w:t>narození</w:t>
      </w:r>
      <w:r>
        <w:rPr>
          <w:b/>
        </w:rPr>
        <w:t xml:space="preserve"> ve věkových skupinách podle Sčítání 2021 (v</w:t>
      </w:r>
      <w:r w:rsidR="00D378F2">
        <w:rPr>
          <w:b/>
        </w:rPr>
        <w:t> </w:t>
      </w:r>
      <w:r>
        <w:rPr>
          <w:b/>
        </w:rPr>
        <w:t>%)</w:t>
      </w:r>
    </w:p>
    <w:p w14:paraId="7FABB280" w14:textId="51A92E26" w:rsidR="000D6937" w:rsidRDefault="00583E41" w:rsidP="00917551">
      <w:pPr>
        <w:spacing w:after="60" w:line="240" w:lineRule="auto"/>
        <w:jc w:val="both"/>
        <w:rPr>
          <w:i/>
          <w:sz w:val="18"/>
          <w:szCs w:val="18"/>
        </w:rPr>
      </w:pPr>
      <w:r>
        <w:rPr>
          <w:noProof/>
        </w:rPr>
        <w:drawing>
          <wp:inline distT="0" distB="0" distL="0" distR="0" wp14:anchorId="625C3C19" wp14:editId="0D0FE6DB">
            <wp:extent cx="4247515" cy="2969971"/>
            <wp:effectExtent l="0" t="0" r="635" b="1905"/>
            <wp:docPr id="1" name="Graf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EBD255" w14:textId="77777777" w:rsidR="000D6937" w:rsidRPr="00EA5211" w:rsidRDefault="000D6937" w:rsidP="00273982">
      <w:pPr>
        <w:jc w:val="both"/>
        <w:rPr>
          <w:i/>
          <w:sz w:val="18"/>
          <w:szCs w:val="18"/>
        </w:rPr>
      </w:pPr>
      <w:r w:rsidRPr="00EA5211">
        <w:rPr>
          <w:i/>
          <w:sz w:val="18"/>
          <w:szCs w:val="18"/>
        </w:rPr>
        <w:t>Zdroj: Sčítání lidu, domů a bytů 2021 ČSÚ</w:t>
      </w:r>
    </w:p>
    <w:p w14:paraId="7AEF2D4F" w14:textId="51F3017B" w:rsidR="000D6937" w:rsidRPr="001B1A7F" w:rsidRDefault="000D6937" w:rsidP="00BC265B">
      <w:pPr>
        <w:pStyle w:val="Nadpis3"/>
        <w:numPr>
          <w:ilvl w:val="1"/>
          <w:numId w:val="15"/>
        </w:numPr>
        <w:spacing w:after="240"/>
        <w:ind w:left="1077"/>
        <w:rPr>
          <w:color w:val="BC091B"/>
          <w:sz w:val="28"/>
          <w:szCs w:val="28"/>
        </w:rPr>
      </w:pPr>
      <w:bookmarkStart w:id="20" w:name="_Toc121211624"/>
      <w:r w:rsidRPr="001B1A7F">
        <w:rPr>
          <w:color w:val="BC091B"/>
          <w:sz w:val="28"/>
          <w:szCs w:val="28"/>
        </w:rPr>
        <w:t>Srovnání prvního obvyklého bydliště po</w:t>
      </w:r>
      <w:r w:rsidR="000650A9">
        <w:rPr>
          <w:color w:val="BC091B"/>
          <w:sz w:val="28"/>
          <w:szCs w:val="28"/>
        </w:rPr>
        <w:t> </w:t>
      </w:r>
      <w:r w:rsidRPr="001B1A7F">
        <w:rPr>
          <w:color w:val="BC091B"/>
          <w:sz w:val="28"/>
          <w:szCs w:val="28"/>
        </w:rPr>
        <w:t>narození seniorů podle krajů</w:t>
      </w:r>
      <w:bookmarkEnd w:id="20"/>
    </w:p>
    <w:p w14:paraId="4F082DBB" w14:textId="21257FC1" w:rsidR="000D6937" w:rsidRDefault="000D6937" w:rsidP="00917551">
      <w:pPr>
        <w:spacing w:line="240" w:lineRule="auto"/>
        <w:jc w:val="both"/>
      </w:pPr>
      <w:r>
        <w:t>Podíl seniorů ve věku 65 a více let podle prvního obvyklého bydliště po</w:t>
      </w:r>
      <w:r w:rsidR="00E74EA7">
        <w:t> </w:t>
      </w:r>
      <w:r>
        <w:t>narození</w:t>
      </w:r>
      <w:r w:rsidR="00946378">
        <w:t xml:space="preserve"> se významně lišil mezi kraji (g</w:t>
      </w:r>
      <w:r>
        <w:t>raf</w:t>
      </w:r>
      <w:r w:rsidR="00AF4CBA">
        <w:t> </w:t>
      </w:r>
      <w:r>
        <w:t>2.2). Senioři v krajích Karlovarském, Ústeckém a Libereckém byli rodáky v nejmenší míře. Ve</w:t>
      </w:r>
      <w:r w:rsidR="00E74EA7">
        <w:t> </w:t>
      </w:r>
      <w:r>
        <w:t>jmenovaném Karlovarském kraji byl rodákem jen zhruba každý čtvrtý senior (podíl 24,3</w:t>
      </w:r>
      <w:r w:rsidR="00D378F2">
        <w:t> </w:t>
      </w:r>
      <w:r>
        <w:t>%). Naproti tomu byla rodáky více než polovina seniorů žijících v Hlavním městě Praze. Je třeba doplnit, že tyto podíly jsou ovlivněny několika faktory. Skutečnost, že Karlovarský kraj je nejmenším z krajů, pochopitelně snižuje pravděpodobnost, že senior tam bude rodákem. Další důležitou skutečností je to, že Hlavní město Praha je zároveň obec, okres i</w:t>
      </w:r>
      <w:r w:rsidR="00E74EA7">
        <w:t> </w:t>
      </w:r>
      <w:r>
        <w:t>kraj, a kategorie „v obci obvyklého pobytu“, „v jiné obci okresu obvyklého pobytu“ a „v jiném okrese kraje obvyklého pobytu“ v případě Hlavního města Prahy společně spadají do kategorie „v obci obvyklého pobytu“.</w:t>
      </w:r>
    </w:p>
    <w:p w14:paraId="07CF4B49" w14:textId="3747826A" w:rsidR="000D6937" w:rsidRDefault="000D6937" w:rsidP="00917551">
      <w:pPr>
        <w:spacing w:line="240" w:lineRule="auto"/>
        <w:jc w:val="both"/>
      </w:pPr>
      <w:r>
        <w:lastRenderedPageBreak/>
        <w:t>Nejvyšší podíl seniorů s prvním bydliště po narození v jiné obci stejného okresu měl Kraj Vysočina. Tento podíl přesáhl jednu čtvrtinu (26,8</w:t>
      </w:r>
      <w:r w:rsidR="00E649A2">
        <w:t> </w:t>
      </w:r>
      <w:r>
        <w:t>%). Naopak nejnižších 11,9</w:t>
      </w:r>
      <w:r w:rsidR="00D378F2">
        <w:t> </w:t>
      </w:r>
      <w:r>
        <w:t>% dosáhl v Karlovarském kraji. Karlovarský kraj měl také nejnižší podíl seniorů s prvním bydlištěm po narození v jiném okrese téhož kraje, kdy</w:t>
      </w:r>
      <w:r w:rsidR="00E649A2">
        <w:t>ž tento podíl přesáhl pouhých 5 </w:t>
      </w:r>
      <w:r>
        <w:t>%. Na opačné straně žebříčku byl Plzeňský kraj, jehož skoro každý pátý senior žil po narození v jiném okrese Plzeňského kraje.</w:t>
      </w:r>
    </w:p>
    <w:p w14:paraId="3687D5A9" w14:textId="00BE09C0" w:rsidR="000D6937" w:rsidRDefault="000D6937" w:rsidP="0062458A">
      <w:pPr>
        <w:spacing w:before="60" w:after="0" w:line="240" w:lineRule="auto"/>
        <w:ind w:left="709" w:hanging="709"/>
        <w:rPr>
          <w:b/>
        </w:rPr>
      </w:pPr>
      <w:r>
        <w:rPr>
          <w:b/>
        </w:rPr>
        <w:t>Graf 2.2</w:t>
      </w:r>
      <w:r w:rsidRPr="00314693">
        <w:rPr>
          <w:b/>
        </w:rPr>
        <w:t xml:space="preserve"> Podíl </w:t>
      </w:r>
      <w:r>
        <w:rPr>
          <w:b/>
        </w:rPr>
        <w:t xml:space="preserve">seniorů </w:t>
      </w:r>
      <w:r w:rsidRPr="00314693">
        <w:rPr>
          <w:b/>
        </w:rPr>
        <w:t>podle obce</w:t>
      </w:r>
      <w:r>
        <w:rPr>
          <w:b/>
        </w:rPr>
        <w:t xml:space="preserve"> prvního obvyklého bydliště</w:t>
      </w:r>
      <w:r w:rsidR="00273982">
        <w:rPr>
          <w:b/>
        </w:rPr>
        <w:t xml:space="preserve"> po</w:t>
      </w:r>
      <w:r w:rsidR="00273982">
        <w:rPr>
          <w:b/>
        </w:rPr>
        <w:br/>
        <w:t xml:space="preserve">  </w:t>
      </w:r>
      <w:r w:rsidRPr="00314693">
        <w:rPr>
          <w:b/>
        </w:rPr>
        <w:t>narození</w:t>
      </w:r>
      <w:r>
        <w:rPr>
          <w:b/>
        </w:rPr>
        <w:t xml:space="preserve"> </w:t>
      </w:r>
      <w:r w:rsidR="00D378F2">
        <w:rPr>
          <w:b/>
        </w:rPr>
        <w:t>v krajích podle Sčítání 2021 (v </w:t>
      </w:r>
      <w:r>
        <w:rPr>
          <w:b/>
        </w:rPr>
        <w:t>%)</w:t>
      </w:r>
    </w:p>
    <w:p w14:paraId="141C7955" w14:textId="2D4B4336" w:rsidR="000D6937" w:rsidRDefault="00583E41" w:rsidP="00917551">
      <w:pPr>
        <w:spacing w:after="60" w:line="240" w:lineRule="auto"/>
        <w:jc w:val="both"/>
        <w:rPr>
          <w:i/>
          <w:sz w:val="18"/>
          <w:szCs w:val="18"/>
        </w:rPr>
      </w:pPr>
      <w:r>
        <w:rPr>
          <w:noProof/>
        </w:rPr>
        <w:drawing>
          <wp:inline distT="0" distB="0" distL="0" distR="0" wp14:anchorId="3B5E2996" wp14:editId="4380D177">
            <wp:extent cx="4247515" cy="3284525"/>
            <wp:effectExtent l="0" t="0" r="635" b="0"/>
            <wp:docPr id="10" name="Graf 10">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67698D" w14:textId="77777777" w:rsidR="000D6937" w:rsidRPr="000E3034" w:rsidRDefault="000D6937" w:rsidP="00E649A2">
      <w:pPr>
        <w:spacing w:after="120" w:line="240" w:lineRule="auto"/>
        <w:jc w:val="both"/>
        <w:rPr>
          <w:sz w:val="14"/>
          <w:szCs w:val="14"/>
        </w:rPr>
      </w:pPr>
      <w:r w:rsidRPr="00EA5211">
        <w:rPr>
          <w:i/>
          <w:sz w:val="18"/>
          <w:szCs w:val="18"/>
        </w:rPr>
        <w:t>Zdroj: Sčítání lidu, domů a bytů 2021 ČSÚ</w:t>
      </w:r>
    </w:p>
    <w:p w14:paraId="51491E7D" w14:textId="7B822787" w:rsidR="0025052A" w:rsidRDefault="000D6937" w:rsidP="00917551">
      <w:pPr>
        <w:spacing w:line="240" w:lineRule="auto"/>
        <w:jc w:val="both"/>
      </w:pPr>
      <w:r>
        <w:t>Jiný kraj byl prvním bydlištěm více než třetiny seniorů Libereckého kraje, Hlavního města Prahy a Karlovarského kraje. V posledním zmíněném měli čtyři z deseti seniorů bydliště po narození v jiném kraji. Naproti tomu v jiném kraji žilo po narození relativně nejméně seniorů v pásu Jihomoravského, Zlínského, Moravskoslezského a Olomouckého kraje.</w:t>
      </w:r>
    </w:p>
    <w:p w14:paraId="4B335037" w14:textId="77777777" w:rsidR="0025052A" w:rsidRDefault="0025052A">
      <w:pPr>
        <w:spacing w:after="0" w:line="240" w:lineRule="auto"/>
      </w:pPr>
      <w:r>
        <w:br w:type="page"/>
      </w:r>
    </w:p>
    <w:p w14:paraId="7D237A32" w14:textId="71E5A8F4" w:rsidR="000D6937" w:rsidRDefault="000D6937" w:rsidP="00917551">
      <w:pPr>
        <w:spacing w:line="240" w:lineRule="auto"/>
        <w:jc w:val="both"/>
      </w:pPr>
      <w:r>
        <w:lastRenderedPageBreak/>
        <w:t>Již tolikrát zmiňovaný Karlovarský kraj byl odlišný od ostatních krajů také vyšším podílem seniorů s bydlištěm po narození v zah</w:t>
      </w:r>
      <w:r w:rsidR="00D378F2">
        <w:t>raničí. Tento podíl dosáhl 12,9 </w:t>
      </w:r>
      <w:r>
        <w:t>% a byl následován až podílem 8,3</w:t>
      </w:r>
      <w:r w:rsidR="00D378F2">
        <w:t> </w:t>
      </w:r>
      <w:r>
        <w:t>% v Moravskoslezském kraji. Podíl obyvatel, kteří své první bydliště po narození měli v Česku bez bližší specifikace, se v krajích pohyboval mezi 4,1</w:t>
      </w:r>
      <w:r w:rsidR="00E649A2">
        <w:t> </w:t>
      </w:r>
      <w:r>
        <w:t>% a 4,7</w:t>
      </w:r>
      <w:r w:rsidR="00E649A2">
        <w:t> </w:t>
      </w:r>
      <w:r>
        <w:t>%.</w:t>
      </w:r>
    </w:p>
    <w:p w14:paraId="7594C7A7" w14:textId="1ED487E0" w:rsidR="00583E41" w:rsidRDefault="000D6937" w:rsidP="00917551">
      <w:pPr>
        <w:spacing w:line="240" w:lineRule="auto"/>
        <w:jc w:val="both"/>
      </w:pPr>
      <w:r>
        <w:t>Zajímavé je zjištění, jaký byl kraj prvního bydliště seniorů s prvním bydlištěm v jiném kraji. Téměř každý osmý (podíl 12,6</w:t>
      </w:r>
      <w:r w:rsidR="00D378F2">
        <w:t> </w:t>
      </w:r>
      <w:r>
        <w:t>%) senior, který žil v době sčítání ve Středočeském kraji, žil po n</w:t>
      </w:r>
      <w:r w:rsidR="00CB6235">
        <w:t>arození v Hlavním městě Praze a </w:t>
      </w:r>
      <w:r>
        <w:t>každý desátý (podíl 10,2</w:t>
      </w:r>
      <w:r w:rsidR="00D378F2">
        <w:t> </w:t>
      </w:r>
      <w:r>
        <w:t>%) senior, který žil v době sčítání v Hlavním městě Praze, žil po narození ve Středočeském kraji. Žádná další dvojice krajů nedosáhla více než 10</w:t>
      </w:r>
      <w:r w:rsidR="00E649A2">
        <w:t> </w:t>
      </w:r>
      <w:r>
        <w:t>%. Mezi seniory žijícími v Karlovarském kraji bylo 8,1</w:t>
      </w:r>
      <w:r w:rsidR="00E649A2">
        <w:t> </w:t>
      </w:r>
      <w:r>
        <w:t>% s bydlištěm po narození v Plzeňském kraji a 6,1</w:t>
      </w:r>
      <w:r w:rsidR="00E649A2">
        <w:t> </w:t>
      </w:r>
      <w:r>
        <w:t>% s bydlištěm po narození ve Středočeském kraji.</w:t>
      </w:r>
    </w:p>
    <w:p w14:paraId="67BC4102" w14:textId="4905BD11" w:rsidR="000D6937" w:rsidRPr="000650A9" w:rsidRDefault="000D6937" w:rsidP="00CB67BA">
      <w:pPr>
        <w:pStyle w:val="Nadpis3"/>
        <w:numPr>
          <w:ilvl w:val="1"/>
          <w:numId w:val="15"/>
        </w:numPr>
        <w:spacing w:after="240"/>
        <w:ind w:left="1077"/>
        <w:rPr>
          <w:color w:val="BC091B"/>
          <w:sz w:val="28"/>
          <w:szCs w:val="28"/>
        </w:rPr>
      </w:pPr>
      <w:bookmarkStart w:id="21" w:name="_Toc121211625"/>
      <w:r w:rsidRPr="000650A9">
        <w:rPr>
          <w:color w:val="BC091B"/>
          <w:sz w:val="28"/>
          <w:szCs w:val="28"/>
        </w:rPr>
        <w:t>Srovnání prvního obvyklého bydliště po</w:t>
      </w:r>
      <w:r w:rsidR="000650A9">
        <w:rPr>
          <w:color w:val="BC091B"/>
          <w:sz w:val="28"/>
          <w:szCs w:val="28"/>
        </w:rPr>
        <w:t> </w:t>
      </w:r>
      <w:r w:rsidRPr="000650A9">
        <w:rPr>
          <w:color w:val="BC091B"/>
          <w:sz w:val="28"/>
          <w:szCs w:val="28"/>
        </w:rPr>
        <w:t>narození seniorů podle velikostních skupin obcí</w:t>
      </w:r>
      <w:bookmarkEnd w:id="21"/>
    </w:p>
    <w:p w14:paraId="55A6264E" w14:textId="6B1A53B6" w:rsidR="000D6937" w:rsidRDefault="000D6937" w:rsidP="00917551">
      <w:pPr>
        <w:spacing w:line="240" w:lineRule="auto"/>
        <w:jc w:val="both"/>
      </w:pPr>
      <w:r>
        <w:t>Podíl seniorů ve věku 65 a více let podle prvního obvyklého bydliště se lišil také podle velikostních skupin obcí, ačkoliv ty</w:t>
      </w:r>
      <w:r w:rsidR="00946378">
        <w:t>to rozdíly nebyly tak výrazné (g</w:t>
      </w:r>
      <w:r>
        <w:t>raf 2.3). Senioři rodáci tvořili nejnižší podíl 31,1</w:t>
      </w:r>
      <w:r w:rsidR="00CB67BA">
        <w:t> </w:t>
      </w:r>
      <w:r>
        <w:t>% ve velikostní skupině obcí 10 000 až 19 999 obyvatel. Naopak nejvyšší podíl rodáků byl v největší velikostní skupině obcí se 100 000 a více obyvatel</w:t>
      </w:r>
      <w:r w:rsidR="002C207D">
        <w:t>i</w:t>
      </w:r>
      <w:r>
        <w:t>, v které každý druhý senior byl rodák. Jinými slovy každý druhý senior, který žil při sčítání v roce 2021 v obci se 100 000 a více obyvateli, žil v této obci také po narození.</w:t>
      </w:r>
    </w:p>
    <w:p w14:paraId="6218631D" w14:textId="1C1F1375" w:rsidR="00F832D5" w:rsidRDefault="000D6937" w:rsidP="00917551">
      <w:pPr>
        <w:spacing w:line="240" w:lineRule="auto"/>
        <w:jc w:val="both"/>
      </w:pPr>
      <w:r>
        <w:t>V jiné obci stejného okresu mělo bydliště po narození nejvyšší procento (23,7</w:t>
      </w:r>
      <w:r w:rsidR="00CB67BA">
        <w:t> </w:t>
      </w:r>
      <w:r>
        <w:t>%) seniorů v obcích s 200 až 499 obyvateli. Naproti tomu v obcích se</w:t>
      </w:r>
      <w:r w:rsidR="00E74EA7">
        <w:t> </w:t>
      </w:r>
      <w:r>
        <w:t>100 000 a více obyvateli žil po narození v jiné obci téhož okresu pouze každý stý (podíl</w:t>
      </w:r>
      <w:r w:rsidR="00CB67BA">
        <w:t> </w:t>
      </w:r>
      <w:r>
        <w:t>1,4</w:t>
      </w:r>
      <w:r w:rsidR="00CB67BA">
        <w:t> </w:t>
      </w:r>
      <w:r>
        <w:t>%) senior. Tento velice nízký podíl není příliš překvapující při uvážení, že se jedná o seniory, kteří už po narození žili v minimální blízkosti (jiná obec stejného okresu) velkého města (se 100 000 nebo více obyvateli ve sčítání 2021) a do sčítání 2021 se přestěhovali do tohoto blízkého města.</w:t>
      </w:r>
    </w:p>
    <w:p w14:paraId="6F3A3868" w14:textId="77777777" w:rsidR="00F832D5" w:rsidRDefault="00F832D5">
      <w:pPr>
        <w:spacing w:after="0" w:line="240" w:lineRule="auto"/>
      </w:pPr>
      <w:r>
        <w:br w:type="page"/>
      </w:r>
    </w:p>
    <w:p w14:paraId="5C9F3523" w14:textId="31A72965" w:rsidR="000D6937" w:rsidRDefault="000D6937" w:rsidP="00917551">
      <w:pPr>
        <w:spacing w:line="240" w:lineRule="auto"/>
        <w:jc w:val="both"/>
      </w:pPr>
      <w:r>
        <w:lastRenderedPageBreak/>
        <w:t>Jiný okres stejného kraje byl prvním bydlištěm pro nejvyšší podíl seniorů v druhé největší velikostní skupině obcí a naopak pro nejnižší podíl seniorů v největší velikostní skupině obcí. V jiném kraji žil po narození každý pátý senior ve velikostní skupině 500 až 999 obyvatel a téměř každý třetí senior</w:t>
      </w:r>
      <w:r w:rsidR="00CC70E0">
        <w:t xml:space="preserve"> v největší velikostní skupině.</w:t>
      </w:r>
      <w:r w:rsidR="002C207D">
        <w:t xml:space="preserve"> </w:t>
      </w:r>
      <w:r>
        <w:t>Podíl seniorů s prvním bydlištěm v zahraničí dosahoval mezi 3,2</w:t>
      </w:r>
      <w:r w:rsidR="00D378F2">
        <w:t> </w:t>
      </w:r>
      <w:r>
        <w:t>% (do 199 obyvatel) a 6,9</w:t>
      </w:r>
      <w:r w:rsidR="00D378F2">
        <w:t> </w:t>
      </w:r>
      <w:r>
        <w:t>% (20 000 až 49 999 obyvatel).</w:t>
      </w:r>
    </w:p>
    <w:p w14:paraId="62C6653E" w14:textId="1135C306" w:rsidR="000D6937" w:rsidRDefault="000D6937" w:rsidP="0062458A">
      <w:pPr>
        <w:spacing w:before="60" w:after="0" w:line="240" w:lineRule="auto"/>
        <w:ind w:left="709" w:hanging="709"/>
      </w:pPr>
      <w:r w:rsidRPr="0001208F">
        <w:rPr>
          <w:b/>
        </w:rPr>
        <w:t xml:space="preserve">Graf </w:t>
      </w:r>
      <w:r>
        <w:rPr>
          <w:b/>
        </w:rPr>
        <w:t>2.</w:t>
      </w:r>
      <w:r w:rsidRPr="0001208F">
        <w:rPr>
          <w:b/>
        </w:rPr>
        <w:t xml:space="preserve">3 Podíl </w:t>
      </w:r>
      <w:r>
        <w:rPr>
          <w:b/>
        </w:rPr>
        <w:t>seniorů</w:t>
      </w:r>
      <w:r w:rsidRPr="0001208F">
        <w:rPr>
          <w:b/>
        </w:rPr>
        <w:t xml:space="preserve"> podle obce prvního obvyklého bydliště </w:t>
      </w:r>
      <w:r w:rsidR="00273982">
        <w:rPr>
          <w:b/>
        </w:rPr>
        <w:br/>
        <w:t xml:space="preserve"> </w:t>
      </w:r>
      <w:r w:rsidRPr="0001208F">
        <w:rPr>
          <w:b/>
        </w:rPr>
        <w:t>po</w:t>
      </w:r>
      <w:r w:rsidR="009963A2">
        <w:rPr>
          <w:b/>
        </w:rPr>
        <w:t> </w:t>
      </w:r>
      <w:r w:rsidRPr="0001208F">
        <w:rPr>
          <w:b/>
        </w:rPr>
        <w:t xml:space="preserve">narození </w:t>
      </w:r>
      <w:r>
        <w:rPr>
          <w:b/>
        </w:rPr>
        <w:t>ve</w:t>
      </w:r>
      <w:r w:rsidRPr="0001208F">
        <w:rPr>
          <w:b/>
        </w:rPr>
        <w:t xml:space="preserve"> velikostní</w:t>
      </w:r>
      <w:r>
        <w:rPr>
          <w:b/>
        </w:rPr>
        <w:t>ch skupinách</w:t>
      </w:r>
      <w:r w:rsidR="00273982">
        <w:rPr>
          <w:b/>
        </w:rPr>
        <w:t xml:space="preserve"> obcí podle Sčítání 2021</w:t>
      </w:r>
      <w:r w:rsidR="00273982">
        <w:rPr>
          <w:b/>
        </w:rPr>
        <w:br/>
        <w:t xml:space="preserve"> </w:t>
      </w:r>
      <w:r w:rsidRPr="0001208F">
        <w:rPr>
          <w:b/>
        </w:rPr>
        <w:t>(v</w:t>
      </w:r>
      <w:r w:rsidR="00D378F2">
        <w:rPr>
          <w:b/>
        </w:rPr>
        <w:t> </w:t>
      </w:r>
      <w:r w:rsidRPr="0001208F">
        <w:rPr>
          <w:b/>
        </w:rPr>
        <w:t>%)</w:t>
      </w:r>
    </w:p>
    <w:p w14:paraId="7026DA15" w14:textId="3D42D033" w:rsidR="000D6937" w:rsidRDefault="00583E41" w:rsidP="00917551">
      <w:pPr>
        <w:spacing w:after="60" w:line="240" w:lineRule="auto"/>
        <w:jc w:val="both"/>
        <w:rPr>
          <w:i/>
          <w:sz w:val="18"/>
          <w:szCs w:val="18"/>
        </w:rPr>
      </w:pPr>
      <w:r>
        <w:rPr>
          <w:noProof/>
        </w:rPr>
        <w:drawing>
          <wp:inline distT="0" distB="0" distL="0" distR="0" wp14:anchorId="473A0BBE" wp14:editId="266B5A36">
            <wp:extent cx="4247515" cy="3672230"/>
            <wp:effectExtent l="0" t="0" r="635" b="4445"/>
            <wp:docPr id="11" name="Graf 1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893A50" w14:textId="7B7C727E" w:rsidR="00583E41" w:rsidRDefault="000D6937" w:rsidP="00917551">
      <w:pPr>
        <w:spacing w:after="60" w:line="240" w:lineRule="auto"/>
        <w:jc w:val="both"/>
        <w:rPr>
          <w:i/>
          <w:sz w:val="18"/>
          <w:szCs w:val="18"/>
        </w:rPr>
      </w:pPr>
      <w:r w:rsidRPr="00EA5211">
        <w:rPr>
          <w:i/>
          <w:sz w:val="18"/>
          <w:szCs w:val="18"/>
        </w:rPr>
        <w:t>Zdroj: Sčítání lidu, domů a bytů 2021 ČSÚ</w:t>
      </w:r>
    </w:p>
    <w:p w14:paraId="70415677" w14:textId="77777777" w:rsidR="00583E41" w:rsidRDefault="00583E41">
      <w:pPr>
        <w:spacing w:after="0" w:line="240" w:lineRule="auto"/>
        <w:rPr>
          <w:i/>
          <w:sz w:val="18"/>
          <w:szCs w:val="18"/>
        </w:rPr>
      </w:pPr>
      <w:r>
        <w:rPr>
          <w:i/>
          <w:sz w:val="18"/>
          <w:szCs w:val="18"/>
        </w:rPr>
        <w:br w:type="page"/>
      </w:r>
    </w:p>
    <w:p w14:paraId="48F04F3E" w14:textId="278213A5" w:rsidR="00180F84" w:rsidRPr="00A648CC" w:rsidRDefault="00180F84" w:rsidP="00917551">
      <w:pPr>
        <w:pStyle w:val="Nadpis1"/>
        <w:numPr>
          <w:ilvl w:val="0"/>
          <w:numId w:val="15"/>
        </w:numPr>
        <w:spacing w:line="240" w:lineRule="auto"/>
      </w:pPr>
      <w:bookmarkStart w:id="22" w:name="_Toc121211626"/>
      <w:r>
        <w:lastRenderedPageBreak/>
        <w:t>Příjmy a výdaje domácností seniorů</w:t>
      </w:r>
      <w:bookmarkEnd w:id="22"/>
    </w:p>
    <w:p w14:paraId="461CD9C3" w14:textId="28422865" w:rsidR="00180F84" w:rsidRPr="00F85066" w:rsidRDefault="00180F84" w:rsidP="00630C07">
      <w:pPr>
        <w:pStyle w:val="Nadpis2"/>
        <w:numPr>
          <w:ilvl w:val="1"/>
          <w:numId w:val="15"/>
        </w:numPr>
        <w:spacing w:after="240"/>
        <w:ind w:left="1077"/>
        <w:jc w:val="both"/>
        <w:rPr>
          <w:i/>
        </w:rPr>
      </w:pPr>
      <w:bookmarkStart w:id="23" w:name="_Toc121211627"/>
      <w:r>
        <w:t>Velikost a složení domácností seniorů</w:t>
      </w:r>
      <w:bookmarkEnd w:id="23"/>
    </w:p>
    <w:p w14:paraId="75A98A64" w14:textId="1BA069E4" w:rsidR="00180F84" w:rsidRDefault="00180F84" w:rsidP="00917551">
      <w:pPr>
        <w:spacing w:line="240" w:lineRule="auto"/>
        <w:jc w:val="both"/>
      </w:pPr>
      <w:r>
        <w:t>Senioři žijí v České republice spíše v menších domácnostech, 53,8 % jich bydlí a společně hospodaří v rámci dvoučlenných domácností, 31,9 % v jednočlenných, 9,2</w:t>
      </w:r>
      <w:r w:rsidR="00CB67BA">
        <w:t> </w:t>
      </w:r>
      <w:r>
        <w:t>% v tříčlenných a jen zbylých 5,2</w:t>
      </w:r>
      <w:r w:rsidR="00CB67BA">
        <w:t> </w:t>
      </w:r>
      <w:r>
        <w:t>% seniorů je členy čtyř a vícečlenných hospodařících domácností.</w:t>
      </w:r>
    </w:p>
    <w:p w14:paraId="042F1EE9" w14:textId="77777777" w:rsidR="00180F84" w:rsidRDefault="00180F84" w:rsidP="00917551">
      <w:pPr>
        <w:pStyle w:val="Box1"/>
        <w:spacing w:line="240" w:lineRule="auto"/>
        <w:jc w:val="both"/>
      </w:pPr>
      <w:r>
        <w:t>Data získaná z výběrových šetření „Životní podmínky 2021“ a „Statistika rodinných účtů 2021“ přinášejí podrobnější pohled na příjmy a výdaje domácností seniorů. Pro účely této studie jsou za seniory považovány osoby ve věku 65 let a více. Předmětem analýzy jsou příjmy a výdaje jednočlenných a dvoučlenných domácností s alespoň jednou osobou starší 65 let. V těchto domácnostech žije největší podíl seniorů a z hlediska jejich charakteristik jsou více homogenní než tří a vícečlenné domácnosti.</w:t>
      </w:r>
    </w:p>
    <w:p w14:paraId="1EC1786F" w14:textId="78A4839B" w:rsidR="0037500F" w:rsidRDefault="00180F84" w:rsidP="00917551">
      <w:pPr>
        <w:spacing w:line="240" w:lineRule="auto"/>
        <w:jc w:val="both"/>
      </w:pPr>
      <w:r>
        <w:t>V rámci jednočlenných domácností převažují mezi seniory ženy (71,5</w:t>
      </w:r>
      <w:r w:rsidR="00CB67BA">
        <w:t> </w:t>
      </w:r>
      <w:r>
        <w:t>%) oproti mužům (28,5</w:t>
      </w:r>
      <w:r w:rsidR="00CB67BA">
        <w:t> </w:t>
      </w:r>
      <w:r>
        <w:t>%), což souvisí s vyšší nadějí dožití u žen. Dvoučlenné hospodařící domácnosti seniorů jsou tvořeny z 83,4</w:t>
      </w:r>
      <w:r w:rsidR="00CB67BA">
        <w:t> </w:t>
      </w:r>
      <w:r>
        <w:t>% partnerským párem, přičemž u více než tří čtvrtin partnerských párů (77,8</w:t>
      </w:r>
      <w:r w:rsidR="00CB67BA">
        <w:t> </w:t>
      </w:r>
      <w:r>
        <w:t>%) jsou oba partneři starší 65 let. 14,2</w:t>
      </w:r>
      <w:r w:rsidR="00CB67BA">
        <w:t> </w:t>
      </w:r>
      <w:r>
        <w:t>% dvoučlenných domácností seniorů se skládá z rodiče staršího 65 let a jeho již dospělého dítěte. V tomto typu domácnosti je nejčastější soužití matky se synem (63,1</w:t>
      </w:r>
      <w:r w:rsidR="00CB67BA">
        <w:t> </w:t>
      </w:r>
      <w:r>
        <w:t>%), následované soužitím matky s dcerou (21,8</w:t>
      </w:r>
      <w:r w:rsidR="00CB67BA">
        <w:t> </w:t>
      </w:r>
      <w:r>
        <w:t>%), otce se synem (11,0</w:t>
      </w:r>
      <w:r w:rsidR="00CB67BA">
        <w:t> </w:t>
      </w:r>
      <w:r>
        <w:t>%) a otce s dcerou (4,2</w:t>
      </w:r>
      <w:r w:rsidR="00CB67BA">
        <w:t> </w:t>
      </w:r>
      <w:r>
        <w:t>%). Tříčlenné domácnosti, ve kterých žijí senioři, mají rozmanitější skla</w:t>
      </w:r>
      <w:r w:rsidR="00D378F2">
        <w:t>dbu. Nadpoloviční většina (59,3 </w:t>
      </w:r>
      <w:r>
        <w:t>%) je tvořena partnerským párem, kde alespoň jeden z partnerů je starší 65 let, a jedním dítětem, které je zpravidla dospělé. Opačnou skladbu, tj. dva partneři žijící s rodičem jednoho z nich, vykazuje 14,3</w:t>
      </w:r>
      <w:r w:rsidR="00CB67BA">
        <w:t> </w:t>
      </w:r>
      <w:r>
        <w:t>% tříčlenných domácností seniorů. Zbývajících 26,4</w:t>
      </w:r>
      <w:r w:rsidR="00CB67BA">
        <w:t> </w:t>
      </w:r>
      <w:r>
        <w:t>% tříčlenných domácností seniorů zahrnuje nejrůznější typy domácností, jako např. partnerský pár s vnoučetem, se sourozencem jednoho z partnerů, anebo třígenerační soužití prarodič-rodič-dítě.</w:t>
      </w:r>
    </w:p>
    <w:p w14:paraId="6CA11220" w14:textId="77777777" w:rsidR="0037500F" w:rsidRDefault="0037500F">
      <w:pPr>
        <w:spacing w:after="0" w:line="240" w:lineRule="auto"/>
      </w:pPr>
      <w:r>
        <w:br w:type="page"/>
      </w:r>
    </w:p>
    <w:p w14:paraId="7F35FF1B" w14:textId="13C9EF24" w:rsidR="00180F84" w:rsidRPr="00B45DD3" w:rsidRDefault="00180F84" w:rsidP="007C133D">
      <w:pPr>
        <w:spacing w:line="240" w:lineRule="auto"/>
        <w:rPr>
          <w:rFonts w:cs="Arial"/>
          <w:i/>
          <w:sz w:val="18"/>
          <w:szCs w:val="18"/>
        </w:rPr>
      </w:pPr>
      <w:r w:rsidRPr="00B45DD3">
        <w:rPr>
          <w:rFonts w:eastAsia="Calibri" w:cs="Arial"/>
          <w:b/>
          <w:color w:val="000000"/>
          <w:szCs w:val="20"/>
        </w:rPr>
        <w:lastRenderedPageBreak/>
        <w:t xml:space="preserve">Graf </w:t>
      </w:r>
      <w:r w:rsidRPr="00180F84">
        <w:rPr>
          <w:rFonts w:eastAsia="Calibri" w:cs="Arial"/>
          <w:b/>
          <w:color w:val="000000"/>
          <w:szCs w:val="20"/>
        </w:rPr>
        <w:t>3.1</w:t>
      </w:r>
      <w:r w:rsidRPr="00B45DD3">
        <w:rPr>
          <w:rFonts w:eastAsia="Calibri" w:cs="Arial"/>
          <w:b/>
          <w:color w:val="000000"/>
          <w:szCs w:val="20"/>
        </w:rPr>
        <w:t xml:space="preserve"> Hospodařící domácnosti se </w:t>
      </w:r>
      <w:r w:rsidR="007C133D">
        <w:rPr>
          <w:rFonts w:eastAsia="Calibri" w:cs="Arial"/>
          <w:b/>
          <w:color w:val="000000"/>
          <w:szCs w:val="20"/>
        </w:rPr>
        <w:t>seniory podle počtu osob</w:t>
      </w:r>
      <w:r w:rsidR="0037500F">
        <w:rPr>
          <w:rFonts w:eastAsia="Calibri" w:cs="Arial"/>
          <w:b/>
          <w:color w:val="000000"/>
          <w:szCs w:val="20"/>
        </w:rPr>
        <w:br/>
        <w:t xml:space="preserve">               </w:t>
      </w:r>
      <w:r w:rsidR="007C133D">
        <w:rPr>
          <w:rFonts w:eastAsia="Calibri" w:cs="Arial"/>
          <w:b/>
          <w:color w:val="000000"/>
          <w:szCs w:val="20"/>
        </w:rPr>
        <w:t>v roce</w:t>
      </w:r>
      <w:r w:rsidRPr="00B45DD3">
        <w:rPr>
          <w:rFonts w:eastAsia="Calibri" w:cs="Arial"/>
          <w:b/>
          <w:color w:val="000000"/>
          <w:szCs w:val="20"/>
        </w:rPr>
        <w:t>2021</w:t>
      </w:r>
      <w:r w:rsidRPr="001F71F7">
        <w:rPr>
          <w:noProof/>
        </w:rPr>
        <w:t xml:space="preserve"> </w:t>
      </w:r>
      <w:r>
        <w:rPr>
          <w:noProof/>
        </w:rPr>
        <w:drawing>
          <wp:inline distT="0" distB="0" distL="0" distR="0" wp14:anchorId="56D31E2C" wp14:editId="01668DF2">
            <wp:extent cx="4247515" cy="2449195"/>
            <wp:effectExtent l="0" t="0" r="635" b="8255"/>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B45DD3">
        <w:rPr>
          <w:rFonts w:cs="Arial"/>
          <w:i/>
          <w:sz w:val="18"/>
          <w:szCs w:val="18"/>
        </w:rPr>
        <w:t xml:space="preserve"> Zdroj: ČSÚ</w:t>
      </w:r>
    </w:p>
    <w:p w14:paraId="5588A545" w14:textId="1170162C" w:rsidR="00180F84" w:rsidRDefault="00180F84" w:rsidP="00917551">
      <w:pPr>
        <w:spacing w:line="240" w:lineRule="auto"/>
        <w:jc w:val="both"/>
      </w:pPr>
      <w:r>
        <w:t>Příjmy i výdaje domácností seniorů se odvíjejí od toho, zda jsou ještě ekonomicky aktivní. V rámci domácností jednotlivců starších 65 let jich pracuje 2,9 %, častěji muži (4,8 %) oproti ženám (2,1</w:t>
      </w:r>
      <w:r w:rsidR="00CB67BA">
        <w:t> </w:t>
      </w:r>
      <w:r>
        <w:t>%). Ekonomicky aktivní jsou spíše mladší senioři, ve věku 65–69 let pracuje 8,2 % seniorů, ve věku 70–74 let 3,1</w:t>
      </w:r>
      <w:r w:rsidR="00CB67BA">
        <w:t> </w:t>
      </w:r>
      <w:r>
        <w:t>%, ve starších věkových kategoriích méně než 1</w:t>
      </w:r>
      <w:r w:rsidR="00CB67BA">
        <w:t> </w:t>
      </w:r>
      <w:r>
        <w:t>%. V rámci dvoučlenných domácností seniorů jsou rozdíly v ekonomické aktivitě podle typu domácnosti. V domácnosti dvou partnerů je ekonomicky aktivních 9,9 % seniorů, v domácnosti rodiče s dítětem 6,1 % seniorů. Tento rozdíl souvisí s nižším průměrným věkem seniorů v domácnostech dvou partnerů (72,6 let) oproti domácnostem rodiče a jeho potomka (75,2 let).</w:t>
      </w:r>
    </w:p>
    <w:p w14:paraId="763928A5" w14:textId="77777777" w:rsidR="00180F84" w:rsidRPr="0037500F" w:rsidRDefault="00180F84" w:rsidP="00917551">
      <w:pPr>
        <w:spacing w:after="0" w:line="240" w:lineRule="auto"/>
        <w:rPr>
          <w:rFonts w:eastAsia="MS Gothic"/>
          <w:b/>
          <w:bCs/>
          <w:sz w:val="28"/>
          <w:szCs w:val="26"/>
        </w:rPr>
      </w:pPr>
      <w:r>
        <w:br w:type="page"/>
      </w:r>
    </w:p>
    <w:p w14:paraId="09D94751" w14:textId="5FFFCC58" w:rsidR="00180F84" w:rsidRDefault="00180F84" w:rsidP="00630C07">
      <w:pPr>
        <w:pStyle w:val="Nadpis2"/>
        <w:numPr>
          <w:ilvl w:val="1"/>
          <w:numId w:val="15"/>
        </w:numPr>
        <w:spacing w:after="240"/>
        <w:ind w:left="1077"/>
        <w:jc w:val="both"/>
      </w:pPr>
      <w:bookmarkStart w:id="24" w:name="_Toc121211628"/>
      <w:r>
        <w:lastRenderedPageBreak/>
        <w:t>Čistý peněžní příjem</w:t>
      </w:r>
      <w:bookmarkEnd w:id="24"/>
    </w:p>
    <w:p w14:paraId="6F91AE30" w14:textId="7C4CC13C" w:rsidR="00180F84" w:rsidRDefault="00180F84" w:rsidP="00917551">
      <w:pPr>
        <w:spacing w:before="240" w:line="240" w:lineRule="auto"/>
        <w:jc w:val="both"/>
      </w:pPr>
      <w:r>
        <w:t>V šetření Životní podmínky 2021 se zjišťoval čistý peněžní příjem domácností za předchozí rok, tj. za rok 2020. V tomto roce se naplno projevil vliv virové pandemie na ekonomickou situaci země, avšak na příjmovou situaci domácností to obecně negativní vliv nemělo. Čistý peněžní příjem na osobu v domácnosti meziročně dlouhodobě roste, a to i v domácnostech seniorů. V roce 2020 vzrostl čistý peněžní příjem u domácností jednotlivců starších 65 let nominálně o 6,7</w:t>
      </w:r>
      <w:r w:rsidR="007F4C20">
        <w:t> </w:t>
      </w:r>
      <w:r>
        <w:t>% na hodnotu 211,6 tis. Kč, u dvoučlenných domácností s alespoň jednou osobou starší 65 let vzrostl o 11,6</w:t>
      </w:r>
      <w:r w:rsidR="007F4C20">
        <w:t> </w:t>
      </w:r>
      <w:r>
        <w:t>% na hodnotu 203,4 tis. Kč na osobu v tomto typu domácnosti. Tempa růstu u domácností seniorů tak byla mezi lety 2019 a 2020 vyšší než celkové tempo růstu, které činilo 4,9 %. Nutno poznamenat, že mezi lety 2018 a 2019 byl růst čistého peněžního příjmu dvoučlenných domácností seniorů minimální (0,3 %). Čistý peněžní příjem na osobu v domácnosti celkem zůstává vyšší než v domácnostech seniorů, v roce 2020 dosáhl hodnoty 220,1 tis. Kč.</w:t>
      </w:r>
    </w:p>
    <w:p w14:paraId="42D45761" w14:textId="3C41EB13" w:rsidR="00180F84" w:rsidRDefault="00180F84" w:rsidP="0037500F">
      <w:pPr>
        <w:spacing w:line="240" w:lineRule="auto"/>
        <w:ind w:left="851" w:hanging="851"/>
        <w:jc w:val="both"/>
        <w:rPr>
          <w:rFonts w:eastAsia="Calibri" w:cs="Arial"/>
          <w:b/>
          <w:color w:val="000000"/>
          <w:szCs w:val="20"/>
        </w:rPr>
      </w:pPr>
      <w:r w:rsidRPr="00180F84">
        <w:rPr>
          <w:noProof/>
        </w:rPr>
        <w:drawing>
          <wp:anchor distT="0" distB="0" distL="114300" distR="114300" simplePos="0" relativeHeight="251673088" behindDoc="0" locked="0" layoutInCell="1" allowOverlap="1" wp14:anchorId="419A0C6A" wp14:editId="62E19AC4">
            <wp:simplePos x="0" y="0"/>
            <wp:positionH relativeFrom="margin">
              <wp:posOffset>-635</wp:posOffset>
            </wp:positionH>
            <wp:positionV relativeFrom="paragraph">
              <wp:posOffset>425450</wp:posOffset>
            </wp:positionV>
            <wp:extent cx="4230370" cy="2209800"/>
            <wp:effectExtent l="0" t="0" r="0" b="0"/>
            <wp:wrapTopAndBottom/>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180F84">
        <w:rPr>
          <w:rFonts w:eastAsia="Calibri" w:cs="Arial"/>
          <w:b/>
          <w:color w:val="000000"/>
          <w:szCs w:val="20"/>
        </w:rPr>
        <w:t>Graf 3.2 Roční</w:t>
      </w:r>
      <w:r>
        <w:rPr>
          <w:rFonts w:eastAsia="Calibri" w:cs="Arial"/>
          <w:b/>
          <w:color w:val="000000"/>
          <w:szCs w:val="20"/>
        </w:rPr>
        <w:t xml:space="preserve"> čisté peněžní příjmy</w:t>
      </w:r>
      <w:r w:rsidRPr="005445DF">
        <w:rPr>
          <w:rFonts w:eastAsia="Calibri" w:cs="Arial"/>
          <w:b/>
          <w:color w:val="000000"/>
          <w:szCs w:val="20"/>
        </w:rPr>
        <w:t xml:space="preserve"> domá</w:t>
      </w:r>
      <w:r w:rsidR="0037500F">
        <w:rPr>
          <w:rFonts w:eastAsia="Calibri" w:cs="Arial"/>
          <w:b/>
          <w:color w:val="000000"/>
          <w:szCs w:val="20"/>
        </w:rPr>
        <w:t>cností na osobu v letech</w:t>
      </w:r>
      <w:r w:rsidR="0037500F">
        <w:rPr>
          <w:rFonts w:eastAsia="Calibri" w:cs="Arial"/>
          <w:b/>
          <w:color w:val="000000"/>
          <w:szCs w:val="20"/>
        </w:rPr>
        <w:br/>
        <w:t xml:space="preserve"> </w:t>
      </w:r>
      <w:r>
        <w:rPr>
          <w:rFonts w:eastAsia="Calibri" w:cs="Arial"/>
          <w:b/>
          <w:color w:val="000000"/>
          <w:szCs w:val="20"/>
        </w:rPr>
        <w:t>2016–</w:t>
      </w:r>
      <w:r w:rsidRPr="005445DF">
        <w:rPr>
          <w:rFonts w:eastAsia="Calibri" w:cs="Arial"/>
          <w:b/>
          <w:color w:val="000000"/>
          <w:szCs w:val="20"/>
        </w:rPr>
        <w:t>2020 podle vybraných typů domácnosti</w:t>
      </w:r>
    </w:p>
    <w:p w14:paraId="67290C76" w14:textId="77777777" w:rsidR="00180F84" w:rsidRPr="00B45DD3" w:rsidRDefault="00180F84" w:rsidP="00917551">
      <w:pPr>
        <w:spacing w:line="240" w:lineRule="auto"/>
        <w:jc w:val="both"/>
        <w:rPr>
          <w:rFonts w:cs="Arial"/>
          <w:i/>
          <w:sz w:val="18"/>
          <w:szCs w:val="18"/>
        </w:rPr>
      </w:pPr>
      <w:r w:rsidRPr="00B45DD3">
        <w:rPr>
          <w:rFonts w:cs="Arial"/>
          <w:i/>
          <w:sz w:val="18"/>
          <w:szCs w:val="18"/>
        </w:rPr>
        <w:t>Zdroj: ČSÚ</w:t>
      </w:r>
    </w:p>
    <w:p w14:paraId="2CCFFE1C" w14:textId="7A1F40EA" w:rsidR="00180F84" w:rsidRDefault="00180F84" w:rsidP="00630C07">
      <w:pPr>
        <w:pStyle w:val="Nadpis2"/>
        <w:numPr>
          <w:ilvl w:val="1"/>
          <w:numId w:val="15"/>
        </w:numPr>
        <w:spacing w:after="240"/>
        <w:ind w:left="1077"/>
        <w:jc w:val="both"/>
      </w:pPr>
      <w:bookmarkStart w:id="25" w:name="_Toc121211629"/>
      <w:r>
        <w:lastRenderedPageBreak/>
        <w:t>Vycházení s příjmem</w:t>
      </w:r>
      <w:bookmarkEnd w:id="25"/>
    </w:p>
    <w:p w14:paraId="3431F8EC" w14:textId="3622F110" w:rsidR="00180F84" w:rsidRPr="00917551" w:rsidRDefault="00567D58" w:rsidP="00917551">
      <w:pPr>
        <w:spacing w:before="240" w:line="240" w:lineRule="auto"/>
        <w:jc w:val="both"/>
      </w:pPr>
      <w:r>
        <w:t>V roce 2021 vycházelo 68,1 </w:t>
      </w:r>
      <w:r w:rsidR="00180F84">
        <w:t>% všech domácností se svými příjmy docela snadn</w:t>
      </w:r>
      <w:r>
        <w:t>o nebo s menšími obtížemi, 20,0 </w:t>
      </w:r>
      <w:r w:rsidR="00180F84">
        <w:t>% domácností snadno až velmi snadno a 12,0</w:t>
      </w:r>
      <w:r w:rsidR="00D378F2">
        <w:t> </w:t>
      </w:r>
      <w:r w:rsidR="00180F84">
        <w:t>% domácností s obtížemi až velkými obtížemi. Oproti roku 2020 se jedná o mírné zlepšení daného ukazatele. Pokud se podíváme na domácnosti seniorů, tak i když jim příjmy mezi roky 2019 a 2020 rostly více než průměrné domácnosti, tak jejich subjektivní vnímání vycházení s příjmy se výrazněji nezlepšilo. U dvojice dospělých s alespoň jedním seniorem zůstává v roce 2021 rozložení stejné jako v předchozím roce. U jednotlivců nad 65 let došlo k posunu o 3,2 p. b. od kategorie vycházení s obtížemi až velkými obtížemi ve prospěch obou pozitivnějších kategorií. Nicméně i přesto zůstávají jedním z typů domácností, které vycházejí se svými příjmy nejhůře. Naopak dvojice dospělých s alespoň jednou osobou starší 65 let vycházejí se svými příjmy lépe než je celostátní průměr. Zejména podíl domácností, které vycházejí s příjmy s obtížemi až velkými obtížemi, je u dvojic s</w:t>
      </w:r>
      <w:r>
        <w:t>eniorů výrazně nižší, pouze 6,7 </w:t>
      </w:r>
      <w:r w:rsidR="00180F84">
        <w:t>% v porovnání s</w:t>
      </w:r>
      <w:r w:rsidR="00E74EA7">
        <w:t> </w:t>
      </w:r>
      <w:r w:rsidR="00180F84">
        <w:t>12,0 %</w:t>
      </w:r>
      <w:r w:rsidR="00917551">
        <w:t xml:space="preserve"> domácností celkem v roce 2021.</w:t>
      </w:r>
    </w:p>
    <w:p w14:paraId="7C274FDF" w14:textId="799C3A12" w:rsidR="00180F84" w:rsidRDefault="00180F84" w:rsidP="00567D58">
      <w:pPr>
        <w:pStyle w:val="Zkladnodstavec"/>
        <w:spacing w:line="240" w:lineRule="auto"/>
        <w:ind w:left="851" w:hanging="851"/>
        <w:jc w:val="both"/>
        <w:rPr>
          <w:rFonts w:cs="Arial"/>
          <w:b/>
          <w:szCs w:val="20"/>
        </w:rPr>
      </w:pPr>
      <w:r w:rsidRPr="00180F84">
        <w:rPr>
          <w:rFonts w:cs="Arial"/>
          <w:b/>
          <w:szCs w:val="20"/>
        </w:rPr>
        <w:t>Graf 3.3</w:t>
      </w:r>
      <w:r w:rsidRPr="009F2755">
        <w:rPr>
          <w:rFonts w:cs="Arial"/>
          <w:b/>
          <w:szCs w:val="20"/>
        </w:rPr>
        <w:t xml:space="preserve"> Schopnost domácností vych</w:t>
      </w:r>
      <w:r w:rsidR="00567D58">
        <w:rPr>
          <w:rFonts w:cs="Arial"/>
          <w:b/>
          <w:szCs w:val="20"/>
        </w:rPr>
        <w:t>ázet se svými příjmy podle typu</w:t>
      </w:r>
      <w:r w:rsidR="00567D58">
        <w:rPr>
          <w:rFonts w:cs="Arial"/>
          <w:b/>
          <w:szCs w:val="20"/>
        </w:rPr>
        <w:br/>
      </w:r>
      <w:r w:rsidRPr="009F2755">
        <w:rPr>
          <w:rFonts w:cs="Arial"/>
          <w:b/>
          <w:szCs w:val="20"/>
        </w:rPr>
        <w:t>domácnosti v letech 2020 a 2021</w:t>
      </w:r>
      <w:r>
        <w:rPr>
          <w:rFonts w:cs="Arial"/>
          <w:b/>
          <w:szCs w:val="20"/>
        </w:rPr>
        <w:t xml:space="preserve"> (v</w:t>
      </w:r>
      <w:r w:rsidR="00D378F2">
        <w:rPr>
          <w:rFonts w:cs="Arial"/>
          <w:b/>
          <w:szCs w:val="20"/>
        </w:rPr>
        <w:t> </w:t>
      </w:r>
      <w:r>
        <w:rPr>
          <w:rFonts w:cs="Arial"/>
          <w:b/>
          <w:szCs w:val="20"/>
        </w:rPr>
        <w:t>%)</w:t>
      </w:r>
    </w:p>
    <w:p w14:paraId="0B300B8F" w14:textId="77777777" w:rsidR="00180F84" w:rsidRDefault="00180F84" w:rsidP="00917551">
      <w:pPr>
        <w:pStyle w:val="Zkladnodstavec"/>
        <w:spacing w:line="240" w:lineRule="auto"/>
        <w:jc w:val="both"/>
        <w:rPr>
          <w:rFonts w:cs="Arial"/>
          <w:b/>
          <w:szCs w:val="20"/>
        </w:rPr>
      </w:pPr>
      <w:r>
        <w:rPr>
          <w:noProof/>
        </w:rPr>
        <w:drawing>
          <wp:inline distT="0" distB="0" distL="0" distR="0" wp14:anchorId="6B138B0D" wp14:editId="42A34435">
            <wp:extent cx="4247515" cy="2720761"/>
            <wp:effectExtent l="0" t="0" r="635" b="381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383601" w14:textId="77777777" w:rsidR="00180F84" w:rsidRDefault="00180F84" w:rsidP="00567D58">
      <w:pPr>
        <w:pStyle w:val="Zkladnodstavec"/>
        <w:spacing w:before="120" w:line="240" w:lineRule="auto"/>
        <w:jc w:val="both"/>
        <w:rPr>
          <w:rFonts w:cs="Arial"/>
          <w:i/>
          <w:sz w:val="18"/>
          <w:szCs w:val="18"/>
        </w:rPr>
      </w:pPr>
      <w:r w:rsidRPr="00B45DD3">
        <w:rPr>
          <w:rFonts w:cs="Arial"/>
          <w:i/>
          <w:sz w:val="18"/>
          <w:szCs w:val="18"/>
        </w:rPr>
        <w:t>Zdroj: ČSÚ</w:t>
      </w:r>
    </w:p>
    <w:p w14:paraId="48609BF7" w14:textId="789ECF28" w:rsidR="00180F84" w:rsidRPr="00F85066" w:rsidRDefault="00180F84" w:rsidP="00630C07">
      <w:pPr>
        <w:pStyle w:val="Nadpis2"/>
        <w:numPr>
          <w:ilvl w:val="1"/>
          <w:numId w:val="15"/>
        </w:numPr>
        <w:spacing w:after="240"/>
        <w:ind w:left="1077"/>
        <w:jc w:val="both"/>
        <w:rPr>
          <w:i/>
        </w:rPr>
      </w:pPr>
      <w:bookmarkStart w:id="26" w:name="_Toc121211630"/>
      <w:r>
        <w:lastRenderedPageBreak/>
        <w:t>Příjmová chudoba</w:t>
      </w:r>
      <w:bookmarkEnd w:id="26"/>
    </w:p>
    <w:p w14:paraId="3D4C4021" w14:textId="65B636DB" w:rsidR="00180F84" w:rsidRDefault="00180F84" w:rsidP="00917551">
      <w:pPr>
        <w:pStyle w:val="Box1"/>
        <w:spacing w:line="240" w:lineRule="auto"/>
        <w:jc w:val="both"/>
      </w:pPr>
      <w:r>
        <w:t>Podle mezinárodní metodiky stanovené Eurostatem se z</w:t>
      </w:r>
      <w:r w:rsidRPr="004C46D7">
        <w:t>a</w:t>
      </w:r>
      <w:r>
        <w:t xml:space="preserve"> ohrožené příjmovou chudobou </w:t>
      </w:r>
      <w:r w:rsidRPr="004C46D7">
        <w:t>považ</w:t>
      </w:r>
      <w:r>
        <w:t xml:space="preserve">ují osoby žijící v domácnostech </w:t>
      </w:r>
      <w:r w:rsidRPr="004C46D7">
        <w:t xml:space="preserve">s příjmy </w:t>
      </w:r>
      <w:r>
        <w:t>nižšími než je stanoven</w:t>
      </w:r>
      <w:r w:rsidR="00D378F2">
        <w:t>á hranice. Ta je určena jako 60 </w:t>
      </w:r>
      <w:r>
        <w:t xml:space="preserve">% národního mediánového příjmu domácností, přičemž se </w:t>
      </w:r>
      <w:r w:rsidRPr="004C46D7">
        <w:t>zohledňuje</w:t>
      </w:r>
      <w:r>
        <w:t xml:space="preserve"> velikost a </w:t>
      </w:r>
      <w:r w:rsidRPr="004C46D7">
        <w:t>složení domácnosti.</w:t>
      </w:r>
      <w:r>
        <w:t xml:space="preserve"> Tento ukazatel vypovídá zejména o příjmové (ne)rovnosti v dané zemi.</w:t>
      </w:r>
    </w:p>
    <w:p w14:paraId="3144F86C" w14:textId="2261EB54" w:rsidR="00180F84" w:rsidRDefault="00180F84" w:rsidP="00567D58">
      <w:pPr>
        <w:autoSpaceDE w:val="0"/>
        <w:autoSpaceDN w:val="0"/>
        <w:adjustRightInd w:val="0"/>
        <w:spacing w:line="240" w:lineRule="auto"/>
        <w:jc w:val="both"/>
      </w:pPr>
      <w:r>
        <w:t>V roce 2021 došlo na úrovni České republiky k poklesu míry ohrožení příjmovou chudobou z hodnoty 9,5 % na 8,6 %. Je to důsledek nerovnoměrného rozdělení tempa růstu příjmů, kdy se na jedné straně výrazně zvýšily sociální transfery, zejména starobní důchody, a na druhé straně příjmy z ekonomické aktivity rostly pomaleji. Část domácností seniorů se tak dostala nad stanovenou hranici příjmové chudoby. U domácností jednotlivců starších 65 let došlo mezi lety 2020 a 2021 ke snížení podílu osob ohrožených příjmovou chudobou téměř o 10 p. b. (z hodnoty 37,4 % na 27,8 %). Ve dvoučlenných domácnostech s alespoň jedním seniorem bylo v roce 2020 ohroženo příjmovou chudobou pouze 4,7</w:t>
      </w:r>
      <w:r w:rsidR="00D378F2">
        <w:t> </w:t>
      </w:r>
      <w:r>
        <w:t>% osob, přičemž v roce 2021 došlo ke snížení o 1,6 p. b. na hodnotu 3,1</w:t>
      </w:r>
      <w:r w:rsidR="00D378F2">
        <w:t> </w:t>
      </w:r>
      <w:r>
        <w:t xml:space="preserve">%. </w:t>
      </w:r>
    </w:p>
    <w:p w14:paraId="64B538A5" w14:textId="0FEAF963" w:rsidR="00180F84" w:rsidRDefault="00180F84" w:rsidP="00567D58">
      <w:pPr>
        <w:pStyle w:val="Zkladnodstavec"/>
        <w:spacing w:line="240" w:lineRule="auto"/>
        <w:ind w:left="709" w:hanging="709"/>
        <w:rPr>
          <w:rFonts w:cs="Arial"/>
          <w:b/>
          <w:szCs w:val="20"/>
        </w:rPr>
      </w:pPr>
      <w:r w:rsidRPr="00180F84">
        <w:rPr>
          <w:rFonts w:cs="Arial"/>
          <w:b/>
          <w:szCs w:val="20"/>
        </w:rPr>
        <w:t>Graf 3.4 Podíl</w:t>
      </w:r>
      <w:r w:rsidRPr="00575354">
        <w:rPr>
          <w:rFonts w:cs="Arial"/>
          <w:b/>
          <w:szCs w:val="20"/>
        </w:rPr>
        <w:t xml:space="preserve"> osob ohrožených příjmovou chudobou ve vybraných </w:t>
      </w:r>
      <w:r w:rsidR="00567D58">
        <w:rPr>
          <w:rFonts w:cs="Arial"/>
          <w:b/>
          <w:szCs w:val="20"/>
        </w:rPr>
        <w:br/>
        <w:t xml:space="preserve">  </w:t>
      </w:r>
      <w:r w:rsidRPr="00575354">
        <w:rPr>
          <w:rFonts w:cs="Arial"/>
          <w:b/>
          <w:szCs w:val="20"/>
        </w:rPr>
        <w:t>typech domácností v letech 2020 a 2021</w:t>
      </w:r>
    </w:p>
    <w:p w14:paraId="174AF23A" w14:textId="77777777" w:rsidR="00180F84" w:rsidRDefault="00180F84" w:rsidP="00917551">
      <w:pPr>
        <w:pStyle w:val="Zkladnodstavec"/>
        <w:spacing w:line="240" w:lineRule="auto"/>
        <w:jc w:val="both"/>
        <w:rPr>
          <w:rFonts w:cs="Arial"/>
          <w:i/>
          <w:sz w:val="18"/>
          <w:szCs w:val="18"/>
        </w:rPr>
      </w:pPr>
      <w:r>
        <w:rPr>
          <w:noProof/>
        </w:rPr>
        <w:drawing>
          <wp:inline distT="0" distB="0" distL="0" distR="0" wp14:anchorId="5A1FFE43" wp14:editId="28FB1A94">
            <wp:extent cx="4247515" cy="2124000"/>
            <wp:effectExtent l="0" t="0" r="635" b="0"/>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3B5E35" w14:textId="77777777" w:rsidR="00180F84" w:rsidRPr="00B45DD3" w:rsidRDefault="00180F84" w:rsidP="00917551">
      <w:pPr>
        <w:pStyle w:val="Zkladnodstavec"/>
        <w:spacing w:line="240" w:lineRule="auto"/>
        <w:jc w:val="both"/>
        <w:rPr>
          <w:rFonts w:cs="Arial"/>
          <w:i/>
          <w:sz w:val="18"/>
          <w:szCs w:val="18"/>
        </w:rPr>
      </w:pPr>
      <w:r w:rsidRPr="00B45DD3">
        <w:rPr>
          <w:rFonts w:cs="Arial"/>
          <w:i/>
          <w:sz w:val="18"/>
          <w:szCs w:val="18"/>
        </w:rPr>
        <w:t>Zdroj: ČSÚ</w:t>
      </w:r>
    </w:p>
    <w:p w14:paraId="4D99E780" w14:textId="77777777" w:rsidR="00180F84" w:rsidRDefault="00180F84" w:rsidP="00917551">
      <w:pPr>
        <w:autoSpaceDE w:val="0"/>
        <w:autoSpaceDN w:val="0"/>
        <w:adjustRightInd w:val="0"/>
        <w:spacing w:after="0" w:line="240" w:lineRule="auto"/>
        <w:jc w:val="both"/>
      </w:pPr>
    </w:p>
    <w:p w14:paraId="245307F2" w14:textId="2A1640AF" w:rsidR="00180F84" w:rsidRPr="00F85066" w:rsidRDefault="00180F84" w:rsidP="00630C07">
      <w:pPr>
        <w:pStyle w:val="Nadpis2"/>
        <w:numPr>
          <w:ilvl w:val="1"/>
          <w:numId w:val="15"/>
        </w:numPr>
        <w:spacing w:after="240"/>
        <w:ind w:left="1077"/>
        <w:jc w:val="both"/>
        <w:rPr>
          <w:i/>
        </w:rPr>
      </w:pPr>
      <w:bookmarkStart w:id="27" w:name="_Toc121211631"/>
      <w:r>
        <w:lastRenderedPageBreak/>
        <w:t>Materiální a sociální deprivace</w:t>
      </w:r>
      <w:bookmarkEnd w:id="27"/>
    </w:p>
    <w:p w14:paraId="20649EB7" w14:textId="2ABD424B" w:rsidR="00180F84" w:rsidRDefault="00180F84" w:rsidP="00917551">
      <w:pPr>
        <w:pStyle w:val="Box1"/>
        <w:spacing w:line="240" w:lineRule="auto"/>
        <w:jc w:val="both"/>
      </w:pPr>
      <w:r>
        <w:t>Ukazatel míra materiální a sociální deprivace vychází z odpovědí domácností, zda si mohou z finančních důvodů dovolit 5 z 13 předem definovaných položek, jako např. zaplatit mimořádný výdaj 12 800 Kč, týdenní dovolenou pro všechny členy domácnost</w:t>
      </w:r>
      <w:r w:rsidR="00892E2D">
        <w:t>i, dostatečně vytápět byt apod.</w:t>
      </w:r>
    </w:p>
    <w:p w14:paraId="4F29971D" w14:textId="14F9ADD2" w:rsidR="00180F84" w:rsidRDefault="00180F84" w:rsidP="00917551">
      <w:pPr>
        <w:spacing w:line="240" w:lineRule="auto"/>
        <w:jc w:val="both"/>
      </w:pPr>
      <w:r>
        <w:t>Hodnoty míry materiální a sociální deprivace se dlouhodobě pohybují na nízké úrovni, nicméně domácnosti jednotlivců starších 65 let jsou jednou z nejvíce deprivovaných skupin. V roce 2020 si 8,2</w:t>
      </w:r>
      <w:r w:rsidR="00D378F2">
        <w:t> </w:t>
      </w:r>
      <w:r>
        <w:t xml:space="preserve">% z nich nemohlo dovolit 5 z 13 položek, </w:t>
      </w:r>
      <w:r w:rsidR="00660466">
        <w:t>v roce 2021 došlo ke zlepšení o 2 </w:t>
      </w:r>
      <w:r>
        <w:t>p. b. Naopak dvojice s a</w:t>
      </w:r>
      <w:r w:rsidR="00660466">
        <w:t>lespoň jedním členem starším 65 </w:t>
      </w:r>
      <w:r>
        <w:t xml:space="preserve">let vykazují nižší podíl materiálně a sociálně deprivovaných než </w:t>
      </w:r>
      <w:r w:rsidR="00660466">
        <w:t>je celostátní průměr. Pouze 2,9 </w:t>
      </w:r>
      <w:r>
        <w:t>% z této skupiny trpělo materiální a sociální deprivací.</w:t>
      </w:r>
    </w:p>
    <w:p w14:paraId="09971C10" w14:textId="2731215B" w:rsidR="00180F84" w:rsidRDefault="00180F84" w:rsidP="00D5090B">
      <w:pPr>
        <w:pStyle w:val="Zkladnodstavec"/>
        <w:spacing w:line="240" w:lineRule="auto"/>
        <w:ind w:left="709" w:hanging="709"/>
        <w:rPr>
          <w:rFonts w:cs="Arial"/>
          <w:b/>
          <w:szCs w:val="20"/>
        </w:rPr>
      </w:pPr>
      <w:r w:rsidRPr="00180F84">
        <w:rPr>
          <w:rFonts w:cs="Arial"/>
          <w:b/>
          <w:szCs w:val="20"/>
        </w:rPr>
        <w:t>Graf 3.5</w:t>
      </w:r>
      <w:r w:rsidRPr="000860FE">
        <w:rPr>
          <w:rFonts w:cs="Arial"/>
          <w:b/>
          <w:szCs w:val="20"/>
        </w:rPr>
        <w:t xml:space="preserve"> Míra materiální a sociální de</w:t>
      </w:r>
      <w:r w:rsidR="00D5090B">
        <w:rPr>
          <w:rFonts w:cs="Arial"/>
          <w:b/>
          <w:szCs w:val="20"/>
        </w:rPr>
        <w:t>privace podle typu domácnosti</w:t>
      </w:r>
      <w:r w:rsidR="00D5090B">
        <w:rPr>
          <w:rFonts w:cs="Arial"/>
          <w:b/>
          <w:szCs w:val="20"/>
        </w:rPr>
        <w:br/>
        <w:t xml:space="preserve">  </w:t>
      </w:r>
      <w:r>
        <w:rPr>
          <w:rFonts w:cs="Arial"/>
          <w:b/>
          <w:szCs w:val="20"/>
        </w:rPr>
        <w:t>v </w:t>
      </w:r>
      <w:r w:rsidRPr="000860FE">
        <w:rPr>
          <w:rFonts w:cs="Arial"/>
          <w:b/>
          <w:szCs w:val="20"/>
        </w:rPr>
        <w:t>letech 2020 a 2021</w:t>
      </w:r>
    </w:p>
    <w:p w14:paraId="051C5434" w14:textId="77777777" w:rsidR="00180F84" w:rsidRDefault="00180F84" w:rsidP="00917551">
      <w:pPr>
        <w:pStyle w:val="Zkladnodstavec"/>
        <w:spacing w:line="240" w:lineRule="auto"/>
        <w:jc w:val="both"/>
        <w:rPr>
          <w:rFonts w:cs="Arial"/>
          <w:i/>
          <w:sz w:val="18"/>
          <w:szCs w:val="18"/>
        </w:rPr>
      </w:pPr>
      <w:r>
        <w:rPr>
          <w:noProof/>
        </w:rPr>
        <w:drawing>
          <wp:inline distT="0" distB="0" distL="0" distR="0" wp14:anchorId="3B8D9C22" wp14:editId="21B11009">
            <wp:extent cx="4247515" cy="2277586"/>
            <wp:effectExtent l="0" t="0" r="635" b="889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D6FFD2" w14:textId="7B682D1E" w:rsidR="00D266AF" w:rsidRDefault="00180F84" w:rsidP="00917551">
      <w:pPr>
        <w:pStyle w:val="Zkladnodstavec"/>
        <w:spacing w:line="240" w:lineRule="auto"/>
        <w:jc w:val="both"/>
        <w:rPr>
          <w:rFonts w:cs="Arial"/>
          <w:i/>
          <w:sz w:val="18"/>
          <w:szCs w:val="18"/>
        </w:rPr>
      </w:pPr>
      <w:r w:rsidRPr="00B45DD3">
        <w:rPr>
          <w:rFonts w:cs="Arial"/>
          <w:i/>
          <w:sz w:val="18"/>
          <w:szCs w:val="18"/>
        </w:rPr>
        <w:t>Zdroj: ČSÚ</w:t>
      </w:r>
    </w:p>
    <w:p w14:paraId="6697C55E" w14:textId="77777777" w:rsidR="00D266AF" w:rsidRDefault="00D266AF">
      <w:pPr>
        <w:spacing w:after="0" w:line="240" w:lineRule="auto"/>
        <w:rPr>
          <w:rFonts w:eastAsia="Calibri" w:cs="Arial"/>
          <w:i/>
          <w:color w:val="000000"/>
          <w:sz w:val="18"/>
          <w:szCs w:val="18"/>
        </w:rPr>
      </w:pPr>
      <w:r>
        <w:rPr>
          <w:rFonts w:cs="Arial"/>
          <w:i/>
          <w:sz w:val="18"/>
          <w:szCs w:val="18"/>
        </w:rPr>
        <w:br w:type="page"/>
      </w:r>
    </w:p>
    <w:p w14:paraId="1191108C" w14:textId="5BEFA6F8" w:rsidR="00180F84" w:rsidRPr="007A0ACD" w:rsidRDefault="00180F84" w:rsidP="007A0ACD">
      <w:pPr>
        <w:pStyle w:val="Nadpis2"/>
        <w:numPr>
          <w:ilvl w:val="1"/>
          <w:numId w:val="15"/>
        </w:numPr>
        <w:spacing w:after="240"/>
        <w:ind w:left="1077"/>
        <w:jc w:val="both"/>
      </w:pPr>
      <w:bookmarkStart w:id="28" w:name="_Toc121211632"/>
      <w:r>
        <w:lastRenderedPageBreak/>
        <w:t>Výdaje</w:t>
      </w:r>
      <w:bookmarkEnd w:id="28"/>
    </w:p>
    <w:p w14:paraId="053474E6" w14:textId="45AD5FFA" w:rsidR="00180F84" w:rsidRDefault="00180F84" w:rsidP="00917551">
      <w:pPr>
        <w:spacing w:after="0" w:line="240" w:lineRule="auto"/>
        <w:jc w:val="both"/>
      </w:pPr>
      <w:r>
        <w:t>Zásadní položkou rodinného rozpočtu jsou nepochybně náklady na bydlení, kam se zahrnuje nájemné či úhrada za užívání bytu, platby za energie, vodné a stočné, odvoz odpadu a další služby spojené s bydlením. Domácnosti jednotlivců starších 65 let za ně v roce 2021 vydaly v průměru 68 047 Kč (5 671 Kč za měsíc), což je téměř třetina (32,2</w:t>
      </w:r>
      <w:r w:rsidR="00D378F2">
        <w:t> </w:t>
      </w:r>
      <w:r>
        <w:t>%) jejich spotřebních výdajů. Domácnosti dvojic s alespoň jednou osobou starší 65 let vydaly ve stejném období na náklady na bydlení v průměru 77 768 Kč (3 240 Kč na osobu za měsíc) a jedná se o 23,7 % jejich výdajů. Oproti</w:t>
      </w:r>
      <w:r w:rsidR="00E74EA7">
        <w:t> </w:t>
      </w:r>
      <w:r>
        <w:t>domácnostem jednotlivců tak</w:t>
      </w:r>
      <w:r w:rsidRPr="008128C0">
        <w:t xml:space="preserve"> u domácností dvojic</w:t>
      </w:r>
      <w:r>
        <w:t xml:space="preserve"> dochází k úsporám z rozsahu. </w:t>
      </w:r>
    </w:p>
    <w:p w14:paraId="48754B35" w14:textId="239634B9" w:rsidR="00901781" w:rsidRDefault="00180F84" w:rsidP="00892E2D">
      <w:pPr>
        <w:spacing w:line="240" w:lineRule="auto"/>
        <w:jc w:val="both"/>
      </w:pPr>
      <w:r>
        <w:t>Další významnou položkou jsou potraviny a nealkoholické nápoje, za které jednočlenné domácnosti seniorů v roce 2021 utratily v průměru 41 467 Kč (3 456 Kč za měsíc) a dvoučlenné domácnosti seniorů 70 450 Kč (2 935 Kč na osobu za měsíc) a tyto částky činily 19,6 %, resp. 21,4 % spotřebních výdajů uvedených typů domácností.</w:t>
      </w:r>
    </w:p>
    <w:p w14:paraId="547173F9" w14:textId="77777777" w:rsidR="00901781" w:rsidRDefault="00901781">
      <w:pPr>
        <w:spacing w:after="0" w:line="240" w:lineRule="auto"/>
      </w:pPr>
      <w:r>
        <w:br w:type="page"/>
      </w:r>
    </w:p>
    <w:p w14:paraId="78BE38D4" w14:textId="1F26211D" w:rsidR="008E33C7" w:rsidRDefault="008E33C7" w:rsidP="007A0ACD">
      <w:pPr>
        <w:pStyle w:val="Nadpis1"/>
        <w:numPr>
          <w:ilvl w:val="0"/>
          <w:numId w:val="15"/>
        </w:numPr>
        <w:spacing w:after="240"/>
        <w:ind w:left="714" w:hanging="357"/>
      </w:pPr>
      <w:bookmarkStart w:id="29" w:name="_Toc121211633"/>
      <w:r>
        <w:lastRenderedPageBreak/>
        <w:t>Výdaje zdravotních pojišťoven na léčbu seniorů</w:t>
      </w:r>
      <w:bookmarkEnd w:id="29"/>
    </w:p>
    <w:p w14:paraId="349724DD" w14:textId="77777777" w:rsidR="008E33C7" w:rsidRDefault="008E33C7" w:rsidP="00892E2D">
      <w:pPr>
        <w:spacing w:after="360" w:line="240" w:lineRule="auto"/>
        <w:jc w:val="both"/>
      </w:pPr>
      <w:r>
        <w:t xml:space="preserve">Od roku 2017 jde v průměru </w:t>
      </w:r>
      <w:r w:rsidRPr="00AB2BB2">
        <w:rPr>
          <w:b/>
        </w:rPr>
        <w:t>42 % z celkových výdajů zdravotních pojišťoven na léčbu seniorů ve věku 65 let</w:t>
      </w:r>
      <w:r>
        <w:rPr>
          <w:b/>
        </w:rPr>
        <w:t xml:space="preserve"> a více</w:t>
      </w:r>
      <w:r>
        <w:t xml:space="preserve">. V roce 2018 vzrostly tyto výdaje meziročně o 9 % </w:t>
      </w:r>
      <w:r w:rsidRPr="00B65D4B">
        <w:t xml:space="preserve">na </w:t>
      </w:r>
      <w:r>
        <w:t>necelých 121 mld. Kč a v roce 2019 o 11 </w:t>
      </w:r>
      <w:r w:rsidRPr="00B65D4B">
        <w:t>%</w:t>
      </w:r>
      <w:r>
        <w:t xml:space="preserve"> na 133,8 mld. </w:t>
      </w:r>
      <w:r w:rsidRPr="00B65D4B">
        <w:t>Kč. Nejvyšší nárůst byl zaznamenán v roce 2020 (</w:t>
      </w:r>
      <w:r>
        <w:t>o </w:t>
      </w:r>
      <w:r w:rsidRPr="00B65D4B">
        <w:t xml:space="preserve">16 %), kdy zdravotní pojišťovny na zdravotní péči o seniory vydaly </w:t>
      </w:r>
      <w:r w:rsidRPr="00AB2BB2">
        <w:rPr>
          <w:b/>
        </w:rPr>
        <w:t>celkem 154,6</w:t>
      </w:r>
      <w:r>
        <w:rPr>
          <w:b/>
        </w:rPr>
        <w:t> mld. </w:t>
      </w:r>
      <w:r w:rsidRPr="00AB2BB2">
        <w:rPr>
          <w:b/>
        </w:rPr>
        <w:t>Kč</w:t>
      </w:r>
      <w:r>
        <w:t xml:space="preserve"> z toho 80,7 mld. Kč za léčbu žen a 73,9 mld. Kč za léčbu mužů.</w:t>
      </w:r>
    </w:p>
    <w:p w14:paraId="6C6615DB" w14:textId="01285BEB" w:rsidR="00BC066A" w:rsidRPr="00BC066A" w:rsidRDefault="008E33C7" w:rsidP="001B125D">
      <w:pPr>
        <w:pStyle w:val="Box1"/>
        <w:spacing w:line="240" w:lineRule="auto"/>
        <w:jc w:val="both"/>
      </w:pPr>
      <w:r w:rsidRPr="004E2245">
        <w:rPr>
          <w:b/>
        </w:rPr>
        <w:t>Metodika</w:t>
      </w:r>
      <w:r w:rsidR="00BC066A">
        <w:rPr>
          <w:b/>
        </w:rPr>
        <w:t xml:space="preserve">: </w:t>
      </w:r>
      <w:r>
        <w:t xml:space="preserve">Data o výdajích zdravotních pojišťoven na zdravotní péči pocházejí z tzv. </w:t>
      </w:r>
      <w:r w:rsidRPr="00F73B6F">
        <w:rPr>
          <w:b/>
        </w:rPr>
        <w:t>zdravotnických účtů ČR</w:t>
      </w:r>
      <w:r>
        <w:t xml:space="preserve"> („SHA“, z anglického System of Health Accounts), které jsou sestavovány na základě „</w:t>
      </w:r>
      <w:r w:rsidRPr="002A058D">
        <w:t>Naříze</w:t>
      </w:r>
      <w:r w:rsidR="00892E2D">
        <w:t xml:space="preserve">ní Evropského parlamentu a Rady </w:t>
      </w:r>
      <w:r w:rsidRPr="002A058D">
        <w:t>č.1338/2008 o statistice Společenství v oblasti veřejného zdraví a bezpečnosti a ochrany zdraví při práci</w:t>
      </w:r>
      <w:r>
        <w:t>“</w:t>
      </w:r>
      <w:r w:rsidRPr="002A058D">
        <w:t>.</w:t>
      </w:r>
      <w:r>
        <w:t xml:space="preserve"> Systém zdravotnických účtů slouží ke komplexnímu vyjádření veškerých bě</w:t>
      </w:r>
      <w:r w:rsidR="001B125D">
        <w:t>žných výdajů na zdravotní péči.</w:t>
      </w:r>
    </w:p>
    <w:p w14:paraId="5FCAEC44" w14:textId="45678C21" w:rsidR="008E33C7" w:rsidRDefault="008E33C7" w:rsidP="00917551">
      <w:pPr>
        <w:pStyle w:val="Box1"/>
        <w:spacing w:line="240" w:lineRule="auto"/>
        <w:jc w:val="both"/>
      </w:pPr>
      <w:r>
        <w:t xml:space="preserve">Z hlediska financování zdravotní péče v ČR mají zdravotní pojišťovny klíčové postavení a zároveň poskytují ze všech datových zdrojů nejdetailnější informace o výdajích. Například rozdělení výdajů </w:t>
      </w:r>
      <w:r w:rsidRPr="00F73B6F">
        <w:rPr>
          <w:b/>
        </w:rPr>
        <w:t>za jednotlivé skupiny diagnóz</w:t>
      </w:r>
      <w:r>
        <w:t xml:space="preserve"> podle Mezinárodní statistické klasifikace nemocí a přidružených zdravotních problémů („MKN-10“), </w:t>
      </w:r>
      <w:r w:rsidRPr="00F73B6F">
        <w:rPr>
          <w:b/>
        </w:rPr>
        <w:t>rozdělení podle věku a pohlaví a nově také rozdělení podle jednotlivých krajů</w:t>
      </w:r>
      <w:r w:rsidR="006E02B5">
        <w:t>.</w:t>
      </w:r>
    </w:p>
    <w:p w14:paraId="06D6D143" w14:textId="77777777" w:rsidR="008E33C7" w:rsidRDefault="008E33C7" w:rsidP="00917551">
      <w:pPr>
        <w:pStyle w:val="Box1"/>
        <w:spacing w:line="240" w:lineRule="auto"/>
        <w:jc w:val="both"/>
      </w:pPr>
      <w:r w:rsidRPr="008F652C">
        <w:t>V roce 2022 došlo k rozsáhlé revi</w:t>
      </w:r>
      <w:r>
        <w:t>zi zdravotnických účtů za ČR za </w:t>
      </w:r>
      <w:r w:rsidRPr="008F652C">
        <w:t>roky 2017–2019 a zpracování roku 2020 s využitím nového datového zdroje. ČSÚ poprvé nepoužil pro analýzu výdajů na</w:t>
      </w:r>
      <w:r>
        <w:t> </w:t>
      </w:r>
      <w:r w:rsidRPr="008F652C">
        <w:t>zdravotní péči data předaná přímo od jednotlivých zdravotních pojišťoven, ale data, která pojišťovny posílají v průběhu roku do</w:t>
      </w:r>
      <w:r>
        <w:t> </w:t>
      </w:r>
      <w:r w:rsidRPr="008F652C">
        <w:t>Národního registru hrazených zdravotnických služeb (NRHZS) a</w:t>
      </w:r>
      <w:r>
        <w:t> </w:t>
      </w:r>
      <w:r w:rsidRPr="008F652C">
        <w:t>Ministerstvu zdravot</w:t>
      </w:r>
      <w:r>
        <w:t>nictví České republiky (MZ ČR).</w:t>
      </w:r>
    </w:p>
    <w:p w14:paraId="7A26A1AC" w14:textId="7096EDE3" w:rsidR="008E33C7" w:rsidRPr="0072606E" w:rsidRDefault="008E33C7" w:rsidP="00917551">
      <w:pPr>
        <w:pStyle w:val="Box1"/>
        <w:spacing w:line="240" w:lineRule="auto"/>
        <w:jc w:val="both"/>
      </w:pPr>
      <w:r>
        <w:t>Více podrobnějších informací a dat o výdajích na zdravotní péči v Česku lze najít v publikaci „</w:t>
      </w:r>
      <w:r w:rsidRPr="003A4605">
        <w:t>Výsledky zd</w:t>
      </w:r>
      <w:r>
        <w:t xml:space="preserve">ravotnických účtů ČR </w:t>
      </w:r>
      <w:r w:rsidR="00835FAA">
        <w:t>–</w:t>
      </w:r>
      <w:r>
        <w:t xml:space="preserve"> 2017–2020“.</w:t>
      </w:r>
    </w:p>
    <w:p w14:paraId="1EA77D46" w14:textId="77777777" w:rsidR="001B125D" w:rsidRDefault="001B125D" w:rsidP="006E02B5">
      <w:pPr>
        <w:spacing w:line="240" w:lineRule="auto"/>
        <w:ind w:left="709" w:hanging="709"/>
        <w:rPr>
          <w:b/>
        </w:rPr>
      </w:pPr>
    </w:p>
    <w:p w14:paraId="37153560" w14:textId="2BF6304B" w:rsidR="008E33C7" w:rsidRDefault="008E33C7" w:rsidP="006E02B5">
      <w:pPr>
        <w:spacing w:line="240" w:lineRule="auto"/>
        <w:ind w:left="709" w:hanging="709"/>
        <w:rPr>
          <w:b/>
        </w:rPr>
      </w:pPr>
      <w:r>
        <w:rPr>
          <w:b/>
        </w:rPr>
        <w:lastRenderedPageBreak/>
        <w:t>Graf 4.1 V</w:t>
      </w:r>
      <w:r w:rsidRPr="00456F8A">
        <w:rPr>
          <w:b/>
        </w:rPr>
        <w:t>ýdaje zdravotních pojišťoven</w:t>
      </w:r>
      <w:r>
        <w:rPr>
          <w:b/>
        </w:rPr>
        <w:t xml:space="preserve"> na léčbu seniorů</w:t>
      </w:r>
      <w:r w:rsidRPr="00456F8A">
        <w:rPr>
          <w:b/>
        </w:rPr>
        <w:t xml:space="preserve"> </w:t>
      </w:r>
      <w:r w:rsidR="006E02B5">
        <w:rPr>
          <w:b/>
        </w:rPr>
        <w:t>ve věku 65+</w:t>
      </w:r>
      <w:r w:rsidR="006E02B5">
        <w:rPr>
          <w:b/>
        </w:rPr>
        <w:br/>
        <w:t xml:space="preserve"> </w:t>
      </w:r>
      <w:r w:rsidR="00EC7C8E">
        <w:rPr>
          <w:b/>
        </w:rPr>
        <w:t xml:space="preserve"> </w:t>
      </w:r>
      <w:r>
        <w:rPr>
          <w:b/>
        </w:rPr>
        <w:t>podle pohlaví (2017–2020</w:t>
      </w:r>
      <w:r w:rsidRPr="00456F8A">
        <w:rPr>
          <w:b/>
        </w:rPr>
        <w:t>)</w:t>
      </w:r>
    </w:p>
    <w:p w14:paraId="43AD8150" w14:textId="4B9D4BE2" w:rsidR="008E33C7" w:rsidRPr="00180641" w:rsidRDefault="008E33C7" w:rsidP="00917551">
      <w:pPr>
        <w:pStyle w:val="Odstavecseseznamem"/>
        <w:numPr>
          <w:ilvl w:val="0"/>
          <w:numId w:val="21"/>
        </w:numPr>
        <w:spacing w:line="240" w:lineRule="auto"/>
        <w:rPr>
          <w:b/>
        </w:rPr>
      </w:pPr>
      <w:r>
        <w:rPr>
          <w:b/>
        </w:rPr>
        <w:t>absolutně v mld. Kč</w:t>
      </w:r>
      <w:r>
        <w:rPr>
          <w:b/>
        </w:rPr>
        <w:tab/>
      </w:r>
      <w:r>
        <w:rPr>
          <w:b/>
        </w:rPr>
        <w:tab/>
      </w:r>
      <w:r w:rsidR="004A208A">
        <w:rPr>
          <w:b/>
        </w:rPr>
        <w:tab/>
      </w:r>
      <w:r>
        <w:rPr>
          <w:b/>
        </w:rPr>
        <w:t>b) na 1 obyvatele v Kč</w:t>
      </w:r>
    </w:p>
    <w:p w14:paraId="7246A0F1" w14:textId="77777777" w:rsidR="008E33C7" w:rsidRDefault="008E33C7" w:rsidP="00917551">
      <w:pPr>
        <w:spacing w:line="240" w:lineRule="auto"/>
        <w:rPr>
          <w:noProof/>
        </w:rPr>
      </w:pPr>
      <w:r>
        <w:rPr>
          <w:noProof/>
        </w:rPr>
        <w:drawing>
          <wp:anchor distT="0" distB="0" distL="114300" distR="114300" simplePos="0" relativeHeight="251675136" behindDoc="0" locked="0" layoutInCell="1" allowOverlap="1" wp14:anchorId="040D33FD" wp14:editId="20C0F3E6">
            <wp:simplePos x="0" y="0"/>
            <wp:positionH relativeFrom="column">
              <wp:posOffset>2040130</wp:posOffset>
            </wp:positionH>
            <wp:positionV relativeFrom="paragraph">
              <wp:posOffset>8095</wp:posOffset>
            </wp:positionV>
            <wp:extent cx="2206294" cy="1716405"/>
            <wp:effectExtent l="0" t="0" r="3810" b="0"/>
            <wp:wrapNone/>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Pr>
          <w:noProof/>
        </w:rPr>
        <w:drawing>
          <wp:inline distT="0" distB="0" distL="0" distR="0" wp14:anchorId="7769974F" wp14:editId="20710228">
            <wp:extent cx="4210050" cy="1915064"/>
            <wp:effectExtent l="0" t="0" r="0"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180641">
        <w:rPr>
          <w:noProof/>
        </w:rPr>
        <w:t xml:space="preserve"> </w:t>
      </w:r>
    </w:p>
    <w:p w14:paraId="1A993750" w14:textId="77777777" w:rsidR="008E33C7" w:rsidRPr="00C4180D" w:rsidRDefault="008E33C7" w:rsidP="004A208A">
      <w:pPr>
        <w:spacing w:line="240" w:lineRule="auto"/>
        <w:rPr>
          <w:bCs/>
          <w:i/>
          <w:sz w:val="18"/>
          <w:szCs w:val="18"/>
        </w:rPr>
      </w:pPr>
      <w:r w:rsidRPr="00C4180D">
        <w:rPr>
          <w:bCs/>
          <w:i/>
          <w:sz w:val="18"/>
          <w:szCs w:val="18"/>
        </w:rPr>
        <w:t>Zdroj: ČSÚ 2022, Zdravotnické účty ČR 2017</w:t>
      </w:r>
      <w:r w:rsidRPr="00C4180D">
        <w:rPr>
          <w:sz w:val="18"/>
          <w:szCs w:val="18"/>
        </w:rPr>
        <w:t>–</w:t>
      </w:r>
      <w:r w:rsidRPr="00C4180D">
        <w:rPr>
          <w:bCs/>
          <w:i/>
          <w:sz w:val="18"/>
          <w:szCs w:val="18"/>
        </w:rPr>
        <w:t>2020</w:t>
      </w:r>
    </w:p>
    <w:p w14:paraId="02EBB1FC" w14:textId="194CC75A" w:rsidR="008E33C7" w:rsidRPr="00B9764C" w:rsidRDefault="008E33C7" w:rsidP="00917551">
      <w:pPr>
        <w:spacing w:line="240" w:lineRule="auto"/>
        <w:jc w:val="both"/>
      </w:pPr>
      <w:r>
        <w:rPr>
          <w:smallCaps/>
        </w:rPr>
        <w:t>V </w:t>
      </w:r>
      <w:r>
        <w:t xml:space="preserve">přepočtu na jednoho seniora staršího 65 let (včetně) bez ohledu na pohlaví zaplatily v roce 2020 zdravotní pojišťovny v průměru </w:t>
      </w:r>
      <w:r w:rsidRPr="00AB2BB2">
        <w:rPr>
          <w:b/>
        </w:rPr>
        <w:t>71,6 tis. Kč</w:t>
      </w:r>
      <w:r>
        <w:t xml:space="preserve">, což je o 8,8 tis. Kč více než v roce předchozím, a </w:t>
      </w:r>
      <w:r w:rsidRPr="004330AF">
        <w:t>dokonce o více než 17 tis.</w:t>
      </w:r>
      <w:r>
        <w:t xml:space="preserve"> Kč </w:t>
      </w:r>
      <w:r w:rsidRPr="004330AF">
        <w:t xml:space="preserve">více než v roce 2017. </w:t>
      </w:r>
      <w:r>
        <w:t xml:space="preserve">Výdaje </w:t>
      </w:r>
      <w:r w:rsidRPr="00AB2BB2">
        <w:rPr>
          <w:b/>
        </w:rPr>
        <w:t>na léčbu jedné ženy</w:t>
      </w:r>
      <w:r>
        <w:rPr>
          <w:b/>
        </w:rPr>
        <w:t xml:space="preserve"> v seniorském věku</w:t>
      </w:r>
      <w:r>
        <w:t xml:space="preserve"> byly v roce 2020 o 16,5 tis. Kč menší než výdaje na léčbu jednoho muže stejného věku a činily </w:t>
      </w:r>
      <w:r w:rsidRPr="00AB2BB2">
        <w:rPr>
          <w:b/>
        </w:rPr>
        <w:t>64,6 tis.</w:t>
      </w:r>
      <w:r w:rsidR="00D64158">
        <w:rPr>
          <w:b/>
        </w:rPr>
        <w:t> </w:t>
      </w:r>
      <w:r w:rsidRPr="00AB2BB2">
        <w:rPr>
          <w:b/>
        </w:rPr>
        <w:t>Kč</w:t>
      </w:r>
      <w:r>
        <w:t xml:space="preserve">. </w:t>
      </w:r>
      <w:r w:rsidRPr="00AB2BB2">
        <w:rPr>
          <w:b/>
        </w:rPr>
        <w:t>Za jednoho muže</w:t>
      </w:r>
      <w:r>
        <w:t xml:space="preserve"> pojišťovny vydaly v průměru </w:t>
      </w:r>
      <w:r w:rsidRPr="00AB2BB2">
        <w:rPr>
          <w:b/>
        </w:rPr>
        <w:t>81,2 tis. Kč</w:t>
      </w:r>
      <w:r>
        <w:t xml:space="preserve">. </w:t>
      </w:r>
      <w:r w:rsidRPr="004330AF">
        <w:t>Výdaje zdravotních pojišťoven připadající na jednoho muže vzrostly za sledované období o téměř 21 tisíc</w:t>
      </w:r>
      <w:r>
        <w:t xml:space="preserve"> Kč</w:t>
      </w:r>
      <w:r w:rsidRPr="004330AF">
        <w:t>, kdežto výdaje připadající na jednu ženu pouze o 14 tisíc</w:t>
      </w:r>
      <w:r>
        <w:t xml:space="preserve"> Kč</w:t>
      </w:r>
      <w:r w:rsidRPr="004330AF">
        <w:t>.</w:t>
      </w:r>
    </w:p>
    <w:p w14:paraId="2717D3AF" w14:textId="77777777" w:rsidR="008E33C7" w:rsidRDefault="008E33C7" w:rsidP="00917551">
      <w:pPr>
        <w:spacing w:line="240" w:lineRule="auto"/>
        <w:jc w:val="both"/>
      </w:pPr>
      <w:r w:rsidRPr="00107A56">
        <w:t>Pro srovnání, průměrné výdaje na 1 obyvatelku Česka (bez ohledu na věk) v roce 2020 činily 33,9 tis. Kč a na 1 obyvatele 32,2 tis. Kč. Průměrné výdaje na 1 seniora ve věku nad 65 let byly tedy více než dvojnásobné.</w:t>
      </w:r>
    </w:p>
    <w:p w14:paraId="5820B0D3" w14:textId="63F2EFAF" w:rsidR="008E33C7" w:rsidRDefault="008E33C7" w:rsidP="00917551">
      <w:pPr>
        <w:spacing w:line="240" w:lineRule="auto"/>
        <w:jc w:val="both"/>
      </w:pPr>
      <w:r>
        <w:t xml:space="preserve">S přibývajícím věkem logicky dochází ke zhoršování zdravotního stavu a s tím i ke zvýšení výdajů na zdravotní péči, jak lze vidět </w:t>
      </w:r>
      <w:r w:rsidRPr="008E33C7">
        <w:t>v grafu 4.2.</w:t>
      </w:r>
      <w:r>
        <w:t xml:space="preserve"> Ve většině věkových skupin (kromě kategorie 95+)</w:t>
      </w:r>
      <w:r w:rsidRPr="00707C3E">
        <w:t xml:space="preserve"> </w:t>
      </w:r>
      <w:r w:rsidRPr="00707C3E">
        <w:rPr>
          <w:b/>
        </w:rPr>
        <w:t>převažují výdaje na</w:t>
      </w:r>
      <w:r>
        <w:rPr>
          <w:b/>
        </w:rPr>
        <w:t> </w:t>
      </w:r>
      <w:r w:rsidRPr="00707C3E">
        <w:rPr>
          <w:b/>
        </w:rPr>
        <w:t>léčbu jednoho muže nad výdaji na jednu ženu</w:t>
      </w:r>
      <w:r>
        <w:t>. Nejvyšší rozdíl lze vidět ve věkové skupině 75–79 let, kdy jsou výdaje na léčbu jednoho muže vyšší o </w:t>
      </w:r>
      <w:r w:rsidRPr="00707C3E">
        <w:t>24</w:t>
      </w:r>
      <w:r>
        <w:t> </w:t>
      </w:r>
      <w:r w:rsidRPr="00707C3E">
        <w:t>tis</w:t>
      </w:r>
      <w:r>
        <w:t>. Kč.</w:t>
      </w:r>
    </w:p>
    <w:p w14:paraId="792C6DBC" w14:textId="66AB3C02" w:rsidR="008E33C7" w:rsidRDefault="008E33C7" w:rsidP="00917551">
      <w:pPr>
        <w:spacing w:line="240" w:lineRule="auto"/>
        <w:jc w:val="both"/>
      </w:pPr>
      <w:r w:rsidRPr="004330AF">
        <w:lastRenderedPageBreak/>
        <w:t xml:space="preserve">Nejvíce pojišťovny zaplatily v přepočtu za jednu ženu </w:t>
      </w:r>
      <w:r w:rsidR="00D64158">
        <w:t>starší 95 </w:t>
      </w:r>
      <w:r>
        <w:t>let (116,3 </w:t>
      </w:r>
      <w:r w:rsidRPr="004330AF">
        <w:t>tis.</w:t>
      </w:r>
      <w:r>
        <w:t> Kč</w:t>
      </w:r>
      <w:r w:rsidRPr="004330AF">
        <w:t>), ne</w:t>
      </w:r>
      <w:r>
        <w:t>jméně pak za jednu ženu ve věku</w:t>
      </w:r>
      <w:r w:rsidRPr="004330AF">
        <w:t xml:space="preserve"> 65</w:t>
      </w:r>
      <w:r>
        <w:t>–</w:t>
      </w:r>
      <w:r w:rsidRPr="004330AF">
        <w:t>69 let (48,8 tis.</w:t>
      </w:r>
      <w:r>
        <w:t xml:space="preserve"> Kč</w:t>
      </w:r>
      <w:r w:rsidRPr="004330AF">
        <w:t>)</w:t>
      </w:r>
      <w:r>
        <w:t>.</w:t>
      </w:r>
    </w:p>
    <w:p w14:paraId="387AB265" w14:textId="16C4BAE3" w:rsidR="008E33C7" w:rsidRPr="00456F8A" w:rsidRDefault="008E33C7" w:rsidP="00D64158">
      <w:pPr>
        <w:spacing w:line="240" w:lineRule="auto"/>
        <w:ind w:left="709" w:hanging="709"/>
        <w:rPr>
          <w:b/>
        </w:rPr>
      </w:pPr>
      <w:r w:rsidRPr="008E33C7">
        <w:rPr>
          <w:b/>
        </w:rPr>
        <w:t>Graf 4.2</w:t>
      </w:r>
      <w:r>
        <w:rPr>
          <w:b/>
        </w:rPr>
        <w:t xml:space="preserve"> </w:t>
      </w:r>
      <w:r w:rsidRPr="00456F8A">
        <w:rPr>
          <w:b/>
        </w:rPr>
        <w:t>Průměrné výdaje zd</w:t>
      </w:r>
      <w:r w:rsidR="00D64158">
        <w:rPr>
          <w:b/>
        </w:rPr>
        <w:t>ravotních pojišťoven na jednoho</w:t>
      </w:r>
      <w:r w:rsidR="00D64158">
        <w:rPr>
          <w:b/>
        </w:rPr>
        <w:br/>
        <w:t xml:space="preserve"> </w:t>
      </w:r>
      <w:r w:rsidR="004F24A1">
        <w:rPr>
          <w:b/>
        </w:rPr>
        <w:t xml:space="preserve"> </w:t>
      </w:r>
      <w:r w:rsidRPr="00456F8A">
        <w:rPr>
          <w:b/>
        </w:rPr>
        <w:t>obyvatele podle</w:t>
      </w:r>
      <w:r>
        <w:rPr>
          <w:b/>
        </w:rPr>
        <w:t xml:space="preserve"> věku a pohlaví</w:t>
      </w:r>
      <w:r w:rsidR="004F5ECD">
        <w:rPr>
          <w:b/>
        </w:rPr>
        <w:t xml:space="preserve"> v roce 2020</w:t>
      </w:r>
      <w:r>
        <w:rPr>
          <w:b/>
        </w:rPr>
        <w:t xml:space="preserve"> (</w:t>
      </w:r>
      <w:r w:rsidR="007F4374">
        <w:rPr>
          <w:b/>
        </w:rPr>
        <w:t xml:space="preserve">v </w:t>
      </w:r>
      <w:r>
        <w:rPr>
          <w:b/>
        </w:rPr>
        <w:t>tis. Kč</w:t>
      </w:r>
      <w:r w:rsidRPr="00456F8A">
        <w:rPr>
          <w:b/>
        </w:rPr>
        <w:t>)</w:t>
      </w:r>
    </w:p>
    <w:p w14:paraId="561A9226" w14:textId="77777777" w:rsidR="008E33C7" w:rsidRDefault="008E33C7" w:rsidP="00917551">
      <w:pPr>
        <w:spacing w:line="240" w:lineRule="auto"/>
      </w:pPr>
      <w:r>
        <w:rPr>
          <w:noProof/>
        </w:rPr>
        <w:drawing>
          <wp:inline distT="0" distB="0" distL="0" distR="0" wp14:anchorId="02393E39" wp14:editId="78B9B20D">
            <wp:extent cx="4210050" cy="1800233"/>
            <wp:effectExtent l="0" t="0" r="0" b="0"/>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465A441" w14:textId="77777777" w:rsidR="008E33C7" w:rsidRPr="00C4180D" w:rsidRDefault="008E33C7" w:rsidP="008E47F7">
      <w:pPr>
        <w:spacing w:line="240" w:lineRule="auto"/>
        <w:rPr>
          <w:bCs/>
          <w:i/>
          <w:sz w:val="18"/>
          <w:szCs w:val="18"/>
        </w:rPr>
      </w:pPr>
      <w:r w:rsidRPr="00C4180D">
        <w:rPr>
          <w:bCs/>
          <w:i/>
          <w:sz w:val="18"/>
          <w:szCs w:val="18"/>
        </w:rPr>
        <w:t xml:space="preserve">Zdroj: ČSÚ </w:t>
      </w:r>
      <w:r>
        <w:rPr>
          <w:bCs/>
          <w:i/>
          <w:sz w:val="18"/>
          <w:szCs w:val="18"/>
        </w:rPr>
        <w:t>2022, Zdravotnické účty ČR 2017</w:t>
      </w:r>
      <w:r w:rsidRPr="00C4180D">
        <w:rPr>
          <w:sz w:val="18"/>
          <w:szCs w:val="18"/>
        </w:rPr>
        <w:t>–</w:t>
      </w:r>
      <w:r w:rsidRPr="00C4180D">
        <w:rPr>
          <w:bCs/>
          <w:i/>
          <w:sz w:val="18"/>
          <w:szCs w:val="18"/>
        </w:rPr>
        <w:t>2020</w:t>
      </w:r>
    </w:p>
    <w:p w14:paraId="5A5B3365" w14:textId="155C2B81" w:rsidR="00901781" w:rsidRDefault="008E33C7" w:rsidP="00917551">
      <w:pPr>
        <w:pStyle w:val="Titulek"/>
        <w:spacing w:after="240" w:line="240" w:lineRule="auto"/>
        <w:jc w:val="both"/>
        <w:rPr>
          <w:b w:val="0"/>
        </w:rPr>
      </w:pPr>
      <w:r w:rsidRPr="00791F17">
        <w:rPr>
          <w:b w:val="0"/>
        </w:rPr>
        <w:t xml:space="preserve">Největší část </w:t>
      </w:r>
      <w:r>
        <w:rPr>
          <w:b w:val="0"/>
        </w:rPr>
        <w:t xml:space="preserve">finančních prostředků </w:t>
      </w:r>
      <w:r w:rsidRPr="00791F17">
        <w:rPr>
          <w:b w:val="0"/>
        </w:rPr>
        <w:t>zdr</w:t>
      </w:r>
      <w:r>
        <w:rPr>
          <w:b w:val="0"/>
        </w:rPr>
        <w:t>avotních pojišťoven vydaných na </w:t>
      </w:r>
      <w:r w:rsidRPr="00791F17">
        <w:rPr>
          <w:b w:val="0"/>
        </w:rPr>
        <w:t xml:space="preserve">léčbu seniorů </w:t>
      </w:r>
      <w:r>
        <w:rPr>
          <w:b w:val="0"/>
        </w:rPr>
        <w:t xml:space="preserve">v roce 2020 </w:t>
      </w:r>
      <w:r w:rsidRPr="00791F17">
        <w:rPr>
          <w:b w:val="0"/>
        </w:rPr>
        <w:t xml:space="preserve">putovala </w:t>
      </w:r>
      <w:r w:rsidRPr="00AB2BB2">
        <w:t>na léčbu nemocí oběhové soustavy</w:t>
      </w:r>
      <w:r>
        <w:t>, a </w:t>
      </w:r>
      <w:r w:rsidRPr="00AB2BB2">
        <w:t>to 28,8</w:t>
      </w:r>
      <w:r>
        <w:t> </w:t>
      </w:r>
      <w:r w:rsidRPr="00AB2BB2">
        <w:t>mld.</w:t>
      </w:r>
      <w:r>
        <w:t> </w:t>
      </w:r>
      <w:r w:rsidRPr="00AB2BB2">
        <w:t>Kč</w:t>
      </w:r>
      <w:r>
        <w:rPr>
          <w:b w:val="0"/>
        </w:rPr>
        <w:t>, což je 69 %</w:t>
      </w:r>
      <w:r w:rsidRPr="00791F17">
        <w:rPr>
          <w:b w:val="0"/>
        </w:rPr>
        <w:t xml:space="preserve"> z</w:t>
      </w:r>
      <w:r>
        <w:rPr>
          <w:b w:val="0"/>
        </w:rPr>
        <w:t xml:space="preserve"> celkových výdajů pojišťoven na </w:t>
      </w:r>
      <w:r w:rsidRPr="00791F17">
        <w:rPr>
          <w:b w:val="0"/>
        </w:rPr>
        <w:t xml:space="preserve">léčbu těchto onemocnění. </w:t>
      </w:r>
      <w:r>
        <w:rPr>
          <w:b w:val="0"/>
        </w:rPr>
        <w:t xml:space="preserve">V přepočtu na jednoho seniora opět výdaje rostou s přibývajícím věkem. Rozdíl mezi výdaji za léčbu nemocí oběhové soustavy za jednoho seniora bez ohledu na pohlaví ve věku 65–69 let a 95+ činil 18,2 tis. Kč. Nejvyšší částku vydaly zdravotní pojišťovny na léčbu těchto nemocí za jednoho obyvatele v seniorském věku staršího 95 let. </w:t>
      </w:r>
      <w:r w:rsidRPr="00791F17">
        <w:rPr>
          <w:b w:val="0"/>
        </w:rPr>
        <w:t>Mezi</w:t>
      </w:r>
      <w:r>
        <w:rPr>
          <w:b w:val="0"/>
        </w:rPr>
        <w:t> </w:t>
      </w:r>
      <w:r w:rsidRPr="00791F17">
        <w:rPr>
          <w:b w:val="0"/>
        </w:rPr>
        <w:t>nemoci oběhové soustavy patří například ischemické nemoci srdeční (infarkt myokardu, angina pectoris aj.), hypertenzní nemoci, chronické revmatické choroby srdeční, plicní embolie, cévní mozková příhoda, zánět žil.</w:t>
      </w:r>
    </w:p>
    <w:p w14:paraId="0BFDC085" w14:textId="77777777" w:rsidR="00901781" w:rsidRDefault="00901781">
      <w:pPr>
        <w:spacing w:after="0" w:line="240" w:lineRule="auto"/>
        <w:rPr>
          <w:rFonts w:eastAsia="Calibri" w:cs="Arial"/>
          <w:color w:val="000000"/>
          <w:szCs w:val="20"/>
        </w:rPr>
      </w:pPr>
      <w:r>
        <w:rPr>
          <w:b/>
        </w:rPr>
        <w:br w:type="page"/>
      </w:r>
    </w:p>
    <w:p w14:paraId="77CF851A" w14:textId="17E0B249" w:rsidR="008E33C7" w:rsidRDefault="00757538" w:rsidP="00A366AD">
      <w:pPr>
        <w:pStyle w:val="Titulek"/>
        <w:spacing w:after="60" w:line="240" w:lineRule="auto"/>
      </w:pPr>
      <w:r>
        <w:lastRenderedPageBreak/>
        <w:t>Graf 4.3</w:t>
      </w:r>
      <w:r w:rsidR="008E33C7">
        <w:t xml:space="preserve"> </w:t>
      </w:r>
      <w:r w:rsidR="008E33C7" w:rsidRPr="00281941">
        <w:t>Průměrné výdaje zdravotních pojišťov</w:t>
      </w:r>
      <w:r w:rsidR="008E47F7">
        <w:t>en na jednoho</w:t>
      </w:r>
      <w:r w:rsidR="008E47F7">
        <w:br/>
      </w:r>
      <w:r w:rsidR="00A366AD">
        <w:t xml:space="preserve">              </w:t>
      </w:r>
      <w:r w:rsidR="008E33C7" w:rsidRPr="00281941">
        <w:t>obyvatele u nejnákladnějších diagnóz podle věku</w:t>
      </w:r>
      <w:r w:rsidR="006E709D">
        <w:t xml:space="preserve"> v roce 2020</w:t>
      </w:r>
      <w:r w:rsidR="00A366AD">
        <w:br/>
        <w:t xml:space="preserve">             </w:t>
      </w:r>
      <w:r w:rsidR="00353B6A">
        <w:t xml:space="preserve"> </w:t>
      </w:r>
      <w:r w:rsidR="008E33C7" w:rsidRPr="00281941">
        <w:t>(</w:t>
      </w:r>
      <w:r w:rsidR="007F4374">
        <w:t xml:space="preserve">v </w:t>
      </w:r>
      <w:r w:rsidR="008E33C7" w:rsidRPr="00281941">
        <w:t>Kč</w:t>
      </w:r>
      <w:r w:rsidR="006E709D">
        <w:t xml:space="preserve">) </w:t>
      </w:r>
      <w:r w:rsidR="008E33C7">
        <w:rPr>
          <w:noProof/>
        </w:rPr>
        <w:drawing>
          <wp:inline distT="0" distB="0" distL="0" distR="0" wp14:anchorId="599AD492" wp14:editId="06F091FD">
            <wp:extent cx="4260850" cy="3489306"/>
            <wp:effectExtent l="0" t="0" r="6350" b="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F32275C" w14:textId="77777777" w:rsidR="008E33C7" w:rsidRPr="00C4180D" w:rsidRDefault="008E33C7" w:rsidP="008E47F7">
      <w:pPr>
        <w:spacing w:line="240" w:lineRule="auto"/>
        <w:rPr>
          <w:bCs/>
          <w:i/>
          <w:sz w:val="18"/>
          <w:szCs w:val="18"/>
        </w:rPr>
      </w:pPr>
      <w:r w:rsidRPr="00C4180D">
        <w:rPr>
          <w:bCs/>
          <w:i/>
          <w:sz w:val="18"/>
          <w:szCs w:val="18"/>
        </w:rPr>
        <w:t xml:space="preserve">Zdroj: ČSÚ </w:t>
      </w:r>
      <w:r>
        <w:rPr>
          <w:bCs/>
          <w:i/>
          <w:sz w:val="18"/>
          <w:szCs w:val="18"/>
        </w:rPr>
        <w:t>2022, Zdravotnické účty ČR 2017</w:t>
      </w:r>
      <w:r w:rsidRPr="00C4180D">
        <w:rPr>
          <w:sz w:val="18"/>
          <w:szCs w:val="18"/>
        </w:rPr>
        <w:t>–</w:t>
      </w:r>
      <w:r w:rsidRPr="00C4180D">
        <w:rPr>
          <w:bCs/>
          <w:i/>
          <w:sz w:val="18"/>
          <w:szCs w:val="18"/>
        </w:rPr>
        <w:t>2020</w:t>
      </w:r>
    </w:p>
    <w:p w14:paraId="721CEA6E" w14:textId="0070B448" w:rsidR="008E33C7" w:rsidRDefault="008E33C7" w:rsidP="00917551">
      <w:pPr>
        <w:pStyle w:val="Titulek"/>
        <w:spacing w:after="240" w:line="240" w:lineRule="auto"/>
        <w:jc w:val="both"/>
        <w:rPr>
          <w:b w:val="0"/>
        </w:rPr>
      </w:pPr>
      <w:r w:rsidRPr="00AB2BB2">
        <w:t>Za léčbu novotvarů</w:t>
      </w:r>
      <w:r>
        <w:rPr>
          <w:b w:val="0"/>
        </w:rPr>
        <w:t xml:space="preserve"> u seniorů vydaly v roce 2020 zdravotní pojišťovny celkem </w:t>
      </w:r>
      <w:r w:rsidRPr="00AB2BB2">
        <w:t>19,4 mld. Kč</w:t>
      </w:r>
      <w:r w:rsidRPr="00791F17">
        <w:rPr>
          <w:b w:val="0"/>
        </w:rPr>
        <w:t xml:space="preserve">. </w:t>
      </w:r>
      <w:r w:rsidRPr="00204307">
        <w:rPr>
          <w:b w:val="0"/>
        </w:rPr>
        <w:t>Výdaje na léčbu novotvarů v přepočtu na obyvatele byly nejvyšší ve věkové skupině 75</w:t>
      </w:r>
      <w:r>
        <w:rPr>
          <w:b w:val="0"/>
        </w:rPr>
        <w:t>–</w:t>
      </w:r>
      <w:r w:rsidRPr="00204307">
        <w:rPr>
          <w:b w:val="0"/>
        </w:rPr>
        <w:t>79 let. Od tohoto věku začínají postupně klesat</w:t>
      </w:r>
      <w:r>
        <w:rPr>
          <w:b w:val="0"/>
        </w:rPr>
        <w:t>,</w:t>
      </w:r>
      <w:r w:rsidRPr="00204307">
        <w:rPr>
          <w:b w:val="0"/>
        </w:rPr>
        <w:t xml:space="preserve"> a například ve věkové skupině 80</w:t>
      </w:r>
      <w:r>
        <w:rPr>
          <w:b w:val="0"/>
        </w:rPr>
        <w:t>–</w:t>
      </w:r>
      <w:r w:rsidRPr="00204307">
        <w:rPr>
          <w:b w:val="0"/>
        </w:rPr>
        <w:t>84</w:t>
      </w:r>
      <w:r w:rsidR="005D33BC">
        <w:rPr>
          <w:b w:val="0"/>
        </w:rPr>
        <w:t> </w:t>
      </w:r>
      <w:r>
        <w:rPr>
          <w:b w:val="0"/>
        </w:rPr>
        <w:t>let jsou výdaje připadající na </w:t>
      </w:r>
      <w:r w:rsidRPr="00204307">
        <w:rPr>
          <w:b w:val="0"/>
        </w:rPr>
        <w:t>jednoho obyvatele o 2</w:t>
      </w:r>
      <w:r>
        <w:rPr>
          <w:b w:val="0"/>
        </w:rPr>
        <w:t> </w:t>
      </w:r>
      <w:r w:rsidRPr="00204307">
        <w:rPr>
          <w:b w:val="0"/>
        </w:rPr>
        <w:t xml:space="preserve">609 Kč nižší než </w:t>
      </w:r>
      <w:r>
        <w:rPr>
          <w:b w:val="0"/>
        </w:rPr>
        <w:t>ve věkové skupině 70–74 let a o </w:t>
      </w:r>
      <w:r w:rsidRPr="00204307">
        <w:rPr>
          <w:b w:val="0"/>
        </w:rPr>
        <w:t>1</w:t>
      </w:r>
      <w:r>
        <w:rPr>
          <w:b w:val="0"/>
        </w:rPr>
        <w:t> </w:t>
      </w:r>
      <w:r w:rsidRPr="00204307">
        <w:rPr>
          <w:b w:val="0"/>
        </w:rPr>
        <w:t>223 Kč nižší než ve věku 65</w:t>
      </w:r>
      <w:r w:rsidR="00ED2766">
        <w:t>–</w:t>
      </w:r>
      <w:r w:rsidRPr="00204307">
        <w:rPr>
          <w:b w:val="0"/>
        </w:rPr>
        <w:t>69 let.</w:t>
      </w:r>
    </w:p>
    <w:p w14:paraId="037C45FB" w14:textId="77777777" w:rsidR="004A7E89" w:rsidRDefault="008E33C7" w:rsidP="00917551">
      <w:pPr>
        <w:pStyle w:val="Titulek"/>
        <w:spacing w:after="240" w:line="240" w:lineRule="auto"/>
        <w:jc w:val="both"/>
        <w:rPr>
          <w:b w:val="0"/>
        </w:rPr>
      </w:pPr>
      <w:r>
        <w:rPr>
          <w:b w:val="0"/>
        </w:rPr>
        <w:t>Mezi další nejnákladnější skupiny</w:t>
      </w:r>
      <w:r w:rsidRPr="00791F17">
        <w:rPr>
          <w:b w:val="0"/>
        </w:rPr>
        <w:t xml:space="preserve"> diagnóz 65letých a starších </w:t>
      </w:r>
      <w:r>
        <w:rPr>
          <w:b w:val="0"/>
        </w:rPr>
        <w:t>patřily nemoci svalové, kosterní a pojivové tkáně</w:t>
      </w:r>
      <w:r w:rsidRPr="00791F17">
        <w:rPr>
          <w:b w:val="0"/>
        </w:rPr>
        <w:t xml:space="preserve">, </w:t>
      </w:r>
      <w:r>
        <w:rPr>
          <w:b w:val="0"/>
        </w:rPr>
        <w:t>nemoci dýchací soustavy, nemoci trávicí soustavy nebo nemoci močové a pohlavní soustavy.</w:t>
      </w:r>
    </w:p>
    <w:p w14:paraId="70BA440E" w14:textId="60A53A44" w:rsidR="005D33BC" w:rsidRPr="001B125D" w:rsidRDefault="008E33C7" w:rsidP="001B125D">
      <w:pPr>
        <w:pStyle w:val="Titulek"/>
        <w:spacing w:after="240" w:line="240" w:lineRule="auto"/>
        <w:jc w:val="both"/>
        <w:rPr>
          <w:b w:val="0"/>
        </w:rPr>
      </w:pPr>
      <w:r w:rsidRPr="00917551">
        <w:rPr>
          <w:b w:val="0"/>
        </w:rPr>
        <w:lastRenderedPageBreak/>
        <w:t>U obou pohlaví skoro ve všech věkových skupinách seniorů připadají nejvyšší výdaje na léčbu nemocí oběhové soustavy. Druhé v pořadí jsou výdaje za léčbu novotvarů. Třetí nejvyšší výdaje byly u mužů zaznamenány za léčbu nemocí dýchací soustavy, zatímco u žen to byly výdaje za léčbu nemocí svalové a kosterní soustavy a pojivové tkáně. U mužů nad 65 let vydají zdravotní pojišťovny za</w:t>
      </w:r>
      <w:r w:rsidR="00E74EA7">
        <w:rPr>
          <w:b w:val="0"/>
        </w:rPr>
        <w:t> </w:t>
      </w:r>
      <w:r w:rsidRPr="00917551">
        <w:rPr>
          <w:b w:val="0"/>
        </w:rPr>
        <w:t>léčbu nemocí čtyř nejnákladnějších skupin diagnóz téměř polovinu veškerých výdajů. S rostoucím věkem se mění procentuální zastoupení výdajů na jednotlivé skupiny onemocnění. Zatímco podíl nákladů na nemoci oběhové soustavy s věkem roste, u novotvarů je to naopak. U žen s věkem klesají také výdaje na nemoci svalové, kosterní a pojivové tkáně.</w:t>
      </w:r>
    </w:p>
    <w:p w14:paraId="770F2CCE" w14:textId="27827AC8" w:rsidR="008E33C7" w:rsidRDefault="008E33C7" w:rsidP="005D33BC">
      <w:pPr>
        <w:pStyle w:val="Textkomente"/>
        <w:ind w:left="709" w:hanging="709"/>
        <w:rPr>
          <w:b/>
        </w:rPr>
      </w:pPr>
      <w:r w:rsidRPr="00757538">
        <w:rPr>
          <w:b/>
        </w:rPr>
        <w:t>Graf 4</w:t>
      </w:r>
      <w:r w:rsidR="00757538" w:rsidRPr="00757538">
        <w:rPr>
          <w:b/>
        </w:rPr>
        <w:t>.4</w:t>
      </w:r>
      <w:r w:rsidRPr="00757538">
        <w:rPr>
          <w:b/>
        </w:rPr>
        <w:t xml:space="preserve"> Struktura</w:t>
      </w:r>
      <w:r w:rsidRPr="00C305C3">
        <w:rPr>
          <w:b/>
        </w:rPr>
        <w:t xml:space="preserve"> výdajů zdravotních pojišťoven za </w:t>
      </w:r>
      <w:r>
        <w:rPr>
          <w:b/>
        </w:rPr>
        <w:t xml:space="preserve">péči o </w:t>
      </w:r>
      <w:r w:rsidR="005D33BC">
        <w:rPr>
          <w:b/>
        </w:rPr>
        <w:t>seniory</w:t>
      </w:r>
      <w:r w:rsidR="005D33BC">
        <w:rPr>
          <w:b/>
        </w:rPr>
        <w:br/>
        <w:t xml:space="preserve">  </w:t>
      </w:r>
      <w:r w:rsidRPr="00C305C3">
        <w:rPr>
          <w:b/>
        </w:rPr>
        <w:t>podle</w:t>
      </w:r>
      <w:r>
        <w:rPr>
          <w:b/>
        </w:rPr>
        <w:t xml:space="preserve"> věku a</w:t>
      </w:r>
      <w:r w:rsidRPr="00C305C3">
        <w:rPr>
          <w:b/>
        </w:rPr>
        <w:t xml:space="preserve"> </w:t>
      </w:r>
      <w:r>
        <w:rPr>
          <w:b/>
        </w:rPr>
        <w:t>skupin diagnóz</w:t>
      </w:r>
      <w:r w:rsidR="006E709D">
        <w:rPr>
          <w:b/>
        </w:rPr>
        <w:t xml:space="preserve"> v roce 2020 </w:t>
      </w:r>
      <w:r w:rsidR="007F4374">
        <w:rPr>
          <w:b/>
        </w:rPr>
        <w:t>(</w:t>
      </w:r>
      <w:r w:rsidR="006E709D">
        <w:rPr>
          <w:b/>
        </w:rPr>
        <w:t>v</w:t>
      </w:r>
      <w:r w:rsidR="00D378F2">
        <w:rPr>
          <w:b/>
        </w:rPr>
        <w:t> </w:t>
      </w:r>
      <w:r w:rsidR="006E709D">
        <w:rPr>
          <w:b/>
        </w:rPr>
        <w:t>%</w:t>
      </w:r>
      <w:r w:rsidR="007F4374">
        <w:rPr>
          <w:b/>
        </w:rPr>
        <w:t>)</w:t>
      </w:r>
    </w:p>
    <w:p w14:paraId="1C36C0F7" w14:textId="77777777" w:rsidR="008E33C7" w:rsidRPr="006B1A98" w:rsidRDefault="008E33C7" w:rsidP="00917551">
      <w:pPr>
        <w:pStyle w:val="Odstavecseseznamem"/>
        <w:numPr>
          <w:ilvl w:val="0"/>
          <w:numId w:val="20"/>
        </w:numPr>
        <w:spacing w:line="240" w:lineRule="auto"/>
        <w:rPr>
          <w:b/>
        </w:rPr>
      </w:pPr>
      <w:r>
        <w:rPr>
          <w:b/>
        </w:rPr>
        <w:t>m</w:t>
      </w:r>
      <w:r w:rsidRPr="00512A05">
        <w:rPr>
          <w:b/>
        </w:rPr>
        <w:t>uži</w:t>
      </w:r>
    </w:p>
    <w:p w14:paraId="7B958D62" w14:textId="77777777" w:rsidR="008E33C7" w:rsidRDefault="008E33C7" w:rsidP="00917551">
      <w:pPr>
        <w:spacing w:line="240" w:lineRule="auto"/>
        <w:jc w:val="both"/>
      </w:pPr>
      <w:r>
        <w:rPr>
          <w:noProof/>
        </w:rPr>
        <w:drawing>
          <wp:inline distT="0" distB="0" distL="0" distR="0" wp14:anchorId="757678A5" wp14:editId="561D54BA">
            <wp:extent cx="4247515" cy="2964081"/>
            <wp:effectExtent l="0" t="0" r="635" b="8255"/>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35DD7A5" w14:textId="77777777" w:rsidR="008E33C7" w:rsidRPr="00E924D9" w:rsidRDefault="008E33C7" w:rsidP="0056043E">
      <w:pPr>
        <w:spacing w:after="120" w:line="240" w:lineRule="auto"/>
        <w:jc w:val="both"/>
        <w:rPr>
          <w:sz w:val="18"/>
          <w:szCs w:val="18"/>
        </w:rPr>
      </w:pPr>
      <w:r w:rsidRPr="00E924D9">
        <w:rPr>
          <w:sz w:val="18"/>
          <w:szCs w:val="18"/>
        </w:rPr>
        <w:t>*</w:t>
      </w:r>
      <w:r w:rsidRPr="0056043E">
        <w:rPr>
          <w:sz w:val="16"/>
          <w:szCs w:val="16"/>
        </w:rPr>
        <w:t>Zahrnuje například nemoci svalové a kosterní soustavy, nemoci trávicí soustavy, poruchy duševní a chování a poranění, otravy a některé jiné následky vnějších příčin.</w:t>
      </w:r>
    </w:p>
    <w:p w14:paraId="13E50036" w14:textId="5F49D58D" w:rsidR="005D33BC" w:rsidRDefault="008E33C7" w:rsidP="001B125D">
      <w:pPr>
        <w:spacing w:line="240" w:lineRule="auto"/>
        <w:rPr>
          <w:bCs/>
          <w:i/>
          <w:sz w:val="18"/>
          <w:szCs w:val="18"/>
        </w:rPr>
      </w:pPr>
      <w:r w:rsidRPr="00C4180D">
        <w:rPr>
          <w:bCs/>
          <w:i/>
          <w:sz w:val="18"/>
          <w:szCs w:val="18"/>
        </w:rPr>
        <w:t xml:space="preserve">Zdroj: ČSÚ </w:t>
      </w:r>
      <w:r>
        <w:rPr>
          <w:bCs/>
          <w:i/>
          <w:sz w:val="18"/>
          <w:szCs w:val="18"/>
        </w:rPr>
        <w:t>2022, Zdravotnické účty ČR 2017</w:t>
      </w:r>
      <w:r w:rsidRPr="00C4180D">
        <w:rPr>
          <w:sz w:val="18"/>
          <w:szCs w:val="18"/>
        </w:rPr>
        <w:t>–</w:t>
      </w:r>
      <w:r w:rsidRPr="00C4180D">
        <w:rPr>
          <w:bCs/>
          <w:i/>
          <w:sz w:val="18"/>
          <w:szCs w:val="18"/>
        </w:rPr>
        <w:t>2020</w:t>
      </w:r>
    </w:p>
    <w:p w14:paraId="360F98E1" w14:textId="77777777" w:rsidR="008E33C7" w:rsidRPr="00D17CCD" w:rsidRDefault="008E33C7" w:rsidP="00917551">
      <w:pPr>
        <w:pStyle w:val="Odstavecseseznamem"/>
        <w:numPr>
          <w:ilvl w:val="0"/>
          <w:numId w:val="20"/>
        </w:numPr>
        <w:spacing w:line="240" w:lineRule="auto"/>
        <w:rPr>
          <w:b/>
          <w:bCs/>
          <w:szCs w:val="20"/>
        </w:rPr>
      </w:pPr>
      <w:r w:rsidRPr="00D17CCD">
        <w:rPr>
          <w:b/>
          <w:bCs/>
          <w:szCs w:val="20"/>
        </w:rPr>
        <w:lastRenderedPageBreak/>
        <w:t>ženy</w:t>
      </w:r>
    </w:p>
    <w:p w14:paraId="419FA939" w14:textId="24217BAC" w:rsidR="008E33C7" w:rsidRPr="001A5095" w:rsidRDefault="008E33C7" w:rsidP="001A5095">
      <w:pPr>
        <w:pStyle w:val="Odstavecseseznamem"/>
        <w:spacing w:after="120" w:line="240" w:lineRule="auto"/>
        <w:ind w:left="0"/>
        <w:rPr>
          <w:bCs/>
          <w:sz w:val="16"/>
          <w:szCs w:val="16"/>
        </w:rPr>
      </w:pPr>
      <w:r>
        <w:rPr>
          <w:noProof/>
        </w:rPr>
        <w:drawing>
          <wp:inline distT="0" distB="0" distL="0" distR="0" wp14:anchorId="4A77E1C2" wp14:editId="3E4837CA">
            <wp:extent cx="4532630" cy="3147106"/>
            <wp:effectExtent l="0" t="0" r="1270" b="0"/>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E924D9">
        <w:rPr>
          <w:bCs/>
          <w:sz w:val="18"/>
          <w:szCs w:val="18"/>
        </w:rPr>
        <w:t>*</w:t>
      </w:r>
      <w:r w:rsidRPr="001A5095">
        <w:rPr>
          <w:bCs/>
          <w:sz w:val="16"/>
          <w:szCs w:val="16"/>
        </w:rPr>
        <w:t>Zahrnuje například nemoci močové a pohlavní soustavy, poruchy duševní a</w:t>
      </w:r>
      <w:r w:rsidR="00E74EA7" w:rsidRPr="001A5095">
        <w:rPr>
          <w:bCs/>
          <w:sz w:val="16"/>
          <w:szCs w:val="16"/>
        </w:rPr>
        <w:t> </w:t>
      </w:r>
      <w:r w:rsidRPr="001A5095">
        <w:rPr>
          <w:bCs/>
          <w:sz w:val="16"/>
          <w:szCs w:val="16"/>
        </w:rPr>
        <w:t>poruchy chování, nemoci nervové soustavy a poranění, otravy a některé jiné následky vnějších příčin.</w:t>
      </w:r>
    </w:p>
    <w:p w14:paraId="252BC820" w14:textId="77777777" w:rsidR="008E33C7" w:rsidRPr="00C4180D" w:rsidRDefault="008E33C7" w:rsidP="003C0B0F">
      <w:pPr>
        <w:spacing w:line="240" w:lineRule="auto"/>
        <w:rPr>
          <w:bCs/>
          <w:i/>
          <w:sz w:val="18"/>
          <w:szCs w:val="18"/>
        </w:rPr>
      </w:pPr>
      <w:r w:rsidRPr="00C4180D">
        <w:rPr>
          <w:bCs/>
          <w:i/>
          <w:sz w:val="18"/>
          <w:szCs w:val="18"/>
        </w:rPr>
        <w:t xml:space="preserve">Zdroj: ČSÚ </w:t>
      </w:r>
      <w:r>
        <w:rPr>
          <w:bCs/>
          <w:i/>
          <w:sz w:val="18"/>
          <w:szCs w:val="18"/>
        </w:rPr>
        <w:t>2022, Zdravotnické účty ČR 2017</w:t>
      </w:r>
      <w:r>
        <w:rPr>
          <w:sz w:val="18"/>
          <w:szCs w:val="18"/>
        </w:rPr>
        <w:t>–</w:t>
      </w:r>
      <w:r w:rsidRPr="00C4180D">
        <w:rPr>
          <w:bCs/>
          <w:i/>
          <w:sz w:val="18"/>
          <w:szCs w:val="18"/>
        </w:rPr>
        <w:t>2020</w:t>
      </w:r>
    </w:p>
    <w:p w14:paraId="1BA933FE" w14:textId="2122A11D" w:rsidR="008E33C7" w:rsidRDefault="008E33C7" w:rsidP="00917551">
      <w:pPr>
        <w:spacing w:line="240" w:lineRule="auto"/>
        <w:jc w:val="both"/>
      </w:pPr>
      <w:r>
        <w:t xml:space="preserve">Výdaje zdravotních pojišťoven na péči seniorů jsou výrazně diferenciované také z hlediska regionálního členění. V roce 2020 zaplatily zdravotní pojišťovny </w:t>
      </w:r>
      <w:r w:rsidRPr="00AB2BB2">
        <w:rPr>
          <w:b/>
        </w:rPr>
        <w:t>nejvyšší částku</w:t>
      </w:r>
      <w:r>
        <w:t xml:space="preserve"> na léčbu jednoho seniora ve věku 65 let a více bez ohledu na pohlaví </w:t>
      </w:r>
      <w:r w:rsidRPr="00AB2BB2">
        <w:rPr>
          <w:b/>
        </w:rPr>
        <w:t>v</w:t>
      </w:r>
      <w:r>
        <w:rPr>
          <w:b/>
        </w:rPr>
        <w:t xml:space="preserve"> Hlavním městě </w:t>
      </w:r>
      <w:r w:rsidRPr="00AB2BB2">
        <w:rPr>
          <w:b/>
        </w:rPr>
        <w:t>Praze</w:t>
      </w:r>
      <w:r w:rsidR="00B935BA">
        <w:t xml:space="preserve"> (77,1 </w:t>
      </w:r>
      <w:r>
        <w:t>tis. Kč), naopak nejméně v </w:t>
      </w:r>
      <w:r w:rsidRPr="00AB2BB2">
        <w:rPr>
          <w:b/>
        </w:rPr>
        <w:t>Jihočeském kraji</w:t>
      </w:r>
      <w:r w:rsidR="00424883">
        <w:t xml:space="preserve"> a to o </w:t>
      </w:r>
      <w:r>
        <w:t>12,1 tis. Kč méně (65 tis. Kč).</w:t>
      </w:r>
    </w:p>
    <w:p w14:paraId="453C4BE0" w14:textId="267055E3" w:rsidR="00994934" w:rsidRDefault="008E33C7" w:rsidP="00917551">
      <w:pPr>
        <w:spacing w:line="240" w:lineRule="auto"/>
        <w:jc w:val="both"/>
      </w:pPr>
      <w:r>
        <w:t xml:space="preserve">Jak lze vidět </w:t>
      </w:r>
      <w:r w:rsidRPr="00757538">
        <w:t xml:space="preserve">v grafu </w:t>
      </w:r>
      <w:r w:rsidR="00757538" w:rsidRPr="00757538">
        <w:t>4.</w:t>
      </w:r>
      <w:r w:rsidRPr="00757538">
        <w:t>5,</w:t>
      </w:r>
      <w:r>
        <w:t xml:space="preserve"> ve všech krajích </w:t>
      </w:r>
      <w:r w:rsidRPr="00AB2BB2">
        <w:rPr>
          <w:b/>
        </w:rPr>
        <w:t>převyšovaly výdaje na léčbu jednoho seniora nad výdaji na jednu seniorku</w:t>
      </w:r>
      <w:r>
        <w:t>. Rozdíly ve všech kra</w:t>
      </w:r>
      <w:r w:rsidR="00424883">
        <w:t>jích činily v průměru 16,2 tis. </w:t>
      </w:r>
      <w:r>
        <w:t>Kč. Nejvyšší byl zaznamenán v Libereckém kraji, kde byly výdaje na jednoho seniora o 19,2 tis. Kč vyšší než na jednu seniorku, nejnižší potom v J</w:t>
      </w:r>
      <w:r w:rsidR="00994934">
        <w:t>ihočeském kraji (12,5 tis. Kč).</w:t>
      </w:r>
    </w:p>
    <w:p w14:paraId="27777773" w14:textId="77777777" w:rsidR="00994934" w:rsidRDefault="00994934">
      <w:pPr>
        <w:spacing w:after="0" w:line="240" w:lineRule="auto"/>
      </w:pPr>
      <w:r>
        <w:br w:type="page"/>
      </w:r>
    </w:p>
    <w:p w14:paraId="0A8D171F" w14:textId="580C89FD" w:rsidR="00917551" w:rsidRDefault="008E33C7" w:rsidP="00917551">
      <w:pPr>
        <w:spacing w:line="240" w:lineRule="auto"/>
        <w:jc w:val="both"/>
      </w:pPr>
      <w:r w:rsidRPr="00204307">
        <w:lastRenderedPageBreak/>
        <w:t>Nejnižší náklady na léčbu jednoho seniora ve věku 65+</w:t>
      </w:r>
      <w:r>
        <w:t xml:space="preserve"> let</w:t>
      </w:r>
      <w:r w:rsidRPr="00204307">
        <w:t xml:space="preserve"> byly v roce 2020 vykázán</w:t>
      </w:r>
      <w:r w:rsidR="00B109DE">
        <w:t>y v Jihočeském kraji (72 tis. </w:t>
      </w:r>
      <w:r>
        <w:t>Kč</w:t>
      </w:r>
      <w:r w:rsidR="00B109DE">
        <w:t>), nejvyšší pak v </w:t>
      </w:r>
      <w:r w:rsidRPr="00204307">
        <w:t>H</w:t>
      </w:r>
      <w:r w:rsidR="00B109DE">
        <w:t>lavním městě Praze (86,1 </w:t>
      </w:r>
      <w:r w:rsidR="006241A2">
        <w:t>tis. </w:t>
      </w:r>
      <w:r>
        <w:t>Kč</w:t>
      </w:r>
      <w:r w:rsidRPr="00204307">
        <w:t>). Nejméně nákladná péče byla o seniorky v</w:t>
      </w:r>
      <w:r>
        <w:t xml:space="preserve"> Jihočeském</w:t>
      </w:r>
      <w:r w:rsidRPr="00204307">
        <w:t xml:space="preserve"> kraji (59,</w:t>
      </w:r>
      <w:r>
        <w:t>6</w:t>
      </w:r>
      <w:r w:rsidRPr="00204307">
        <w:t xml:space="preserve"> tis.</w:t>
      </w:r>
      <w:r w:rsidR="00B109DE">
        <w:t> </w:t>
      </w:r>
      <w:r>
        <w:t>Kč</w:t>
      </w:r>
      <w:r w:rsidRPr="00204307">
        <w:t>), nejvíce pak bylo vynaloženo opět v Hlavním městě Praze, kde výdaje připadající na jednu ženu star</w:t>
      </w:r>
      <w:r w:rsidR="00B109DE">
        <w:t>ší 65 let činily 70,7 tis. </w:t>
      </w:r>
      <w:r w:rsidRPr="00204307">
        <w:t>Kč.</w:t>
      </w:r>
    </w:p>
    <w:p w14:paraId="30BB31FC" w14:textId="781F15D1" w:rsidR="008E33C7" w:rsidRPr="007E0C0B" w:rsidRDefault="008E33C7" w:rsidP="00424883">
      <w:pPr>
        <w:spacing w:line="240" w:lineRule="auto"/>
        <w:ind w:left="709" w:hanging="709"/>
        <w:rPr>
          <w:b/>
        </w:rPr>
      </w:pPr>
      <w:r w:rsidRPr="00757538">
        <w:rPr>
          <w:b/>
        </w:rPr>
        <w:t xml:space="preserve">Graf </w:t>
      </w:r>
      <w:r w:rsidR="00757538" w:rsidRPr="00757538">
        <w:rPr>
          <w:b/>
        </w:rPr>
        <w:t>4.</w:t>
      </w:r>
      <w:r w:rsidRPr="00757538">
        <w:rPr>
          <w:b/>
        </w:rPr>
        <w:t>5 Výdaje</w:t>
      </w:r>
      <w:r>
        <w:rPr>
          <w:b/>
        </w:rPr>
        <w:t xml:space="preserve"> na zdravotní péči n</w:t>
      </w:r>
      <w:r w:rsidR="00424883">
        <w:rPr>
          <w:b/>
        </w:rPr>
        <w:t>a jednoho obyvatele ve věku 65+</w:t>
      </w:r>
      <w:r w:rsidR="00424883">
        <w:rPr>
          <w:b/>
        </w:rPr>
        <w:br/>
        <w:t xml:space="preserve">  </w:t>
      </w:r>
      <w:r>
        <w:rPr>
          <w:b/>
        </w:rPr>
        <w:t>podle pohlaví a kraje trvalého bydliště</w:t>
      </w:r>
      <w:r w:rsidR="004F5ECD">
        <w:rPr>
          <w:b/>
        </w:rPr>
        <w:t xml:space="preserve"> v roce 2020</w:t>
      </w:r>
      <w:r>
        <w:rPr>
          <w:b/>
        </w:rPr>
        <w:t xml:space="preserve"> (</w:t>
      </w:r>
      <w:r w:rsidR="007F4374">
        <w:rPr>
          <w:b/>
        </w:rPr>
        <w:t xml:space="preserve">v </w:t>
      </w:r>
      <w:r>
        <w:rPr>
          <w:b/>
        </w:rPr>
        <w:t>tis. Kč)</w:t>
      </w:r>
    </w:p>
    <w:p w14:paraId="18796465" w14:textId="3743FD79" w:rsidR="00B109DE" w:rsidRDefault="008E33C7" w:rsidP="00917551">
      <w:pPr>
        <w:spacing w:line="240" w:lineRule="auto"/>
        <w:rPr>
          <w:bCs/>
          <w:i/>
          <w:sz w:val="18"/>
          <w:szCs w:val="18"/>
        </w:rPr>
      </w:pPr>
      <w:r>
        <w:rPr>
          <w:noProof/>
        </w:rPr>
        <w:drawing>
          <wp:inline distT="0" distB="0" distL="0" distR="0" wp14:anchorId="08A150BC" wp14:editId="38BF1D4A">
            <wp:extent cx="4209803" cy="3835730"/>
            <wp:effectExtent l="0" t="0" r="635" b="0"/>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C4180D">
        <w:rPr>
          <w:bCs/>
          <w:i/>
          <w:sz w:val="18"/>
          <w:szCs w:val="18"/>
        </w:rPr>
        <w:t xml:space="preserve">Zdroj: ČSÚ </w:t>
      </w:r>
      <w:r>
        <w:rPr>
          <w:bCs/>
          <w:i/>
          <w:sz w:val="18"/>
          <w:szCs w:val="18"/>
        </w:rPr>
        <w:t>2022, Zdravotnické účty ČR 2017</w:t>
      </w:r>
      <w:r w:rsidRPr="00C4180D">
        <w:rPr>
          <w:sz w:val="18"/>
          <w:szCs w:val="18"/>
        </w:rPr>
        <w:t>–</w:t>
      </w:r>
      <w:r w:rsidRPr="00C4180D">
        <w:rPr>
          <w:bCs/>
          <w:i/>
          <w:sz w:val="18"/>
          <w:szCs w:val="18"/>
        </w:rPr>
        <w:t>2020</w:t>
      </w:r>
    </w:p>
    <w:p w14:paraId="465FD822" w14:textId="77777777" w:rsidR="00B109DE" w:rsidRDefault="00B109DE">
      <w:pPr>
        <w:spacing w:after="0" w:line="240" w:lineRule="auto"/>
        <w:rPr>
          <w:bCs/>
          <w:i/>
          <w:sz w:val="18"/>
          <w:szCs w:val="18"/>
        </w:rPr>
      </w:pPr>
      <w:r>
        <w:rPr>
          <w:bCs/>
          <w:i/>
          <w:sz w:val="18"/>
          <w:szCs w:val="18"/>
        </w:rPr>
        <w:br w:type="page"/>
      </w:r>
    </w:p>
    <w:p w14:paraId="5003FC86" w14:textId="68E84E0A" w:rsidR="00810F97" w:rsidRPr="00FD0404" w:rsidRDefault="00810F97" w:rsidP="007A0ACD">
      <w:pPr>
        <w:pStyle w:val="Nadpis1"/>
        <w:numPr>
          <w:ilvl w:val="0"/>
          <w:numId w:val="15"/>
        </w:numPr>
        <w:spacing w:after="240"/>
        <w:ind w:left="714" w:hanging="357"/>
      </w:pPr>
      <w:bookmarkStart w:id="30" w:name="_Toc90293536"/>
      <w:bookmarkStart w:id="31" w:name="_Toc121211634"/>
      <w:r w:rsidRPr="00FD0404">
        <w:lastRenderedPageBreak/>
        <w:t>Senioři na trhu práce</w:t>
      </w:r>
      <w:bookmarkEnd w:id="30"/>
      <w:bookmarkEnd w:id="31"/>
    </w:p>
    <w:p w14:paraId="43FB859C" w14:textId="77777777" w:rsidR="00810F97" w:rsidRDefault="00810F97" w:rsidP="00917551">
      <w:pPr>
        <w:spacing w:line="240" w:lineRule="auto"/>
        <w:jc w:val="both"/>
      </w:pPr>
      <w:bookmarkStart w:id="32" w:name="_Toc444112497"/>
      <w:r>
        <w:t>Trh práce je pro seniorskou populaci poněkud okrajovým tématem, neboť toto životní období je spíše typické ekonomickou neaktivitou. Přesto však si zaslouží zkoumat změny, ke kterým v průběhu času dochází. Za poslední desetiletí se totiž proporce uvnitř starších věkových skupin výrazně proměňovaly. Z těchto změn je patrné, že pracovní kariéry se protahovaly do vyššího věku, a to i nad rámec stanovený posunováním věku odchodu do starobního důchodu. Tento vývoj ovlivňoval statistické ukazatele nejen zaměstnanosti a ekonomické aktivity, ale dokonce i nezaměstnanosti.</w:t>
      </w:r>
    </w:p>
    <w:p w14:paraId="23417EDA" w14:textId="77777777" w:rsidR="00810F97" w:rsidRDefault="00810F97" w:rsidP="00917551">
      <w:pPr>
        <w:pStyle w:val="Box1"/>
        <w:spacing w:line="240" w:lineRule="auto"/>
        <w:ind w:left="567"/>
        <w:jc w:val="both"/>
      </w:pPr>
      <w:r>
        <w:rPr>
          <w:b/>
        </w:rPr>
        <w:t>Metodika:</w:t>
      </w:r>
      <w:r w:rsidRPr="00DB2EC8">
        <w:rPr>
          <w:b/>
        </w:rPr>
        <w:t xml:space="preserve"> </w:t>
      </w:r>
      <w:r w:rsidRPr="00A32A17">
        <w:t>Č</w:t>
      </w:r>
      <w:r>
        <w:t>SÚ</w:t>
      </w:r>
      <w:r w:rsidRPr="00A32A17">
        <w:t xml:space="preserve"> </w:t>
      </w:r>
      <w:r>
        <w:t>provádí Výběrové šetření pracovních sil, na základě</w:t>
      </w:r>
      <w:r w:rsidRPr="00A32A17">
        <w:t xml:space="preserve"> Nařízení Evrop</w:t>
      </w:r>
      <w:r>
        <w:t>ského parlamentu a Rady (ES) č. </w:t>
      </w:r>
      <w:r w:rsidRPr="00A32A17">
        <w:t>2019/1700. Je</w:t>
      </w:r>
      <w:r>
        <w:t> </w:t>
      </w:r>
      <w:r w:rsidRPr="00A32A17">
        <w:t xml:space="preserve">prováděno </w:t>
      </w:r>
      <w:r>
        <w:t xml:space="preserve">na </w:t>
      </w:r>
      <w:r w:rsidRPr="00A32A17">
        <w:t xml:space="preserve">vzorku cca </w:t>
      </w:r>
      <w:r>
        <w:t>42 tis. osob ve věku 15</w:t>
      </w:r>
      <w:r w:rsidRPr="00A32A17">
        <w:t xml:space="preserve"> a více let, které žijí v soukromých domácnostech. </w:t>
      </w:r>
      <w:r>
        <w:t>Součástí tedy</w:t>
      </w:r>
      <w:r w:rsidRPr="00A32A17">
        <w:t xml:space="preserve"> nejsou osoby žijící v tzv. kolektivních domácnostech (domovech pro seniory apod.). Mezi</w:t>
      </w:r>
      <w:r>
        <w:t> </w:t>
      </w:r>
      <w:r w:rsidRPr="00A32A17">
        <w:t>seniory byly z</w:t>
      </w:r>
      <w:r>
        <w:t>apočteny všechny osoby 60leté a starší</w:t>
      </w:r>
      <w:r w:rsidRPr="00A32A17">
        <w:t>.</w:t>
      </w:r>
      <w:r>
        <w:t xml:space="preserve"> </w:t>
      </w:r>
    </w:p>
    <w:p w14:paraId="22AC281F" w14:textId="77777777" w:rsidR="00810F97" w:rsidRDefault="00810F97" w:rsidP="00917551">
      <w:pPr>
        <w:pStyle w:val="Box1"/>
        <w:spacing w:line="240" w:lineRule="auto"/>
        <w:ind w:left="567"/>
      </w:pPr>
      <w:r>
        <w:t xml:space="preserve">Podrobnější výsledky a více informací z Výběrového šetření pracovních sil viz: </w:t>
      </w:r>
      <w:hyperlink r:id="rId29" w:history="1">
        <w:r w:rsidRPr="0062455F">
          <w:rPr>
            <w:rStyle w:val="Hypertextovodkaz"/>
          </w:rPr>
          <w:t>https://www.czso.cz/csu/czso/zamestnanost_nezamestnanost_prace</w:t>
        </w:r>
      </w:hyperlink>
    </w:p>
    <w:p w14:paraId="2F0B5AE4" w14:textId="6AD6E212" w:rsidR="00810F97" w:rsidRPr="00C8761E" w:rsidRDefault="00810F97" w:rsidP="007A0ACD">
      <w:pPr>
        <w:pStyle w:val="Nadpis2"/>
        <w:numPr>
          <w:ilvl w:val="1"/>
          <w:numId w:val="15"/>
        </w:numPr>
        <w:spacing w:after="240"/>
        <w:ind w:left="1077"/>
      </w:pPr>
      <w:bookmarkStart w:id="33" w:name="_Toc90293537"/>
      <w:bookmarkStart w:id="34" w:name="_Toc121211635"/>
      <w:r>
        <w:t xml:space="preserve">Vývoj </w:t>
      </w:r>
      <w:bookmarkEnd w:id="33"/>
      <w:r>
        <w:t>ekonomické aktivity a neaktivity</w:t>
      </w:r>
      <w:bookmarkEnd w:id="34"/>
    </w:p>
    <w:p w14:paraId="61AABC49" w14:textId="48A7F491" w:rsidR="00810F97" w:rsidRDefault="00810F97" w:rsidP="00917551">
      <w:pPr>
        <w:spacing w:line="240" w:lineRule="auto"/>
        <w:jc w:val="both"/>
      </w:pPr>
      <w:r>
        <w:t>V posledním dostupném období, což je 2. čtvrtletí 2022, b</w:t>
      </w:r>
      <w:r w:rsidR="00B109DE">
        <w:t>yla pro věkovou kategorii 60–64 </w:t>
      </w:r>
      <w:r>
        <w:t>let specifická míra ekonomické aktivity 55,9 %, ve srovnatelném období před deseti lety (2.</w:t>
      </w:r>
      <w:r w:rsidR="00B109DE">
        <w:t> </w:t>
      </w:r>
      <w:r>
        <w:t>čtvrtletí</w:t>
      </w:r>
      <w:r w:rsidR="00B109DE">
        <w:t> </w:t>
      </w:r>
      <w:r>
        <w:t>2012) byla jen 27,9 %. To znamená, že se v této věkové skupině podíl účastnících s trhu práce prakticky zdvojnásobil, a nyní se ho účastní více než polovina osob v tomto věku.</w:t>
      </w:r>
    </w:p>
    <w:p w14:paraId="6E062617" w14:textId="34002EB8" w:rsidR="00B109DE" w:rsidRDefault="00810F97" w:rsidP="00917551">
      <w:pPr>
        <w:spacing w:line="240" w:lineRule="auto"/>
        <w:jc w:val="both"/>
      </w:pPr>
      <w:r>
        <w:t>U osob nad 65</w:t>
      </w:r>
      <w:r w:rsidR="00B109DE">
        <w:t> </w:t>
      </w:r>
      <w:r>
        <w:t xml:space="preserve">let sice velmi silně dominuje ekonomická neaktivita, ale i u nich se podíl aktivních značně zvýšil </w:t>
      </w:r>
      <w:r w:rsidR="007D02E4">
        <w:t>–</w:t>
      </w:r>
      <w:r>
        <w:t xml:space="preserve"> specifická míra ekonomické aktivity vzrostla ze 4,6 % na 7,2 %. Považovat seniory automaticky za neproduktivní složku obyvatelstva tedy není odpovídající, a to stále výrazněji. Zároveň je z grafu </w:t>
      </w:r>
      <w:r w:rsidRPr="00810F97">
        <w:t>5.1 patrné</w:t>
      </w:r>
      <w:r>
        <w:t>, že prodlužování pracovní aktivity do vyššího věku je v podstatě jediná změna, která za uplynulé desetiletí v tomto směru nastala.</w:t>
      </w:r>
    </w:p>
    <w:p w14:paraId="36424611" w14:textId="77777777" w:rsidR="00B109DE" w:rsidRDefault="00B109DE">
      <w:pPr>
        <w:spacing w:after="0" w:line="240" w:lineRule="auto"/>
      </w:pPr>
      <w:r>
        <w:br w:type="page"/>
      </w:r>
    </w:p>
    <w:p w14:paraId="2784E426" w14:textId="7BB89D11" w:rsidR="00810F97" w:rsidRPr="007925FF" w:rsidRDefault="00810F97" w:rsidP="00917551">
      <w:pPr>
        <w:spacing w:after="120" w:line="240" w:lineRule="auto"/>
        <w:rPr>
          <w:b/>
          <w:bCs/>
        </w:rPr>
      </w:pPr>
      <w:r w:rsidRPr="00810F97">
        <w:rPr>
          <w:b/>
        </w:rPr>
        <w:lastRenderedPageBreak/>
        <w:t>Graf 5.1</w:t>
      </w:r>
      <w:r>
        <w:t xml:space="preserve"> </w:t>
      </w:r>
      <w:r>
        <w:rPr>
          <w:b/>
          <w:bCs/>
        </w:rPr>
        <w:t xml:space="preserve">Míry ekonomické aktivity v 2. čtvrtletí 2012 a 2022 </w:t>
      </w:r>
      <w:r w:rsidR="007F4374">
        <w:rPr>
          <w:b/>
          <w:bCs/>
        </w:rPr>
        <w:t>(v %)</w:t>
      </w:r>
    </w:p>
    <w:p w14:paraId="3031560E" w14:textId="77777777" w:rsidR="00810F97" w:rsidRDefault="00810F97" w:rsidP="00917551">
      <w:pPr>
        <w:spacing w:after="120" w:line="240" w:lineRule="auto"/>
        <w:rPr>
          <w:b/>
          <w:bCs/>
        </w:rPr>
      </w:pPr>
      <w:r>
        <w:rPr>
          <w:noProof/>
        </w:rPr>
        <w:drawing>
          <wp:inline distT="0" distB="0" distL="0" distR="0" wp14:anchorId="5F2A8A3A" wp14:editId="02F4BE0A">
            <wp:extent cx="4352925" cy="2695575"/>
            <wp:effectExtent l="0" t="0" r="0" b="0"/>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FBF1F2A" w14:textId="77777777" w:rsidR="00810F97" w:rsidRPr="000D5995" w:rsidRDefault="00810F97" w:rsidP="00917551">
      <w:pPr>
        <w:spacing w:line="240" w:lineRule="auto"/>
        <w:jc w:val="both"/>
        <w:rPr>
          <w:b/>
          <w:i/>
        </w:rPr>
      </w:pPr>
      <w:r w:rsidRPr="000D5995">
        <w:rPr>
          <w:i/>
          <w:sz w:val="18"/>
          <w:szCs w:val="18"/>
        </w:rPr>
        <w:t>Zdroj: Výběrové šetření pracovních sil ČSÚ</w:t>
      </w:r>
    </w:p>
    <w:p w14:paraId="121B846C" w14:textId="77777777" w:rsidR="00810F97" w:rsidRDefault="00810F97" w:rsidP="00917551">
      <w:pPr>
        <w:spacing w:line="240" w:lineRule="auto"/>
        <w:jc w:val="both"/>
      </w:pPr>
      <w:r>
        <w:t>Ekonomicky aktivní se skládají z těch, kteří mají zaměstnání (pracující), a těch, kteří si ho aktivně hledají a jsou schopni do něj nastoupit (nezaměstnaní). Zbývající část populace se nazývá ekonomicky neaktivní. Absolutní počty takových se u seniorů za zkoumané desetiletí snižovaly pro věkovou skupinu 60–64 let z 533,9 tis. na 262,3 tis., naopak pro věkovou skupinu 65 a více let se zvýšily z 1 647,1 tis. na 2 026,7 tis. Když k tomu připočteme, že se počty neaktivních snižovaly v mladších věkových skupinách ještě rychleji, podíl neaktivních starších 60 let ze všech neaktivních relativně narostl z 58,6 % na 64,5 %. Takřka dvě třetina neaktivních jsou tedy lidé starší 60 let.</w:t>
      </w:r>
    </w:p>
    <w:p w14:paraId="44B3E7F2" w14:textId="77777777" w:rsidR="00810F97" w:rsidRDefault="00810F97" w:rsidP="00917551">
      <w:pPr>
        <w:spacing w:line="240" w:lineRule="auto"/>
        <w:jc w:val="both"/>
      </w:pPr>
      <w:r>
        <w:t>Popsané trendy jsou víceméně shodné jak pro muže, tak pro ženy. Liší se však v absolutních počtech. U mužů se neaktivní populace ve věku 60–64 let za desetiletí snížila z 211,7 tis. na 95,9 tis.; u žen z 322,2 tis. na 166,4 tis. U věku 65 a více let se počty neaktivních mužů zvýšily z 657,5 tis. na 830,1 tis. a u žen z 989,6 na 1 196,6 tis. Ve vyšších počtech žen zde hraje největší roli fakt, že mají nižší úmrtnost a dožívají se vyššího věku, je jich v seniorské populaci tedy logicky více a s postupujícím věkem se rozdíl ještě zvětšuje.</w:t>
      </w:r>
    </w:p>
    <w:p w14:paraId="44D5F80B" w14:textId="3C2F4425" w:rsidR="00810F97" w:rsidRPr="00FE1EE5" w:rsidRDefault="00810F97" w:rsidP="007A0ACD">
      <w:pPr>
        <w:pStyle w:val="Nadpis2"/>
        <w:numPr>
          <w:ilvl w:val="1"/>
          <w:numId w:val="15"/>
        </w:numPr>
        <w:spacing w:after="240"/>
        <w:ind w:left="1077"/>
      </w:pPr>
      <w:bookmarkStart w:id="35" w:name="_Toc121211636"/>
      <w:bookmarkStart w:id="36" w:name="_Toc90293538"/>
      <w:r w:rsidRPr="00FE1EE5">
        <w:lastRenderedPageBreak/>
        <w:t>Pracující senioři</w:t>
      </w:r>
      <w:bookmarkEnd w:id="35"/>
      <w:r w:rsidRPr="00FE1EE5">
        <w:t xml:space="preserve"> </w:t>
      </w:r>
      <w:bookmarkEnd w:id="36"/>
    </w:p>
    <w:p w14:paraId="5F99A2A0" w14:textId="77777777" w:rsidR="00810F97" w:rsidRDefault="00810F97" w:rsidP="00917551">
      <w:pPr>
        <w:spacing w:line="240" w:lineRule="auto"/>
        <w:jc w:val="both"/>
      </w:pPr>
      <w:r>
        <w:t>Zrcadlově poklesu neaktivity roste u seniorů podíl pracujících. Trendy u </w:t>
      </w:r>
      <w:r w:rsidRPr="00F12F75">
        <w:t xml:space="preserve">zaměstnaných kopírují vývoj celé skupiny ekonomicky aktivních, v níž </w:t>
      </w:r>
      <w:r>
        <w:t>ostatně</w:t>
      </w:r>
      <w:r w:rsidRPr="00F12F75">
        <w:t xml:space="preserve"> jsou dominantní složkou</w:t>
      </w:r>
      <w:r w:rsidRPr="00F12F75">
        <w:rPr>
          <w:color w:val="FF0000"/>
        </w:rPr>
        <w:t>.</w:t>
      </w:r>
      <w:r w:rsidRPr="00F12F75">
        <w:t xml:space="preserve"> Ve věkové</w:t>
      </w:r>
      <w:r>
        <w:t xml:space="preserve"> skupině 60–64 let se specifická míra zaměstnanosti zvýšila z 26,9 % ve 2. čtvrtletí 2012 na 54,8 % ve 2. čtvrtletí 2022. To je více než dvojnásobný nárůst za desetiletí. Ve skupině 65 a více let je nárůst nižší, ze 4,4 % na 7,1 %.</w:t>
      </w:r>
    </w:p>
    <w:p w14:paraId="2400ABCB" w14:textId="252F2DF3" w:rsidR="00810F97" w:rsidRDefault="00810F97" w:rsidP="00917551">
      <w:pPr>
        <w:spacing w:line="240" w:lineRule="auto"/>
        <w:jc w:val="both"/>
      </w:pPr>
      <w:r>
        <w:t>Pro úplnost je vhodné doplnit, že celková míra zaměstnanosti se za zkoumané desetiletí zvýšila z 54,5 % na 58,4 %, tedy o 3,9 p. b., a že specifické míry zaměstnanosti se zvyšovaly takřka ve všech věkových skupinách (jediný pokles o 0,4 % najdeme u věku 35–39 let). K výraznému zvýšení došlo u věku 55–59 let, kde míra stoupla z</w:t>
      </w:r>
      <w:r w:rsidR="007925FF">
        <w:t>e</w:t>
      </w:r>
      <w:r>
        <w:t> 71,4 % na 88,3 %, což představuje 16,8 p. b. Ovšem zvýšení o 27,9 p. b. v případě zmíněné věkové skupiny 60</w:t>
      </w:r>
      <w:r w:rsidR="005526FC">
        <w:t>–</w:t>
      </w:r>
      <w:r>
        <w:t>64 let je s předstihem největší.</w:t>
      </w:r>
    </w:p>
    <w:p w14:paraId="48CB5227" w14:textId="03C9FD55" w:rsidR="00810F97" w:rsidRDefault="00810F97" w:rsidP="00917551">
      <w:pPr>
        <w:spacing w:line="240" w:lineRule="auto"/>
        <w:jc w:val="both"/>
      </w:pPr>
      <w:r>
        <w:t>V absolutních počtech se za desetiletí zvýšila zaměstnanost seniorů (60 let a více) z 275,9 tis. na 480,3 tis., tedy o 204,4 tis., resp. o 74,1 %. Pro srovnání uveďme, že celková zaměstnanost se zvýšila o 272,0 tis., resp. 5,6 %. Ve věkové skupině 45–59 let stoupla o 384,5 tis., resp. 22,4 %, ovšem u mladších kategorií do 44 let došlo k poklesům v počtech pracujících, celkově o 316,9 tis. Nárůst počtu pracujících seniorů zhruba ze dvou třetin kompenzoval pokles pracujících ve věku 15</w:t>
      </w:r>
      <w:r w:rsidR="005526FC">
        <w:t>–</w:t>
      </w:r>
      <w:r>
        <w:t>44 let.</w:t>
      </w:r>
    </w:p>
    <w:p w14:paraId="3B1B7FFB" w14:textId="03CFF8CA" w:rsidR="00810F97" w:rsidRPr="00F12F75" w:rsidRDefault="00810F97" w:rsidP="00917551">
      <w:pPr>
        <w:spacing w:line="240" w:lineRule="auto"/>
        <w:jc w:val="both"/>
      </w:pPr>
      <w:r>
        <w:t>Pracující senioři tvoří 9,3 % všech pracujících, od mladších pracujících se </w:t>
      </w:r>
      <w:r w:rsidRPr="00F12F75">
        <w:t>ale odlišují v mnoha ohledech. Jedním z nich je postavení v zaměstnání. S</w:t>
      </w:r>
      <w:r>
        <w:t>tatus</w:t>
      </w:r>
      <w:r w:rsidRPr="00F12F75">
        <w:t xml:space="preserve"> podnikatele se zaměstnanci je u nich zastoupen </w:t>
      </w:r>
      <w:r w:rsidR="007F4374">
        <w:t xml:space="preserve">častěji než v celkové populaci. Náhodně vybraný pracující je </w:t>
      </w:r>
      <w:r w:rsidRPr="00F12F75">
        <w:t>zaměstnavatel</w:t>
      </w:r>
      <w:r w:rsidR="007F4374">
        <w:t>em s </w:t>
      </w:r>
      <w:r w:rsidRPr="00F12F75">
        <w:t>pravděpodob</w:t>
      </w:r>
      <w:r w:rsidR="007F4374">
        <w:t>-</w:t>
      </w:r>
      <w:r w:rsidRPr="00F12F75">
        <w:t>ností 2,5 %, ovšem v  seniorské populaci je to 4,1</w:t>
      </w:r>
      <w:r w:rsidR="00D378F2">
        <w:t> </w:t>
      </w:r>
      <w:r w:rsidRPr="00F12F75">
        <w:t xml:space="preserve">%. Senioři mají vyšší zastoupení </w:t>
      </w:r>
      <w:r>
        <w:t>i </w:t>
      </w:r>
      <w:r w:rsidRPr="00F12F75">
        <w:t>v případě pracujících na vlastní účet (OSVČ). Jedná se o</w:t>
      </w:r>
      <w:r w:rsidR="007F4374">
        <w:t> </w:t>
      </w:r>
      <w:r w:rsidRPr="00F12F75">
        <w:t>17,4 % oproti 13,0 % v populaci celkové.</w:t>
      </w:r>
    </w:p>
    <w:p w14:paraId="2909838C" w14:textId="77777777" w:rsidR="00810F97" w:rsidRDefault="00810F97" w:rsidP="00917551">
      <w:pPr>
        <w:spacing w:line="240" w:lineRule="auto"/>
        <w:jc w:val="both"/>
      </w:pPr>
      <w:r>
        <w:t>Desetileté srovnání ovšem ukazuje, že uvedené nepoměry se snižují a rozdíly zahlazují. Ve 2. čtvrtletí 2012 byl podíl zaměstnavatelů ještě o tři procentní body vyšší (7,1 %) a u OSVČ vyšší o 5,2 p. b. (22,6 %). Podíl zaměstnanců potom zrcadlově stoupl za zkoumané desetiletí z 69,3 % na 77,0 %. Mírně se navýšila také skupina p</w:t>
      </w:r>
      <w:r w:rsidRPr="00557C8B">
        <w:t>omáhající</w:t>
      </w:r>
      <w:r>
        <w:t>ch</w:t>
      </w:r>
      <w:r w:rsidRPr="00557C8B">
        <w:t xml:space="preserve"> rodinn</w:t>
      </w:r>
      <w:r>
        <w:t>ých</w:t>
      </w:r>
      <w:r w:rsidRPr="00557C8B">
        <w:t xml:space="preserve"> příslušní</w:t>
      </w:r>
      <w:r>
        <w:t>ků, a to z 0,9 % na 1,5 %.</w:t>
      </w:r>
    </w:p>
    <w:p w14:paraId="6D0850A6" w14:textId="48787D30" w:rsidR="00810F97" w:rsidRPr="0037671B" w:rsidRDefault="00810F97" w:rsidP="007A0ACD">
      <w:pPr>
        <w:pStyle w:val="Nadpis2"/>
        <w:numPr>
          <w:ilvl w:val="1"/>
          <w:numId w:val="15"/>
        </w:numPr>
        <w:spacing w:after="240"/>
        <w:ind w:left="1077"/>
      </w:pPr>
      <w:bookmarkStart w:id="37" w:name="_Toc90293539"/>
      <w:bookmarkStart w:id="38" w:name="_Toc121211637"/>
      <w:r w:rsidRPr="0037671B">
        <w:lastRenderedPageBreak/>
        <w:t>Pracující senioři podle odvětví</w:t>
      </w:r>
      <w:bookmarkEnd w:id="37"/>
      <w:bookmarkEnd w:id="38"/>
    </w:p>
    <w:p w14:paraId="730AD262" w14:textId="77777777" w:rsidR="00810F97" w:rsidRDefault="00810F97" w:rsidP="00917551">
      <w:pPr>
        <w:spacing w:line="240" w:lineRule="auto"/>
        <w:jc w:val="both"/>
      </w:pPr>
      <w:r>
        <w:t>Z hlediska vykonávaných ekonomických činností jsou pracující senioři ve vyšší míře zastoupeni v některých odvětvích, zatímco v jiných je jich velmi málo. K těm prvním patří zejména z</w:t>
      </w:r>
      <w:r w:rsidRPr="007252FF">
        <w:t>dravotní a sociální péče</w:t>
      </w:r>
      <w:r>
        <w:t>, kde pracuje zhruba každý desátý senior (48 tis.), a v</w:t>
      </w:r>
      <w:r w:rsidRPr="007252FF">
        <w:t>zdělávání</w:t>
      </w:r>
      <w:r>
        <w:t>, kde jich je zaměstnáno 46 tis. Zhruba každý osmý pracující v těchto odvětvích je senior ve věku 60 a více let!</w:t>
      </w:r>
    </w:p>
    <w:p w14:paraId="0135F0F7" w14:textId="037B49E5" w:rsidR="00810F97" w:rsidRDefault="00810F97" w:rsidP="00917551">
      <w:pPr>
        <w:spacing w:line="240" w:lineRule="auto"/>
        <w:jc w:val="both"/>
      </w:pPr>
      <w:r>
        <w:t>Vzhledem ke struktuře naší ekonomiky pracuje početně nejvíce seniorů ve zpracovatelském</w:t>
      </w:r>
      <w:r w:rsidRPr="003B4BA7">
        <w:t xml:space="preserve"> průmysl</w:t>
      </w:r>
      <w:r w:rsidR="007925FF">
        <w:t>u (84,8 tis., tj. </w:t>
      </w:r>
      <w:r>
        <w:t>17,6 % ze všech pracujících seniorů), ovšem toto odvětví je ještě mnohem častěji zastoupeno u mladší populace, u níž jsou podíly pracujících v zpracovatelském</w:t>
      </w:r>
      <w:r w:rsidRPr="003B4BA7">
        <w:t xml:space="preserve"> průmysl</w:t>
      </w:r>
      <w:r>
        <w:t>u vyšší než čtvrtinové, takže senioři jsou zde ve skutečnosti podreprezentováni.</w:t>
      </w:r>
    </w:p>
    <w:p w14:paraId="0D69F4D9" w14:textId="77777777" w:rsidR="00810F97" w:rsidRDefault="00810F97" w:rsidP="00917551">
      <w:pPr>
        <w:spacing w:line="240" w:lineRule="auto"/>
        <w:jc w:val="both"/>
      </w:pPr>
      <w:r>
        <w:t>To platí například i pro obchod, kde pracuje 47,2 tis. seniorů. Celkový počet osob dosahuje v tomto odvětví 585,6 tis. osob, takže zde pracuje 11,3 % všech pracujících, ale jen 8,1 % seniorů. Podobné je to i v peněžnictví a </w:t>
      </w:r>
      <w:r w:rsidRPr="009C53E6">
        <w:t>pojišťovnictví</w:t>
      </w:r>
      <w:r>
        <w:t xml:space="preserve"> a především v i</w:t>
      </w:r>
      <w:r w:rsidRPr="009C53E6">
        <w:t>nformační</w:t>
      </w:r>
      <w:r>
        <w:t>ch a </w:t>
      </w:r>
      <w:r w:rsidRPr="009C53E6">
        <w:t>komunikační</w:t>
      </w:r>
      <w:r>
        <w:t>ch</w:t>
      </w:r>
      <w:r w:rsidRPr="009C53E6">
        <w:t xml:space="preserve"> činnost</w:t>
      </w:r>
      <w:r>
        <w:t>ech. Zde najdeme shodně jen 1,9 % pracujících seniorů, ovšem  v případě všech pracujících se jedná o podíly vyšší. V peněžnictví byl tento podíl 2,3%, v informačních a komunikačních činnostech 3,8%.</w:t>
      </w:r>
    </w:p>
    <w:p w14:paraId="34E2D664" w14:textId="77777777" w:rsidR="00810F97" w:rsidRDefault="00810F97" w:rsidP="00917551">
      <w:pPr>
        <w:spacing w:line="240" w:lineRule="auto"/>
        <w:jc w:val="both"/>
      </w:pPr>
      <w:r>
        <w:t>Výrazně nadreprezentováni jsou naopak senioři v profesních, vědeckých a technických činnostech, kterých bylo celkově 31,9 tis. Každý patnáctý člověk se zde nacházel v seniorském věku. Z 261,3 tisíců osob v tomto odvětví je to každý osmý člověk. Vysoké podíly mají senioři také v k</w:t>
      </w:r>
      <w:r w:rsidRPr="009C53E6">
        <w:t>ulturní</w:t>
      </w:r>
      <w:r>
        <w:t>ch</w:t>
      </w:r>
      <w:r w:rsidRPr="009C53E6">
        <w:t>, zábavní</w:t>
      </w:r>
      <w:r>
        <w:t>ch a </w:t>
      </w:r>
      <w:r w:rsidRPr="009C53E6">
        <w:t>rekreační</w:t>
      </w:r>
      <w:r>
        <w:t>ch činnostech, a v méně početně zastoupených odvětvích: v případě nemovitostí a z</w:t>
      </w:r>
      <w:r w:rsidRPr="009C53E6">
        <w:t>ásob</w:t>
      </w:r>
      <w:r>
        <w:t>ování</w:t>
      </w:r>
      <w:r w:rsidRPr="009C53E6">
        <w:t xml:space="preserve"> vodou</w:t>
      </w:r>
      <w:r>
        <w:t>,</w:t>
      </w:r>
      <w:r w:rsidRPr="009C53E6">
        <w:t xml:space="preserve"> odpady</w:t>
      </w:r>
      <w:r>
        <w:t>. Celkově jde shrnout, že zaměstnaní pracují do seniorského věku spíše ve službách, zatímco fyzicky náročné činnosti již nevykonávají. Tomuto trendu se vymyká zemědělství, kde 17,2 tis. pracujících seniorů tvoří 13,1 % všech zde zaměstnaných.</w:t>
      </w:r>
    </w:p>
    <w:p w14:paraId="63C0268C" w14:textId="77777777" w:rsidR="007925FF" w:rsidRDefault="00810F97" w:rsidP="00917551">
      <w:pPr>
        <w:spacing w:line="240" w:lineRule="auto"/>
        <w:jc w:val="both"/>
      </w:pPr>
      <w:r>
        <w:t>Při srovnání se stavem před deseti lety údaje o pracujících seniorech kopírují trendy platné i pro ostatní pracující a změny ve struktuře ekonomiky. Jde tedy o posílení podílů ve službách a pokles v sekundárním sektoru. Nejvýraznější nárůst relativního podílu byl zjištěn ve z</w:t>
      </w:r>
      <w:r w:rsidRPr="00700D8A">
        <w:t>dravotní a sociální péč</w:t>
      </w:r>
      <w:r>
        <w:t xml:space="preserve">i. </w:t>
      </w:r>
    </w:p>
    <w:p w14:paraId="7D478A16" w14:textId="0052C8DB" w:rsidR="00810F97" w:rsidRDefault="00810F97" w:rsidP="00917551">
      <w:pPr>
        <w:spacing w:line="240" w:lineRule="auto"/>
        <w:jc w:val="both"/>
      </w:pPr>
      <w:r>
        <w:lastRenderedPageBreak/>
        <w:t>Početně více pracujících seniorů najdeme ve všech odvětvových sekcích bez výjimky. Pozoruhodné je navýšení počtu pracujících seniorů v</w:t>
      </w:r>
      <w:r w:rsidR="007925FF">
        <w:t> </w:t>
      </w:r>
      <w:r>
        <w:t>i</w:t>
      </w:r>
      <w:r w:rsidRPr="009C53E6">
        <w:t>nformační</w:t>
      </w:r>
      <w:r>
        <w:t>ch a </w:t>
      </w:r>
      <w:r w:rsidRPr="009C53E6">
        <w:t>komunikační</w:t>
      </w:r>
      <w:r>
        <w:t>ch</w:t>
      </w:r>
      <w:r w:rsidRPr="009C53E6">
        <w:t xml:space="preserve"> činnost</w:t>
      </w:r>
      <w:r>
        <w:t>ech z 1,8 tis. ve 2. čtvrtletí 2012 na</w:t>
      </w:r>
      <w:r w:rsidR="00745045">
        <w:t> </w:t>
      </w:r>
      <w:r>
        <w:t>9,0 tis.</w:t>
      </w:r>
      <w:r w:rsidRPr="00A34DAE">
        <w:t xml:space="preserve"> </w:t>
      </w:r>
      <w:r w:rsidR="003B7DCF">
        <w:t>ve 2. čtvrtletí 2022.</w:t>
      </w:r>
    </w:p>
    <w:p w14:paraId="3C8968B0" w14:textId="4B698A9B" w:rsidR="00810F97" w:rsidRPr="00A34DAE" w:rsidRDefault="00810F97" w:rsidP="001A29E2">
      <w:pPr>
        <w:spacing w:after="60" w:line="240" w:lineRule="auto"/>
        <w:ind w:left="709" w:hanging="709"/>
        <w:rPr>
          <w:b/>
        </w:rPr>
      </w:pPr>
      <w:r w:rsidRPr="00CA27F6">
        <w:rPr>
          <w:b/>
        </w:rPr>
        <w:t>Tab. </w:t>
      </w:r>
      <w:r w:rsidR="00CA27F6" w:rsidRPr="00CA27F6">
        <w:rPr>
          <w:b/>
        </w:rPr>
        <w:t>5</w:t>
      </w:r>
      <w:r w:rsidRPr="00CA27F6">
        <w:rPr>
          <w:b/>
        </w:rPr>
        <w:t>.1</w:t>
      </w:r>
      <w:r w:rsidRPr="00A34DAE">
        <w:rPr>
          <w:b/>
        </w:rPr>
        <w:t> Počet pracujících seniorů v ekonomických sektorech</w:t>
      </w:r>
      <w:r w:rsidR="007925FF">
        <w:rPr>
          <w:b/>
        </w:rPr>
        <w:br/>
        <w:t xml:space="preserve"> </w:t>
      </w:r>
      <w:r w:rsidR="00290BC9">
        <w:rPr>
          <w:b/>
        </w:rPr>
        <w:t xml:space="preserve">ve 2. </w:t>
      </w:r>
      <w:r w:rsidRPr="00A34DAE">
        <w:rPr>
          <w:b/>
        </w:rPr>
        <w:t>čtvrtletí 2012 a 2022 (v tis.)</w:t>
      </w:r>
    </w:p>
    <w:tbl>
      <w:tblPr>
        <w:tblW w:w="6689" w:type="dxa"/>
        <w:tblLayout w:type="fixed"/>
        <w:tblCellMar>
          <w:left w:w="70" w:type="dxa"/>
          <w:right w:w="70" w:type="dxa"/>
        </w:tblCellMar>
        <w:tblLook w:val="04A0" w:firstRow="1" w:lastRow="0" w:firstColumn="1" w:lastColumn="0" w:noHBand="0" w:noVBand="1"/>
      </w:tblPr>
      <w:tblGrid>
        <w:gridCol w:w="1276"/>
        <w:gridCol w:w="783"/>
        <w:gridCol w:w="926"/>
        <w:gridCol w:w="921"/>
        <w:gridCol w:w="931"/>
        <w:gridCol w:w="926"/>
        <w:gridCol w:w="926"/>
      </w:tblGrid>
      <w:tr w:rsidR="00810F97" w:rsidRPr="00615ADC" w14:paraId="419B75BD" w14:textId="77777777" w:rsidTr="00323865">
        <w:trPr>
          <w:trHeight w:val="240"/>
        </w:trPr>
        <w:tc>
          <w:tcPr>
            <w:tcW w:w="1276" w:type="dxa"/>
            <w:vMerge w:val="restart"/>
            <w:tcBorders>
              <w:top w:val="single" w:sz="12" w:space="0" w:color="auto"/>
              <w:left w:val="nil"/>
              <w:bottom w:val="single" w:sz="12" w:space="0" w:color="auto"/>
              <w:right w:val="single" w:sz="8" w:space="0" w:color="auto"/>
            </w:tcBorders>
            <w:shd w:val="clear" w:color="auto" w:fill="F5DADD" w:themeFill="accent5"/>
            <w:vAlign w:val="center"/>
            <w:hideMark/>
          </w:tcPr>
          <w:p w14:paraId="7E81FF60" w14:textId="77777777" w:rsidR="00810F97" w:rsidRPr="002077C1" w:rsidRDefault="00810F97" w:rsidP="00917551">
            <w:pPr>
              <w:spacing w:after="0" w:line="240" w:lineRule="auto"/>
              <w:jc w:val="center"/>
              <w:rPr>
                <w:rFonts w:cs="Arial"/>
                <w:b/>
                <w:sz w:val="18"/>
                <w:szCs w:val="18"/>
              </w:rPr>
            </w:pPr>
            <w:r w:rsidRPr="002077C1">
              <w:rPr>
                <w:rFonts w:cs="Arial"/>
                <w:b/>
                <w:sz w:val="18"/>
                <w:szCs w:val="18"/>
              </w:rPr>
              <w:t>Zaměstnaní</w:t>
            </w:r>
          </w:p>
        </w:tc>
        <w:tc>
          <w:tcPr>
            <w:tcW w:w="2630" w:type="dxa"/>
            <w:gridSpan w:val="3"/>
            <w:tcBorders>
              <w:top w:val="single" w:sz="12" w:space="0" w:color="auto"/>
              <w:left w:val="single" w:sz="8" w:space="0" w:color="auto"/>
              <w:bottom w:val="single" w:sz="8" w:space="0" w:color="auto"/>
              <w:right w:val="single" w:sz="8" w:space="0" w:color="auto"/>
            </w:tcBorders>
            <w:shd w:val="clear" w:color="auto" w:fill="F5DADD" w:themeFill="accent5"/>
            <w:noWrap/>
            <w:vAlign w:val="bottom"/>
            <w:hideMark/>
          </w:tcPr>
          <w:p w14:paraId="5C2F051A" w14:textId="77777777" w:rsidR="00810F97" w:rsidRPr="002077C1" w:rsidRDefault="00810F97" w:rsidP="00917551">
            <w:pPr>
              <w:spacing w:before="60" w:after="60" w:line="240" w:lineRule="auto"/>
              <w:jc w:val="center"/>
              <w:rPr>
                <w:rFonts w:cs="Arial"/>
                <w:b/>
                <w:sz w:val="18"/>
                <w:szCs w:val="18"/>
              </w:rPr>
            </w:pPr>
            <w:r w:rsidRPr="002077C1">
              <w:rPr>
                <w:rFonts w:cs="Arial"/>
                <w:b/>
                <w:sz w:val="18"/>
                <w:szCs w:val="18"/>
              </w:rPr>
              <w:t>2. čtvrtletí 2012</w:t>
            </w:r>
          </w:p>
        </w:tc>
        <w:tc>
          <w:tcPr>
            <w:tcW w:w="2783" w:type="dxa"/>
            <w:gridSpan w:val="3"/>
            <w:tcBorders>
              <w:top w:val="single" w:sz="12" w:space="0" w:color="auto"/>
              <w:left w:val="single" w:sz="8" w:space="0" w:color="auto"/>
              <w:bottom w:val="single" w:sz="8" w:space="0" w:color="auto"/>
            </w:tcBorders>
            <w:shd w:val="clear" w:color="auto" w:fill="F5DADD" w:themeFill="accent5"/>
            <w:noWrap/>
            <w:vAlign w:val="bottom"/>
            <w:hideMark/>
          </w:tcPr>
          <w:p w14:paraId="12E3A0C6" w14:textId="77777777" w:rsidR="00810F97" w:rsidRPr="002077C1" w:rsidRDefault="00810F97" w:rsidP="00917551">
            <w:pPr>
              <w:spacing w:before="60" w:after="60" w:line="240" w:lineRule="auto"/>
              <w:jc w:val="center"/>
              <w:rPr>
                <w:rFonts w:cs="Arial"/>
                <w:b/>
                <w:sz w:val="18"/>
                <w:szCs w:val="18"/>
              </w:rPr>
            </w:pPr>
            <w:r w:rsidRPr="002077C1">
              <w:rPr>
                <w:rFonts w:cs="Arial"/>
                <w:b/>
                <w:sz w:val="18"/>
                <w:szCs w:val="18"/>
              </w:rPr>
              <w:t>2. čtvrtletí 2022</w:t>
            </w:r>
          </w:p>
        </w:tc>
      </w:tr>
      <w:tr w:rsidR="00810F97" w:rsidRPr="00615ADC" w14:paraId="4A7DA401" w14:textId="77777777" w:rsidTr="00323865">
        <w:trPr>
          <w:trHeight w:val="240"/>
        </w:trPr>
        <w:tc>
          <w:tcPr>
            <w:tcW w:w="1276" w:type="dxa"/>
            <w:vMerge/>
            <w:tcBorders>
              <w:top w:val="single" w:sz="12" w:space="0" w:color="auto"/>
              <w:left w:val="nil"/>
              <w:bottom w:val="single" w:sz="12" w:space="0" w:color="auto"/>
              <w:right w:val="single" w:sz="8" w:space="0" w:color="auto"/>
            </w:tcBorders>
            <w:shd w:val="clear" w:color="auto" w:fill="F5DADD" w:themeFill="accent5"/>
            <w:vAlign w:val="center"/>
            <w:hideMark/>
          </w:tcPr>
          <w:p w14:paraId="0400BB24" w14:textId="77777777" w:rsidR="00810F97" w:rsidRPr="002077C1" w:rsidRDefault="00810F97" w:rsidP="00917551">
            <w:pPr>
              <w:spacing w:after="0" w:line="240" w:lineRule="auto"/>
              <w:ind w:left="360"/>
              <w:jc w:val="center"/>
              <w:rPr>
                <w:rFonts w:cs="Arial"/>
                <w:b/>
                <w:sz w:val="18"/>
                <w:szCs w:val="18"/>
              </w:rPr>
            </w:pPr>
          </w:p>
        </w:tc>
        <w:tc>
          <w:tcPr>
            <w:tcW w:w="2630" w:type="dxa"/>
            <w:gridSpan w:val="3"/>
            <w:tcBorders>
              <w:top w:val="single" w:sz="8" w:space="0" w:color="auto"/>
              <w:left w:val="single" w:sz="8" w:space="0" w:color="auto"/>
              <w:bottom w:val="single" w:sz="8" w:space="0" w:color="auto"/>
              <w:right w:val="single" w:sz="8" w:space="0" w:color="auto"/>
            </w:tcBorders>
            <w:shd w:val="clear" w:color="auto" w:fill="F5DADD" w:themeFill="accent5"/>
            <w:noWrap/>
            <w:vAlign w:val="bottom"/>
            <w:hideMark/>
          </w:tcPr>
          <w:p w14:paraId="2B1801A3" w14:textId="77777777" w:rsidR="00810F97" w:rsidRPr="002077C1" w:rsidRDefault="00810F97" w:rsidP="00917551">
            <w:pPr>
              <w:spacing w:before="60" w:after="60" w:line="240" w:lineRule="auto"/>
              <w:jc w:val="center"/>
              <w:rPr>
                <w:rFonts w:cs="Arial"/>
                <w:b/>
                <w:sz w:val="18"/>
                <w:szCs w:val="18"/>
              </w:rPr>
            </w:pPr>
            <w:r w:rsidRPr="002077C1">
              <w:rPr>
                <w:rFonts w:cs="Arial"/>
                <w:b/>
                <w:sz w:val="18"/>
                <w:szCs w:val="18"/>
              </w:rPr>
              <w:t>Sektor</w:t>
            </w:r>
          </w:p>
        </w:tc>
        <w:tc>
          <w:tcPr>
            <w:tcW w:w="2783" w:type="dxa"/>
            <w:gridSpan w:val="3"/>
            <w:tcBorders>
              <w:top w:val="single" w:sz="8" w:space="0" w:color="auto"/>
              <w:left w:val="single" w:sz="8" w:space="0" w:color="auto"/>
              <w:bottom w:val="single" w:sz="8" w:space="0" w:color="auto"/>
              <w:right w:val="nil"/>
            </w:tcBorders>
            <w:shd w:val="clear" w:color="auto" w:fill="F5DADD" w:themeFill="accent5"/>
            <w:noWrap/>
            <w:vAlign w:val="bottom"/>
            <w:hideMark/>
          </w:tcPr>
          <w:p w14:paraId="53038E79" w14:textId="77777777" w:rsidR="00810F97" w:rsidRPr="002077C1" w:rsidRDefault="00810F97" w:rsidP="00917551">
            <w:pPr>
              <w:spacing w:before="60" w:after="60" w:line="240" w:lineRule="auto"/>
              <w:jc w:val="center"/>
              <w:rPr>
                <w:rFonts w:cs="Arial"/>
                <w:b/>
                <w:sz w:val="18"/>
                <w:szCs w:val="18"/>
              </w:rPr>
            </w:pPr>
            <w:r w:rsidRPr="002077C1">
              <w:rPr>
                <w:rFonts w:cs="Arial"/>
                <w:b/>
                <w:sz w:val="18"/>
                <w:szCs w:val="18"/>
              </w:rPr>
              <w:t>Sektor</w:t>
            </w:r>
          </w:p>
        </w:tc>
      </w:tr>
      <w:tr w:rsidR="00810F97" w:rsidRPr="00615ADC" w14:paraId="467BCA1C" w14:textId="77777777" w:rsidTr="00323865">
        <w:trPr>
          <w:trHeight w:val="240"/>
        </w:trPr>
        <w:tc>
          <w:tcPr>
            <w:tcW w:w="1276" w:type="dxa"/>
            <w:vMerge/>
            <w:tcBorders>
              <w:top w:val="single" w:sz="12" w:space="0" w:color="auto"/>
              <w:left w:val="nil"/>
              <w:bottom w:val="single" w:sz="12" w:space="0" w:color="auto"/>
              <w:right w:val="single" w:sz="8" w:space="0" w:color="auto"/>
            </w:tcBorders>
            <w:shd w:val="clear" w:color="auto" w:fill="F5DADD" w:themeFill="accent5"/>
            <w:vAlign w:val="center"/>
            <w:hideMark/>
          </w:tcPr>
          <w:p w14:paraId="5109915B" w14:textId="77777777" w:rsidR="00810F97" w:rsidRPr="002077C1" w:rsidRDefault="00810F97" w:rsidP="00917551">
            <w:pPr>
              <w:spacing w:after="0" w:line="240" w:lineRule="auto"/>
              <w:ind w:left="360"/>
              <w:jc w:val="center"/>
              <w:rPr>
                <w:rFonts w:cs="Arial"/>
                <w:b/>
                <w:sz w:val="18"/>
                <w:szCs w:val="18"/>
              </w:rPr>
            </w:pPr>
          </w:p>
        </w:tc>
        <w:tc>
          <w:tcPr>
            <w:tcW w:w="783" w:type="dxa"/>
            <w:tcBorders>
              <w:top w:val="single" w:sz="8" w:space="0" w:color="auto"/>
              <w:left w:val="single" w:sz="8" w:space="0" w:color="auto"/>
              <w:bottom w:val="single" w:sz="12" w:space="0" w:color="auto"/>
              <w:right w:val="single" w:sz="8" w:space="0" w:color="auto"/>
            </w:tcBorders>
            <w:shd w:val="clear" w:color="auto" w:fill="F5DADD" w:themeFill="accent5"/>
            <w:vAlign w:val="center"/>
            <w:hideMark/>
          </w:tcPr>
          <w:p w14:paraId="771A2579" w14:textId="77777777" w:rsidR="00810F97" w:rsidRPr="002077C1" w:rsidRDefault="00810F97" w:rsidP="00917551">
            <w:pPr>
              <w:spacing w:after="0" w:line="240" w:lineRule="auto"/>
              <w:jc w:val="center"/>
              <w:rPr>
                <w:rFonts w:cs="Arial"/>
                <w:b/>
                <w:sz w:val="18"/>
                <w:szCs w:val="18"/>
              </w:rPr>
            </w:pPr>
            <w:r w:rsidRPr="002077C1">
              <w:rPr>
                <w:rFonts w:cs="Arial"/>
                <w:b/>
                <w:sz w:val="18"/>
                <w:szCs w:val="18"/>
              </w:rPr>
              <w:t>Země-dělství</w:t>
            </w:r>
          </w:p>
        </w:tc>
        <w:tc>
          <w:tcPr>
            <w:tcW w:w="926" w:type="dxa"/>
            <w:tcBorders>
              <w:top w:val="single" w:sz="8" w:space="0" w:color="auto"/>
              <w:left w:val="single" w:sz="8" w:space="0" w:color="auto"/>
              <w:bottom w:val="single" w:sz="12" w:space="0" w:color="auto"/>
              <w:right w:val="single" w:sz="8" w:space="0" w:color="auto"/>
            </w:tcBorders>
            <w:shd w:val="clear" w:color="auto" w:fill="F5DADD" w:themeFill="accent5"/>
            <w:vAlign w:val="center"/>
            <w:hideMark/>
          </w:tcPr>
          <w:p w14:paraId="411C95DB" w14:textId="77777777" w:rsidR="00810F97" w:rsidRPr="002077C1" w:rsidRDefault="00810F97" w:rsidP="00917551">
            <w:pPr>
              <w:spacing w:after="0" w:line="240" w:lineRule="auto"/>
              <w:jc w:val="center"/>
              <w:rPr>
                <w:rFonts w:cs="Arial"/>
                <w:b/>
                <w:sz w:val="18"/>
                <w:szCs w:val="18"/>
              </w:rPr>
            </w:pPr>
            <w:r w:rsidRPr="002077C1">
              <w:rPr>
                <w:rFonts w:cs="Arial"/>
                <w:b/>
                <w:sz w:val="18"/>
                <w:szCs w:val="18"/>
              </w:rPr>
              <w:t xml:space="preserve">Průmysl </w:t>
            </w:r>
          </w:p>
        </w:tc>
        <w:tc>
          <w:tcPr>
            <w:tcW w:w="921" w:type="dxa"/>
            <w:tcBorders>
              <w:top w:val="single" w:sz="8" w:space="0" w:color="auto"/>
              <w:left w:val="single" w:sz="8" w:space="0" w:color="auto"/>
              <w:bottom w:val="single" w:sz="12" w:space="0" w:color="auto"/>
              <w:right w:val="single" w:sz="8" w:space="0" w:color="auto"/>
            </w:tcBorders>
            <w:shd w:val="clear" w:color="auto" w:fill="F5DADD" w:themeFill="accent5"/>
            <w:vAlign w:val="center"/>
            <w:hideMark/>
          </w:tcPr>
          <w:p w14:paraId="00ADD8FD" w14:textId="77777777" w:rsidR="00810F97" w:rsidRPr="002077C1" w:rsidRDefault="00810F97" w:rsidP="00917551">
            <w:pPr>
              <w:spacing w:after="0" w:line="240" w:lineRule="auto"/>
              <w:jc w:val="center"/>
              <w:rPr>
                <w:rFonts w:cs="Arial"/>
                <w:b/>
                <w:sz w:val="18"/>
                <w:szCs w:val="18"/>
              </w:rPr>
            </w:pPr>
            <w:r w:rsidRPr="002077C1">
              <w:rPr>
                <w:rFonts w:cs="Arial"/>
                <w:b/>
                <w:sz w:val="18"/>
                <w:szCs w:val="18"/>
              </w:rPr>
              <w:t>Služby</w:t>
            </w:r>
          </w:p>
        </w:tc>
        <w:tc>
          <w:tcPr>
            <w:tcW w:w="931" w:type="dxa"/>
            <w:tcBorders>
              <w:top w:val="single" w:sz="8" w:space="0" w:color="auto"/>
              <w:left w:val="single" w:sz="8" w:space="0" w:color="auto"/>
              <w:bottom w:val="single" w:sz="12" w:space="0" w:color="auto"/>
              <w:right w:val="single" w:sz="8" w:space="0" w:color="auto"/>
            </w:tcBorders>
            <w:shd w:val="clear" w:color="auto" w:fill="F5DADD" w:themeFill="accent5"/>
            <w:vAlign w:val="center"/>
            <w:hideMark/>
          </w:tcPr>
          <w:p w14:paraId="286A2100" w14:textId="77777777" w:rsidR="00810F97" w:rsidRPr="002077C1" w:rsidRDefault="00810F97" w:rsidP="00917551">
            <w:pPr>
              <w:spacing w:after="0" w:line="240" w:lineRule="auto"/>
              <w:jc w:val="center"/>
              <w:rPr>
                <w:rFonts w:cs="Arial"/>
                <w:b/>
                <w:sz w:val="18"/>
                <w:szCs w:val="18"/>
              </w:rPr>
            </w:pPr>
            <w:r w:rsidRPr="002077C1">
              <w:rPr>
                <w:rFonts w:cs="Arial"/>
                <w:b/>
                <w:sz w:val="18"/>
                <w:szCs w:val="18"/>
              </w:rPr>
              <w:t>Země-dělství</w:t>
            </w:r>
          </w:p>
        </w:tc>
        <w:tc>
          <w:tcPr>
            <w:tcW w:w="926" w:type="dxa"/>
            <w:tcBorders>
              <w:top w:val="single" w:sz="8" w:space="0" w:color="auto"/>
              <w:left w:val="single" w:sz="8" w:space="0" w:color="auto"/>
              <w:bottom w:val="single" w:sz="12" w:space="0" w:color="auto"/>
              <w:right w:val="single" w:sz="8" w:space="0" w:color="auto"/>
            </w:tcBorders>
            <w:shd w:val="clear" w:color="auto" w:fill="F5DADD" w:themeFill="accent5"/>
            <w:vAlign w:val="center"/>
            <w:hideMark/>
          </w:tcPr>
          <w:p w14:paraId="0A80D499" w14:textId="77777777" w:rsidR="00810F97" w:rsidRPr="002077C1" w:rsidRDefault="00810F97" w:rsidP="00917551">
            <w:pPr>
              <w:spacing w:after="0" w:line="240" w:lineRule="auto"/>
              <w:jc w:val="center"/>
              <w:rPr>
                <w:rFonts w:cs="Arial"/>
                <w:b/>
                <w:sz w:val="18"/>
                <w:szCs w:val="18"/>
              </w:rPr>
            </w:pPr>
            <w:r w:rsidRPr="002077C1">
              <w:rPr>
                <w:rFonts w:cs="Arial"/>
                <w:b/>
                <w:sz w:val="18"/>
                <w:szCs w:val="18"/>
              </w:rPr>
              <w:t xml:space="preserve">Průmysl </w:t>
            </w:r>
          </w:p>
        </w:tc>
        <w:tc>
          <w:tcPr>
            <w:tcW w:w="926" w:type="dxa"/>
            <w:tcBorders>
              <w:top w:val="single" w:sz="8" w:space="0" w:color="auto"/>
              <w:left w:val="single" w:sz="8" w:space="0" w:color="auto"/>
              <w:bottom w:val="single" w:sz="12" w:space="0" w:color="auto"/>
              <w:right w:val="nil"/>
            </w:tcBorders>
            <w:shd w:val="clear" w:color="auto" w:fill="F5DADD" w:themeFill="accent5"/>
            <w:vAlign w:val="center"/>
            <w:hideMark/>
          </w:tcPr>
          <w:p w14:paraId="0B68972A" w14:textId="77777777" w:rsidR="00810F97" w:rsidRPr="002077C1" w:rsidRDefault="00810F97" w:rsidP="00917551">
            <w:pPr>
              <w:spacing w:after="0" w:line="240" w:lineRule="auto"/>
              <w:jc w:val="center"/>
              <w:rPr>
                <w:rFonts w:cs="Arial"/>
                <w:b/>
                <w:sz w:val="18"/>
                <w:szCs w:val="18"/>
              </w:rPr>
            </w:pPr>
            <w:r w:rsidRPr="002077C1">
              <w:rPr>
                <w:rFonts w:cs="Arial"/>
                <w:b/>
                <w:sz w:val="18"/>
                <w:szCs w:val="18"/>
              </w:rPr>
              <w:t>Služby</w:t>
            </w:r>
          </w:p>
        </w:tc>
      </w:tr>
      <w:tr w:rsidR="00810F97" w:rsidRPr="00615ADC" w14:paraId="296EA21B" w14:textId="77777777" w:rsidTr="00323865">
        <w:trPr>
          <w:trHeight w:val="57"/>
        </w:trPr>
        <w:tc>
          <w:tcPr>
            <w:tcW w:w="1276" w:type="dxa"/>
            <w:tcBorders>
              <w:top w:val="single" w:sz="12" w:space="0" w:color="auto"/>
              <w:left w:val="nil"/>
              <w:bottom w:val="nil"/>
              <w:right w:val="single" w:sz="8" w:space="0" w:color="auto"/>
            </w:tcBorders>
            <w:shd w:val="clear" w:color="auto" w:fill="auto"/>
            <w:noWrap/>
            <w:vAlign w:val="center"/>
            <w:hideMark/>
          </w:tcPr>
          <w:p w14:paraId="16057DF0" w14:textId="6B3D73B8" w:rsidR="00810F97" w:rsidRPr="00E90333" w:rsidRDefault="00810F97" w:rsidP="009E4808">
            <w:pPr>
              <w:spacing w:before="240" w:line="240" w:lineRule="auto"/>
              <w:rPr>
                <w:sz w:val="18"/>
                <w:szCs w:val="20"/>
              </w:rPr>
            </w:pPr>
            <w:r w:rsidRPr="00E90333">
              <w:rPr>
                <w:sz w:val="18"/>
                <w:szCs w:val="20"/>
              </w:rPr>
              <w:t>Celkem</w:t>
            </w:r>
          </w:p>
        </w:tc>
        <w:tc>
          <w:tcPr>
            <w:tcW w:w="783" w:type="dxa"/>
            <w:tcBorders>
              <w:top w:val="single" w:sz="12" w:space="0" w:color="auto"/>
              <w:left w:val="single" w:sz="8" w:space="0" w:color="auto"/>
              <w:bottom w:val="nil"/>
              <w:right w:val="single" w:sz="8" w:space="0" w:color="auto"/>
            </w:tcBorders>
            <w:shd w:val="clear" w:color="auto" w:fill="auto"/>
            <w:noWrap/>
            <w:vAlign w:val="center"/>
          </w:tcPr>
          <w:p w14:paraId="6BBD0F3D" w14:textId="77777777" w:rsidR="00810F97" w:rsidRPr="00E90333" w:rsidRDefault="00810F97" w:rsidP="00200C6D">
            <w:pPr>
              <w:spacing w:before="240" w:line="240" w:lineRule="auto"/>
              <w:jc w:val="center"/>
              <w:rPr>
                <w:sz w:val="18"/>
                <w:szCs w:val="20"/>
              </w:rPr>
            </w:pPr>
            <w:r w:rsidRPr="00E90333">
              <w:rPr>
                <w:sz w:val="18"/>
                <w:szCs w:val="20"/>
              </w:rPr>
              <w:t>12,1</w:t>
            </w:r>
          </w:p>
        </w:tc>
        <w:tc>
          <w:tcPr>
            <w:tcW w:w="926" w:type="dxa"/>
            <w:tcBorders>
              <w:top w:val="single" w:sz="12" w:space="0" w:color="auto"/>
              <w:left w:val="single" w:sz="8" w:space="0" w:color="auto"/>
              <w:bottom w:val="nil"/>
              <w:right w:val="single" w:sz="8" w:space="0" w:color="auto"/>
            </w:tcBorders>
            <w:shd w:val="clear" w:color="auto" w:fill="auto"/>
            <w:noWrap/>
            <w:vAlign w:val="center"/>
          </w:tcPr>
          <w:p w14:paraId="4EFE9A0F" w14:textId="77777777" w:rsidR="00810F97" w:rsidRPr="00E90333" w:rsidRDefault="00810F97" w:rsidP="00200C6D">
            <w:pPr>
              <w:spacing w:before="240" w:line="240" w:lineRule="auto"/>
              <w:jc w:val="center"/>
              <w:rPr>
                <w:sz w:val="18"/>
                <w:szCs w:val="20"/>
              </w:rPr>
            </w:pPr>
            <w:r w:rsidRPr="00E90333">
              <w:rPr>
                <w:sz w:val="18"/>
                <w:szCs w:val="20"/>
              </w:rPr>
              <w:t>82,5</w:t>
            </w:r>
          </w:p>
        </w:tc>
        <w:tc>
          <w:tcPr>
            <w:tcW w:w="921" w:type="dxa"/>
            <w:tcBorders>
              <w:top w:val="single" w:sz="12" w:space="0" w:color="auto"/>
              <w:left w:val="single" w:sz="8" w:space="0" w:color="auto"/>
              <w:bottom w:val="nil"/>
              <w:right w:val="single" w:sz="8" w:space="0" w:color="auto"/>
            </w:tcBorders>
            <w:shd w:val="clear" w:color="auto" w:fill="auto"/>
            <w:noWrap/>
            <w:vAlign w:val="center"/>
          </w:tcPr>
          <w:p w14:paraId="186917E1" w14:textId="77777777" w:rsidR="00810F97" w:rsidRPr="00E90333" w:rsidRDefault="00810F97" w:rsidP="00200C6D">
            <w:pPr>
              <w:spacing w:before="240" w:line="240" w:lineRule="auto"/>
              <w:jc w:val="center"/>
              <w:rPr>
                <w:sz w:val="18"/>
                <w:szCs w:val="20"/>
              </w:rPr>
            </w:pPr>
            <w:r w:rsidRPr="00E90333">
              <w:rPr>
                <w:sz w:val="18"/>
                <w:szCs w:val="20"/>
              </w:rPr>
              <w:t>181,3</w:t>
            </w:r>
          </w:p>
        </w:tc>
        <w:tc>
          <w:tcPr>
            <w:tcW w:w="931" w:type="dxa"/>
            <w:tcBorders>
              <w:top w:val="single" w:sz="12" w:space="0" w:color="auto"/>
              <w:left w:val="single" w:sz="8" w:space="0" w:color="auto"/>
              <w:bottom w:val="nil"/>
              <w:right w:val="single" w:sz="8" w:space="0" w:color="auto"/>
            </w:tcBorders>
            <w:shd w:val="clear" w:color="auto" w:fill="auto"/>
            <w:noWrap/>
            <w:vAlign w:val="center"/>
          </w:tcPr>
          <w:p w14:paraId="12C5D1D5" w14:textId="77777777" w:rsidR="00810F97" w:rsidRPr="00E90333" w:rsidRDefault="00810F97" w:rsidP="00200C6D">
            <w:pPr>
              <w:spacing w:before="240" w:line="240" w:lineRule="auto"/>
              <w:jc w:val="center"/>
              <w:rPr>
                <w:sz w:val="18"/>
                <w:szCs w:val="20"/>
              </w:rPr>
            </w:pPr>
            <w:r w:rsidRPr="00E90333">
              <w:rPr>
                <w:sz w:val="18"/>
                <w:szCs w:val="20"/>
              </w:rPr>
              <w:t>17,2</w:t>
            </w:r>
          </w:p>
        </w:tc>
        <w:tc>
          <w:tcPr>
            <w:tcW w:w="926" w:type="dxa"/>
            <w:tcBorders>
              <w:top w:val="single" w:sz="12" w:space="0" w:color="auto"/>
              <w:left w:val="single" w:sz="8" w:space="0" w:color="auto"/>
              <w:bottom w:val="nil"/>
              <w:right w:val="single" w:sz="8" w:space="0" w:color="auto"/>
            </w:tcBorders>
            <w:shd w:val="clear" w:color="auto" w:fill="auto"/>
            <w:noWrap/>
            <w:vAlign w:val="center"/>
          </w:tcPr>
          <w:p w14:paraId="4A0F899B" w14:textId="77777777" w:rsidR="00810F97" w:rsidRPr="00E90333" w:rsidRDefault="00810F97" w:rsidP="00200C6D">
            <w:pPr>
              <w:spacing w:before="240" w:line="240" w:lineRule="auto"/>
              <w:jc w:val="center"/>
              <w:rPr>
                <w:sz w:val="18"/>
                <w:szCs w:val="20"/>
              </w:rPr>
            </w:pPr>
            <w:r w:rsidRPr="00E90333">
              <w:rPr>
                <w:sz w:val="18"/>
                <w:szCs w:val="20"/>
              </w:rPr>
              <w:t>138,0</w:t>
            </w:r>
          </w:p>
        </w:tc>
        <w:tc>
          <w:tcPr>
            <w:tcW w:w="926" w:type="dxa"/>
            <w:tcBorders>
              <w:top w:val="single" w:sz="12" w:space="0" w:color="auto"/>
              <w:left w:val="single" w:sz="8" w:space="0" w:color="auto"/>
              <w:bottom w:val="nil"/>
              <w:right w:val="nil"/>
            </w:tcBorders>
            <w:shd w:val="clear" w:color="auto" w:fill="auto"/>
            <w:noWrap/>
            <w:vAlign w:val="center"/>
          </w:tcPr>
          <w:p w14:paraId="511EE61C" w14:textId="77777777" w:rsidR="00810F97" w:rsidRPr="00E90333" w:rsidRDefault="00810F97" w:rsidP="00200C6D">
            <w:pPr>
              <w:spacing w:before="240" w:line="240" w:lineRule="auto"/>
              <w:jc w:val="center"/>
              <w:rPr>
                <w:sz w:val="18"/>
                <w:szCs w:val="20"/>
              </w:rPr>
            </w:pPr>
            <w:r w:rsidRPr="00E90333">
              <w:rPr>
                <w:sz w:val="18"/>
                <w:szCs w:val="20"/>
              </w:rPr>
              <w:t>325,1</w:t>
            </w:r>
          </w:p>
        </w:tc>
      </w:tr>
      <w:tr w:rsidR="00810F97" w:rsidRPr="00615ADC" w14:paraId="78885710" w14:textId="77777777" w:rsidTr="00323865">
        <w:trPr>
          <w:trHeight w:val="57"/>
        </w:trPr>
        <w:tc>
          <w:tcPr>
            <w:tcW w:w="1276" w:type="dxa"/>
            <w:tcBorders>
              <w:top w:val="nil"/>
              <w:left w:val="nil"/>
              <w:bottom w:val="nil"/>
              <w:right w:val="single" w:sz="8" w:space="0" w:color="auto"/>
            </w:tcBorders>
            <w:shd w:val="clear" w:color="auto" w:fill="auto"/>
            <w:noWrap/>
            <w:vAlign w:val="center"/>
            <w:hideMark/>
          </w:tcPr>
          <w:p w14:paraId="144DA8CC" w14:textId="77777777" w:rsidR="00810F97" w:rsidRPr="00E90333" w:rsidRDefault="00810F97" w:rsidP="009E4808">
            <w:pPr>
              <w:spacing w:line="240" w:lineRule="auto"/>
              <w:rPr>
                <w:sz w:val="18"/>
                <w:szCs w:val="20"/>
              </w:rPr>
            </w:pPr>
            <w:r w:rsidRPr="00E90333">
              <w:rPr>
                <w:sz w:val="18"/>
                <w:szCs w:val="20"/>
              </w:rPr>
              <w:t>Muži</w:t>
            </w:r>
          </w:p>
        </w:tc>
        <w:tc>
          <w:tcPr>
            <w:tcW w:w="783" w:type="dxa"/>
            <w:tcBorders>
              <w:top w:val="nil"/>
              <w:left w:val="single" w:sz="8" w:space="0" w:color="auto"/>
              <w:bottom w:val="nil"/>
              <w:right w:val="single" w:sz="8" w:space="0" w:color="auto"/>
            </w:tcBorders>
            <w:shd w:val="clear" w:color="auto" w:fill="auto"/>
            <w:noWrap/>
            <w:vAlign w:val="center"/>
          </w:tcPr>
          <w:p w14:paraId="02515C6D" w14:textId="77777777" w:rsidR="00810F97" w:rsidRPr="00E90333" w:rsidRDefault="00810F97" w:rsidP="00917551">
            <w:pPr>
              <w:spacing w:line="240" w:lineRule="auto"/>
              <w:jc w:val="center"/>
              <w:rPr>
                <w:sz w:val="18"/>
                <w:szCs w:val="20"/>
              </w:rPr>
            </w:pPr>
            <w:r w:rsidRPr="00E90333">
              <w:rPr>
                <w:sz w:val="18"/>
                <w:szCs w:val="20"/>
              </w:rPr>
              <w:t>10,1</w:t>
            </w:r>
          </w:p>
        </w:tc>
        <w:tc>
          <w:tcPr>
            <w:tcW w:w="926" w:type="dxa"/>
            <w:tcBorders>
              <w:top w:val="nil"/>
              <w:left w:val="single" w:sz="8" w:space="0" w:color="auto"/>
              <w:bottom w:val="nil"/>
              <w:right w:val="single" w:sz="8" w:space="0" w:color="auto"/>
            </w:tcBorders>
            <w:shd w:val="clear" w:color="auto" w:fill="auto"/>
            <w:noWrap/>
            <w:vAlign w:val="center"/>
          </w:tcPr>
          <w:p w14:paraId="06536B90" w14:textId="77777777" w:rsidR="00810F97" w:rsidRPr="00E90333" w:rsidRDefault="00810F97" w:rsidP="00917551">
            <w:pPr>
              <w:spacing w:line="240" w:lineRule="auto"/>
              <w:jc w:val="center"/>
              <w:rPr>
                <w:sz w:val="18"/>
                <w:szCs w:val="20"/>
              </w:rPr>
            </w:pPr>
            <w:r w:rsidRPr="00E90333">
              <w:rPr>
                <w:sz w:val="18"/>
                <w:szCs w:val="20"/>
              </w:rPr>
              <w:t>73,3</w:t>
            </w:r>
          </w:p>
        </w:tc>
        <w:tc>
          <w:tcPr>
            <w:tcW w:w="921" w:type="dxa"/>
            <w:tcBorders>
              <w:top w:val="nil"/>
              <w:left w:val="single" w:sz="8" w:space="0" w:color="auto"/>
              <w:bottom w:val="nil"/>
              <w:right w:val="single" w:sz="8" w:space="0" w:color="auto"/>
            </w:tcBorders>
            <w:shd w:val="clear" w:color="auto" w:fill="auto"/>
            <w:noWrap/>
            <w:vAlign w:val="center"/>
          </w:tcPr>
          <w:p w14:paraId="49521C00" w14:textId="77777777" w:rsidR="00810F97" w:rsidRPr="00E90333" w:rsidRDefault="00810F97" w:rsidP="00917551">
            <w:pPr>
              <w:spacing w:line="240" w:lineRule="auto"/>
              <w:jc w:val="center"/>
              <w:rPr>
                <w:sz w:val="18"/>
                <w:szCs w:val="20"/>
              </w:rPr>
            </w:pPr>
            <w:r w:rsidRPr="00E90333">
              <w:rPr>
                <w:sz w:val="18"/>
                <w:szCs w:val="20"/>
              </w:rPr>
              <w:t>96,6</w:t>
            </w:r>
          </w:p>
        </w:tc>
        <w:tc>
          <w:tcPr>
            <w:tcW w:w="931" w:type="dxa"/>
            <w:tcBorders>
              <w:top w:val="nil"/>
              <w:left w:val="single" w:sz="8" w:space="0" w:color="auto"/>
              <w:bottom w:val="nil"/>
              <w:right w:val="single" w:sz="8" w:space="0" w:color="auto"/>
            </w:tcBorders>
            <w:shd w:val="clear" w:color="auto" w:fill="auto"/>
            <w:noWrap/>
            <w:vAlign w:val="center"/>
          </w:tcPr>
          <w:p w14:paraId="6E090EAB" w14:textId="77777777" w:rsidR="00810F97" w:rsidRPr="00E90333" w:rsidRDefault="00810F97" w:rsidP="00917551">
            <w:pPr>
              <w:spacing w:line="240" w:lineRule="auto"/>
              <w:jc w:val="center"/>
              <w:rPr>
                <w:sz w:val="18"/>
                <w:szCs w:val="20"/>
              </w:rPr>
            </w:pPr>
            <w:r w:rsidRPr="00E90333">
              <w:rPr>
                <w:sz w:val="18"/>
                <w:szCs w:val="20"/>
              </w:rPr>
              <w:t>13,3</w:t>
            </w:r>
          </w:p>
        </w:tc>
        <w:tc>
          <w:tcPr>
            <w:tcW w:w="926" w:type="dxa"/>
            <w:tcBorders>
              <w:top w:val="nil"/>
              <w:left w:val="single" w:sz="8" w:space="0" w:color="auto"/>
              <w:bottom w:val="nil"/>
              <w:right w:val="single" w:sz="8" w:space="0" w:color="auto"/>
            </w:tcBorders>
            <w:shd w:val="clear" w:color="auto" w:fill="auto"/>
            <w:noWrap/>
            <w:vAlign w:val="center"/>
          </w:tcPr>
          <w:p w14:paraId="6C84AF81" w14:textId="77777777" w:rsidR="00810F97" w:rsidRPr="00E90333" w:rsidRDefault="00810F97" w:rsidP="00917551">
            <w:pPr>
              <w:spacing w:line="240" w:lineRule="auto"/>
              <w:jc w:val="center"/>
              <w:rPr>
                <w:sz w:val="18"/>
                <w:szCs w:val="20"/>
              </w:rPr>
            </w:pPr>
            <w:r w:rsidRPr="00E90333">
              <w:rPr>
                <w:sz w:val="18"/>
                <w:szCs w:val="20"/>
              </w:rPr>
              <w:t>111,0</w:t>
            </w:r>
          </w:p>
        </w:tc>
        <w:tc>
          <w:tcPr>
            <w:tcW w:w="926" w:type="dxa"/>
            <w:tcBorders>
              <w:top w:val="nil"/>
              <w:left w:val="single" w:sz="8" w:space="0" w:color="auto"/>
              <w:bottom w:val="nil"/>
              <w:right w:val="nil"/>
            </w:tcBorders>
            <w:shd w:val="clear" w:color="auto" w:fill="auto"/>
            <w:noWrap/>
            <w:vAlign w:val="center"/>
          </w:tcPr>
          <w:p w14:paraId="394DCB98" w14:textId="77777777" w:rsidR="00810F97" w:rsidRPr="00E90333" w:rsidRDefault="00810F97" w:rsidP="00917551">
            <w:pPr>
              <w:spacing w:line="240" w:lineRule="auto"/>
              <w:jc w:val="center"/>
              <w:rPr>
                <w:sz w:val="18"/>
                <w:szCs w:val="20"/>
              </w:rPr>
            </w:pPr>
            <w:r w:rsidRPr="00E90333">
              <w:rPr>
                <w:sz w:val="18"/>
                <w:szCs w:val="20"/>
              </w:rPr>
              <w:t>155,3</w:t>
            </w:r>
          </w:p>
        </w:tc>
      </w:tr>
      <w:tr w:rsidR="00810F97" w:rsidRPr="00615ADC" w14:paraId="1AF24D2B" w14:textId="77777777" w:rsidTr="00323865">
        <w:trPr>
          <w:trHeight w:val="57"/>
        </w:trPr>
        <w:tc>
          <w:tcPr>
            <w:tcW w:w="1276" w:type="dxa"/>
            <w:tcBorders>
              <w:top w:val="nil"/>
              <w:left w:val="nil"/>
              <w:bottom w:val="nil"/>
              <w:right w:val="single" w:sz="8" w:space="0" w:color="auto"/>
            </w:tcBorders>
            <w:shd w:val="clear" w:color="auto" w:fill="auto"/>
            <w:noWrap/>
            <w:vAlign w:val="center"/>
            <w:hideMark/>
          </w:tcPr>
          <w:p w14:paraId="218100A4" w14:textId="77777777" w:rsidR="00810F97" w:rsidRPr="00E90333" w:rsidRDefault="00810F97" w:rsidP="009E4808">
            <w:pPr>
              <w:spacing w:line="240" w:lineRule="auto"/>
              <w:rPr>
                <w:sz w:val="18"/>
                <w:szCs w:val="20"/>
              </w:rPr>
            </w:pPr>
            <w:r w:rsidRPr="00E90333">
              <w:rPr>
                <w:sz w:val="18"/>
                <w:szCs w:val="20"/>
              </w:rPr>
              <w:t>Ženy</w:t>
            </w:r>
          </w:p>
        </w:tc>
        <w:tc>
          <w:tcPr>
            <w:tcW w:w="783" w:type="dxa"/>
            <w:tcBorders>
              <w:top w:val="nil"/>
              <w:left w:val="single" w:sz="8" w:space="0" w:color="auto"/>
              <w:bottom w:val="nil"/>
              <w:right w:val="single" w:sz="8" w:space="0" w:color="auto"/>
            </w:tcBorders>
            <w:shd w:val="clear" w:color="auto" w:fill="auto"/>
            <w:noWrap/>
            <w:vAlign w:val="center"/>
          </w:tcPr>
          <w:p w14:paraId="6D0268EB" w14:textId="77777777" w:rsidR="00810F97" w:rsidRPr="00E90333" w:rsidRDefault="00810F97" w:rsidP="00917551">
            <w:pPr>
              <w:spacing w:line="240" w:lineRule="auto"/>
              <w:jc w:val="center"/>
              <w:rPr>
                <w:sz w:val="18"/>
                <w:szCs w:val="20"/>
              </w:rPr>
            </w:pPr>
            <w:r>
              <w:rPr>
                <w:sz w:val="18"/>
                <w:szCs w:val="20"/>
              </w:rPr>
              <w:t>1,9</w:t>
            </w:r>
          </w:p>
        </w:tc>
        <w:tc>
          <w:tcPr>
            <w:tcW w:w="926" w:type="dxa"/>
            <w:tcBorders>
              <w:top w:val="nil"/>
              <w:left w:val="single" w:sz="8" w:space="0" w:color="auto"/>
              <w:bottom w:val="nil"/>
              <w:right w:val="single" w:sz="8" w:space="0" w:color="auto"/>
            </w:tcBorders>
            <w:shd w:val="clear" w:color="auto" w:fill="auto"/>
            <w:noWrap/>
            <w:vAlign w:val="center"/>
          </w:tcPr>
          <w:p w14:paraId="107FFB4E" w14:textId="77777777" w:rsidR="00810F97" w:rsidRPr="00E90333" w:rsidRDefault="00810F97" w:rsidP="00917551">
            <w:pPr>
              <w:spacing w:line="240" w:lineRule="auto"/>
              <w:jc w:val="center"/>
              <w:rPr>
                <w:sz w:val="18"/>
                <w:szCs w:val="20"/>
              </w:rPr>
            </w:pPr>
            <w:r>
              <w:rPr>
                <w:sz w:val="18"/>
                <w:szCs w:val="20"/>
              </w:rPr>
              <w:t>9,3</w:t>
            </w:r>
          </w:p>
        </w:tc>
        <w:tc>
          <w:tcPr>
            <w:tcW w:w="921" w:type="dxa"/>
            <w:tcBorders>
              <w:top w:val="nil"/>
              <w:left w:val="single" w:sz="8" w:space="0" w:color="auto"/>
              <w:bottom w:val="nil"/>
              <w:right w:val="single" w:sz="8" w:space="0" w:color="auto"/>
            </w:tcBorders>
            <w:shd w:val="clear" w:color="auto" w:fill="auto"/>
            <w:noWrap/>
            <w:vAlign w:val="center"/>
          </w:tcPr>
          <w:p w14:paraId="18D8A399" w14:textId="77777777" w:rsidR="00810F97" w:rsidRPr="00E90333" w:rsidRDefault="00810F97" w:rsidP="00917551">
            <w:pPr>
              <w:spacing w:line="240" w:lineRule="auto"/>
              <w:jc w:val="center"/>
              <w:rPr>
                <w:sz w:val="18"/>
                <w:szCs w:val="20"/>
              </w:rPr>
            </w:pPr>
            <w:r w:rsidRPr="00E90333">
              <w:rPr>
                <w:sz w:val="18"/>
                <w:szCs w:val="20"/>
              </w:rPr>
              <w:t>8</w:t>
            </w:r>
            <w:r>
              <w:rPr>
                <w:sz w:val="18"/>
                <w:szCs w:val="20"/>
              </w:rPr>
              <w:t>4,7</w:t>
            </w:r>
          </w:p>
        </w:tc>
        <w:tc>
          <w:tcPr>
            <w:tcW w:w="931" w:type="dxa"/>
            <w:tcBorders>
              <w:top w:val="nil"/>
              <w:left w:val="single" w:sz="8" w:space="0" w:color="auto"/>
              <w:bottom w:val="nil"/>
              <w:right w:val="single" w:sz="8" w:space="0" w:color="auto"/>
            </w:tcBorders>
            <w:shd w:val="clear" w:color="auto" w:fill="auto"/>
            <w:noWrap/>
            <w:vAlign w:val="center"/>
          </w:tcPr>
          <w:p w14:paraId="4A08EA44" w14:textId="77777777" w:rsidR="00810F97" w:rsidRPr="00E90333" w:rsidRDefault="00810F97" w:rsidP="00917551">
            <w:pPr>
              <w:spacing w:line="240" w:lineRule="auto"/>
              <w:jc w:val="center"/>
              <w:rPr>
                <w:sz w:val="18"/>
                <w:szCs w:val="20"/>
              </w:rPr>
            </w:pPr>
            <w:r w:rsidRPr="00E90333">
              <w:rPr>
                <w:sz w:val="18"/>
                <w:szCs w:val="20"/>
              </w:rPr>
              <w:t>3,9</w:t>
            </w:r>
          </w:p>
        </w:tc>
        <w:tc>
          <w:tcPr>
            <w:tcW w:w="926" w:type="dxa"/>
            <w:tcBorders>
              <w:top w:val="nil"/>
              <w:left w:val="single" w:sz="8" w:space="0" w:color="auto"/>
              <w:bottom w:val="nil"/>
              <w:right w:val="single" w:sz="8" w:space="0" w:color="auto"/>
            </w:tcBorders>
            <w:shd w:val="clear" w:color="auto" w:fill="auto"/>
            <w:noWrap/>
            <w:vAlign w:val="center"/>
          </w:tcPr>
          <w:p w14:paraId="531009B2" w14:textId="77777777" w:rsidR="00810F97" w:rsidRPr="00E90333" w:rsidRDefault="00810F97" w:rsidP="00917551">
            <w:pPr>
              <w:spacing w:line="240" w:lineRule="auto"/>
              <w:jc w:val="center"/>
              <w:rPr>
                <w:sz w:val="18"/>
                <w:szCs w:val="20"/>
              </w:rPr>
            </w:pPr>
            <w:r w:rsidRPr="00E90333">
              <w:rPr>
                <w:sz w:val="18"/>
                <w:szCs w:val="20"/>
              </w:rPr>
              <w:t>27,0</w:t>
            </w:r>
          </w:p>
        </w:tc>
        <w:tc>
          <w:tcPr>
            <w:tcW w:w="926" w:type="dxa"/>
            <w:tcBorders>
              <w:top w:val="nil"/>
              <w:left w:val="single" w:sz="8" w:space="0" w:color="auto"/>
              <w:bottom w:val="nil"/>
              <w:right w:val="nil"/>
            </w:tcBorders>
            <w:shd w:val="clear" w:color="auto" w:fill="auto"/>
            <w:noWrap/>
            <w:vAlign w:val="center"/>
          </w:tcPr>
          <w:p w14:paraId="2950C716" w14:textId="77777777" w:rsidR="00810F97" w:rsidRPr="00E90333" w:rsidRDefault="00810F97" w:rsidP="00917551">
            <w:pPr>
              <w:spacing w:line="240" w:lineRule="auto"/>
              <w:jc w:val="center"/>
              <w:rPr>
                <w:sz w:val="18"/>
                <w:szCs w:val="20"/>
              </w:rPr>
            </w:pPr>
            <w:r w:rsidRPr="00E90333">
              <w:rPr>
                <w:sz w:val="18"/>
                <w:szCs w:val="20"/>
              </w:rPr>
              <w:t>169,8</w:t>
            </w:r>
          </w:p>
        </w:tc>
      </w:tr>
    </w:tbl>
    <w:p w14:paraId="5C872A9C" w14:textId="77777777" w:rsidR="00810F97" w:rsidRDefault="00810F97" w:rsidP="00917551">
      <w:pPr>
        <w:spacing w:after="0" w:line="240" w:lineRule="auto"/>
        <w:rPr>
          <w:sz w:val="18"/>
        </w:rPr>
      </w:pPr>
    </w:p>
    <w:p w14:paraId="487A8128" w14:textId="77777777" w:rsidR="00810F97" w:rsidRPr="00C05054" w:rsidRDefault="00810F97" w:rsidP="00FC4EB0">
      <w:pPr>
        <w:spacing w:after="60" w:line="240" w:lineRule="auto"/>
        <w:rPr>
          <w:b/>
          <w:sz w:val="16"/>
          <w:szCs w:val="16"/>
        </w:rPr>
      </w:pPr>
      <w:r w:rsidRPr="00C05054">
        <w:rPr>
          <w:sz w:val="16"/>
          <w:szCs w:val="16"/>
        </w:rPr>
        <w:t xml:space="preserve">Pozn.: Průmysl je včetně stavebnictví. </w:t>
      </w:r>
    </w:p>
    <w:p w14:paraId="1EB9B73F" w14:textId="77777777" w:rsidR="00810F97" w:rsidRDefault="00810F97" w:rsidP="00917551">
      <w:pPr>
        <w:spacing w:line="240" w:lineRule="auto"/>
        <w:jc w:val="both"/>
        <w:rPr>
          <w:i/>
          <w:sz w:val="18"/>
          <w:szCs w:val="18"/>
        </w:rPr>
      </w:pPr>
      <w:r w:rsidRPr="00A34DAE">
        <w:rPr>
          <w:i/>
          <w:sz w:val="18"/>
          <w:szCs w:val="18"/>
        </w:rPr>
        <w:t>Zdroj: Výběrové šetření pracovních sil ČSÚ</w:t>
      </w:r>
    </w:p>
    <w:bookmarkEnd w:id="32"/>
    <w:p w14:paraId="55B7ABF3" w14:textId="77777777" w:rsidR="00810F97" w:rsidRDefault="00810F97" w:rsidP="00917551">
      <w:pPr>
        <w:spacing w:line="240" w:lineRule="auto"/>
        <w:jc w:val="both"/>
      </w:pPr>
      <w:r>
        <w:t>K počtům zaměstnaných je možné doplnit ještě pohled na počty skutečně odpracovaných hodin za referenční týden. Seniorská populace ve věku 60 let a více se v tomto odlišuje nižšími počty, přesto však těsná nadpoloviční většina dotazovaných (51,2 %) ve 2. čtvrtletí 2022 uvedla, že pracovala nejméně 40 hodin za týden. To bývá obecně považováno za plnou pracovní dobu. Pro mladší věkové skupiny byl tento podíl vyšší. Plnou dobu odpracovalo 60,7 % pracujících ve věku 25–29 let, 62,4 % ve věku 30–44 let a dokonce 64,0 % ve věku 45–59 let.</w:t>
      </w:r>
    </w:p>
    <w:p w14:paraId="024C6EBC" w14:textId="77777777" w:rsidR="00810F97" w:rsidRDefault="00810F97" w:rsidP="00917551">
      <w:pPr>
        <w:spacing w:line="240" w:lineRule="auto"/>
        <w:jc w:val="both"/>
      </w:pPr>
      <w:r>
        <w:t>Naopak, méně než 30 hodin za týden odpracovalo 28,0 % seniorů, zatímco pro uvedené mladší skupiny dosahují podíly osob v daných věkových kategoriích následující hodnoty: 16,0 %; 14,6 % a 12,8 %.</w:t>
      </w:r>
    </w:p>
    <w:p w14:paraId="4940D386" w14:textId="77777777" w:rsidR="00810F97" w:rsidRDefault="00810F97" w:rsidP="00917551">
      <w:pPr>
        <w:spacing w:line="240" w:lineRule="auto"/>
        <w:jc w:val="both"/>
      </w:pPr>
      <w:r>
        <w:t>Vyšší podíly kratších pracovních dob najdeme u žen-seniorek. Méně než 30 hodin za týden jich odpracovalo 35,6 %, zatímco u mužů to bylo jen 22,5 %. V kontrastu k tomu 56,4 % mužů odpracovalo plnou dobu 40 hodin a více za týden, zatímco takových žen bylo jen 44,0 %.</w:t>
      </w:r>
    </w:p>
    <w:p w14:paraId="56FFA27C" w14:textId="5616DDFE" w:rsidR="00810F97" w:rsidRPr="0037671B" w:rsidRDefault="00810F97" w:rsidP="007A0ACD">
      <w:pPr>
        <w:pStyle w:val="Nadpis2"/>
        <w:numPr>
          <w:ilvl w:val="1"/>
          <w:numId w:val="15"/>
        </w:numPr>
        <w:spacing w:after="240"/>
        <w:ind w:left="1077"/>
        <w:jc w:val="both"/>
      </w:pPr>
      <w:bookmarkStart w:id="39" w:name="_Toc121211638"/>
      <w:r>
        <w:lastRenderedPageBreak/>
        <w:t>Nezaměstnan</w:t>
      </w:r>
      <w:r w:rsidRPr="0037671B">
        <w:t>í senioři</w:t>
      </w:r>
      <w:bookmarkEnd w:id="39"/>
    </w:p>
    <w:p w14:paraId="2809419F" w14:textId="77777777" w:rsidR="00810F97" w:rsidRDefault="00810F97" w:rsidP="00917551">
      <w:pPr>
        <w:spacing w:line="240" w:lineRule="auto"/>
        <w:jc w:val="both"/>
      </w:pPr>
      <w:r>
        <w:t>Nezaměstnanost v zásadě není fenomén, který by byl statisticky významný pro populaci osob starších 60 let. Příčinou je patrně skutečnost, že na rozdíl od mladších lidí mají možnost zvolit „únikovou strategii“, tedy odchod do (předčasného či řádného starobního) důchodu. Na druhou stranu je známým faktem, že v případě propuštění je možnost nalezení nového kvalitního zaměstnání ve vyšším věku značně horší, a to se týká již osob ve věku 55 let.</w:t>
      </w:r>
    </w:p>
    <w:p w14:paraId="567B9C5D" w14:textId="1E8E721F" w:rsidR="007925FF" w:rsidRDefault="00810F97" w:rsidP="00917551">
      <w:pPr>
        <w:spacing w:line="240" w:lineRule="auto"/>
        <w:jc w:val="both"/>
      </w:pPr>
      <w:r>
        <w:t>Ve 2. čtvrtletí 2022 bylo v Česku 125,7 tis. nezaměstnaných celkem, z čehož osoby 55 let</w:t>
      </w:r>
      <w:r w:rsidRPr="00D42147">
        <w:t xml:space="preserve"> </w:t>
      </w:r>
      <w:r>
        <w:t>a starší tvořily 22,1 tis., tedy 17,6 %. Ve stejném kvartálu před deseti lety byla situace vážnější: Nezaměstnaných bylo celkem 350,9 tis., a ve věku 55</w:t>
      </w:r>
      <w:r w:rsidRPr="00D42147">
        <w:t xml:space="preserve"> </w:t>
      </w:r>
      <w:r>
        <w:t xml:space="preserve">a více let se nacházelo45,8 tis. osob, což však představovalo nižší podíl, a to 13,1%. Starší lidé tedy dnes tvoří v rámci nezaměstnaných vyšší relativní podíl </w:t>
      </w:r>
      <w:r w:rsidR="00CA27F6">
        <w:t xml:space="preserve">než v dobách ekonomické recese. </w:t>
      </w:r>
      <w:r>
        <w:t>Z hlediska míry nezaměstnanosti, která vyjadřuje relativní podíl nevyužité pracovní síly, je současná situace odlišná od té před 10 lety. Pokles proti 2. čtvrtletí 2012 nastal ve všech věkových kategoriích. Nejnižší míra nezaměstnanosti zůstává v nejvyšším věku 65 let a více (klesla z 2,7 % na 1,1 %); pro věk 60</w:t>
      </w:r>
      <w:r w:rsidR="005526FC">
        <w:t>–</w:t>
      </w:r>
      <w:r>
        <w:t>64 let se snížila z 3,5 % na 1,9 % a pro věk 55–59 let z 6,4 % na 2,3 %. Takové míry jsou velmi nízké ve srovnání s nejmladšími věkovými skupinami, kde pro věk 15–19 let činila ve 2. čtvrtletí 2012 míra nezaměstnanosti 45,3 %, a dnes je 22,5 %, popř. pro věk 20–24 let, kde klesl</w:t>
      </w:r>
      <w:r w:rsidR="00CA27F6">
        <w:t xml:space="preserve">a z 16,7 % na současných 5,2 %. </w:t>
      </w:r>
      <w:r>
        <w:t xml:space="preserve">Nejvíce nepříznivým sociálním fenoménem je dlouhodobá nezaměstnanost, kdy osoba hledá zaměstnání déle než 1 rok. Taková situace má dopad nejen na sebeúctu člověka, jeho psychický stav, životní úroveň, ale rovněž na jeho pracovní návyky. </w:t>
      </w:r>
      <w:r w:rsidRPr="00C11B3A">
        <w:t>Míra dlouhodobé nezaměstnanosti</w:t>
      </w:r>
      <w:r>
        <w:t xml:space="preserve"> byla aktuálně 0,9 %, zatímco ve 2. čtvrtletí 2012 činila 3,0 %. V seniorské populaci (60 let a více) se snížila méně: Z 1,3 % na 0,8 %, což je možné přičítat právě výše popsanému zvyšování ekonomické aktivity seniorů.</w:t>
      </w:r>
    </w:p>
    <w:p w14:paraId="5D0E2726" w14:textId="77777777" w:rsidR="007925FF" w:rsidRDefault="007925FF">
      <w:pPr>
        <w:spacing w:after="0" w:line="240" w:lineRule="auto"/>
      </w:pPr>
      <w:r>
        <w:br w:type="page"/>
      </w:r>
    </w:p>
    <w:p w14:paraId="29AFB710" w14:textId="0AD4697B" w:rsidR="008B737D" w:rsidRPr="00A90CB6" w:rsidRDefault="008B737D" w:rsidP="007A0ACD">
      <w:pPr>
        <w:pStyle w:val="Nadpis1"/>
        <w:numPr>
          <w:ilvl w:val="0"/>
          <w:numId w:val="15"/>
        </w:numPr>
        <w:spacing w:after="240"/>
        <w:ind w:left="714" w:hanging="357"/>
        <w:rPr>
          <w:iCs/>
        </w:rPr>
      </w:pPr>
      <w:bookmarkStart w:id="40" w:name="_Toc121211639"/>
      <w:r>
        <w:rPr>
          <w:iCs/>
        </w:rPr>
        <w:lastRenderedPageBreak/>
        <w:t>Sociální zabezpečení</w:t>
      </w:r>
      <w:bookmarkEnd w:id="40"/>
    </w:p>
    <w:p w14:paraId="550EA4B2" w14:textId="77777777" w:rsidR="008B737D" w:rsidRPr="007C28A1" w:rsidRDefault="008B737D" w:rsidP="00917551">
      <w:pPr>
        <w:pStyle w:val="Box1"/>
        <w:spacing w:line="240" w:lineRule="auto"/>
        <w:jc w:val="both"/>
      </w:pPr>
      <w:r>
        <w:rPr>
          <w:b/>
        </w:rPr>
        <w:t xml:space="preserve">Metodika: </w:t>
      </w:r>
      <w:r>
        <w:t xml:space="preserve">Údaje v této kapitole pochází z administrativních zdrojů dat a jsou přebírány od Ministerstva práce a sociálních věcí (MPSV). Více informací naleznete v publikaci </w:t>
      </w:r>
      <w:hyperlink r:id="rId31" w:history="1">
        <w:r w:rsidRPr="008B4C6F">
          <w:rPr>
            <w:rStyle w:val="Hypertextovodkaz"/>
          </w:rPr>
          <w:t>Vybrané údaje o sociálním zabezpečení</w:t>
        </w:r>
      </w:hyperlink>
      <w:r>
        <w:t>.</w:t>
      </w:r>
    </w:p>
    <w:p w14:paraId="2DD1303C" w14:textId="429B6A17" w:rsidR="008B737D" w:rsidRDefault="008B737D" w:rsidP="007A0ACD">
      <w:pPr>
        <w:pStyle w:val="Nadpis3"/>
        <w:numPr>
          <w:ilvl w:val="1"/>
          <w:numId w:val="15"/>
        </w:numPr>
        <w:spacing w:after="240"/>
        <w:ind w:left="1077"/>
        <w:rPr>
          <w:sz w:val="28"/>
          <w:szCs w:val="26"/>
        </w:rPr>
      </w:pPr>
      <w:bookmarkStart w:id="41" w:name="_Toc121211640"/>
      <w:r>
        <w:rPr>
          <w:sz w:val="28"/>
          <w:szCs w:val="26"/>
        </w:rPr>
        <w:t>Důchody</w:t>
      </w:r>
      <w:bookmarkEnd w:id="41"/>
    </w:p>
    <w:p w14:paraId="4D343308" w14:textId="77777777" w:rsidR="008B737D" w:rsidRDefault="008B737D" w:rsidP="00917551">
      <w:pPr>
        <w:pStyle w:val="Box1"/>
        <w:spacing w:line="240" w:lineRule="auto"/>
        <w:jc w:val="both"/>
      </w:pPr>
      <w:r w:rsidRPr="00222419">
        <w:rPr>
          <w:i/>
        </w:rPr>
        <w:t>Důchodové pojištění</w:t>
      </w:r>
      <w:r w:rsidRPr="00A61475">
        <w:t xml:space="preserve"> zajišťuje občany pro případ stáří, invalidity nebo při ztrátě živitele. Ze základního důchodového pojištění se poskytují </w:t>
      </w:r>
      <w:r w:rsidRPr="00222419">
        <w:t>důchody</w:t>
      </w:r>
      <w:r w:rsidRPr="00A61475">
        <w:t xml:space="preserve"> </w:t>
      </w:r>
      <w:r w:rsidRPr="00222419">
        <w:t>starobní</w:t>
      </w:r>
      <w:r w:rsidRPr="00A61475">
        <w:t xml:space="preserve">, </w:t>
      </w:r>
      <w:r w:rsidRPr="00222419">
        <w:t>invalidní</w:t>
      </w:r>
      <w:r w:rsidRPr="00A61475">
        <w:t xml:space="preserve"> a </w:t>
      </w:r>
      <w:r w:rsidRPr="00222419">
        <w:t>pozůstalostní</w:t>
      </w:r>
      <w:r w:rsidRPr="00A61475">
        <w:t xml:space="preserve">. </w:t>
      </w:r>
    </w:p>
    <w:p w14:paraId="66968D73" w14:textId="77777777" w:rsidR="008B737D" w:rsidRDefault="008B737D" w:rsidP="00917551">
      <w:pPr>
        <w:pStyle w:val="Box1"/>
        <w:spacing w:line="240" w:lineRule="auto"/>
        <w:jc w:val="both"/>
      </w:pPr>
      <w:r w:rsidRPr="002D27BC">
        <w:rPr>
          <w:i/>
        </w:rPr>
        <w:t>Plný starobní důchod</w:t>
      </w:r>
      <w:r w:rsidRPr="002D27BC">
        <w:t xml:space="preserve"> může být pobírán </w:t>
      </w:r>
      <w:r>
        <w:t xml:space="preserve">buď po dosažení </w:t>
      </w:r>
      <w:r w:rsidRPr="002D27BC">
        <w:t>důchodového věku, a pak se jedná o řádný starobní důchod, nebo v</w:t>
      </w:r>
      <w:r>
        <w:t> </w:t>
      </w:r>
      <w:r w:rsidRPr="002D27BC">
        <w:t>zákonem stanovené době před dosažením důchodového věku, a</w:t>
      </w:r>
      <w:r>
        <w:t> </w:t>
      </w:r>
      <w:r w:rsidRPr="002D27BC">
        <w:t xml:space="preserve">pak se jedná o </w:t>
      </w:r>
      <w:r w:rsidRPr="002D27BC">
        <w:rPr>
          <w:i/>
        </w:rPr>
        <w:t>předčasný starobní důchod</w:t>
      </w:r>
      <w:r w:rsidRPr="002D27BC">
        <w:t>.</w:t>
      </w:r>
    </w:p>
    <w:p w14:paraId="38BD62EC" w14:textId="77777777" w:rsidR="008B737D" w:rsidRDefault="008B737D" w:rsidP="00917551">
      <w:pPr>
        <w:pStyle w:val="Box1"/>
        <w:spacing w:line="240" w:lineRule="auto"/>
        <w:jc w:val="both"/>
      </w:pPr>
      <w:r w:rsidRPr="002D27BC">
        <w:t>Nárok na řádný i</w:t>
      </w:r>
      <w:r>
        <w:t> </w:t>
      </w:r>
      <w:r w:rsidRPr="002D27BC">
        <w:t xml:space="preserve">předčasný starobní důchod je zároveň podmíněn získáním </w:t>
      </w:r>
      <w:r w:rsidRPr="00A63D3D">
        <w:t>potřebné doby pojištění</w:t>
      </w:r>
      <w:r w:rsidRPr="002D27BC">
        <w:t xml:space="preserve">. </w:t>
      </w:r>
    </w:p>
    <w:p w14:paraId="5488D206" w14:textId="77777777" w:rsidR="008B737D" w:rsidRPr="007B1821" w:rsidRDefault="008B737D" w:rsidP="00917551">
      <w:pPr>
        <w:pStyle w:val="Box1"/>
        <w:spacing w:line="240" w:lineRule="auto"/>
        <w:jc w:val="both"/>
      </w:pPr>
      <w:r>
        <w:t xml:space="preserve">Vdova/vdovec má nárok na </w:t>
      </w:r>
      <w:r w:rsidRPr="004D2A67">
        <w:rPr>
          <w:i/>
        </w:rPr>
        <w:t>vdovský/vdovecký důchod</w:t>
      </w:r>
      <w:r w:rsidRPr="007B1821">
        <w:t xml:space="preserve"> pod podmínkou, že zesnulý byl poživatelem starobního nebo invalidního důchodu anebo ke dni smrti splnil podmínky potřebné k nároku na invalidní nebo starobní důchod, anebo zemřel následkem pracov</w:t>
      </w:r>
      <w:r>
        <w:t>ního úrazu (nemoci z povolání).</w:t>
      </w:r>
    </w:p>
    <w:p w14:paraId="1FEE054D" w14:textId="77777777" w:rsidR="008B737D" w:rsidRPr="00496693" w:rsidRDefault="008B737D" w:rsidP="00917551">
      <w:pPr>
        <w:pStyle w:val="Box1"/>
        <w:spacing w:line="240" w:lineRule="auto"/>
        <w:jc w:val="both"/>
      </w:pPr>
      <w:r>
        <w:t>Důchody</w:t>
      </w:r>
      <w:r w:rsidRPr="00B603D8">
        <w:t xml:space="preserve"> mohou být vypláceny samostatně, a pak se jedná o tzv. </w:t>
      </w:r>
      <w:r w:rsidRPr="00B603D8">
        <w:rPr>
          <w:i/>
        </w:rPr>
        <w:t>sólo důchody</w:t>
      </w:r>
      <w:r w:rsidRPr="00B603D8">
        <w:t xml:space="preserve">. Vdovské a vdovecké důchody mohou být vypláceny </w:t>
      </w:r>
      <w:r w:rsidRPr="00B603D8">
        <w:rPr>
          <w:i/>
        </w:rPr>
        <w:t>v souběhu</w:t>
      </w:r>
      <w:r w:rsidRPr="00B603D8">
        <w:t xml:space="preserve"> se starobním nebo invalidním důchodem</w:t>
      </w:r>
      <w:r>
        <w:t>.</w:t>
      </w:r>
    </w:p>
    <w:p w14:paraId="094E1BA4" w14:textId="77777777" w:rsidR="008B737D" w:rsidRDefault="008B737D" w:rsidP="00917551">
      <w:pPr>
        <w:pStyle w:val="Box1"/>
        <w:spacing w:line="240" w:lineRule="auto"/>
        <w:jc w:val="both"/>
      </w:pPr>
      <w:r>
        <w:t>Více viz zákon</w:t>
      </w:r>
      <w:r w:rsidRPr="00840A74">
        <w:t xml:space="preserve"> č. 155/1995 Sb., o důchodovém pojištění</w:t>
      </w:r>
      <w:r>
        <w:t>.</w:t>
      </w:r>
    </w:p>
    <w:p w14:paraId="14870CB1" w14:textId="77777777" w:rsidR="008B737D" w:rsidRDefault="008B737D" w:rsidP="00917551">
      <w:pPr>
        <w:spacing w:line="240" w:lineRule="auto"/>
        <w:jc w:val="both"/>
      </w:pPr>
      <w:r>
        <w:t>Podle údajů České správy sociálního zabezpečení (ČSSZ) pobíralo v Česku ke konci roku 2021 některý z důchodů</w:t>
      </w:r>
      <w:r>
        <w:rPr>
          <w:rStyle w:val="Znakapoznpodarou"/>
          <w:rFonts w:eastAsiaTheme="minorHAnsi"/>
        </w:rPr>
        <w:footnoteReference w:id="1"/>
      </w:r>
      <w:r>
        <w:t xml:space="preserve"> 2 857,6 tisíce osob, což odpovídá 27 </w:t>
      </w:r>
      <w:r w:rsidRPr="00E77974">
        <w:t xml:space="preserve">% </w:t>
      </w:r>
      <w:r>
        <w:t>populace. Nějaký důchod pobíralo 23 % (1 178,9 tis.) mužů a 31 % (1 678,8 tis) žen.</w:t>
      </w:r>
    </w:p>
    <w:p w14:paraId="1BFE98ED" w14:textId="77777777" w:rsidR="008B737D" w:rsidRDefault="008B737D" w:rsidP="00917551">
      <w:pPr>
        <w:spacing w:line="240" w:lineRule="auto"/>
        <w:jc w:val="both"/>
      </w:pPr>
      <w:r>
        <w:lastRenderedPageBreak/>
        <w:t>Naprostá většina příjemců důchodu, téměř 2 378 tisíc osob, pobírala důchod starobní. Počet starobních důchodců meziročně klesl o 22,7 tisíce, v roce 2021 tak pobíralo starobní důchod (včetně souběhu s vdovským nebo vdoveckým) 1 426 tisíc žen a 952 tisíc mužů. U mužů došlo k poklesu počtu starobních důchodců o 6,8 tisíce osob, u žen byl zaznamenán pokles počtu příjemkyň o téměř 16 </w:t>
      </w:r>
      <w:r w:rsidRPr="00E404F6">
        <w:t>tisíc.</w:t>
      </w:r>
    </w:p>
    <w:p w14:paraId="113D7F89" w14:textId="4179A8EB" w:rsidR="008B737D" w:rsidRPr="00FE6557" w:rsidRDefault="008B737D" w:rsidP="00987765">
      <w:pPr>
        <w:spacing w:after="0" w:line="240" w:lineRule="auto"/>
        <w:ind w:left="851" w:hanging="851"/>
        <w:rPr>
          <w:b/>
        </w:rPr>
      </w:pPr>
      <w:r w:rsidRPr="008B737D">
        <w:rPr>
          <w:b/>
        </w:rPr>
        <w:t>Graf 6.1</w:t>
      </w:r>
      <w:r w:rsidRPr="00FE6557">
        <w:rPr>
          <w:b/>
        </w:rPr>
        <w:t xml:space="preserve"> Příjemci důchodů pod</w:t>
      </w:r>
      <w:r w:rsidR="00987765">
        <w:rPr>
          <w:b/>
        </w:rPr>
        <w:t>le druhu důchodu k 31. 12. 2021</w:t>
      </w:r>
      <w:r w:rsidR="00987765">
        <w:rPr>
          <w:b/>
        </w:rPr>
        <w:br/>
      </w:r>
      <w:r w:rsidRPr="00FE6557">
        <w:rPr>
          <w:b/>
        </w:rPr>
        <w:t>(v tis. osob)</w:t>
      </w:r>
    </w:p>
    <w:p w14:paraId="7F527086" w14:textId="77777777" w:rsidR="008B737D" w:rsidRDefault="008B737D" w:rsidP="00917551">
      <w:pPr>
        <w:spacing w:line="240" w:lineRule="auto"/>
        <w:jc w:val="both"/>
      </w:pPr>
      <w:r>
        <w:rPr>
          <w:noProof/>
        </w:rPr>
        <w:drawing>
          <wp:inline distT="0" distB="0" distL="0" distR="0" wp14:anchorId="66D2F182" wp14:editId="5907DE69">
            <wp:extent cx="4247515" cy="2493010"/>
            <wp:effectExtent l="0" t="0" r="635" b="254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8B3C901" w14:textId="50560FD2" w:rsidR="008B737D" w:rsidRPr="00FC4EB0" w:rsidRDefault="008B737D" w:rsidP="00917551">
      <w:pPr>
        <w:spacing w:after="120" w:line="240" w:lineRule="auto"/>
        <w:jc w:val="both"/>
        <w:rPr>
          <w:i/>
          <w:sz w:val="18"/>
        </w:rPr>
      </w:pPr>
      <w:r w:rsidRPr="00FC4EB0">
        <w:rPr>
          <w:i/>
          <w:sz w:val="18"/>
        </w:rPr>
        <w:t>Zdroj: ČSSZ</w:t>
      </w:r>
    </w:p>
    <w:p w14:paraId="4432FCCF" w14:textId="77777777" w:rsidR="008B737D" w:rsidRPr="00CB60F7" w:rsidRDefault="008B737D" w:rsidP="00917551">
      <w:pPr>
        <w:spacing w:line="240" w:lineRule="auto"/>
        <w:jc w:val="both"/>
      </w:pPr>
      <w:r w:rsidRPr="00E404F6">
        <w:t>Mezi starobními důchodci převažují ženy, z deseti osob pobírajících v roce 2021 starobní důchod bylo šest žen. Toto vyšší zastoupení žen mezi důchodci souvisí jednak s tím, že se v průměru dožívají vyššího věku a také s tím</w:t>
      </w:r>
      <w:r w:rsidRPr="00CB60F7">
        <w:t>, že především v minulosti odcházely do důchodu dříve než muži.</w:t>
      </w:r>
    </w:p>
    <w:p w14:paraId="73197C0B" w14:textId="101B227A" w:rsidR="00B8009D" w:rsidRDefault="008B737D" w:rsidP="00917551">
      <w:pPr>
        <w:spacing w:line="240" w:lineRule="auto"/>
        <w:jc w:val="both"/>
      </w:pPr>
      <w:r w:rsidRPr="00CB60F7">
        <w:t xml:space="preserve">Průměrný věk starobních důchodců (za obě pohlaví dohromady) činil 71 let. </w:t>
      </w:r>
      <w:r>
        <w:t>Ženy pobíraly řádný</w:t>
      </w:r>
      <w:r w:rsidRPr="00CB60F7">
        <w:t xml:space="preserve"> starobní</w:t>
      </w:r>
      <w:r>
        <w:t xml:space="preserve"> důchod v průměru </w:t>
      </w:r>
      <w:r w:rsidRPr="00CB60F7">
        <w:t>28 let, u</w:t>
      </w:r>
      <w:r>
        <w:t> </w:t>
      </w:r>
      <w:r w:rsidRPr="00CB60F7">
        <w:t xml:space="preserve">mužů </w:t>
      </w:r>
      <w:r>
        <w:t xml:space="preserve">to bylo </w:t>
      </w:r>
      <w:r w:rsidRPr="00CB60F7">
        <w:t>o</w:t>
      </w:r>
      <w:r>
        <w:t> </w:t>
      </w:r>
      <w:r w:rsidRPr="00CB60F7">
        <w:t>devět let</w:t>
      </w:r>
      <w:r>
        <w:t xml:space="preserve"> méně</w:t>
      </w:r>
      <w:r w:rsidRPr="00CB60F7">
        <w:t>.</w:t>
      </w:r>
    </w:p>
    <w:p w14:paraId="7C065E1C" w14:textId="77777777" w:rsidR="00B8009D" w:rsidRDefault="00B8009D">
      <w:pPr>
        <w:spacing w:after="0" w:line="240" w:lineRule="auto"/>
      </w:pPr>
      <w:r>
        <w:br w:type="page"/>
      </w:r>
    </w:p>
    <w:p w14:paraId="33B8B2F3" w14:textId="6389E844" w:rsidR="008B737D" w:rsidRDefault="008B737D" w:rsidP="00B8009D">
      <w:pPr>
        <w:spacing w:after="0" w:line="240" w:lineRule="auto"/>
        <w:ind w:left="709" w:hanging="709"/>
        <w:rPr>
          <w:b/>
        </w:rPr>
      </w:pPr>
      <w:r w:rsidRPr="008B737D">
        <w:rPr>
          <w:b/>
        </w:rPr>
        <w:lastRenderedPageBreak/>
        <w:t>Graf 6.2</w:t>
      </w:r>
      <w:r w:rsidRPr="008B737D">
        <w:t xml:space="preserve"> </w:t>
      </w:r>
      <w:r w:rsidRPr="008B737D">
        <w:rPr>
          <w:b/>
        </w:rPr>
        <w:t>Příjemci</w:t>
      </w:r>
      <w:r w:rsidRPr="009A74C8">
        <w:rPr>
          <w:b/>
        </w:rPr>
        <w:t xml:space="preserve"> starobních důchodů podle </w:t>
      </w:r>
      <w:r>
        <w:rPr>
          <w:b/>
        </w:rPr>
        <w:t xml:space="preserve">pohlaví a </w:t>
      </w:r>
      <w:r w:rsidRPr="009A74C8">
        <w:rPr>
          <w:b/>
        </w:rPr>
        <w:t>věku</w:t>
      </w:r>
      <w:r>
        <w:rPr>
          <w:b/>
        </w:rPr>
        <w:t xml:space="preserve"> </w:t>
      </w:r>
      <w:r w:rsidR="00B8009D">
        <w:rPr>
          <w:b/>
        </w:rPr>
        <w:br/>
        <w:t xml:space="preserve">  </w:t>
      </w:r>
      <w:r w:rsidRPr="009A74C8">
        <w:rPr>
          <w:b/>
        </w:rPr>
        <w:t>k 31. 12</w:t>
      </w:r>
      <w:r>
        <w:rPr>
          <w:b/>
        </w:rPr>
        <w:t>. 2021</w:t>
      </w:r>
    </w:p>
    <w:p w14:paraId="4FB5DEFB" w14:textId="77777777" w:rsidR="008B737D" w:rsidRDefault="008B737D" w:rsidP="00917551">
      <w:pPr>
        <w:spacing w:after="0" w:line="240" w:lineRule="auto"/>
        <w:jc w:val="both"/>
        <w:rPr>
          <w:b/>
        </w:rPr>
      </w:pPr>
      <w:r>
        <w:rPr>
          <w:noProof/>
        </w:rPr>
        <w:drawing>
          <wp:inline distT="0" distB="0" distL="0" distR="0" wp14:anchorId="0B9BF976" wp14:editId="528A577D">
            <wp:extent cx="4191000" cy="2640965"/>
            <wp:effectExtent l="0" t="0" r="0" b="6985"/>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F3820B3" w14:textId="7488C0F3" w:rsidR="008B737D" w:rsidRPr="00FC4EB0" w:rsidRDefault="008B737D" w:rsidP="00917551">
      <w:pPr>
        <w:spacing w:after="120" w:line="240" w:lineRule="auto"/>
        <w:jc w:val="both"/>
        <w:rPr>
          <w:i/>
          <w:sz w:val="18"/>
        </w:rPr>
      </w:pPr>
      <w:r w:rsidRPr="00FC4EB0">
        <w:rPr>
          <w:i/>
          <w:sz w:val="18"/>
        </w:rPr>
        <w:t>Zdro</w:t>
      </w:r>
      <w:r w:rsidR="00FC4EB0">
        <w:rPr>
          <w:i/>
          <w:sz w:val="18"/>
        </w:rPr>
        <w:t>j</w:t>
      </w:r>
      <w:r w:rsidRPr="00FC4EB0">
        <w:rPr>
          <w:i/>
          <w:sz w:val="18"/>
        </w:rPr>
        <w:t>: ČSSZ</w:t>
      </w:r>
    </w:p>
    <w:p w14:paraId="774B1A83" w14:textId="7250D506" w:rsidR="00B8009D" w:rsidRDefault="008B737D" w:rsidP="00917551">
      <w:pPr>
        <w:spacing w:after="120" w:line="240" w:lineRule="auto"/>
        <w:jc w:val="both"/>
      </w:pPr>
      <w:r w:rsidRPr="00766A13">
        <w:t>Tři čtvrtiny (1</w:t>
      </w:r>
      <w:r>
        <w:t> </w:t>
      </w:r>
      <w:r w:rsidRPr="00766A13">
        <w:t>789</w:t>
      </w:r>
      <w:r>
        <w:t> </w:t>
      </w:r>
      <w:r w:rsidRPr="00766A13">
        <w:t>tis.) starobních důchodců pobíraly starobní důchod samostatně a zbylá jedna čtvrtina pobírala starobní důchod zároveň s pozůstalostním důchodem. Mezi muži a ženami se tento podíl ale výrazně liší. Zatímco ženy pobíraly starobní důchod v souběhu s vdovským důchodem v</w:t>
      </w:r>
      <w:r>
        <w:t> </w:t>
      </w:r>
      <w:r w:rsidRPr="00766A13">
        <w:t>35</w:t>
      </w:r>
      <w:r>
        <w:t> </w:t>
      </w:r>
      <w:r w:rsidRPr="00766A13">
        <w:t>% případů, mezi muži pobíraj</w:t>
      </w:r>
      <w:r>
        <w:t xml:space="preserve">ícími starobní důchod dostávala </w:t>
      </w:r>
      <w:r w:rsidRPr="00766A13">
        <w:t>zároveň vdovecký pouze desetina.</w:t>
      </w:r>
    </w:p>
    <w:p w14:paraId="22092DD5" w14:textId="77777777" w:rsidR="00B8009D" w:rsidRDefault="00B8009D">
      <w:pPr>
        <w:spacing w:after="0" w:line="240" w:lineRule="auto"/>
      </w:pPr>
      <w:r>
        <w:br w:type="page"/>
      </w:r>
    </w:p>
    <w:p w14:paraId="4E7FD6CD" w14:textId="1EA7F794" w:rsidR="008B737D" w:rsidRDefault="008B737D" w:rsidP="00917551">
      <w:pPr>
        <w:spacing w:after="0" w:line="240" w:lineRule="auto"/>
        <w:jc w:val="both"/>
      </w:pPr>
      <w:r w:rsidRPr="008B737D">
        <w:rPr>
          <w:b/>
        </w:rPr>
        <w:lastRenderedPageBreak/>
        <w:t>Graf 6.3</w:t>
      </w:r>
      <w:r w:rsidRPr="008B737D">
        <w:t xml:space="preserve"> </w:t>
      </w:r>
      <w:r w:rsidRPr="008B737D">
        <w:rPr>
          <w:b/>
        </w:rPr>
        <w:t>Příjemci</w:t>
      </w:r>
      <w:r w:rsidRPr="009A74C8">
        <w:rPr>
          <w:b/>
        </w:rPr>
        <w:t xml:space="preserve"> </w:t>
      </w:r>
      <w:r w:rsidRPr="001D6C44">
        <w:rPr>
          <w:b/>
        </w:rPr>
        <w:t>starobních důchodů p</w:t>
      </w:r>
      <w:r>
        <w:rPr>
          <w:b/>
        </w:rPr>
        <w:t>odle měsíční výše k 31. 12. 2021</w:t>
      </w:r>
    </w:p>
    <w:p w14:paraId="1960636C" w14:textId="77777777" w:rsidR="008B737D" w:rsidRDefault="008B737D" w:rsidP="00917551">
      <w:pPr>
        <w:spacing w:line="240" w:lineRule="auto"/>
        <w:jc w:val="both"/>
        <w:rPr>
          <w:b/>
        </w:rPr>
      </w:pPr>
      <w:r>
        <w:rPr>
          <w:noProof/>
        </w:rPr>
        <w:drawing>
          <wp:inline distT="0" distB="0" distL="0" distR="0" wp14:anchorId="01828D96" wp14:editId="204B2503">
            <wp:extent cx="4297151" cy="3228975"/>
            <wp:effectExtent l="0" t="0" r="8255" b="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1D2DDC2" w14:textId="11BAF816" w:rsidR="008B737D" w:rsidRPr="00FC4EB0" w:rsidRDefault="008B737D" w:rsidP="00FC4EB0">
      <w:pPr>
        <w:spacing w:after="60" w:line="240" w:lineRule="auto"/>
        <w:jc w:val="both"/>
        <w:rPr>
          <w:sz w:val="16"/>
          <w:szCs w:val="16"/>
        </w:rPr>
      </w:pPr>
      <w:r w:rsidRPr="00FC4EB0">
        <w:rPr>
          <w:sz w:val="16"/>
          <w:szCs w:val="16"/>
        </w:rPr>
        <w:t>Pozn.: pouze plné starobní důchody vyplácené sólo (bez souběhu s vdovským nebo</w:t>
      </w:r>
      <w:r w:rsidR="00745045" w:rsidRPr="00FC4EB0">
        <w:rPr>
          <w:sz w:val="16"/>
          <w:szCs w:val="16"/>
        </w:rPr>
        <w:t> </w:t>
      </w:r>
      <w:r w:rsidRPr="00FC4EB0">
        <w:rPr>
          <w:sz w:val="16"/>
          <w:szCs w:val="16"/>
        </w:rPr>
        <w:t>vdoveckým důchodem)</w:t>
      </w:r>
      <w:r w:rsidR="007848DA">
        <w:rPr>
          <w:sz w:val="16"/>
          <w:szCs w:val="16"/>
        </w:rPr>
        <w:t>.</w:t>
      </w:r>
    </w:p>
    <w:p w14:paraId="319225CE" w14:textId="5D0BFC1B" w:rsidR="008B737D" w:rsidRPr="002874FF" w:rsidRDefault="008B737D" w:rsidP="00917551">
      <w:pPr>
        <w:spacing w:line="240" w:lineRule="auto"/>
        <w:jc w:val="both"/>
        <w:rPr>
          <w:i/>
          <w:sz w:val="18"/>
        </w:rPr>
      </w:pPr>
      <w:r w:rsidRPr="002874FF">
        <w:rPr>
          <w:i/>
          <w:sz w:val="18"/>
        </w:rPr>
        <w:t>Zdroj: ČSSZ</w:t>
      </w:r>
    </w:p>
    <w:p w14:paraId="4EC130DE" w14:textId="2FF76BEF" w:rsidR="008B737D" w:rsidRPr="00352E9E" w:rsidRDefault="008B737D" w:rsidP="00917551">
      <w:pPr>
        <w:spacing w:line="240" w:lineRule="auto"/>
        <w:jc w:val="both"/>
      </w:pPr>
      <w:r w:rsidRPr="00352E9E">
        <w:t>V roce 2021 pobíralo 668 tisíc osob</w:t>
      </w:r>
      <w:r>
        <w:t xml:space="preserve"> (286,5 tis mužů a 381,6 tis žen)</w:t>
      </w:r>
      <w:r w:rsidRPr="00352E9E">
        <w:t xml:space="preserve"> starobní důchod, který byl v minulosti přiz</w:t>
      </w:r>
      <w:r>
        <w:t>nán předčasně. To představovalo více než čtvrtinu (</w:t>
      </w:r>
      <w:r w:rsidRPr="00352E9E">
        <w:t>28</w:t>
      </w:r>
      <w:r>
        <w:t> </w:t>
      </w:r>
      <w:r w:rsidRPr="00352E9E">
        <w:t>%</w:t>
      </w:r>
      <w:r>
        <w:t>)</w:t>
      </w:r>
      <w:r w:rsidRPr="00352E9E">
        <w:t xml:space="preserve"> ze všech pří</w:t>
      </w:r>
      <w:r>
        <w:t>jemců plného starobního důchodu (30 % v případě mužů a 27 % v případě žen), zatímco v</w:t>
      </w:r>
      <w:r w:rsidRPr="00352E9E">
        <w:t xml:space="preserve"> roce 2010 </w:t>
      </w:r>
      <w:r>
        <w:t>to byla necelá pětina (</w:t>
      </w:r>
      <w:r w:rsidRPr="00352E9E">
        <w:t>19</w:t>
      </w:r>
      <w:r>
        <w:t> </w:t>
      </w:r>
      <w:r w:rsidRPr="00352E9E">
        <w:t>%</w:t>
      </w:r>
      <w:r>
        <w:t>)</w:t>
      </w:r>
      <w:r w:rsidRPr="00352E9E">
        <w:t>.</w:t>
      </w:r>
      <w:r w:rsidRPr="00B837DB">
        <w:t xml:space="preserve"> </w:t>
      </w:r>
      <w:r w:rsidRPr="006A69F5">
        <w:t>Ze všech nově přiznaných plných starobních důchodů v roce 2021</w:t>
      </w:r>
      <w:r>
        <w:t xml:space="preserve"> byla</w:t>
      </w:r>
      <w:r w:rsidRPr="006A69F5">
        <w:t xml:space="preserve"> přiznán</w:t>
      </w:r>
      <w:r>
        <w:t>a</w:t>
      </w:r>
      <w:r w:rsidRPr="006A69F5">
        <w:t xml:space="preserve"> předčasně </w:t>
      </w:r>
      <w:r>
        <w:t>více než jedna třetina (</w:t>
      </w:r>
      <w:r w:rsidRPr="006A69F5">
        <w:t>34</w:t>
      </w:r>
      <w:r>
        <w:t> </w:t>
      </w:r>
      <w:r w:rsidRPr="006A69F5">
        <w:t>%</w:t>
      </w:r>
      <w:r>
        <w:t>)</w:t>
      </w:r>
      <w:r w:rsidRPr="006A69F5">
        <w:t>. Odložený odchod do důchodu naopak využilo pouze 0,3 % ze všech nových starobních důchodců.</w:t>
      </w:r>
      <w:r>
        <w:t xml:space="preserve"> Průměrná výše nově přiznaného předčasného starobního důch</w:t>
      </w:r>
      <w:r w:rsidR="002874FF">
        <w:t>odu v roce 2021 dosáhla 15 tis. Kč, tedy o 1 715 </w:t>
      </w:r>
      <w:r>
        <w:t>Kč méně, než byla průměrná výše starobního důchodu přiznaného po dosažení důchodového věku.</w:t>
      </w:r>
    </w:p>
    <w:p w14:paraId="647C971A" w14:textId="5E8A53E3" w:rsidR="008B737D" w:rsidRPr="009D1A6A" w:rsidRDefault="008B737D" w:rsidP="00917551">
      <w:pPr>
        <w:spacing w:line="240" w:lineRule="auto"/>
        <w:jc w:val="both"/>
      </w:pPr>
      <w:r w:rsidRPr="009D1A6A">
        <w:lastRenderedPageBreak/>
        <w:t>Ke konci roku 2021 pobíralo v Česku celkem 621 tisíc osob vdovský nebo vdovecký důchod. V naprosté většině případů</w:t>
      </w:r>
      <w:r w:rsidR="00D378F2">
        <w:t xml:space="preserve"> (93 </w:t>
      </w:r>
      <w:r w:rsidRPr="009D1A6A">
        <w:t>%) se jednalo o seniory (ve věku 65 a více let). Ze všech vdovských / vdoveckých důchodů bylo pouze 25 tisíc (4,1</w:t>
      </w:r>
      <w:r w:rsidR="00D378F2">
        <w:t> </w:t>
      </w:r>
      <w:r w:rsidRPr="009D1A6A">
        <w:t>%) vypláceno samostatně, dále 589 tis. bylo vypláceno v souběhu se starobním důchodem a 6,4 tisíce v souběhu s invalidním důchodem. Ze všech příjemců vdovských či vdoveckých důchodů tvořily ženy 84</w:t>
      </w:r>
      <w:r w:rsidR="00D378F2">
        <w:t> </w:t>
      </w:r>
      <w:r w:rsidRPr="009D1A6A">
        <w:t>%.</w:t>
      </w:r>
    </w:p>
    <w:p w14:paraId="1ABDB436" w14:textId="5639DC1D" w:rsidR="008B737D" w:rsidRDefault="008B737D" w:rsidP="00917551">
      <w:pPr>
        <w:spacing w:line="240" w:lineRule="auto"/>
        <w:jc w:val="both"/>
      </w:pPr>
      <w:r w:rsidRPr="0019473C">
        <w:t>Průměrná výše plného starobního důchodu (sólo) dosáhl</w:t>
      </w:r>
      <w:r w:rsidR="002874FF">
        <w:t xml:space="preserve">a v prosinci 2021 částky 15 453 Kč, meziročně vzrostla o </w:t>
      </w:r>
      <w:r w:rsidRPr="0019473C">
        <w:t>6,6 % (absolutně o 951 Kč) a představovala tak 40,2</w:t>
      </w:r>
      <w:r w:rsidR="00D378F2">
        <w:t> </w:t>
      </w:r>
      <w:r w:rsidRPr="0019473C">
        <w:t>% průměrné hrubé mzdy. Průměrný důchod je u žen dlouhodobě nižší než v případě mužů. V prosinci 2021 dosahoval průměrný starobní důchod žen (vyplácený sólo) úrovně 83</w:t>
      </w:r>
      <w:r w:rsidR="00D378F2">
        <w:t> </w:t>
      </w:r>
      <w:r w:rsidRPr="0019473C">
        <w:t>% stejného druhu důchodu u mužů, v absolutním vyjádření to bylo o 2 860 Kč méně.</w:t>
      </w:r>
      <w:r>
        <w:t xml:space="preserve"> P</w:t>
      </w:r>
      <w:r w:rsidRPr="00480F89">
        <w:t>olovin</w:t>
      </w:r>
      <w:r>
        <w:t xml:space="preserve">a příjemkyň sólo starobního důchodu </w:t>
      </w:r>
      <w:r w:rsidRPr="00480F89">
        <w:t xml:space="preserve">pobírala méně než 14 </w:t>
      </w:r>
      <w:r>
        <w:t>tis. Kč, zatímco</w:t>
      </w:r>
      <w:r w:rsidRPr="00480F89">
        <w:t xml:space="preserve"> </w:t>
      </w:r>
      <w:r>
        <w:t>z </w:t>
      </w:r>
      <w:r w:rsidRPr="00480F89">
        <w:t xml:space="preserve">mužů </w:t>
      </w:r>
      <w:r>
        <w:t xml:space="preserve">pouze 13 %. </w:t>
      </w:r>
      <w:r w:rsidR="00D378F2">
        <w:t>Naopak více než pětina mužů (23 </w:t>
      </w:r>
      <w:r>
        <w:t xml:space="preserve">%) </w:t>
      </w:r>
      <w:r w:rsidRPr="00480F89">
        <w:t>pobíral</w:t>
      </w:r>
      <w:r>
        <w:t>a</w:t>
      </w:r>
      <w:r w:rsidRPr="00480F89">
        <w:t xml:space="preserve"> </w:t>
      </w:r>
      <w:r>
        <w:t>alespoň 18 tis. Kč, zatímco z žen pouze 8 % (</w:t>
      </w:r>
      <w:r w:rsidRPr="008B737D">
        <w:t>podrobněji viz graf 6.4).</w:t>
      </w:r>
    </w:p>
    <w:p w14:paraId="7AB74771" w14:textId="32078EF3" w:rsidR="008B737D" w:rsidRPr="001D6C44" w:rsidRDefault="008B737D" w:rsidP="002874FF">
      <w:pPr>
        <w:spacing w:after="60" w:line="240" w:lineRule="auto"/>
        <w:rPr>
          <w:sz w:val="18"/>
        </w:rPr>
      </w:pPr>
      <w:r w:rsidRPr="008B737D">
        <w:rPr>
          <w:b/>
        </w:rPr>
        <w:t>Graf 6.4</w:t>
      </w:r>
      <w:r>
        <w:rPr>
          <w:b/>
        </w:rPr>
        <w:t xml:space="preserve"> Struktura p</w:t>
      </w:r>
      <w:r w:rsidRPr="000D135B">
        <w:rPr>
          <w:b/>
        </w:rPr>
        <w:t>říjemc</w:t>
      </w:r>
      <w:r>
        <w:rPr>
          <w:b/>
        </w:rPr>
        <w:t>ů</w:t>
      </w:r>
      <w:r w:rsidRPr="000D135B">
        <w:rPr>
          <w:b/>
        </w:rPr>
        <w:t xml:space="preserve"> starobních důchodů podle </w:t>
      </w:r>
      <w:r>
        <w:rPr>
          <w:b/>
        </w:rPr>
        <w:t xml:space="preserve">měsíční </w:t>
      </w:r>
      <w:r w:rsidR="00FC39EA">
        <w:rPr>
          <w:b/>
        </w:rPr>
        <w:t>výše</w:t>
      </w:r>
      <w:r w:rsidR="00FC39EA">
        <w:rPr>
          <w:b/>
        </w:rPr>
        <w:br/>
        <w:t xml:space="preserve">               </w:t>
      </w:r>
      <w:r w:rsidRPr="000D135B">
        <w:rPr>
          <w:b/>
        </w:rPr>
        <w:t>důchodu</w:t>
      </w:r>
      <w:r>
        <w:rPr>
          <w:b/>
        </w:rPr>
        <w:t xml:space="preserve"> (</w:t>
      </w:r>
      <w:r w:rsidRPr="000D135B">
        <w:rPr>
          <w:b/>
        </w:rPr>
        <w:t>v Kč) k 31. 12. 2021 (</w:t>
      </w:r>
      <w:r w:rsidR="007F4374">
        <w:rPr>
          <w:b/>
        </w:rPr>
        <w:t>v</w:t>
      </w:r>
      <w:r w:rsidR="00D378F2">
        <w:rPr>
          <w:b/>
        </w:rPr>
        <w:t> </w:t>
      </w:r>
      <w:r w:rsidRPr="000D135B">
        <w:rPr>
          <w:b/>
        </w:rPr>
        <w:t>%)</w:t>
      </w:r>
      <w:r>
        <w:rPr>
          <w:noProof/>
        </w:rPr>
        <w:drawing>
          <wp:inline distT="0" distB="0" distL="0" distR="0" wp14:anchorId="749D05A0" wp14:editId="7DD7AC51">
            <wp:extent cx="4247515" cy="2024366"/>
            <wp:effectExtent l="0" t="0" r="635" b="0"/>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FC4EB0">
        <w:rPr>
          <w:sz w:val="16"/>
          <w:szCs w:val="16"/>
        </w:rPr>
        <w:t>Pozn.: pouze plné starobní důchody vyplácené sólo (bez souběhu s vdovským nebo vdoveckým důchodem)</w:t>
      </w:r>
      <w:r w:rsidR="00EE021E">
        <w:rPr>
          <w:sz w:val="16"/>
          <w:szCs w:val="16"/>
        </w:rPr>
        <w:t>.</w:t>
      </w:r>
    </w:p>
    <w:p w14:paraId="643CB35C" w14:textId="25EC878A" w:rsidR="008B737D" w:rsidRPr="002874FF" w:rsidRDefault="008B737D" w:rsidP="00917551">
      <w:pPr>
        <w:spacing w:line="240" w:lineRule="auto"/>
        <w:rPr>
          <w:i/>
          <w:sz w:val="18"/>
        </w:rPr>
      </w:pPr>
      <w:r w:rsidRPr="002874FF">
        <w:rPr>
          <w:i/>
          <w:sz w:val="18"/>
        </w:rPr>
        <w:t>Zdro</w:t>
      </w:r>
      <w:r w:rsidR="00FC4EB0">
        <w:rPr>
          <w:i/>
          <w:sz w:val="18"/>
        </w:rPr>
        <w:t>j</w:t>
      </w:r>
      <w:r w:rsidRPr="002874FF">
        <w:rPr>
          <w:i/>
          <w:sz w:val="18"/>
        </w:rPr>
        <w:t>: ČSSZ</w:t>
      </w:r>
    </w:p>
    <w:p w14:paraId="07B9AD43" w14:textId="7B1C24F6" w:rsidR="008B737D" w:rsidRDefault="008B737D" w:rsidP="007A0ACD">
      <w:pPr>
        <w:pStyle w:val="Nadpis3"/>
        <w:numPr>
          <w:ilvl w:val="1"/>
          <w:numId w:val="15"/>
        </w:numPr>
        <w:spacing w:after="240"/>
        <w:ind w:left="1077"/>
        <w:rPr>
          <w:sz w:val="28"/>
          <w:szCs w:val="26"/>
        </w:rPr>
      </w:pPr>
      <w:bookmarkStart w:id="42" w:name="_Toc121211641"/>
      <w:r>
        <w:rPr>
          <w:sz w:val="28"/>
          <w:szCs w:val="26"/>
        </w:rPr>
        <w:lastRenderedPageBreak/>
        <w:t>Zařízení sociálních služeb</w:t>
      </w:r>
      <w:bookmarkEnd w:id="42"/>
    </w:p>
    <w:p w14:paraId="793898D6" w14:textId="77777777" w:rsidR="008B737D" w:rsidRDefault="008B737D" w:rsidP="00917551">
      <w:pPr>
        <w:pStyle w:val="Box1"/>
        <w:spacing w:line="240" w:lineRule="auto"/>
        <w:jc w:val="both"/>
      </w:pPr>
      <w:r w:rsidRPr="00DF4CF8">
        <w:rPr>
          <w:i/>
        </w:rPr>
        <w:t>Domovy pro seniory</w:t>
      </w:r>
      <w:r w:rsidRPr="00DF4CF8">
        <w:t xml:space="preserve"> poskytují dlouhodobé pobytové služby osobám, které mají sníženou soběstačnost zejména z důvodu věku, jejichž situace vyžaduje pravidelnou pomoc jiné osoby. </w:t>
      </w:r>
    </w:p>
    <w:p w14:paraId="0B4C3E1C" w14:textId="77777777" w:rsidR="008B737D" w:rsidRDefault="008B737D" w:rsidP="00917551">
      <w:pPr>
        <w:pStyle w:val="Box1"/>
        <w:spacing w:line="240" w:lineRule="auto"/>
        <w:jc w:val="both"/>
      </w:pPr>
      <w:r w:rsidRPr="00DF4CF8">
        <w:rPr>
          <w:i/>
        </w:rPr>
        <w:t>Domovy se zvláštním režimem</w:t>
      </w:r>
      <w:r w:rsidRPr="00DF4CF8">
        <w:t xml:space="preserve"> poskytují dlouhodobé pobytové služby osobám, které mají sníženou soběstačnost z důvodu chronického duševního onemocnění, závislosti na návykových látkách, osobám s Alzheimerovou nemocí, stařeckou demencí a</w:t>
      </w:r>
      <w:r>
        <w:t> </w:t>
      </w:r>
      <w:r w:rsidRPr="00DF4CF8">
        <w:t>dalšími typy demencí, jejichž situace vyžaduje pravidelnou pomoc jiné osoby.</w:t>
      </w:r>
    </w:p>
    <w:p w14:paraId="06F76F19" w14:textId="77777777" w:rsidR="008B737D" w:rsidRPr="003A25A7" w:rsidRDefault="008B737D" w:rsidP="00917551">
      <w:pPr>
        <w:pStyle w:val="Box1"/>
        <w:spacing w:line="240" w:lineRule="auto"/>
        <w:jc w:val="both"/>
      </w:pPr>
      <w:r w:rsidRPr="003A25A7">
        <w:t xml:space="preserve">Více viz </w:t>
      </w:r>
      <w:r>
        <w:t>zákon č. 108/2006 Sb., o sociálních službách.</w:t>
      </w:r>
    </w:p>
    <w:p w14:paraId="5D6DCB07" w14:textId="0C269969" w:rsidR="008B737D" w:rsidRDefault="008B737D" w:rsidP="00917551">
      <w:pPr>
        <w:spacing w:after="120" w:line="240" w:lineRule="auto"/>
        <w:jc w:val="both"/>
      </w:pPr>
      <w:r>
        <w:t>Ke konci roku 2021 žilo bezmála 55 tisíc seniorů (2,7</w:t>
      </w:r>
      <w:r w:rsidR="00D378F2">
        <w:t> </w:t>
      </w:r>
      <w:r>
        <w:t>% ze všech osob ve</w:t>
      </w:r>
      <w:r w:rsidR="00745045">
        <w:t> </w:t>
      </w:r>
      <w:r>
        <w:t>věku 66</w:t>
      </w:r>
      <w:r>
        <w:rPr>
          <w:rStyle w:val="Znakapoznpodarou"/>
          <w:rFonts w:eastAsiaTheme="minorHAnsi"/>
        </w:rPr>
        <w:footnoteReference w:id="2"/>
      </w:r>
      <w:r>
        <w:t xml:space="preserve"> a více let) v některém ze zařízení sociálních služeb. Se</w:t>
      </w:r>
      <w:r w:rsidR="00745045">
        <w:t> </w:t>
      </w:r>
      <w:r>
        <w:t>zvyšujícím se věkem se zastoupení osob výrazně zvyšuje. Zatímco ve</w:t>
      </w:r>
      <w:r w:rsidR="00745045">
        <w:t> </w:t>
      </w:r>
      <w:r>
        <w:t>věku 66–75 let žilo v nějakém pobytovém zařízení necelé 1 % osob, ve</w:t>
      </w:r>
      <w:r w:rsidR="00745045">
        <w:t> </w:t>
      </w:r>
      <w:r>
        <w:t>věkové skupině 76–85 let to byla 3 % seniorů, ve věku 86–95 let již 13 % a z nejstarších seniorů ve věku 96 a více let téměř třetina (30</w:t>
      </w:r>
      <w:r w:rsidR="00D378F2">
        <w:t> </w:t>
      </w:r>
      <w:r>
        <w:t>%). Je potřeba mít na paměti, že v této kapitole se jedná pouze o zařízení sociálních služeb a někteří senioři mohou dlouhodobě pobývat např. v nemocnici následné péče či jiném zdravotnickém zařízení, o kterých zde není řeč.</w:t>
      </w:r>
    </w:p>
    <w:p w14:paraId="5812A72E" w14:textId="464AAFB9" w:rsidR="008B737D" w:rsidRDefault="008B737D" w:rsidP="00917551">
      <w:pPr>
        <w:spacing w:after="120" w:line="240" w:lineRule="auto"/>
        <w:jc w:val="both"/>
      </w:pPr>
      <w:r>
        <w:t>Nejčastější pobytovou službou jsou domovy pro seniory, ve kterých žilo ke</w:t>
      </w:r>
      <w:r w:rsidR="00745045">
        <w:t> </w:t>
      </w:r>
      <w:r>
        <w:t>konci roku 2021 celkem 33,8 tisíc osob (z toho 32,7 tis. ve věku 66 a více let), v domovech se zvláštním režimem to bylo téměř 21 tisíc osob (z toho 18,6 tisíce seniorů). Zatímco v domovech pro seniory převládali klienti ve</w:t>
      </w:r>
      <w:r w:rsidR="00745045">
        <w:t> </w:t>
      </w:r>
      <w:r>
        <w:t xml:space="preserve">věku 86–95 let (42 %), v domovech se zvláštním režimem mírně převažovala věková skupina 76–85letých (36 %). Více </w:t>
      </w:r>
      <w:r w:rsidRPr="008B737D">
        <w:t>viz graf 6.6.</w:t>
      </w:r>
      <w:r>
        <w:t xml:space="preserve"> Pro</w:t>
      </w:r>
      <w:r w:rsidR="00745045">
        <w:t> </w:t>
      </w:r>
      <w:r>
        <w:t>seniory méně typickou pobytovou sociální službou jsou domovy pro</w:t>
      </w:r>
      <w:r w:rsidR="00745045">
        <w:t> </w:t>
      </w:r>
      <w:r>
        <w:t xml:space="preserve">osoby se zdravotním postižením, ve kterých ke konci roku 2021 žilo 2,3 tisíce seniorů (z celkového počtu 11 tisíc klientů těchto domovů). V chráněném bydlení </w:t>
      </w:r>
      <w:r w:rsidRPr="008B737D">
        <w:t xml:space="preserve">pobývalo 702 seniorů a 260 jich bydlelo v azylovém domě. </w:t>
      </w:r>
    </w:p>
    <w:p w14:paraId="2A5DDD64" w14:textId="77777777" w:rsidR="00437990" w:rsidRPr="008B737D" w:rsidRDefault="00437990" w:rsidP="00917551">
      <w:pPr>
        <w:spacing w:after="120" w:line="240" w:lineRule="auto"/>
        <w:jc w:val="both"/>
      </w:pPr>
    </w:p>
    <w:p w14:paraId="5EA46F2B" w14:textId="5D0A36A5" w:rsidR="008B737D" w:rsidRDefault="008B737D" w:rsidP="00C438F4">
      <w:pPr>
        <w:spacing w:after="0" w:line="240" w:lineRule="auto"/>
        <w:ind w:left="709" w:hanging="709"/>
        <w:rPr>
          <w:b/>
        </w:rPr>
      </w:pPr>
      <w:r w:rsidRPr="008B737D">
        <w:rPr>
          <w:b/>
        </w:rPr>
        <w:lastRenderedPageBreak/>
        <w:t>Graf 6.5</w:t>
      </w:r>
      <w:r>
        <w:t xml:space="preserve"> </w:t>
      </w:r>
      <w:r w:rsidRPr="008721FE">
        <w:rPr>
          <w:b/>
          <w:noProof/>
        </w:rPr>
        <w:t xml:space="preserve">Klienti </w:t>
      </w:r>
      <w:r>
        <w:rPr>
          <w:b/>
          <w:noProof/>
        </w:rPr>
        <w:t xml:space="preserve">pobytových </w:t>
      </w:r>
      <w:r w:rsidRPr="008721FE">
        <w:rPr>
          <w:b/>
          <w:noProof/>
        </w:rPr>
        <w:t>zařízení sociálních s</w:t>
      </w:r>
      <w:r w:rsidR="00C438F4">
        <w:rPr>
          <w:b/>
          <w:noProof/>
        </w:rPr>
        <w:t>lužeb podle věku</w:t>
      </w:r>
      <w:r w:rsidR="00C438F4">
        <w:rPr>
          <w:b/>
          <w:noProof/>
        </w:rPr>
        <w:br/>
        <w:t xml:space="preserve">  </w:t>
      </w:r>
      <w:r>
        <w:rPr>
          <w:b/>
          <w:noProof/>
        </w:rPr>
        <w:t>k 31. 12. 2021</w:t>
      </w:r>
    </w:p>
    <w:p w14:paraId="6549AE31" w14:textId="77777777" w:rsidR="008B737D" w:rsidRDefault="008B737D" w:rsidP="00917551">
      <w:pPr>
        <w:spacing w:after="120" w:line="240" w:lineRule="auto"/>
        <w:jc w:val="both"/>
      </w:pPr>
      <w:r>
        <w:rPr>
          <w:noProof/>
        </w:rPr>
        <w:drawing>
          <wp:inline distT="0" distB="0" distL="0" distR="0" wp14:anchorId="2AC24132" wp14:editId="55FAA386">
            <wp:extent cx="4247515" cy="2548255"/>
            <wp:effectExtent l="0" t="0" r="635" b="4445"/>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6AC8B61" w14:textId="77777777" w:rsidR="008B737D" w:rsidRPr="00830867" w:rsidRDefault="008B737D" w:rsidP="00C438F4">
      <w:pPr>
        <w:spacing w:after="60" w:line="240" w:lineRule="auto"/>
        <w:rPr>
          <w:sz w:val="16"/>
          <w:szCs w:val="16"/>
        </w:rPr>
      </w:pPr>
      <w:r w:rsidRPr="00830867">
        <w:rPr>
          <w:sz w:val="16"/>
          <w:szCs w:val="16"/>
        </w:rPr>
        <w:t>Pozn.: zahrnuje veškerá pobytová zařízení sociálních služeb podle § 34 zákona č. 108/2006 Sb., o sociálních službách.</w:t>
      </w:r>
    </w:p>
    <w:p w14:paraId="346BF290" w14:textId="78011843" w:rsidR="008B737D" w:rsidRPr="00C438F4" w:rsidRDefault="008B737D" w:rsidP="00917551">
      <w:pPr>
        <w:spacing w:line="240" w:lineRule="auto"/>
        <w:rPr>
          <w:b/>
          <w:i/>
        </w:rPr>
      </w:pPr>
      <w:r w:rsidRPr="00C438F4">
        <w:rPr>
          <w:i/>
          <w:sz w:val="18"/>
        </w:rPr>
        <w:t>Zdroj: MPSV</w:t>
      </w:r>
    </w:p>
    <w:p w14:paraId="2C454E7D" w14:textId="28133077" w:rsidR="008B737D" w:rsidRDefault="008B737D" w:rsidP="00917551">
      <w:pPr>
        <w:spacing w:after="120" w:line="240" w:lineRule="auto"/>
        <w:jc w:val="both"/>
      </w:pPr>
      <w:r>
        <w:t>V roce 2021 bylo v Česku 526 domovů pro seniory s kapacitou 35,8 tis. lůžek. Přestože se počet zařízení meziročně zvýšil o dvě, počet lůžek se</w:t>
      </w:r>
      <w:r w:rsidR="00745045">
        <w:t> </w:t>
      </w:r>
      <w:r>
        <w:t>snížil o 623. V porovnání s rokem 2012 vzrostl počet domovů pro seniory o 46 a počet lůžek v nich poklesl o 1 635.</w:t>
      </w:r>
    </w:p>
    <w:p w14:paraId="79E0D285" w14:textId="31220B31" w:rsidR="00C438F4" w:rsidRDefault="008B737D" w:rsidP="00917551">
      <w:pPr>
        <w:spacing w:after="120" w:line="240" w:lineRule="auto"/>
        <w:jc w:val="both"/>
      </w:pPr>
      <w:r>
        <w:t>Domovů se zvláštním režimem bylo v Česku v roce 2021 celkem 376. Jejich počet meziročně vzrostl o devět, od roku 2012 pak o 166. Celková kapacita těchto domovů se meziročně zvýšila o 870 lůžek, od roku 2012 vzrostla na</w:t>
      </w:r>
      <w:r w:rsidR="00745045">
        <w:t> </w:t>
      </w:r>
      <w:r>
        <w:t>více než dvojnásobek a dosáhla tak na 23 tis. lůžek v roce 2021.</w:t>
      </w:r>
    </w:p>
    <w:p w14:paraId="02141359" w14:textId="77777777" w:rsidR="00C438F4" w:rsidRDefault="00C438F4">
      <w:pPr>
        <w:spacing w:after="0" w:line="240" w:lineRule="auto"/>
      </w:pPr>
      <w:r>
        <w:br w:type="page"/>
      </w:r>
    </w:p>
    <w:p w14:paraId="33170235" w14:textId="6D22CC67" w:rsidR="008B737D" w:rsidRDefault="00414BD7" w:rsidP="00C438F4">
      <w:pPr>
        <w:spacing w:after="120" w:line="240" w:lineRule="auto"/>
        <w:ind w:left="709" w:hanging="709"/>
        <w:rPr>
          <w:b/>
          <w:noProof/>
        </w:rPr>
      </w:pPr>
      <w:r w:rsidRPr="00986D86">
        <w:rPr>
          <w:b/>
          <w:noProof/>
        </w:rPr>
        <w:lastRenderedPageBreak/>
        <mc:AlternateContent>
          <mc:Choice Requires="wps">
            <w:drawing>
              <wp:anchor distT="45720" distB="45720" distL="114300" distR="114300" simplePos="0" relativeHeight="251677184" behindDoc="0" locked="0" layoutInCell="1" allowOverlap="1" wp14:anchorId="6F037B90" wp14:editId="01CF7AED">
                <wp:simplePos x="0" y="0"/>
                <wp:positionH relativeFrom="column">
                  <wp:posOffset>145415</wp:posOffset>
                </wp:positionH>
                <wp:positionV relativeFrom="paragraph">
                  <wp:posOffset>365760</wp:posOffset>
                </wp:positionV>
                <wp:extent cx="4200525" cy="4953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495300"/>
                        </a:xfrm>
                        <a:prstGeom prst="rect">
                          <a:avLst/>
                        </a:prstGeom>
                        <a:noFill/>
                        <a:ln w="9525">
                          <a:noFill/>
                          <a:miter lim="800000"/>
                          <a:headEnd/>
                          <a:tailEnd/>
                        </a:ln>
                      </wps:spPr>
                      <wps:txbx>
                        <w:txbxContent>
                          <w:p w14:paraId="4909573E" w14:textId="42D2ECC5" w:rsidR="001E10D0" w:rsidRPr="00DF4CF8" w:rsidRDefault="001E10D0" w:rsidP="00C438F4">
                            <w:pPr>
                              <w:ind w:left="3119" w:hanging="3119"/>
                              <w:rPr>
                                <w:b/>
                              </w:rPr>
                            </w:pPr>
                            <w:r>
                              <w:rPr>
                                <w:b/>
                              </w:rPr>
                              <w:t>a) d</w:t>
                            </w:r>
                            <w:r w:rsidRPr="00DF4CF8">
                              <w:rPr>
                                <w:b/>
                              </w:rPr>
                              <w:t>omovy pro seniory</w:t>
                            </w:r>
                            <w:r w:rsidRPr="00DF4CF8">
                              <w:rPr>
                                <w:b/>
                              </w:rPr>
                              <w:tab/>
                            </w:r>
                            <w:r>
                              <w:rPr>
                                <w:b/>
                              </w:rPr>
                              <w:t xml:space="preserve">         b) d</w:t>
                            </w:r>
                            <w:r w:rsidRPr="00DF4CF8">
                              <w:rPr>
                                <w:b/>
                              </w:rPr>
                              <w:t>omovy se zvl</w:t>
                            </w:r>
                            <w:r>
                              <w:rPr>
                                <w:b/>
                              </w:rPr>
                              <w:t>áštním</w:t>
                            </w:r>
                            <w:r>
                              <w:rPr>
                                <w:b/>
                              </w:rPr>
                              <w:br/>
                              <w:t xml:space="preserve">                   </w:t>
                            </w:r>
                            <w:r w:rsidRPr="00DF4CF8">
                              <w:rPr>
                                <w:b/>
                              </w:rPr>
                              <w:t>režimem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37B90" id="_x0000_s1033" type="#_x0000_t202" style="position:absolute;left:0;text-align:left;margin-left:11.45pt;margin-top:28.8pt;width:330.75pt;height:39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" filled="f" stroked="f">
                <v:textbox>
                  <w:txbxContent>
                    <w:p w14:paraId="4909573E" w14:textId="42D2ECC5" w:rsidR="001E10D0" w:rsidRPr="00DF4CF8" w:rsidRDefault="001E10D0" w:rsidP="00C438F4">
                      <w:pPr>
                        <w:ind w:left="3119" w:hanging="3119"/>
                        <w:rPr>
                          <w:b/>
                        </w:rPr>
                      </w:pPr>
                      <w:r>
                        <w:rPr>
                          <w:b/>
                        </w:rPr>
                        <w:t>a) d</w:t>
                      </w:r>
                      <w:r w:rsidRPr="00DF4CF8">
                        <w:rPr>
                          <w:b/>
                        </w:rPr>
                        <w:t>omovy pro seniory</w:t>
                      </w:r>
                      <w:r w:rsidRPr="00DF4CF8">
                        <w:rPr>
                          <w:b/>
                        </w:rPr>
                        <w:tab/>
                      </w:r>
                      <w:r>
                        <w:rPr>
                          <w:b/>
                        </w:rPr>
                        <w:t xml:space="preserve">         b) d</w:t>
                      </w:r>
                      <w:r w:rsidRPr="00DF4CF8">
                        <w:rPr>
                          <w:b/>
                        </w:rPr>
                        <w:t>omovy se zvl</w:t>
                      </w:r>
                      <w:r>
                        <w:rPr>
                          <w:b/>
                        </w:rPr>
                        <w:t>áštním</w:t>
                      </w:r>
                      <w:r>
                        <w:rPr>
                          <w:b/>
                        </w:rPr>
                        <w:br/>
                        <w:t xml:space="preserve">                   </w:t>
                      </w:r>
                      <w:r w:rsidRPr="00DF4CF8">
                        <w:rPr>
                          <w:b/>
                        </w:rPr>
                        <w:t>režimem</w:t>
                      </w:r>
                    </w:p>
                  </w:txbxContent>
                </v:textbox>
                <w10:wrap type="square"/>
              </v:shape>
            </w:pict>
          </mc:Fallback>
        </mc:AlternateContent>
      </w:r>
      <w:r w:rsidR="00B10444">
        <w:rPr>
          <w:noProof/>
        </w:rPr>
        <w:drawing>
          <wp:anchor distT="0" distB="0" distL="114300" distR="114300" simplePos="0" relativeHeight="251679232" behindDoc="1" locked="0" layoutInCell="1" allowOverlap="1" wp14:anchorId="273654E0" wp14:editId="0B602E83">
            <wp:simplePos x="0" y="0"/>
            <wp:positionH relativeFrom="column">
              <wp:posOffset>5715</wp:posOffset>
            </wp:positionH>
            <wp:positionV relativeFrom="paragraph">
              <wp:posOffset>811530</wp:posOffset>
            </wp:positionV>
            <wp:extent cx="4240530" cy="2383790"/>
            <wp:effectExtent l="0" t="0" r="0" b="0"/>
            <wp:wrapTopAndBottom/>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B10444">
        <w:rPr>
          <w:noProof/>
        </w:rPr>
        <w:drawing>
          <wp:anchor distT="0" distB="0" distL="114300" distR="114300" simplePos="0" relativeHeight="251678208" behindDoc="1" locked="0" layoutInCell="1" allowOverlap="1" wp14:anchorId="1750066E" wp14:editId="052EE4BB">
            <wp:simplePos x="0" y="0"/>
            <wp:positionH relativeFrom="column">
              <wp:posOffset>2075815</wp:posOffset>
            </wp:positionH>
            <wp:positionV relativeFrom="paragraph">
              <wp:posOffset>907415</wp:posOffset>
            </wp:positionV>
            <wp:extent cx="2129790" cy="2161540"/>
            <wp:effectExtent l="0" t="0" r="0" b="0"/>
            <wp:wrapTight wrapText="bothSides">
              <wp:wrapPolygon edited="0">
                <wp:start x="9853" y="1142"/>
                <wp:lineTo x="4444" y="3998"/>
                <wp:lineTo x="4444" y="4759"/>
                <wp:lineTo x="2898" y="7615"/>
                <wp:lineTo x="2512" y="10660"/>
                <wp:lineTo x="3284" y="13706"/>
                <wp:lineTo x="5410" y="16942"/>
                <wp:lineTo x="9660" y="19227"/>
                <wp:lineTo x="13911" y="19227"/>
                <wp:lineTo x="17968" y="17133"/>
                <wp:lineTo x="20286" y="13706"/>
                <wp:lineTo x="21059" y="10660"/>
                <wp:lineTo x="20673" y="7615"/>
                <wp:lineTo x="19127" y="3998"/>
                <wp:lineTo x="15456" y="1904"/>
                <wp:lineTo x="13717" y="1142"/>
                <wp:lineTo x="9853" y="1142"/>
              </wp:wrapPolygon>
            </wp:wrapTight>
            <wp:docPr id="47" name="Graf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008B737D" w:rsidRPr="008B737D">
        <w:rPr>
          <w:b/>
          <w:noProof/>
        </w:rPr>
        <w:t>Graf 6.6</w:t>
      </w:r>
      <w:r w:rsidR="008B737D" w:rsidRPr="008721FE">
        <w:rPr>
          <w:b/>
          <w:noProof/>
        </w:rPr>
        <w:t xml:space="preserve"> </w:t>
      </w:r>
      <w:r w:rsidR="008B737D">
        <w:rPr>
          <w:b/>
          <w:noProof/>
        </w:rPr>
        <w:t xml:space="preserve">Struktura klientů vybraných pobytových </w:t>
      </w:r>
      <w:r w:rsidR="00C438F4">
        <w:rPr>
          <w:b/>
          <w:noProof/>
        </w:rPr>
        <w:t>zařízení sociálních</w:t>
      </w:r>
      <w:r w:rsidR="00C438F4">
        <w:rPr>
          <w:b/>
          <w:noProof/>
        </w:rPr>
        <w:br/>
        <w:t xml:space="preserve">  </w:t>
      </w:r>
      <w:r w:rsidR="008B737D" w:rsidRPr="008721FE">
        <w:rPr>
          <w:b/>
          <w:noProof/>
        </w:rPr>
        <w:t>s</w:t>
      </w:r>
      <w:r w:rsidR="008B737D">
        <w:rPr>
          <w:b/>
          <w:noProof/>
        </w:rPr>
        <w:t>lužeb podle věku k 31. 12. 2021</w:t>
      </w:r>
    </w:p>
    <w:p w14:paraId="7645C461" w14:textId="77777777" w:rsidR="00B10444" w:rsidRDefault="00B10444" w:rsidP="00B10444">
      <w:pPr>
        <w:spacing w:after="0" w:line="240" w:lineRule="auto"/>
        <w:rPr>
          <w:sz w:val="18"/>
        </w:rPr>
      </w:pPr>
    </w:p>
    <w:p w14:paraId="1C457E2F" w14:textId="034AD2C1" w:rsidR="008B737D" w:rsidRPr="00B10444" w:rsidRDefault="008B737D" w:rsidP="00917551">
      <w:pPr>
        <w:spacing w:line="240" w:lineRule="auto"/>
        <w:rPr>
          <w:b/>
          <w:i/>
        </w:rPr>
      </w:pPr>
      <w:r w:rsidRPr="00B10444">
        <w:rPr>
          <w:i/>
          <w:sz w:val="18"/>
        </w:rPr>
        <w:t>Zdroj: MPSV</w:t>
      </w:r>
    </w:p>
    <w:p w14:paraId="5FC75108" w14:textId="350D3C4A" w:rsidR="008B737D" w:rsidRDefault="008B737D" w:rsidP="00917551">
      <w:pPr>
        <w:spacing w:line="240" w:lineRule="auto"/>
        <w:jc w:val="both"/>
      </w:pPr>
      <w:r>
        <w:t>Každoročně je evidován vysoký počet neuspokojených žádostí o umístění v pobytovém zařízení sociálních služeb. Nejedná se ale o skutečný počet žadatelů, neboť většina si zpravidla podává více žádostí najednou. V roce 2021 bylo evidováno 61 tisíc zamítnutých žádostí o umístění v domově pro seniory a 22 tisíc žádostí v přípa</w:t>
      </w:r>
      <w:r w:rsidR="00917551">
        <w:t>dě domovů se zvláštním režimem.</w:t>
      </w:r>
    </w:p>
    <w:p w14:paraId="7C7C7E63" w14:textId="3982F9FE" w:rsidR="008B737D" w:rsidRDefault="008B737D" w:rsidP="007A0ACD">
      <w:pPr>
        <w:pStyle w:val="Nadpis3"/>
        <w:numPr>
          <w:ilvl w:val="1"/>
          <w:numId w:val="15"/>
        </w:numPr>
        <w:spacing w:after="240"/>
        <w:ind w:left="1077"/>
        <w:rPr>
          <w:sz w:val="28"/>
          <w:szCs w:val="26"/>
        </w:rPr>
      </w:pPr>
      <w:bookmarkStart w:id="43" w:name="_Toc121211642"/>
      <w:r>
        <w:rPr>
          <w:sz w:val="28"/>
          <w:szCs w:val="26"/>
        </w:rPr>
        <w:t>Příspěvek na péči</w:t>
      </w:r>
      <w:bookmarkEnd w:id="43"/>
    </w:p>
    <w:p w14:paraId="4425F1F9" w14:textId="77777777" w:rsidR="00B10444" w:rsidRDefault="008B737D" w:rsidP="00917551">
      <w:pPr>
        <w:pStyle w:val="Box1"/>
        <w:spacing w:line="240" w:lineRule="auto"/>
        <w:jc w:val="both"/>
      </w:pPr>
      <w:r w:rsidRPr="00E92476">
        <w:rPr>
          <w:i/>
        </w:rPr>
        <w:t>Příspěvek na péči</w:t>
      </w:r>
      <w:r>
        <w:t xml:space="preserve"> je sociální dávka poskytovaná na základě zákona č. 108/2006 Sb., o sociálních službách. </w:t>
      </w:r>
    </w:p>
    <w:p w14:paraId="1732EAB8" w14:textId="00207B3A" w:rsidR="00B10444" w:rsidRDefault="008B737D" w:rsidP="00917551">
      <w:pPr>
        <w:pStyle w:val="Box1"/>
        <w:spacing w:line="240" w:lineRule="auto"/>
        <w:jc w:val="both"/>
      </w:pPr>
      <w:r>
        <w:t>Příspěvek na péči je určen lidem, kteří z důvodu nepříznivého zdravotního stavu potřebují pomoc druhé osoby při zvládání základních životních potřeb</w:t>
      </w:r>
      <w:r w:rsidRPr="00E960C5">
        <w:t xml:space="preserve"> v</w:t>
      </w:r>
      <w:r>
        <w:t> </w:t>
      </w:r>
      <w:r w:rsidRPr="00E960C5">
        <w:t xml:space="preserve">rozsahu stanoveném stupněm závislosti. </w:t>
      </w:r>
    </w:p>
    <w:p w14:paraId="79240DD9" w14:textId="77777777" w:rsidR="00B10444" w:rsidRPr="00B10444" w:rsidRDefault="00B10444" w:rsidP="00B10444"/>
    <w:p w14:paraId="4F099E0A" w14:textId="7F9BCDCB" w:rsidR="008B737D" w:rsidRDefault="008B737D" w:rsidP="00917551">
      <w:pPr>
        <w:pStyle w:val="Box1"/>
        <w:spacing w:line="240" w:lineRule="auto"/>
        <w:jc w:val="both"/>
      </w:pPr>
      <w:r w:rsidRPr="00E960C5">
        <w:lastRenderedPageBreak/>
        <w:t>Stupeň závislosti se</w:t>
      </w:r>
      <w:r w:rsidR="00745045">
        <w:t> </w:t>
      </w:r>
      <w:r w:rsidRPr="00E960C5">
        <w:t>hodnotí podle počtu základních životních potřeb</w:t>
      </w:r>
      <w:r>
        <w:t xml:space="preserve">, </w:t>
      </w:r>
      <w:r w:rsidRPr="00E558CB">
        <w:t>které osoba není schopna</w:t>
      </w:r>
      <w:r>
        <w:t xml:space="preserve"> zvládat </w:t>
      </w:r>
      <w:r w:rsidRPr="00E960C5">
        <w:t>(mobilita, orientace, komunikace, stravování, oblékání a obouvání, tělesná hygiena, výkon fyziologické potřeby, péče o zdraví, osobní aktivity a péče o</w:t>
      </w:r>
      <w:r>
        <w:t> </w:t>
      </w:r>
      <w:r w:rsidRPr="00E960C5">
        <w:t>domácnost)</w:t>
      </w:r>
      <w:r>
        <w:t>.</w:t>
      </w:r>
    </w:p>
    <w:p w14:paraId="3F00CC0F" w14:textId="4BE4AF20" w:rsidR="008B737D" w:rsidRDefault="008B737D" w:rsidP="00917551">
      <w:pPr>
        <w:spacing w:line="240" w:lineRule="auto"/>
        <w:jc w:val="both"/>
      </w:pPr>
      <w:r w:rsidRPr="00624B22">
        <w:t>V prosinci roku 2021 bylo vyplaceno v Česku celkem 358 tisíc příspěvků na</w:t>
      </w:r>
      <w:r w:rsidR="00745045">
        <w:t> </w:t>
      </w:r>
      <w:r w:rsidR="00D378F2">
        <w:t>péči, z čehož 73 </w:t>
      </w:r>
      <w:r w:rsidRPr="00624B22">
        <w:t>% (260 tis.) bylo vyplaceno seniorům ve věku 60 a více let. V přepočtu na populaci mělo přiznaný nárok na tuto dávku celkem 9</w:t>
      </w:r>
      <w:r w:rsidR="00D378F2">
        <w:t>,4 </w:t>
      </w:r>
      <w:r w:rsidRPr="00624B22">
        <w:t>% seniorů ve věku 60 a více let. Se zvyšujícím se věkem se ale podíl příjemců výrazně zvyšuje. Ve věkové skupině 80–89 let pobírá příspěvek na péči 27 % osob, ve věku nad 90 let téměř dvě třetiny obyvatel.</w:t>
      </w:r>
      <w:r w:rsidRPr="00AE6495">
        <w:t xml:space="preserve"> </w:t>
      </w:r>
      <w:r>
        <w:t>Ž</w:t>
      </w:r>
      <w:r w:rsidRPr="00624B22">
        <w:t>en starších 60 let bylo s příspěvkem na péči 178 tisíc, mužů stejného věku téměř o sto tisíc méně (82 tisíc).</w:t>
      </w:r>
      <w:r>
        <w:t xml:space="preserve"> </w:t>
      </w:r>
    </w:p>
    <w:p w14:paraId="1CA140E8" w14:textId="4E1D6ED0" w:rsidR="008B737D" w:rsidRDefault="00B10444" w:rsidP="00B10444">
      <w:pPr>
        <w:spacing w:after="0" w:line="240" w:lineRule="auto"/>
        <w:ind w:left="709" w:hanging="709"/>
        <w:rPr>
          <w:b/>
        </w:rPr>
      </w:pPr>
      <w:r w:rsidRPr="008B737D">
        <w:rPr>
          <w:noProof/>
        </w:rPr>
        <w:drawing>
          <wp:anchor distT="0" distB="0" distL="114300" distR="114300" simplePos="0" relativeHeight="251681280" behindDoc="1" locked="0" layoutInCell="1" allowOverlap="1" wp14:anchorId="7046653C" wp14:editId="58543544">
            <wp:simplePos x="0" y="0"/>
            <wp:positionH relativeFrom="column">
              <wp:posOffset>-43815</wp:posOffset>
            </wp:positionH>
            <wp:positionV relativeFrom="paragraph">
              <wp:posOffset>363855</wp:posOffset>
            </wp:positionV>
            <wp:extent cx="4067175" cy="2372995"/>
            <wp:effectExtent l="0" t="0" r="0" b="8255"/>
            <wp:wrapTopAndBottom/>
            <wp:docPr id="49" name="Graf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V relativeFrom="margin">
              <wp14:pctHeight>0</wp14:pctHeight>
            </wp14:sizeRelV>
          </wp:anchor>
        </w:drawing>
      </w:r>
      <w:r w:rsidR="008B737D" w:rsidRPr="008B737D">
        <w:rPr>
          <w:b/>
        </w:rPr>
        <w:t>Graf 6.7</w:t>
      </w:r>
      <w:r w:rsidR="008B737D">
        <w:t xml:space="preserve"> </w:t>
      </w:r>
      <w:r w:rsidR="008B737D" w:rsidRPr="00C53A18">
        <w:rPr>
          <w:b/>
        </w:rPr>
        <w:t xml:space="preserve">Podíl </w:t>
      </w:r>
      <w:r w:rsidR="008B737D">
        <w:rPr>
          <w:b/>
        </w:rPr>
        <w:t>osob</w:t>
      </w:r>
      <w:r w:rsidR="008B737D" w:rsidRPr="00C53A18">
        <w:rPr>
          <w:b/>
        </w:rPr>
        <w:t xml:space="preserve"> s příspěvkem</w:t>
      </w:r>
      <w:r w:rsidR="008B737D">
        <w:rPr>
          <w:b/>
        </w:rPr>
        <w:t xml:space="preserve"> na péči</w:t>
      </w:r>
      <w:r>
        <w:rPr>
          <w:b/>
        </w:rPr>
        <w:t xml:space="preserve"> podle pohlaví a věku,</w:t>
      </w:r>
      <w:r>
        <w:rPr>
          <w:b/>
        </w:rPr>
        <w:br/>
        <w:t xml:space="preserve"> </w:t>
      </w:r>
      <w:r w:rsidR="00FF381A">
        <w:rPr>
          <w:b/>
        </w:rPr>
        <w:t xml:space="preserve"> </w:t>
      </w:r>
      <w:r w:rsidR="00603BB3">
        <w:rPr>
          <w:b/>
        </w:rPr>
        <w:t>v prosinci 2021</w:t>
      </w:r>
    </w:p>
    <w:p w14:paraId="03375C1D" w14:textId="6ED1CCFE" w:rsidR="00EE021E" w:rsidRPr="00EE021E" w:rsidRDefault="00EE021E" w:rsidP="00917551">
      <w:pPr>
        <w:spacing w:after="120" w:line="240" w:lineRule="auto"/>
        <w:jc w:val="both"/>
        <w:rPr>
          <w:i/>
        </w:rPr>
      </w:pPr>
      <w:r w:rsidRPr="00EE021E">
        <w:rPr>
          <w:i/>
        </w:rPr>
        <w:t>Zdroj: MPSV</w:t>
      </w:r>
    </w:p>
    <w:p w14:paraId="7143B582" w14:textId="66C0883C" w:rsidR="008B737D" w:rsidRDefault="008B737D" w:rsidP="00917551">
      <w:pPr>
        <w:spacing w:after="120" w:line="240" w:lineRule="auto"/>
        <w:jc w:val="both"/>
        <w:rPr>
          <w:b/>
        </w:rPr>
      </w:pPr>
      <w:r w:rsidRPr="00624B22">
        <w:t>Nejčastěji se jednalo o příspěvek na péči druhého stupně závislosti (84</w:t>
      </w:r>
      <w:r>
        <w:t xml:space="preserve"> </w:t>
      </w:r>
      <w:r w:rsidRPr="00624B22">
        <w:t>tisíc), dále 70 tisíc osob pobíralo příspěvek na péči prvního stupně, 69 tisíc mělo příspěvek pro třetí stupeň závislosti a</w:t>
      </w:r>
      <w:r>
        <w:t> </w:t>
      </w:r>
      <w:r w:rsidRPr="00624B22">
        <w:t>téměř 38 tisíc osob dosáhlo na</w:t>
      </w:r>
      <w:r w:rsidR="00745045">
        <w:t> </w:t>
      </w:r>
      <w:r w:rsidRPr="00624B22">
        <w:t>příspěvek pro nejvyšší stupeň závislosti.</w:t>
      </w:r>
    </w:p>
    <w:p w14:paraId="4D972307" w14:textId="77777777" w:rsidR="008B737D" w:rsidRDefault="008B737D" w:rsidP="00917551">
      <w:pPr>
        <w:spacing w:line="240" w:lineRule="auto"/>
        <w:jc w:val="both"/>
      </w:pPr>
      <w:r w:rsidRPr="00624B22">
        <w:lastRenderedPageBreak/>
        <w:t xml:space="preserve">Příjemci mohou pomocí příspěvku na péči na základě vlastní svobodné volby hradit profesionální sociální služby nebo jej použít k pokrytí nezbytných nákladů při zajištění péče v rodině. V případě, že žije daná osoba v pobytovém zařízení sociálních služeb (např. v domově pro seniory), dostává příspěvek na péči přímo poskytovatel služeb. Ze všech příjemců příspěvku na péči ve věku 60 a více let využívala více než pětina (59 tisíc osob) </w:t>
      </w:r>
      <w:r>
        <w:t>sociální služby v pobytovém zařízení. M</w:t>
      </w:r>
      <w:r w:rsidRPr="00624B22">
        <w:t>ezi příjemci příspěvku na péči pro čtvrtý stupeň závislosti to byla více než polovina.</w:t>
      </w:r>
    </w:p>
    <w:p w14:paraId="3A27A57A" w14:textId="22F269BD" w:rsidR="008B737D" w:rsidRDefault="008B737D" w:rsidP="00B10444">
      <w:pPr>
        <w:spacing w:after="0" w:line="240" w:lineRule="auto"/>
        <w:ind w:left="709" w:hanging="709"/>
        <w:rPr>
          <w:b/>
        </w:rPr>
      </w:pPr>
      <w:r w:rsidRPr="008B737D">
        <w:rPr>
          <w:b/>
        </w:rPr>
        <w:t>Graf 6.8</w:t>
      </w:r>
      <w:r>
        <w:t xml:space="preserve"> </w:t>
      </w:r>
      <w:r w:rsidRPr="00B10444">
        <w:rPr>
          <w:b/>
        </w:rPr>
        <w:t>V</w:t>
      </w:r>
      <w:r>
        <w:rPr>
          <w:b/>
        </w:rPr>
        <w:t>yplacené příspěvky na péči</w:t>
      </w:r>
      <w:r w:rsidR="00B10444">
        <w:rPr>
          <w:b/>
        </w:rPr>
        <w:t xml:space="preserve"> podle stupně závislosti osobám</w:t>
      </w:r>
      <w:r w:rsidR="00B10444">
        <w:rPr>
          <w:b/>
        </w:rPr>
        <w:br/>
        <w:t xml:space="preserve">  </w:t>
      </w:r>
      <w:r w:rsidR="00603BB3">
        <w:rPr>
          <w:b/>
        </w:rPr>
        <w:t>ve věku 60 a více let</w:t>
      </w:r>
      <w:r>
        <w:rPr>
          <w:b/>
        </w:rPr>
        <w:t xml:space="preserve"> v prosinci 2021</w:t>
      </w:r>
    </w:p>
    <w:p w14:paraId="1E03FC4F" w14:textId="77777777" w:rsidR="008B737D" w:rsidRDefault="008B737D" w:rsidP="00917551">
      <w:pPr>
        <w:spacing w:line="240" w:lineRule="auto"/>
        <w:jc w:val="both"/>
      </w:pPr>
      <w:r>
        <w:rPr>
          <w:noProof/>
        </w:rPr>
        <w:drawing>
          <wp:inline distT="0" distB="0" distL="0" distR="0" wp14:anchorId="574AFEAF" wp14:editId="39EFDB8F">
            <wp:extent cx="4191000" cy="2383783"/>
            <wp:effectExtent l="0" t="0" r="0" b="0"/>
            <wp:docPr id="50" name="Graf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9F32503" w14:textId="6018B61F" w:rsidR="008B737D" w:rsidRPr="00B10444" w:rsidRDefault="008B737D" w:rsidP="00917551">
      <w:pPr>
        <w:spacing w:line="240" w:lineRule="auto"/>
        <w:jc w:val="both"/>
        <w:rPr>
          <w:i/>
          <w:sz w:val="18"/>
          <w:szCs w:val="18"/>
        </w:rPr>
      </w:pPr>
      <w:r w:rsidRPr="00B10444">
        <w:rPr>
          <w:i/>
          <w:sz w:val="18"/>
          <w:szCs w:val="18"/>
        </w:rPr>
        <w:t>Zdroj: MPSV</w:t>
      </w:r>
    </w:p>
    <w:p w14:paraId="6419158E" w14:textId="5EC2526D" w:rsidR="008B737D" w:rsidRDefault="008B737D" w:rsidP="007A0ACD">
      <w:pPr>
        <w:pStyle w:val="Nadpis3"/>
        <w:numPr>
          <w:ilvl w:val="1"/>
          <w:numId w:val="15"/>
        </w:numPr>
        <w:spacing w:after="240"/>
        <w:ind w:left="1077"/>
        <w:rPr>
          <w:sz w:val="28"/>
          <w:szCs w:val="26"/>
        </w:rPr>
      </w:pPr>
      <w:bookmarkStart w:id="44" w:name="_Toc121211643"/>
      <w:r>
        <w:rPr>
          <w:sz w:val="28"/>
          <w:szCs w:val="26"/>
        </w:rPr>
        <w:t>Senioři s průkazem OZP</w:t>
      </w:r>
      <w:bookmarkEnd w:id="44"/>
    </w:p>
    <w:p w14:paraId="627D9395" w14:textId="795C672F" w:rsidR="00B10444" w:rsidRDefault="008B737D" w:rsidP="00917551">
      <w:pPr>
        <w:pStyle w:val="Box1"/>
        <w:spacing w:line="240" w:lineRule="auto"/>
        <w:jc w:val="both"/>
      </w:pPr>
      <w:r w:rsidRPr="004109F1">
        <w:t xml:space="preserve">Nárok na </w:t>
      </w:r>
      <w:r w:rsidRPr="00E92476">
        <w:rPr>
          <w:i/>
        </w:rPr>
        <w:t>průkaz osoby se zdravotním postižením (OZP)</w:t>
      </w:r>
      <w:r w:rsidRPr="004109F1">
        <w:t xml:space="preserve"> má osoba s</w:t>
      </w:r>
      <w:r>
        <w:t> </w:t>
      </w:r>
      <w:r w:rsidRPr="004109F1">
        <w:t>tělesným, smyslovým nebo duševním postižením charakteru dlouhodobě nepříznivého zdravotního stavu, které podstatně omezuje její schopnost pohyblivosti nebo orientace, včetně osob s</w:t>
      </w:r>
      <w:r>
        <w:t> </w:t>
      </w:r>
      <w:r w:rsidRPr="004109F1">
        <w:t>poruchou autistického spektra.</w:t>
      </w:r>
      <w:r>
        <w:t xml:space="preserve"> </w:t>
      </w:r>
    </w:p>
    <w:p w14:paraId="68EF7586" w14:textId="77777777" w:rsidR="00B10444" w:rsidRPr="00B10444" w:rsidRDefault="00B10444" w:rsidP="00B10444"/>
    <w:p w14:paraId="315CDAA1" w14:textId="4B2DC425" w:rsidR="008B737D" w:rsidRPr="004109F1" w:rsidRDefault="008B737D" w:rsidP="00917551">
      <w:pPr>
        <w:pStyle w:val="Box1"/>
        <w:spacing w:line="240" w:lineRule="auto"/>
        <w:jc w:val="both"/>
      </w:pPr>
      <w:r>
        <w:lastRenderedPageBreak/>
        <w:t xml:space="preserve">Výhody pro držitele průkazu jsou odstupňovány podle toho, zda se jedná o průkaz TP (středně těžké postižení), ZTP (těžké postižení) nebo ZTP/P (zvlášť těžké postižení s potřebou průvodce). Více viz </w:t>
      </w:r>
      <w:r w:rsidRPr="005C75D1">
        <w:t>§</w:t>
      </w:r>
      <w:r w:rsidR="00414BD7">
        <w:t> </w:t>
      </w:r>
      <w:r w:rsidRPr="005C75D1">
        <w:t>34</w:t>
      </w:r>
      <w:r>
        <w:t xml:space="preserve"> zákona č. 329/2011 Sb., o poskytování dávek osobám se zdravotním postižením.</w:t>
      </w:r>
    </w:p>
    <w:p w14:paraId="523C177F" w14:textId="77777777" w:rsidR="008B737D" w:rsidRPr="00142712" w:rsidRDefault="008B737D" w:rsidP="00917551">
      <w:pPr>
        <w:spacing w:line="240" w:lineRule="auto"/>
        <w:jc w:val="both"/>
      </w:pPr>
      <w:r w:rsidRPr="00C7356E">
        <w:t xml:space="preserve">V prosinci roku 2021 bylo mezi seniory (ve věku 60 a více let) 292 tisíc držitelů průkazu osoby se zdravotním postižením. Z toho bylo 161 tisíc žen a </w:t>
      </w:r>
      <w:r w:rsidRPr="00142712">
        <w:t>131 tisíc mužů.</w:t>
      </w:r>
    </w:p>
    <w:p w14:paraId="665E4823" w14:textId="2B543945" w:rsidR="008B737D" w:rsidRDefault="008B737D" w:rsidP="00B10444">
      <w:pPr>
        <w:spacing w:after="0" w:line="240" w:lineRule="auto"/>
        <w:ind w:left="709" w:hanging="709"/>
        <w:rPr>
          <w:noProof/>
        </w:rPr>
      </w:pPr>
      <w:r w:rsidRPr="008B737D">
        <w:rPr>
          <w:b/>
        </w:rPr>
        <w:t>Graf 6.9</w:t>
      </w:r>
      <w:r>
        <w:t xml:space="preserve"> </w:t>
      </w:r>
      <w:r>
        <w:rPr>
          <w:b/>
        </w:rPr>
        <w:t>Držitelé průkazu osob se zdravotním postižením</w:t>
      </w:r>
      <w:r>
        <w:rPr>
          <w:b/>
        </w:rPr>
        <w:br/>
        <w:t xml:space="preserve"> </w:t>
      </w:r>
      <w:r w:rsidR="00B10444">
        <w:rPr>
          <w:b/>
        </w:rPr>
        <w:t xml:space="preserve"> </w:t>
      </w:r>
      <w:r>
        <w:rPr>
          <w:b/>
        </w:rPr>
        <w:t>v prosinci 2021</w:t>
      </w:r>
    </w:p>
    <w:p w14:paraId="4A026139" w14:textId="77777777" w:rsidR="008B737D" w:rsidRPr="001E537F" w:rsidRDefault="008B737D" w:rsidP="00917551">
      <w:pPr>
        <w:spacing w:line="240" w:lineRule="auto"/>
      </w:pPr>
      <w:r>
        <w:rPr>
          <w:noProof/>
        </w:rPr>
        <w:drawing>
          <wp:inline distT="0" distB="0" distL="0" distR="0" wp14:anchorId="2FC9FAB2" wp14:editId="41633D93">
            <wp:extent cx="4247515" cy="1966224"/>
            <wp:effectExtent l="0" t="0" r="635" b="0"/>
            <wp:docPr id="51" name="Graf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858A0DF" w14:textId="65E00D92" w:rsidR="008B737D" w:rsidRPr="00B10444" w:rsidRDefault="008B737D" w:rsidP="00917551">
      <w:pPr>
        <w:spacing w:line="240" w:lineRule="auto"/>
        <w:rPr>
          <w:i/>
          <w:sz w:val="18"/>
        </w:rPr>
      </w:pPr>
      <w:r w:rsidRPr="00B10444">
        <w:rPr>
          <w:i/>
          <w:sz w:val="18"/>
        </w:rPr>
        <w:t>Zdroj: MPSV</w:t>
      </w:r>
    </w:p>
    <w:p w14:paraId="5B206AB2" w14:textId="10DD82E2" w:rsidR="008B737D" w:rsidRPr="00142712" w:rsidRDefault="008B737D" w:rsidP="00917551">
      <w:pPr>
        <w:spacing w:line="240" w:lineRule="auto"/>
        <w:jc w:val="both"/>
      </w:pPr>
      <w:r w:rsidRPr="00142712">
        <w:t>Nejčastějším druhem průkazu u seniorů je ZTP, který mělo 218 tisíc osob, dále průkaz ZTP/P mělo 48 tisíc osob a průkaz TP 26 tisíc. Celkově představovali držitelé průkazů OZP 10,5</w:t>
      </w:r>
      <w:r w:rsidR="00D378F2">
        <w:t> </w:t>
      </w:r>
      <w:r w:rsidRPr="00142712">
        <w:t>% seniorské populace, zastoupení ale výrazně roste s věkem. Ve věkové skupině 90letých a starších mělo průkaz osoby se zdravotním postižením 60 %. Senioři tvořili celkem 73</w:t>
      </w:r>
      <w:r w:rsidR="00B10444">
        <w:t> </w:t>
      </w:r>
      <w:r w:rsidRPr="00142712">
        <w:t>% všech držitelů průkazu osoby se zdravotním postižením.</w:t>
      </w:r>
    </w:p>
    <w:p w14:paraId="05AA06C9" w14:textId="7BA69C88" w:rsidR="008B737D" w:rsidRDefault="008B737D" w:rsidP="00917551">
      <w:pPr>
        <w:spacing w:line="240" w:lineRule="auto"/>
        <w:jc w:val="both"/>
      </w:pPr>
      <w:r w:rsidRPr="00142712">
        <w:t>Počet držitelů průkazu nemusí představovat skutečný počet osob se</w:t>
      </w:r>
      <w:r w:rsidR="00745045">
        <w:t> </w:t>
      </w:r>
      <w:r w:rsidRPr="00142712">
        <w:t>zdravotním postižením, protože ne všichni lidé, zejména ve vyšším věku, vyhodnotí výhody s průkazem spojené jako užitečné, např. pokud vzhledem ke zdravotnímu stavu již nikam necestují. Naopak vyšší zájem může být o parkovací průkaz pro osoby se zdravotním postižením, na který mají nárok osoby s průkazem ZTP a ZTP/P.</w:t>
      </w:r>
    </w:p>
    <w:p w14:paraId="672CB79C" w14:textId="5FF7C16A" w:rsidR="001B1A7F" w:rsidRPr="00A90CB6" w:rsidRDefault="001B1A7F" w:rsidP="007A0ACD">
      <w:pPr>
        <w:pStyle w:val="Nadpis1"/>
        <w:numPr>
          <w:ilvl w:val="0"/>
          <w:numId w:val="15"/>
        </w:numPr>
        <w:spacing w:after="240"/>
        <w:ind w:left="714" w:hanging="357"/>
        <w:rPr>
          <w:iCs/>
        </w:rPr>
      </w:pPr>
      <w:bookmarkStart w:id="45" w:name="_Toc121211644"/>
      <w:r>
        <w:rPr>
          <w:iCs/>
        </w:rPr>
        <w:lastRenderedPageBreak/>
        <w:t>Senioři a kriminalita</w:t>
      </w:r>
      <w:bookmarkEnd w:id="45"/>
    </w:p>
    <w:p w14:paraId="398CCE63" w14:textId="46F80856" w:rsidR="001B1A7F" w:rsidRPr="00CB7CCD" w:rsidRDefault="001B1A7F" w:rsidP="00917551">
      <w:pPr>
        <w:spacing w:line="240" w:lineRule="auto"/>
        <w:jc w:val="both"/>
      </w:pPr>
      <w:r w:rsidRPr="00C71504">
        <w:t>Senioři jsou výrazně častěji na straně oběti než na straně pachatele trestné činnosti</w:t>
      </w:r>
      <w:r w:rsidRPr="00CB7CCD">
        <w:t>. V souvislosti s některými fyzickými a psychickými změnami, které přirozeně doprováz</w:t>
      </w:r>
      <w:r>
        <w:t>ej</w:t>
      </w:r>
      <w:r w:rsidRPr="00CB7CCD">
        <w:t>í proces stárnutí, se senioři stávají mimořádně ohroženou skupinou obyvatel, která je v některých ohledech snadnějším cílem trestné činnosti. Jejich osamělost, větší důvěřivost, menší schopnost úniku či obrany nebo často stereotypní chování zvyšují jejich viktimnost. Od</w:t>
      </w:r>
      <w:r w:rsidR="00745045">
        <w:t> </w:t>
      </w:r>
      <w:r w:rsidRPr="00CB7CCD">
        <w:t>roku 2017 jsou proto senioři podle zákona o obětech trestných činů považováni za „zvlášť zranitelné oběti“. V roce 2021 tvořili senioři 10,3</w:t>
      </w:r>
      <w:r w:rsidR="00B10444">
        <w:t> </w:t>
      </w:r>
      <w:r w:rsidRPr="00CB7CCD">
        <w:t>% z celkového počtu obětí trestné činnosti v České republice (2,3 tisíce seniorů z 22,2 tisíce obětí celkem).</w:t>
      </w:r>
    </w:p>
    <w:tbl>
      <w:tblPr>
        <w:tblW w:w="672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1B1A7F" w:rsidRPr="00B933AC" w14:paraId="0094F839" w14:textId="77777777" w:rsidTr="00323865">
        <w:trPr>
          <w:trHeight w:val="300"/>
        </w:trPr>
        <w:tc>
          <w:tcPr>
            <w:tcW w:w="3840" w:type="dxa"/>
            <w:gridSpan w:val="4"/>
            <w:tcBorders>
              <w:top w:val="nil"/>
              <w:left w:val="nil"/>
              <w:bottom w:val="single" w:sz="12" w:space="0" w:color="auto"/>
              <w:right w:val="nil"/>
            </w:tcBorders>
            <w:shd w:val="clear" w:color="auto" w:fill="auto"/>
            <w:noWrap/>
            <w:vAlign w:val="center"/>
            <w:hideMark/>
          </w:tcPr>
          <w:p w14:paraId="69D68953" w14:textId="4B06823F" w:rsidR="001B1A7F" w:rsidRPr="00B933AC" w:rsidRDefault="001B1A7F" w:rsidP="00917551">
            <w:pPr>
              <w:spacing w:after="0" w:line="240" w:lineRule="auto"/>
              <w:rPr>
                <w:rFonts w:cs="Arial"/>
                <w:b/>
                <w:bCs/>
                <w:color w:val="000000"/>
                <w:szCs w:val="20"/>
              </w:rPr>
            </w:pPr>
            <w:r w:rsidRPr="001B1A7F">
              <w:rPr>
                <w:rFonts w:cs="Arial"/>
                <w:b/>
                <w:bCs/>
                <w:color w:val="000000"/>
                <w:szCs w:val="20"/>
              </w:rPr>
              <w:t>Tab. 7.1 Počet</w:t>
            </w:r>
            <w:r w:rsidRPr="00B933AC">
              <w:rPr>
                <w:rFonts w:cs="Arial"/>
                <w:b/>
                <w:bCs/>
                <w:color w:val="000000"/>
                <w:szCs w:val="20"/>
              </w:rPr>
              <w:t xml:space="preserve"> obětí kriminality</w:t>
            </w:r>
          </w:p>
        </w:tc>
        <w:tc>
          <w:tcPr>
            <w:tcW w:w="960" w:type="dxa"/>
            <w:tcBorders>
              <w:top w:val="nil"/>
              <w:left w:val="nil"/>
              <w:bottom w:val="nil"/>
              <w:right w:val="nil"/>
            </w:tcBorders>
            <w:shd w:val="clear" w:color="auto" w:fill="auto"/>
            <w:noWrap/>
            <w:vAlign w:val="bottom"/>
            <w:hideMark/>
          </w:tcPr>
          <w:p w14:paraId="665F1B6D" w14:textId="77777777" w:rsidR="001B1A7F" w:rsidRPr="00B933AC" w:rsidRDefault="001B1A7F" w:rsidP="00917551">
            <w:pPr>
              <w:spacing w:after="0" w:line="240" w:lineRule="auto"/>
              <w:rPr>
                <w:rFonts w:cs="Arial"/>
                <w:b/>
                <w:bCs/>
                <w:color w:val="000000"/>
                <w:szCs w:val="20"/>
              </w:rPr>
            </w:pPr>
          </w:p>
        </w:tc>
        <w:tc>
          <w:tcPr>
            <w:tcW w:w="960" w:type="dxa"/>
            <w:tcBorders>
              <w:top w:val="nil"/>
              <w:left w:val="nil"/>
              <w:bottom w:val="nil"/>
              <w:right w:val="nil"/>
            </w:tcBorders>
            <w:shd w:val="clear" w:color="auto" w:fill="auto"/>
            <w:noWrap/>
            <w:vAlign w:val="bottom"/>
            <w:hideMark/>
          </w:tcPr>
          <w:p w14:paraId="69AC227A"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0BB38228" w14:textId="77777777" w:rsidR="001B1A7F" w:rsidRPr="00B933AC" w:rsidRDefault="001B1A7F" w:rsidP="00917551">
            <w:pPr>
              <w:spacing w:after="0" w:line="240" w:lineRule="auto"/>
              <w:rPr>
                <w:rFonts w:ascii="Times New Roman" w:hAnsi="Times New Roman"/>
                <w:szCs w:val="20"/>
              </w:rPr>
            </w:pPr>
          </w:p>
        </w:tc>
      </w:tr>
      <w:tr w:rsidR="001B1A7F" w:rsidRPr="00B933AC" w14:paraId="75BBB0BB" w14:textId="77777777" w:rsidTr="00323865">
        <w:trPr>
          <w:trHeight w:val="430"/>
        </w:trPr>
        <w:tc>
          <w:tcPr>
            <w:tcW w:w="960" w:type="dxa"/>
            <w:vMerge w:val="restart"/>
            <w:tcBorders>
              <w:top w:val="single" w:sz="12" w:space="0" w:color="auto"/>
              <w:left w:val="nil"/>
              <w:right w:val="single" w:sz="8" w:space="0" w:color="auto"/>
            </w:tcBorders>
            <w:shd w:val="clear" w:color="000000" w:fill="F5DADD"/>
            <w:vAlign w:val="center"/>
            <w:hideMark/>
          </w:tcPr>
          <w:p w14:paraId="6E036551" w14:textId="77777777" w:rsidR="001B1A7F" w:rsidRPr="00B933AC" w:rsidRDefault="001B1A7F" w:rsidP="00917551">
            <w:pPr>
              <w:spacing w:after="0" w:line="240" w:lineRule="auto"/>
              <w:jc w:val="center"/>
              <w:rPr>
                <w:rFonts w:cs="Arial"/>
                <w:b/>
                <w:bCs/>
                <w:color w:val="000000"/>
                <w:sz w:val="16"/>
                <w:szCs w:val="16"/>
              </w:rPr>
            </w:pPr>
            <w:r w:rsidRPr="00B933AC">
              <w:rPr>
                <w:rFonts w:cs="Arial"/>
                <w:b/>
                <w:bCs/>
                <w:color w:val="000000"/>
                <w:sz w:val="16"/>
                <w:szCs w:val="16"/>
              </w:rPr>
              <w:t>Rok</w:t>
            </w:r>
          </w:p>
        </w:tc>
        <w:tc>
          <w:tcPr>
            <w:tcW w:w="960" w:type="dxa"/>
            <w:vMerge w:val="restart"/>
            <w:tcBorders>
              <w:top w:val="single" w:sz="12" w:space="0" w:color="auto"/>
              <w:left w:val="single" w:sz="8" w:space="0" w:color="auto"/>
              <w:right w:val="single" w:sz="8" w:space="0" w:color="auto"/>
            </w:tcBorders>
            <w:shd w:val="clear" w:color="000000" w:fill="F5DADD"/>
            <w:vAlign w:val="center"/>
            <w:hideMark/>
          </w:tcPr>
          <w:p w14:paraId="1352C0A0" w14:textId="77777777" w:rsidR="001B1A7F" w:rsidRPr="00B933AC" w:rsidRDefault="001B1A7F" w:rsidP="00917551">
            <w:pPr>
              <w:spacing w:after="0" w:line="240" w:lineRule="auto"/>
              <w:jc w:val="center"/>
              <w:rPr>
                <w:rFonts w:cs="Arial"/>
                <w:b/>
                <w:bCs/>
                <w:color w:val="000000"/>
                <w:sz w:val="16"/>
                <w:szCs w:val="16"/>
              </w:rPr>
            </w:pPr>
            <w:r w:rsidRPr="00B933AC">
              <w:rPr>
                <w:rFonts w:cs="Arial"/>
                <w:b/>
                <w:bCs/>
                <w:color w:val="000000"/>
                <w:sz w:val="16"/>
                <w:szCs w:val="16"/>
              </w:rPr>
              <w:t>Oběti celkem</w:t>
            </w:r>
          </w:p>
        </w:tc>
        <w:tc>
          <w:tcPr>
            <w:tcW w:w="1920" w:type="dxa"/>
            <w:gridSpan w:val="2"/>
            <w:tcBorders>
              <w:top w:val="single" w:sz="12" w:space="0" w:color="auto"/>
              <w:left w:val="single" w:sz="8" w:space="0" w:color="auto"/>
              <w:bottom w:val="single" w:sz="8" w:space="0" w:color="auto"/>
              <w:right w:val="nil"/>
            </w:tcBorders>
            <w:shd w:val="clear" w:color="000000" w:fill="F5DADD"/>
            <w:vAlign w:val="center"/>
            <w:hideMark/>
          </w:tcPr>
          <w:p w14:paraId="68B4843A" w14:textId="77777777" w:rsidR="001B1A7F" w:rsidRPr="00B933AC" w:rsidRDefault="001B1A7F" w:rsidP="00917551">
            <w:pPr>
              <w:spacing w:after="0" w:line="240" w:lineRule="auto"/>
              <w:jc w:val="center"/>
              <w:rPr>
                <w:rFonts w:cs="Arial"/>
                <w:b/>
                <w:bCs/>
                <w:color w:val="000000"/>
                <w:sz w:val="16"/>
                <w:szCs w:val="16"/>
              </w:rPr>
            </w:pPr>
            <w:r w:rsidRPr="00B933AC">
              <w:rPr>
                <w:rFonts w:cs="Arial"/>
                <w:b/>
                <w:bCs/>
                <w:color w:val="000000"/>
                <w:sz w:val="16"/>
                <w:szCs w:val="16"/>
              </w:rPr>
              <w:t>Z toho senioři</w:t>
            </w:r>
          </w:p>
        </w:tc>
        <w:tc>
          <w:tcPr>
            <w:tcW w:w="960" w:type="dxa"/>
            <w:tcBorders>
              <w:top w:val="nil"/>
              <w:left w:val="nil"/>
              <w:bottom w:val="nil"/>
              <w:right w:val="nil"/>
            </w:tcBorders>
            <w:shd w:val="clear" w:color="auto" w:fill="auto"/>
            <w:noWrap/>
            <w:vAlign w:val="bottom"/>
            <w:hideMark/>
          </w:tcPr>
          <w:p w14:paraId="7041978F" w14:textId="77777777" w:rsidR="001B1A7F" w:rsidRPr="00B933AC" w:rsidRDefault="001B1A7F" w:rsidP="00917551">
            <w:pPr>
              <w:spacing w:after="0" w:line="240" w:lineRule="auto"/>
              <w:jc w:val="center"/>
              <w:rPr>
                <w:rFonts w:cs="Arial"/>
                <w:b/>
                <w:bCs/>
                <w:color w:val="000000"/>
                <w:sz w:val="16"/>
                <w:szCs w:val="16"/>
              </w:rPr>
            </w:pPr>
          </w:p>
        </w:tc>
        <w:tc>
          <w:tcPr>
            <w:tcW w:w="960" w:type="dxa"/>
            <w:tcBorders>
              <w:top w:val="nil"/>
              <w:left w:val="nil"/>
              <w:bottom w:val="nil"/>
              <w:right w:val="nil"/>
            </w:tcBorders>
            <w:shd w:val="clear" w:color="auto" w:fill="auto"/>
            <w:noWrap/>
            <w:vAlign w:val="bottom"/>
            <w:hideMark/>
          </w:tcPr>
          <w:p w14:paraId="1F6037C5"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49484CEB" w14:textId="77777777" w:rsidR="001B1A7F" w:rsidRPr="00B933AC" w:rsidRDefault="001B1A7F" w:rsidP="00917551">
            <w:pPr>
              <w:spacing w:after="0" w:line="240" w:lineRule="auto"/>
              <w:rPr>
                <w:rFonts w:ascii="Times New Roman" w:hAnsi="Times New Roman"/>
                <w:szCs w:val="20"/>
              </w:rPr>
            </w:pPr>
          </w:p>
        </w:tc>
      </w:tr>
      <w:tr w:rsidR="001B1A7F" w:rsidRPr="00B933AC" w14:paraId="092413E9" w14:textId="77777777" w:rsidTr="00323865">
        <w:trPr>
          <w:trHeight w:val="300"/>
        </w:trPr>
        <w:tc>
          <w:tcPr>
            <w:tcW w:w="960" w:type="dxa"/>
            <w:vMerge/>
            <w:tcBorders>
              <w:top w:val="single" w:sz="8" w:space="0" w:color="auto"/>
              <w:left w:val="nil"/>
              <w:bottom w:val="single" w:sz="12" w:space="0" w:color="auto"/>
              <w:right w:val="single" w:sz="8" w:space="0" w:color="auto"/>
            </w:tcBorders>
            <w:vAlign w:val="center"/>
            <w:hideMark/>
          </w:tcPr>
          <w:p w14:paraId="3C77DC36" w14:textId="77777777" w:rsidR="001B1A7F" w:rsidRPr="00B933AC" w:rsidRDefault="001B1A7F" w:rsidP="00917551">
            <w:pPr>
              <w:spacing w:after="0" w:line="240" w:lineRule="auto"/>
              <w:rPr>
                <w:rFonts w:cs="Arial"/>
                <w:b/>
                <w:bCs/>
                <w:color w:val="000000"/>
                <w:sz w:val="16"/>
                <w:szCs w:val="16"/>
              </w:rPr>
            </w:pPr>
          </w:p>
        </w:tc>
        <w:tc>
          <w:tcPr>
            <w:tcW w:w="960" w:type="dxa"/>
            <w:vMerge/>
            <w:tcBorders>
              <w:top w:val="single" w:sz="8" w:space="0" w:color="auto"/>
              <w:left w:val="single" w:sz="8" w:space="0" w:color="auto"/>
              <w:bottom w:val="single" w:sz="12" w:space="0" w:color="auto"/>
              <w:right w:val="single" w:sz="8" w:space="0" w:color="auto"/>
            </w:tcBorders>
            <w:vAlign w:val="center"/>
            <w:hideMark/>
          </w:tcPr>
          <w:p w14:paraId="5D47DB35" w14:textId="77777777" w:rsidR="001B1A7F" w:rsidRPr="00B933AC" w:rsidRDefault="001B1A7F" w:rsidP="00917551">
            <w:pPr>
              <w:spacing w:after="0" w:line="240" w:lineRule="auto"/>
              <w:rPr>
                <w:rFonts w:cs="Arial"/>
                <w:b/>
                <w:bCs/>
                <w:color w:val="000000"/>
                <w:sz w:val="16"/>
                <w:szCs w:val="16"/>
              </w:rPr>
            </w:pPr>
          </w:p>
        </w:tc>
        <w:tc>
          <w:tcPr>
            <w:tcW w:w="960" w:type="dxa"/>
            <w:tcBorders>
              <w:top w:val="single" w:sz="8" w:space="0" w:color="auto"/>
              <w:left w:val="single" w:sz="8" w:space="0" w:color="auto"/>
              <w:bottom w:val="single" w:sz="12" w:space="0" w:color="auto"/>
              <w:right w:val="single" w:sz="8" w:space="0" w:color="auto"/>
            </w:tcBorders>
            <w:shd w:val="clear" w:color="000000" w:fill="F5DADD"/>
            <w:vAlign w:val="center"/>
            <w:hideMark/>
          </w:tcPr>
          <w:p w14:paraId="28B1670F" w14:textId="77777777" w:rsidR="001B1A7F" w:rsidRPr="00B933AC" w:rsidRDefault="001B1A7F" w:rsidP="00917551">
            <w:pPr>
              <w:spacing w:after="0" w:line="240" w:lineRule="auto"/>
              <w:jc w:val="center"/>
              <w:rPr>
                <w:rFonts w:cs="Arial"/>
                <w:b/>
                <w:bCs/>
                <w:color w:val="000000"/>
                <w:sz w:val="16"/>
                <w:szCs w:val="16"/>
              </w:rPr>
            </w:pPr>
            <w:r w:rsidRPr="00B933AC">
              <w:rPr>
                <w:rFonts w:cs="Arial"/>
                <w:b/>
                <w:bCs/>
                <w:color w:val="000000"/>
                <w:sz w:val="16"/>
                <w:szCs w:val="16"/>
              </w:rPr>
              <w:t>Celkem</w:t>
            </w:r>
          </w:p>
        </w:tc>
        <w:tc>
          <w:tcPr>
            <w:tcW w:w="960" w:type="dxa"/>
            <w:tcBorders>
              <w:top w:val="single" w:sz="8" w:space="0" w:color="auto"/>
              <w:left w:val="single" w:sz="8" w:space="0" w:color="auto"/>
              <w:bottom w:val="single" w:sz="12" w:space="0" w:color="auto"/>
              <w:right w:val="nil"/>
            </w:tcBorders>
            <w:shd w:val="clear" w:color="000000" w:fill="F5DADD"/>
            <w:vAlign w:val="center"/>
            <w:hideMark/>
          </w:tcPr>
          <w:p w14:paraId="38CB6605" w14:textId="77777777" w:rsidR="001B1A7F" w:rsidRPr="00B933AC" w:rsidRDefault="001B1A7F" w:rsidP="00917551">
            <w:pPr>
              <w:spacing w:after="0" w:line="240" w:lineRule="auto"/>
              <w:jc w:val="center"/>
              <w:rPr>
                <w:rFonts w:cs="Arial"/>
                <w:b/>
                <w:bCs/>
                <w:color w:val="000000"/>
                <w:sz w:val="16"/>
                <w:szCs w:val="16"/>
              </w:rPr>
            </w:pPr>
            <w:r w:rsidRPr="00B933AC">
              <w:rPr>
                <w:rFonts w:cs="Arial"/>
                <w:b/>
                <w:bCs/>
                <w:color w:val="000000"/>
                <w:sz w:val="16"/>
                <w:szCs w:val="16"/>
              </w:rPr>
              <w:t>%</w:t>
            </w:r>
          </w:p>
        </w:tc>
        <w:tc>
          <w:tcPr>
            <w:tcW w:w="960" w:type="dxa"/>
            <w:tcBorders>
              <w:top w:val="nil"/>
              <w:left w:val="nil"/>
              <w:bottom w:val="nil"/>
              <w:right w:val="nil"/>
            </w:tcBorders>
            <w:shd w:val="clear" w:color="auto" w:fill="auto"/>
            <w:noWrap/>
            <w:vAlign w:val="bottom"/>
            <w:hideMark/>
          </w:tcPr>
          <w:p w14:paraId="6E1590CD" w14:textId="77777777" w:rsidR="001B1A7F" w:rsidRPr="00B933AC" w:rsidRDefault="001B1A7F" w:rsidP="00917551">
            <w:pPr>
              <w:spacing w:after="0" w:line="240" w:lineRule="auto"/>
              <w:jc w:val="center"/>
              <w:rPr>
                <w:rFonts w:cs="Arial"/>
                <w:b/>
                <w:bCs/>
                <w:color w:val="000000"/>
                <w:sz w:val="16"/>
                <w:szCs w:val="16"/>
              </w:rPr>
            </w:pPr>
          </w:p>
        </w:tc>
        <w:tc>
          <w:tcPr>
            <w:tcW w:w="960" w:type="dxa"/>
            <w:tcBorders>
              <w:top w:val="nil"/>
              <w:left w:val="nil"/>
              <w:bottom w:val="nil"/>
              <w:right w:val="nil"/>
            </w:tcBorders>
            <w:shd w:val="clear" w:color="auto" w:fill="auto"/>
            <w:noWrap/>
            <w:vAlign w:val="bottom"/>
            <w:hideMark/>
          </w:tcPr>
          <w:p w14:paraId="4C60F126"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3E100F34" w14:textId="77777777" w:rsidR="001B1A7F" w:rsidRPr="00B933AC" w:rsidRDefault="001B1A7F" w:rsidP="00917551">
            <w:pPr>
              <w:spacing w:after="0" w:line="240" w:lineRule="auto"/>
              <w:rPr>
                <w:rFonts w:ascii="Times New Roman" w:hAnsi="Times New Roman"/>
                <w:szCs w:val="20"/>
              </w:rPr>
            </w:pPr>
          </w:p>
        </w:tc>
      </w:tr>
      <w:tr w:rsidR="001B1A7F" w:rsidRPr="00B933AC" w14:paraId="2C44B158" w14:textId="77777777" w:rsidTr="00323865">
        <w:trPr>
          <w:trHeight w:val="290"/>
        </w:trPr>
        <w:tc>
          <w:tcPr>
            <w:tcW w:w="960" w:type="dxa"/>
            <w:tcBorders>
              <w:top w:val="single" w:sz="12" w:space="0" w:color="auto"/>
              <w:left w:val="nil"/>
              <w:bottom w:val="nil"/>
              <w:right w:val="nil"/>
            </w:tcBorders>
            <w:shd w:val="clear" w:color="auto" w:fill="auto"/>
            <w:noWrap/>
            <w:vAlign w:val="center"/>
            <w:hideMark/>
          </w:tcPr>
          <w:p w14:paraId="481C9933" w14:textId="77777777" w:rsidR="001B1A7F" w:rsidRPr="00B933AC" w:rsidRDefault="001B1A7F" w:rsidP="008F131A">
            <w:pPr>
              <w:spacing w:after="0" w:line="240" w:lineRule="auto"/>
              <w:rPr>
                <w:rFonts w:cs="Arial"/>
                <w:color w:val="000000"/>
                <w:sz w:val="16"/>
                <w:szCs w:val="16"/>
              </w:rPr>
            </w:pPr>
            <w:r w:rsidRPr="00B933AC">
              <w:rPr>
                <w:rFonts w:cs="Arial"/>
                <w:color w:val="000000"/>
                <w:sz w:val="16"/>
                <w:szCs w:val="16"/>
              </w:rPr>
              <w:t>2005</w:t>
            </w:r>
          </w:p>
        </w:tc>
        <w:tc>
          <w:tcPr>
            <w:tcW w:w="960" w:type="dxa"/>
            <w:tcBorders>
              <w:top w:val="single" w:sz="12" w:space="0" w:color="auto"/>
              <w:left w:val="single" w:sz="8" w:space="0" w:color="auto"/>
              <w:bottom w:val="nil"/>
              <w:right w:val="single" w:sz="8" w:space="0" w:color="auto"/>
            </w:tcBorders>
            <w:shd w:val="clear" w:color="auto" w:fill="auto"/>
            <w:noWrap/>
            <w:vAlign w:val="center"/>
            <w:hideMark/>
          </w:tcPr>
          <w:p w14:paraId="0C2E2547" w14:textId="77777777" w:rsidR="001B1A7F" w:rsidRPr="00B933AC" w:rsidRDefault="001B1A7F" w:rsidP="00917551">
            <w:pPr>
              <w:spacing w:after="0" w:line="240" w:lineRule="auto"/>
              <w:jc w:val="right"/>
              <w:rPr>
                <w:rFonts w:cs="Arial"/>
                <w:sz w:val="16"/>
                <w:szCs w:val="16"/>
              </w:rPr>
            </w:pPr>
            <w:r w:rsidRPr="00B933AC">
              <w:rPr>
                <w:rFonts w:cs="Arial"/>
                <w:sz w:val="16"/>
                <w:szCs w:val="16"/>
              </w:rPr>
              <w:t>46 023</w:t>
            </w:r>
          </w:p>
        </w:tc>
        <w:tc>
          <w:tcPr>
            <w:tcW w:w="960" w:type="dxa"/>
            <w:tcBorders>
              <w:top w:val="single" w:sz="12" w:space="0" w:color="auto"/>
              <w:left w:val="nil"/>
              <w:bottom w:val="nil"/>
              <w:right w:val="single" w:sz="8" w:space="0" w:color="auto"/>
            </w:tcBorders>
            <w:shd w:val="clear" w:color="auto" w:fill="auto"/>
            <w:noWrap/>
            <w:vAlign w:val="center"/>
            <w:hideMark/>
          </w:tcPr>
          <w:p w14:paraId="6158CFE9" w14:textId="77777777" w:rsidR="001B1A7F" w:rsidRPr="00B933AC" w:rsidRDefault="001B1A7F" w:rsidP="00917551">
            <w:pPr>
              <w:spacing w:after="0" w:line="240" w:lineRule="auto"/>
              <w:jc w:val="right"/>
              <w:rPr>
                <w:rFonts w:cs="Arial"/>
                <w:sz w:val="16"/>
                <w:szCs w:val="16"/>
              </w:rPr>
            </w:pPr>
            <w:r w:rsidRPr="00B933AC">
              <w:rPr>
                <w:rFonts w:cs="Arial"/>
                <w:sz w:val="16"/>
                <w:szCs w:val="16"/>
              </w:rPr>
              <w:t>4 576</w:t>
            </w:r>
          </w:p>
        </w:tc>
        <w:tc>
          <w:tcPr>
            <w:tcW w:w="960" w:type="dxa"/>
            <w:tcBorders>
              <w:top w:val="single" w:sz="12" w:space="0" w:color="auto"/>
              <w:left w:val="nil"/>
              <w:bottom w:val="nil"/>
              <w:right w:val="nil"/>
            </w:tcBorders>
            <w:shd w:val="clear" w:color="auto" w:fill="auto"/>
            <w:noWrap/>
            <w:vAlign w:val="center"/>
            <w:hideMark/>
          </w:tcPr>
          <w:p w14:paraId="272D038D" w14:textId="77777777" w:rsidR="001B1A7F" w:rsidRPr="00B933AC" w:rsidRDefault="001B1A7F" w:rsidP="00917551">
            <w:pPr>
              <w:spacing w:after="0" w:line="240" w:lineRule="auto"/>
              <w:jc w:val="right"/>
              <w:rPr>
                <w:rFonts w:cs="Arial"/>
                <w:sz w:val="16"/>
                <w:szCs w:val="16"/>
              </w:rPr>
            </w:pPr>
            <w:r w:rsidRPr="00B933AC">
              <w:rPr>
                <w:rFonts w:cs="Arial"/>
                <w:sz w:val="16"/>
                <w:szCs w:val="16"/>
              </w:rPr>
              <w:t>9,9</w:t>
            </w:r>
          </w:p>
        </w:tc>
        <w:tc>
          <w:tcPr>
            <w:tcW w:w="960" w:type="dxa"/>
            <w:tcBorders>
              <w:top w:val="nil"/>
              <w:left w:val="nil"/>
              <w:bottom w:val="nil"/>
              <w:right w:val="nil"/>
            </w:tcBorders>
            <w:shd w:val="clear" w:color="auto" w:fill="auto"/>
            <w:noWrap/>
            <w:vAlign w:val="bottom"/>
            <w:hideMark/>
          </w:tcPr>
          <w:p w14:paraId="04EDECE7" w14:textId="77777777" w:rsidR="001B1A7F" w:rsidRPr="00B933AC" w:rsidRDefault="001B1A7F" w:rsidP="00917551">
            <w:pPr>
              <w:spacing w:after="0" w:line="240" w:lineRule="auto"/>
              <w:jc w:val="right"/>
              <w:rPr>
                <w:rFonts w:cs="Arial"/>
                <w:sz w:val="16"/>
                <w:szCs w:val="16"/>
              </w:rPr>
            </w:pPr>
          </w:p>
        </w:tc>
        <w:tc>
          <w:tcPr>
            <w:tcW w:w="960" w:type="dxa"/>
            <w:tcBorders>
              <w:top w:val="nil"/>
              <w:left w:val="nil"/>
              <w:bottom w:val="nil"/>
              <w:right w:val="nil"/>
            </w:tcBorders>
            <w:shd w:val="clear" w:color="auto" w:fill="auto"/>
            <w:noWrap/>
            <w:vAlign w:val="bottom"/>
            <w:hideMark/>
          </w:tcPr>
          <w:p w14:paraId="36A601A2"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199961AC" w14:textId="77777777" w:rsidR="001B1A7F" w:rsidRPr="00B933AC" w:rsidRDefault="001B1A7F" w:rsidP="00917551">
            <w:pPr>
              <w:spacing w:after="0" w:line="240" w:lineRule="auto"/>
              <w:rPr>
                <w:rFonts w:ascii="Times New Roman" w:hAnsi="Times New Roman"/>
                <w:szCs w:val="20"/>
              </w:rPr>
            </w:pPr>
          </w:p>
        </w:tc>
      </w:tr>
      <w:tr w:rsidR="001B1A7F" w:rsidRPr="00B933AC" w14:paraId="01F0124D" w14:textId="77777777" w:rsidTr="00FC01AA">
        <w:trPr>
          <w:trHeight w:val="290"/>
        </w:trPr>
        <w:tc>
          <w:tcPr>
            <w:tcW w:w="960" w:type="dxa"/>
            <w:tcBorders>
              <w:top w:val="nil"/>
              <w:left w:val="nil"/>
              <w:bottom w:val="nil"/>
              <w:right w:val="nil"/>
            </w:tcBorders>
            <w:shd w:val="clear" w:color="auto" w:fill="auto"/>
            <w:noWrap/>
            <w:vAlign w:val="center"/>
            <w:hideMark/>
          </w:tcPr>
          <w:p w14:paraId="625436BD" w14:textId="77777777" w:rsidR="001B1A7F" w:rsidRPr="00B933AC" w:rsidRDefault="001B1A7F" w:rsidP="008F131A">
            <w:pPr>
              <w:spacing w:after="0" w:line="240" w:lineRule="auto"/>
              <w:rPr>
                <w:rFonts w:cs="Arial"/>
                <w:color w:val="000000"/>
                <w:sz w:val="16"/>
                <w:szCs w:val="16"/>
              </w:rPr>
            </w:pPr>
            <w:r w:rsidRPr="00B933AC">
              <w:rPr>
                <w:rFonts w:cs="Arial"/>
                <w:color w:val="000000"/>
                <w:sz w:val="16"/>
                <w:szCs w:val="16"/>
              </w:rPr>
              <w:t>2006</w:t>
            </w:r>
          </w:p>
        </w:tc>
        <w:tc>
          <w:tcPr>
            <w:tcW w:w="960" w:type="dxa"/>
            <w:tcBorders>
              <w:top w:val="nil"/>
              <w:left w:val="single" w:sz="8" w:space="0" w:color="auto"/>
              <w:bottom w:val="nil"/>
              <w:right w:val="single" w:sz="8" w:space="0" w:color="auto"/>
            </w:tcBorders>
            <w:shd w:val="clear" w:color="auto" w:fill="auto"/>
            <w:noWrap/>
            <w:vAlign w:val="center"/>
            <w:hideMark/>
          </w:tcPr>
          <w:p w14:paraId="53C4CC39" w14:textId="77777777" w:rsidR="001B1A7F" w:rsidRPr="00B933AC" w:rsidRDefault="001B1A7F" w:rsidP="00917551">
            <w:pPr>
              <w:spacing w:after="0" w:line="240" w:lineRule="auto"/>
              <w:jc w:val="right"/>
              <w:rPr>
                <w:rFonts w:cs="Arial"/>
                <w:sz w:val="16"/>
                <w:szCs w:val="16"/>
              </w:rPr>
            </w:pPr>
            <w:r w:rsidRPr="00B933AC">
              <w:rPr>
                <w:rFonts w:cs="Arial"/>
                <w:sz w:val="16"/>
                <w:szCs w:val="16"/>
              </w:rPr>
              <w:t>44 462</w:t>
            </w:r>
          </w:p>
        </w:tc>
        <w:tc>
          <w:tcPr>
            <w:tcW w:w="960" w:type="dxa"/>
            <w:tcBorders>
              <w:top w:val="nil"/>
              <w:left w:val="nil"/>
              <w:bottom w:val="nil"/>
              <w:right w:val="single" w:sz="8" w:space="0" w:color="auto"/>
            </w:tcBorders>
            <w:shd w:val="clear" w:color="auto" w:fill="auto"/>
            <w:noWrap/>
            <w:vAlign w:val="center"/>
            <w:hideMark/>
          </w:tcPr>
          <w:p w14:paraId="3FDB7F33" w14:textId="77777777" w:rsidR="001B1A7F" w:rsidRPr="00B933AC" w:rsidRDefault="001B1A7F" w:rsidP="00917551">
            <w:pPr>
              <w:spacing w:after="0" w:line="240" w:lineRule="auto"/>
              <w:jc w:val="right"/>
              <w:rPr>
                <w:rFonts w:cs="Arial"/>
                <w:sz w:val="16"/>
                <w:szCs w:val="16"/>
              </w:rPr>
            </w:pPr>
            <w:r w:rsidRPr="00B933AC">
              <w:rPr>
                <w:rFonts w:cs="Arial"/>
                <w:sz w:val="16"/>
                <w:szCs w:val="16"/>
              </w:rPr>
              <w:t>4 535</w:t>
            </w:r>
          </w:p>
        </w:tc>
        <w:tc>
          <w:tcPr>
            <w:tcW w:w="960" w:type="dxa"/>
            <w:tcBorders>
              <w:top w:val="nil"/>
              <w:left w:val="nil"/>
              <w:bottom w:val="nil"/>
              <w:right w:val="nil"/>
            </w:tcBorders>
            <w:shd w:val="clear" w:color="auto" w:fill="auto"/>
            <w:noWrap/>
            <w:vAlign w:val="center"/>
            <w:hideMark/>
          </w:tcPr>
          <w:p w14:paraId="62AB8EDB" w14:textId="77777777" w:rsidR="001B1A7F" w:rsidRPr="00B933AC" w:rsidRDefault="001B1A7F" w:rsidP="00917551">
            <w:pPr>
              <w:spacing w:after="0" w:line="240" w:lineRule="auto"/>
              <w:jc w:val="right"/>
              <w:rPr>
                <w:rFonts w:cs="Arial"/>
                <w:sz w:val="16"/>
                <w:szCs w:val="16"/>
              </w:rPr>
            </w:pPr>
            <w:r w:rsidRPr="00B933AC">
              <w:rPr>
                <w:rFonts w:cs="Arial"/>
                <w:sz w:val="16"/>
                <w:szCs w:val="16"/>
              </w:rPr>
              <w:t>10,2</w:t>
            </w:r>
          </w:p>
        </w:tc>
        <w:tc>
          <w:tcPr>
            <w:tcW w:w="960" w:type="dxa"/>
            <w:tcBorders>
              <w:top w:val="nil"/>
              <w:left w:val="nil"/>
              <w:bottom w:val="nil"/>
              <w:right w:val="nil"/>
            </w:tcBorders>
            <w:shd w:val="clear" w:color="auto" w:fill="auto"/>
            <w:noWrap/>
            <w:vAlign w:val="bottom"/>
            <w:hideMark/>
          </w:tcPr>
          <w:p w14:paraId="6A9464C3" w14:textId="77777777" w:rsidR="001B1A7F" w:rsidRPr="00B933AC" w:rsidRDefault="001B1A7F" w:rsidP="00917551">
            <w:pPr>
              <w:spacing w:after="0" w:line="240" w:lineRule="auto"/>
              <w:jc w:val="right"/>
              <w:rPr>
                <w:rFonts w:cs="Arial"/>
                <w:sz w:val="16"/>
                <w:szCs w:val="16"/>
              </w:rPr>
            </w:pPr>
          </w:p>
        </w:tc>
        <w:tc>
          <w:tcPr>
            <w:tcW w:w="960" w:type="dxa"/>
            <w:tcBorders>
              <w:top w:val="nil"/>
              <w:left w:val="nil"/>
              <w:bottom w:val="nil"/>
              <w:right w:val="nil"/>
            </w:tcBorders>
            <w:shd w:val="clear" w:color="auto" w:fill="auto"/>
            <w:noWrap/>
            <w:vAlign w:val="bottom"/>
            <w:hideMark/>
          </w:tcPr>
          <w:p w14:paraId="59EA7AAF"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1371705B" w14:textId="77777777" w:rsidR="001B1A7F" w:rsidRPr="00B933AC" w:rsidRDefault="001B1A7F" w:rsidP="00917551">
            <w:pPr>
              <w:spacing w:after="0" w:line="240" w:lineRule="auto"/>
              <w:rPr>
                <w:rFonts w:ascii="Times New Roman" w:hAnsi="Times New Roman"/>
                <w:szCs w:val="20"/>
              </w:rPr>
            </w:pPr>
          </w:p>
        </w:tc>
      </w:tr>
      <w:tr w:rsidR="001B1A7F" w:rsidRPr="00B933AC" w14:paraId="1424E608" w14:textId="77777777" w:rsidTr="00FC01AA">
        <w:trPr>
          <w:trHeight w:val="290"/>
        </w:trPr>
        <w:tc>
          <w:tcPr>
            <w:tcW w:w="960" w:type="dxa"/>
            <w:tcBorders>
              <w:top w:val="nil"/>
              <w:left w:val="nil"/>
              <w:bottom w:val="nil"/>
              <w:right w:val="nil"/>
            </w:tcBorders>
            <w:shd w:val="clear" w:color="auto" w:fill="auto"/>
            <w:noWrap/>
            <w:vAlign w:val="center"/>
            <w:hideMark/>
          </w:tcPr>
          <w:p w14:paraId="71FAD322" w14:textId="77777777" w:rsidR="001B1A7F" w:rsidRPr="00B933AC" w:rsidRDefault="001B1A7F" w:rsidP="008F131A">
            <w:pPr>
              <w:spacing w:after="0" w:line="240" w:lineRule="auto"/>
              <w:rPr>
                <w:rFonts w:cs="Arial"/>
                <w:color w:val="000000"/>
                <w:sz w:val="16"/>
                <w:szCs w:val="16"/>
              </w:rPr>
            </w:pPr>
            <w:r w:rsidRPr="00B933AC">
              <w:rPr>
                <w:rFonts w:cs="Arial"/>
                <w:color w:val="000000"/>
                <w:sz w:val="16"/>
                <w:szCs w:val="16"/>
              </w:rPr>
              <w:t>2007</w:t>
            </w:r>
          </w:p>
        </w:tc>
        <w:tc>
          <w:tcPr>
            <w:tcW w:w="960" w:type="dxa"/>
            <w:tcBorders>
              <w:top w:val="nil"/>
              <w:left w:val="single" w:sz="8" w:space="0" w:color="auto"/>
              <w:bottom w:val="nil"/>
              <w:right w:val="single" w:sz="8" w:space="0" w:color="auto"/>
            </w:tcBorders>
            <w:shd w:val="clear" w:color="auto" w:fill="auto"/>
            <w:noWrap/>
            <w:vAlign w:val="center"/>
            <w:hideMark/>
          </w:tcPr>
          <w:p w14:paraId="3E82C447" w14:textId="77777777" w:rsidR="001B1A7F" w:rsidRPr="00B933AC" w:rsidRDefault="001B1A7F" w:rsidP="00917551">
            <w:pPr>
              <w:spacing w:after="0" w:line="240" w:lineRule="auto"/>
              <w:jc w:val="right"/>
              <w:rPr>
                <w:rFonts w:cs="Arial"/>
                <w:sz w:val="16"/>
                <w:szCs w:val="16"/>
              </w:rPr>
            </w:pPr>
            <w:r w:rsidRPr="00B933AC">
              <w:rPr>
                <w:rFonts w:cs="Arial"/>
                <w:sz w:val="16"/>
                <w:szCs w:val="16"/>
              </w:rPr>
              <w:t>45 523</w:t>
            </w:r>
          </w:p>
        </w:tc>
        <w:tc>
          <w:tcPr>
            <w:tcW w:w="960" w:type="dxa"/>
            <w:tcBorders>
              <w:top w:val="nil"/>
              <w:left w:val="nil"/>
              <w:bottom w:val="nil"/>
              <w:right w:val="single" w:sz="8" w:space="0" w:color="auto"/>
            </w:tcBorders>
            <w:shd w:val="clear" w:color="auto" w:fill="auto"/>
            <w:noWrap/>
            <w:vAlign w:val="center"/>
            <w:hideMark/>
          </w:tcPr>
          <w:p w14:paraId="39B0AB30" w14:textId="77777777" w:rsidR="001B1A7F" w:rsidRPr="00B933AC" w:rsidRDefault="001B1A7F" w:rsidP="00917551">
            <w:pPr>
              <w:spacing w:after="0" w:line="240" w:lineRule="auto"/>
              <w:jc w:val="right"/>
              <w:rPr>
                <w:rFonts w:cs="Arial"/>
                <w:sz w:val="16"/>
                <w:szCs w:val="16"/>
              </w:rPr>
            </w:pPr>
            <w:r w:rsidRPr="00B933AC">
              <w:rPr>
                <w:rFonts w:cs="Arial"/>
                <w:sz w:val="16"/>
                <w:szCs w:val="16"/>
              </w:rPr>
              <w:t>4 181</w:t>
            </w:r>
          </w:p>
        </w:tc>
        <w:tc>
          <w:tcPr>
            <w:tcW w:w="960" w:type="dxa"/>
            <w:tcBorders>
              <w:top w:val="nil"/>
              <w:left w:val="nil"/>
              <w:bottom w:val="nil"/>
              <w:right w:val="nil"/>
            </w:tcBorders>
            <w:shd w:val="clear" w:color="auto" w:fill="auto"/>
            <w:noWrap/>
            <w:vAlign w:val="center"/>
            <w:hideMark/>
          </w:tcPr>
          <w:p w14:paraId="49A430A5" w14:textId="77777777" w:rsidR="001B1A7F" w:rsidRPr="00B933AC" w:rsidRDefault="001B1A7F" w:rsidP="00917551">
            <w:pPr>
              <w:spacing w:after="0" w:line="240" w:lineRule="auto"/>
              <w:jc w:val="right"/>
              <w:rPr>
                <w:rFonts w:cs="Arial"/>
                <w:sz w:val="16"/>
                <w:szCs w:val="16"/>
              </w:rPr>
            </w:pPr>
            <w:r w:rsidRPr="00B933AC">
              <w:rPr>
                <w:rFonts w:cs="Arial"/>
                <w:sz w:val="16"/>
                <w:szCs w:val="16"/>
              </w:rPr>
              <w:t>9,2</w:t>
            </w:r>
          </w:p>
        </w:tc>
        <w:tc>
          <w:tcPr>
            <w:tcW w:w="960" w:type="dxa"/>
            <w:tcBorders>
              <w:top w:val="nil"/>
              <w:left w:val="nil"/>
              <w:bottom w:val="nil"/>
              <w:right w:val="nil"/>
            </w:tcBorders>
            <w:shd w:val="clear" w:color="auto" w:fill="auto"/>
            <w:noWrap/>
            <w:vAlign w:val="bottom"/>
            <w:hideMark/>
          </w:tcPr>
          <w:p w14:paraId="3AEB0C79" w14:textId="77777777" w:rsidR="001B1A7F" w:rsidRPr="00B933AC" w:rsidRDefault="001B1A7F" w:rsidP="00917551">
            <w:pPr>
              <w:spacing w:after="0" w:line="240" w:lineRule="auto"/>
              <w:jc w:val="right"/>
              <w:rPr>
                <w:rFonts w:cs="Arial"/>
                <w:sz w:val="16"/>
                <w:szCs w:val="16"/>
              </w:rPr>
            </w:pPr>
          </w:p>
        </w:tc>
        <w:tc>
          <w:tcPr>
            <w:tcW w:w="960" w:type="dxa"/>
            <w:tcBorders>
              <w:top w:val="nil"/>
              <w:left w:val="nil"/>
              <w:bottom w:val="nil"/>
              <w:right w:val="nil"/>
            </w:tcBorders>
            <w:shd w:val="clear" w:color="auto" w:fill="auto"/>
            <w:noWrap/>
            <w:vAlign w:val="bottom"/>
            <w:hideMark/>
          </w:tcPr>
          <w:p w14:paraId="664A5253"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4C452839" w14:textId="77777777" w:rsidR="001B1A7F" w:rsidRPr="00B933AC" w:rsidRDefault="001B1A7F" w:rsidP="00917551">
            <w:pPr>
              <w:spacing w:after="0" w:line="240" w:lineRule="auto"/>
              <w:rPr>
                <w:rFonts w:ascii="Times New Roman" w:hAnsi="Times New Roman"/>
                <w:szCs w:val="20"/>
              </w:rPr>
            </w:pPr>
          </w:p>
        </w:tc>
      </w:tr>
      <w:tr w:rsidR="001B1A7F" w:rsidRPr="00B933AC" w14:paraId="29F39010" w14:textId="77777777" w:rsidTr="00FC01AA">
        <w:trPr>
          <w:trHeight w:val="290"/>
        </w:trPr>
        <w:tc>
          <w:tcPr>
            <w:tcW w:w="960" w:type="dxa"/>
            <w:tcBorders>
              <w:top w:val="nil"/>
              <w:left w:val="nil"/>
              <w:bottom w:val="nil"/>
              <w:right w:val="nil"/>
            </w:tcBorders>
            <w:shd w:val="clear" w:color="auto" w:fill="auto"/>
            <w:noWrap/>
            <w:vAlign w:val="center"/>
            <w:hideMark/>
          </w:tcPr>
          <w:p w14:paraId="669973C8" w14:textId="77777777" w:rsidR="001B1A7F" w:rsidRPr="00B933AC" w:rsidRDefault="001B1A7F" w:rsidP="008F131A">
            <w:pPr>
              <w:spacing w:after="0" w:line="240" w:lineRule="auto"/>
              <w:rPr>
                <w:rFonts w:cs="Arial"/>
                <w:color w:val="000000"/>
                <w:sz w:val="16"/>
                <w:szCs w:val="16"/>
              </w:rPr>
            </w:pPr>
            <w:r w:rsidRPr="00B933AC">
              <w:rPr>
                <w:rFonts w:cs="Arial"/>
                <w:color w:val="000000"/>
                <w:sz w:val="16"/>
                <w:szCs w:val="16"/>
              </w:rPr>
              <w:t>2008</w:t>
            </w:r>
          </w:p>
        </w:tc>
        <w:tc>
          <w:tcPr>
            <w:tcW w:w="960" w:type="dxa"/>
            <w:tcBorders>
              <w:top w:val="nil"/>
              <w:left w:val="single" w:sz="8" w:space="0" w:color="auto"/>
              <w:bottom w:val="nil"/>
              <w:right w:val="single" w:sz="8" w:space="0" w:color="auto"/>
            </w:tcBorders>
            <w:shd w:val="clear" w:color="auto" w:fill="auto"/>
            <w:noWrap/>
            <w:vAlign w:val="center"/>
            <w:hideMark/>
          </w:tcPr>
          <w:p w14:paraId="27FBA64F" w14:textId="77777777" w:rsidR="001B1A7F" w:rsidRPr="00B933AC" w:rsidRDefault="001B1A7F" w:rsidP="00917551">
            <w:pPr>
              <w:spacing w:after="0" w:line="240" w:lineRule="auto"/>
              <w:jc w:val="right"/>
              <w:rPr>
                <w:rFonts w:cs="Arial"/>
                <w:sz w:val="16"/>
                <w:szCs w:val="16"/>
              </w:rPr>
            </w:pPr>
            <w:r w:rsidRPr="00B933AC">
              <w:rPr>
                <w:rFonts w:cs="Arial"/>
                <w:sz w:val="16"/>
                <w:szCs w:val="16"/>
              </w:rPr>
              <w:t>43 725</w:t>
            </w:r>
          </w:p>
        </w:tc>
        <w:tc>
          <w:tcPr>
            <w:tcW w:w="960" w:type="dxa"/>
            <w:tcBorders>
              <w:top w:val="nil"/>
              <w:left w:val="nil"/>
              <w:bottom w:val="nil"/>
              <w:right w:val="single" w:sz="8" w:space="0" w:color="auto"/>
            </w:tcBorders>
            <w:shd w:val="clear" w:color="auto" w:fill="auto"/>
            <w:noWrap/>
            <w:vAlign w:val="center"/>
            <w:hideMark/>
          </w:tcPr>
          <w:p w14:paraId="7C27F8B1" w14:textId="77777777" w:rsidR="001B1A7F" w:rsidRPr="00B933AC" w:rsidRDefault="001B1A7F" w:rsidP="00917551">
            <w:pPr>
              <w:spacing w:after="0" w:line="240" w:lineRule="auto"/>
              <w:jc w:val="right"/>
              <w:rPr>
                <w:rFonts w:cs="Arial"/>
                <w:sz w:val="16"/>
                <w:szCs w:val="16"/>
              </w:rPr>
            </w:pPr>
            <w:r w:rsidRPr="00B933AC">
              <w:rPr>
                <w:rFonts w:cs="Arial"/>
                <w:sz w:val="16"/>
                <w:szCs w:val="16"/>
              </w:rPr>
              <w:t>4 191</w:t>
            </w:r>
          </w:p>
        </w:tc>
        <w:tc>
          <w:tcPr>
            <w:tcW w:w="960" w:type="dxa"/>
            <w:tcBorders>
              <w:top w:val="nil"/>
              <w:left w:val="nil"/>
              <w:bottom w:val="nil"/>
              <w:right w:val="nil"/>
            </w:tcBorders>
            <w:shd w:val="clear" w:color="auto" w:fill="auto"/>
            <w:noWrap/>
            <w:vAlign w:val="center"/>
            <w:hideMark/>
          </w:tcPr>
          <w:p w14:paraId="247C8FE5" w14:textId="77777777" w:rsidR="001B1A7F" w:rsidRPr="00B933AC" w:rsidRDefault="001B1A7F" w:rsidP="00917551">
            <w:pPr>
              <w:spacing w:after="0" w:line="240" w:lineRule="auto"/>
              <w:jc w:val="right"/>
              <w:rPr>
                <w:rFonts w:cs="Arial"/>
                <w:sz w:val="16"/>
                <w:szCs w:val="16"/>
              </w:rPr>
            </w:pPr>
            <w:r w:rsidRPr="00B933AC">
              <w:rPr>
                <w:rFonts w:cs="Arial"/>
                <w:sz w:val="16"/>
                <w:szCs w:val="16"/>
              </w:rPr>
              <w:t>9,6</w:t>
            </w:r>
          </w:p>
        </w:tc>
        <w:tc>
          <w:tcPr>
            <w:tcW w:w="960" w:type="dxa"/>
            <w:tcBorders>
              <w:top w:val="nil"/>
              <w:left w:val="nil"/>
              <w:bottom w:val="nil"/>
              <w:right w:val="nil"/>
            </w:tcBorders>
            <w:shd w:val="clear" w:color="auto" w:fill="auto"/>
            <w:noWrap/>
            <w:vAlign w:val="bottom"/>
            <w:hideMark/>
          </w:tcPr>
          <w:p w14:paraId="59A905C1" w14:textId="77777777" w:rsidR="001B1A7F" w:rsidRPr="00B933AC" w:rsidRDefault="001B1A7F" w:rsidP="00917551">
            <w:pPr>
              <w:spacing w:after="0" w:line="240" w:lineRule="auto"/>
              <w:jc w:val="right"/>
              <w:rPr>
                <w:rFonts w:cs="Arial"/>
                <w:sz w:val="16"/>
                <w:szCs w:val="16"/>
              </w:rPr>
            </w:pPr>
          </w:p>
        </w:tc>
        <w:tc>
          <w:tcPr>
            <w:tcW w:w="960" w:type="dxa"/>
            <w:tcBorders>
              <w:top w:val="nil"/>
              <w:left w:val="nil"/>
              <w:bottom w:val="nil"/>
              <w:right w:val="nil"/>
            </w:tcBorders>
            <w:shd w:val="clear" w:color="auto" w:fill="auto"/>
            <w:noWrap/>
            <w:vAlign w:val="bottom"/>
            <w:hideMark/>
          </w:tcPr>
          <w:p w14:paraId="444E947B"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15A30495" w14:textId="77777777" w:rsidR="001B1A7F" w:rsidRPr="00B933AC" w:rsidRDefault="001B1A7F" w:rsidP="00917551">
            <w:pPr>
              <w:spacing w:after="0" w:line="240" w:lineRule="auto"/>
              <w:rPr>
                <w:rFonts w:ascii="Times New Roman" w:hAnsi="Times New Roman"/>
                <w:szCs w:val="20"/>
              </w:rPr>
            </w:pPr>
          </w:p>
        </w:tc>
      </w:tr>
      <w:tr w:rsidR="001B1A7F" w:rsidRPr="00B933AC" w14:paraId="0A36DD87" w14:textId="77777777" w:rsidTr="00FC01AA">
        <w:trPr>
          <w:trHeight w:val="290"/>
        </w:trPr>
        <w:tc>
          <w:tcPr>
            <w:tcW w:w="960" w:type="dxa"/>
            <w:tcBorders>
              <w:top w:val="nil"/>
              <w:left w:val="nil"/>
              <w:bottom w:val="nil"/>
              <w:right w:val="nil"/>
            </w:tcBorders>
            <w:shd w:val="clear" w:color="auto" w:fill="auto"/>
            <w:noWrap/>
            <w:vAlign w:val="center"/>
            <w:hideMark/>
          </w:tcPr>
          <w:p w14:paraId="7FEA77AC" w14:textId="77777777" w:rsidR="001B1A7F" w:rsidRPr="00B933AC" w:rsidRDefault="001B1A7F" w:rsidP="008F131A">
            <w:pPr>
              <w:spacing w:after="0" w:line="240" w:lineRule="auto"/>
              <w:rPr>
                <w:rFonts w:cs="Arial"/>
                <w:color w:val="000000"/>
                <w:sz w:val="16"/>
                <w:szCs w:val="16"/>
              </w:rPr>
            </w:pPr>
            <w:r w:rsidRPr="00B933AC">
              <w:rPr>
                <w:rFonts w:cs="Arial"/>
                <w:color w:val="000000"/>
                <w:sz w:val="16"/>
                <w:szCs w:val="16"/>
              </w:rPr>
              <w:t>2009</w:t>
            </w:r>
          </w:p>
        </w:tc>
        <w:tc>
          <w:tcPr>
            <w:tcW w:w="960" w:type="dxa"/>
            <w:tcBorders>
              <w:top w:val="nil"/>
              <w:left w:val="single" w:sz="8" w:space="0" w:color="auto"/>
              <w:bottom w:val="nil"/>
              <w:right w:val="single" w:sz="8" w:space="0" w:color="auto"/>
            </w:tcBorders>
            <w:shd w:val="clear" w:color="auto" w:fill="auto"/>
            <w:noWrap/>
            <w:vAlign w:val="center"/>
            <w:hideMark/>
          </w:tcPr>
          <w:p w14:paraId="60FDF4B9" w14:textId="77777777" w:rsidR="001B1A7F" w:rsidRPr="00B933AC" w:rsidRDefault="001B1A7F" w:rsidP="00917551">
            <w:pPr>
              <w:spacing w:after="0" w:line="240" w:lineRule="auto"/>
              <w:jc w:val="right"/>
              <w:rPr>
                <w:rFonts w:cs="Arial"/>
                <w:sz w:val="16"/>
                <w:szCs w:val="16"/>
              </w:rPr>
            </w:pPr>
            <w:r w:rsidRPr="00B933AC">
              <w:rPr>
                <w:rFonts w:cs="Arial"/>
                <w:sz w:val="16"/>
                <w:szCs w:val="16"/>
              </w:rPr>
              <w:t>37 967</w:t>
            </w:r>
          </w:p>
        </w:tc>
        <w:tc>
          <w:tcPr>
            <w:tcW w:w="960" w:type="dxa"/>
            <w:tcBorders>
              <w:top w:val="nil"/>
              <w:left w:val="nil"/>
              <w:bottom w:val="nil"/>
              <w:right w:val="single" w:sz="8" w:space="0" w:color="auto"/>
            </w:tcBorders>
            <w:shd w:val="clear" w:color="auto" w:fill="auto"/>
            <w:noWrap/>
            <w:vAlign w:val="center"/>
            <w:hideMark/>
          </w:tcPr>
          <w:p w14:paraId="09A24523" w14:textId="77777777" w:rsidR="001B1A7F" w:rsidRPr="00B933AC" w:rsidRDefault="001B1A7F" w:rsidP="00917551">
            <w:pPr>
              <w:spacing w:after="0" w:line="240" w:lineRule="auto"/>
              <w:jc w:val="right"/>
              <w:rPr>
                <w:rFonts w:cs="Arial"/>
                <w:sz w:val="16"/>
                <w:szCs w:val="16"/>
              </w:rPr>
            </w:pPr>
            <w:r w:rsidRPr="00B933AC">
              <w:rPr>
                <w:rFonts w:cs="Arial"/>
                <w:sz w:val="16"/>
                <w:szCs w:val="16"/>
              </w:rPr>
              <w:t>4 591</w:t>
            </w:r>
          </w:p>
        </w:tc>
        <w:tc>
          <w:tcPr>
            <w:tcW w:w="960" w:type="dxa"/>
            <w:tcBorders>
              <w:top w:val="nil"/>
              <w:left w:val="nil"/>
              <w:bottom w:val="nil"/>
              <w:right w:val="nil"/>
            </w:tcBorders>
            <w:shd w:val="clear" w:color="auto" w:fill="auto"/>
            <w:noWrap/>
            <w:vAlign w:val="center"/>
            <w:hideMark/>
          </w:tcPr>
          <w:p w14:paraId="314300B8" w14:textId="77777777" w:rsidR="001B1A7F" w:rsidRPr="00B933AC" w:rsidRDefault="001B1A7F" w:rsidP="00917551">
            <w:pPr>
              <w:spacing w:after="0" w:line="240" w:lineRule="auto"/>
              <w:jc w:val="right"/>
              <w:rPr>
                <w:rFonts w:cs="Arial"/>
                <w:sz w:val="16"/>
                <w:szCs w:val="16"/>
              </w:rPr>
            </w:pPr>
            <w:r w:rsidRPr="00B933AC">
              <w:rPr>
                <w:rFonts w:cs="Arial"/>
                <w:sz w:val="16"/>
                <w:szCs w:val="16"/>
              </w:rPr>
              <w:t>12,1</w:t>
            </w:r>
          </w:p>
        </w:tc>
        <w:tc>
          <w:tcPr>
            <w:tcW w:w="960" w:type="dxa"/>
            <w:tcBorders>
              <w:top w:val="nil"/>
              <w:left w:val="nil"/>
              <w:bottom w:val="nil"/>
              <w:right w:val="nil"/>
            </w:tcBorders>
            <w:shd w:val="clear" w:color="auto" w:fill="auto"/>
            <w:noWrap/>
            <w:vAlign w:val="bottom"/>
            <w:hideMark/>
          </w:tcPr>
          <w:p w14:paraId="727F64BD" w14:textId="77777777" w:rsidR="001B1A7F" w:rsidRPr="00B933AC" w:rsidRDefault="001B1A7F" w:rsidP="00917551">
            <w:pPr>
              <w:spacing w:after="0" w:line="240" w:lineRule="auto"/>
              <w:jc w:val="right"/>
              <w:rPr>
                <w:rFonts w:cs="Arial"/>
                <w:sz w:val="16"/>
                <w:szCs w:val="16"/>
              </w:rPr>
            </w:pPr>
          </w:p>
        </w:tc>
        <w:tc>
          <w:tcPr>
            <w:tcW w:w="960" w:type="dxa"/>
            <w:tcBorders>
              <w:top w:val="nil"/>
              <w:left w:val="nil"/>
              <w:bottom w:val="nil"/>
              <w:right w:val="nil"/>
            </w:tcBorders>
            <w:shd w:val="clear" w:color="auto" w:fill="auto"/>
            <w:noWrap/>
            <w:vAlign w:val="bottom"/>
            <w:hideMark/>
          </w:tcPr>
          <w:p w14:paraId="1C4894F5"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27873CDE" w14:textId="77777777" w:rsidR="001B1A7F" w:rsidRPr="00B933AC" w:rsidRDefault="001B1A7F" w:rsidP="00917551">
            <w:pPr>
              <w:spacing w:after="0" w:line="240" w:lineRule="auto"/>
              <w:rPr>
                <w:rFonts w:ascii="Times New Roman" w:hAnsi="Times New Roman"/>
                <w:szCs w:val="20"/>
              </w:rPr>
            </w:pPr>
          </w:p>
        </w:tc>
      </w:tr>
      <w:tr w:rsidR="001B1A7F" w:rsidRPr="00B933AC" w14:paraId="621B6A03" w14:textId="77777777" w:rsidTr="00FC01AA">
        <w:trPr>
          <w:trHeight w:val="290"/>
        </w:trPr>
        <w:tc>
          <w:tcPr>
            <w:tcW w:w="960" w:type="dxa"/>
            <w:tcBorders>
              <w:top w:val="nil"/>
              <w:left w:val="nil"/>
              <w:bottom w:val="nil"/>
              <w:right w:val="nil"/>
            </w:tcBorders>
            <w:shd w:val="clear" w:color="auto" w:fill="auto"/>
            <w:noWrap/>
            <w:vAlign w:val="center"/>
            <w:hideMark/>
          </w:tcPr>
          <w:p w14:paraId="75DD4574" w14:textId="77777777" w:rsidR="001B1A7F" w:rsidRPr="00B933AC" w:rsidRDefault="001B1A7F" w:rsidP="008F131A">
            <w:pPr>
              <w:spacing w:after="0" w:line="240" w:lineRule="auto"/>
              <w:rPr>
                <w:rFonts w:cs="Arial"/>
                <w:color w:val="000000"/>
                <w:sz w:val="16"/>
                <w:szCs w:val="16"/>
              </w:rPr>
            </w:pPr>
            <w:r w:rsidRPr="00B933AC">
              <w:rPr>
                <w:rFonts w:cs="Arial"/>
                <w:color w:val="000000"/>
                <w:sz w:val="16"/>
                <w:szCs w:val="16"/>
              </w:rPr>
              <w:t>2010</w:t>
            </w:r>
          </w:p>
        </w:tc>
        <w:tc>
          <w:tcPr>
            <w:tcW w:w="960" w:type="dxa"/>
            <w:tcBorders>
              <w:top w:val="nil"/>
              <w:left w:val="single" w:sz="8" w:space="0" w:color="auto"/>
              <w:bottom w:val="nil"/>
              <w:right w:val="single" w:sz="8" w:space="0" w:color="auto"/>
            </w:tcBorders>
            <w:shd w:val="clear" w:color="auto" w:fill="auto"/>
            <w:noWrap/>
            <w:vAlign w:val="center"/>
            <w:hideMark/>
          </w:tcPr>
          <w:p w14:paraId="44BE62EF" w14:textId="77777777" w:rsidR="001B1A7F" w:rsidRPr="00B933AC" w:rsidRDefault="001B1A7F" w:rsidP="00917551">
            <w:pPr>
              <w:spacing w:after="0" w:line="240" w:lineRule="auto"/>
              <w:jc w:val="right"/>
              <w:rPr>
                <w:rFonts w:cs="Arial"/>
                <w:sz w:val="16"/>
                <w:szCs w:val="16"/>
              </w:rPr>
            </w:pPr>
            <w:r w:rsidRPr="00B933AC">
              <w:rPr>
                <w:rFonts w:cs="Arial"/>
                <w:sz w:val="16"/>
                <w:szCs w:val="16"/>
              </w:rPr>
              <w:t>39 224</w:t>
            </w:r>
          </w:p>
        </w:tc>
        <w:tc>
          <w:tcPr>
            <w:tcW w:w="960" w:type="dxa"/>
            <w:tcBorders>
              <w:top w:val="nil"/>
              <w:left w:val="nil"/>
              <w:bottom w:val="nil"/>
              <w:right w:val="single" w:sz="8" w:space="0" w:color="auto"/>
            </w:tcBorders>
            <w:shd w:val="clear" w:color="auto" w:fill="auto"/>
            <w:noWrap/>
            <w:vAlign w:val="center"/>
            <w:hideMark/>
          </w:tcPr>
          <w:p w14:paraId="56E644F6" w14:textId="77777777" w:rsidR="001B1A7F" w:rsidRPr="00B933AC" w:rsidRDefault="001B1A7F" w:rsidP="00917551">
            <w:pPr>
              <w:spacing w:after="0" w:line="240" w:lineRule="auto"/>
              <w:jc w:val="right"/>
              <w:rPr>
                <w:rFonts w:cs="Arial"/>
                <w:sz w:val="16"/>
                <w:szCs w:val="16"/>
              </w:rPr>
            </w:pPr>
            <w:r w:rsidRPr="00B933AC">
              <w:rPr>
                <w:rFonts w:cs="Arial"/>
                <w:sz w:val="16"/>
                <w:szCs w:val="16"/>
              </w:rPr>
              <w:t>4 397</w:t>
            </w:r>
          </w:p>
        </w:tc>
        <w:tc>
          <w:tcPr>
            <w:tcW w:w="960" w:type="dxa"/>
            <w:tcBorders>
              <w:top w:val="nil"/>
              <w:left w:val="nil"/>
              <w:bottom w:val="nil"/>
              <w:right w:val="nil"/>
            </w:tcBorders>
            <w:shd w:val="clear" w:color="auto" w:fill="auto"/>
            <w:noWrap/>
            <w:vAlign w:val="center"/>
            <w:hideMark/>
          </w:tcPr>
          <w:p w14:paraId="5AF07EE9" w14:textId="77777777" w:rsidR="001B1A7F" w:rsidRPr="00B933AC" w:rsidRDefault="001B1A7F" w:rsidP="00917551">
            <w:pPr>
              <w:spacing w:after="0" w:line="240" w:lineRule="auto"/>
              <w:jc w:val="right"/>
              <w:rPr>
                <w:rFonts w:cs="Arial"/>
                <w:sz w:val="16"/>
                <w:szCs w:val="16"/>
              </w:rPr>
            </w:pPr>
            <w:r w:rsidRPr="00B933AC">
              <w:rPr>
                <w:rFonts w:cs="Arial"/>
                <w:sz w:val="16"/>
                <w:szCs w:val="16"/>
              </w:rPr>
              <w:t>11,2</w:t>
            </w:r>
          </w:p>
        </w:tc>
        <w:tc>
          <w:tcPr>
            <w:tcW w:w="960" w:type="dxa"/>
            <w:tcBorders>
              <w:top w:val="nil"/>
              <w:left w:val="nil"/>
              <w:bottom w:val="nil"/>
              <w:right w:val="nil"/>
            </w:tcBorders>
            <w:shd w:val="clear" w:color="auto" w:fill="auto"/>
            <w:noWrap/>
            <w:vAlign w:val="bottom"/>
            <w:hideMark/>
          </w:tcPr>
          <w:p w14:paraId="57419FE9" w14:textId="77777777" w:rsidR="001B1A7F" w:rsidRPr="00B933AC" w:rsidRDefault="001B1A7F" w:rsidP="00917551">
            <w:pPr>
              <w:spacing w:after="0" w:line="240" w:lineRule="auto"/>
              <w:jc w:val="right"/>
              <w:rPr>
                <w:rFonts w:cs="Arial"/>
                <w:sz w:val="16"/>
                <w:szCs w:val="16"/>
              </w:rPr>
            </w:pPr>
          </w:p>
        </w:tc>
        <w:tc>
          <w:tcPr>
            <w:tcW w:w="960" w:type="dxa"/>
            <w:tcBorders>
              <w:top w:val="nil"/>
              <w:left w:val="nil"/>
              <w:bottom w:val="nil"/>
              <w:right w:val="nil"/>
            </w:tcBorders>
            <w:shd w:val="clear" w:color="auto" w:fill="auto"/>
            <w:noWrap/>
            <w:vAlign w:val="bottom"/>
            <w:hideMark/>
          </w:tcPr>
          <w:p w14:paraId="0BA0A3BC"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2CB620F7" w14:textId="77777777" w:rsidR="001B1A7F" w:rsidRPr="00B933AC" w:rsidRDefault="001B1A7F" w:rsidP="00917551">
            <w:pPr>
              <w:spacing w:after="0" w:line="240" w:lineRule="auto"/>
              <w:rPr>
                <w:rFonts w:ascii="Times New Roman" w:hAnsi="Times New Roman"/>
                <w:szCs w:val="20"/>
              </w:rPr>
            </w:pPr>
          </w:p>
        </w:tc>
      </w:tr>
      <w:tr w:rsidR="001B1A7F" w:rsidRPr="00B933AC" w14:paraId="5253A403" w14:textId="77777777" w:rsidTr="00FC01AA">
        <w:trPr>
          <w:trHeight w:val="290"/>
        </w:trPr>
        <w:tc>
          <w:tcPr>
            <w:tcW w:w="960" w:type="dxa"/>
            <w:tcBorders>
              <w:top w:val="nil"/>
              <w:left w:val="nil"/>
              <w:bottom w:val="nil"/>
              <w:right w:val="nil"/>
            </w:tcBorders>
            <w:shd w:val="clear" w:color="auto" w:fill="auto"/>
            <w:noWrap/>
            <w:vAlign w:val="center"/>
            <w:hideMark/>
          </w:tcPr>
          <w:p w14:paraId="50BEDD77" w14:textId="77777777" w:rsidR="001B1A7F" w:rsidRPr="00B933AC" w:rsidRDefault="001B1A7F" w:rsidP="008F131A">
            <w:pPr>
              <w:spacing w:after="0" w:line="240" w:lineRule="auto"/>
              <w:rPr>
                <w:rFonts w:cs="Arial"/>
                <w:color w:val="000000"/>
                <w:sz w:val="16"/>
                <w:szCs w:val="16"/>
              </w:rPr>
            </w:pPr>
            <w:r w:rsidRPr="00B933AC">
              <w:rPr>
                <w:rFonts w:cs="Arial"/>
                <w:color w:val="000000"/>
                <w:sz w:val="16"/>
                <w:szCs w:val="16"/>
              </w:rPr>
              <w:t>2011</w:t>
            </w:r>
          </w:p>
        </w:tc>
        <w:tc>
          <w:tcPr>
            <w:tcW w:w="960" w:type="dxa"/>
            <w:tcBorders>
              <w:top w:val="nil"/>
              <w:left w:val="single" w:sz="8" w:space="0" w:color="auto"/>
              <w:bottom w:val="nil"/>
              <w:right w:val="single" w:sz="8" w:space="0" w:color="auto"/>
            </w:tcBorders>
            <w:shd w:val="clear" w:color="auto" w:fill="auto"/>
            <w:noWrap/>
            <w:vAlign w:val="center"/>
            <w:hideMark/>
          </w:tcPr>
          <w:p w14:paraId="4542F90B" w14:textId="77777777" w:rsidR="001B1A7F" w:rsidRPr="00B933AC" w:rsidRDefault="001B1A7F" w:rsidP="00917551">
            <w:pPr>
              <w:spacing w:after="0" w:line="240" w:lineRule="auto"/>
              <w:jc w:val="right"/>
              <w:rPr>
                <w:rFonts w:cs="Arial"/>
                <w:sz w:val="16"/>
                <w:szCs w:val="16"/>
              </w:rPr>
            </w:pPr>
            <w:r w:rsidRPr="00B933AC">
              <w:rPr>
                <w:rFonts w:cs="Arial"/>
                <w:sz w:val="16"/>
                <w:szCs w:val="16"/>
              </w:rPr>
              <w:t>40 980</w:t>
            </w:r>
          </w:p>
        </w:tc>
        <w:tc>
          <w:tcPr>
            <w:tcW w:w="960" w:type="dxa"/>
            <w:tcBorders>
              <w:top w:val="nil"/>
              <w:left w:val="nil"/>
              <w:bottom w:val="nil"/>
              <w:right w:val="single" w:sz="8" w:space="0" w:color="auto"/>
            </w:tcBorders>
            <w:shd w:val="clear" w:color="auto" w:fill="auto"/>
            <w:noWrap/>
            <w:vAlign w:val="center"/>
            <w:hideMark/>
          </w:tcPr>
          <w:p w14:paraId="3558FA88" w14:textId="77777777" w:rsidR="001B1A7F" w:rsidRPr="00B933AC" w:rsidRDefault="001B1A7F" w:rsidP="00917551">
            <w:pPr>
              <w:spacing w:after="0" w:line="240" w:lineRule="auto"/>
              <w:jc w:val="right"/>
              <w:rPr>
                <w:rFonts w:cs="Arial"/>
                <w:sz w:val="16"/>
                <w:szCs w:val="16"/>
              </w:rPr>
            </w:pPr>
            <w:r w:rsidRPr="00B933AC">
              <w:rPr>
                <w:rFonts w:cs="Arial"/>
                <w:sz w:val="16"/>
                <w:szCs w:val="16"/>
              </w:rPr>
              <w:t>4 702</w:t>
            </w:r>
          </w:p>
        </w:tc>
        <w:tc>
          <w:tcPr>
            <w:tcW w:w="960" w:type="dxa"/>
            <w:tcBorders>
              <w:top w:val="nil"/>
              <w:left w:val="nil"/>
              <w:bottom w:val="nil"/>
              <w:right w:val="nil"/>
            </w:tcBorders>
            <w:shd w:val="clear" w:color="auto" w:fill="auto"/>
            <w:noWrap/>
            <w:vAlign w:val="center"/>
            <w:hideMark/>
          </w:tcPr>
          <w:p w14:paraId="318FFD96" w14:textId="77777777" w:rsidR="001B1A7F" w:rsidRPr="00B933AC" w:rsidRDefault="001B1A7F" w:rsidP="00917551">
            <w:pPr>
              <w:spacing w:after="0" w:line="240" w:lineRule="auto"/>
              <w:jc w:val="right"/>
              <w:rPr>
                <w:rFonts w:cs="Arial"/>
                <w:sz w:val="16"/>
                <w:szCs w:val="16"/>
              </w:rPr>
            </w:pPr>
            <w:r w:rsidRPr="00B933AC">
              <w:rPr>
                <w:rFonts w:cs="Arial"/>
                <w:sz w:val="16"/>
                <w:szCs w:val="16"/>
              </w:rPr>
              <w:t>11,5</w:t>
            </w:r>
          </w:p>
        </w:tc>
        <w:tc>
          <w:tcPr>
            <w:tcW w:w="960" w:type="dxa"/>
            <w:tcBorders>
              <w:top w:val="nil"/>
              <w:left w:val="nil"/>
              <w:bottom w:val="nil"/>
              <w:right w:val="nil"/>
            </w:tcBorders>
            <w:shd w:val="clear" w:color="auto" w:fill="auto"/>
            <w:noWrap/>
            <w:vAlign w:val="bottom"/>
            <w:hideMark/>
          </w:tcPr>
          <w:p w14:paraId="7C003696" w14:textId="77777777" w:rsidR="001B1A7F" w:rsidRPr="00B933AC" w:rsidRDefault="001B1A7F" w:rsidP="00917551">
            <w:pPr>
              <w:spacing w:after="0" w:line="240" w:lineRule="auto"/>
              <w:jc w:val="right"/>
              <w:rPr>
                <w:rFonts w:cs="Arial"/>
                <w:sz w:val="16"/>
                <w:szCs w:val="16"/>
              </w:rPr>
            </w:pPr>
          </w:p>
        </w:tc>
        <w:tc>
          <w:tcPr>
            <w:tcW w:w="960" w:type="dxa"/>
            <w:tcBorders>
              <w:top w:val="nil"/>
              <w:left w:val="nil"/>
              <w:bottom w:val="nil"/>
              <w:right w:val="nil"/>
            </w:tcBorders>
            <w:shd w:val="clear" w:color="auto" w:fill="auto"/>
            <w:noWrap/>
            <w:vAlign w:val="bottom"/>
            <w:hideMark/>
          </w:tcPr>
          <w:p w14:paraId="2F3B0331"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05F63B75" w14:textId="77777777" w:rsidR="001B1A7F" w:rsidRPr="00B933AC" w:rsidRDefault="001B1A7F" w:rsidP="00917551">
            <w:pPr>
              <w:spacing w:after="0" w:line="240" w:lineRule="auto"/>
              <w:rPr>
                <w:rFonts w:ascii="Times New Roman" w:hAnsi="Times New Roman"/>
                <w:szCs w:val="20"/>
              </w:rPr>
            </w:pPr>
          </w:p>
        </w:tc>
      </w:tr>
      <w:tr w:rsidR="001B1A7F" w:rsidRPr="00B933AC" w14:paraId="37B702F9" w14:textId="77777777" w:rsidTr="00FC01AA">
        <w:trPr>
          <w:trHeight w:val="290"/>
        </w:trPr>
        <w:tc>
          <w:tcPr>
            <w:tcW w:w="960" w:type="dxa"/>
            <w:tcBorders>
              <w:top w:val="nil"/>
              <w:left w:val="nil"/>
              <w:bottom w:val="nil"/>
              <w:right w:val="nil"/>
            </w:tcBorders>
            <w:shd w:val="clear" w:color="auto" w:fill="auto"/>
            <w:noWrap/>
            <w:vAlign w:val="center"/>
            <w:hideMark/>
          </w:tcPr>
          <w:p w14:paraId="6DC7DCE1" w14:textId="77777777" w:rsidR="001B1A7F" w:rsidRPr="00B933AC" w:rsidRDefault="001B1A7F" w:rsidP="008F131A">
            <w:pPr>
              <w:spacing w:after="0" w:line="240" w:lineRule="auto"/>
              <w:rPr>
                <w:rFonts w:cs="Arial"/>
                <w:color w:val="000000"/>
                <w:sz w:val="16"/>
                <w:szCs w:val="16"/>
              </w:rPr>
            </w:pPr>
            <w:r w:rsidRPr="00B933AC">
              <w:rPr>
                <w:rFonts w:cs="Arial"/>
                <w:color w:val="000000"/>
                <w:sz w:val="16"/>
                <w:szCs w:val="16"/>
              </w:rPr>
              <w:t>2012</w:t>
            </w:r>
          </w:p>
        </w:tc>
        <w:tc>
          <w:tcPr>
            <w:tcW w:w="960" w:type="dxa"/>
            <w:tcBorders>
              <w:top w:val="nil"/>
              <w:left w:val="single" w:sz="8" w:space="0" w:color="auto"/>
              <w:bottom w:val="nil"/>
              <w:right w:val="single" w:sz="8" w:space="0" w:color="auto"/>
            </w:tcBorders>
            <w:shd w:val="clear" w:color="auto" w:fill="auto"/>
            <w:noWrap/>
            <w:vAlign w:val="center"/>
            <w:hideMark/>
          </w:tcPr>
          <w:p w14:paraId="2771A31E" w14:textId="77777777" w:rsidR="001B1A7F" w:rsidRPr="00B933AC" w:rsidRDefault="001B1A7F" w:rsidP="00917551">
            <w:pPr>
              <w:spacing w:after="0" w:line="240" w:lineRule="auto"/>
              <w:jc w:val="right"/>
              <w:rPr>
                <w:rFonts w:cs="Arial"/>
                <w:sz w:val="16"/>
                <w:szCs w:val="16"/>
              </w:rPr>
            </w:pPr>
            <w:r w:rsidRPr="00B933AC">
              <w:rPr>
                <w:rFonts w:cs="Arial"/>
                <w:sz w:val="16"/>
                <w:szCs w:val="16"/>
              </w:rPr>
              <w:t>40 637</w:t>
            </w:r>
          </w:p>
        </w:tc>
        <w:tc>
          <w:tcPr>
            <w:tcW w:w="960" w:type="dxa"/>
            <w:tcBorders>
              <w:top w:val="nil"/>
              <w:left w:val="nil"/>
              <w:bottom w:val="nil"/>
              <w:right w:val="single" w:sz="8" w:space="0" w:color="auto"/>
            </w:tcBorders>
            <w:shd w:val="clear" w:color="auto" w:fill="auto"/>
            <w:noWrap/>
            <w:vAlign w:val="center"/>
            <w:hideMark/>
          </w:tcPr>
          <w:p w14:paraId="4D8B87A5" w14:textId="77777777" w:rsidR="001B1A7F" w:rsidRPr="00B933AC" w:rsidRDefault="001B1A7F" w:rsidP="00917551">
            <w:pPr>
              <w:spacing w:after="0" w:line="240" w:lineRule="auto"/>
              <w:jc w:val="right"/>
              <w:rPr>
                <w:rFonts w:cs="Arial"/>
                <w:sz w:val="16"/>
                <w:szCs w:val="16"/>
              </w:rPr>
            </w:pPr>
            <w:r w:rsidRPr="00B933AC">
              <w:rPr>
                <w:rFonts w:cs="Arial"/>
                <w:sz w:val="16"/>
                <w:szCs w:val="16"/>
              </w:rPr>
              <w:t>4 497</w:t>
            </w:r>
          </w:p>
        </w:tc>
        <w:tc>
          <w:tcPr>
            <w:tcW w:w="960" w:type="dxa"/>
            <w:tcBorders>
              <w:top w:val="nil"/>
              <w:left w:val="nil"/>
              <w:bottom w:val="nil"/>
              <w:right w:val="nil"/>
            </w:tcBorders>
            <w:shd w:val="clear" w:color="auto" w:fill="auto"/>
            <w:noWrap/>
            <w:vAlign w:val="center"/>
            <w:hideMark/>
          </w:tcPr>
          <w:p w14:paraId="7CDFA54C" w14:textId="77777777" w:rsidR="001B1A7F" w:rsidRPr="00B933AC" w:rsidRDefault="001B1A7F" w:rsidP="00917551">
            <w:pPr>
              <w:spacing w:after="0" w:line="240" w:lineRule="auto"/>
              <w:jc w:val="right"/>
              <w:rPr>
                <w:rFonts w:cs="Arial"/>
                <w:sz w:val="16"/>
                <w:szCs w:val="16"/>
              </w:rPr>
            </w:pPr>
            <w:r w:rsidRPr="00B933AC">
              <w:rPr>
                <w:rFonts w:cs="Arial"/>
                <w:sz w:val="16"/>
                <w:szCs w:val="16"/>
              </w:rPr>
              <w:t>11,1</w:t>
            </w:r>
          </w:p>
        </w:tc>
        <w:tc>
          <w:tcPr>
            <w:tcW w:w="960" w:type="dxa"/>
            <w:tcBorders>
              <w:top w:val="nil"/>
              <w:left w:val="nil"/>
              <w:bottom w:val="nil"/>
              <w:right w:val="nil"/>
            </w:tcBorders>
            <w:shd w:val="clear" w:color="auto" w:fill="auto"/>
            <w:noWrap/>
            <w:vAlign w:val="bottom"/>
            <w:hideMark/>
          </w:tcPr>
          <w:p w14:paraId="2AD54514" w14:textId="77777777" w:rsidR="001B1A7F" w:rsidRPr="00B933AC" w:rsidRDefault="001B1A7F" w:rsidP="00917551">
            <w:pPr>
              <w:spacing w:after="0" w:line="240" w:lineRule="auto"/>
              <w:jc w:val="right"/>
              <w:rPr>
                <w:rFonts w:cs="Arial"/>
                <w:sz w:val="16"/>
                <w:szCs w:val="16"/>
              </w:rPr>
            </w:pPr>
          </w:p>
        </w:tc>
        <w:tc>
          <w:tcPr>
            <w:tcW w:w="960" w:type="dxa"/>
            <w:tcBorders>
              <w:top w:val="nil"/>
              <w:left w:val="nil"/>
              <w:bottom w:val="nil"/>
              <w:right w:val="nil"/>
            </w:tcBorders>
            <w:shd w:val="clear" w:color="auto" w:fill="auto"/>
            <w:noWrap/>
            <w:vAlign w:val="bottom"/>
            <w:hideMark/>
          </w:tcPr>
          <w:p w14:paraId="52C7DC78"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5861B704" w14:textId="77777777" w:rsidR="001B1A7F" w:rsidRPr="00B933AC" w:rsidRDefault="001B1A7F" w:rsidP="00917551">
            <w:pPr>
              <w:spacing w:after="0" w:line="240" w:lineRule="auto"/>
              <w:rPr>
                <w:rFonts w:ascii="Times New Roman" w:hAnsi="Times New Roman"/>
                <w:szCs w:val="20"/>
              </w:rPr>
            </w:pPr>
          </w:p>
        </w:tc>
      </w:tr>
      <w:tr w:rsidR="001B1A7F" w:rsidRPr="00B933AC" w14:paraId="7542F012" w14:textId="77777777" w:rsidTr="00FC01AA">
        <w:trPr>
          <w:trHeight w:val="290"/>
        </w:trPr>
        <w:tc>
          <w:tcPr>
            <w:tcW w:w="960" w:type="dxa"/>
            <w:tcBorders>
              <w:top w:val="nil"/>
              <w:left w:val="nil"/>
              <w:bottom w:val="nil"/>
              <w:right w:val="nil"/>
            </w:tcBorders>
            <w:shd w:val="clear" w:color="auto" w:fill="auto"/>
            <w:noWrap/>
            <w:vAlign w:val="center"/>
            <w:hideMark/>
          </w:tcPr>
          <w:p w14:paraId="02F9E13A" w14:textId="77777777" w:rsidR="001B1A7F" w:rsidRPr="00B933AC" w:rsidRDefault="001B1A7F" w:rsidP="008F131A">
            <w:pPr>
              <w:spacing w:after="0" w:line="240" w:lineRule="auto"/>
              <w:rPr>
                <w:rFonts w:cs="Arial"/>
                <w:color w:val="000000"/>
                <w:sz w:val="16"/>
                <w:szCs w:val="16"/>
              </w:rPr>
            </w:pPr>
            <w:r w:rsidRPr="00B933AC">
              <w:rPr>
                <w:rFonts w:cs="Arial"/>
                <w:color w:val="000000"/>
                <w:sz w:val="16"/>
                <w:szCs w:val="16"/>
              </w:rPr>
              <w:t>2013</w:t>
            </w:r>
          </w:p>
        </w:tc>
        <w:tc>
          <w:tcPr>
            <w:tcW w:w="960" w:type="dxa"/>
            <w:tcBorders>
              <w:top w:val="nil"/>
              <w:left w:val="single" w:sz="8" w:space="0" w:color="auto"/>
              <w:bottom w:val="nil"/>
              <w:right w:val="single" w:sz="8" w:space="0" w:color="auto"/>
            </w:tcBorders>
            <w:shd w:val="clear" w:color="auto" w:fill="auto"/>
            <w:noWrap/>
            <w:vAlign w:val="center"/>
            <w:hideMark/>
          </w:tcPr>
          <w:p w14:paraId="47422E95" w14:textId="77777777" w:rsidR="001B1A7F" w:rsidRPr="00B933AC" w:rsidRDefault="001B1A7F" w:rsidP="00917551">
            <w:pPr>
              <w:spacing w:after="0" w:line="240" w:lineRule="auto"/>
              <w:jc w:val="right"/>
              <w:rPr>
                <w:rFonts w:cs="Arial"/>
                <w:sz w:val="16"/>
                <w:szCs w:val="16"/>
              </w:rPr>
            </w:pPr>
            <w:r w:rsidRPr="00B933AC">
              <w:rPr>
                <w:rFonts w:cs="Arial"/>
                <w:sz w:val="16"/>
                <w:szCs w:val="16"/>
              </w:rPr>
              <w:t>41 021</w:t>
            </w:r>
          </w:p>
        </w:tc>
        <w:tc>
          <w:tcPr>
            <w:tcW w:w="960" w:type="dxa"/>
            <w:tcBorders>
              <w:top w:val="nil"/>
              <w:left w:val="nil"/>
              <w:bottom w:val="nil"/>
              <w:right w:val="single" w:sz="8" w:space="0" w:color="auto"/>
            </w:tcBorders>
            <w:shd w:val="clear" w:color="auto" w:fill="auto"/>
            <w:noWrap/>
            <w:vAlign w:val="center"/>
            <w:hideMark/>
          </w:tcPr>
          <w:p w14:paraId="5101F308" w14:textId="77777777" w:rsidR="001B1A7F" w:rsidRPr="00B933AC" w:rsidRDefault="001B1A7F" w:rsidP="00917551">
            <w:pPr>
              <w:spacing w:after="0" w:line="240" w:lineRule="auto"/>
              <w:jc w:val="right"/>
              <w:rPr>
                <w:rFonts w:cs="Arial"/>
                <w:sz w:val="16"/>
                <w:szCs w:val="16"/>
              </w:rPr>
            </w:pPr>
            <w:r w:rsidRPr="00B933AC">
              <w:rPr>
                <w:rFonts w:cs="Arial"/>
                <w:sz w:val="16"/>
                <w:szCs w:val="16"/>
              </w:rPr>
              <w:t>4 374</w:t>
            </w:r>
          </w:p>
        </w:tc>
        <w:tc>
          <w:tcPr>
            <w:tcW w:w="960" w:type="dxa"/>
            <w:tcBorders>
              <w:top w:val="nil"/>
              <w:left w:val="nil"/>
              <w:bottom w:val="nil"/>
              <w:right w:val="nil"/>
            </w:tcBorders>
            <w:shd w:val="clear" w:color="auto" w:fill="auto"/>
            <w:noWrap/>
            <w:vAlign w:val="center"/>
            <w:hideMark/>
          </w:tcPr>
          <w:p w14:paraId="52D54FC6" w14:textId="77777777" w:rsidR="001B1A7F" w:rsidRPr="00B933AC" w:rsidRDefault="001B1A7F" w:rsidP="00917551">
            <w:pPr>
              <w:spacing w:after="0" w:line="240" w:lineRule="auto"/>
              <w:jc w:val="right"/>
              <w:rPr>
                <w:rFonts w:cs="Arial"/>
                <w:sz w:val="16"/>
                <w:szCs w:val="16"/>
              </w:rPr>
            </w:pPr>
            <w:r w:rsidRPr="00B933AC">
              <w:rPr>
                <w:rFonts w:cs="Arial"/>
                <w:sz w:val="16"/>
                <w:szCs w:val="16"/>
              </w:rPr>
              <w:t>10,7</w:t>
            </w:r>
          </w:p>
        </w:tc>
        <w:tc>
          <w:tcPr>
            <w:tcW w:w="960" w:type="dxa"/>
            <w:tcBorders>
              <w:top w:val="nil"/>
              <w:left w:val="nil"/>
              <w:bottom w:val="nil"/>
              <w:right w:val="nil"/>
            </w:tcBorders>
            <w:shd w:val="clear" w:color="auto" w:fill="auto"/>
            <w:noWrap/>
            <w:vAlign w:val="bottom"/>
            <w:hideMark/>
          </w:tcPr>
          <w:p w14:paraId="5C623EE9" w14:textId="77777777" w:rsidR="001B1A7F" w:rsidRPr="00B933AC" w:rsidRDefault="001B1A7F" w:rsidP="00917551">
            <w:pPr>
              <w:spacing w:after="0" w:line="240" w:lineRule="auto"/>
              <w:jc w:val="right"/>
              <w:rPr>
                <w:rFonts w:cs="Arial"/>
                <w:sz w:val="16"/>
                <w:szCs w:val="16"/>
              </w:rPr>
            </w:pPr>
          </w:p>
        </w:tc>
        <w:tc>
          <w:tcPr>
            <w:tcW w:w="960" w:type="dxa"/>
            <w:tcBorders>
              <w:top w:val="nil"/>
              <w:left w:val="nil"/>
              <w:bottom w:val="nil"/>
              <w:right w:val="nil"/>
            </w:tcBorders>
            <w:shd w:val="clear" w:color="auto" w:fill="auto"/>
            <w:noWrap/>
            <w:vAlign w:val="bottom"/>
            <w:hideMark/>
          </w:tcPr>
          <w:p w14:paraId="401464A2"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69657B95" w14:textId="77777777" w:rsidR="001B1A7F" w:rsidRPr="00B933AC" w:rsidRDefault="001B1A7F" w:rsidP="00917551">
            <w:pPr>
              <w:spacing w:after="0" w:line="240" w:lineRule="auto"/>
              <w:rPr>
                <w:rFonts w:ascii="Times New Roman" w:hAnsi="Times New Roman"/>
                <w:szCs w:val="20"/>
              </w:rPr>
            </w:pPr>
          </w:p>
        </w:tc>
      </w:tr>
      <w:tr w:rsidR="001B1A7F" w:rsidRPr="00B933AC" w14:paraId="315EA2FF" w14:textId="77777777" w:rsidTr="00FC01AA">
        <w:trPr>
          <w:trHeight w:val="290"/>
        </w:trPr>
        <w:tc>
          <w:tcPr>
            <w:tcW w:w="960" w:type="dxa"/>
            <w:tcBorders>
              <w:top w:val="nil"/>
              <w:left w:val="nil"/>
              <w:bottom w:val="nil"/>
              <w:right w:val="nil"/>
            </w:tcBorders>
            <w:shd w:val="clear" w:color="auto" w:fill="auto"/>
            <w:noWrap/>
            <w:vAlign w:val="center"/>
            <w:hideMark/>
          </w:tcPr>
          <w:p w14:paraId="2400E6CA" w14:textId="77777777" w:rsidR="001B1A7F" w:rsidRPr="00B933AC" w:rsidRDefault="001B1A7F" w:rsidP="008F131A">
            <w:pPr>
              <w:spacing w:after="0" w:line="240" w:lineRule="auto"/>
              <w:rPr>
                <w:rFonts w:cs="Arial"/>
                <w:color w:val="000000"/>
                <w:sz w:val="16"/>
                <w:szCs w:val="16"/>
              </w:rPr>
            </w:pPr>
            <w:r w:rsidRPr="00B933AC">
              <w:rPr>
                <w:rFonts w:cs="Arial"/>
                <w:color w:val="000000"/>
                <w:sz w:val="16"/>
                <w:szCs w:val="16"/>
              </w:rPr>
              <w:t>2014</w:t>
            </w:r>
          </w:p>
        </w:tc>
        <w:tc>
          <w:tcPr>
            <w:tcW w:w="960" w:type="dxa"/>
            <w:tcBorders>
              <w:top w:val="nil"/>
              <w:left w:val="single" w:sz="8" w:space="0" w:color="auto"/>
              <w:bottom w:val="nil"/>
              <w:right w:val="single" w:sz="8" w:space="0" w:color="auto"/>
            </w:tcBorders>
            <w:shd w:val="clear" w:color="auto" w:fill="auto"/>
            <w:noWrap/>
            <w:vAlign w:val="center"/>
            <w:hideMark/>
          </w:tcPr>
          <w:p w14:paraId="51A29DC9" w14:textId="77777777" w:rsidR="001B1A7F" w:rsidRPr="00B933AC" w:rsidRDefault="001B1A7F" w:rsidP="00917551">
            <w:pPr>
              <w:spacing w:after="0" w:line="240" w:lineRule="auto"/>
              <w:jc w:val="right"/>
              <w:rPr>
                <w:rFonts w:cs="Arial"/>
                <w:sz w:val="16"/>
                <w:szCs w:val="16"/>
              </w:rPr>
            </w:pPr>
            <w:r w:rsidRPr="00B933AC">
              <w:rPr>
                <w:rFonts w:cs="Arial"/>
                <w:sz w:val="16"/>
                <w:szCs w:val="16"/>
              </w:rPr>
              <w:t>35 417</w:t>
            </w:r>
          </w:p>
        </w:tc>
        <w:tc>
          <w:tcPr>
            <w:tcW w:w="960" w:type="dxa"/>
            <w:tcBorders>
              <w:top w:val="nil"/>
              <w:left w:val="nil"/>
              <w:bottom w:val="nil"/>
              <w:right w:val="single" w:sz="8" w:space="0" w:color="auto"/>
            </w:tcBorders>
            <w:shd w:val="clear" w:color="auto" w:fill="auto"/>
            <w:noWrap/>
            <w:vAlign w:val="center"/>
            <w:hideMark/>
          </w:tcPr>
          <w:p w14:paraId="668C1005" w14:textId="77777777" w:rsidR="001B1A7F" w:rsidRPr="00B933AC" w:rsidRDefault="001B1A7F" w:rsidP="00917551">
            <w:pPr>
              <w:spacing w:after="0" w:line="240" w:lineRule="auto"/>
              <w:jc w:val="right"/>
              <w:rPr>
                <w:rFonts w:cs="Arial"/>
                <w:sz w:val="16"/>
                <w:szCs w:val="16"/>
              </w:rPr>
            </w:pPr>
            <w:r w:rsidRPr="00B933AC">
              <w:rPr>
                <w:rFonts w:cs="Arial"/>
                <w:sz w:val="16"/>
                <w:szCs w:val="16"/>
              </w:rPr>
              <w:t>3 566</w:t>
            </w:r>
          </w:p>
        </w:tc>
        <w:tc>
          <w:tcPr>
            <w:tcW w:w="960" w:type="dxa"/>
            <w:tcBorders>
              <w:top w:val="nil"/>
              <w:left w:val="nil"/>
              <w:bottom w:val="nil"/>
              <w:right w:val="nil"/>
            </w:tcBorders>
            <w:shd w:val="clear" w:color="auto" w:fill="auto"/>
            <w:noWrap/>
            <w:vAlign w:val="center"/>
            <w:hideMark/>
          </w:tcPr>
          <w:p w14:paraId="264F6E27" w14:textId="77777777" w:rsidR="001B1A7F" w:rsidRPr="00B933AC" w:rsidRDefault="001B1A7F" w:rsidP="00917551">
            <w:pPr>
              <w:spacing w:after="0" w:line="240" w:lineRule="auto"/>
              <w:jc w:val="right"/>
              <w:rPr>
                <w:rFonts w:cs="Arial"/>
                <w:sz w:val="16"/>
                <w:szCs w:val="16"/>
              </w:rPr>
            </w:pPr>
            <w:r w:rsidRPr="00B933AC">
              <w:rPr>
                <w:rFonts w:cs="Arial"/>
                <w:sz w:val="16"/>
                <w:szCs w:val="16"/>
              </w:rPr>
              <w:t>10,1</w:t>
            </w:r>
          </w:p>
        </w:tc>
        <w:tc>
          <w:tcPr>
            <w:tcW w:w="960" w:type="dxa"/>
            <w:tcBorders>
              <w:top w:val="nil"/>
              <w:left w:val="nil"/>
              <w:bottom w:val="nil"/>
              <w:right w:val="nil"/>
            </w:tcBorders>
            <w:shd w:val="clear" w:color="auto" w:fill="auto"/>
            <w:noWrap/>
            <w:vAlign w:val="bottom"/>
            <w:hideMark/>
          </w:tcPr>
          <w:p w14:paraId="50419BF1" w14:textId="77777777" w:rsidR="001B1A7F" w:rsidRPr="00B933AC" w:rsidRDefault="001B1A7F" w:rsidP="00917551">
            <w:pPr>
              <w:spacing w:after="0" w:line="240" w:lineRule="auto"/>
              <w:jc w:val="right"/>
              <w:rPr>
                <w:rFonts w:cs="Arial"/>
                <w:sz w:val="16"/>
                <w:szCs w:val="16"/>
              </w:rPr>
            </w:pPr>
          </w:p>
        </w:tc>
        <w:tc>
          <w:tcPr>
            <w:tcW w:w="960" w:type="dxa"/>
            <w:tcBorders>
              <w:top w:val="nil"/>
              <w:left w:val="nil"/>
              <w:bottom w:val="nil"/>
              <w:right w:val="nil"/>
            </w:tcBorders>
            <w:shd w:val="clear" w:color="auto" w:fill="auto"/>
            <w:noWrap/>
            <w:vAlign w:val="bottom"/>
            <w:hideMark/>
          </w:tcPr>
          <w:p w14:paraId="00085B39"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5BA0580C" w14:textId="77777777" w:rsidR="001B1A7F" w:rsidRPr="00B933AC" w:rsidRDefault="001B1A7F" w:rsidP="00917551">
            <w:pPr>
              <w:spacing w:after="0" w:line="240" w:lineRule="auto"/>
              <w:rPr>
                <w:rFonts w:ascii="Times New Roman" w:hAnsi="Times New Roman"/>
                <w:szCs w:val="20"/>
              </w:rPr>
            </w:pPr>
          </w:p>
        </w:tc>
      </w:tr>
      <w:tr w:rsidR="001B1A7F" w:rsidRPr="00B933AC" w14:paraId="7120ADB6" w14:textId="77777777" w:rsidTr="00FC01AA">
        <w:trPr>
          <w:trHeight w:val="290"/>
        </w:trPr>
        <w:tc>
          <w:tcPr>
            <w:tcW w:w="960" w:type="dxa"/>
            <w:tcBorders>
              <w:top w:val="nil"/>
              <w:left w:val="nil"/>
              <w:bottom w:val="nil"/>
              <w:right w:val="nil"/>
            </w:tcBorders>
            <w:shd w:val="clear" w:color="auto" w:fill="auto"/>
            <w:noWrap/>
            <w:vAlign w:val="center"/>
            <w:hideMark/>
          </w:tcPr>
          <w:p w14:paraId="169FE190" w14:textId="77777777" w:rsidR="001B1A7F" w:rsidRPr="00B933AC" w:rsidRDefault="001B1A7F" w:rsidP="008F131A">
            <w:pPr>
              <w:spacing w:after="0" w:line="240" w:lineRule="auto"/>
              <w:rPr>
                <w:rFonts w:cs="Arial"/>
                <w:color w:val="000000"/>
                <w:sz w:val="16"/>
                <w:szCs w:val="16"/>
              </w:rPr>
            </w:pPr>
            <w:r w:rsidRPr="00B933AC">
              <w:rPr>
                <w:rFonts w:cs="Arial"/>
                <w:color w:val="000000"/>
                <w:sz w:val="16"/>
                <w:szCs w:val="16"/>
              </w:rPr>
              <w:t>2015</w:t>
            </w:r>
          </w:p>
        </w:tc>
        <w:tc>
          <w:tcPr>
            <w:tcW w:w="960" w:type="dxa"/>
            <w:tcBorders>
              <w:top w:val="nil"/>
              <w:left w:val="single" w:sz="8" w:space="0" w:color="auto"/>
              <w:bottom w:val="nil"/>
              <w:right w:val="single" w:sz="8" w:space="0" w:color="auto"/>
            </w:tcBorders>
            <w:shd w:val="clear" w:color="auto" w:fill="auto"/>
            <w:noWrap/>
            <w:vAlign w:val="center"/>
            <w:hideMark/>
          </w:tcPr>
          <w:p w14:paraId="0E9D0B63" w14:textId="77777777" w:rsidR="001B1A7F" w:rsidRPr="00B933AC" w:rsidRDefault="001B1A7F" w:rsidP="00917551">
            <w:pPr>
              <w:spacing w:after="0" w:line="240" w:lineRule="auto"/>
              <w:jc w:val="right"/>
              <w:rPr>
                <w:rFonts w:cs="Arial"/>
                <w:sz w:val="16"/>
                <w:szCs w:val="16"/>
              </w:rPr>
            </w:pPr>
            <w:r w:rsidRPr="00B933AC">
              <w:rPr>
                <w:rFonts w:cs="Arial"/>
                <w:sz w:val="16"/>
                <w:szCs w:val="16"/>
              </w:rPr>
              <w:t>35 401</w:t>
            </w:r>
          </w:p>
        </w:tc>
        <w:tc>
          <w:tcPr>
            <w:tcW w:w="960" w:type="dxa"/>
            <w:tcBorders>
              <w:top w:val="nil"/>
              <w:left w:val="nil"/>
              <w:bottom w:val="nil"/>
              <w:right w:val="single" w:sz="8" w:space="0" w:color="auto"/>
            </w:tcBorders>
            <w:shd w:val="clear" w:color="auto" w:fill="auto"/>
            <w:noWrap/>
            <w:vAlign w:val="center"/>
            <w:hideMark/>
          </w:tcPr>
          <w:p w14:paraId="39CA7FAD" w14:textId="77777777" w:rsidR="001B1A7F" w:rsidRPr="00B933AC" w:rsidRDefault="001B1A7F" w:rsidP="00917551">
            <w:pPr>
              <w:spacing w:after="0" w:line="240" w:lineRule="auto"/>
              <w:jc w:val="right"/>
              <w:rPr>
                <w:rFonts w:cs="Arial"/>
                <w:sz w:val="16"/>
                <w:szCs w:val="16"/>
              </w:rPr>
            </w:pPr>
            <w:r w:rsidRPr="00B933AC">
              <w:rPr>
                <w:rFonts w:cs="Arial"/>
                <w:sz w:val="16"/>
                <w:szCs w:val="16"/>
              </w:rPr>
              <w:t>3 880</w:t>
            </w:r>
          </w:p>
        </w:tc>
        <w:tc>
          <w:tcPr>
            <w:tcW w:w="960" w:type="dxa"/>
            <w:tcBorders>
              <w:top w:val="nil"/>
              <w:left w:val="nil"/>
              <w:bottom w:val="nil"/>
              <w:right w:val="nil"/>
            </w:tcBorders>
            <w:shd w:val="clear" w:color="auto" w:fill="auto"/>
            <w:noWrap/>
            <w:vAlign w:val="center"/>
            <w:hideMark/>
          </w:tcPr>
          <w:p w14:paraId="2890D7DB" w14:textId="77777777" w:rsidR="001B1A7F" w:rsidRPr="00B933AC" w:rsidRDefault="001B1A7F" w:rsidP="00917551">
            <w:pPr>
              <w:spacing w:after="0" w:line="240" w:lineRule="auto"/>
              <w:jc w:val="right"/>
              <w:rPr>
                <w:rFonts w:cs="Arial"/>
                <w:sz w:val="16"/>
                <w:szCs w:val="16"/>
              </w:rPr>
            </w:pPr>
            <w:r w:rsidRPr="00B933AC">
              <w:rPr>
                <w:rFonts w:cs="Arial"/>
                <w:sz w:val="16"/>
                <w:szCs w:val="16"/>
              </w:rPr>
              <w:t>11,0</w:t>
            </w:r>
          </w:p>
        </w:tc>
        <w:tc>
          <w:tcPr>
            <w:tcW w:w="960" w:type="dxa"/>
            <w:tcBorders>
              <w:top w:val="nil"/>
              <w:left w:val="nil"/>
              <w:bottom w:val="nil"/>
              <w:right w:val="nil"/>
            </w:tcBorders>
            <w:shd w:val="clear" w:color="auto" w:fill="auto"/>
            <w:noWrap/>
            <w:vAlign w:val="bottom"/>
            <w:hideMark/>
          </w:tcPr>
          <w:p w14:paraId="57B5B563" w14:textId="77777777" w:rsidR="001B1A7F" w:rsidRPr="00B933AC" w:rsidRDefault="001B1A7F" w:rsidP="00917551">
            <w:pPr>
              <w:spacing w:after="0" w:line="240" w:lineRule="auto"/>
              <w:jc w:val="right"/>
              <w:rPr>
                <w:rFonts w:cs="Arial"/>
                <w:sz w:val="16"/>
                <w:szCs w:val="16"/>
              </w:rPr>
            </w:pPr>
          </w:p>
        </w:tc>
        <w:tc>
          <w:tcPr>
            <w:tcW w:w="960" w:type="dxa"/>
            <w:tcBorders>
              <w:top w:val="nil"/>
              <w:left w:val="nil"/>
              <w:bottom w:val="nil"/>
              <w:right w:val="nil"/>
            </w:tcBorders>
            <w:shd w:val="clear" w:color="auto" w:fill="auto"/>
            <w:noWrap/>
            <w:vAlign w:val="bottom"/>
            <w:hideMark/>
          </w:tcPr>
          <w:p w14:paraId="70FC8615"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22B0BBC8" w14:textId="77777777" w:rsidR="001B1A7F" w:rsidRPr="00B933AC" w:rsidRDefault="001B1A7F" w:rsidP="00917551">
            <w:pPr>
              <w:spacing w:after="0" w:line="240" w:lineRule="auto"/>
              <w:rPr>
                <w:rFonts w:ascii="Times New Roman" w:hAnsi="Times New Roman"/>
                <w:szCs w:val="20"/>
              </w:rPr>
            </w:pPr>
          </w:p>
        </w:tc>
      </w:tr>
      <w:tr w:rsidR="001B1A7F" w:rsidRPr="00B933AC" w14:paraId="40ACD1B7" w14:textId="77777777" w:rsidTr="00FC01AA">
        <w:trPr>
          <w:trHeight w:val="290"/>
        </w:trPr>
        <w:tc>
          <w:tcPr>
            <w:tcW w:w="960" w:type="dxa"/>
            <w:tcBorders>
              <w:top w:val="dashed" w:sz="4" w:space="0" w:color="auto"/>
              <w:left w:val="nil"/>
              <w:bottom w:val="nil"/>
              <w:right w:val="nil"/>
            </w:tcBorders>
            <w:shd w:val="clear" w:color="auto" w:fill="auto"/>
            <w:noWrap/>
            <w:vAlign w:val="center"/>
            <w:hideMark/>
          </w:tcPr>
          <w:p w14:paraId="0DB518F4" w14:textId="77777777" w:rsidR="001B1A7F" w:rsidRPr="00B933AC" w:rsidRDefault="001B1A7F" w:rsidP="008F131A">
            <w:pPr>
              <w:spacing w:after="0" w:line="240" w:lineRule="auto"/>
              <w:rPr>
                <w:rFonts w:cs="Arial"/>
                <w:color w:val="000000"/>
                <w:sz w:val="16"/>
                <w:szCs w:val="16"/>
              </w:rPr>
            </w:pPr>
            <w:r w:rsidRPr="00B933AC">
              <w:rPr>
                <w:rFonts w:cs="Arial"/>
                <w:color w:val="000000"/>
                <w:sz w:val="16"/>
                <w:szCs w:val="16"/>
              </w:rPr>
              <w:t>2019</w:t>
            </w:r>
          </w:p>
        </w:tc>
        <w:tc>
          <w:tcPr>
            <w:tcW w:w="960" w:type="dxa"/>
            <w:tcBorders>
              <w:top w:val="dashed" w:sz="4" w:space="0" w:color="auto"/>
              <w:left w:val="single" w:sz="8" w:space="0" w:color="auto"/>
              <w:bottom w:val="nil"/>
              <w:right w:val="single" w:sz="8" w:space="0" w:color="auto"/>
            </w:tcBorders>
            <w:shd w:val="clear" w:color="auto" w:fill="auto"/>
            <w:noWrap/>
            <w:vAlign w:val="center"/>
            <w:hideMark/>
          </w:tcPr>
          <w:p w14:paraId="778B099A" w14:textId="77777777" w:rsidR="001B1A7F" w:rsidRPr="00B933AC" w:rsidRDefault="001B1A7F" w:rsidP="00917551">
            <w:pPr>
              <w:spacing w:after="0" w:line="240" w:lineRule="auto"/>
              <w:jc w:val="right"/>
              <w:rPr>
                <w:rFonts w:cs="Arial"/>
                <w:sz w:val="16"/>
                <w:szCs w:val="16"/>
              </w:rPr>
            </w:pPr>
            <w:r w:rsidRPr="00B933AC">
              <w:rPr>
                <w:rFonts w:cs="Arial"/>
                <w:sz w:val="16"/>
                <w:szCs w:val="16"/>
              </w:rPr>
              <w:t>33 094</w:t>
            </w:r>
          </w:p>
        </w:tc>
        <w:tc>
          <w:tcPr>
            <w:tcW w:w="960" w:type="dxa"/>
            <w:tcBorders>
              <w:top w:val="dashed" w:sz="4" w:space="0" w:color="auto"/>
              <w:left w:val="nil"/>
              <w:bottom w:val="nil"/>
              <w:right w:val="single" w:sz="8" w:space="0" w:color="auto"/>
            </w:tcBorders>
            <w:shd w:val="clear" w:color="auto" w:fill="auto"/>
            <w:noWrap/>
            <w:vAlign w:val="center"/>
            <w:hideMark/>
          </w:tcPr>
          <w:p w14:paraId="2BFC454B" w14:textId="77777777" w:rsidR="001B1A7F" w:rsidRPr="00B933AC" w:rsidRDefault="001B1A7F" w:rsidP="00917551">
            <w:pPr>
              <w:spacing w:after="0" w:line="240" w:lineRule="auto"/>
              <w:jc w:val="right"/>
              <w:rPr>
                <w:rFonts w:cs="Arial"/>
                <w:sz w:val="16"/>
                <w:szCs w:val="16"/>
              </w:rPr>
            </w:pPr>
            <w:r w:rsidRPr="00B933AC">
              <w:rPr>
                <w:rFonts w:cs="Arial"/>
                <w:sz w:val="16"/>
                <w:szCs w:val="16"/>
              </w:rPr>
              <w:t>3 403</w:t>
            </w:r>
          </w:p>
        </w:tc>
        <w:tc>
          <w:tcPr>
            <w:tcW w:w="960" w:type="dxa"/>
            <w:tcBorders>
              <w:top w:val="dashed" w:sz="4" w:space="0" w:color="auto"/>
              <w:left w:val="nil"/>
              <w:bottom w:val="nil"/>
              <w:right w:val="nil"/>
            </w:tcBorders>
            <w:shd w:val="clear" w:color="auto" w:fill="auto"/>
            <w:noWrap/>
            <w:vAlign w:val="center"/>
            <w:hideMark/>
          </w:tcPr>
          <w:p w14:paraId="07FB1AE7" w14:textId="77777777" w:rsidR="001B1A7F" w:rsidRPr="00B933AC" w:rsidRDefault="001B1A7F" w:rsidP="00917551">
            <w:pPr>
              <w:spacing w:after="0" w:line="240" w:lineRule="auto"/>
              <w:jc w:val="right"/>
              <w:rPr>
                <w:rFonts w:cs="Arial"/>
                <w:sz w:val="16"/>
                <w:szCs w:val="16"/>
              </w:rPr>
            </w:pPr>
            <w:r w:rsidRPr="00B933AC">
              <w:rPr>
                <w:rFonts w:cs="Arial"/>
                <w:sz w:val="16"/>
                <w:szCs w:val="16"/>
              </w:rPr>
              <w:t>10,3</w:t>
            </w:r>
          </w:p>
        </w:tc>
        <w:tc>
          <w:tcPr>
            <w:tcW w:w="960" w:type="dxa"/>
            <w:tcBorders>
              <w:top w:val="nil"/>
              <w:left w:val="nil"/>
              <w:bottom w:val="nil"/>
              <w:right w:val="nil"/>
            </w:tcBorders>
            <w:shd w:val="clear" w:color="auto" w:fill="auto"/>
            <w:noWrap/>
            <w:vAlign w:val="bottom"/>
            <w:hideMark/>
          </w:tcPr>
          <w:p w14:paraId="4743BC6D" w14:textId="77777777" w:rsidR="001B1A7F" w:rsidRPr="00B933AC" w:rsidRDefault="001B1A7F" w:rsidP="00917551">
            <w:pPr>
              <w:spacing w:after="0" w:line="240" w:lineRule="auto"/>
              <w:jc w:val="right"/>
              <w:rPr>
                <w:rFonts w:cs="Arial"/>
                <w:sz w:val="16"/>
                <w:szCs w:val="16"/>
              </w:rPr>
            </w:pPr>
          </w:p>
        </w:tc>
        <w:tc>
          <w:tcPr>
            <w:tcW w:w="960" w:type="dxa"/>
            <w:tcBorders>
              <w:top w:val="nil"/>
              <w:left w:val="nil"/>
              <w:bottom w:val="nil"/>
              <w:right w:val="nil"/>
            </w:tcBorders>
            <w:shd w:val="clear" w:color="auto" w:fill="auto"/>
            <w:noWrap/>
            <w:vAlign w:val="bottom"/>
            <w:hideMark/>
          </w:tcPr>
          <w:p w14:paraId="0CA07765"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03111059" w14:textId="77777777" w:rsidR="001B1A7F" w:rsidRPr="00B933AC" w:rsidRDefault="001B1A7F" w:rsidP="00917551">
            <w:pPr>
              <w:spacing w:after="0" w:line="240" w:lineRule="auto"/>
              <w:rPr>
                <w:rFonts w:ascii="Times New Roman" w:hAnsi="Times New Roman"/>
                <w:szCs w:val="20"/>
              </w:rPr>
            </w:pPr>
          </w:p>
        </w:tc>
      </w:tr>
      <w:tr w:rsidR="001B1A7F" w:rsidRPr="00B933AC" w14:paraId="040DEF29" w14:textId="77777777" w:rsidTr="00FC01AA">
        <w:trPr>
          <w:trHeight w:val="290"/>
        </w:trPr>
        <w:tc>
          <w:tcPr>
            <w:tcW w:w="960" w:type="dxa"/>
            <w:tcBorders>
              <w:top w:val="nil"/>
              <w:left w:val="nil"/>
              <w:bottom w:val="nil"/>
              <w:right w:val="nil"/>
            </w:tcBorders>
            <w:shd w:val="clear" w:color="auto" w:fill="auto"/>
            <w:noWrap/>
            <w:vAlign w:val="center"/>
            <w:hideMark/>
          </w:tcPr>
          <w:p w14:paraId="40F639D7" w14:textId="77777777" w:rsidR="001B1A7F" w:rsidRPr="00B933AC" w:rsidRDefault="001B1A7F" w:rsidP="008F131A">
            <w:pPr>
              <w:spacing w:after="0" w:line="240" w:lineRule="auto"/>
              <w:rPr>
                <w:rFonts w:cs="Arial"/>
                <w:color w:val="000000"/>
                <w:sz w:val="16"/>
                <w:szCs w:val="16"/>
              </w:rPr>
            </w:pPr>
            <w:r w:rsidRPr="00B933AC">
              <w:rPr>
                <w:rFonts w:cs="Arial"/>
                <w:color w:val="000000"/>
                <w:sz w:val="16"/>
                <w:szCs w:val="16"/>
              </w:rPr>
              <w:t>2020</w:t>
            </w:r>
          </w:p>
        </w:tc>
        <w:tc>
          <w:tcPr>
            <w:tcW w:w="960" w:type="dxa"/>
            <w:tcBorders>
              <w:top w:val="nil"/>
              <w:left w:val="single" w:sz="8" w:space="0" w:color="auto"/>
              <w:bottom w:val="nil"/>
              <w:right w:val="single" w:sz="8" w:space="0" w:color="auto"/>
            </w:tcBorders>
            <w:shd w:val="clear" w:color="auto" w:fill="auto"/>
            <w:noWrap/>
            <w:vAlign w:val="center"/>
            <w:hideMark/>
          </w:tcPr>
          <w:p w14:paraId="4115CE36" w14:textId="77777777" w:rsidR="001B1A7F" w:rsidRPr="00B933AC" w:rsidRDefault="001B1A7F" w:rsidP="00917551">
            <w:pPr>
              <w:spacing w:after="0" w:line="240" w:lineRule="auto"/>
              <w:jc w:val="right"/>
              <w:rPr>
                <w:rFonts w:cs="Arial"/>
                <w:sz w:val="16"/>
                <w:szCs w:val="16"/>
              </w:rPr>
            </w:pPr>
            <w:r w:rsidRPr="00B933AC">
              <w:rPr>
                <w:rFonts w:cs="Arial"/>
                <w:sz w:val="16"/>
                <w:szCs w:val="16"/>
              </w:rPr>
              <w:t>23 112</w:t>
            </w:r>
          </w:p>
        </w:tc>
        <w:tc>
          <w:tcPr>
            <w:tcW w:w="960" w:type="dxa"/>
            <w:tcBorders>
              <w:top w:val="nil"/>
              <w:left w:val="nil"/>
              <w:bottom w:val="nil"/>
              <w:right w:val="single" w:sz="8" w:space="0" w:color="auto"/>
            </w:tcBorders>
            <w:shd w:val="clear" w:color="auto" w:fill="auto"/>
            <w:noWrap/>
            <w:vAlign w:val="center"/>
            <w:hideMark/>
          </w:tcPr>
          <w:p w14:paraId="7C94D70A" w14:textId="77777777" w:rsidR="001B1A7F" w:rsidRPr="00B933AC" w:rsidRDefault="001B1A7F" w:rsidP="00917551">
            <w:pPr>
              <w:spacing w:after="0" w:line="240" w:lineRule="auto"/>
              <w:jc w:val="right"/>
              <w:rPr>
                <w:rFonts w:cs="Arial"/>
                <w:sz w:val="16"/>
                <w:szCs w:val="16"/>
              </w:rPr>
            </w:pPr>
            <w:r w:rsidRPr="00B933AC">
              <w:rPr>
                <w:rFonts w:cs="Arial"/>
                <w:sz w:val="16"/>
                <w:szCs w:val="16"/>
              </w:rPr>
              <w:t>2 265</w:t>
            </w:r>
          </w:p>
        </w:tc>
        <w:tc>
          <w:tcPr>
            <w:tcW w:w="960" w:type="dxa"/>
            <w:tcBorders>
              <w:top w:val="nil"/>
              <w:left w:val="nil"/>
              <w:bottom w:val="nil"/>
              <w:right w:val="nil"/>
            </w:tcBorders>
            <w:shd w:val="clear" w:color="auto" w:fill="auto"/>
            <w:noWrap/>
            <w:vAlign w:val="center"/>
            <w:hideMark/>
          </w:tcPr>
          <w:p w14:paraId="750A8A46" w14:textId="77777777" w:rsidR="001B1A7F" w:rsidRPr="00B933AC" w:rsidRDefault="001B1A7F" w:rsidP="00917551">
            <w:pPr>
              <w:spacing w:after="0" w:line="240" w:lineRule="auto"/>
              <w:jc w:val="right"/>
              <w:rPr>
                <w:rFonts w:cs="Arial"/>
                <w:sz w:val="16"/>
                <w:szCs w:val="16"/>
              </w:rPr>
            </w:pPr>
            <w:r w:rsidRPr="00B933AC">
              <w:rPr>
                <w:rFonts w:cs="Arial"/>
                <w:sz w:val="16"/>
                <w:szCs w:val="16"/>
              </w:rPr>
              <w:t>9,8</w:t>
            </w:r>
          </w:p>
        </w:tc>
        <w:tc>
          <w:tcPr>
            <w:tcW w:w="960" w:type="dxa"/>
            <w:tcBorders>
              <w:top w:val="nil"/>
              <w:left w:val="nil"/>
              <w:bottom w:val="nil"/>
              <w:right w:val="nil"/>
            </w:tcBorders>
            <w:shd w:val="clear" w:color="auto" w:fill="auto"/>
            <w:noWrap/>
            <w:vAlign w:val="bottom"/>
            <w:hideMark/>
          </w:tcPr>
          <w:p w14:paraId="30679225" w14:textId="77777777" w:rsidR="001B1A7F" w:rsidRPr="00B933AC" w:rsidRDefault="001B1A7F" w:rsidP="00917551">
            <w:pPr>
              <w:spacing w:after="0" w:line="240" w:lineRule="auto"/>
              <w:jc w:val="right"/>
              <w:rPr>
                <w:rFonts w:cs="Arial"/>
                <w:sz w:val="16"/>
                <w:szCs w:val="16"/>
              </w:rPr>
            </w:pPr>
          </w:p>
        </w:tc>
        <w:tc>
          <w:tcPr>
            <w:tcW w:w="960" w:type="dxa"/>
            <w:tcBorders>
              <w:top w:val="nil"/>
              <w:left w:val="nil"/>
              <w:bottom w:val="nil"/>
              <w:right w:val="nil"/>
            </w:tcBorders>
            <w:shd w:val="clear" w:color="auto" w:fill="auto"/>
            <w:noWrap/>
            <w:vAlign w:val="bottom"/>
            <w:hideMark/>
          </w:tcPr>
          <w:p w14:paraId="105E72E1"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1269E8A0" w14:textId="77777777" w:rsidR="001B1A7F" w:rsidRPr="00B933AC" w:rsidRDefault="001B1A7F" w:rsidP="00917551">
            <w:pPr>
              <w:spacing w:after="0" w:line="240" w:lineRule="auto"/>
              <w:rPr>
                <w:rFonts w:ascii="Times New Roman" w:hAnsi="Times New Roman"/>
                <w:szCs w:val="20"/>
              </w:rPr>
            </w:pPr>
          </w:p>
        </w:tc>
      </w:tr>
      <w:tr w:rsidR="001B1A7F" w:rsidRPr="00B933AC" w14:paraId="1B60F7AA" w14:textId="77777777" w:rsidTr="00FC01AA">
        <w:trPr>
          <w:trHeight w:val="290"/>
        </w:trPr>
        <w:tc>
          <w:tcPr>
            <w:tcW w:w="960" w:type="dxa"/>
            <w:tcBorders>
              <w:top w:val="nil"/>
              <w:left w:val="nil"/>
              <w:bottom w:val="nil"/>
              <w:right w:val="nil"/>
            </w:tcBorders>
            <w:shd w:val="clear" w:color="auto" w:fill="auto"/>
            <w:noWrap/>
            <w:vAlign w:val="center"/>
          </w:tcPr>
          <w:p w14:paraId="259CB1BE" w14:textId="77777777" w:rsidR="001B1A7F" w:rsidRPr="00B933AC" w:rsidRDefault="001B1A7F" w:rsidP="008F131A">
            <w:pPr>
              <w:spacing w:after="0" w:line="240" w:lineRule="auto"/>
              <w:rPr>
                <w:rFonts w:cs="Arial"/>
                <w:color w:val="000000"/>
                <w:sz w:val="16"/>
                <w:szCs w:val="16"/>
              </w:rPr>
            </w:pPr>
            <w:r>
              <w:rPr>
                <w:rFonts w:cs="Arial"/>
                <w:color w:val="000000"/>
                <w:sz w:val="16"/>
                <w:szCs w:val="16"/>
              </w:rPr>
              <w:t>2021</w:t>
            </w:r>
          </w:p>
        </w:tc>
        <w:tc>
          <w:tcPr>
            <w:tcW w:w="960" w:type="dxa"/>
            <w:tcBorders>
              <w:top w:val="nil"/>
              <w:left w:val="single" w:sz="8" w:space="0" w:color="auto"/>
              <w:bottom w:val="nil"/>
              <w:right w:val="single" w:sz="8" w:space="0" w:color="auto"/>
            </w:tcBorders>
            <w:shd w:val="clear" w:color="auto" w:fill="auto"/>
            <w:noWrap/>
            <w:vAlign w:val="center"/>
          </w:tcPr>
          <w:p w14:paraId="075B8232" w14:textId="77777777" w:rsidR="001B1A7F" w:rsidRPr="001A4B30" w:rsidRDefault="001B1A7F" w:rsidP="00917551">
            <w:pPr>
              <w:spacing w:after="0" w:line="240" w:lineRule="auto"/>
              <w:jc w:val="right"/>
              <w:rPr>
                <w:rFonts w:cs="Arial"/>
                <w:color w:val="000000"/>
                <w:sz w:val="16"/>
                <w:szCs w:val="16"/>
              </w:rPr>
            </w:pPr>
            <w:r w:rsidRPr="001A4B30">
              <w:rPr>
                <w:rFonts w:cs="Arial"/>
                <w:color w:val="000000"/>
                <w:sz w:val="16"/>
                <w:szCs w:val="16"/>
              </w:rPr>
              <w:t>22</w:t>
            </w:r>
            <w:r>
              <w:rPr>
                <w:rFonts w:cs="Arial"/>
                <w:color w:val="000000"/>
                <w:sz w:val="16"/>
                <w:szCs w:val="16"/>
              </w:rPr>
              <w:t xml:space="preserve"> </w:t>
            </w:r>
            <w:r w:rsidRPr="001A4B30">
              <w:rPr>
                <w:rFonts w:cs="Arial"/>
                <w:color w:val="000000"/>
                <w:sz w:val="16"/>
                <w:szCs w:val="16"/>
              </w:rPr>
              <w:t>205</w:t>
            </w:r>
          </w:p>
        </w:tc>
        <w:tc>
          <w:tcPr>
            <w:tcW w:w="960" w:type="dxa"/>
            <w:tcBorders>
              <w:top w:val="nil"/>
              <w:left w:val="nil"/>
              <w:bottom w:val="nil"/>
              <w:right w:val="single" w:sz="8" w:space="0" w:color="auto"/>
            </w:tcBorders>
            <w:shd w:val="clear" w:color="auto" w:fill="auto"/>
            <w:noWrap/>
            <w:vAlign w:val="center"/>
          </w:tcPr>
          <w:p w14:paraId="5C9E662B" w14:textId="77777777" w:rsidR="001B1A7F" w:rsidRPr="001A4B30" w:rsidRDefault="001B1A7F" w:rsidP="00917551">
            <w:pPr>
              <w:spacing w:after="0" w:line="240" w:lineRule="auto"/>
              <w:jc w:val="right"/>
              <w:rPr>
                <w:rFonts w:cs="Arial"/>
                <w:color w:val="000000"/>
                <w:sz w:val="16"/>
                <w:szCs w:val="16"/>
              </w:rPr>
            </w:pPr>
            <w:r>
              <w:rPr>
                <w:rFonts w:cs="Arial"/>
                <w:color w:val="000000"/>
                <w:sz w:val="16"/>
                <w:szCs w:val="16"/>
              </w:rPr>
              <w:t>2 287</w:t>
            </w:r>
          </w:p>
        </w:tc>
        <w:tc>
          <w:tcPr>
            <w:tcW w:w="960" w:type="dxa"/>
            <w:tcBorders>
              <w:top w:val="nil"/>
              <w:left w:val="nil"/>
              <w:bottom w:val="nil"/>
              <w:right w:val="nil"/>
            </w:tcBorders>
            <w:shd w:val="clear" w:color="auto" w:fill="auto"/>
            <w:noWrap/>
            <w:vAlign w:val="center"/>
          </w:tcPr>
          <w:p w14:paraId="43C26DB1" w14:textId="77777777" w:rsidR="001B1A7F" w:rsidRPr="001A4B30" w:rsidRDefault="001B1A7F" w:rsidP="00917551">
            <w:pPr>
              <w:spacing w:after="0" w:line="240" w:lineRule="auto"/>
              <w:jc w:val="right"/>
              <w:rPr>
                <w:rFonts w:cs="Arial"/>
                <w:color w:val="000000"/>
                <w:sz w:val="16"/>
                <w:szCs w:val="16"/>
              </w:rPr>
            </w:pPr>
            <w:r>
              <w:rPr>
                <w:rFonts w:cs="Arial"/>
                <w:color w:val="000000"/>
                <w:sz w:val="16"/>
                <w:szCs w:val="16"/>
              </w:rPr>
              <w:t>10,3</w:t>
            </w:r>
          </w:p>
        </w:tc>
        <w:tc>
          <w:tcPr>
            <w:tcW w:w="960" w:type="dxa"/>
            <w:tcBorders>
              <w:top w:val="nil"/>
              <w:left w:val="nil"/>
              <w:bottom w:val="nil"/>
              <w:right w:val="nil"/>
            </w:tcBorders>
            <w:shd w:val="clear" w:color="auto" w:fill="auto"/>
            <w:noWrap/>
            <w:vAlign w:val="bottom"/>
          </w:tcPr>
          <w:p w14:paraId="14F6F2A0" w14:textId="77777777" w:rsidR="001B1A7F" w:rsidRPr="00B933AC" w:rsidRDefault="001B1A7F" w:rsidP="00917551">
            <w:pPr>
              <w:spacing w:after="0" w:line="240" w:lineRule="auto"/>
              <w:jc w:val="right"/>
              <w:rPr>
                <w:rFonts w:cs="Arial"/>
                <w:sz w:val="16"/>
                <w:szCs w:val="16"/>
              </w:rPr>
            </w:pPr>
          </w:p>
        </w:tc>
        <w:tc>
          <w:tcPr>
            <w:tcW w:w="960" w:type="dxa"/>
            <w:tcBorders>
              <w:top w:val="nil"/>
              <w:left w:val="nil"/>
              <w:bottom w:val="nil"/>
              <w:right w:val="nil"/>
            </w:tcBorders>
            <w:shd w:val="clear" w:color="auto" w:fill="auto"/>
            <w:noWrap/>
            <w:vAlign w:val="bottom"/>
          </w:tcPr>
          <w:p w14:paraId="60C69700"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tcPr>
          <w:p w14:paraId="3D9BC1A7" w14:textId="77777777" w:rsidR="001B1A7F" w:rsidRPr="00B933AC" w:rsidRDefault="001B1A7F" w:rsidP="00917551">
            <w:pPr>
              <w:spacing w:after="0" w:line="240" w:lineRule="auto"/>
              <w:rPr>
                <w:rFonts w:ascii="Times New Roman" w:hAnsi="Times New Roman"/>
                <w:szCs w:val="20"/>
              </w:rPr>
            </w:pPr>
          </w:p>
        </w:tc>
      </w:tr>
      <w:tr w:rsidR="001B1A7F" w:rsidRPr="00B933AC" w14:paraId="383A21EF" w14:textId="77777777" w:rsidTr="00FC01AA">
        <w:trPr>
          <w:trHeight w:val="207"/>
        </w:trPr>
        <w:tc>
          <w:tcPr>
            <w:tcW w:w="960" w:type="dxa"/>
            <w:tcBorders>
              <w:top w:val="nil"/>
              <w:left w:val="nil"/>
              <w:bottom w:val="nil"/>
              <w:right w:val="nil"/>
            </w:tcBorders>
            <w:shd w:val="clear" w:color="auto" w:fill="auto"/>
            <w:noWrap/>
            <w:vAlign w:val="center"/>
            <w:hideMark/>
          </w:tcPr>
          <w:p w14:paraId="7209FFFC"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center"/>
            <w:hideMark/>
          </w:tcPr>
          <w:p w14:paraId="04AE4E7A"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center"/>
            <w:hideMark/>
          </w:tcPr>
          <w:p w14:paraId="2E054F66" w14:textId="77777777" w:rsidR="001B1A7F" w:rsidRPr="00B933AC" w:rsidRDefault="001B1A7F" w:rsidP="00917551">
            <w:pPr>
              <w:spacing w:after="0" w:line="240" w:lineRule="auto"/>
              <w:jc w:val="right"/>
              <w:rPr>
                <w:rFonts w:ascii="Times New Roman" w:hAnsi="Times New Roman"/>
                <w:szCs w:val="20"/>
              </w:rPr>
            </w:pPr>
          </w:p>
        </w:tc>
        <w:tc>
          <w:tcPr>
            <w:tcW w:w="960" w:type="dxa"/>
            <w:tcBorders>
              <w:top w:val="nil"/>
              <w:left w:val="nil"/>
              <w:bottom w:val="nil"/>
              <w:right w:val="nil"/>
            </w:tcBorders>
            <w:shd w:val="clear" w:color="auto" w:fill="auto"/>
            <w:noWrap/>
            <w:vAlign w:val="center"/>
            <w:hideMark/>
          </w:tcPr>
          <w:p w14:paraId="1CC3D4EC" w14:textId="77777777" w:rsidR="001B1A7F" w:rsidRPr="00B933AC" w:rsidRDefault="001B1A7F" w:rsidP="00917551">
            <w:pPr>
              <w:spacing w:after="0" w:line="240" w:lineRule="auto"/>
              <w:jc w:val="right"/>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1FCC258C" w14:textId="77777777" w:rsidR="001B1A7F" w:rsidRPr="00B933AC" w:rsidRDefault="001B1A7F" w:rsidP="00917551">
            <w:pPr>
              <w:spacing w:after="0" w:line="240" w:lineRule="auto"/>
              <w:jc w:val="right"/>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75C92E18" w14:textId="77777777" w:rsidR="001B1A7F" w:rsidRPr="00B933AC" w:rsidRDefault="001B1A7F" w:rsidP="00917551">
            <w:pPr>
              <w:spacing w:after="0" w:line="240" w:lineRule="auto"/>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41FA3E70" w14:textId="77777777" w:rsidR="001B1A7F" w:rsidRPr="00B933AC" w:rsidRDefault="001B1A7F" w:rsidP="00917551">
            <w:pPr>
              <w:spacing w:after="0" w:line="240" w:lineRule="auto"/>
              <w:rPr>
                <w:rFonts w:ascii="Times New Roman" w:hAnsi="Times New Roman"/>
                <w:szCs w:val="20"/>
              </w:rPr>
            </w:pPr>
          </w:p>
        </w:tc>
      </w:tr>
      <w:tr w:rsidR="001B1A7F" w:rsidRPr="00B933AC" w14:paraId="62EEA37D" w14:textId="77777777" w:rsidTr="00FC01AA">
        <w:trPr>
          <w:trHeight w:val="290"/>
        </w:trPr>
        <w:tc>
          <w:tcPr>
            <w:tcW w:w="6720" w:type="dxa"/>
            <w:gridSpan w:val="7"/>
            <w:tcBorders>
              <w:top w:val="nil"/>
              <w:left w:val="nil"/>
              <w:bottom w:val="nil"/>
              <w:right w:val="nil"/>
            </w:tcBorders>
            <w:shd w:val="clear" w:color="auto" w:fill="auto"/>
            <w:vAlign w:val="center"/>
            <w:hideMark/>
          </w:tcPr>
          <w:p w14:paraId="2934A019" w14:textId="5E1A9F1E" w:rsidR="001B1A7F" w:rsidRPr="00B933AC" w:rsidRDefault="001B1A7F" w:rsidP="00FC4EB0">
            <w:pPr>
              <w:spacing w:after="0" w:line="160" w:lineRule="exact"/>
              <w:rPr>
                <w:rFonts w:cs="Arial"/>
                <w:color w:val="000000"/>
                <w:sz w:val="14"/>
                <w:szCs w:val="14"/>
              </w:rPr>
            </w:pPr>
            <w:r w:rsidRPr="00830867">
              <w:rPr>
                <w:rFonts w:cs="Arial"/>
                <w:color w:val="000000"/>
                <w:sz w:val="16"/>
                <w:szCs w:val="16"/>
              </w:rPr>
              <w:t>Pozn</w:t>
            </w:r>
            <w:r w:rsidR="00FC4EB0">
              <w:rPr>
                <w:rFonts w:cs="Arial"/>
                <w:color w:val="000000"/>
                <w:sz w:val="16"/>
                <w:szCs w:val="16"/>
              </w:rPr>
              <w:t>.</w:t>
            </w:r>
            <w:r w:rsidRPr="00830867">
              <w:rPr>
                <w:rFonts w:cs="Arial"/>
                <w:color w:val="000000"/>
                <w:sz w:val="16"/>
                <w:szCs w:val="16"/>
              </w:rPr>
              <w:t>: Data za roky 2016</w:t>
            </w:r>
            <w:r>
              <w:rPr>
                <w:rFonts w:cs="Arial"/>
                <w:color w:val="000000"/>
                <w:sz w:val="14"/>
                <w:szCs w:val="14"/>
              </w:rPr>
              <w:t xml:space="preserve"> </w:t>
            </w:r>
            <w:r w:rsidRPr="00830867">
              <w:rPr>
                <w:rFonts w:cs="Arial"/>
                <w:color w:val="000000"/>
                <w:sz w:val="16"/>
                <w:szCs w:val="16"/>
              </w:rPr>
              <w:t>až 2018 nejsou k</w:t>
            </w:r>
            <w:r w:rsidR="00DF68FC">
              <w:rPr>
                <w:rFonts w:cs="Arial"/>
                <w:color w:val="000000"/>
                <w:sz w:val="16"/>
                <w:szCs w:val="16"/>
              </w:rPr>
              <w:t> </w:t>
            </w:r>
            <w:r w:rsidRPr="00830867">
              <w:rPr>
                <w:rFonts w:cs="Arial"/>
                <w:color w:val="000000"/>
                <w:sz w:val="16"/>
                <w:szCs w:val="16"/>
              </w:rPr>
              <w:t>dispozici</w:t>
            </w:r>
            <w:r w:rsidR="00DF68FC">
              <w:rPr>
                <w:rFonts w:cs="Arial"/>
                <w:color w:val="000000"/>
                <w:sz w:val="16"/>
                <w:szCs w:val="16"/>
              </w:rPr>
              <w:t>.</w:t>
            </w:r>
          </w:p>
        </w:tc>
      </w:tr>
      <w:tr w:rsidR="001B1A7F" w:rsidRPr="00B933AC" w14:paraId="2333AD71" w14:textId="77777777" w:rsidTr="00FC01AA">
        <w:trPr>
          <w:trHeight w:val="290"/>
        </w:trPr>
        <w:tc>
          <w:tcPr>
            <w:tcW w:w="6720" w:type="dxa"/>
            <w:gridSpan w:val="7"/>
            <w:tcBorders>
              <w:top w:val="nil"/>
              <w:left w:val="nil"/>
              <w:bottom w:val="nil"/>
              <w:right w:val="nil"/>
            </w:tcBorders>
            <w:shd w:val="clear" w:color="auto" w:fill="auto"/>
            <w:noWrap/>
            <w:vAlign w:val="center"/>
            <w:hideMark/>
          </w:tcPr>
          <w:p w14:paraId="7802EC64" w14:textId="77777777" w:rsidR="001B1A7F" w:rsidRPr="00B10444" w:rsidRDefault="001B1A7F" w:rsidP="00FC4EB0">
            <w:pPr>
              <w:spacing w:after="0" w:line="160" w:lineRule="exact"/>
              <w:rPr>
                <w:rFonts w:cs="Arial"/>
                <w:i/>
                <w:color w:val="000000"/>
                <w:sz w:val="18"/>
                <w:szCs w:val="18"/>
              </w:rPr>
            </w:pPr>
            <w:r w:rsidRPr="00B10444">
              <w:rPr>
                <w:rFonts w:cs="Arial"/>
                <w:i/>
                <w:color w:val="000000"/>
                <w:sz w:val="18"/>
                <w:szCs w:val="18"/>
              </w:rPr>
              <w:t>Zdroj: Policejní prezidium ČR</w:t>
            </w:r>
          </w:p>
        </w:tc>
      </w:tr>
    </w:tbl>
    <w:p w14:paraId="6C9A2223" w14:textId="77777777" w:rsidR="001B1A7F" w:rsidRPr="00CB7CCD" w:rsidRDefault="001B1A7F" w:rsidP="00917551">
      <w:pPr>
        <w:spacing w:line="240" w:lineRule="auto"/>
        <w:jc w:val="both"/>
      </w:pPr>
      <w:r w:rsidRPr="00CB7CCD">
        <w:lastRenderedPageBreak/>
        <w:t xml:space="preserve">V České republice jsou každoročně evidovány tisíce případů trestné činnosti páchané na seniorech. Převažuje majetková kriminalita, typicky se jedná o krádeže, vloupání a podvody. Druhá nejčastější je násilná kriminalita, nejčastěji jde o ublížení na zdraví, vyhrožování, domácí násilí nebo loupeže. Velmi ojediněle se vyskytují i případy mravnostní kriminality. </w:t>
      </w:r>
    </w:p>
    <w:p w14:paraId="701C7B51" w14:textId="2C39332D" w:rsidR="001B1A7F" w:rsidRDefault="001B1A7F" w:rsidP="007A0ACD">
      <w:pPr>
        <w:pStyle w:val="Nadpis3"/>
        <w:numPr>
          <w:ilvl w:val="1"/>
          <w:numId w:val="15"/>
        </w:numPr>
        <w:spacing w:after="240"/>
        <w:ind w:left="1077"/>
        <w:rPr>
          <w:sz w:val="28"/>
          <w:szCs w:val="28"/>
        </w:rPr>
      </w:pPr>
      <w:bookmarkStart w:id="46" w:name="_Toc121211645"/>
      <w:r w:rsidRPr="001B1A7F">
        <w:rPr>
          <w:sz w:val="28"/>
          <w:szCs w:val="28"/>
        </w:rPr>
        <w:t>Majetková kriminalita</w:t>
      </w:r>
      <w:bookmarkEnd w:id="46"/>
    </w:p>
    <w:p w14:paraId="0FB3D421" w14:textId="6BB44A17" w:rsidR="001B1A7F" w:rsidRDefault="001B1A7F" w:rsidP="00917551">
      <w:pPr>
        <w:spacing w:line="240" w:lineRule="auto"/>
        <w:jc w:val="both"/>
      </w:pPr>
      <w:r w:rsidRPr="00CB7CCD">
        <w:t>Majetková kriminalita je obecně nejrozšířenějším typem kriminality nejenom mezi seniory. Přes 50</w:t>
      </w:r>
      <w:r w:rsidR="00D378F2">
        <w:t> </w:t>
      </w:r>
      <w:r w:rsidRPr="00CB7CCD">
        <w:t xml:space="preserve">% všech seniorských obětí trestné činnosti nahlásilo v roce 2021 Policii </w:t>
      </w:r>
      <w:r w:rsidRPr="00CB7CCD">
        <w:rPr>
          <w:i/>
        </w:rPr>
        <w:t>krádež</w:t>
      </w:r>
      <w:r w:rsidRPr="00CB7CCD">
        <w:t xml:space="preserve"> (1 178 seniorů), především </w:t>
      </w:r>
      <w:r w:rsidRPr="00CB7CCD">
        <w:rPr>
          <w:i/>
        </w:rPr>
        <w:t xml:space="preserve">kapesní krádeže </w:t>
      </w:r>
      <w:r w:rsidRPr="00CB7CCD">
        <w:t>(752 obětí) a 42 seniorů se také potýkalo s </w:t>
      </w:r>
      <w:r w:rsidRPr="00CB7CCD">
        <w:rPr>
          <w:i/>
        </w:rPr>
        <w:t>krádežemi vloupáním do</w:t>
      </w:r>
      <w:r w:rsidRPr="00CB7CCD">
        <w:t xml:space="preserve"> </w:t>
      </w:r>
      <w:r w:rsidRPr="00CB7CCD">
        <w:rPr>
          <w:i/>
        </w:rPr>
        <w:t>bytů či</w:t>
      </w:r>
      <w:r w:rsidR="00745045">
        <w:rPr>
          <w:i/>
        </w:rPr>
        <w:t> </w:t>
      </w:r>
      <w:r w:rsidRPr="00CB7CCD">
        <w:rPr>
          <w:i/>
        </w:rPr>
        <w:t>rodinných domků.</w:t>
      </w:r>
      <w:r w:rsidRPr="00CB7CCD">
        <w:t xml:space="preserve"> Speciálním případem je od roku 2016 </w:t>
      </w:r>
      <w:r>
        <w:t>P</w:t>
      </w:r>
      <w:r w:rsidRPr="00CB7CCD">
        <w:t xml:space="preserve">olicií sledovaná kategorie </w:t>
      </w:r>
      <w:r w:rsidRPr="00CB7CCD">
        <w:rPr>
          <w:i/>
        </w:rPr>
        <w:t xml:space="preserve">vniknutí za užití lsti – senioři. </w:t>
      </w:r>
      <w:r w:rsidRPr="00CB7CCD">
        <w:t xml:space="preserve">Ta zahrnuje </w:t>
      </w:r>
      <w:r w:rsidRPr="00CB7CCD">
        <w:rPr>
          <w:i/>
        </w:rPr>
        <w:t>porušení domovní svobody</w:t>
      </w:r>
      <w:r w:rsidRPr="00CB7CCD">
        <w:t xml:space="preserve"> a </w:t>
      </w:r>
      <w:r w:rsidRPr="00CB7CCD">
        <w:rPr>
          <w:i/>
        </w:rPr>
        <w:t>krádeže vloupáním</w:t>
      </w:r>
      <w:r w:rsidRPr="00CB7CCD">
        <w:t xml:space="preserve"> a obětí je výhradně senior. Dopustí se jej osoba, která neoprávněně vnikne do obydlí seniora, a to za pomocí lsti. Jedná se například o často medializované případy tzv. „šmejdů“ a dalších podvodníků, kteří pod falešnou záminkou (odečet plynu, údajně je posílá vnuk oběti apod.) vniknou do obydlí seniora, kde jej okradou. V roce 2021 Policie evidovala 54 obětí tohoto činu, 38 žen a 16 mužů. </w:t>
      </w:r>
    </w:p>
    <w:p w14:paraId="00DDB9A7" w14:textId="77777777" w:rsidR="001B1A7F" w:rsidRPr="00CB7CCD" w:rsidRDefault="001B1A7F" w:rsidP="00917551">
      <w:pPr>
        <w:spacing w:line="240" w:lineRule="auto"/>
        <w:jc w:val="both"/>
      </w:pPr>
      <w:r w:rsidRPr="00CB7CCD">
        <w:t xml:space="preserve">Dalším poměrně častým činem je již výše zmíněné </w:t>
      </w:r>
      <w:r w:rsidRPr="00CB7CCD">
        <w:rPr>
          <w:i/>
        </w:rPr>
        <w:t>porušování domovní svobody</w:t>
      </w:r>
      <w:r w:rsidRPr="00CB7CCD">
        <w:t>. Dopustí se jej osoba, která neoprávněně vnikne do obydlí jiné osoby, a to i za pomocí lsti. V roce 2021 se stalo obětí tohoto trestného činu 12 seniorů, 9 žen a 3 muži. Je to však význa</w:t>
      </w:r>
      <w:r>
        <w:t>mně méně</w:t>
      </w:r>
      <w:r w:rsidRPr="00CB7CCD">
        <w:t xml:space="preserve"> než v předchozím roce, kdy se jednalo o 30 seniorů.</w:t>
      </w:r>
    </w:p>
    <w:p w14:paraId="5527EFF8" w14:textId="13100416" w:rsidR="00830867" w:rsidRDefault="001B1A7F" w:rsidP="00917551">
      <w:pPr>
        <w:spacing w:line="240" w:lineRule="auto"/>
        <w:jc w:val="both"/>
      </w:pPr>
      <w:r>
        <w:t>Výhradně</w:t>
      </w:r>
      <w:r w:rsidRPr="00CB7CCD">
        <w:t xml:space="preserve"> seniorů</w:t>
      </w:r>
      <w:r>
        <w:t xml:space="preserve"> se</w:t>
      </w:r>
      <w:r w:rsidRPr="00CB7CCD">
        <w:t xml:space="preserve"> týká trestný čin </w:t>
      </w:r>
      <w:r w:rsidRPr="00CB7CCD">
        <w:rPr>
          <w:i/>
        </w:rPr>
        <w:t>podvod lstí na seniorech</w:t>
      </w:r>
      <w:r w:rsidRPr="00CB7CCD">
        <w:t xml:space="preserve"> (177 obětí, 147 žen a 30 mužů), který se ale nemusí odehrát v domácnosti seniora, ale</w:t>
      </w:r>
      <w:r w:rsidR="00745045">
        <w:t> </w:t>
      </w:r>
      <w:r w:rsidRPr="00CB7CCD">
        <w:t>např. přes telefon nebo na tzv. předváděcích akcích. I přes značnou medializaci po</w:t>
      </w:r>
      <w:r>
        <w:t>dobných případů a osvětové akce</w:t>
      </w:r>
      <w:r w:rsidRPr="00CB7CCD">
        <w:t xml:space="preserve"> bylo obětí o 36 více než</w:t>
      </w:r>
      <w:r w:rsidR="00745045">
        <w:t> </w:t>
      </w:r>
      <w:r>
        <w:t>v</w:t>
      </w:r>
      <w:r w:rsidR="00745045">
        <w:t> </w:t>
      </w:r>
      <w:r>
        <w:t>roce 2020</w:t>
      </w:r>
      <w:r w:rsidRPr="00CB7CCD">
        <w:t>.</w:t>
      </w:r>
    </w:p>
    <w:p w14:paraId="68798752" w14:textId="77777777" w:rsidR="00830867" w:rsidRDefault="00830867">
      <w:pPr>
        <w:spacing w:after="0" w:line="240" w:lineRule="auto"/>
      </w:pPr>
      <w:r>
        <w:br w:type="page"/>
      </w:r>
    </w:p>
    <w:tbl>
      <w:tblPr>
        <w:tblW w:w="6521" w:type="dxa"/>
        <w:tblCellMar>
          <w:left w:w="70" w:type="dxa"/>
          <w:right w:w="70" w:type="dxa"/>
        </w:tblCellMar>
        <w:tblLook w:val="04A0" w:firstRow="1" w:lastRow="0" w:firstColumn="1" w:lastColumn="0" w:noHBand="0" w:noVBand="1"/>
      </w:tblPr>
      <w:tblGrid>
        <w:gridCol w:w="3291"/>
        <w:gridCol w:w="1134"/>
        <w:gridCol w:w="1134"/>
        <w:gridCol w:w="962"/>
      </w:tblGrid>
      <w:tr w:rsidR="001B1A7F" w:rsidRPr="00E34B0F" w14:paraId="5747D91B" w14:textId="77777777" w:rsidTr="00FC01AA">
        <w:trPr>
          <w:cantSplit/>
          <w:trHeight w:val="513"/>
        </w:trPr>
        <w:tc>
          <w:tcPr>
            <w:tcW w:w="6521" w:type="dxa"/>
            <w:gridSpan w:val="4"/>
            <w:tcBorders>
              <w:bottom w:val="single" w:sz="4" w:space="0" w:color="auto"/>
            </w:tcBorders>
            <w:vAlign w:val="bottom"/>
            <w:hideMark/>
          </w:tcPr>
          <w:p w14:paraId="30480DD8" w14:textId="2DE37298" w:rsidR="001B1A7F" w:rsidRPr="00E34B0F" w:rsidRDefault="001B1A7F" w:rsidP="007F4374">
            <w:pPr>
              <w:spacing w:after="0" w:line="240" w:lineRule="auto"/>
              <w:ind w:left="786" w:hanging="786"/>
              <w:contextualSpacing/>
              <w:rPr>
                <w:rFonts w:cs="Arial"/>
                <w:b/>
                <w:bCs/>
                <w:color w:val="000000"/>
                <w:szCs w:val="20"/>
                <w:lang w:eastAsia="en-US"/>
              </w:rPr>
            </w:pPr>
            <w:r w:rsidRPr="001B1A7F">
              <w:rPr>
                <w:rFonts w:cs="Arial"/>
                <w:b/>
                <w:bCs/>
                <w:color w:val="000000"/>
                <w:szCs w:val="20"/>
                <w:lang w:eastAsia="en-US"/>
              </w:rPr>
              <w:lastRenderedPageBreak/>
              <w:t>Tab. 7.2</w:t>
            </w:r>
            <w:r w:rsidRPr="00E34B0F">
              <w:rPr>
                <w:rFonts w:cs="Arial"/>
                <w:b/>
                <w:bCs/>
                <w:color w:val="000000"/>
                <w:szCs w:val="20"/>
                <w:lang w:eastAsia="en-US"/>
              </w:rPr>
              <w:t xml:space="preserve"> Senioři jako oběti vybra</w:t>
            </w:r>
            <w:r w:rsidR="007F4374">
              <w:rPr>
                <w:rFonts w:cs="Arial"/>
                <w:b/>
                <w:bCs/>
                <w:color w:val="000000"/>
                <w:szCs w:val="20"/>
                <w:lang w:eastAsia="en-US"/>
              </w:rPr>
              <w:t>ných trestných činů ve srovnání</w:t>
            </w:r>
            <w:r w:rsidR="007F4374">
              <w:rPr>
                <w:rFonts w:cs="Arial"/>
                <w:b/>
                <w:bCs/>
                <w:color w:val="000000"/>
                <w:szCs w:val="20"/>
                <w:lang w:eastAsia="en-US"/>
              </w:rPr>
              <w:br/>
            </w:r>
            <w:r>
              <w:rPr>
                <w:rFonts w:cs="Arial"/>
                <w:b/>
                <w:bCs/>
                <w:color w:val="000000"/>
                <w:szCs w:val="20"/>
                <w:lang w:eastAsia="en-US"/>
              </w:rPr>
              <w:t>s celkovou populací v roce 2021</w:t>
            </w:r>
          </w:p>
        </w:tc>
      </w:tr>
      <w:tr w:rsidR="001B1A7F" w:rsidRPr="00E34B0F" w14:paraId="309D1CD3" w14:textId="77777777" w:rsidTr="00830867">
        <w:trPr>
          <w:trHeight w:hRule="exact" w:val="284"/>
        </w:trPr>
        <w:tc>
          <w:tcPr>
            <w:tcW w:w="3291" w:type="dxa"/>
            <w:vMerge w:val="restart"/>
            <w:tcBorders>
              <w:top w:val="single" w:sz="12" w:space="0" w:color="auto"/>
              <w:left w:val="nil"/>
              <w:bottom w:val="single" w:sz="12" w:space="0" w:color="auto"/>
              <w:right w:val="single" w:sz="8" w:space="0" w:color="auto"/>
            </w:tcBorders>
            <w:shd w:val="clear" w:color="auto" w:fill="F5DADD"/>
            <w:vAlign w:val="center"/>
            <w:hideMark/>
          </w:tcPr>
          <w:p w14:paraId="7A60BF24" w14:textId="77777777" w:rsidR="001B1A7F" w:rsidRPr="00E34B0F" w:rsidRDefault="001B1A7F" w:rsidP="00830867">
            <w:pPr>
              <w:spacing w:after="0" w:line="240" w:lineRule="auto"/>
              <w:jc w:val="center"/>
              <w:rPr>
                <w:rFonts w:cs="Arial"/>
                <w:b/>
                <w:bCs/>
                <w:color w:val="000000"/>
                <w:sz w:val="16"/>
                <w:szCs w:val="16"/>
                <w:lang w:eastAsia="en-US"/>
              </w:rPr>
            </w:pPr>
            <w:r w:rsidRPr="00E34B0F">
              <w:rPr>
                <w:rFonts w:cs="Arial"/>
                <w:b/>
                <w:bCs/>
                <w:color w:val="000000"/>
                <w:sz w:val="16"/>
                <w:szCs w:val="16"/>
                <w:lang w:eastAsia="en-US"/>
              </w:rPr>
              <w:t>Trestný čin</w:t>
            </w:r>
          </w:p>
        </w:tc>
        <w:tc>
          <w:tcPr>
            <w:tcW w:w="1134" w:type="dxa"/>
            <w:vMerge w:val="restart"/>
            <w:tcBorders>
              <w:top w:val="single" w:sz="12" w:space="0" w:color="auto"/>
              <w:left w:val="single" w:sz="8" w:space="0" w:color="auto"/>
              <w:bottom w:val="single" w:sz="12" w:space="0" w:color="auto"/>
              <w:right w:val="single" w:sz="8" w:space="0" w:color="auto"/>
            </w:tcBorders>
            <w:shd w:val="clear" w:color="auto" w:fill="F5DADD"/>
            <w:vAlign w:val="center"/>
            <w:hideMark/>
          </w:tcPr>
          <w:p w14:paraId="6C91BC37" w14:textId="77777777" w:rsidR="001B1A7F" w:rsidRPr="00E34B0F" w:rsidRDefault="001B1A7F" w:rsidP="00917551">
            <w:pPr>
              <w:spacing w:after="0" w:line="240" w:lineRule="auto"/>
              <w:jc w:val="center"/>
              <w:rPr>
                <w:rFonts w:cs="Arial"/>
                <w:b/>
                <w:bCs/>
                <w:color w:val="000000"/>
                <w:sz w:val="16"/>
                <w:szCs w:val="16"/>
                <w:lang w:eastAsia="en-US"/>
              </w:rPr>
            </w:pPr>
            <w:r w:rsidRPr="00E34B0F">
              <w:rPr>
                <w:rFonts w:cs="Arial"/>
                <w:b/>
                <w:bCs/>
                <w:color w:val="000000"/>
                <w:sz w:val="16"/>
                <w:szCs w:val="16"/>
                <w:lang w:eastAsia="en-US"/>
              </w:rPr>
              <w:t>Oběti celkem</w:t>
            </w:r>
            <w:r w:rsidRPr="00E34B0F">
              <w:rPr>
                <w:rFonts w:cs="Arial"/>
                <w:b/>
                <w:bCs/>
                <w:color w:val="000000"/>
                <w:sz w:val="16"/>
                <w:szCs w:val="16"/>
                <w:vertAlign w:val="superscript"/>
                <w:lang w:eastAsia="en-US"/>
              </w:rPr>
              <w:t>1)</w:t>
            </w:r>
          </w:p>
        </w:tc>
        <w:tc>
          <w:tcPr>
            <w:tcW w:w="2096" w:type="dxa"/>
            <w:gridSpan w:val="2"/>
            <w:tcBorders>
              <w:top w:val="single" w:sz="12" w:space="0" w:color="auto"/>
              <w:left w:val="nil"/>
              <w:bottom w:val="single" w:sz="8" w:space="0" w:color="auto"/>
              <w:right w:val="nil"/>
            </w:tcBorders>
            <w:shd w:val="clear" w:color="auto" w:fill="F5DADD"/>
            <w:vAlign w:val="center"/>
            <w:hideMark/>
          </w:tcPr>
          <w:p w14:paraId="2DEE78CD" w14:textId="77777777" w:rsidR="001B1A7F" w:rsidRPr="00E34B0F" w:rsidRDefault="001B1A7F" w:rsidP="00917551">
            <w:pPr>
              <w:spacing w:after="0" w:line="240" w:lineRule="auto"/>
              <w:jc w:val="center"/>
              <w:rPr>
                <w:rFonts w:cs="Arial"/>
                <w:b/>
                <w:bCs/>
                <w:color w:val="000000"/>
                <w:sz w:val="16"/>
                <w:szCs w:val="16"/>
                <w:lang w:eastAsia="en-US"/>
              </w:rPr>
            </w:pPr>
            <w:r w:rsidRPr="00E34B0F">
              <w:rPr>
                <w:rFonts w:cs="Arial"/>
                <w:b/>
                <w:bCs/>
                <w:color w:val="000000"/>
                <w:sz w:val="16"/>
                <w:szCs w:val="16"/>
                <w:lang w:eastAsia="en-US"/>
              </w:rPr>
              <w:t>Z toho senioři:</w:t>
            </w:r>
          </w:p>
        </w:tc>
      </w:tr>
      <w:tr w:rsidR="001B1A7F" w:rsidRPr="00E34B0F" w14:paraId="7467D5E8" w14:textId="77777777" w:rsidTr="00830867">
        <w:trPr>
          <w:trHeight w:hRule="exact" w:val="284"/>
        </w:trPr>
        <w:tc>
          <w:tcPr>
            <w:tcW w:w="0" w:type="auto"/>
            <w:vMerge/>
            <w:tcBorders>
              <w:top w:val="single" w:sz="8" w:space="0" w:color="auto"/>
              <w:left w:val="nil"/>
              <w:bottom w:val="single" w:sz="12" w:space="0" w:color="auto"/>
              <w:right w:val="single" w:sz="8" w:space="0" w:color="auto"/>
            </w:tcBorders>
            <w:vAlign w:val="center"/>
            <w:hideMark/>
          </w:tcPr>
          <w:p w14:paraId="1667A804" w14:textId="77777777" w:rsidR="001B1A7F" w:rsidRPr="00E34B0F" w:rsidRDefault="001B1A7F" w:rsidP="00917551">
            <w:pPr>
              <w:spacing w:after="0" w:line="240" w:lineRule="auto"/>
              <w:rPr>
                <w:rFonts w:cs="Arial"/>
                <w:b/>
                <w:bCs/>
                <w:color w:val="000000"/>
                <w:sz w:val="16"/>
                <w:szCs w:val="16"/>
                <w:lang w:eastAsia="en-US"/>
              </w:rPr>
            </w:pPr>
          </w:p>
        </w:tc>
        <w:tc>
          <w:tcPr>
            <w:tcW w:w="0" w:type="auto"/>
            <w:vMerge/>
            <w:tcBorders>
              <w:top w:val="single" w:sz="8" w:space="0" w:color="auto"/>
              <w:left w:val="single" w:sz="8" w:space="0" w:color="auto"/>
              <w:bottom w:val="single" w:sz="12" w:space="0" w:color="auto"/>
              <w:right w:val="single" w:sz="8" w:space="0" w:color="auto"/>
            </w:tcBorders>
            <w:vAlign w:val="center"/>
            <w:hideMark/>
          </w:tcPr>
          <w:p w14:paraId="21A5615E" w14:textId="77777777" w:rsidR="001B1A7F" w:rsidRPr="00E34B0F" w:rsidRDefault="001B1A7F" w:rsidP="00917551">
            <w:pPr>
              <w:spacing w:after="0" w:line="240" w:lineRule="auto"/>
              <w:rPr>
                <w:rFonts w:cs="Arial"/>
                <w:b/>
                <w:bCs/>
                <w:color w:val="000000"/>
                <w:sz w:val="16"/>
                <w:szCs w:val="16"/>
                <w:lang w:eastAsia="en-US"/>
              </w:rPr>
            </w:pPr>
          </w:p>
        </w:tc>
        <w:tc>
          <w:tcPr>
            <w:tcW w:w="1134" w:type="dxa"/>
            <w:tcBorders>
              <w:top w:val="nil"/>
              <w:left w:val="nil"/>
              <w:bottom w:val="single" w:sz="12" w:space="0" w:color="auto"/>
              <w:right w:val="nil"/>
            </w:tcBorders>
            <w:shd w:val="clear" w:color="auto" w:fill="F5DADD"/>
            <w:vAlign w:val="center"/>
            <w:hideMark/>
          </w:tcPr>
          <w:p w14:paraId="60952AAA" w14:textId="77777777" w:rsidR="001B1A7F" w:rsidRPr="00E34B0F" w:rsidRDefault="001B1A7F" w:rsidP="00917551">
            <w:pPr>
              <w:spacing w:after="0" w:line="240" w:lineRule="auto"/>
              <w:jc w:val="center"/>
              <w:rPr>
                <w:rFonts w:cs="Arial"/>
                <w:b/>
                <w:bCs/>
                <w:color w:val="000000"/>
                <w:sz w:val="16"/>
                <w:szCs w:val="16"/>
                <w:lang w:eastAsia="en-US"/>
              </w:rPr>
            </w:pPr>
            <w:r w:rsidRPr="00E34B0F">
              <w:rPr>
                <w:rFonts w:cs="Arial"/>
                <w:b/>
                <w:bCs/>
                <w:color w:val="000000"/>
                <w:sz w:val="16"/>
                <w:szCs w:val="16"/>
                <w:lang w:eastAsia="en-US"/>
              </w:rPr>
              <w:t>celkem</w:t>
            </w:r>
          </w:p>
        </w:tc>
        <w:tc>
          <w:tcPr>
            <w:tcW w:w="962" w:type="dxa"/>
            <w:tcBorders>
              <w:top w:val="nil"/>
              <w:left w:val="single" w:sz="8" w:space="0" w:color="auto"/>
              <w:bottom w:val="single" w:sz="12" w:space="0" w:color="auto"/>
              <w:right w:val="nil"/>
            </w:tcBorders>
            <w:shd w:val="clear" w:color="auto" w:fill="F5DADD"/>
            <w:vAlign w:val="center"/>
            <w:hideMark/>
          </w:tcPr>
          <w:p w14:paraId="55929B97" w14:textId="77777777" w:rsidR="001B1A7F" w:rsidRPr="00E34B0F" w:rsidRDefault="001B1A7F" w:rsidP="00917551">
            <w:pPr>
              <w:spacing w:after="0" w:line="240" w:lineRule="auto"/>
              <w:jc w:val="center"/>
              <w:rPr>
                <w:rFonts w:cs="Arial"/>
                <w:b/>
                <w:bCs/>
                <w:color w:val="000000"/>
                <w:sz w:val="16"/>
                <w:szCs w:val="16"/>
                <w:lang w:eastAsia="en-US"/>
              </w:rPr>
            </w:pPr>
            <w:r w:rsidRPr="00E34B0F">
              <w:rPr>
                <w:rFonts w:cs="Arial"/>
                <w:b/>
                <w:bCs/>
                <w:color w:val="000000"/>
                <w:sz w:val="16"/>
                <w:szCs w:val="16"/>
                <w:lang w:eastAsia="en-US"/>
              </w:rPr>
              <w:t>%</w:t>
            </w:r>
          </w:p>
        </w:tc>
      </w:tr>
      <w:tr w:rsidR="001B1A7F" w:rsidRPr="00E34B0F" w14:paraId="3EF550BF" w14:textId="77777777" w:rsidTr="00830867">
        <w:trPr>
          <w:trHeight w:hRule="exact" w:val="284"/>
        </w:trPr>
        <w:tc>
          <w:tcPr>
            <w:tcW w:w="3291" w:type="dxa"/>
            <w:tcBorders>
              <w:top w:val="single" w:sz="12" w:space="0" w:color="auto"/>
              <w:left w:val="nil"/>
              <w:bottom w:val="nil"/>
              <w:right w:val="nil"/>
            </w:tcBorders>
            <w:noWrap/>
            <w:vAlign w:val="center"/>
            <w:hideMark/>
          </w:tcPr>
          <w:p w14:paraId="4E860E41" w14:textId="77777777" w:rsidR="001B1A7F" w:rsidRPr="00E34B0F" w:rsidRDefault="001B1A7F" w:rsidP="00917551">
            <w:pPr>
              <w:spacing w:after="0" w:line="240" w:lineRule="auto"/>
              <w:contextualSpacing/>
              <w:rPr>
                <w:rFonts w:cs="Arial"/>
                <w:b/>
                <w:bCs/>
                <w:color w:val="000000"/>
                <w:sz w:val="16"/>
                <w:szCs w:val="16"/>
                <w:lang w:eastAsia="en-US"/>
              </w:rPr>
            </w:pPr>
            <w:r w:rsidRPr="00E34B0F">
              <w:rPr>
                <w:rFonts w:cs="Arial"/>
                <w:b/>
                <w:bCs/>
                <w:color w:val="000000"/>
                <w:sz w:val="16"/>
                <w:szCs w:val="16"/>
                <w:lang w:eastAsia="en-US"/>
              </w:rPr>
              <w:t>Vražda</w:t>
            </w:r>
          </w:p>
        </w:tc>
        <w:tc>
          <w:tcPr>
            <w:tcW w:w="1134" w:type="dxa"/>
            <w:tcBorders>
              <w:top w:val="single" w:sz="12" w:space="0" w:color="auto"/>
              <w:left w:val="single" w:sz="8" w:space="0" w:color="auto"/>
              <w:bottom w:val="nil"/>
              <w:right w:val="single" w:sz="8" w:space="0" w:color="auto"/>
            </w:tcBorders>
            <w:shd w:val="clear" w:color="auto" w:fill="auto"/>
            <w:noWrap/>
            <w:vAlign w:val="center"/>
          </w:tcPr>
          <w:p w14:paraId="07DDBFE3"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118</w:t>
            </w:r>
          </w:p>
        </w:tc>
        <w:tc>
          <w:tcPr>
            <w:tcW w:w="1134" w:type="dxa"/>
            <w:tcBorders>
              <w:top w:val="single" w:sz="12" w:space="0" w:color="auto"/>
              <w:left w:val="nil"/>
              <w:bottom w:val="nil"/>
              <w:right w:val="single" w:sz="8" w:space="0" w:color="auto"/>
            </w:tcBorders>
            <w:shd w:val="clear" w:color="auto" w:fill="auto"/>
            <w:noWrap/>
            <w:vAlign w:val="center"/>
          </w:tcPr>
          <w:p w14:paraId="61172CFF"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9</w:t>
            </w:r>
          </w:p>
        </w:tc>
        <w:tc>
          <w:tcPr>
            <w:tcW w:w="962" w:type="dxa"/>
            <w:tcBorders>
              <w:top w:val="single" w:sz="12" w:space="0" w:color="auto"/>
              <w:left w:val="nil"/>
              <w:bottom w:val="nil"/>
            </w:tcBorders>
            <w:shd w:val="clear" w:color="auto" w:fill="auto"/>
            <w:vAlign w:val="center"/>
          </w:tcPr>
          <w:p w14:paraId="5126220E"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7,6</w:t>
            </w:r>
          </w:p>
        </w:tc>
      </w:tr>
      <w:tr w:rsidR="001B1A7F" w:rsidRPr="00E34B0F" w14:paraId="2D678CA5" w14:textId="77777777" w:rsidTr="00FC01AA">
        <w:trPr>
          <w:trHeight w:hRule="exact" w:val="284"/>
        </w:trPr>
        <w:tc>
          <w:tcPr>
            <w:tcW w:w="3291" w:type="dxa"/>
            <w:noWrap/>
            <w:vAlign w:val="center"/>
            <w:hideMark/>
          </w:tcPr>
          <w:p w14:paraId="64278B2C" w14:textId="77777777" w:rsidR="001B1A7F" w:rsidRPr="00E34B0F" w:rsidRDefault="001B1A7F" w:rsidP="00917551">
            <w:pPr>
              <w:spacing w:after="0" w:line="240" w:lineRule="auto"/>
              <w:contextualSpacing/>
              <w:rPr>
                <w:rFonts w:cs="Arial"/>
                <w:b/>
                <w:bCs/>
                <w:color w:val="000000"/>
                <w:sz w:val="16"/>
                <w:szCs w:val="16"/>
                <w:lang w:eastAsia="en-US"/>
              </w:rPr>
            </w:pPr>
            <w:r w:rsidRPr="00E34B0F">
              <w:rPr>
                <w:rFonts w:cs="Arial"/>
                <w:b/>
                <w:bCs/>
                <w:color w:val="000000"/>
                <w:sz w:val="16"/>
                <w:szCs w:val="16"/>
                <w:lang w:eastAsia="en-US"/>
              </w:rPr>
              <w:t>Ublížení na zdraví</w:t>
            </w:r>
          </w:p>
        </w:tc>
        <w:tc>
          <w:tcPr>
            <w:tcW w:w="1134" w:type="dxa"/>
            <w:tcBorders>
              <w:top w:val="nil"/>
              <w:left w:val="single" w:sz="8" w:space="0" w:color="auto"/>
              <w:bottom w:val="nil"/>
              <w:right w:val="single" w:sz="8" w:space="0" w:color="auto"/>
            </w:tcBorders>
            <w:shd w:val="clear" w:color="auto" w:fill="auto"/>
            <w:noWrap/>
            <w:vAlign w:val="center"/>
          </w:tcPr>
          <w:p w14:paraId="5C130461"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4 468</w:t>
            </w:r>
          </w:p>
        </w:tc>
        <w:tc>
          <w:tcPr>
            <w:tcW w:w="1134" w:type="dxa"/>
            <w:tcBorders>
              <w:top w:val="nil"/>
              <w:left w:val="nil"/>
              <w:bottom w:val="nil"/>
              <w:right w:val="single" w:sz="8" w:space="0" w:color="auto"/>
            </w:tcBorders>
            <w:shd w:val="clear" w:color="auto" w:fill="auto"/>
            <w:noWrap/>
            <w:vAlign w:val="center"/>
          </w:tcPr>
          <w:p w14:paraId="609BDE92"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288</w:t>
            </w:r>
          </w:p>
        </w:tc>
        <w:tc>
          <w:tcPr>
            <w:tcW w:w="962" w:type="dxa"/>
            <w:tcBorders>
              <w:top w:val="nil"/>
              <w:left w:val="nil"/>
              <w:bottom w:val="nil"/>
            </w:tcBorders>
            <w:shd w:val="clear" w:color="auto" w:fill="auto"/>
            <w:vAlign w:val="center"/>
          </w:tcPr>
          <w:p w14:paraId="56B65F01"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6,4</w:t>
            </w:r>
          </w:p>
        </w:tc>
      </w:tr>
      <w:tr w:rsidR="001B1A7F" w:rsidRPr="00E34B0F" w14:paraId="5C7DF43F" w14:textId="77777777" w:rsidTr="00FC01AA">
        <w:trPr>
          <w:trHeight w:hRule="exact" w:val="284"/>
        </w:trPr>
        <w:tc>
          <w:tcPr>
            <w:tcW w:w="3291" w:type="dxa"/>
            <w:noWrap/>
            <w:vAlign w:val="center"/>
            <w:hideMark/>
          </w:tcPr>
          <w:p w14:paraId="788B6344" w14:textId="77777777" w:rsidR="001B1A7F" w:rsidRPr="00E34B0F" w:rsidRDefault="001B1A7F" w:rsidP="00917551">
            <w:pPr>
              <w:spacing w:after="0" w:line="240" w:lineRule="auto"/>
              <w:contextualSpacing/>
              <w:rPr>
                <w:rFonts w:cs="Arial"/>
                <w:color w:val="000000"/>
                <w:sz w:val="16"/>
                <w:szCs w:val="16"/>
                <w:lang w:eastAsia="en-US"/>
              </w:rPr>
            </w:pPr>
            <w:r w:rsidRPr="00E34B0F">
              <w:rPr>
                <w:rFonts w:cs="Arial"/>
                <w:color w:val="000000"/>
                <w:sz w:val="16"/>
                <w:szCs w:val="16"/>
                <w:lang w:eastAsia="en-US"/>
              </w:rPr>
              <w:t>V tom:</w:t>
            </w:r>
          </w:p>
        </w:tc>
        <w:tc>
          <w:tcPr>
            <w:tcW w:w="1134" w:type="dxa"/>
            <w:tcBorders>
              <w:top w:val="nil"/>
              <w:left w:val="single" w:sz="8" w:space="0" w:color="auto"/>
              <w:bottom w:val="nil"/>
              <w:right w:val="single" w:sz="8" w:space="0" w:color="auto"/>
            </w:tcBorders>
            <w:noWrap/>
            <w:vAlign w:val="center"/>
          </w:tcPr>
          <w:p w14:paraId="166C12EE" w14:textId="77777777" w:rsidR="001B1A7F" w:rsidRPr="00E34B0F" w:rsidRDefault="001B1A7F" w:rsidP="00917551">
            <w:pPr>
              <w:spacing w:after="0" w:line="240" w:lineRule="auto"/>
              <w:jc w:val="right"/>
              <w:rPr>
                <w:rFonts w:cs="Arial"/>
                <w:color w:val="000000"/>
                <w:sz w:val="16"/>
                <w:szCs w:val="16"/>
                <w:lang w:eastAsia="en-US"/>
              </w:rPr>
            </w:pPr>
          </w:p>
        </w:tc>
        <w:tc>
          <w:tcPr>
            <w:tcW w:w="1134" w:type="dxa"/>
            <w:noWrap/>
            <w:vAlign w:val="center"/>
          </w:tcPr>
          <w:p w14:paraId="4B1EE53D" w14:textId="77777777" w:rsidR="001B1A7F" w:rsidRPr="00E34B0F" w:rsidRDefault="001B1A7F" w:rsidP="00917551">
            <w:pPr>
              <w:spacing w:line="240" w:lineRule="auto"/>
              <w:rPr>
                <w:rFonts w:cs="Arial"/>
                <w:color w:val="000000"/>
                <w:sz w:val="16"/>
                <w:szCs w:val="16"/>
                <w:lang w:eastAsia="en-US"/>
              </w:rPr>
            </w:pPr>
          </w:p>
        </w:tc>
        <w:tc>
          <w:tcPr>
            <w:tcW w:w="962" w:type="dxa"/>
            <w:tcBorders>
              <w:top w:val="nil"/>
              <w:left w:val="single" w:sz="8" w:space="0" w:color="auto"/>
              <w:bottom w:val="nil"/>
              <w:right w:val="nil"/>
            </w:tcBorders>
            <w:vAlign w:val="center"/>
          </w:tcPr>
          <w:p w14:paraId="7B4D3883" w14:textId="77777777" w:rsidR="001B1A7F" w:rsidRPr="00E34B0F" w:rsidRDefault="001B1A7F" w:rsidP="00917551">
            <w:pPr>
              <w:spacing w:after="0" w:line="240" w:lineRule="auto"/>
              <w:jc w:val="right"/>
              <w:rPr>
                <w:rFonts w:cs="Arial"/>
                <w:color w:val="000000"/>
                <w:sz w:val="16"/>
                <w:szCs w:val="16"/>
                <w:lang w:eastAsia="en-US"/>
              </w:rPr>
            </w:pPr>
          </w:p>
        </w:tc>
      </w:tr>
      <w:tr w:rsidR="001B1A7F" w:rsidRPr="00E34B0F" w14:paraId="6D7BAA2C" w14:textId="77777777" w:rsidTr="00FC01AA">
        <w:trPr>
          <w:trHeight w:hRule="exact" w:val="284"/>
        </w:trPr>
        <w:tc>
          <w:tcPr>
            <w:tcW w:w="3291" w:type="dxa"/>
            <w:noWrap/>
            <w:vAlign w:val="center"/>
            <w:hideMark/>
          </w:tcPr>
          <w:p w14:paraId="670FFC10" w14:textId="77777777" w:rsidR="001B1A7F" w:rsidRPr="00E34B0F" w:rsidRDefault="001B1A7F" w:rsidP="00917551">
            <w:pPr>
              <w:spacing w:after="0" w:line="240" w:lineRule="auto"/>
              <w:ind w:firstLineChars="100" w:firstLine="160"/>
              <w:contextualSpacing/>
              <w:rPr>
                <w:rFonts w:cs="Arial"/>
                <w:color w:val="000000"/>
                <w:sz w:val="16"/>
                <w:szCs w:val="16"/>
                <w:lang w:eastAsia="en-US"/>
              </w:rPr>
            </w:pPr>
            <w:r w:rsidRPr="00E34B0F">
              <w:rPr>
                <w:rFonts w:cs="Arial"/>
                <w:color w:val="000000"/>
                <w:sz w:val="16"/>
                <w:szCs w:val="16"/>
                <w:lang w:eastAsia="en-US"/>
              </w:rPr>
              <w:t>Úmyslné ublížení na zdraví</w:t>
            </w:r>
          </w:p>
        </w:tc>
        <w:tc>
          <w:tcPr>
            <w:tcW w:w="1134" w:type="dxa"/>
            <w:tcBorders>
              <w:top w:val="nil"/>
              <w:left w:val="single" w:sz="8" w:space="0" w:color="auto"/>
              <w:bottom w:val="nil"/>
              <w:right w:val="single" w:sz="8" w:space="0" w:color="auto"/>
            </w:tcBorders>
            <w:shd w:val="clear" w:color="auto" w:fill="auto"/>
            <w:noWrap/>
            <w:vAlign w:val="center"/>
          </w:tcPr>
          <w:p w14:paraId="6B45D038"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3 976</w:t>
            </w:r>
          </w:p>
        </w:tc>
        <w:tc>
          <w:tcPr>
            <w:tcW w:w="1134" w:type="dxa"/>
            <w:tcBorders>
              <w:top w:val="nil"/>
              <w:left w:val="nil"/>
              <w:bottom w:val="nil"/>
              <w:right w:val="single" w:sz="8" w:space="0" w:color="auto"/>
            </w:tcBorders>
            <w:shd w:val="clear" w:color="auto" w:fill="auto"/>
            <w:noWrap/>
            <w:vAlign w:val="center"/>
          </w:tcPr>
          <w:p w14:paraId="7051EF73"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213</w:t>
            </w:r>
          </w:p>
        </w:tc>
        <w:tc>
          <w:tcPr>
            <w:tcW w:w="962" w:type="dxa"/>
            <w:tcBorders>
              <w:top w:val="nil"/>
              <w:left w:val="nil"/>
              <w:bottom w:val="nil"/>
            </w:tcBorders>
            <w:shd w:val="clear" w:color="auto" w:fill="auto"/>
            <w:vAlign w:val="center"/>
          </w:tcPr>
          <w:p w14:paraId="125BF967"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5,4</w:t>
            </w:r>
          </w:p>
        </w:tc>
      </w:tr>
      <w:tr w:rsidR="001B1A7F" w:rsidRPr="00E34B0F" w14:paraId="670FE553" w14:textId="77777777" w:rsidTr="00FC01AA">
        <w:trPr>
          <w:trHeight w:hRule="exact" w:val="284"/>
        </w:trPr>
        <w:tc>
          <w:tcPr>
            <w:tcW w:w="3291" w:type="dxa"/>
            <w:noWrap/>
            <w:vAlign w:val="center"/>
            <w:hideMark/>
          </w:tcPr>
          <w:p w14:paraId="3C3C5E4F" w14:textId="77777777" w:rsidR="001B1A7F" w:rsidRPr="00E34B0F" w:rsidRDefault="001B1A7F" w:rsidP="00917551">
            <w:pPr>
              <w:spacing w:after="0" w:line="240" w:lineRule="auto"/>
              <w:ind w:firstLineChars="100" w:firstLine="160"/>
              <w:contextualSpacing/>
              <w:rPr>
                <w:rFonts w:cs="Arial"/>
                <w:color w:val="000000"/>
                <w:sz w:val="16"/>
                <w:szCs w:val="16"/>
                <w:lang w:eastAsia="en-US"/>
              </w:rPr>
            </w:pPr>
            <w:r w:rsidRPr="00E34B0F">
              <w:rPr>
                <w:rFonts w:cs="Arial"/>
                <w:color w:val="000000"/>
                <w:sz w:val="16"/>
                <w:szCs w:val="16"/>
                <w:lang w:eastAsia="en-US"/>
              </w:rPr>
              <w:t>Ublížení na zdraví z nedbalosti</w:t>
            </w:r>
          </w:p>
        </w:tc>
        <w:tc>
          <w:tcPr>
            <w:tcW w:w="1134" w:type="dxa"/>
            <w:tcBorders>
              <w:top w:val="nil"/>
              <w:left w:val="single" w:sz="8" w:space="0" w:color="auto"/>
              <w:bottom w:val="nil"/>
              <w:right w:val="single" w:sz="8" w:space="0" w:color="auto"/>
            </w:tcBorders>
            <w:shd w:val="clear" w:color="auto" w:fill="auto"/>
            <w:noWrap/>
            <w:vAlign w:val="center"/>
          </w:tcPr>
          <w:p w14:paraId="72FACE25"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492</w:t>
            </w:r>
          </w:p>
        </w:tc>
        <w:tc>
          <w:tcPr>
            <w:tcW w:w="1134" w:type="dxa"/>
            <w:tcBorders>
              <w:top w:val="nil"/>
              <w:left w:val="nil"/>
              <w:bottom w:val="nil"/>
              <w:right w:val="single" w:sz="8" w:space="0" w:color="auto"/>
            </w:tcBorders>
            <w:shd w:val="clear" w:color="auto" w:fill="auto"/>
            <w:noWrap/>
            <w:vAlign w:val="center"/>
          </w:tcPr>
          <w:p w14:paraId="1AC34C4B"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75</w:t>
            </w:r>
          </w:p>
        </w:tc>
        <w:tc>
          <w:tcPr>
            <w:tcW w:w="962" w:type="dxa"/>
            <w:tcBorders>
              <w:top w:val="nil"/>
              <w:left w:val="nil"/>
              <w:bottom w:val="nil"/>
            </w:tcBorders>
            <w:shd w:val="clear" w:color="auto" w:fill="auto"/>
            <w:vAlign w:val="center"/>
          </w:tcPr>
          <w:p w14:paraId="51528D9F"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15,2</w:t>
            </w:r>
          </w:p>
        </w:tc>
      </w:tr>
      <w:tr w:rsidR="001B1A7F" w:rsidRPr="00E34B0F" w14:paraId="7C4F1829" w14:textId="77777777" w:rsidTr="00FC01AA">
        <w:trPr>
          <w:trHeight w:hRule="exact" w:val="284"/>
        </w:trPr>
        <w:tc>
          <w:tcPr>
            <w:tcW w:w="3291" w:type="dxa"/>
            <w:noWrap/>
            <w:vAlign w:val="center"/>
            <w:hideMark/>
          </w:tcPr>
          <w:p w14:paraId="67DD95D0" w14:textId="77777777" w:rsidR="001B1A7F" w:rsidRPr="00E34B0F" w:rsidRDefault="001B1A7F" w:rsidP="00917551">
            <w:pPr>
              <w:spacing w:after="0" w:line="240" w:lineRule="auto"/>
              <w:contextualSpacing/>
              <w:rPr>
                <w:rFonts w:cs="Arial"/>
                <w:b/>
                <w:bCs/>
                <w:color w:val="000000"/>
                <w:sz w:val="16"/>
                <w:szCs w:val="16"/>
                <w:lang w:eastAsia="en-US"/>
              </w:rPr>
            </w:pPr>
            <w:r w:rsidRPr="00E34B0F">
              <w:rPr>
                <w:rFonts w:cs="Arial"/>
                <w:b/>
                <w:bCs/>
                <w:color w:val="000000"/>
                <w:sz w:val="16"/>
                <w:szCs w:val="16"/>
                <w:lang w:eastAsia="en-US"/>
              </w:rPr>
              <w:t>Nebezpečné vyhrožování</w:t>
            </w:r>
          </w:p>
        </w:tc>
        <w:tc>
          <w:tcPr>
            <w:tcW w:w="1134" w:type="dxa"/>
            <w:tcBorders>
              <w:top w:val="nil"/>
              <w:left w:val="single" w:sz="8" w:space="0" w:color="auto"/>
              <w:bottom w:val="nil"/>
              <w:right w:val="single" w:sz="8" w:space="0" w:color="auto"/>
            </w:tcBorders>
            <w:shd w:val="clear" w:color="auto" w:fill="auto"/>
            <w:noWrap/>
            <w:vAlign w:val="center"/>
          </w:tcPr>
          <w:p w14:paraId="3AC945A6"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2 141</w:t>
            </w:r>
          </w:p>
        </w:tc>
        <w:tc>
          <w:tcPr>
            <w:tcW w:w="1134" w:type="dxa"/>
            <w:tcBorders>
              <w:top w:val="nil"/>
              <w:left w:val="nil"/>
              <w:bottom w:val="nil"/>
              <w:right w:val="single" w:sz="8" w:space="0" w:color="auto"/>
            </w:tcBorders>
            <w:shd w:val="clear" w:color="auto" w:fill="auto"/>
            <w:noWrap/>
            <w:vAlign w:val="center"/>
          </w:tcPr>
          <w:p w14:paraId="5681B929"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152</w:t>
            </w:r>
          </w:p>
        </w:tc>
        <w:tc>
          <w:tcPr>
            <w:tcW w:w="962" w:type="dxa"/>
            <w:tcBorders>
              <w:top w:val="nil"/>
              <w:left w:val="nil"/>
              <w:bottom w:val="nil"/>
            </w:tcBorders>
            <w:shd w:val="clear" w:color="auto" w:fill="auto"/>
            <w:vAlign w:val="center"/>
          </w:tcPr>
          <w:p w14:paraId="49A93B27"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7,1</w:t>
            </w:r>
          </w:p>
        </w:tc>
      </w:tr>
      <w:tr w:rsidR="001B1A7F" w:rsidRPr="00E34B0F" w14:paraId="22CD6116" w14:textId="77777777" w:rsidTr="00FC01AA">
        <w:trPr>
          <w:trHeight w:hRule="exact" w:val="284"/>
        </w:trPr>
        <w:tc>
          <w:tcPr>
            <w:tcW w:w="3291" w:type="dxa"/>
            <w:noWrap/>
            <w:vAlign w:val="center"/>
            <w:hideMark/>
          </w:tcPr>
          <w:p w14:paraId="015EEAAA" w14:textId="77777777" w:rsidR="001B1A7F" w:rsidRPr="00E34B0F" w:rsidRDefault="001B1A7F" w:rsidP="00917551">
            <w:pPr>
              <w:spacing w:after="0" w:line="240" w:lineRule="auto"/>
              <w:contextualSpacing/>
              <w:rPr>
                <w:rFonts w:cs="Arial"/>
                <w:b/>
                <w:bCs/>
                <w:color w:val="000000"/>
                <w:sz w:val="16"/>
                <w:szCs w:val="16"/>
                <w:lang w:eastAsia="en-US"/>
              </w:rPr>
            </w:pPr>
            <w:r w:rsidRPr="00E34B0F">
              <w:rPr>
                <w:rFonts w:cs="Arial"/>
                <w:b/>
                <w:bCs/>
                <w:color w:val="000000"/>
                <w:sz w:val="16"/>
                <w:szCs w:val="16"/>
                <w:lang w:eastAsia="en-US"/>
              </w:rPr>
              <w:t>Vydírání</w:t>
            </w:r>
          </w:p>
        </w:tc>
        <w:tc>
          <w:tcPr>
            <w:tcW w:w="1134" w:type="dxa"/>
            <w:tcBorders>
              <w:top w:val="nil"/>
              <w:left w:val="single" w:sz="8" w:space="0" w:color="auto"/>
              <w:bottom w:val="nil"/>
              <w:right w:val="single" w:sz="8" w:space="0" w:color="auto"/>
            </w:tcBorders>
            <w:shd w:val="clear" w:color="auto" w:fill="auto"/>
            <w:noWrap/>
            <w:vAlign w:val="center"/>
          </w:tcPr>
          <w:p w14:paraId="315D2259"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1 030</w:t>
            </w:r>
          </w:p>
        </w:tc>
        <w:tc>
          <w:tcPr>
            <w:tcW w:w="1134" w:type="dxa"/>
            <w:tcBorders>
              <w:top w:val="nil"/>
              <w:left w:val="nil"/>
              <w:bottom w:val="nil"/>
              <w:right w:val="single" w:sz="8" w:space="0" w:color="auto"/>
            </w:tcBorders>
            <w:shd w:val="clear" w:color="auto" w:fill="auto"/>
            <w:noWrap/>
            <w:vAlign w:val="center"/>
          </w:tcPr>
          <w:p w14:paraId="5CFB78B6"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53</w:t>
            </w:r>
          </w:p>
        </w:tc>
        <w:tc>
          <w:tcPr>
            <w:tcW w:w="962" w:type="dxa"/>
            <w:tcBorders>
              <w:top w:val="nil"/>
              <w:left w:val="nil"/>
              <w:bottom w:val="nil"/>
            </w:tcBorders>
            <w:shd w:val="clear" w:color="auto" w:fill="auto"/>
            <w:vAlign w:val="center"/>
          </w:tcPr>
          <w:p w14:paraId="3652D54B"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5,1</w:t>
            </w:r>
          </w:p>
        </w:tc>
      </w:tr>
      <w:tr w:rsidR="001B1A7F" w:rsidRPr="00E34B0F" w14:paraId="5C160D18" w14:textId="77777777" w:rsidTr="00FC01AA">
        <w:trPr>
          <w:trHeight w:hRule="exact" w:val="284"/>
        </w:trPr>
        <w:tc>
          <w:tcPr>
            <w:tcW w:w="3291" w:type="dxa"/>
            <w:noWrap/>
            <w:vAlign w:val="center"/>
            <w:hideMark/>
          </w:tcPr>
          <w:p w14:paraId="3C123D5E" w14:textId="77777777" w:rsidR="001B1A7F" w:rsidRPr="00E34B0F" w:rsidRDefault="001B1A7F" w:rsidP="00917551">
            <w:pPr>
              <w:spacing w:after="0" w:line="240" w:lineRule="auto"/>
              <w:contextualSpacing/>
              <w:rPr>
                <w:rFonts w:cs="Arial"/>
                <w:b/>
                <w:bCs/>
                <w:color w:val="000000"/>
                <w:sz w:val="16"/>
                <w:szCs w:val="16"/>
                <w:lang w:eastAsia="en-US"/>
              </w:rPr>
            </w:pPr>
            <w:r w:rsidRPr="00E34B0F">
              <w:rPr>
                <w:rFonts w:cs="Arial"/>
                <w:b/>
                <w:bCs/>
                <w:color w:val="000000"/>
                <w:sz w:val="16"/>
                <w:szCs w:val="16"/>
                <w:lang w:eastAsia="en-US"/>
              </w:rPr>
              <w:t>Domácí násilí</w:t>
            </w:r>
          </w:p>
        </w:tc>
        <w:tc>
          <w:tcPr>
            <w:tcW w:w="1134" w:type="dxa"/>
            <w:tcBorders>
              <w:top w:val="nil"/>
              <w:left w:val="single" w:sz="8" w:space="0" w:color="auto"/>
              <w:bottom w:val="nil"/>
              <w:right w:val="single" w:sz="8" w:space="0" w:color="auto"/>
            </w:tcBorders>
            <w:shd w:val="clear" w:color="auto" w:fill="auto"/>
            <w:noWrap/>
            <w:vAlign w:val="center"/>
          </w:tcPr>
          <w:p w14:paraId="22C917B7"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854</w:t>
            </w:r>
          </w:p>
        </w:tc>
        <w:tc>
          <w:tcPr>
            <w:tcW w:w="1134" w:type="dxa"/>
            <w:tcBorders>
              <w:top w:val="nil"/>
              <w:left w:val="nil"/>
              <w:bottom w:val="nil"/>
              <w:right w:val="single" w:sz="8" w:space="0" w:color="auto"/>
            </w:tcBorders>
            <w:shd w:val="clear" w:color="auto" w:fill="auto"/>
            <w:noWrap/>
            <w:vAlign w:val="center"/>
          </w:tcPr>
          <w:p w14:paraId="179F95C9"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49</w:t>
            </w:r>
          </w:p>
        </w:tc>
        <w:tc>
          <w:tcPr>
            <w:tcW w:w="962" w:type="dxa"/>
            <w:tcBorders>
              <w:top w:val="nil"/>
              <w:left w:val="nil"/>
              <w:bottom w:val="nil"/>
            </w:tcBorders>
            <w:shd w:val="clear" w:color="auto" w:fill="auto"/>
            <w:vAlign w:val="center"/>
          </w:tcPr>
          <w:p w14:paraId="6041EC60"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5,7</w:t>
            </w:r>
          </w:p>
        </w:tc>
      </w:tr>
      <w:tr w:rsidR="001B1A7F" w:rsidRPr="00E34B0F" w14:paraId="3062B0FA" w14:textId="77777777" w:rsidTr="00FC01AA">
        <w:trPr>
          <w:trHeight w:hRule="exact" w:val="284"/>
        </w:trPr>
        <w:tc>
          <w:tcPr>
            <w:tcW w:w="3291" w:type="dxa"/>
            <w:noWrap/>
            <w:vAlign w:val="center"/>
            <w:hideMark/>
          </w:tcPr>
          <w:p w14:paraId="550132FA" w14:textId="77777777" w:rsidR="001B1A7F" w:rsidRPr="00E34B0F" w:rsidRDefault="001B1A7F" w:rsidP="00917551">
            <w:pPr>
              <w:spacing w:after="0" w:line="240" w:lineRule="auto"/>
              <w:contextualSpacing/>
              <w:rPr>
                <w:rFonts w:cs="Arial"/>
                <w:color w:val="000000"/>
                <w:sz w:val="16"/>
                <w:szCs w:val="16"/>
                <w:lang w:eastAsia="en-US"/>
              </w:rPr>
            </w:pPr>
            <w:r w:rsidRPr="00E34B0F">
              <w:rPr>
                <w:rFonts w:cs="Arial"/>
                <w:color w:val="000000"/>
                <w:sz w:val="16"/>
                <w:szCs w:val="16"/>
                <w:lang w:eastAsia="en-US"/>
              </w:rPr>
              <w:t>V tom:</w:t>
            </w:r>
          </w:p>
        </w:tc>
        <w:tc>
          <w:tcPr>
            <w:tcW w:w="1134" w:type="dxa"/>
            <w:tcBorders>
              <w:top w:val="nil"/>
              <w:left w:val="single" w:sz="8" w:space="0" w:color="auto"/>
              <w:bottom w:val="nil"/>
              <w:right w:val="single" w:sz="8" w:space="0" w:color="auto"/>
            </w:tcBorders>
            <w:noWrap/>
            <w:vAlign w:val="center"/>
          </w:tcPr>
          <w:p w14:paraId="2A0D71D2" w14:textId="77777777" w:rsidR="001B1A7F" w:rsidRPr="00E34B0F" w:rsidRDefault="001B1A7F" w:rsidP="00917551">
            <w:pPr>
              <w:spacing w:after="0" w:line="240" w:lineRule="auto"/>
              <w:jc w:val="right"/>
              <w:rPr>
                <w:rFonts w:cs="Arial"/>
                <w:color w:val="000000"/>
                <w:sz w:val="16"/>
                <w:szCs w:val="16"/>
                <w:lang w:eastAsia="en-US"/>
              </w:rPr>
            </w:pPr>
          </w:p>
        </w:tc>
        <w:tc>
          <w:tcPr>
            <w:tcW w:w="1134" w:type="dxa"/>
            <w:noWrap/>
            <w:vAlign w:val="center"/>
          </w:tcPr>
          <w:p w14:paraId="60D44653" w14:textId="77777777" w:rsidR="001B1A7F" w:rsidRPr="00E34B0F" w:rsidRDefault="001B1A7F" w:rsidP="00917551">
            <w:pPr>
              <w:spacing w:line="240" w:lineRule="auto"/>
              <w:rPr>
                <w:rFonts w:cs="Arial"/>
                <w:color w:val="000000"/>
                <w:sz w:val="16"/>
                <w:szCs w:val="16"/>
                <w:lang w:eastAsia="en-US"/>
              </w:rPr>
            </w:pPr>
          </w:p>
        </w:tc>
        <w:tc>
          <w:tcPr>
            <w:tcW w:w="962" w:type="dxa"/>
            <w:tcBorders>
              <w:top w:val="nil"/>
              <w:left w:val="single" w:sz="8" w:space="0" w:color="auto"/>
              <w:bottom w:val="nil"/>
              <w:right w:val="nil"/>
            </w:tcBorders>
            <w:vAlign w:val="center"/>
          </w:tcPr>
          <w:p w14:paraId="4A9AD177" w14:textId="77777777" w:rsidR="001B1A7F" w:rsidRPr="00E34B0F" w:rsidRDefault="001B1A7F" w:rsidP="00917551">
            <w:pPr>
              <w:spacing w:after="0" w:line="240" w:lineRule="auto"/>
              <w:jc w:val="right"/>
              <w:rPr>
                <w:rFonts w:cs="Arial"/>
                <w:color w:val="000000"/>
                <w:sz w:val="16"/>
                <w:szCs w:val="16"/>
                <w:lang w:eastAsia="en-US"/>
              </w:rPr>
            </w:pPr>
          </w:p>
        </w:tc>
      </w:tr>
      <w:tr w:rsidR="001B1A7F" w:rsidRPr="00E34B0F" w14:paraId="20F29491" w14:textId="77777777" w:rsidTr="00FC01AA">
        <w:trPr>
          <w:trHeight w:hRule="exact" w:val="284"/>
        </w:trPr>
        <w:tc>
          <w:tcPr>
            <w:tcW w:w="3291" w:type="dxa"/>
            <w:noWrap/>
            <w:vAlign w:val="center"/>
            <w:hideMark/>
          </w:tcPr>
          <w:p w14:paraId="552C2C21" w14:textId="77777777" w:rsidR="001B1A7F" w:rsidRPr="00E34B0F" w:rsidRDefault="001B1A7F" w:rsidP="00917551">
            <w:pPr>
              <w:spacing w:after="0" w:line="240" w:lineRule="auto"/>
              <w:ind w:firstLineChars="100" w:firstLine="160"/>
              <w:contextualSpacing/>
              <w:rPr>
                <w:rFonts w:cs="Arial"/>
                <w:color w:val="000000"/>
                <w:sz w:val="16"/>
                <w:szCs w:val="16"/>
                <w:lang w:eastAsia="en-US"/>
              </w:rPr>
            </w:pPr>
            <w:r w:rsidRPr="00E34B0F">
              <w:rPr>
                <w:rFonts w:cs="Arial"/>
                <w:color w:val="000000"/>
                <w:sz w:val="16"/>
                <w:szCs w:val="16"/>
                <w:lang w:eastAsia="en-US"/>
              </w:rPr>
              <w:t>Omezování a zbavování osobní svobody</w:t>
            </w:r>
          </w:p>
        </w:tc>
        <w:tc>
          <w:tcPr>
            <w:tcW w:w="1134" w:type="dxa"/>
            <w:tcBorders>
              <w:top w:val="nil"/>
              <w:left w:val="single" w:sz="8" w:space="0" w:color="auto"/>
              <w:bottom w:val="nil"/>
              <w:right w:val="single" w:sz="8" w:space="0" w:color="auto"/>
            </w:tcBorders>
            <w:shd w:val="clear" w:color="auto" w:fill="auto"/>
            <w:noWrap/>
            <w:vAlign w:val="center"/>
          </w:tcPr>
          <w:p w14:paraId="1AA5C881"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140</w:t>
            </w:r>
          </w:p>
        </w:tc>
        <w:tc>
          <w:tcPr>
            <w:tcW w:w="1134" w:type="dxa"/>
            <w:tcBorders>
              <w:top w:val="nil"/>
              <w:left w:val="nil"/>
              <w:bottom w:val="nil"/>
              <w:right w:val="single" w:sz="8" w:space="0" w:color="auto"/>
            </w:tcBorders>
            <w:shd w:val="clear" w:color="auto" w:fill="auto"/>
            <w:noWrap/>
            <w:vAlign w:val="center"/>
          </w:tcPr>
          <w:p w14:paraId="6509C086"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6</w:t>
            </w:r>
          </w:p>
        </w:tc>
        <w:tc>
          <w:tcPr>
            <w:tcW w:w="962" w:type="dxa"/>
            <w:tcBorders>
              <w:top w:val="nil"/>
              <w:left w:val="nil"/>
              <w:bottom w:val="nil"/>
            </w:tcBorders>
            <w:shd w:val="clear" w:color="auto" w:fill="auto"/>
            <w:vAlign w:val="center"/>
          </w:tcPr>
          <w:p w14:paraId="422BAF58"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4,3</w:t>
            </w:r>
          </w:p>
        </w:tc>
      </w:tr>
      <w:tr w:rsidR="001B1A7F" w:rsidRPr="00E34B0F" w14:paraId="10E624AD" w14:textId="77777777" w:rsidTr="00FC01AA">
        <w:trPr>
          <w:trHeight w:hRule="exact" w:val="284"/>
        </w:trPr>
        <w:tc>
          <w:tcPr>
            <w:tcW w:w="3291" w:type="dxa"/>
            <w:noWrap/>
            <w:vAlign w:val="center"/>
            <w:hideMark/>
          </w:tcPr>
          <w:p w14:paraId="153A511A" w14:textId="77777777" w:rsidR="001B1A7F" w:rsidRPr="00E34B0F" w:rsidRDefault="001B1A7F" w:rsidP="00917551">
            <w:pPr>
              <w:spacing w:after="0" w:line="240" w:lineRule="auto"/>
              <w:ind w:firstLineChars="100" w:firstLine="160"/>
              <w:contextualSpacing/>
              <w:rPr>
                <w:rFonts w:cs="Arial"/>
                <w:color w:val="000000"/>
                <w:sz w:val="16"/>
                <w:szCs w:val="16"/>
                <w:lang w:eastAsia="en-US"/>
              </w:rPr>
            </w:pPr>
            <w:r w:rsidRPr="00E34B0F">
              <w:rPr>
                <w:rFonts w:cs="Arial"/>
                <w:color w:val="000000"/>
                <w:sz w:val="16"/>
                <w:szCs w:val="16"/>
                <w:lang w:eastAsia="en-US"/>
              </w:rPr>
              <w:t>Týrání svěřené osoby</w:t>
            </w:r>
          </w:p>
        </w:tc>
        <w:tc>
          <w:tcPr>
            <w:tcW w:w="1134" w:type="dxa"/>
            <w:tcBorders>
              <w:top w:val="nil"/>
              <w:left w:val="single" w:sz="8" w:space="0" w:color="auto"/>
              <w:bottom w:val="nil"/>
              <w:right w:val="single" w:sz="8" w:space="0" w:color="auto"/>
            </w:tcBorders>
            <w:shd w:val="clear" w:color="auto" w:fill="auto"/>
            <w:noWrap/>
            <w:vAlign w:val="center"/>
          </w:tcPr>
          <w:p w14:paraId="7945FE6D"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257</w:t>
            </w:r>
          </w:p>
        </w:tc>
        <w:tc>
          <w:tcPr>
            <w:tcW w:w="1134" w:type="dxa"/>
            <w:tcBorders>
              <w:top w:val="nil"/>
              <w:left w:val="nil"/>
              <w:bottom w:val="nil"/>
              <w:right w:val="single" w:sz="8" w:space="0" w:color="auto"/>
            </w:tcBorders>
            <w:shd w:val="clear" w:color="auto" w:fill="auto"/>
            <w:noWrap/>
            <w:vAlign w:val="center"/>
          </w:tcPr>
          <w:p w14:paraId="0D3E8D58"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2</w:t>
            </w:r>
          </w:p>
        </w:tc>
        <w:tc>
          <w:tcPr>
            <w:tcW w:w="962" w:type="dxa"/>
            <w:tcBorders>
              <w:top w:val="nil"/>
              <w:left w:val="nil"/>
              <w:bottom w:val="nil"/>
            </w:tcBorders>
            <w:shd w:val="clear" w:color="auto" w:fill="auto"/>
            <w:vAlign w:val="center"/>
          </w:tcPr>
          <w:p w14:paraId="33C11241"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0,8</w:t>
            </w:r>
          </w:p>
        </w:tc>
      </w:tr>
      <w:tr w:rsidR="001B1A7F" w:rsidRPr="00E34B0F" w14:paraId="5CFF5A5F" w14:textId="77777777" w:rsidTr="00FC01AA">
        <w:trPr>
          <w:trHeight w:hRule="exact" w:val="284"/>
        </w:trPr>
        <w:tc>
          <w:tcPr>
            <w:tcW w:w="3291" w:type="dxa"/>
            <w:noWrap/>
            <w:vAlign w:val="center"/>
            <w:hideMark/>
          </w:tcPr>
          <w:p w14:paraId="6819CB40" w14:textId="77777777" w:rsidR="001B1A7F" w:rsidRPr="00E34B0F" w:rsidRDefault="001B1A7F" w:rsidP="00917551">
            <w:pPr>
              <w:spacing w:after="0" w:line="240" w:lineRule="auto"/>
              <w:ind w:firstLineChars="100" w:firstLine="160"/>
              <w:contextualSpacing/>
              <w:rPr>
                <w:rFonts w:cs="Arial"/>
                <w:color w:val="000000"/>
                <w:sz w:val="16"/>
                <w:szCs w:val="16"/>
                <w:lang w:eastAsia="en-US"/>
              </w:rPr>
            </w:pPr>
            <w:r w:rsidRPr="00E34B0F">
              <w:rPr>
                <w:rFonts w:cs="Arial"/>
                <w:color w:val="000000"/>
                <w:sz w:val="16"/>
                <w:szCs w:val="16"/>
                <w:lang w:eastAsia="en-US"/>
              </w:rPr>
              <w:t xml:space="preserve">Týrání osoby žijící ve společném obydlí </w:t>
            </w:r>
          </w:p>
        </w:tc>
        <w:tc>
          <w:tcPr>
            <w:tcW w:w="1134" w:type="dxa"/>
            <w:tcBorders>
              <w:top w:val="nil"/>
              <w:left w:val="single" w:sz="8" w:space="0" w:color="auto"/>
              <w:bottom w:val="nil"/>
              <w:right w:val="single" w:sz="8" w:space="0" w:color="auto"/>
            </w:tcBorders>
            <w:shd w:val="clear" w:color="auto" w:fill="auto"/>
            <w:noWrap/>
            <w:vAlign w:val="center"/>
          </w:tcPr>
          <w:p w14:paraId="40973E40"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437</w:t>
            </w:r>
          </w:p>
        </w:tc>
        <w:tc>
          <w:tcPr>
            <w:tcW w:w="1134" w:type="dxa"/>
            <w:tcBorders>
              <w:top w:val="nil"/>
              <w:left w:val="nil"/>
              <w:bottom w:val="nil"/>
              <w:right w:val="single" w:sz="8" w:space="0" w:color="auto"/>
            </w:tcBorders>
            <w:shd w:val="clear" w:color="auto" w:fill="auto"/>
            <w:noWrap/>
            <w:vAlign w:val="center"/>
          </w:tcPr>
          <w:p w14:paraId="053BFB97"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33</w:t>
            </w:r>
          </w:p>
        </w:tc>
        <w:tc>
          <w:tcPr>
            <w:tcW w:w="962" w:type="dxa"/>
            <w:tcBorders>
              <w:top w:val="nil"/>
              <w:left w:val="nil"/>
              <w:bottom w:val="nil"/>
            </w:tcBorders>
            <w:shd w:val="clear" w:color="auto" w:fill="auto"/>
            <w:vAlign w:val="center"/>
          </w:tcPr>
          <w:p w14:paraId="692F7744"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7,6</w:t>
            </w:r>
          </w:p>
        </w:tc>
      </w:tr>
      <w:tr w:rsidR="001B1A7F" w:rsidRPr="00E34B0F" w14:paraId="1B4812C2" w14:textId="77777777" w:rsidTr="00FC01AA">
        <w:trPr>
          <w:trHeight w:hRule="exact" w:val="284"/>
        </w:trPr>
        <w:tc>
          <w:tcPr>
            <w:tcW w:w="3291" w:type="dxa"/>
            <w:noWrap/>
            <w:vAlign w:val="center"/>
            <w:hideMark/>
          </w:tcPr>
          <w:p w14:paraId="4B3AD337" w14:textId="77777777" w:rsidR="001B1A7F" w:rsidRPr="00E34B0F" w:rsidRDefault="001B1A7F" w:rsidP="00917551">
            <w:pPr>
              <w:spacing w:after="0" w:line="240" w:lineRule="auto"/>
              <w:ind w:firstLineChars="100" w:firstLine="160"/>
              <w:contextualSpacing/>
              <w:rPr>
                <w:rFonts w:cs="Arial"/>
                <w:color w:val="000000"/>
                <w:sz w:val="16"/>
                <w:szCs w:val="16"/>
                <w:lang w:eastAsia="en-US"/>
              </w:rPr>
            </w:pPr>
            <w:r w:rsidRPr="00E34B0F">
              <w:rPr>
                <w:rFonts w:cs="Arial"/>
                <w:color w:val="000000"/>
                <w:sz w:val="16"/>
                <w:szCs w:val="16"/>
                <w:lang w:eastAsia="en-US"/>
              </w:rPr>
              <w:t>Útisk</w:t>
            </w:r>
          </w:p>
        </w:tc>
        <w:tc>
          <w:tcPr>
            <w:tcW w:w="1134" w:type="dxa"/>
            <w:tcBorders>
              <w:top w:val="nil"/>
              <w:left w:val="single" w:sz="8" w:space="0" w:color="auto"/>
              <w:bottom w:val="nil"/>
              <w:right w:val="single" w:sz="8" w:space="0" w:color="auto"/>
            </w:tcBorders>
            <w:shd w:val="clear" w:color="auto" w:fill="auto"/>
            <w:noWrap/>
            <w:vAlign w:val="center"/>
          </w:tcPr>
          <w:p w14:paraId="2AC5C39E"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20</w:t>
            </w:r>
          </w:p>
        </w:tc>
        <w:tc>
          <w:tcPr>
            <w:tcW w:w="1134" w:type="dxa"/>
            <w:tcBorders>
              <w:top w:val="nil"/>
              <w:left w:val="nil"/>
              <w:bottom w:val="nil"/>
              <w:right w:val="single" w:sz="8" w:space="0" w:color="auto"/>
            </w:tcBorders>
            <w:shd w:val="clear" w:color="auto" w:fill="auto"/>
            <w:noWrap/>
            <w:vAlign w:val="center"/>
          </w:tcPr>
          <w:p w14:paraId="7FEE47AE"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8</w:t>
            </w:r>
          </w:p>
        </w:tc>
        <w:tc>
          <w:tcPr>
            <w:tcW w:w="962" w:type="dxa"/>
            <w:tcBorders>
              <w:top w:val="nil"/>
              <w:left w:val="nil"/>
              <w:bottom w:val="nil"/>
            </w:tcBorders>
            <w:shd w:val="clear" w:color="auto" w:fill="auto"/>
            <w:vAlign w:val="center"/>
          </w:tcPr>
          <w:p w14:paraId="7340E2C2"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40,0</w:t>
            </w:r>
          </w:p>
        </w:tc>
      </w:tr>
      <w:tr w:rsidR="001B1A7F" w:rsidRPr="00E34B0F" w14:paraId="58AB83D4" w14:textId="77777777" w:rsidTr="00FC01AA">
        <w:trPr>
          <w:trHeight w:hRule="exact" w:val="284"/>
        </w:trPr>
        <w:tc>
          <w:tcPr>
            <w:tcW w:w="3291" w:type="dxa"/>
            <w:noWrap/>
            <w:vAlign w:val="center"/>
            <w:hideMark/>
          </w:tcPr>
          <w:p w14:paraId="37044DB5" w14:textId="77777777" w:rsidR="001B1A7F" w:rsidRPr="00E34B0F" w:rsidRDefault="001B1A7F" w:rsidP="00917551">
            <w:pPr>
              <w:spacing w:after="0" w:line="240" w:lineRule="auto"/>
              <w:contextualSpacing/>
              <w:rPr>
                <w:rFonts w:cs="Arial"/>
                <w:b/>
                <w:bCs/>
                <w:color w:val="000000"/>
                <w:sz w:val="16"/>
                <w:szCs w:val="16"/>
                <w:lang w:eastAsia="en-US"/>
              </w:rPr>
            </w:pPr>
            <w:r w:rsidRPr="00E34B0F">
              <w:rPr>
                <w:rFonts w:cs="Arial"/>
                <w:b/>
                <w:bCs/>
                <w:color w:val="000000"/>
                <w:sz w:val="16"/>
                <w:szCs w:val="16"/>
                <w:lang w:eastAsia="en-US"/>
              </w:rPr>
              <w:t>Loupež</w:t>
            </w:r>
          </w:p>
        </w:tc>
        <w:tc>
          <w:tcPr>
            <w:tcW w:w="1134" w:type="dxa"/>
            <w:tcBorders>
              <w:top w:val="nil"/>
              <w:left w:val="single" w:sz="8" w:space="0" w:color="auto"/>
              <w:bottom w:val="nil"/>
              <w:right w:val="single" w:sz="8" w:space="0" w:color="auto"/>
            </w:tcBorders>
            <w:shd w:val="clear" w:color="auto" w:fill="auto"/>
            <w:noWrap/>
            <w:vAlign w:val="center"/>
          </w:tcPr>
          <w:p w14:paraId="3B25D931"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1 347</w:t>
            </w:r>
          </w:p>
        </w:tc>
        <w:tc>
          <w:tcPr>
            <w:tcW w:w="1134" w:type="dxa"/>
            <w:tcBorders>
              <w:top w:val="nil"/>
              <w:left w:val="nil"/>
              <w:bottom w:val="nil"/>
              <w:right w:val="single" w:sz="8" w:space="0" w:color="auto"/>
            </w:tcBorders>
            <w:shd w:val="clear" w:color="auto" w:fill="auto"/>
            <w:noWrap/>
            <w:vAlign w:val="center"/>
          </w:tcPr>
          <w:p w14:paraId="360A0EBC"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105</w:t>
            </w:r>
          </w:p>
        </w:tc>
        <w:tc>
          <w:tcPr>
            <w:tcW w:w="962" w:type="dxa"/>
            <w:tcBorders>
              <w:top w:val="nil"/>
              <w:left w:val="nil"/>
              <w:bottom w:val="nil"/>
            </w:tcBorders>
            <w:shd w:val="clear" w:color="auto" w:fill="auto"/>
            <w:vAlign w:val="center"/>
          </w:tcPr>
          <w:p w14:paraId="3AE40549"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7,8</w:t>
            </w:r>
          </w:p>
        </w:tc>
      </w:tr>
      <w:tr w:rsidR="001B1A7F" w:rsidRPr="00E34B0F" w14:paraId="216C48A2" w14:textId="77777777" w:rsidTr="00FC01AA">
        <w:trPr>
          <w:trHeight w:hRule="exact" w:val="284"/>
        </w:trPr>
        <w:tc>
          <w:tcPr>
            <w:tcW w:w="3291" w:type="dxa"/>
            <w:noWrap/>
            <w:vAlign w:val="center"/>
            <w:hideMark/>
          </w:tcPr>
          <w:p w14:paraId="46ED52B4" w14:textId="77777777" w:rsidR="001B1A7F" w:rsidRPr="00E34B0F" w:rsidRDefault="001B1A7F" w:rsidP="00917551">
            <w:pPr>
              <w:spacing w:after="0" w:line="240" w:lineRule="auto"/>
              <w:contextualSpacing/>
              <w:rPr>
                <w:rFonts w:cs="Arial"/>
                <w:b/>
                <w:bCs/>
                <w:color w:val="000000"/>
                <w:sz w:val="16"/>
                <w:szCs w:val="16"/>
                <w:lang w:eastAsia="en-US"/>
              </w:rPr>
            </w:pPr>
            <w:r w:rsidRPr="00E34B0F">
              <w:rPr>
                <w:rFonts w:cs="Arial"/>
                <w:b/>
                <w:bCs/>
                <w:color w:val="000000"/>
                <w:sz w:val="16"/>
                <w:szCs w:val="16"/>
                <w:lang w:eastAsia="en-US"/>
              </w:rPr>
              <w:t>Znásilnění</w:t>
            </w:r>
          </w:p>
        </w:tc>
        <w:tc>
          <w:tcPr>
            <w:tcW w:w="1134" w:type="dxa"/>
            <w:tcBorders>
              <w:top w:val="nil"/>
              <w:left w:val="single" w:sz="8" w:space="0" w:color="auto"/>
              <w:bottom w:val="nil"/>
              <w:right w:val="single" w:sz="8" w:space="0" w:color="auto"/>
            </w:tcBorders>
            <w:shd w:val="clear" w:color="auto" w:fill="auto"/>
            <w:noWrap/>
            <w:vAlign w:val="center"/>
          </w:tcPr>
          <w:p w14:paraId="198A9271"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776</w:t>
            </w:r>
          </w:p>
        </w:tc>
        <w:tc>
          <w:tcPr>
            <w:tcW w:w="1134" w:type="dxa"/>
            <w:tcBorders>
              <w:top w:val="nil"/>
              <w:left w:val="nil"/>
              <w:bottom w:val="nil"/>
              <w:right w:val="single" w:sz="8" w:space="0" w:color="auto"/>
            </w:tcBorders>
            <w:shd w:val="clear" w:color="auto" w:fill="auto"/>
            <w:noWrap/>
            <w:vAlign w:val="center"/>
          </w:tcPr>
          <w:p w14:paraId="7420C4BA"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5</w:t>
            </w:r>
          </w:p>
        </w:tc>
        <w:tc>
          <w:tcPr>
            <w:tcW w:w="962" w:type="dxa"/>
            <w:tcBorders>
              <w:top w:val="nil"/>
              <w:left w:val="nil"/>
              <w:bottom w:val="nil"/>
            </w:tcBorders>
            <w:shd w:val="clear" w:color="auto" w:fill="auto"/>
            <w:vAlign w:val="center"/>
          </w:tcPr>
          <w:p w14:paraId="2827FEF2"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0,6</w:t>
            </w:r>
          </w:p>
        </w:tc>
      </w:tr>
      <w:tr w:rsidR="001B1A7F" w:rsidRPr="00E34B0F" w14:paraId="55896E8C" w14:textId="77777777" w:rsidTr="00FC01AA">
        <w:trPr>
          <w:trHeight w:hRule="exact" w:val="284"/>
        </w:trPr>
        <w:tc>
          <w:tcPr>
            <w:tcW w:w="3291" w:type="dxa"/>
            <w:noWrap/>
            <w:vAlign w:val="center"/>
            <w:hideMark/>
          </w:tcPr>
          <w:p w14:paraId="522B239A" w14:textId="77777777" w:rsidR="001B1A7F" w:rsidRPr="00E34B0F" w:rsidRDefault="001B1A7F" w:rsidP="00917551">
            <w:pPr>
              <w:spacing w:after="0" w:line="240" w:lineRule="auto"/>
              <w:contextualSpacing/>
              <w:rPr>
                <w:rFonts w:cs="Arial"/>
                <w:b/>
                <w:bCs/>
                <w:color w:val="000000"/>
                <w:sz w:val="16"/>
                <w:szCs w:val="16"/>
                <w:lang w:eastAsia="en-US"/>
              </w:rPr>
            </w:pPr>
            <w:r w:rsidRPr="00E34B0F">
              <w:rPr>
                <w:rFonts w:cs="Arial"/>
                <w:b/>
                <w:bCs/>
                <w:color w:val="000000"/>
                <w:sz w:val="16"/>
                <w:szCs w:val="16"/>
                <w:lang w:eastAsia="en-US"/>
              </w:rPr>
              <w:t>Vloupání</w:t>
            </w:r>
            <w:r w:rsidRPr="00E34B0F">
              <w:rPr>
                <w:rFonts w:cs="Arial"/>
                <w:b/>
                <w:bCs/>
                <w:color w:val="000000"/>
                <w:sz w:val="16"/>
                <w:szCs w:val="16"/>
                <w:vertAlign w:val="superscript"/>
                <w:lang w:eastAsia="en-US"/>
              </w:rPr>
              <w:t xml:space="preserve">2) </w:t>
            </w:r>
            <w:r w:rsidRPr="00E34B0F">
              <w:rPr>
                <w:rFonts w:cs="Arial"/>
                <w:b/>
                <w:color w:val="000000"/>
                <w:sz w:val="16"/>
                <w:szCs w:val="16"/>
                <w:lang w:eastAsia="en-US"/>
              </w:rPr>
              <w:t>do bytů a domů</w:t>
            </w:r>
          </w:p>
        </w:tc>
        <w:tc>
          <w:tcPr>
            <w:tcW w:w="1134" w:type="dxa"/>
            <w:tcBorders>
              <w:top w:val="nil"/>
              <w:left w:val="single" w:sz="8" w:space="0" w:color="auto"/>
              <w:bottom w:val="nil"/>
              <w:right w:val="single" w:sz="8" w:space="0" w:color="auto"/>
            </w:tcBorders>
            <w:noWrap/>
            <w:vAlign w:val="center"/>
          </w:tcPr>
          <w:p w14:paraId="5C019FFD"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lang w:eastAsia="en-US"/>
              </w:rPr>
              <w:t>42</w:t>
            </w:r>
          </w:p>
        </w:tc>
        <w:tc>
          <w:tcPr>
            <w:tcW w:w="1134" w:type="dxa"/>
            <w:noWrap/>
            <w:vAlign w:val="center"/>
          </w:tcPr>
          <w:p w14:paraId="45638CF8"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lang w:eastAsia="en-US"/>
              </w:rPr>
              <w:t>42</w:t>
            </w:r>
          </w:p>
        </w:tc>
        <w:tc>
          <w:tcPr>
            <w:tcW w:w="962" w:type="dxa"/>
            <w:tcBorders>
              <w:top w:val="nil"/>
              <w:left w:val="single" w:sz="8" w:space="0" w:color="auto"/>
              <w:bottom w:val="nil"/>
              <w:right w:val="nil"/>
            </w:tcBorders>
            <w:vAlign w:val="center"/>
          </w:tcPr>
          <w:p w14:paraId="1723DAB1"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lang w:eastAsia="en-US"/>
              </w:rPr>
              <w:t>100,0</w:t>
            </w:r>
          </w:p>
        </w:tc>
      </w:tr>
      <w:tr w:rsidR="001B1A7F" w:rsidRPr="00E34B0F" w14:paraId="37C48BC7" w14:textId="77777777" w:rsidTr="00FC01AA">
        <w:trPr>
          <w:trHeight w:hRule="exact" w:val="284"/>
        </w:trPr>
        <w:tc>
          <w:tcPr>
            <w:tcW w:w="3291" w:type="dxa"/>
            <w:noWrap/>
            <w:vAlign w:val="center"/>
            <w:hideMark/>
          </w:tcPr>
          <w:p w14:paraId="1462DE2F" w14:textId="77777777" w:rsidR="001B1A7F" w:rsidRPr="00E34B0F" w:rsidRDefault="001B1A7F" w:rsidP="00917551">
            <w:pPr>
              <w:spacing w:after="0" w:line="240" w:lineRule="auto"/>
              <w:contextualSpacing/>
              <w:rPr>
                <w:rFonts w:cs="Arial"/>
                <w:b/>
                <w:bCs/>
                <w:color w:val="000000"/>
                <w:sz w:val="16"/>
                <w:szCs w:val="16"/>
                <w:lang w:eastAsia="en-US"/>
              </w:rPr>
            </w:pPr>
            <w:r w:rsidRPr="00E34B0F">
              <w:rPr>
                <w:rFonts w:cs="Arial"/>
                <w:b/>
                <w:bCs/>
                <w:color w:val="000000"/>
                <w:sz w:val="16"/>
                <w:szCs w:val="16"/>
                <w:lang w:eastAsia="en-US"/>
              </w:rPr>
              <w:t>Vniknutí za užití lsti – senioři</w:t>
            </w:r>
          </w:p>
        </w:tc>
        <w:tc>
          <w:tcPr>
            <w:tcW w:w="1134" w:type="dxa"/>
            <w:tcBorders>
              <w:top w:val="nil"/>
              <w:left w:val="single" w:sz="8" w:space="0" w:color="auto"/>
              <w:bottom w:val="nil"/>
              <w:right w:val="single" w:sz="8" w:space="0" w:color="auto"/>
            </w:tcBorders>
            <w:noWrap/>
            <w:vAlign w:val="center"/>
          </w:tcPr>
          <w:p w14:paraId="2FF26513"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lang w:eastAsia="en-US"/>
              </w:rPr>
              <w:t>54</w:t>
            </w:r>
          </w:p>
        </w:tc>
        <w:tc>
          <w:tcPr>
            <w:tcW w:w="1134" w:type="dxa"/>
            <w:noWrap/>
            <w:vAlign w:val="center"/>
          </w:tcPr>
          <w:p w14:paraId="011C65FE"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lang w:eastAsia="en-US"/>
              </w:rPr>
              <w:t>54</w:t>
            </w:r>
          </w:p>
        </w:tc>
        <w:tc>
          <w:tcPr>
            <w:tcW w:w="962" w:type="dxa"/>
            <w:tcBorders>
              <w:top w:val="nil"/>
              <w:left w:val="single" w:sz="8" w:space="0" w:color="auto"/>
              <w:bottom w:val="nil"/>
              <w:right w:val="nil"/>
            </w:tcBorders>
            <w:vAlign w:val="center"/>
          </w:tcPr>
          <w:p w14:paraId="39817DD1"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lang w:eastAsia="en-US"/>
              </w:rPr>
              <w:t>100,0</w:t>
            </w:r>
          </w:p>
        </w:tc>
      </w:tr>
      <w:tr w:rsidR="001B1A7F" w:rsidRPr="00E34B0F" w14:paraId="4302F924" w14:textId="77777777" w:rsidTr="00FC01AA">
        <w:trPr>
          <w:trHeight w:hRule="exact" w:val="284"/>
        </w:trPr>
        <w:tc>
          <w:tcPr>
            <w:tcW w:w="3291" w:type="dxa"/>
            <w:noWrap/>
            <w:vAlign w:val="center"/>
            <w:hideMark/>
          </w:tcPr>
          <w:p w14:paraId="0A330FDD" w14:textId="77777777" w:rsidR="001B1A7F" w:rsidRPr="00E34B0F" w:rsidRDefault="001B1A7F" w:rsidP="00917551">
            <w:pPr>
              <w:spacing w:after="0" w:line="240" w:lineRule="auto"/>
              <w:contextualSpacing/>
              <w:rPr>
                <w:rFonts w:cs="Arial"/>
                <w:b/>
                <w:bCs/>
                <w:color w:val="000000"/>
                <w:sz w:val="16"/>
                <w:szCs w:val="16"/>
                <w:lang w:eastAsia="en-US"/>
              </w:rPr>
            </w:pPr>
            <w:r w:rsidRPr="00E34B0F">
              <w:rPr>
                <w:rFonts w:cs="Arial"/>
                <w:b/>
                <w:bCs/>
                <w:color w:val="000000"/>
                <w:sz w:val="16"/>
                <w:szCs w:val="16"/>
                <w:lang w:eastAsia="en-US"/>
              </w:rPr>
              <w:t>Krádeže</w:t>
            </w:r>
          </w:p>
        </w:tc>
        <w:tc>
          <w:tcPr>
            <w:tcW w:w="1134" w:type="dxa"/>
            <w:tcBorders>
              <w:top w:val="nil"/>
              <w:left w:val="single" w:sz="8" w:space="0" w:color="auto"/>
              <w:bottom w:val="nil"/>
              <w:right w:val="single" w:sz="8" w:space="0" w:color="auto"/>
            </w:tcBorders>
            <w:shd w:val="clear" w:color="auto" w:fill="auto"/>
            <w:noWrap/>
            <w:vAlign w:val="center"/>
          </w:tcPr>
          <w:p w14:paraId="63F43819"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6 966</w:t>
            </w:r>
          </w:p>
        </w:tc>
        <w:tc>
          <w:tcPr>
            <w:tcW w:w="1134" w:type="dxa"/>
            <w:tcBorders>
              <w:top w:val="nil"/>
              <w:left w:val="nil"/>
              <w:bottom w:val="nil"/>
              <w:right w:val="single" w:sz="8" w:space="0" w:color="auto"/>
            </w:tcBorders>
            <w:shd w:val="clear" w:color="auto" w:fill="auto"/>
            <w:noWrap/>
            <w:vAlign w:val="center"/>
          </w:tcPr>
          <w:p w14:paraId="2B18F45F"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1 178</w:t>
            </w:r>
          </w:p>
        </w:tc>
        <w:tc>
          <w:tcPr>
            <w:tcW w:w="962" w:type="dxa"/>
            <w:tcBorders>
              <w:top w:val="nil"/>
              <w:left w:val="nil"/>
              <w:bottom w:val="nil"/>
            </w:tcBorders>
            <w:shd w:val="clear" w:color="auto" w:fill="auto"/>
            <w:vAlign w:val="center"/>
          </w:tcPr>
          <w:p w14:paraId="77639974"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16,9</w:t>
            </w:r>
          </w:p>
        </w:tc>
      </w:tr>
      <w:tr w:rsidR="001B1A7F" w:rsidRPr="00E34B0F" w14:paraId="5AC6AE98" w14:textId="77777777" w:rsidTr="00FC01AA">
        <w:trPr>
          <w:trHeight w:hRule="exact" w:val="284"/>
        </w:trPr>
        <w:tc>
          <w:tcPr>
            <w:tcW w:w="3291" w:type="dxa"/>
            <w:vAlign w:val="center"/>
            <w:hideMark/>
          </w:tcPr>
          <w:p w14:paraId="641CB99C" w14:textId="77777777" w:rsidR="001B1A7F" w:rsidRPr="00E34B0F" w:rsidRDefault="001B1A7F" w:rsidP="00917551">
            <w:pPr>
              <w:spacing w:after="0" w:line="240" w:lineRule="auto"/>
              <w:contextualSpacing/>
              <w:rPr>
                <w:rFonts w:cs="Arial"/>
                <w:color w:val="000000"/>
                <w:sz w:val="16"/>
                <w:szCs w:val="16"/>
                <w:lang w:eastAsia="en-US"/>
              </w:rPr>
            </w:pPr>
            <w:r w:rsidRPr="00E34B0F">
              <w:rPr>
                <w:rFonts w:cs="Arial"/>
                <w:color w:val="000000"/>
                <w:sz w:val="16"/>
                <w:szCs w:val="16"/>
                <w:lang w:eastAsia="en-US"/>
              </w:rPr>
              <w:t>Z toho:</w:t>
            </w:r>
          </w:p>
        </w:tc>
        <w:tc>
          <w:tcPr>
            <w:tcW w:w="1134" w:type="dxa"/>
            <w:tcBorders>
              <w:top w:val="nil"/>
              <w:left w:val="single" w:sz="8" w:space="0" w:color="auto"/>
              <w:bottom w:val="nil"/>
              <w:right w:val="single" w:sz="8" w:space="0" w:color="auto"/>
            </w:tcBorders>
            <w:noWrap/>
            <w:vAlign w:val="center"/>
          </w:tcPr>
          <w:p w14:paraId="3D098637" w14:textId="77777777" w:rsidR="001B1A7F" w:rsidRPr="00E34B0F" w:rsidRDefault="001B1A7F" w:rsidP="00917551">
            <w:pPr>
              <w:spacing w:after="0" w:line="240" w:lineRule="auto"/>
              <w:jc w:val="right"/>
              <w:rPr>
                <w:rFonts w:cs="Arial"/>
                <w:color w:val="000000"/>
                <w:sz w:val="16"/>
                <w:szCs w:val="16"/>
                <w:lang w:eastAsia="en-US"/>
              </w:rPr>
            </w:pPr>
          </w:p>
        </w:tc>
        <w:tc>
          <w:tcPr>
            <w:tcW w:w="1134" w:type="dxa"/>
            <w:noWrap/>
            <w:vAlign w:val="center"/>
          </w:tcPr>
          <w:p w14:paraId="316EBF14" w14:textId="77777777" w:rsidR="001B1A7F" w:rsidRPr="00E34B0F" w:rsidRDefault="001B1A7F" w:rsidP="00917551">
            <w:pPr>
              <w:spacing w:line="240" w:lineRule="auto"/>
              <w:rPr>
                <w:rFonts w:cs="Arial"/>
                <w:color w:val="000000"/>
                <w:sz w:val="16"/>
                <w:szCs w:val="16"/>
                <w:lang w:eastAsia="en-US"/>
              </w:rPr>
            </w:pPr>
          </w:p>
        </w:tc>
        <w:tc>
          <w:tcPr>
            <w:tcW w:w="962" w:type="dxa"/>
            <w:tcBorders>
              <w:top w:val="nil"/>
              <w:left w:val="single" w:sz="8" w:space="0" w:color="auto"/>
              <w:bottom w:val="nil"/>
              <w:right w:val="nil"/>
            </w:tcBorders>
            <w:vAlign w:val="center"/>
          </w:tcPr>
          <w:p w14:paraId="00A5269B" w14:textId="77777777" w:rsidR="001B1A7F" w:rsidRPr="00E34B0F" w:rsidRDefault="001B1A7F" w:rsidP="00917551">
            <w:pPr>
              <w:spacing w:after="0" w:line="240" w:lineRule="auto"/>
              <w:jc w:val="right"/>
              <w:rPr>
                <w:rFonts w:cs="Arial"/>
                <w:color w:val="000000"/>
                <w:sz w:val="16"/>
                <w:szCs w:val="16"/>
                <w:lang w:eastAsia="en-US"/>
              </w:rPr>
            </w:pPr>
          </w:p>
        </w:tc>
      </w:tr>
      <w:tr w:rsidR="001B1A7F" w:rsidRPr="00E34B0F" w14:paraId="372B5994" w14:textId="77777777" w:rsidTr="00FC01AA">
        <w:trPr>
          <w:trHeight w:hRule="exact" w:val="284"/>
        </w:trPr>
        <w:tc>
          <w:tcPr>
            <w:tcW w:w="3291" w:type="dxa"/>
            <w:vAlign w:val="center"/>
            <w:hideMark/>
          </w:tcPr>
          <w:p w14:paraId="1324F675" w14:textId="77777777" w:rsidR="001B1A7F" w:rsidRPr="00E34B0F" w:rsidRDefault="001B1A7F" w:rsidP="00917551">
            <w:pPr>
              <w:spacing w:after="0" w:line="240" w:lineRule="auto"/>
              <w:ind w:firstLineChars="100" w:firstLine="160"/>
              <w:contextualSpacing/>
              <w:rPr>
                <w:rFonts w:cs="Arial"/>
                <w:color w:val="000000"/>
                <w:sz w:val="16"/>
                <w:szCs w:val="16"/>
                <w:lang w:eastAsia="en-US"/>
              </w:rPr>
            </w:pPr>
            <w:r>
              <w:rPr>
                <w:rFonts w:cs="Arial"/>
                <w:color w:val="000000"/>
                <w:sz w:val="16"/>
                <w:szCs w:val="16"/>
                <w:lang w:eastAsia="en-US"/>
              </w:rPr>
              <w:t>K</w:t>
            </w:r>
            <w:r w:rsidRPr="00E34B0F">
              <w:rPr>
                <w:rFonts w:cs="Arial"/>
                <w:color w:val="000000"/>
                <w:sz w:val="16"/>
                <w:szCs w:val="16"/>
                <w:lang w:eastAsia="en-US"/>
              </w:rPr>
              <w:t>apesní krádeže</w:t>
            </w:r>
          </w:p>
        </w:tc>
        <w:tc>
          <w:tcPr>
            <w:tcW w:w="1134" w:type="dxa"/>
            <w:tcBorders>
              <w:top w:val="nil"/>
              <w:left w:val="single" w:sz="8" w:space="0" w:color="auto"/>
              <w:bottom w:val="nil"/>
              <w:right w:val="single" w:sz="8" w:space="0" w:color="auto"/>
            </w:tcBorders>
            <w:shd w:val="clear" w:color="auto" w:fill="auto"/>
            <w:noWrap/>
            <w:vAlign w:val="center"/>
          </w:tcPr>
          <w:p w14:paraId="0C0FA167"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4 204</w:t>
            </w:r>
          </w:p>
        </w:tc>
        <w:tc>
          <w:tcPr>
            <w:tcW w:w="1134" w:type="dxa"/>
            <w:tcBorders>
              <w:top w:val="nil"/>
              <w:left w:val="nil"/>
              <w:bottom w:val="nil"/>
              <w:right w:val="single" w:sz="8" w:space="0" w:color="auto"/>
            </w:tcBorders>
            <w:shd w:val="clear" w:color="auto" w:fill="auto"/>
            <w:noWrap/>
            <w:vAlign w:val="center"/>
          </w:tcPr>
          <w:p w14:paraId="4EAF970D"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752</w:t>
            </w:r>
          </w:p>
        </w:tc>
        <w:tc>
          <w:tcPr>
            <w:tcW w:w="962" w:type="dxa"/>
            <w:tcBorders>
              <w:top w:val="nil"/>
              <w:left w:val="nil"/>
              <w:bottom w:val="nil"/>
            </w:tcBorders>
            <w:shd w:val="clear" w:color="auto" w:fill="auto"/>
            <w:vAlign w:val="center"/>
          </w:tcPr>
          <w:p w14:paraId="4142B520"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17,9</w:t>
            </w:r>
          </w:p>
        </w:tc>
      </w:tr>
      <w:tr w:rsidR="001B1A7F" w:rsidRPr="00E34B0F" w14:paraId="06F64145" w14:textId="77777777" w:rsidTr="00FC01AA">
        <w:trPr>
          <w:trHeight w:hRule="exact" w:val="284"/>
        </w:trPr>
        <w:tc>
          <w:tcPr>
            <w:tcW w:w="3291" w:type="dxa"/>
            <w:noWrap/>
            <w:vAlign w:val="center"/>
            <w:hideMark/>
          </w:tcPr>
          <w:p w14:paraId="15184B26" w14:textId="77777777" w:rsidR="001B1A7F" w:rsidRPr="00E34B0F" w:rsidRDefault="001B1A7F" w:rsidP="00917551">
            <w:pPr>
              <w:spacing w:after="0" w:line="240" w:lineRule="auto"/>
              <w:contextualSpacing/>
              <w:rPr>
                <w:rFonts w:cs="Arial"/>
                <w:b/>
                <w:bCs/>
                <w:color w:val="000000"/>
                <w:sz w:val="16"/>
                <w:szCs w:val="16"/>
                <w:lang w:eastAsia="en-US"/>
              </w:rPr>
            </w:pPr>
            <w:r w:rsidRPr="00E34B0F">
              <w:rPr>
                <w:rFonts w:cs="Arial"/>
                <w:b/>
                <w:bCs/>
                <w:color w:val="000000"/>
                <w:sz w:val="16"/>
                <w:szCs w:val="16"/>
                <w:lang w:eastAsia="en-US"/>
              </w:rPr>
              <w:t>Podvod</w:t>
            </w:r>
            <w:r>
              <w:rPr>
                <w:rFonts w:cs="Arial"/>
                <w:b/>
                <w:bCs/>
                <w:color w:val="000000"/>
                <w:sz w:val="16"/>
                <w:szCs w:val="16"/>
                <w:lang w:eastAsia="en-US"/>
              </w:rPr>
              <w:t xml:space="preserve"> </w:t>
            </w:r>
          </w:p>
        </w:tc>
        <w:tc>
          <w:tcPr>
            <w:tcW w:w="1134" w:type="dxa"/>
            <w:tcBorders>
              <w:top w:val="nil"/>
              <w:left w:val="single" w:sz="8" w:space="0" w:color="auto"/>
              <w:bottom w:val="nil"/>
              <w:right w:val="single" w:sz="8" w:space="0" w:color="auto"/>
            </w:tcBorders>
            <w:noWrap/>
            <w:vAlign w:val="center"/>
          </w:tcPr>
          <w:p w14:paraId="6007B61D"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lang w:eastAsia="en-US"/>
              </w:rPr>
              <w:t>193</w:t>
            </w:r>
          </w:p>
        </w:tc>
        <w:tc>
          <w:tcPr>
            <w:tcW w:w="1134" w:type="dxa"/>
            <w:noWrap/>
            <w:vAlign w:val="center"/>
          </w:tcPr>
          <w:p w14:paraId="22E2510D"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lang w:eastAsia="en-US"/>
              </w:rPr>
              <w:t>177</w:t>
            </w:r>
          </w:p>
        </w:tc>
        <w:tc>
          <w:tcPr>
            <w:tcW w:w="962" w:type="dxa"/>
            <w:tcBorders>
              <w:top w:val="nil"/>
              <w:left w:val="single" w:sz="8" w:space="0" w:color="auto"/>
              <w:bottom w:val="nil"/>
              <w:right w:val="nil"/>
            </w:tcBorders>
            <w:vAlign w:val="center"/>
          </w:tcPr>
          <w:p w14:paraId="5F4C2362"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lang w:eastAsia="en-US"/>
              </w:rPr>
              <w:t>91,7</w:t>
            </w:r>
          </w:p>
        </w:tc>
      </w:tr>
      <w:tr w:rsidR="001B1A7F" w:rsidRPr="00E34B0F" w14:paraId="40DB7997" w14:textId="77777777" w:rsidTr="00FC01AA">
        <w:trPr>
          <w:trHeight w:hRule="exact" w:val="284"/>
        </w:trPr>
        <w:tc>
          <w:tcPr>
            <w:tcW w:w="3291" w:type="dxa"/>
            <w:noWrap/>
            <w:vAlign w:val="center"/>
          </w:tcPr>
          <w:p w14:paraId="30329F4D" w14:textId="77777777" w:rsidR="001B1A7F" w:rsidRPr="00E34B0F" w:rsidRDefault="001B1A7F" w:rsidP="00917551">
            <w:pPr>
              <w:spacing w:after="0" w:line="240" w:lineRule="auto"/>
              <w:contextualSpacing/>
              <w:rPr>
                <w:rFonts w:cs="Arial"/>
                <w:b/>
                <w:bCs/>
                <w:color w:val="000000"/>
                <w:sz w:val="16"/>
                <w:szCs w:val="16"/>
                <w:lang w:eastAsia="en-US"/>
              </w:rPr>
            </w:pPr>
            <w:r w:rsidRPr="00E34B0F">
              <w:rPr>
                <w:rFonts w:cs="Arial"/>
                <w:color w:val="000000"/>
                <w:sz w:val="16"/>
                <w:szCs w:val="16"/>
                <w:lang w:eastAsia="en-US"/>
              </w:rPr>
              <w:t>Z toho:</w:t>
            </w:r>
          </w:p>
        </w:tc>
        <w:tc>
          <w:tcPr>
            <w:tcW w:w="1134" w:type="dxa"/>
            <w:tcBorders>
              <w:top w:val="nil"/>
              <w:left w:val="single" w:sz="8" w:space="0" w:color="auto"/>
              <w:bottom w:val="nil"/>
              <w:right w:val="single" w:sz="8" w:space="0" w:color="auto"/>
            </w:tcBorders>
            <w:noWrap/>
            <w:vAlign w:val="center"/>
          </w:tcPr>
          <w:p w14:paraId="21161F65" w14:textId="77777777" w:rsidR="001B1A7F" w:rsidRDefault="001B1A7F" w:rsidP="00917551">
            <w:pPr>
              <w:spacing w:after="0" w:line="240" w:lineRule="auto"/>
              <w:jc w:val="right"/>
              <w:rPr>
                <w:rFonts w:cs="Arial"/>
                <w:color w:val="000000"/>
                <w:sz w:val="16"/>
                <w:szCs w:val="16"/>
                <w:lang w:eastAsia="en-US"/>
              </w:rPr>
            </w:pPr>
          </w:p>
        </w:tc>
        <w:tc>
          <w:tcPr>
            <w:tcW w:w="1134" w:type="dxa"/>
            <w:noWrap/>
            <w:vAlign w:val="center"/>
          </w:tcPr>
          <w:p w14:paraId="68BF3809" w14:textId="77777777" w:rsidR="001B1A7F" w:rsidRDefault="001B1A7F" w:rsidP="00917551">
            <w:pPr>
              <w:spacing w:after="0" w:line="240" w:lineRule="auto"/>
              <w:jc w:val="right"/>
              <w:rPr>
                <w:rFonts w:cs="Arial"/>
                <w:color w:val="000000"/>
                <w:sz w:val="16"/>
                <w:szCs w:val="16"/>
                <w:lang w:eastAsia="en-US"/>
              </w:rPr>
            </w:pPr>
          </w:p>
        </w:tc>
        <w:tc>
          <w:tcPr>
            <w:tcW w:w="962" w:type="dxa"/>
            <w:tcBorders>
              <w:top w:val="nil"/>
              <w:left w:val="single" w:sz="8" w:space="0" w:color="auto"/>
              <w:bottom w:val="nil"/>
              <w:right w:val="nil"/>
            </w:tcBorders>
            <w:vAlign w:val="center"/>
          </w:tcPr>
          <w:p w14:paraId="0AD5A304" w14:textId="77777777" w:rsidR="001B1A7F" w:rsidRDefault="001B1A7F" w:rsidP="00917551">
            <w:pPr>
              <w:spacing w:after="0" w:line="240" w:lineRule="auto"/>
              <w:jc w:val="right"/>
              <w:rPr>
                <w:rFonts w:cs="Arial"/>
                <w:color w:val="000000"/>
                <w:sz w:val="16"/>
                <w:szCs w:val="16"/>
                <w:lang w:eastAsia="en-US"/>
              </w:rPr>
            </w:pPr>
          </w:p>
        </w:tc>
      </w:tr>
      <w:tr w:rsidR="001B1A7F" w:rsidRPr="00E34B0F" w14:paraId="30218EFF" w14:textId="77777777" w:rsidTr="00FC01AA">
        <w:trPr>
          <w:trHeight w:hRule="exact" w:val="284"/>
        </w:trPr>
        <w:tc>
          <w:tcPr>
            <w:tcW w:w="3291" w:type="dxa"/>
            <w:noWrap/>
            <w:vAlign w:val="center"/>
          </w:tcPr>
          <w:p w14:paraId="3ED464FB" w14:textId="77777777" w:rsidR="001B1A7F" w:rsidRPr="00E34B0F" w:rsidRDefault="001B1A7F" w:rsidP="00917551">
            <w:pPr>
              <w:spacing w:after="0" w:line="240" w:lineRule="auto"/>
              <w:ind w:firstLineChars="100" w:firstLine="160"/>
              <w:contextualSpacing/>
              <w:rPr>
                <w:rFonts w:cs="Arial"/>
                <w:b/>
                <w:bCs/>
                <w:color w:val="000000"/>
                <w:sz w:val="16"/>
                <w:szCs w:val="16"/>
                <w:lang w:eastAsia="en-US"/>
              </w:rPr>
            </w:pPr>
            <w:r>
              <w:rPr>
                <w:rFonts w:cs="Arial"/>
                <w:color w:val="000000"/>
                <w:sz w:val="16"/>
                <w:szCs w:val="16"/>
                <w:lang w:eastAsia="en-US"/>
              </w:rPr>
              <w:t>Podvod lstí na seniorech</w:t>
            </w:r>
          </w:p>
        </w:tc>
        <w:tc>
          <w:tcPr>
            <w:tcW w:w="1134" w:type="dxa"/>
            <w:tcBorders>
              <w:top w:val="nil"/>
              <w:left w:val="single" w:sz="8" w:space="0" w:color="auto"/>
              <w:bottom w:val="nil"/>
              <w:right w:val="single" w:sz="8" w:space="0" w:color="auto"/>
            </w:tcBorders>
            <w:noWrap/>
            <w:vAlign w:val="center"/>
          </w:tcPr>
          <w:p w14:paraId="7532C3D4" w14:textId="77777777" w:rsidR="001B1A7F" w:rsidRDefault="001B1A7F" w:rsidP="00917551">
            <w:pPr>
              <w:spacing w:after="0" w:line="240" w:lineRule="auto"/>
              <w:jc w:val="right"/>
              <w:rPr>
                <w:rFonts w:cs="Arial"/>
                <w:color w:val="000000"/>
                <w:sz w:val="16"/>
                <w:szCs w:val="16"/>
                <w:lang w:eastAsia="en-US"/>
              </w:rPr>
            </w:pPr>
            <w:r>
              <w:rPr>
                <w:rFonts w:cs="Arial"/>
                <w:color w:val="000000"/>
                <w:sz w:val="16"/>
                <w:szCs w:val="16"/>
                <w:lang w:eastAsia="en-US"/>
              </w:rPr>
              <w:t>177</w:t>
            </w:r>
          </w:p>
        </w:tc>
        <w:tc>
          <w:tcPr>
            <w:tcW w:w="1134" w:type="dxa"/>
            <w:noWrap/>
            <w:vAlign w:val="center"/>
          </w:tcPr>
          <w:p w14:paraId="378F8345" w14:textId="77777777" w:rsidR="001B1A7F" w:rsidRDefault="001B1A7F" w:rsidP="00917551">
            <w:pPr>
              <w:spacing w:after="0" w:line="240" w:lineRule="auto"/>
              <w:jc w:val="right"/>
              <w:rPr>
                <w:rFonts w:cs="Arial"/>
                <w:color w:val="000000"/>
                <w:sz w:val="16"/>
                <w:szCs w:val="16"/>
                <w:lang w:eastAsia="en-US"/>
              </w:rPr>
            </w:pPr>
            <w:r>
              <w:rPr>
                <w:rFonts w:cs="Arial"/>
                <w:color w:val="000000"/>
                <w:sz w:val="16"/>
                <w:szCs w:val="16"/>
                <w:lang w:eastAsia="en-US"/>
              </w:rPr>
              <w:t>177</w:t>
            </w:r>
          </w:p>
        </w:tc>
        <w:tc>
          <w:tcPr>
            <w:tcW w:w="962" w:type="dxa"/>
            <w:tcBorders>
              <w:top w:val="nil"/>
              <w:left w:val="single" w:sz="8" w:space="0" w:color="auto"/>
              <w:bottom w:val="nil"/>
              <w:right w:val="nil"/>
            </w:tcBorders>
            <w:vAlign w:val="center"/>
          </w:tcPr>
          <w:p w14:paraId="17ABAD3C" w14:textId="77777777" w:rsidR="001B1A7F" w:rsidRDefault="001B1A7F" w:rsidP="00917551">
            <w:pPr>
              <w:spacing w:after="0" w:line="240" w:lineRule="auto"/>
              <w:jc w:val="right"/>
              <w:rPr>
                <w:rFonts w:cs="Arial"/>
                <w:color w:val="000000"/>
                <w:sz w:val="16"/>
                <w:szCs w:val="16"/>
                <w:lang w:eastAsia="en-US"/>
              </w:rPr>
            </w:pPr>
            <w:r>
              <w:rPr>
                <w:rFonts w:cs="Arial"/>
                <w:color w:val="000000"/>
                <w:sz w:val="16"/>
                <w:szCs w:val="16"/>
                <w:lang w:eastAsia="en-US"/>
              </w:rPr>
              <w:t>100,0</w:t>
            </w:r>
          </w:p>
        </w:tc>
      </w:tr>
      <w:tr w:rsidR="001B1A7F" w:rsidRPr="00E34B0F" w14:paraId="20B2D6EB" w14:textId="77777777" w:rsidTr="00FC01AA">
        <w:trPr>
          <w:trHeight w:hRule="exact" w:val="284"/>
        </w:trPr>
        <w:tc>
          <w:tcPr>
            <w:tcW w:w="3291" w:type="dxa"/>
            <w:noWrap/>
            <w:vAlign w:val="center"/>
            <w:hideMark/>
          </w:tcPr>
          <w:p w14:paraId="127788F5" w14:textId="77777777" w:rsidR="001B1A7F" w:rsidRPr="00E34B0F" w:rsidRDefault="001B1A7F" w:rsidP="00917551">
            <w:pPr>
              <w:spacing w:after="0" w:line="240" w:lineRule="auto"/>
              <w:contextualSpacing/>
              <w:rPr>
                <w:rFonts w:cs="Arial"/>
                <w:b/>
                <w:bCs/>
                <w:color w:val="000000"/>
                <w:sz w:val="16"/>
                <w:szCs w:val="16"/>
                <w:lang w:eastAsia="en-US"/>
              </w:rPr>
            </w:pPr>
            <w:r w:rsidRPr="00E34B0F">
              <w:rPr>
                <w:rFonts w:cs="Arial"/>
                <w:b/>
                <w:bCs/>
                <w:color w:val="000000"/>
                <w:sz w:val="16"/>
                <w:szCs w:val="16"/>
                <w:lang w:eastAsia="en-US"/>
              </w:rPr>
              <w:t>Porušování domovní svobody</w:t>
            </w:r>
          </w:p>
        </w:tc>
        <w:tc>
          <w:tcPr>
            <w:tcW w:w="1134" w:type="dxa"/>
            <w:tcBorders>
              <w:top w:val="nil"/>
              <w:left w:val="single" w:sz="8" w:space="0" w:color="auto"/>
              <w:bottom w:val="nil"/>
              <w:right w:val="single" w:sz="8" w:space="0" w:color="auto"/>
            </w:tcBorders>
            <w:shd w:val="clear" w:color="auto" w:fill="auto"/>
            <w:noWrap/>
            <w:vAlign w:val="center"/>
          </w:tcPr>
          <w:p w14:paraId="0ECDDAF3"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75</w:t>
            </w:r>
          </w:p>
        </w:tc>
        <w:tc>
          <w:tcPr>
            <w:tcW w:w="1134" w:type="dxa"/>
            <w:tcBorders>
              <w:top w:val="nil"/>
              <w:left w:val="nil"/>
              <w:bottom w:val="nil"/>
              <w:right w:val="single" w:sz="8" w:space="0" w:color="auto"/>
            </w:tcBorders>
            <w:shd w:val="clear" w:color="auto" w:fill="auto"/>
            <w:noWrap/>
            <w:vAlign w:val="center"/>
          </w:tcPr>
          <w:p w14:paraId="0A555BBF"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12</w:t>
            </w:r>
          </w:p>
        </w:tc>
        <w:tc>
          <w:tcPr>
            <w:tcW w:w="962" w:type="dxa"/>
            <w:tcBorders>
              <w:top w:val="nil"/>
              <w:left w:val="nil"/>
              <w:bottom w:val="nil"/>
            </w:tcBorders>
            <w:shd w:val="clear" w:color="auto" w:fill="auto"/>
            <w:vAlign w:val="center"/>
          </w:tcPr>
          <w:p w14:paraId="07AD5C19" w14:textId="77777777" w:rsidR="001B1A7F" w:rsidRPr="00E34B0F" w:rsidRDefault="001B1A7F" w:rsidP="00917551">
            <w:pPr>
              <w:spacing w:after="0" w:line="240" w:lineRule="auto"/>
              <w:jc w:val="right"/>
              <w:rPr>
                <w:rFonts w:cs="Arial"/>
                <w:color w:val="000000"/>
                <w:sz w:val="16"/>
                <w:szCs w:val="16"/>
                <w:lang w:eastAsia="en-US"/>
              </w:rPr>
            </w:pPr>
            <w:r>
              <w:rPr>
                <w:rFonts w:cs="Arial"/>
                <w:color w:val="000000"/>
                <w:sz w:val="16"/>
                <w:szCs w:val="16"/>
              </w:rPr>
              <w:t>16,0</w:t>
            </w:r>
          </w:p>
        </w:tc>
      </w:tr>
      <w:tr w:rsidR="001B1A7F" w:rsidRPr="00E34B0F" w14:paraId="0B0057B7" w14:textId="77777777" w:rsidTr="00FC01AA">
        <w:trPr>
          <w:trHeight w:val="195"/>
        </w:trPr>
        <w:tc>
          <w:tcPr>
            <w:tcW w:w="5559" w:type="dxa"/>
            <w:gridSpan w:val="3"/>
            <w:vAlign w:val="center"/>
          </w:tcPr>
          <w:p w14:paraId="07EBB2D1" w14:textId="77777777" w:rsidR="001B1A7F" w:rsidRPr="00E34B0F" w:rsidRDefault="001B1A7F" w:rsidP="00917551">
            <w:pPr>
              <w:spacing w:after="0" w:line="240" w:lineRule="auto"/>
              <w:rPr>
                <w:rFonts w:cs="Arial"/>
                <w:color w:val="000000"/>
                <w:sz w:val="14"/>
                <w:szCs w:val="14"/>
                <w:lang w:eastAsia="en-US"/>
              </w:rPr>
            </w:pPr>
          </w:p>
        </w:tc>
        <w:tc>
          <w:tcPr>
            <w:tcW w:w="962" w:type="dxa"/>
            <w:vAlign w:val="center"/>
          </w:tcPr>
          <w:p w14:paraId="7837AD4D" w14:textId="77777777" w:rsidR="001B1A7F" w:rsidRPr="00E34B0F" w:rsidRDefault="001B1A7F" w:rsidP="00917551">
            <w:pPr>
              <w:spacing w:after="0" w:line="240" w:lineRule="auto"/>
              <w:rPr>
                <w:rFonts w:cs="Arial"/>
                <w:color w:val="000000"/>
                <w:sz w:val="14"/>
                <w:szCs w:val="14"/>
                <w:lang w:eastAsia="en-US"/>
              </w:rPr>
            </w:pPr>
          </w:p>
        </w:tc>
      </w:tr>
      <w:tr w:rsidR="001B1A7F" w:rsidRPr="00E34B0F" w14:paraId="18B2383D" w14:textId="77777777" w:rsidTr="00FC01AA">
        <w:trPr>
          <w:trHeight w:val="360"/>
        </w:trPr>
        <w:tc>
          <w:tcPr>
            <w:tcW w:w="5559" w:type="dxa"/>
            <w:gridSpan w:val="3"/>
            <w:vAlign w:val="center"/>
            <w:hideMark/>
          </w:tcPr>
          <w:p w14:paraId="2731BAF5" w14:textId="6716F1A7" w:rsidR="001B1A7F" w:rsidRPr="00830867" w:rsidRDefault="001B1A7F" w:rsidP="00917551">
            <w:pPr>
              <w:spacing w:after="0" w:line="240" w:lineRule="auto"/>
              <w:rPr>
                <w:rFonts w:cs="Arial"/>
                <w:color w:val="000000"/>
                <w:sz w:val="16"/>
                <w:szCs w:val="16"/>
                <w:lang w:eastAsia="en-US"/>
              </w:rPr>
            </w:pPr>
            <w:r w:rsidRPr="00830867">
              <w:rPr>
                <w:rFonts w:cs="Arial"/>
                <w:color w:val="000000"/>
                <w:sz w:val="16"/>
                <w:szCs w:val="16"/>
                <w:lang w:eastAsia="en-US"/>
              </w:rPr>
              <w:t>1) Policie ČR neeviduje oběti, ale objekty napadení</w:t>
            </w:r>
            <w:r w:rsidR="00DF68FC">
              <w:rPr>
                <w:rFonts w:cs="Arial"/>
                <w:color w:val="000000"/>
                <w:sz w:val="16"/>
                <w:szCs w:val="16"/>
                <w:lang w:eastAsia="en-US"/>
              </w:rPr>
              <w:t>.</w:t>
            </w:r>
          </w:p>
        </w:tc>
        <w:tc>
          <w:tcPr>
            <w:tcW w:w="962" w:type="dxa"/>
            <w:vAlign w:val="center"/>
            <w:hideMark/>
          </w:tcPr>
          <w:p w14:paraId="39DE1AAD" w14:textId="77777777" w:rsidR="001B1A7F" w:rsidRPr="00E34B0F" w:rsidRDefault="001B1A7F" w:rsidP="00917551">
            <w:pPr>
              <w:spacing w:line="240" w:lineRule="auto"/>
              <w:rPr>
                <w:rFonts w:cs="Arial"/>
                <w:color w:val="000000"/>
                <w:sz w:val="14"/>
                <w:szCs w:val="14"/>
                <w:lang w:eastAsia="en-US"/>
              </w:rPr>
            </w:pPr>
          </w:p>
        </w:tc>
      </w:tr>
      <w:tr w:rsidR="001B1A7F" w:rsidRPr="00E34B0F" w14:paraId="7337F5D1" w14:textId="77777777" w:rsidTr="00FC01AA">
        <w:trPr>
          <w:trHeight w:val="129"/>
        </w:trPr>
        <w:tc>
          <w:tcPr>
            <w:tcW w:w="5559" w:type="dxa"/>
            <w:gridSpan w:val="3"/>
            <w:vAlign w:val="center"/>
            <w:hideMark/>
          </w:tcPr>
          <w:p w14:paraId="08244A64" w14:textId="07599B34" w:rsidR="001B1A7F" w:rsidRPr="00830867" w:rsidRDefault="001B1A7F" w:rsidP="00917551">
            <w:pPr>
              <w:spacing w:after="0" w:line="240" w:lineRule="auto"/>
              <w:rPr>
                <w:rFonts w:cs="Arial"/>
                <w:color w:val="000000"/>
                <w:sz w:val="16"/>
                <w:szCs w:val="16"/>
                <w:lang w:eastAsia="en-US"/>
              </w:rPr>
            </w:pPr>
            <w:r w:rsidRPr="00830867">
              <w:rPr>
                <w:rFonts w:cs="Arial"/>
                <w:color w:val="000000"/>
                <w:sz w:val="16"/>
                <w:szCs w:val="16"/>
                <w:lang w:eastAsia="en-US"/>
              </w:rPr>
              <w:t>2) U případů vloupání se u obětí evidují pouze senioři</w:t>
            </w:r>
            <w:r w:rsidR="00DF68FC">
              <w:rPr>
                <w:rFonts w:cs="Arial"/>
                <w:color w:val="000000"/>
                <w:sz w:val="16"/>
                <w:szCs w:val="16"/>
                <w:lang w:eastAsia="en-US"/>
              </w:rPr>
              <w:t>.</w:t>
            </w:r>
          </w:p>
        </w:tc>
        <w:tc>
          <w:tcPr>
            <w:tcW w:w="962" w:type="dxa"/>
            <w:vAlign w:val="center"/>
            <w:hideMark/>
          </w:tcPr>
          <w:p w14:paraId="734683B7" w14:textId="77777777" w:rsidR="001B1A7F" w:rsidRPr="00E34B0F" w:rsidRDefault="001B1A7F" w:rsidP="00917551">
            <w:pPr>
              <w:spacing w:line="240" w:lineRule="auto"/>
              <w:rPr>
                <w:rFonts w:cs="Arial"/>
                <w:color w:val="000000"/>
                <w:sz w:val="14"/>
                <w:szCs w:val="14"/>
                <w:lang w:eastAsia="en-US"/>
              </w:rPr>
            </w:pPr>
          </w:p>
        </w:tc>
      </w:tr>
      <w:tr w:rsidR="001B1A7F" w:rsidRPr="00E34B0F" w14:paraId="10CCC429" w14:textId="77777777" w:rsidTr="00FC01AA">
        <w:trPr>
          <w:trHeight w:val="488"/>
        </w:trPr>
        <w:tc>
          <w:tcPr>
            <w:tcW w:w="5559" w:type="dxa"/>
            <w:gridSpan w:val="3"/>
            <w:noWrap/>
            <w:vAlign w:val="center"/>
            <w:hideMark/>
          </w:tcPr>
          <w:p w14:paraId="44DE5A52" w14:textId="77777777" w:rsidR="001B1A7F" w:rsidRPr="00830867" w:rsidRDefault="001B1A7F" w:rsidP="00917551">
            <w:pPr>
              <w:spacing w:after="0" w:line="240" w:lineRule="auto"/>
              <w:rPr>
                <w:rFonts w:cs="Arial"/>
                <w:i/>
                <w:color w:val="000000"/>
                <w:sz w:val="18"/>
                <w:szCs w:val="18"/>
                <w:lang w:eastAsia="en-US"/>
              </w:rPr>
            </w:pPr>
            <w:r w:rsidRPr="00830867">
              <w:rPr>
                <w:rFonts w:cs="Arial"/>
                <w:i/>
                <w:color w:val="000000"/>
                <w:sz w:val="18"/>
                <w:szCs w:val="18"/>
                <w:lang w:eastAsia="en-US"/>
              </w:rPr>
              <w:t>Zdroj: Policejní prezidium ČR</w:t>
            </w:r>
          </w:p>
        </w:tc>
        <w:tc>
          <w:tcPr>
            <w:tcW w:w="962" w:type="dxa"/>
            <w:vAlign w:val="center"/>
            <w:hideMark/>
          </w:tcPr>
          <w:p w14:paraId="213BDE52" w14:textId="77777777" w:rsidR="001B1A7F" w:rsidRPr="00E34B0F" w:rsidRDefault="001B1A7F" w:rsidP="00917551">
            <w:pPr>
              <w:spacing w:line="240" w:lineRule="auto"/>
              <w:rPr>
                <w:rFonts w:cs="Arial"/>
                <w:color w:val="000000"/>
                <w:sz w:val="18"/>
                <w:szCs w:val="18"/>
                <w:lang w:eastAsia="en-US"/>
              </w:rPr>
            </w:pPr>
          </w:p>
        </w:tc>
      </w:tr>
    </w:tbl>
    <w:p w14:paraId="1A8E209B" w14:textId="139C6947" w:rsidR="001B1A7F" w:rsidRDefault="001B1A7F" w:rsidP="007A0ACD">
      <w:pPr>
        <w:pStyle w:val="Nadpis3"/>
        <w:numPr>
          <w:ilvl w:val="1"/>
          <w:numId w:val="15"/>
        </w:numPr>
        <w:spacing w:after="240"/>
        <w:ind w:left="1077"/>
        <w:rPr>
          <w:sz w:val="28"/>
          <w:szCs w:val="28"/>
        </w:rPr>
      </w:pPr>
      <w:bookmarkStart w:id="47" w:name="_Toc121211646"/>
      <w:r w:rsidRPr="001B1A7F">
        <w:rPr>
          <w:sz w:val="28"/>
          <w:szCs w:val="28"/>
        </w:rPr>
        <w:lastRenderedPageBreak/>
        <w:t>Násilná kriminalita</w:t>
      </w:r>
      <w:bookmarkEnd w:id="47"/>
    </w:p>
    <w:p w14:paraId="59858744" w14:textId="407639A0" w:rsidR="001B1A7F" w:rsidRPr="00CB7CCD" w:rsidRDefault="001B1A7F" w:rsidP="00917551">
      <w:pPr>
        <w:spacing w:line="240" w:lineRule="auto"/>
        <w:jc w:val="both"/>
      </w:pPr>
      <w:r w:rsidRPr="00CB7CCD">
        <w:t xml:space="preserve">V případě nejtěžšího zločinu </w:t>
      </w:r>
      <w:r w:rsidRPr="00CB7CCD">
        <w:rPr>
          <w:i/>
        </w:rPr>
        <w:t xml:space="preserve">vraždy </w:t>
      </w:r>
      <w:r w:rsidRPr="00CB7CCD">
        <w:t>tvo</w:t>
      </w:r>
      <w:r w:rsidR="00830867">
        <w:t>řili senioři v minulém roce 7,6 </w:t>
      </w:r>
      <w:r w:rsidRPr="00CB7CCD">
        <w:t>% všech obětí. Policie evidovala 9 obětí ve věku 65 let a více, šlo o 5 žen a 4 muže. Jde o nejmenší počet za posledních 10 let, nejvíce zavražděných seniorů bylo v roce 2012 (29 osob). V roce 2021 pak šlo nejčastěji o osoby ve věku 65 až 75 let (5 osob). V šesti případech existoval nějaký vztah mezi obětí a pachatelem činu, v jednom případě šlo o partnera/</w:t>
      </w:r>
      <w:r>
        <w:t>partnerku</w:t>
      </w:r>
      <w:r w:rsidRPr="00CB7CCD">
        <w:t xml:space="preserve"> oběti, ve třech případech o jiného příbuzného a ve dvou případech o známého člověka mimo rodinu.</w:t>
      </w:r>
    </w:p>
    <w:p w14:paraId="72A314F1" w14:textId="4CD3F6A5" w:rsidR="001B1A7F" w:rsidRPr="00CB7CCD" w:rsidRDefault="001B1A7F" w:rsidP="00917551">
      <w:pPr>
        <w:spacing w:line="240" w:lineRule="auto"/>
        <w:jc w:val="both"/>
      </w:pPr>
      <w:r w:rsidRPr="00CB7CCD">
        <w:t>Mnohem častější než vraždy jsou případy ublížení na zdraví, které se v ro</w:t>
      </w:r>
      <w:r w:rsidR="00D378F2">
        <w:t>ce 2021 týkalo 288 seniorů (6,4 </w:t>
      </w:r>
      <w:r w:rsidRPr="00CB7CCD">
        <w:t xml:space="preserve">% všech obětí). U 213 seniorů šlo o </w:t>
      </w:r>
      <w:r w:rsidRPr="00CB7CCD">
        <w:rPr>
          <w:i/>
        </w:rPr>
        <w:t>úmyslné ublížení na zdraví</w:t>
      </w:r>
      <w:r w:rsidRPr="00CB7CCD">
        <w:t xml:space="preserve"> a u 75 osob o </w:t>
      </w:r>
      <w:r w:rsidRPr="00CB7CCD">
        <w:rPr>
          <w:i/>
        </w:rPr>
        <w:t xml:space="preserve">ublížení na zdraví z nedbalosti. Výrazně </w:t>
      </w:r>
      <w:r w:rsidRPr="00CB7CCD">
        <w:t>více obětí bylo mezi muži (170 seniorů) než mezi ženami (118 seniorek), celkově se nejčastěji jednalo o osoby ve věku 65 až 75 let (214 seniorů). Oproti minulému roku ale došlo ke změně, co se týká vztahu k pachateli. Zatímco v roce 2020 byla přibližně stejně často pachatelem neznámá osoba stejně jako někdo seniorovi blízký, tak v roce 2021 mnohem častěji na</w:t>
      </w:r>
      <w:r>
        <w:t> </w:t>
      </w:r>
      <w:r w:rsidRPr="00CB7CCD">
        <w:t>seniory útočily osoby jemu neznámé (194 vs. 94 případů).</w:t>
      </w:r>
    </w:p>
    <w:p w14:paraId="75674833" w14:textId="03FCF421" w:rsidR="001B1A7F" w:rsidRPr="00CB7CCD" w:rsidRDefault="001B1A7F" w:rsidP="00917551">
      <w:pPr>
        <w:spacing w:line="240" w:lineRule="auto"/>
        <w:jc w:val="both"/>
      </w:pPr>
      <w:r w:rsidRPr="00CB7CCD">
        <w:t>Méně časté jsou případy domácího násilí na seniorech, byť důvodem může být pouze vyšší míra nenahlášenosti vzhledem k povaze této trestné činnosti. Začíná často velmi nenápadně, prvních příznaků si oběť mnohdy ani nevšimne. Jde o jednání zahrnující několik trestných činů, které může začít prostou ztrátou respektu, pokračovat slovním napadáním a</w:t>
      </w:r>
      <w:r>
        <w:t> </w:t>
      </w:r>
      <w:r w:rsidRPr="00CB7CCD">
        <w:t>zanedbáváním základní péče, psychickým vydíráním, zneužíváním majetku seniora a mnohdy i fyzickým napadáním. Celkem bylo v roce 2021 evidováno 49 obětí ve věku 65 a více let. Výrazně častější obětí byly seniorky (34 osob) než senioři (15 osob). V</w:t>
      </w:r>
      <w:r w:rsidR="00D378F2">
        <w:t> </w:t>
      </w:r>
      <w:r w:rsidRPr="00CB7CCD">
        <w:t>90</w:t>
      </w:r>
      <w:r w:rsidR="00D378F2">
        <w:t> </w:t>
      </w:r>
      <w:r w:rsidRPr="00CB7CCD">
        <w:t>% případů byl pachatelem někdo z rodiny seniora.</w:t>
      </w:r>
    </w:p>
    <w:p w14:paraId="1649C70A" w14:textId="77777777" w:rsidR="001B1A7F" w:rsidRPr="00CB7CCD" w:rsidRDefault="001B1A7F" w:rsidP="00917551">
      <w:pPr>
        <w:spacing w:line="240" w:lineRule="auto"/>
        <w:jc w:val="both"/>
        <w:rPr>
          <w:iCs/>
        </w:rPr>
      </w:pPr>
      <w:r w:rsidRPr="00CB7CCD">
        <w:t xml:space="preserve">Navzdory názvu však nemusí jít o násilí odehrávající se pouze přímo v domácnosti seniorů. </w:t>
      </w:r>
      <w:r w:rsidRPr="00053FCA">
        <w:t xml:space="preserve">Např. trestný čin </w:t>
      </w:r>
      <w:r w:rsidRPr="00053FCA">
        <w:rPr>
          <w:i/>
        </w:rPr>
        <w:t>týrání svěřené osoby</w:t>
      </w:r>
      <w:r w:rsidRPr="00053FCA">
        <w:t>, který rovněž spadá do domácího násilí, může probíhat při dočasné či občasné péči o</w:t>
      </w:r>
      <w:r>
        <w:t> </w:t>
      </w:r>
      <w:r w:rsidRPr="00053FCA">
        <w:t>seniora.</w:t>
      </w:r>
      <w:r>
        <w:t xml:space="preserve"> </w:t>
      </w:r>
      <w:r w:rsidRPr="00CB7CCD">
        <w:rPr>
          <w:iCs/>
        </w:rPr>
        <w:t>Pachatelem tak může být třeba zdravotnický personál nebo personál domovů důchodců. V roce 2021 byly obětmi tohoto trestného činu 2 senioři</w:t>
      </w:r>
      <w:r>
        <w:rPr>
          <w:iCs/>
        </w:rPr>
        <w:t>, č</w:t>
      </w:r>
      <w:r w:rsidRPr="00CB7CCD">
        <w:rPr>
          <w:iCs/>
        </w:rPr>
        <w:t xml:space="preserve">astější bylo </w:t>
      </w:r>
      <w:r w:rsidRPr="00CB7CCD">
        <w:rPr>
          <w:i/>
          <w:iCs/>
        </w:rPr>
        <w:t xml:space="preserve">týrání osoby žijící ve společném obydlí </w:t>
      </w:r>
      <w:r w:rsidRPr="00CB7CCD">
        <w:rPr>
          <w:iCs/>
        </w:rPr>
        <w:t xml:space="preserve">(33 obětí). Trestným činem </w:t>
      </w:r>
      <w:r w:rsidRPr="00CB7CCD">
        <w:rPr>
          <w:i/>
          <w:iCs/>
        </w:rPr>
        <w:t>omezování a zbavování osobní svobody</w:t>
      </w:r>
      <w:r w:rsidRPr="00CB7CCD">
        <w:rPr>
          <w:iCs/>
        </w:rPr>
        <w:t xml:space="preserve"> pak rozumíme např. uzamykání seniora v místnosti, zbavení tělesně nemohoucí osoby pomůcek (např. berlí), spoutání apod. V roce 2021 se týkalo 6 seniorů. </w:t>
      </w:r>
      <w:r w:rsidRPr="00CB7CCD">
        <w:rPr>
          <w:iCs/>
        </w:rPr>
        <w:lastRenderedPageBreak/>
        <w:t>Do</w:t>
      </w:r>
      <w:r>
        <w:rPr>
          <w:iCs/>
        </w:rPr>
        <w:t> </w:t>
      </w:r>
      <w:r w:rsidRPr="00CB7CCD">
        <w:rPr>
          <w:iCs/>
        </w:rPr>
        <w:t xml:space="preserve">domácího násilí můžeme zahrnout ještě trestný čin </w:t>
      </w:r>
      <w:r w:rsidRPr="00CB7CCD">
        <w:rPr>
          <w:i/>
          <w:iCs/>
        </w:rPr>
        <w:t>útisk</w:t>
      </w:r>
      <w:r>
        <w:rPr>
          <w:i/>
          <w:iCs/>
        </w:rPr>
        <w:t xml:space="preserve">, kde 2/5 všech obětí </w:t>
      </w:r>
      <w:r w:rsidRPr="00CB7CCD">
        <w:rPr>
          <w:iCs/>
        </w:rPr>
        <w:t>(8)</w:t>
      </w:r>
      <w:r>
        <w:rPr>
          <w:iCs/>
        </w:rPr>
        <w:t xml:space="preserve"> byli senioři</w:t>
      </w:r>
      <w:r w:rsidRPr="00CB7CCD">
        <w:rPr>
          <w:iCs/>
        </w:rPr>
        <w:t>.</w:t>
      </w:r>
    </w:p>
    <w:p w14:paraId="27657D83" w14:textId="77777777" w:rsidR="001B1A7F" w:rsidRPr="00CB7CCD" w:rsidRDefault="001B1A7F" w:rsidP="00917551">
      <w:pPr>
        <w:spacing w:line="240" w:lineRule="auto"/>
        <w:jc w:val="both"/>
        <w:rPr>
          <w:iCs/>
        </w:rPr>
      </w:pPr>
      <w:r w:rsidRPr="00CB7CCD">
        <w:rPr>
          <w:iCs/>
        </w:rPr>
        <w:t xml:space="preserve">Násilná kriminalita dále zahrnuje také </w:t>
      </w:r>
      <w:r w:rsidRPr="00CB7CCD">
        <w:rPr>
          <w:i/>
          <w:iCs/>
        </w:rPr>
        <w:t>loupeže.</w:t>
      </w:r>
      <w:r w:rsidRPr="00CB7CCD">
        <w:rPr>
          <w:iCs/>
        </w:rPr>
        <w:t xml:space="preserve"> Oproti</w:t>
      </w:r>
      <w:r w:rsidRPr="00CB7CCD">
        <w:rPr>
          <w:i/>
          <w:iCs/>
        </w:rPr>
        <w:t xml:space="preserve"> krádeži </w:t>
      </w:r>
      <w:r w:rsidRPr="00CB7CCD">
        <w:rPr>
          <w:iCs/>
        </w:rPr>
        <w:t>se loupež vyznačuje tím, že jednání směřující ke zmocnění se cizí věci obsahuje násilí nebo pohrůžku bezprostředního násilí. V roce 2021 se obětí loupeže stalo 105 seniorů, 48 žen a 57 mužů.</w:t>
      </w:r>
    </w:p>
    <w:p w14:paraId="634FEDBB" w14:textId="6D62F17B" w:rsidR="001B1A7F" w:rsidRDefault="001B1A7F" w:rsidP="00917551">
      <w:pPr>
        <w:pStyle w:val="Box1"/>
        <w:spacing w:line="240" w:lineRule="auto"/>
        <w:jc w:val="both"/>
      </w:pPr>
      <w:r>
        <w:rPr>
          <w:b/>
        </w:rPr>
        <w:t>Metodika:</w:t>
      </w:r>
      <w:r w:rsidRPr="00DB2EC8">
        <w:rPr>
          <w:b/>
        </w:rPr>
        <w:t xml:space="preserve"> </w:t>
      </w:r>
      <w:r w:rsidRPr="00575F50">
        <w:rPr>
          <w:bCs/>
        </w:rPr>
        <w:t>P</w:t>
      </w:r>
      <w:r>
        <w:rPr>
          <w:bCs/>
        </w:rPr>
        <w:t xml:space="preserve">olicie ČR </w:t>
      </w:r>
      <w:r w:rsidRPr="00575F50">
        <w:rPr>
          <w:bCs/>
        </w:rPr>
        <w:t>statisticky neeviduje oběti trestné činnosti ve smyslu zákona č. 45/2013 Sb., o obětech trestných činů. Eviduje pouze objekty napadení, tj. zpravidla ty objekty, vůči kterým bezprostředně směřuje trestná činnost.</w:t>
      </w:r>
      <w:r>
        <w:rPr>
          <w:bCs/>
        </w:rPr>
        <w:t xml:space="preserve"> </w:t>
      </w:r>
      <w:r w:rsidRPr="00575F50">
        <w:rPr>
          <w:bCs/>
        </w:rPr>
        <w:t>Objekty napadení však nelze</w:t>
      </w:r>
      <w:r>
        <w:rPr>
          <w:bCs/>
        </w:rPr>
        <w:t xml:space="preserve"> plně</w:t>
      </w:r>
      <w:r w:rsidRPr="00575F50">
        <w:rPr>
          <w:bCs/>
        </w:rPr>
        <w:t xml:space="preserve"> zaměňovat s oběťmi trestné činnosti.</w:t>
      </w:r>
      <w:r>
        <w:rPr>
          <w:bCs/>
        </w:rPr>
        <w:t xml:space="preserve"> </w:t>
      </w:r>
      <w:r>
        <w:t xml:space="preserve">Je-li objektem napadení osoba, je (zpravidla) vždy i obětí, ale každá oběť trestného činu nemusí být objektem napadení. </w:t>
      </w:r>
    </w:p>
    <w:p w14:paraId="0C60109A" w14:textId="77777777" w:rsidR="001B1A7F" w:rsidRPr="00CB7CCD" w:rsidRDefault="001B1A7F" w:rsidP="00917551">
      <w:pPr>
        <w:pStyle w:val="Box1"/>
        <w:spacing w:line="240" w:lineRule="auto"/>
        <w:jc w:val="both"/>
        <w:rPr>
          <w:bCs/>
        </w:rPr>
      </w:pPr>
      <w:r>
        <w:rPr>
          <w:bCs/>
        </w:rPr>
        <w:t>Mezi lety 2016 a 2018 došlo k nenávratnému poškození databáze objektů napadení – data se nevydávají.</w:t>
      </w:r>
    </w:p>
    <w:p w14:paraId="5C69AC79" w14:textId="0D2A4BBF" w:rsidR="001B1A7F" w:rsidRDefault="001B1A7F" w:rsidP="007A0ACD">
      <w:pPr>
        <w:pStyle w:val="Nadpis3"/>
        <w:numPr>
          <w:ilvl w:val="1"/>
          <w:numId w:val="15"/>
        </w:numPr>
        <w:spacing w:after="240"/>
        <w:ind w:left="1077"/>
        <w:rPr>
          <w:sz w:val="28"/>
          <w:szCs w:val="28"/>
        </w:rPr>
      </w:pPr>
      <w:bookmarkStart w:id="48" w:name="_Toc121211647"/>
      <w:r w:rsidRPr="001B1A7F">
        <w:rPr>
          <w:sz w:val="28"/>
          <w:szCs w:val="28"/>
        </w:rPr>
        <w:t>Senioři jako pachatelé trestné činnosti</w:t>
      </w:r>
      <w:bookmarkEnd w:id="48"/>
    </w:p>
    <w:p w14:paraId="5D0A9790" w14:textId="0A12C00E" w:rsidR="001B1A7F" w:rsidRDefault="00830867" w:rsidP="00917551">
      <w:pPr>
        <w:spacing w:line="240" w:lineRule="auto"/>
        <w:jc w:val="both"/>
      </w:pPr>
      <w:r>
        <w:t>I </w:t>
      </w:r>
      <w:r w:rsidR="001B1A7F">
        <w:t xml:space="preserve">když zrovna senioři nepatří mezi typické pachatele trestné činnosti, do konfliktů se zákonem se přesto dostávají. A v souvislosti s přibývajícím počtem osob seniorského věku v populaci lze i v budoucnu očekávat rostoucí počet seniorů páchajících trestnou činnost i jejich vyšší zastoupení mezi vězněnými osobami. </w:t>
      </w:r>
    </w:p>
    <w:p w14:paraId="7A6567F2" w14:textId="15AB525E" w:rsidR="00830867" w:rsidRDefault="001B1A7F" w:rsidP="00917551">
      <w:pPr>
        <w:spacing w:line="240" w:lineRule="auto"/>
        <w:jc w:val="both"/>
      </w:pPr>
      <w:r>
        <w:t xml:space="preserve">Z policejních statistik plyne, že osoby starší 65 let byly v roce 2021 nejčastěji stíhány za trestné činy způsobené za volantem automobilu, 469 seniorů způsobilo </w:t>
      </w:r>
      <w:r w:rsidRPr="00B14D65">
        <w:rPr>
          <w:i/>
        </w:rPr>
        <w:t>nedbalostní silniční nehodu</w:t>
      </w:r>
      <w:r>
        <w:t xml:space="preserve">. </w:t>
      </w:r>
      <w:r w:rsidRPr="0091691A">
        <w:t>Dále násl</w:t>
      </w:r>
      <w:r>
        <w:t xml:space="preserve">edovalo </w:t>
      </w:r>
      <w:r w:rsidRPr="0091691A">
        <w:t>stíhání seniorů za</w:t>
      </w:r>
      <w:r>
        <w:t> </w:t>
      </w:r>
      <w:r w:rsidRPr="00CB7CCD">
        <w:rPr>
          <w:i/>
        </w:rPr>
        <w:t>maření výkonu úředního rozhodnutí</w:t>
      </w:r>
      <w:r>
        <w:t xml:space="preserve"> (160 případů) a </w:t>
      </w:r>
      <w:r w:rsidRPr="00CB7CCD">
        <w:rPr>
          <w:i/>
        </w:rPr>
        <w:t xml:space="preserve">ohrožení pod vlivem návykové látky </w:t>
      </w:r>
      <w:r>
        <w:rPr>
          <w:i/>
        </w:rPr>
        <w:t xml:space="preserve">a </w:t>
      </w:r>
      <w:r w:rsidRPr="00CB7CCD">
        <w:rPr>
          <w:i/>
        </w:rPr>
        <w:t>opilství</w:t>
      </w:r>
      <w:r>
        <w:t xml:space="preserve"> (156 případů). Zcela cizí ale seniorům nebylo ani</w:t>
      </w:r>
      <w:r w:rsidR="00745045">
        <w:t> </w:t>
      </w:r>
      <w:r>
        <w:t xml:space="preserve">např. </w:t>
      </w:r>
      <w:r w:rsidRPr="00B14D65">
        <w:rPr>
          <w:i/>
        </w:rPr>
        <w:t>nedovolené ozbrojování</w:t>
      </w:r>
      <w:r>
        <w:t xml:space="preserve"> (97 případů), </w:t>
      </w:r>
      <w:r w:rsidRPr="00B14D65">
        <w:rPr>
          <w:i/>
        </w:rPr>
        <w:t>úmyslné ublížení na zdraví</w:t>
      </w:r>
      <w:r>
        <w:t xml:space="preserve"> (56 případů), </w:t>
      </w:r>
      <w:r w:rsidRPr="00B14D65">
        <w:rPr>
          <w:i/>
        </w:rPr>
        <w:t>krádeže v obchodech</w:t>
      </w:r>
      <w:r>
        <w:t xml:space="preserve"> (33 případů), ale třeba i </w:t>
      </w:r>
      <w:r w:rsidRPr="00B14D65">
        <w:rPr>
          <w:i/>
        </w:rPr>
        <w:t>nedovolená výroba a nakládání s omamnými a psychotropními látkami</w:t>
      </w:r>
      <w:r w:rsidRPr="00B14D65">
        <w:t xml:space="preserve"> </w:t>
      </w:r>
      <w:r>
        <w:t>(19 případů). Celkově senioři tvořili 2,3</w:t>
      </w:r>
      <w:r w:rsidR="00D378F2">
        <w:t> </w:t>
      </w:r>
      <w:r>
        <w:t xml:space="preserve">% pachatelů trestné činnosti. </w:t>
      </w:r>
    </w:p>
    <w:p w14:paraId="605426CF" w14:textId="77777777" w:rsidR="00830867" w:rsidRDefault="00830867">
      <w:pPr>
        <w:spacing w:after="0" w:line="240" w:lineRule="auto"/>
      </w:pPr>
      <w:r>
        <w:br w:type="page"/>
      </w:r>
    </w:p>
    <w:p w14:paraId="7E40753E" w14:textId="5D3C163E" w:rsidR="00745045" w:rsidRDefault="00174ECF" w:rsidP="007A0ACD">
      <w:pPr>
        <w:pStyle w:val="Nadpis1"/>
        <w:numPr>
          <w:ilvl w:val="0"/>
          <w:numId w:val="15"/>
        </w:numPr>
        <w:spacing w:after="240"/>
        <w:ind w:left="714" w:hanging="357"/>
        <w:rPr>
          <w:iCs/>
        </w:rPr>
      </w:pPr>
      <w:bookmarkStart w:id="49" w:name="_Toc121211648"/>
      <w:r>
        <w:rPr>
          <w:iCs/>
        </w:rPr>
        <w:lastRenderedPageBreak/>
        <w:t>Senioři a informační technologie</w:t>
      </w:r>
      <w:bookmarkEnd w:id="49"/>
    </w:p>
    <w:p w14:paraId="22CA38DA" w14:textId="77777777" w:rsidR="00174ECF" w:rsidRDefault="00174ECF" w:rsidP="00917551">
      <w:pPr>
        <w:spacing w:line="240" w:lineRule="auto"/>
        <w:jc w:val="both"/>
        <w:rPr>
          <w:iCs/>
        </w:rPr>
      </w:pPr>
      <w:r w:rsidRPr="00A90CB6">
        <w:rPr>
          <w:iCs/>
        </w:rPr>
        <w:t>Vlastnictví a používání informačních</w:t>
      </w:r>
      <w:r>
        <w:rPr>
          <w:iCs/>
        </w:rPr>
        <w:t xml:space="preserve"> a komunikačních</w:t>
      </w:r>
      <w:r w:rsidRPr="00A90CB6">
        <w:rPr>
          <w:iCs/>
        </w:rPr>
        <w:t xml:space="preserve"> technologií je ovlivněno především věkem. Na rozdíl od mladších generací, které použív</w:t>
      </w:r>
      <w:r>
        <w:rPr>
          <w:iCs/>
        </w:rPr>
        <w:t>ají tyto technologie buď</w:t>
      </w:r>
      <w:r w:rsidRPr="00A90CB6">
        <w:rPr>
          <w:iCs/>
        </w:rPr>
        <w:t xml:space="preserve"> celý život anebo jeho velkou část, se k nim dnešní senioři dostali až v pozdějším </w:t>
      </w:r>
      <w:r>
        <w:rPr>
          <w:iCs/>
        </w:rPr>
        <w:t>věku. I přes to, že většinu života žili senioři bez informačních technologií, si tyto technologie postupně osvojují a podíl osob v seniorském věku, které berou informační technologie jako běžnou součást svého života, se rok od roku zvyšuje.</w:t>
      </w:r>
    </w:p>
    <w:p w14:paraId="42F3D039" w14:textId="44BD7157" w:rsidR="00174ECF" w:rsidRDefault="00174ECF" w:rsidP="00917551">
      <w:pPr>
        <w:pStyle w:val="Box1"/>
        <w:spacing w:line="240" w:lineRule="auto"/>
        <w:jc w:val="both"/>
      </w:pPr>
      <w:r>
        <w:rPr>
          <w:b/>
        </w:rPr>
        <w:t>Metodika:</w:t>
      </w:r>
      <w:r w:rsidRPr="00DB2EC8">
        <w:rPr>
          <w:b/>
        </w:rPr>
        <w:t xml:space="preserve"> </w:t>
      </w:r>
      <w:r w:rsidRPr="00A32A17">
        <w:t>Č</w:t>
      </w:r>
      <w:r>
        <w:t>SÚ</w:t>
      </w:r>
      <w:r w:rsidRPr="00A32A17">
        <w:t xml:space="preserve"> sleduje podrobné údaje o osobách používajících informační a komunikační technologie prostřednictvím ročního statistického zjišťování: Výběrové šetření o ICT v domácnostech a</w:t>
      </w:r>
      <w:r w:rsidR="00B63283">
        <w:t> </w:t>
      </w:r>
      <w:r w:rsidRPr="00A32A17">
        <w:t xml:space="preserve">jejich využívání jednotlivci (VŠIT). Šetření probíhá na základě Nařízení Evropského parlamentu a Rady (ES) č. 2019/1700. Je prováděno </w:t>
      </w:r>
      <w:r>
        <w:t xml:space="preserve">na </w:t>
      </w:r>
      <w:r w:rsidRPr="00A32A17">
        <w:t xml:space="preserve">vzorku cca 7 tis. osob ve věku 16 a více let, které žijí v soukromých domácnostech. </w:t>
      </w:r>
      <w:r>
        <w:t>Součástí tedy</w:t>
      </w:r>
      <w:r w:rsidRPr="00A32A17">
        <w:t xml:space="preserve"> nejsou osoby žijící v tzv. kolektivních domácnostech (domovech pro seniory apod.). Mezi seniory byly započteny všechny osoby starší 65 let.</w:t>
      </w:r>
      <w:r>
        <w:t xml:space="preserve"> </w:t>
      </w:r>
    </w:p>
    <w:p w14:paraId="1E87EA0F" w14:textId="77777777" w:rsidR="00174ECF" w:rsidRDefault="00174ECF" w:rsidP="00917551">
      <w:pPr>
        <w:pStyle w:val="Box1"/>
        <w:spacing w:line="240" w:lineRule="auto"/>
        <w:jc w:val="both"/>
      </w:pPr>
      <w:r>
        <w:t>Podrobnější výsledky a více informací o metodice šetření viz</w:t>
      </w:r>
    </w:p>
    <w:p w14:paraId="5F2B02A3" w14:textId="0EB06251" w:rsidR="00174ECF" w:rsidRDefault="00942090" w:rsidP="00917551">
      <w:pPr>
        <w:pStyle w:val="Box1"/>
        <w:spacing w:line="240" w:lineRule="auto"/>
        <w:jc w:val="both"/>
      </w:pPr>
      <w:hyperlink r:id="rId42" w:history="1">
        <w:r w:rsidR="00DF68FC" w:rsidRPr="00E55FA5">
          <w:rPr>
            <w:rStyle w:val="Hypertextovodkaz"/>
          </w:rPr>
          <w:t>https://www.czso.cz/csu/czso/domacnosti_a_jednotlivci</w:t>
        </w:r>
      </w:hyperlink>
    </w:p>
    <w:p w14:paraId="778A85F2" w14:textId="7AEC28F5" w:rsidR="00174ECF" w:rsidRDefault="00174ECF" w:rsidP="007A0ACD">
      <w:pPr>
        <w:pStyle w:val="Nadpis3"/>
        <w:numPr>
          <w:ilvl w:val="1"/>
          <w:numId w:val="15"/>
        </w:numPr>
        <w:spacing w:after="240"/>
        <w:ind w:left="1077"/>
        <w:rPr>
          <w:sz w:val="28"/>
          <w:szCs w:val="26"/>
        </w:rPr>
      </w:pPr>
      <w:bookmarkStart w:id="50" w:name="_Toc121211649"/>
      <w:r>
        <w:rPr>
          <w:sz w:val="28"/>
          <w:szCs w:val="26"/>
        </w:rPr>
        <w:t>Mobilní telefon</w:t>
      </w:r>
      <w:bookmarkEnd w:id="50"/>
      <w:r w:rsidRPr="00A90CB6">
        <w:rPr>
          <w:sz w:val="28"/>
          <w:szCs w:val="26"/>
        </w:rPr>
        <w:t xml:space="preserve"> </w:t>
      </w:r>
    </w:p>
    <w:p w14:paraId="18418157" w14:textId="30AC773E" w:rsidR="00830867" w:rsidRDefault="00174ECF" w:rsidP="00917551">
      <w:pPr>
        <w:spacing w:line="240" w:lineRule="auto"/>
        <w:jc w:val="both"/>
      </w:pPr>
      <w:r w:rsidRPr="00D27E86">
        <w:t>Technologií, kterou si osvojili již téměř všichni senioři, je mobilní t</w:t>
      </w:r>
      <w:r>
        <w:t>elefon. V roce 2022 ho používalo 96</w:t>
      </w:r>
      <w:r w:rsidR="00D378F2">
        <w:t> </w:t>
      </w:r>
      <w:r w:rsidRPr="00D27E86">
        <w:t xml:space="preserve">% </w:t>
      </w:r>
      <w:r>
        <w:t>osob starších</w:t>
      </w:r>
      <w:r w:rsidRPr="00D27E86">
        <w:t xml:space="preserve"> 65 let. </w:t>
      </w:r>
      <w:r>
        <w:t>Více než polovina (57 %) osob v tomto věku používají</w:t>
      </w:r>
      <w:r w:rsidRPr="00D27E86">
        <w:t xml:space="preserve"> tlačítkový </w:t>
      </w:r>
      <w:r>
        <w:t>přístroj, k</w:t>
      </w:r>
      <w:r w:rsidRPr="00D27E86">
        <w:t> chytrému telefonu si</w:t>
      </w:r>
      <w:r w:rsidR="00745045">
        <w:t> </w:t>
      </w:r>
      <w:r w:rsidRPr="00D27E86">
        <w:t>naš</w:t>
      </w:r>
      <w:r>
        <w:t>lo cestu zatím 40</w:t>
      </w:r>
      <w:r w:rsidR="00D378F2">
        <w:t> </w:t>
      </w:r>
      <w:r>
        <w:t>% seniorů. J</w:t>
      </w:r>
      <w:r w:rsidRPr="00D27E86">
        <w:t xml:space="preserve">e </w:t>
      </w:r>
      <w:r>
        <w:t xml:space="preserve">ovšem </w:t>
      </w:r>
      <w:r w:rsidRPr="00D27E86">
        <w:t>nutno dodat, že tento podíl každým rokem stoupá</w:t>
      </w:r>
      <w:r>
        <w:t>, a to poměrně výrazným tempem</w:t>
      </w:r>
      <w:r w:rsidRPr="00D27E86">
        <w:t xml:space="preserve">. </w:t>
      </w:r>
    </w:p>
    <w:p w14:paraId="6884EC2D" w14:textId="77777777" w:rsidR="00830867" w:rsidRDefault="00830867">
      <w:pPr>
        <w:spacing w:after="0" w:line="240" w:lineRule="auto"/>
      </w:pPr>
      <w:r>
        <w:br w:type="page"/>
      </w:r>
    </w:p>
    <w:p w14:paraId="240B93CA" w14:textId="4BFD569A" w:rsidR="00174ECF" w:rsidRDefault="00174ECF" w:rsidP="00830867">
      <w:pPr>
        <w:spacing w:line="240" w:lineRule="auto"/>
        <w:rPr>
          <w:b/>
        </w:rPr>
      </w:pPr>
      <w:r w:rsidRPr="0090011E">
        <w:rPr>
          <w:b/>
        </w:rPr>
        <w:lastRenderedPageBreak/>
        <w:t xml:space="preserve">Graf </w:t>
      </w:r>
      <w:r>
        <w:rPr>
          <w:b/>
        </w:rPr>
        <w:t>8.</w:t>
      </w:r>
      <w:r w:rsidRPr="0090011E">
        <w:rPr>
          <w:b/>
        </w:rPr>
        <w:t>1</w:t>
      </w:r>
      <w:r>
        <w:t xml:space="preserve"> </w:t>
      </w:r>
      <w:r w:rsidRPr="0090011E">
        <w:rPr>
          <w:b/>
        </w:rPr>
        <w:t xml:space="preserve">Senioři </w:t>
      </w:r>
      <w:r>
        <w:rPr>
          <w:b/>
        </w:rPr>
        <w:t>starší</w:t>
      </w:r>
      <w:r w:rsidRPr="0090011E">
        <w:rPr>
          <w:b/>
        </w:rPr>
        <w:t xml:space="preserve"> 65 let použív</w:t>
      </w:r>
      <w:r>
        <w:rPr>
          <w:b/>
        </w:rPr>
        <w:t>ající mobilní telefon</w:t>
      </w:r>
    </w:p>
    <w:p w14:paraId="6B317429" w14:textId="77777777" w:rsidR="00174ECF" w:rsidRDefault="00174ECF" w:rsidP="00917551">
      <w:pPr>
        <w:spacing w:line="240" w:lineRule="auto"/>
        <w:jc w:val="both"/>
      </w:pPr>
      <w:r>
        <w:rPr>
          <w:noProof/>
        </w:rPr>
        <w:drawing>
          <wp:inline distT="0" distB="0" distL="0" distR="0" wp14:anchorId="6DE9B6B7" wp14:editId="2A971B7C">
            <wp:extent cx="4247515" cy="2115312"/>
            <wp:effectExtent l="0" t="0" r="635" b="0"/>
            <wp:docPr id="52" name="Graf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342498B" w14:textId="3FC79692" w:rsidR="00174ECF" w:rsidRPr="00E20AF8" w:rsidRDefault="00174ECF" w:rsidP="00917551">
      <w:pPr>
        <w:spacing w:line="240" w:lineRule="auto"/>
        <w:rPr>
          <w:i/>
          <w:sz w:val="18"/>
          <w:szCs w:val="18"/>
        </w:rPr>
      </w:pPr>
      <w:r w:rsidRPr="00E20AF8">
        <w:rPr>
          <w:i/>
          <w:sz w:val="18"/>
          <w:szCs w:val="18"/>
        </w:rPr>
        <w:t>Zdroj: Výběrové šetření o používání informačních a komunikačních technologií v domácnostech a mezi jednotlivci</w:t>
      </w:r>
    </w:p>
    <w:p w14:paraId="010C550F" w14:textId="77777777" w:rsidR="00174ECF" w:rsidRDefault="00174ECF" w:rsidP="00917551">
      <w:pPr>
        <w:spacing w:line="240" w:lineRule="auto"/>
        <w:jc w:val="both"/>
      </w:pPr>
      <w:r w:rsidRPr="00D27E86">
        <w:t>V posledních letech se začíná hovořit o tzv. ageismu, tedy diskriminaci lidí na základě jejich věku. Právě k tomu dochází při dnešním dynamickém rozvoji informačních technologií, kdy jsou</w:t>
      </w:r>
      <w:r>
        <w:t xml:space="preserve"> převážně starší</w:t>
      </w:r>
      <w:r w:rsidRPr="00D27E86">
        <w:t xml:space="preserve"> lidé</w:t>
      </w:r>
      <w:r>
        <w:t xml:space="preserve"> nepoužívající tyto technologie</w:t>
      </w:r>
      <w:r w:rsidRPr="00D27E86">
        <w:t xml:space="preserve"> vyloučeni z používání některých služeb. </w:t>
      </w:r>
      <w:r>
        <w:t xml:space="preserve">Problémem může být nepoužívání internetu, ale i nepoužívání chytrého telefonu a aplikací v něm. Chytrý telefon mají zatím 4 z 10 seniorů starších 65 let a necelých 8 % seniorů uvedlo, že si během sledovaných 3 měsíců stáhli do svého telefonu aplikaci. </w:t>
      </w:r>
    </w:p>
    <w:p w14:paraId="5127C1B7" w14:textId="5CC5C536" w:rsidR="00174ECF" w:rsidRDefault="00174ECF" w:rsidP="00917551">
      <w:pPr>
        <w:spacing w:line="240" w:lineRule="auto"/>
        <w:jc w:val="both"/>
      </w:pPr>
      <w:r>
        <w:t>Internet na telefonu přitom používá 30</w:t>
      </w:r>
      <w:r w:rsidR="00D378F2">
        <w:t> </w:t>
      </w:r>
      <w:r>
        <w:t>% seniorů. Přes Wi–Fi se připojuje 28 % a přes mobilní data 22</w:t>
      </w:r>
      <w:r w:rsidR="00D378F2">
        <w:t> </w:t>
      </w:r>
      <w:r>
        <w:t>%.</w:t>
      </w:r>
    </w:p>
    <w:p w14:paraId="7D3F7C32" w14:textId="72860EB4" w:rsidR="00174ECF" w:rsidRPr="00174ECF" w:rsidRDefault="00174ECF" w:rsidP="007A0ACD">
      <w:pPr>
        <w:pStyle w:val="Odstavecseseznamem"/>
        <w:numPr>
          <w:ilvl w:val="1"/>
          <w:numId w:val="15"/>
        </w:numPr>
        <w:ind w:left="1077"/>
        <w:jc w:val="both"/>
        <w:rPr>
          <w:rFonts w:eastAsia="MS Gothic"/>
          <w:b/>
          <w:bCs/>
          <w:color w:val="BC091B" w:themeColor="accent1"/>
          <w:sz w:val="28"/>
          <w:szCs w:val="26"/>
        </w:rPr>
      </w:pPr>
      <w:r w:rsidRPr="00174ECF">
        <w:rPr>
          <w:rFonts w:eastAsia="MS Gothic"/>
          <w:b/>
          <w:bCs/>
          <w:color w:val="BC091B" w:themeColor="accent1"/>
          <w:sz w:val="28"/>
          <w:szCs w:val="26"/>
        </w:rPr>
        <w:t>Internet</w:t>
      </w:r>
    </w:p>
    <w:p w14:paraId="078C72FE" w14:textId="1531F498" w:rsidR="00174ECF" w:rsidRDefault="00174ECF" w:rsidP="00917551">
      <w:pPr>
        <w:spacing w:line="240" w:lineRule="auto"/>
        <w:jc w:val="both"/>
        <w:rPr>
          <w:rFonts w:cs="Arial"/>
          <w:bCs/>
          <w:color w:val="000000"/>
          <w:szCs w:val="20"/>
        </w:rPr>
      </w:pPr>
      <w:r>
        <w:rPr>
          <w:rFonts w:cs="Arial"/>
          <w:bCs/>
          <w:color w:val="000000"/>
          <w:szCs w:val="20"/>
        </w:rPr>
        <w:t>Zatímco v mladších věkových kategoriích již v posledních letech podíly uživatelů internetu kolísají těsně pod hranicí 100 %, u starších ročníků je používání internetu stále na vzestupu a daleko před saturací. Podíl osob nad 65 let, které používají internet, vzrostl z</w:t>
      </w:r>
      <w:r w:rsidR="00D378F2">
        <w:rPr>
          <w:rFonts w:cs="Arial"/>
          <w:bCs/>
          <w:color w:val="000000"/>
          <w:szCs w:val="20"/>
        </w:rPr>
        <w:t> </w:t>
      </w:r>
      <w:r>
        <w:rPr>
          <w:rFonts w:cs="Arial"/>
          <w:bCs/>
          <w:color w:val="000000"/>
          <w:szCs w:val="20"/>
        </w:rPr>
        <w:t>28</w:t>
      </w:r>
      <w:r w:rsidR="00D378F2">
        <w:rPr>
          <w:rFonts w:cs="Arial"/>
          <w:bCs/>
          <w:color w:val="000000"/>
          <w:szCs w:val="20"/>
        </w:rPr>
        <w:t> </w:t>
      </w:r>
      <w:r>
        <w:rPr>
          <w:rFonts w:cs="Arial"/>
          <w:bCs/>
          <w:color w:val="000000"/>
          <w:szCs w:val="20"/>
        </w:rPr>
        <w:t>% v roce 2015 na 48</w:t>
      </w:r>
      <w:r w:rsidR="00D378F2">
        <w:rPr>
          <w:rFonts w:cs="Arial"/>
          <w:bCs/>
          <w:color w:val="000000"/>
          <w:szCs w:val="20"/>
        </w:rPr>
        <w:t> </w:t>
      </w:r>
      <w:r>
        <w:rPr>
          <w:rFonts w:cs="Arial"/>
          <w:bCs/>
          <w:color w:val="000000"/>
          <w:szCs w:val="20"/>
        </w:rPr>
        <w:t>% v roce 2022. Přitom dennodenně používá internet 35</w:t>
      </w:r>
      <w:r w:rsidR="00D378F2">
        <w:rPr>
          <w:rFonts w:cs="Arial"/>
          <w:bCs/>
          <w:color w:val="000000"/>
          <w:szCs w:val="20"/>
        </w:rPr>
        <w:t> </w:t>
      </w:r>
      <w:r>
        <w:rPr>
          <w:rFonts w:cs="Arial"/>
          <w:bCs/>
          <w:color w:val="000000"/>
          <w:szCs w:val="20"/>
        </w:rPr>
        <w:t>% seniorů.</w:t>
      </w:r>
    </w:p>
    <w:p w14:paraId="3224323F" w14:textId="7E0F4962" w:rsidR="00174ECF" w:rsidRDefault="00174ECF" w:rsidP="00917551">
      <w:pPr>
        <w:spacing w:line="240" w:lineRule="auto"/>
        <w:jc w:val="both"/>
        <w:rPr>
          <w:rFonts w:cs="Arial"/>
          <w:bCs/>
          <w:color w:val="000000"/>
          <w:szCs w:val="20"/>
        </w:rPr>
      </w:pPr>
      <w:r>
        <w:rPr>
          <w:rFonts w:cs="Arial"/>
          <w:bCs/>
          <w:color w:val="000000"/>
          <w:szCs w:val="20"/>
        </w:rPr>
        <w:lastRenderedPageBreak/>
        <w:t>Další fenomén, který se nevyskytuje u mladší populace ale pouze u seniorů, je závislost používání internetu na pohlaví. Mezi muži v seniorském věku nalezneme významně více takových, kteří používají internet než mezi ženami. Konkrétně mezi muži seniory používá internet 54</w:t>
      </w:r>
      <w:r w:rsidR="00D378F2">
        <w:rPr>
          <w:rFonts w:cs="Arial"/>
          <w:bCs/>
          <w:color w:val="000000"/>
          <w:szCs w:val="20"/>
        </w:rPr>
        <w:t> </w:t>
      </w:r>
      <w:r>
        <w:rPr>
          <w:rFonts w:cs="Arial"/>
          <w:bCs/>
          <w:color w:val="000000"/>
          <w:szCs w:val="20"/>
        </w:rPr>
        <w:t>% a mezi seniorkami je to pouze 43</w:t>
      </w:r>
      <w:r w:rsidR="00D378F2">
        <w:rPr>
          <w:rFonts w:cs="Arial"/>
          <w:bCs/>
          <w:color w:val="000000"/>
          <w:szCs w:val="20"/>
        </w:rPr>
        <w:t> </w:t>
      </w:r>
      <w:r>
        <w:rPr>
          <w:rFonts w:cs="Arial"/>
          <w:bCs/>
          <w:color w:val="000000"/>
          <w:szCs w:val="20"/>
        </w:rPr>
        <w:t>%. Při interpretaci těchto výsledků je potřeba brát v potaz nejenom to, že si muži většinou osvojují informační technologie rychleji, ale z druhé strany také to, že seniorky jsou v průměru starší než senioři, protože ženy se v průměru dožívají vyššího věku.</w:t>
      </w:r>
    </w:p>
    <w:p w14:paraId="31A868AA" w14:textId="5D81C03F" w:rsidR="00174ECF" w:rsidRDefault="00174ECF" w:rsidP="00917551">
      <w:pPr>
        <w:spacing w:line="240" w:lineRule="auto"/>
        <w:jc w:val="both"/>
      </w:pPr>
      <w:r>
        <w:t>Velké rozdíly nalezneme také mezi mladšími a staršími seniory. V kategorii mladších seniorů (mezi 65 a 74 lety) nepanuje k internetu taková nedůvěra, používá ho 61</w:t>
      </w:r>
      <w:r w:rsidR="00D378F2">
        <w:t> </w:t>
      </w:r>
      <w:r>
        <w:t>% z nich. Tito uživatelé znají internet z práce či dřívějšího života. Ve skupině nad 75 let naopak používá internet zatím pouze 30</w:t>
      </w:r>
      <w:r w:rsidR="00D378F2">
        <w:t> </w:t>
      </w:r>
      <w:r>
        <w:t xml:space="preserve">% osob. </w:t>
      </w:r>
    </w:p>
    <w:p w14:paraId="24C40A11" w14:textId="07DAD1CC" w:rsidR="00174ECF" w:rsidRDefault="00174ECF" w:rsidP="00917551">
      <w:pPr>
        <w:spacing w:line="240" w:lineRule="auto"/>
        <w:jc w:val="both"/>
        <w:rPr>
          <w:b/>
        </w:rPr>
      </w:pPr>
      <w:r w:rsidRPr="0090011E">
        <w:rPr>
          <w:b/>
        </w:rPr>
        <w:t xml:space="preserve">Graf </w:t>
      </w:r>
      <w:r>
        <w:rPr>
          <w:b/>
        </w:rPr>
        <w:t>8.2</w:t>
      </w:r>
      <w:r>
        <w:t xml:space="preserve"> </w:t>
      </w:r>
      <w:r w:rsidRPr="0090011E">
        <w:rPr>
          <w:b/>
        </w:rPr>
        <w:t xml:space="preserve">Senioři používající </w:t>
      </w:r>
      <w:r w:rsidR="00D85519">
        <w:rPr>
          <w:b/>
        </w:rPr>
        <w:t>internet</w:t>
      </w:r>
      <w:r>
        <w:rPr>
          <w:b/>
        </w:rPr>
        <w:t xml:space="preserve"> podle věku</w:t>
      </w:r>
    </w:p>
    <w:p w14:paraId="0FC2EC85" w14:textId="77777777" w:rsidR="00174ECF" w:rsidRPr="0090011E" w:rsidRDefault="00174ECF" w:rsidP="00917551">
      <w:pPr>
        <w:spacing w:line="240" w:lineRule="auto"/>
        <w:jc w:val="both"/>
        <w:rPr>
          <w:b/>
        </w:rPr>
      </w:pPr>
      <w:r>
        <w:rPr>
          <w:noProof/>
        </w:rPr>
        <w:drawing>
          <wp:inline distT="0" distB="0" distL="0" distR="0" wp14:anchorId="18498984" wp14:editId="2A2379B9">
            <wp:extent cx="4247515" cy="2299214"/>
            <wp:effectExtent l="0" t="0" r="635" b="6350"/>
            <wp:docPr id="53" name="Graf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3F86296" w14:textId="42C53325" w:rsidR="009C6914" w:rsidRDefault="00174ECF" w:rsidP="00917551">
      <w:pPr>
        <w:spacing w:line="240" w:lineRule="auto"/>
        <w:rPr>
          <w:i/>
          <w:sz w:val="18"/>
          <w:szCs w:val="18"/>
        </w:rPr>
      </w:pPr>
      <w:r w:rsidRPr="00E9731C">
        <w:rPr>
          <w:i/>
          <w:sz w:val="18"/>
          <w:szCs w:val="18"/>
        </w:rPr>
        <w:t>Zdro</w:t>
      </w:r>
      <w:r w:rsidR="00FC4EB0">
        <w:rPr>
          <w:i/>
          <w:sz w:val="18"/>
          <w:szCs w:val="18"/>
        </w:rPr>
        <w:t>j</w:t>
      </w:r>
      <w:r w:rsidRPr="00E9731C">
        <w:rPr>
          <w:i/>
          <w:sz w:val="18"/>
          <w:szCs w:val="18"/>
        </w:rPr>
        <w:t>: Výběrové šetření o používání informačních a komunikačních technologií v domácnostech a mezi jednotlivci</w:t>
      </w:r>
    </w:p>
    <w:p w14:paraId="6EA8FFBA" w14:textId="77777777" w:rsidR="009C6914" w:rsidRDefault="009C6914">
      <w:pPr>
        <w:spacing w:after="0" w:line="240" w:lineRule="auto"/>
        <w:rPr>
          <w:i/>
          <w:sz w:val="18"/>
          <w:szCs w:val="18"/>
        </w:rPr>
      </w:pPr>
      <w:r>
        <w:rPr>
          <w:i/>
          <w:sz w:val="18"/>
          <w:szCs w:val="18"/>
        </w:rPr>
        <w:br w:type="page"/>
      </w:r>
    </w:p>
    <w:p w14:paraId="2AEAFE25" w14:textId="01A2C6B8" w:rsidR="00174ECF" w:rsidRDefault="00174ECF" w:rsidP="00917551">
      <w:pPr>
        <w:spacing w:line="240" w:lineRule="auto"/>
        <w:jc w:val="both"/>
      </w:pPr>
      <w:r>
        <w:lastRenderedPageBreak/>
        <w:t xml:space="preserve">Na základě vývoje z minulých let se dá předpokládat, že internet bude v příštích letech používat stále více českých seniorů. Příkladem nám mohou </w:t>
      </w:r>
      <w:r w:rsidR="009C6914">
        <w:t>být také státy severní Evropy a </w:t>
      </w:r>
      <w:r>
        <w:t>některé státy západní Evropy, kde již v současnosti je podíl uživatelů internetu mezi seniory vysoký</w:t>
      </w:r>
      <w:r>
        <w:rPr>
          <w:rStyle w:val="Znakapoznpodarou"/>
          <w:rFonts w:eastAsiaTheme="minorHAnsi"/>
        </w:rPr>
        <w:footnoteReference w:id="3"/>
      </w:r>
      <w:r>
        <w:t>. Např. na</w:t>
      </w:r>
      <w:r w:rsidR="00D85519">
        <w:t> </w:t>
      </w:r>
      <w:r>
        <w:t>Islandu a v Norsku je podíl uživatelů internetu mezi o</w:t>
      </w:r>
      <w:r w:rsidR="009C6914">
        <w:t xml:space="preserve">sobami ve věku 65 až </w:t>
      </w:r>
      <w:r w:rsidR="00E9731C">
        <w:t>74 let již 97 </w:t>
      </w:r>
      <w:r>
        <w:t>%. Dáns</w:t>
      </w:r>
      <w:r w:rsidR="00E9731C">
        <w:t>ko vykazuje podíl 95</w:t>
      </w:r>
      <w:r w:rsidR="00D378F2">
        <w:t> </w:t>
      </w:r>
      <w:r w:rsidR="00E9731C">
        <w:t>%. Údaje o </w:t>
      </w:r>
      <w:r>
        <w:t>starších seniorech (ve</w:t>
      </w:r>
      <w:r w:rsidR="00D85519">
        <w:t> </w:t>
      </w:r>
      <w:r>
        <w:t>věku 75+) používajících internet nejsou pro většinu evropských zemí dostupné.</w:t>
      </w:r>
    </w:p>
    <w:p w14:paraId="14248944" w14:textId="455514F9" w:rsidR="00174ECF" w:rsidRDefault="00174ECF" w:rsidP="00E9731C">
      <w:pPr>
        <w:spacing w:line="240" w:lineRule="auto"/>
        <w:ind w:left="709" w:hanging="709"/>
        <w:rPr>
          <w:b/>
        </w:rPr>
      </w:pPr>
      <w:r w:rsidRPr="0090011E">
        <w:rPr>
          <w:b/>
        </w:rPr>
        <w:t xml:space="preserve">Graf </w:t>
      </w:r>
      <w:r>
        <w:rPr>
          <w:b/>
        </w:rPr>
        <w:t>8.3</w:t>
      </w:r>
      <w:r>
        <w:t xml:space="preserve"> </w:t>
      </w:r>
      <w:r w:rsidRPr="0090011E">
        <w:rPr>
          <w:b/>
        </w:rPr>
        <w:t>Senioři</w:t>
      </w:r>
      <w:r>
        <w:rPr>
          <w:b/>
        </w:rPr>
        <w:t xml:space="preserve"> ve věku 65</w:t>
      </w:r>
      <w:r w:rsidRPr="00C71A22">
        <w:rPr>
          <w:b/>
        </w:rPr>
        <w:t>–</w:t>
      </w:r>
      <w:r>
        <w:rPr>
          <w:b/>
        </w:rPr>
        <w:t>74 let</w:t>
      </w:r>
      <w:r w:rsidRPr="0090011E">
        <w:rPr>
          <w:b/>
        </w:rPr>
        <w:t xml:space="preserve"> používající </w:t>
      </w:r>
      <w:r>
        <w:rPr>
          <w:b/>
        </w:rPr>
        <w:t>i</w:t>
      </w:r>
      <w:r w:rsidR="00E9731C">
        <w:rPr>
          <w:b/>
        </w:rPr>
        <w:t>nternet ve vybraných</w:t>
      </w:r>
      <w:r w:rsidR="00E9731C">
        <w:rPr>
          <w:b/>
        </w:rPr>
        <w:br/>
        <w:t xml:space="preserve">  </w:t>
      </w:r>
      <w:r w:rsidR="00603BB3">
        <w:rPr>
          <w:b/>
        </w:rPr>
        <w:t>zemích</w:t>
      </w:r>
      <w:r w:rsidR="00A5422F">
        <w:rPr>
          <w:b/>
        </w:rPr>
        <w:t xml:space="preserve"> EU v roce</w:t>
      </w:r>
      <w:r>
        <w:rPr>
          <w:b/>
        </w:rPr>
        <w:t xml:space="preserve"> 2021</w:t>
      </w:r>
    </w:p>
    <w:p w14:paraId="58B2B58A" w14:textId="77777777" w:rsidR="00174ECF" w:rsidRDefault="00174ECF" w:rsidP="00917551">
      <w:pPr>
        <w:spacing w:line="240" w:lineRule="auto"/>
        <w:jc w:val="both"/>
        <w:rPr>
          <w:b/>
        </w:rPr>
      </w:pPr>
      <w:r>
        <w:rPr>
          <w:noProof/>
        </w:rPr>
        <w:drawing>
          <wp:inline distT="0" distB="0" distL="0" distR="0" wp14:anchorId="5E6EC6B4" wp14:editId="5A1B9D43">
            <wp:extent cx="4247515" cy="2003223"/>
            <wp:effectExtent l="0" t="0" r="635" b="0"/>
            <wp:docPr id="54" name="Graf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AEB660B" w14:textId="467EF4B5" w:rsidR="00174ECF" w:rsidRPr="00E9731C" w:rsidRDefault="00174ECF" w:rsidP="00917551">
      <w:pPr>
        <w:spacing w:line="240" w:lineRule="auto"/>
        <w:rPr>
          <w:i/>
          <w:sz w:val="18"/>
          <w:szCs w:val="18"/>
        </w:rPr>
      </w:pPr>
      <w:r w:rsidRPr="00E9731C">
        <w:rPr>
          <w:i/>
          <w:sz w:val="18"/>
          <w:szCs w:val="18"/>
        </w:rPr>
        <w:t>Zdroj: Eurostat</w:t>
      </w:r>
    </w:p>
    <w:p w14:paraId="13B697F4" w14:textId="608DFED1" w:rsidR="00174ECF" w:rsidRDefault="00174ECF" w:rsidP="007A0ACD">
      <w:pPr>
        <w:pStyle w:val="Odstavecseseznamem"/>
        <w:numPr>
          <w:ilvl w:val="1"/>
          <w:numId w:val="15"/>
        </w:numPr>
        <w:ind w:left="1077"/>
        <w:jc w:val="both"/>
        <w:rPr>
          <w:rFonts w:eastAsia="MS Gothic"/>
          <w:b/>
          <w:bCs/>
          <w:color w:val="BC091B" w:themeColor="accent1"/>
          <w:sz w:val="28"/>
          <w:szCs w:val="26"/>
        </w:rPr>
      </w:pPr>
      <w:r w:rsidRPr="00174ECF">
        <w:rPr>
          <w:rFonts w:eastAsia="MS Gothic"/>
          <w:b/>
          <w:bCs/>
          <w:color w:val="BC091B" w:themeColor="accent1"/>
          <w:sz w:val="28"/>
          <w:szCs w:val="26"/>
        </w:rPr>
        <w:t>Nakupování na internetu</w:t>
      </w:r>
    </w:p>
    <w:p w14:paraId="63675477" w14:textId="4D5747E0" w:rsidR="009C6914" w:rsidRDefault="00174ECF" w:rsidP="00917551">
      <w:pPr>
        <w:spacing w:line="240" w:lineRule="auto"/>
        <w:jc w:val="both"/>
        <w:rPr>
          <w:rFonts w:cs="Arial"/>
          <w:bCs/>
          <w:color w:val="000000"/>
          <w:szCs w:val="20"/>
        </w:rPr>
      </w:pPr>
      <w:r w:rsidRPr="00CC7453">
        <w:rPr>
          <w:rFonts w:cs="Arial"/>
          <w:bCs/>
          <w:color w:val="000000"/>
          <w:szCs w:val="20"/>
        </w:rPr>
        <w:t>Nakupování na internetu zaznamenalo velký rozmach především v roce 2020, a to v souvislosti s pandemií koronaviru, která způsobila zavření velké řady kamenných obchodů. Také v následujících letech došlo k nárůstu online nakupování, přestože se již meziročně nejednalo o nárůsty tak velké jako o rok dříve. V roce 2</w:t>
      </w:r>
      <w:r w:rsidR="009C6914">
        <w:rPr>
          <w:rFonts w:cs="Arial"/>
          <w:bCs/>
          <w:color w:val="000000"/>
          <w:szCs w:val="20"/>
        </w:rPr>
        <w:t>022 uvedlo, že ve sledovaných 3 </w:t>
      </w:r>
      <w:r w:rsidRPr="00CC7453">
        <w:rPr>
          <w:rFonts w:cs="Arial"/>
          <w:bCs/>
          <w:color w:val="000000"/>
          <w:szCs w:val="20"/>
        </w:rPr>
        <w:t xml:space="preserve">měsících nakoupilo na internetu, </w:t>
      </w:r>
      <w:r w:rsidR="009C6914">
        <w:rPr>
          <w:rFonts w:cs="Arial"/>
          <w:bCs/>
          <w:color w:val="000000"/>
          <w:szCs w:val="20"/>
        </w:rPr>
        <w:t>také 19</w:t>
      </w:r>
      <w:r w:rsidR="00D378F2">
        <w:rPr>
          <w:rFonts w:cs="Arial"/>
          <w:bCs/>
          <w:color w:val="000000"/>
          <w:szCs w:val="20"/>
        </w:rPr>
        <w:t> </w:t>
      </w:r>
      <w:r w:rsidR="009C6914">
        <w:rPr>
          <w:rFonts w:cs="Arial"/>
          <w:bCs/>
          <w:color w:val="000000"/>
          <w:szCs w:val="20"/>
        </w:rPr>
        <w:t>% osob starších 65 let.</w:t>
      </w:r>
    </w:p>
    <w:p w14:paraId="5EF02AF4" w14:textId="06B0602D" w:rsidR="00174ECF" w:rsidRPr="00EB7005" w:rsidRDefault="00174ECF" w:rsidP="00917551">
      <w:pPr>
        <w:spacing w:line="240" w:lineRule="auto"/>
        <w:jc w:val="both"/>
        <w:rPr>
          <w:highlight w:val="yellow"/>
        </w:rPr>
      </w:pPr>
      <w:r w:rsidRPr="00CC7453">
        <w:rPr>
          <w:rFonts w:cs="Arial"/>
          <w:bCs/>
          <w:color w:val="000000"/>
          <w:szCs w:val="20"/>
        </w:rPr>
        <w:lastRenderedPageBreak/>
        <w:t xml:space="preserve">Pro </w:t>
      </w:r>
      <w:r w:rsidR="009C6914">
        <w:rPr>
          <w:rFonts w:cs="Arial"/>
          <w:bCs/>
          <w:color w:val="000000"/>
          <w:szCs w:val="20"/>
        </w:rPr>
        <w:t>srovnání v roce 2020 to bylo 15 % a o rok dříve 8 </w:t>
      </w:r>
      <w:r w:rsidRPr="00CC7453">
        <w:rPr>
          <w:rFonts w:cs="Arial"/>
          <w:bCs/>
          <w:color w:val="000000"/>
          <w:szCs w:val="20"/>
        </w:rPr>
        <w:t xml:space="preserve">%. </w:t>
      </w:r>
      <w:r w:rsidRPr="00C74936">
        <w:rPr>
          <w:rFonts w:cs="Arial"/>
          <w:bCs/>
          <w:color w:val="000000"/>
          <w:szCs w:val="20"/>
        </w:rPr>
        <w:t>Z celkové populace dospělých nakupovalo v roce 2022 na internetu 61</w:t>
      </w:r>
      <w:r w:rsidR="00D378F2">
        <w:rPr>
          <w:rFonts w:cs="Arial"/>
          <w:bCs/>
          <w:color w:val="000000"/>
          <w:szCs w:val="20"/>
        </w:rPr>
        <w:t> </w:t>
      </w:r>
      <w:r w:rsidRPr="00C74936">
        <w:rPr>
          <w:rFonts w:cs="Arial"/>
          <w:bCs/>
          <w:color w:val="000000"/>
          <w:szCs w:val="20"/>
        </w:rPr>
        <w:t>% osob. Nejvíce takových bylo mezi osobami 25 až 34 let, mezi kterými nakupovalo 89</w:t>
      </w:r>
      <w:r w:rsidR="00D378F2">
        <w:rPr>
          <w:rFonts w:cs="Arial"/>
          <w:bCs/>
          <w:color w:val="000000"/>
          <w:szCs w:val="20"/>
        </w:rPr>
        <w:t> </w:t>
      </w:r>
      <w:r w:rsidRPr="00C74936">
        <w:rPr>
          <w:rFonts w:cs="Arial"/>
          <w:bCs/>
          <w:color w:val="000000"/>
          <w:szCs w:val="20"/>
        </w:rPr>
        <w:t xml:space="preserve">%. </w:t>
      </w:r>
      <w:r w:rsidRPr="004A6622">
        <w:rPr>
          <w:rFonts w:cs="Arial"/>
          <w:bCs/>
          <w:color w:val="000000"/>
          <w:szCs w:val="20"/>
        </w:rPr>
        <w:t>Senioři nad 65 let nakupovali online nejčastěji vybavení do domácnosti (8 % z nich), oblečení, obuv či módní doplňky (8 %) a léky či doplňky stravy (6 %).</w:t>
      </w:r>
    </w:p>
    <w:p w14:paraId="3EACBF23" w14:textId="139C403F" w:rsidR="00174ECF" w:rsidRPr="00174ECF" w:rsidRDefault="00174ECF" w:rsidP="007A0ACD">
      <w:pPr>
        <w:pStyle w:val="Odstavecseseznamem"/>
        <w:numPr>
          <w:ilvl w:val="1"/>
          <w:numId w:val="15"/>
        </w:numPr>
        <w:ind w:left="1077"/>
        <w:jc w:val="both"/>
        <w:rPr>
          <w:rFonts w:eastAsia="MS Gothic"/>
          <w:b/>
          <w:bCs/>
          <w:color w:val="BC091B" w:themeColor="accent1"/>
          <w:sz w:val="28"/>
          <w:szCs w:val="26"/>
        </w:rPr>
      </w:pPr>
      <w:r w:rsidRPr="00174ECF">
        <w:rPr>
          <w:rFonts w:eastAsia="MS Gothic"/>
          <w:b/>
          <w:bCs/>
          <w:color w:val="BC091B" w:themeColor="accent1"/>
          <w:sz w:val="28"/>
          <w:szCs w:val="26"/>
        </w:rPr>
        <w:t>Další aktivity na internetu</w:t>
      </w:r>
    </w:p>
    <w:p w14:paraId="042D7C28" w14:textId="17B4D594" w:rsidR="00174ECF" w:rsidRPr="00CC7453" w:rsidRDefault="00174ECF" w:rsidP="00917551">
      <w:pPr>
        <w:spacing w:line="240" w:lineRule="auto"/>
        <w:jc w:val="both"/>
      </w:pPr>
      <w:r w:rsidRPr="00CC7453">
        <w:t>Senioři používají internet nejčastěji ke čtení zpravodajství (44</w:t>
      </w:r>
      <w:r w:rsidR="00D378F2">
        <w:t> </w:t>
      </w:r>
      <w:r w:rsidRPr="00CC7453">
        <w:t>% seniorů), zasílání e-mailů (41</w:t>
      </w:r>
      <w:r w:rsidR="00D378F2">
        <w:t> </w:t>
      </w:r>
      <w:r w:rsidRPr="00CC7453">
        <w:t>%), vyhledávání informací o zboží či službách (39</w:t>
      </w:r>
      <w:r w:rsidR="00D378F2">
        <w:t> </w:t>
      </w:r>
      <w:r w:rsidRPr="00CC7453">
        <w:t>%) a vyhledávání informací o zdraví (37</w:t>
      </w:r>
      <w:r w:rsidR="00D378F2">
        <w:t> </w:t>
      </w:r>
      <w:r w:rsidRPr="00CC7453">
        <w:t>%). I mezi seniory se najde určité procento osob, které provádí na internetu složitější činnosti. Např. internetové bankovnictví obsluhuje téměř třetina seniorů. České seniory obecně příliš neoslovují sociální sítě. Na rozdíl od mládeže, mezi kterou používá sociální sítě už 96</w:t>
      </w:r>
      <w:r w:rsidR="00D378F2">
        <w:t> </w:t>
      </w:r>
      <w:r w:rsidRPr="00CC7453">
        <w:t>% osob, mezi seniory je to zatím 13</w:t>
      </w:r>
      <w:r w:rsidR="00D378F2">
        <w:t> </w:t>
      </w:r>
      <w:r w:rsidRPr="00CC7453">
        <w:t>%.</w:t>
      </w:r>
    </w:p>
    <w:p w14:paraId="6000C739" w14:textId="7D9E1760" w:rsidR="00174ECF" w:rsidRPr="00942A43" w:rsidRDefault="00174ECF" w:rsidP="00917551">
      <w:pPr>
        <w:spacing w:line="240" w:lineRule="auto"/>
        <w:jc w:val="both"/>
        <w:rPr>
          <w:b/>
        </w:rPr>
      </w:pPr>
      <w:r w:rsidRPr="00942A43">
        <w:rPr>
          <w:b/>
        </w:rPr>
        <w:t xml:space="preserve">Graf </w:t>
      </w:r>
      <w:r>
        <w:rPr>
          <w:b/>
        </w:rPr>
        <w:t>8.</w:t>
      </w:r>
      <w:r w:rsidRPr="00942A43">
        <w:rPr>
          <w:b/>
        </w:rPr>
        <w:t>4</w:t>
      </w:r>
      <w:r w:rsidRPr="00942A43">
        <w:t xml:space="preserve"> </w:t>
      </w:r>
      <w:r w:rsidRPr="00942A43">
        <w:rPr>
          <w:b/>
        </w:rPr>
        <w:t>Senioři a vybrané ak</w:t>
      </w:r>
      <w:r w:rsidR="00D85519">
        <w:rPr>
          <w:b/>
        </w:rPr>
        <w:t>tivity na internetu</w:t>
      </w:r>
      <w:r w:rsidR="00A5422F">
        <w:rPr>
          <w:b/>
        </w:rPr>
        <w:t xml:space="preserve"> podle věku v roce</w:t>
      </w:r>
      <w:r w:rsidRPr="00942A43">
        <w:rPr>
          <w:b/>
        </w:rPr>
        <w:t xml:space="preserve"> 2022</w:t>
      </w:r>
    </w:p>
    <w:p w14:paraId="18E7B47E" w14:textId="77777777" w:rsidR="00174ECF" w:rsidRPr="009C6914" w:rsidRDefault="00174ECF" w:rsidP="00917551">
      <w:pPr>
        <w:spacing w:line="240" w:lineRule="auto"/>
        <w:jc w:val="both"/>
        <w:rPr>
          <w:rFonts w:eastAsia="MS Gothic"/>
          <w:b/>
          <w:bCs/>
          <w:sz w:val="28"/>
          <w:szCs w:val="26"/>
          <w:highlight w:val="yellow"/>
        </w:rPr>
      </w:pPr>
      <w:r>
        <w:rPr>
          <w:noProof/>
        </w:rPr>
        <w:drawing>
          <wp:inline distT="0" distB="0" distL="0" distR="0" wp14:anchorId="0CC9BAC9" wp14:editId="2565D78B">
            <wp:extent cx="4352290" cy="2376020"/>
            <wp:effectExtent l="0" t="0" r="0" b="5715"/>
            <wp:docPr id="55" name="Graf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C041700" w14:textId="7655B6D3" w:rsidR="00174ECF" w:rsidRPr="009C6914" w:rsidRDefault="00FC4EB0" w:rsidP="00917551">
      <w:pPr>
        <w:spacing w:line="240" w:lineRule="auto"/>
        <w:rPr>
          <w:i/>
          <w:sz w:val="18"/>
          <w:szCs w:val="18"/>
        </w:rPr>
      </w:pPr>
      <w:r>
        <w:rPr>
          <w:i/>
          <w:sz w:val="18"/>
          <w:szCs w:val="18"/>
        </w:rPr>
        <w:t>Zdroj</w:t>
      </w:r>
      <w:r w:rsidR="00174ECF" w:rsidRPr="009C6914">
        <w:rPr>
          <w:i/>
          <w:sz w:val="18"/>
          <w:szCs w:val="18"/>
        </w:rPr>
        <w:t>: Výběrové šetření o používání informačních a komunikačních technologií v domácnostech a mezi jednotlivci</w:t>
      </w:r>
    </w:p>
    <w:p w14:paraId="386EF917" w14:textId="794FD5DC" w:rsidR="00985206" w:rsidRDefault="00985206" w:rsidP="007A0ACD">
      <w:pPr>
        <w:pStyle w:val="Nadpis1"/>
        <w:numPr>
          <w:ilvl w:val="0"/>
          <w:numId w:val="15"/>
        </w:numPr>
        <w:spacing w:after="240"/>
        <w:ind w:left="714" w:hanging="357"/>
      </w:pPr>
      <w:bookmarkStart w:id="51" w:name="_Toc90293554"/>
      <w:bookmarkStart w:id="52" w:name="_Toc121211650"/>
      <w:r>
        <w:lastRenderedPageBreak/>
        <w:t>Shrnutí</w:t>
      </w:r>
      <w:bookmarkEnd w:id="51"/>
      <w:bookmarkEnd w:id="52"/>
    </w:p>
    <w:p w14:paraId="1456C2EC" w14:textId="2F3018F8" w:rsidR="00985206" w:rsidRDefault="00985206" w:rsidP="00917551">
      <w:pPr>
        <w:spacing w:line="240" w:lineRule="auto"/>
        <w:jc w:val="both"/>
        <w:rPr>
          <w:rFonts w:cs="Arial"/>
          <w:szCs w:val="20"/>
        </w:rPr>
      </w:pPr>
      <w:r>
        <w:rPr>
          <w:rFonts w:cs="Arial"/>
          <w:szCs w:val="20"/>
        </w:rPr>
        <w:t xml:space="preserve">Populace seniorů je vystavena celé řadě rizik. Častěji trpí různými nemocemi, je náchylnější k úrazu, zejména v domácím prostředí, je citelněji ohrožena chudobou a </w:t>
      </w:r>
      <w:r w:rsidR="001B125D">
        <w:rPr>
          <w:rFonts w:cs="Arial"/>
          <w:szCs w:val="20"/>
        </w:rPr>
        <w:t>též zvýšeně náchylná být obětí někter</w:t>
      </w:r>
      <w:r w:rsidR="00855087">
        <w:rPr>
          <w:rFonts w:cs="Arial"/>
          <w:szCs w:val="20"/>
        </w:rPr>
        <w:t>ých</w:t>
      </w:r>
      <w:r>
        <w:rPr>
          <w:rFonts w:cs="Arial"/>
          <w:szCs w:val="20"/>
        </w:rPr>
        <w:t xml:space="preserve"> trestn</w:t>
      </w:r>
      <w:r w:rsidR="00855087">
        <w:rPr>
          <w:rFonts w:cs="Arial"/>
          <w:szCs w:val="20"/>
        </w:rPr>
        <w:t>ých</w:t>
      </w:r>
      <w:r>
        <w:rPr>
          <w:rFonts w:cs="Arial"/>
          <w:szCs w:val="20"/>
        </w:rPr>
        <w:t xml:space="preserve"> čin</w:t>
      </w:r>
      <w:r w:rsidR="00855087">
        <w:rPr>
          <w:rFonts w:cs="Arial"/>
          <w:szCs w:val="20"/>
        </w:rPr>
        <w:t>ů</w:t>
      </w:r>
      <w:r>
        <w:rPr>
          <w:rFonts w:cs="Arial"/>
          <w:szCs w:val="20"/>
        </w:rPr>
        <w:t xml:space="preserve">. Právě na této populaci se epidemie </w:t>
      </w:r>
      <w:r>
        <w:rPr>
          <w:rFonts w:cs="Arial"/>
          <w:color w:val="000000" w:themeColor="text1"/>
          <w:szCs w:val="20"/>
        </w:rPr>
        <w:t xml:space="preserve">covidu-19 podepsala nejvýrazněji. </w:t>
      </w:r>
      <w:r w:rsidR="00855087">
        <w:rPr>
          <w:rFonts w:cs="Arial"/>
          <w:color w:val="000000" w:themeColor="text1"/>
          <w:szCs w:val="20"/>
        </w:rPr>
        <w:t>N</w:t>
      </w:r>
      <w:r>
        <w:rPr>
          <w:rFonts w:cs="Arial"/>
          <w:color w:val="000000" w:themeColor="text1"/>
          <w:szCs w:val="20"/>
        </w:rPr>
        <w:t xml:space="preserve">avzdory těmto rizikům žije mnoho seniorů plnohodnotným životem. Tito lidé jsou stále </w:t>
      </w:r>
      <w:r w:rsidR="00855087">
        <w:rPr>
          <w:rFonts w:cs="Arial"/>
          <w:color w:val="000000" w:themeColor="text1"/>
          <w:szCs w:val="20"/>
        </w:rPr>
        <w:t xml:space="preserve">více </w:t>
      </w:r>
      <w:r>
        <w:rPr>
          <w:rFonts w:cs="Arial"/>
          <w:color w:val="000000" w:themeColor="text1"/>
          <w:szCs w:val="20"/>
        </w:rPr>
        <w:t>aktivní na pracovním trhu, vzdělávají se a využívají moderní informační a</w:t>
      </w:r>
      <w:r w:rsidR="00414962">
        <w:rPr>
          <w:rFonts w:cs="Arial"/>
          <w:color w:val="000000" w:themeColor="text1"/>
          <w:szCs w:val="20"/>
        </w:rPr>
        <w:t> </w:t>
      </w:r>
      <w:r>
        <w:rPr>
          <w:rFonts w:cs="Arial"/>
          <w:color w:val="000000" w:themeColor="text1"/>
          <w:szCs w:val="20"/>
        </w:rPr>
        <w:t>komun</w:t>
      </w:r>
      <w:r w:rsidR="007A0ACD">
        <w:rPr>
          <w:rFonts w:cs="Arial"/>
          <w:color w:val="000000" w:themeColor="text1"/>
          <w:szCs w:val="20"/>
        </w:rPr>
        <w:t>ikační technologie.</w:t>
      </w:r>
    </w:p>
    <w:p w14:paraId="39A421EC" w14:textId="77777777" w:rsidR="00945D5E" w:rsidRDefault="00945D5E" w:rsidP="00945D5E">
      <w:pPr>
        <w:spacing w:line="240" w:lineRule="auto"/>
        <w:jc w:val="both"/>
        <w:rPr>
          <w:bCs/>
        </w:rPr>
      </w:pPr>
      <w:r>
        <w:t>Podle posledních údajů o věkovém složení populace bylo na konci roku 2021 ve věku 65 či více let 2,17 milionu obyvatel</w:t>
      </w:r>
      <w:r w:rsidRPr="00875208">
        <w:t xml:space="preserve"> </w:t>
      </w:r>
      <w:r>
        <w:t xml:space="preserve">České republiky. </w:t>
      </w:r>
      <w:r w:rsidRPr="007D2611">
        <w:t>Dlouhodobě rostoucí je v</w:t>
      </w:r>
      <w:r>
        <w:t> </w:t>
      </w:r>
      <w:r w:rsidRPr="007D2611">
        <w:t>Česku</w:t>
      </w:r>
      <w:r>
        <w:t xml:space="preserve"> kromě absolutního počtu</w:t>
      </w:r>
      <w:r w:rsidRPr="007D2611">
        <w:t xml:space="preserve"> i podíl seniorů na celkové populaci, který je jedním ze základních ukazatelů stárnutí populace.</w:t>
      </w:r>
      <w:r>
        <w:t xml:space="preserve"> Senioři aktuálně představují již více než jednu pětinu populace. Tři pětiny seniorů jsou ve věku 65 až 74 let. Zatímco muži-senioři jsou většinou ženatí (podle údajů z konce roku 2021 ze 70 %), u žen-seniorek jsou početně významné dvě skupiny – vdané a ovdovělé (41 % v každé skupině). </w:t>
      </w:r>
    </w:p>
    <w:p w14:paraId="68B61D91" w14:textId="5A312E7E" w:rsidR="00945D5E" w:rsidRDefault="00945D5E" w:rsidP="00945D5E">
      <w:pPr>
        <w:spacing w:line="240" w:lineRule="auto"/>
        <w:jc w:val="both"/>
      </w:pPr>
      <w:r w:rsidRPr="00AA3DF4">
        <w:t>Nejčastějšími příčinami úmrtí bývají u seniorů chronická ischemická choroba srdeční, cévní nemoci mozku, z dalších onemocnění oběhové soustavy pak srdeční selhání, akutní infarkt myokardu (v</w:t>
      </w:r>
      <w:r>
        <w:t> </w:t>
      </w:r>
      <w:r w:rsidRPr="00AA3DF4">
        <w:t>posledních letech na ústupu) a</w:t>
      </w:r>
      <w:r>
        <w:t> </w:t>
      </w:r>
      <w:r w:rsidRPr="00AA3DF4">
        <w:t>hypertenzní nemoci.</w:t>
      </w:r>
      <w:r>
        <w:t xml:space="preserve"> </w:t>
      </w:r>
      <w:r w:rsidRPr="00AA3DF4">
        <w:t>V roce 2021 však byl celkově nejčetnější příčinou úmrtí 65letých a starších osob covid-19, který způsobil téměř každé páté úmrtí seniora</w:t>
      </w:r>
      <w:r>
        <w:t>.</w:t>
      </w:r>
    </w:p>
    <w:p w14:paraId="0CCD7F07" w14:textId="77777777" w:rsidR="002C207D" w:rsidRDefault="002C207D" w:rsidP="002C207D">
      <w:pPr>
        <w:spacing w:line="240" w:lineRule="auto"/>
        <w:jc w:val="both"/>
      </w:pPr>
      <w:r>
        <w:t xml:space="preserve">Zastoupení rodáků, tedy obyvatel, kteří bydlí tam, kde se narodili (měli obec bydliště po narození shodnou s obcí bydliště při sčítání), se snižuje s přibývajícím věkem. Zatímco rodáky byla podle sčítání polovina (50,4 %) všech obyvatel, mezi seniory ve věku 65 a více let bylo rodáků 38,6 %. </w:t>
      </w:r>
    </w:p>
    <w:p w14:paraId="428EF0A8" w14:textId="4A64B8DC" w:rsidR="00812A8E" w:rsidRDefault="002C207D" w:rsidP="002C207D">
      <w:pPr>
        <w:spacing w:line="240" w:lineRule="auto"/>
        <w:jc w:val="both"/>
      </w:pPr>
      <w:r>
        <w:t>Senioři žijí v České republice spíše v menších domácnostech. V rámci jednočlenných domácností převažují mezi seniory ženy (71,5 </w:t>
      </w:r>
      <w:r w:rsidR="000F4AC9">
        <w:t xml:space="preserve">%) </w:t>
      </w:r>
      <w:r>
        <w:t>oproti mužům (28,5 %), což souvisí s vyšší nadějí dožití u žen.</w:t>
      </w:r>
    </w:p>
    <w:p w14:paraId="1514A7BE" w14:textId="77777777" w:rsidR="00812A8E" w:rsidRDefault="00812A8E">
      <w:pPr>
        <w:spacing w:after="0" w:line="240" w:lineRule="auto"/>
      </w:pPr>
      <w:r>
        <w:br w:type="page"/>
      </w:r>
    </w:p>
    <w:p w14:paraId="7F89FCF5" w14:textId="769A1BA0" w:rsidR="00317CE5" w:rsidRDefault="00317CE5" w:rsidP="00917551">
      <w:pPr>
        <w:spacing w:line="240" w:lineRule="auto"/>
        <w:jc w:val="both"/>
      </w:pPr>
      <w:r>
        <w:lastRenderedPageBreak/>
        <w:t>U domácností jednotlivců starších 65 let došlo mezi lety 2020 a 2021 ke</w:t>
      </w:r>
      <w:r w:rsidR="00414962">
        <w:t> </w:t>
      </w:r>
      <w:r>
        <w:t>snížení podílu osob ohrožených příjmovou chudobou téměř o 10 p. b. (z hodnoty 37,4 % na 27,8 %).</w:t>
      </w:r>
      <w:r w:rsidR="00073AD1">
        <w:t xml:space="preserve"> </w:t>
      </w:r>
      <w:r>
        <w:t>Zásadní položkou rodinného rozpočtu jsou nepochybně náklady na bydlení, kam se zahrnuje nájemné či úhrada za užívání bytu, platby za energie, vodné a stočné, odvoz odpadu a další služby spojené s bydlením. Domácnosti jednotlivců starších 65 let za ně v roce 2021 vy</w:t>
      </w:r>
      <w:r w:rsidR="00322333">
        <w:t>daly v průměru 68 047 Kč (5 671 </w:t>
      </w:r>
      <w:r>
        <w:t>Kč za měs</w:t>
      </w:r>
      <w:r w:rsidR="00322333">
        <w:t>íc), což je téměř třetina (32,2 </w:t>
      </w:r>
      <w:r>
        <w:t>%) jejich spotřebních výdajů.</w:t>
      </w:r>
    </w:p>
    <w:p w14:paraId="69291E5C" w14:textId="53677FC3" w:rsidR="00317CE5" w:rsidRDefault="00317CE5" w:rsidP="00917551">
      <w:pPr>
        <w:spacing w:line="240" w:lineRule="auto"/>
        <w:jc w:val="both"/>
      </w:pPr>
      <w:r w:rsidRPr="00317CE5">
        <w:t>Od roku 2017 jde v průměru 42 % z celkových výdajů zdravotních pojišťoven na léčbu seniorů ve věku 65 let a více.</w:t>
      </w:r>
      <w:r>
        <w:t xml:space="preserve"> </w:t>
      </w:r>
      <w:r w:rsidRPr="00791F17">
        <w:t xml:space="preserve">Největší část </w:t>
      </w:r>
      <w:r>
        <w:t xml:space="preserve">finančních prostředků </w:t>
      </w:r>
      <w:r w:rsidRPr="00791F17">
        <w:t>zdr</w:t>
      </w:r>
      <w:r>
        <w:t>avotních pojišťoven vydaných na </w:t>
      </w:r>
      <w:r w:rsidRPr="00791F17">
        <w:t xml:space="preserve">léčbu seniorů </w:t>
      </w:r>
      <w:r>
        <w:t xml:space="preserve">v roce 2020 </w:t>
      </w:r>
      <w:r w:rsidRPr="00791F17">
        <w:t xml:space="preserve">putovala </w:t>
      </w:r>
      <w:r w:rsidRPr="00AB2BB2">
        <w:t>na léčbu nemocí oběhové soustavy</w:t>
      </w:r>
      <w:r>
        <w:t>, a </w:t>
      </w:r>
      <w:r w:rsidRPr="00AB2BB2">
        <w:t>to 28,8</w:t>
      </w:r>
      <w:r>
        <w:t> </w:t>
      </w:r>
      <w:r w:rsidRPr="00AB2BB2">
        <w:t>mld.</w:t>
      </w:r>
      <w:r>
        <w:t> </w:t>
      </w:r>
      <w:r w:rsidRPr="00AB2BB2">
        <w:t>Kč</w:t>
      </w:r>
      <w:r>
        <w:t>, což je 69 %</w:t>
      </w:r>
      <w:r w:rsidRPr="00791F17">
        <w:t xml:space="preserve"> z</w:t>
      </w:r>
      <w:r>
        <w:t xml:space="preserve"> celkových výdajů pojišťoven na </w:t>
      </w:r>
      <w:r w:rsidRPr="00791F17">
        <w:t>léčbu těchto onemocnění.</w:t>
      </w:r>
    </w:p>
    <w:p w14:paraId="526A774E" w14:textId="67D89906" w:rsidR="00317CE5" w:rsidRDefault="00317CE5" w:rsidP="00917551">
      <w:pPr>
        <w:spacing w:line="240" w:lineRule="auto"/>
        <w:jc w:val="both"/>
      </w:pPr>
      <w:r>
        <w:t xml:space="preserve">U osob nad 65 let sice velmi silně dominuje ekonomická neaktivita, ale i u nich se podíl aktivních značně zvýšil </w:t>
      </w:r>
      <w:r w:rsidR="005F4F80">
        <w:t>–</w:t>
      </w:r>
      <w:r>
        <w:t xml:space="preserve"> specifická míra ekonomické aktivity </w:t>
      </w:r>
      <w:r w:rsidR="00855087">
        <w:t xml:space="preserve">za posledních 10 let </w:t>
      </w:r>
      <w:r>
        <w:t>vzrostla ze 4,6 % na 7,2 %. Považovat seniory automaticky za neproduktivní složku obyvatelstva tedy není odpovídající, a to stále výrazněji.</w:t>
      </w:r>
    </w:p>
    <w:p w14:paraId="0E614F24" w14:textId="7F4E1216" w:rsidR="00757B76" w:rsidRDefault="00757B76" w:rsidP="00917551">
      <w:pPr>
        <w:spacing w:line="240" w:lineRule="auto"/>
        <w:jc w:val="both"/>
      </w:pPr>
      <w:r>
        <w:t>Z hlediska vykonávaných ekonomických činností jsou pracující senioři ve</w:t>
      </w:r>
      <w:r w:rsidR="00D85519">
        <w:t> </w:t>
      </w:r>
      <w:r>
        <w:t>vyšší míře zastoupeni v některých odvětvích, zatímco v jiných je jich velmi málo. K těm prvním patří zejména z</w:t>
      </w:r>
      <w:r w:rsidRPr="007252FF">
        <w:t>dravotní a sociální péče</w:t>
      </w:r>
      <w:r>
        <w:t>, kde pracuje zhruba každý desátý senior (48 tis.), a v</w:t>
      </w:r>
      <w:r w:rsidRPr="007252FF">
        <w:t>zdělávání</w:t>
      </w:r>
      <w:r>
        <w:t xml:space="preserve">, kde jich je zaměstnáno 46 tis. Zhruba každý osmý pracující v těchto odvětvích </w:t>
      </w:r>
      <w:r w:rsidR="00322333">
        <w:t>je senior ve věku 60 a více let.</w:t>
      </w:r>
    </w:p>
    <w:p w14:paraId="784E3337" w14:textId="6E9296AE" w:rsidR="00757B76" w:rsidRDefault="00713DB9" w:rsidP="00917551">
      <w:pPr>
        <w:spacing w:line="240" w:lineRule="auto"/>
        <w:jc w:val="both"/>
      </w:pPr>
      <w:r>
        <w:t>Ke konci roku 2021 žil</w:t>
      </w:r>
      <w:r w:rsidR="00322333">
        <w:t>o bezmála 55 tisíc seniorů (2,7 </w:t>
      </w:r>
      <w:r>
        <w:t>% ze všech osob ve</w:t>
      </w:r>
      <w:r w:rsidR="00D85519">
        <w:t> </w:t>
      </w:r>
      <w:r w:rsidR="00322333">
        <w:t>věku </w:t>
      </w:r>
      <w:r>
        <w:t>66</w:t>
      </w:r>
      <w:r w:rsidR="00322333">
        <w:rPr>
          <w:rFonts w:eastAsiaTheme="minorHAnsi"/>
        </w:rPr>
        <w:t> </w:t>
      </w:r>
      <w:r w:rsidR="00322333">
        <w:t>a více let) v některém ze zařízení sociálních služeb. S</w:t>
      </w:r>
      <w:r>
        <w:t>e</w:t>
      </w:r>
      <w:r w:rsidR="00322333">
        <w:t xml:space="preserve"> z</w:t>
      </w:r>
      <w:r>
        <w:t>vy</w:t>
      </w:r>
      <w:r w:rsidR="00322333">
        <w:t>šují-</w:t>
      </w:r>
      <w:r>
        <w:t>cím se věkem se zastoupení osob výrazně zvyšuje.</w:t>
      </w:r>
    </w:p>
    <w:p w14:paraId="58D62037" w14:textId="1E1F0590" w:rsidR="00812A8E" w:rsidRDefault="00713DB9" w:rsidP="00917551">
      <w:pPr>
        <w:spacing w:line="240" w:lineRule="auto"/>
        <w:jc w:val="both"/>
      </w:pPr>
      <w:r w:rsidRPr="00E404F6">
        <w:t>Mezi starobními důchodci převažují ženy, z deseti osob pobírajících v roce 2021 starobní důchod bylo šest žen. Toto vyšší zastoupení žen mezi</w:t>
      </w:r>
      <w:r w:rsidR="00D85519">
        <w:t> </w:t>
      </w:r>
      <w:r w:rsidRPr="00E404F6">
        <w:t>důchodci souvisí jednak s tím, že se v průměru dožívají vyššího věku a také s tím</w:t>
      </w:r>
      <w:r w:rsidRPr="00CB60F7">
        <w:t>, že především v minulosti odcházely do důchodu dříve než muži.</w:t>
      </w:r>
    </w:p>
    <w:p w14:paraId="2725175E" w14:textId="77777777" w:rsidR="00812A8E" w:rsidRDefault="00812A8E">
      <w:pPr>
        <w:spacing w:after="0" w:line="240" w:lineRule="auto"/>
      </w:pPr>
      <w:r>
        <w:br w:type="page"/>
      </w:r>
    </w:p>
    <w:p w14:paraId="6890B7B8" w14:textId="79F2BE26" w:rsidR="000E6EF9" w:rsidRDefault="00E83B57" w:rsidP="00917551">
      <w:pPr>
        <w:spacing w:line="240" w:lineRule="auto"/>
        <w:jc w:val="both"/>
      </w:pPr>
      <w:r w:rsidRPr="00766A13">
        <w:lastRenderedPageBreak/>
        <w:t>Tři čtvrtiny (1</w:t>
      </w:r>
      <w:r>
        <w:t> </w:t>
      </w:r>
      <w:r w:rsidRPr="00766A13">
        <w:t>789</w:t>
      </w:r>
      <w:r>
        <w:t> </w:t>
      </w:r>
      <w:r w:rsidRPr="00766A13">
        <w:t>tis.) starobních důchodců pobíraly starobní důchod samostatně a zbylá jedna čtvrtina pobírala starobní důchod zároveň s pozůstalostním důchodem. Mezi muži a ženami se tento podíl ale výrazně liší. Zatímco ženy pobíraly starobní důchod v souběhu s vdovským důchodem v</w:t>
      </w:r>
      <w:r>
        <w:t> </w:t>
      </w:r>
      <w:r w:rsidRPr="00766A13">
        <w:t>35</w:t>
      </w:r>
      <w:r>
        <w:t> </w:t>
      </w:r>
      <w:r w:rsidRPr="00766A13">
        <w:t>% případů, mezi muži pobíraj</w:t>
      </w:r>
      <w:r>
        <w:t xml:space="preserve">ícími starobní důchod dostávala </w:t>
      </w:r>
      <w:r w:rsidRPr="00766A13">
        <w:t>zároveň vdovecký pouze desetina.</w:t>
      </w:r>
    </w:p>
    <w:p w14:paraId="21EC2912" w14:textId="2652056D" w:rsidR="00713DB9" w:rsidRDefault="00E83B57" w:rsidP="00917551">
      <w:pPr>
        <w:spacing w:line="240" w:lineRule="auto"/>
        <w:jc w:val="both"/>
      </w:pPr>
      <w:r>
        <w:t>Nejčastější pobytovou službou jsou domovy pro seniory, ve kterých žilo ke</w:t>
      </w:r>
      <w:r w:rsidR="00D85519">
        <w:t> </w:t>
      </w:r>
      <w:r>
        <w:t>konci roku 2021 celkem 33,8 tisíc osob (z toho 32,7 tis. ve věku 66 a více let), v domovech se zvláštním režimem to bylo téměř 21 tisíc osob (z toho 18,6 tisíce seniorů).</w:t>
      </w:r>
    </w:p>
    <w:p w14:paraId="06AD6D9E" w14:textId="2C77BB71" w:rsidR="00E83B57" w:rsidRDefault="00E83B57" w:rsidP="00917551">
      <w:pPr>
        <w:spacing w:line="240" w:lineRule="auto"/>
        <w:jc w:val="both"/>
      </w:pPr>
      <w:r w:rsidRPr="00624B22">
        <w:t>V prosinci roku 2021 bylo vyplaceno v Česku celkem 358 tisíc příspěvků na</w:t>
      </w:r>
      <w:r w:rsidR="00D85519">
        <w:t> </w:t>
      </w:r>
      <w:r w:rsidRPr="00624B22">
        <w:t>péči, z čehož 73</w:t>
      </w:r>
      <w:r w:rsidR="002E5FC0">
        <w:t> </w:t>
      </w:r>
      <w:r w:rsidRPr="00624B22">
        <w:t>% (260 tis.) bylo vyplaceno seniorům ve věku 60 a více let. V přepočtu na populaci mělo přiznaný nárok na tuto</w:t>
      </w:r>
      <w:r w:rsidR="002E5FC0">
        <w:t xml:space="preserve"> dávku celkem 9,4 </w:t>
      </w:r>
      <w:r w:rsidRPr="00624B22">
        <w:t>% seniorů ve věku 60 a více let.</w:t>
      </w:r>
    </w:p>
    <w:p w14:paraId="2FA895AE" w14:textId="51A094A8" w:rsidR="00E83B57" w:rsidRDefault="00E83B57" w:rsidP="00917551">
      <w:pPr>
        <w:spacing w:line="240" w:lineRule="auto"/>
        <w:jc w:val="both"/>
      </w:pPr>
      <w:r w:rsidRPr="00C7356E">
        <w:t xml:space="preserve">V prosinci roku 2021 bylo mezi seniory (ve věku 60 a více let) 292 tisíc držitelů průkazu osoby se zdravotním postižením. Z toho bylo 161 tisíc žen a </w:t>
      </w:r>
      <w:r w:rsidRPr="00142712">
        <w:t>131 tisíc mužů.</w:t>
      </w:r>
    </w:p>
    <w:p w14:paraId="27F6A1CA" w14:textId="77777777" w:rsidR="00F645A7" w:rsidRDefault="00F645A7" w:rsidP="00F645A7">
      <w:pPr>
        <w:spacing w:line="240" w:lineRule="auto"/>
        <w:jc w:val="both"/>
        <w:rPr>
          <w:rFonts w:cs="Arial"/>
          <w:bCs/>
          <w:color w:val="000000"/>
          <w:szCs w:val="20"/>
        </w:rPr>
      </w:pPr>
      <w:r w:rsidRPr="00F053A7">
        <w:rPr>
          <w:rFonts w:cs="Arial"/>
          <w:bCs/>
          <w:color w:val="000000"/>
          <w:szCs w:val="20"/>
        </w:rPr>
        <w:t xml:space="preserve">Prudký nástup internetu v posledních </w:t>
      </w:r>
      <w:r>
        <w:rPr>
          <w:rFonts w:cs="Arial"/>
          <w:bCs/>
          <w:color w:val="000000"/>
          <w:szCs w:val="20"/>
        </w:rPr>
        <w:t>l</w:t>
      </w:r>
      <w:r w:rsidRPr="00F053A7">
        <w:rPr>
          <w:rFonts w:cs="Arial"/>
          <w:bCs/>
          <w:color w:val="000000"/>
          <w:szCs w:val="20"/>
        </w:rPr>
        <w:t>etech přinesl fenomén, který nazýváme digitální propastí. Jedná se o zvyšování rozdílů mezi lidmi</w:t>
      </w:r>
      <w:r>
        <w:rPr>
          <w:rFonts w:cs="Arial"/>
          <w:bCs/>
          <w:color w:val="000000"/>
          <w:szCs w:val="20"/>
        </w:rPr>
        <w:t xml:space="preserve">, kteří používají internet k celé řadě činností a těmi, kteří toho nejsou schopni či ochotni. A právě senioři jsou hlavní skupinou </w:t>
      </w:r>
      <w:r w:rsidRPr="00F053A7">
        <w:rPr>
          <w:rFonts w:cs="Arial"/>
          <w:bCs/>
          <w:color w:val="000000"/>
          <w:szCs w:val="20"/>
        </w:rPr>
        <w:t>obyvatelstva, která je touto propastí nejvíce zasažena</w:t>
      </w:r>
      <w:r>
        <w:rPr>
          <w:rFonts w:cs="Arial"/>
          <w:bCs/>
          <w:color w:val="000000"/>
          <w:szCs w:val="20"/>
        </w:rPr>
        <w:t xml:space="preserve">. </w:t>
      </w:r>
      <w:r w:rsidRPr="00F053A7">
        <w:rPr>
          <w:rFonts w:cs="Arial"/>
          <w:bCs/>
          <w:color w:val="000000"/>
          <w:szCs w:val="20"/>
        </w:rPr>
        <w:t xml:space="preserve">V roce 2022 internet v Česku </w:t>
      </w:r>
      <w:r>
        <w:rPr>
          <w:rFonts w:cs="Arial"/>
          <w:bCs/>
          <w:color w:val="000000"/>
          <w:szCs w:val="20"/>
        </w:rPr>
        <w:t xml:space="preserve">nepoužívalo 1 300 tis. </w:t>
      </w:r>
      <w:r w:rsidRPr="00F053A7">
        <w:rPr>
          <w:rFonts w:cs="Arial"/>
          <w:bCs/>
          <w:color w:val="000000"/>
          <w:szCs w:val="20"/>
        </w:rPr>
        <w:t>obyvatel starších 16 let</w:t>
      </w:r>
      <w:r>
        <w:rPr>
          <w:rFonts w:cs="Arial"/>
          <w:bCs/>
          <w:color w:val="000000"/>
          <w:szCs w:val="20"/>
        </w:rPr>
        <w:t xml:space="preserve">, 1 100 tis. </w:t>
      </w:r>
      <w:r w:rsidRPr="00F053A7">
        <w:rPr>
          <w:rFonts w:cs="Arial"/>
          <w:bCs/>
          <w:color w:val="000000"/>
          <w:szCs w:val="20"/>
        </w:rPr>
        <w:t xml:space="preserve">z nich mělo </w:t>
      </w:r>
      <w:r>
        <w:rPr>
          <w:rFonts w:cs="Arial"/>
          <w:bCs/>
          <w:color w:val="000000"/>
          <w:szCs w:val="20"/>
        </w:rPr>
        <w:t>65</w:t>
      </w:r>
      <w:r w:rsidRPr="00F053A7">
        <w:rPr>
          <w:rFonts w:cs="Arial"/>
          <w:bCs/>
          <w:color w:val="000000"/>
          <w:szCs w:val="20"/>
        </w:rPr>
        <w:t xml:space="preserve"> a více let.</w:t>
      </w:r>
      <w:r>
        <w:rPr>
          <w:rFonts w:cs="Arial"/>
          <w:bCs/>
          <w:color w:val="000000"/>
          <w:szCs w:val="20"/>
        </w:rPr>
        <w:t xml:space="preserve"> </w:t>
      </w:r>
    </w:p>
    <w:p w14:paraId="3BA9860C" w14:textId="681D66CA" w:rsidR="00F645A7" w:rsidRDefault="00F645A7" w:rsidP="00F645A7">
      <w:pPr>
        <w:spacing w:line="240" w:lineRule="auto"/>
        <w:jc w:val="both"/>
        <w:rPr>
          <w:rFonts w:cs="Arial"/>
          <w:bCs/>
          <w:color w:val="000000"/>
          <w:szCs w:val="20"/>
        </w:rPr>
      </w:pPr>
      <w:r w:rsidRPr="00D13B61">
        <w:rPr>
          <w:rFonts w:cs="Arial"/>
          <w:bCs/>
          <w:color w:val="000000"/>
          <w:szCs w:val="20"/>
        </w:rPr>
        <w:t>Problémem může být i nepoužívání chytrého telefonu</w:t>
      </w:r>
      <w:r>
        <w:rPr>
          <w:rFonts w:cs="Arial"/>
          <w:bCs/>
          <w:color w:val="000000"/>
          <w:szCs w:val="20"/>
        </w:rPr>
        <w:t xml:space="preserve">, protože ten ve spojení </w:t>
      </w:r>
      <w:r w:rsidRPr="00D13B61">
        <w:rPr>
          <w:rFonts w:cs="Arial"/>
          <w:bCs/>
          <w:color w:val="000000"/>
          <w:szCs w:val="20"/>
        </w:rPr>
        <w:t>s</w:t>
      </w:r>
      <w:r>
        <w:rPr>
          <w:rFonts w:cs="Arial"/>
          <w:bCs/>
          <w:color w:val="000000"/>
          <w:szCs w:val="20"/>
        </w:rPr>
        <w:t xml:space="preserve"> aplikacemi dostupnými na internetu, </w:t>
      </w:r>
      <w:r w:rsidRPr="00ED3816">
        <w:rPr>
          <w:rFonts w:cs="Arial"/>
          <w:bCs/>
          <w:color w:val="000000"/>
          <w:szCs w:val="20"/>
        </w:rPr>
        <w:t xml:space="preserve">je v posledních letech hlavní hnací silou dalšího rozvoje digitalizace společnosti. </w:t>
      </w:r>
      <w:r>
        <w:rPr>
          <w:rFonts w:cs="Arial"/>
          <w:bCs/>
          <w:color w:val="000000"/>
          <w:szCs w:val="20"/>
        </w:rPr>
        <w:t>V</w:t>
      </w:r>
      <w:r w:rsidRPr="00D13B61">
        <w:rPr>
          <w:rFonts w:cs="Arial"/>
          <w:bCs/>
          <w:color w:val="000000"/>
          <w:szCs w:val="20"/>
        </w:rPr>
        <w:t xml:space="preserve">e věku 16 až 44 let má chytrý telefon a internet v mobilu používá, až na výjimky téměř každý. Oproti tomu v případě lidí starších </w:t>
      </w:r>
      <w:r>
        <w:rPr>
          <w:rFonts w:cs="Arial"/>
          <w:bCs/>
          <w:color w:val="000000"/>
          <w:szCs w:val="20"/>
        </w:rPr>
        <w:t>65</w:t>
      </w:r>
      <w:r w:rsidRPr="00D13B61">
        <w:rPr>
          <w:rFonts w:cs="Arial"/>
          <w:bCs/>
          <w:color w:val="000000"/>
          <w:szCs w:val="20"/>
        </w:rPr>
        <w:t xml:space="preserve"> let využívá </w:t>
      </w:r>
      <w:r>
        <w:rPr>
          <w:rFonts w:cs="Arial"/>
          <w:bCs/>
          <w:color w:val="000000"/>
          <w:szCs w:val="20"/>
        </w:rPr>
        <w:t xml:space="preserve">toto spojení 30 % z nich a u nejstarších spoluobčanů (75+) používá internet v mobilu jen 15 % osob. Tito lidé jsou taky významně omezeni </w:t>
      </w:r>
      <w:r w:rsidRPr="00ED3816">
        <w:rPr>
          <w:rFonts w:cs="Arial"/>
          <w:bCs/>
          <w:color w:val="000000"/>
          <w:szCs w:val="20"/>
        </w:rPr>
        <w:t>z používání některých služeb</w:t>
      </w:r>
      <w:r>
        <w:rPr>
          <w:rFonts w:cs="Arial"/>
          <w:bCs/>
          <w:color w:val="000000"/>
          <w:szCs w:val="20"/>
        </w:rPr>
        <w:t xml:space="preserve">, jako bylo například objednání se na očkování či při komunikaci s úřady online. </w:t>
      </w:r>
    </w:p>
    <w:p w14:paraId="4AFD4739" w14:textId="77777777" w:rsidR="00F645A7" w:rsidRDefault="00F645A7">
      <w:pPr>
        <w:spacing w:after="0" w:line="240" w:lineRule="auto"/>
        <w:rPr>
          <w:rFonts w:cs="Arial"/>
          <w:bCs/>
          <w:color w:val="000000"/>
          <w:szCs w:val="20"/>
        </w:rPr>
      </w:pPr>
      <w:r>
        <w:rPr>
          <w:rFonts w:cs="Arial"/>
          <w:bCs/>
          <w:color w:val="000000"/>
          <w:szCs w:val="20"/>
        </w:rPr>
        <w:br w:type="page"/>
      </w:r>
    </w:p>
    <w:p w14:paraId="1873CB2C" w14:textId="0EC39B66" w:rsidR="00F645A7" w:rsidRPr="00F645A7" w:rsidRDefault="00F645A7" w:rsidP="00917551">
      <w:pPr>
        <w:spacing w:line="240" w:lineRule="auto"/>
        <w:jc w:val="both"/>
        <w:rPr>
          <w:rFonts w:cs="Arial"/>
          <w:bCs/>
          <w:color w:val="000000"/>
          <w:szCs w:val="20"/>
        </w:rPr>
      </w:pPr>
      <w:r>
        <w:rPr>
          <w:rFonts w:cs="Arial"/>
          <w:bCs/>
          <w:color w:val="000000"/>
          <w:szCs w:val="20"/>
        </w:rPr>
        <w:lastRenderedPageBreak/>
        <w:t>Zatímco v mladších věkových kategoriích již v posledních letech podíly uživatelů internetu kolísají těsně pod hranicí 100 %, u starších ročníků je používání internetu stále na vzestupu a daleko před saturací.</w:t>
      </w:r>
      <w:r w:rsidRPr="00F053A7">
        <w:rPr>
          <w:rFonts w:cs="Arial"/>
          <w:bCs/>
          <w:color w:val="000000"/>
          <w:szCs w:val="20"/>
        </w:rPr>
        <w:t xml:space="preserve"> Za posledních pět let u osob nad 65 let vzrostl podíl těch, co používají internet z jedné třetiny v roce 2017 na jednu polovinu v roce 2022. </w:t>
      </w:r>
      <w:r>
        <w:rPr>
          <w:rFonts w:cs="Arial"/>
          <w:bCs/>
          <w:color w:val="000000"/>
          <w:szCs w:val="20"/>
        </w:rPr>
        <w:t xml:space="preserve">Ve věku 65 až 74 let internet používá internet dokonce již 60 % osob. </w:t>
      </w:r>
    </w:p>
    <w:p w14:paraId="46A199E5" w14:textId="52C30955" w:rsidR="00322333" w:rsidRDefault="00917551" w:rsidP="00917551">
      <w:pPr>
        <w:spacing w:line="240" w:lineRule="auto"/>
        <w:jc w:val="both"/>
      </w:pPr>
      <w:r w:rsidRPr="00CC7453">
        <w:t>Senioři používají internet nejčastěji ke čtení zpravodajství (44</w:t>
      </w:r>
      <w:r w:rsidR="002E5FC0">
        <w:t> </w:t>
      </w:r>
      <w:r w:rsidRPr="00CC7453">
        <w:t>% seniorů), zasílání e-mailů (41</w:t>
      </w:r>
      <w:r w:rsidR="002E5FC0">
        <w:t> </w:t>
      </w:r>
      <w:r w:rsidRPr="00CC7453">
        <w:t>%), vyhledávání informací o zboží či službách (39</w:t>
      </w:r>
      <w:r w:rsidR="002E5FC0">
        <w:t> </w:t>
      </w:r>
      <w:r w:rsidRPr="00CC7453">
        <w:t>%) a vyh</w:t>
      </w:r>
      <w:r w:rsidR="002E5FC0">
        <w:t>ledávání informací o zdraví (37 </w:t>
      </w:r>
      <w:r w:rsidR="002A6027">
        <w:t>%). I </w:t>
      </w:r>
      <w:r w:rsidRPr="00CC7453">
        <w:t>mezi seniory se najde určité procento osob, které provádí na internetu složitější činnosti. Např. internetové bankovnictví obsluhuje téměř třetina seniorů.</w:t>
      </w:r>
    </w:p>
    <w:p w14:paraId="2CC17258" w14:textId="77777777" w:rsidR="00322333" w:rsidRDefault="00322333">
      <w:pPr>
        <w:spacing w:after="0" w:line="240" w:lineRule="auto"/>
      </w:pPr>
      <w:r>
        <w:br w:type="page"/>
      </w:r>
    </w:p>
    <w:p w14:paraId="1A1FD558" w14:textId="77777777" w:rsidR="00985206" w:rsidRDefault="00985206" w:rsidP="007A0ACD">
      <w:pPr>
        <w:pStyle w:val="Nadpis1"/>
        <w:spacing w:after="240"/>
      </w:pPr>
      <w:bookmarkStart w:id="53" w:name="_Toc90293555"/>
      <w:bookmarkStart w:id="54" w:name="_Toc121211651"/>
      <w:r>
        <w:lastRenderedPageBreak/>
        <w:t>Seznam grafů a tabulek</w:t>
      </w:r>
      <w:bookmarkEnd w:id="53"/>
      <w:bookmarkEnd w:id="54"/>
    </w:p>
    <w:p w14:paraId="524851A2" w14:textId="77777777" w:rsidR="00985206" w:rsidRPr="007A47F5" w:rsidRDefault="00985206" w:rsidP="007A0ACD">
      <w:pPr>
        <w:pStyle w:val="Nadpis2"/>
        <w:spacing w:after="240"/>
      </w:pPr>
      <w:bookmarkStart w:id="55" w:name="_Toc90293556"/>
      <w:bookmarkStart w:id="56" w:name="_Toc121211652"/>
      <w:r w:rsidRPr="007A47F5">
        <w:t>Grafy</w:t>
      </w:r>
      <w:bookmarkEnd w:id="55"/>
      <w:bookmarkEnd w:id="56"/>
    </w:p>
    <w:p w14:paraId="50635E99" w14:textId="77777777" w:rsidR="00945D5E" w:rsidRPr="009828CE" w:rsidRDefault="00945D5E" w:rsidP="00945D5E">
      <w:pPr>
        <w:pStyle w:val="Bezmezer"/>
        <w:rPr>
          <w:noProof/>
          <w:szCs w:val="20"/>
        </w:rPr>
      </w:pPr>
      <w:r w:rsidRPr="008909C0">
        <w:rPr>
          <w:b/>
          <w:noProof/>
          <w:szCs w:val="20"/>
        </w:rPr>
        <w:t>1.1</w:t>
      </w:r>
      <w:r w:rsidRPr="009828CE">
        <w:rPr>
          <w:noProof/>
          <w:szCs w:val="20"/>
        </w:rPr>
        <w:t xml:space="preserve"> </w:t>
      </w:r>
      <w:r w:rsidRPr="004B7074">
        <w:t>Počet a podíl seniorů 65+ v populac</w:t>
      </w:r>
      <w:r>
        <w:t>i v letech 1980–2021</w:t>
      </w:r>
    </w:p>
    <w:p w14:paraId="0F30F61E" w14:textId="77777777" w:rsidR="00945D5E" w:rsidRPr="004B7074" w:rsidRDefault="00945D5E" w:rsidP="00945D5E">
      <w:pPr>
        <w:pStyle w:val="Bezmezer"/>
        <w:ind w:left="284" w:hanging="284"/>
        <w:rPr>
          <w:rFonts w:cs="Arial"/>
          <w:noProof/>
          <w:szCs w:val="20"/>
        </w:rPr>
      </w:pPr>
      <w:r w:rsidRPr="008909C0">
        <w:rPr>
          <w:rFonts w:cs="Arial"/>
          <w:b/>
          <w:noProof/>
          <w:szCs w:val="20"/>
        </w:rPr>
        <w:t>1.2</w:t>
      </w:r>
      <w:r w:rsidRPr="009828CE">
        <w:rPr>
          <w:rFonts w:cs="Arial"/>
          <w:noProof/>
          <w:szCs w:val="20"/>
        </w:rPr>
        <w:t xml:space="preserve"> </w:t>
      </w:r>
      <w:r w:rsidRPr="004B7074">
        <w:t xml:space="preserve">Počet osob ve věku 65+ let na 100 dětí ve věku 0–14 let (index stáří) </w:t>
      </w:r>
      <w:r>
        <w:br/>
        <w:t xml:space="preserve"> </w:t>
      </w:r>
      <w:r w:rsidRPr="004B7074">
        <w:t>a počet osob ve věku 20–64 let na 1 osobu ve věku 65+ let v letech 19</w:t>
      </w:r>
      <w:r>
        <w:t>80–2021</w:t>
      </w:r>
    </w:p>
    <w:p w14:paraId="645E8AE7" w14:textId="77777777" w:rsidR="00945D5E" w:rsidRDefault="00945D5E" w:rsidP="00945D5E">
      <w:pPr>
        <w:pStyle w:val="Bezmezer"/>
      </w:pPr>
      <w:r w:rsidRPr="008909C0">
        <w:rPr>
          <w:rFonts w:cs="Arial"/>
          <w:b/>
          <w:noProof/>
          <w:szCs w:val="20"/>
        </w:rPr>
        <w:t>1.3</w:t>
      </w:r>
      <w:r w:rsidRPr="009828CE">
        <w:rPr>
          <w:rFonts w:cs="Arial"/>
          <w:noProof/>
          <w:szCs w:val="20"/>
        </w:rPr>
        <w:t xml:space="preserve"> </w:t>
      </w:r>
      <w:r w:rsidRPr="004B7074">
        <w:t>Senioři 65+ podle věku, pohlaví a rodinného stavu k 31. 12. 2021</w:t>
      </w:r>
    </w:p>
    <w:p w14:paraId="1A03ADFE" w14:textId="77777777" w:rsidR="00945D5E" w:rsidRDefault="00945D5E" w:rsidP="00945D5E">
      <w:pPr>
        <w:pStyle w:val="Bezmezer"/>
        <w:ind w:left="284" w:hanging="284"/>
      </w:pPr>
      <w:r w:rsidRPr="00C60C2B">
        <w:rPr>
          <w:b/>
        </w:rPr>
        <w:t>1.4</w:t>
      </w:r>
      <w:r w:rsidRPr="00C60C2B">
        <w:t xml:space="preserve"> Míry stěhování </w:t>
      </w:r>
      <w:r>
        <w:t xml:space="preserve">seniorů 65+ </w:t>
      </w:r>
      <w:r w:rsidRPr="00C60C2B">
        <w:t xml:space="preserve">mezi obcemi České </w:t>
      </w:r>
      <w:r>
        <w:t xml:space="preserve">republiky v pětiletých věkových </w:t>
      </w:r>
      <w:r w:rsidRPr="00C60C2B">
        <w:t>skupinách v </w:t>
      </w:r>
      <w:r>
        <w:t>roce</w:t>
      </w:r>
      <w:r w:rsidRPr="00C60C2B">
        <w:t xml:space="preserve"> 2021</w:t>
      </w:r>
    </w:p>
    <w:p w14:paraId="1A36963C" w14:textId="77777777" w:rsidR="00945D5E" w:rsidRDefault="00945D5E" w:rsidP="00945D5E">
      <w:pPr>
        <w:pStyle w:val="Bezmezer"/>
        <w:ind w:left="284" w:hanging="284"/>
      </w:pPr>
      <w:r w:rsidRPr="00401684">
        <w:rPr>
          <w:b/>
        </w:rPr>
        <w:t>1.5</w:t>
      </w:r>
      <w:r>
        <w:t xml:space="preserve"> </w:t>
      </w:r>
      <w:r w:rsidRPr="00401684">
        <w:t xml:space="preserve">Míry úmrtnosti seniorů </w:t>
      </w:r>
      <w:r>
        <w:t xml:space="preserve">65+ </w:t>
      </w:r>
      <w:r w:rsidRPr="00401684">
        <w:t xml:space="preserve">v pětiletých věkových skupinách v letech </w:t>
      </w:r>
      <w:r>
        <w:br/>
        <w:t xml:space="preserve"> </w:t>
      </w:r>
      <w:r w:rsidRPr="00401684">
        <w:t>2017–2021</w:t>
      </w:r>
    </w:p>
    <w:p w14:paraId="3B2E2EAC" w14:textId="77777777" w:rsidR="00945D5E" w:rsidRPr="00115C8A" w:rsidRDefault="00945D5E" w:rsidP="00945D5E">
      <w:pPr>
        <w:spacing w:after="60" w:line="240" w:lineRule="auto"/>
        <w:ind w:left="284" w:hanging="284"/>
      </w:pPr>
      <w:r w:rsidRPr="00115C8A">
        <w:rPr>
          <w:b/>
        </w:rPr>
        <w:t>1.6</w:t>
      </w:r>
      <w:r>
        <w:t xml:space="preserve"> </w:t>
      </w:r>
      <w:r w:rsidRPr="00115C8A">
        <w:t xml:space="preserve">Zemřelí </w:t>
      </w:r>
      <w:r>
        <w:t xml:space="preserve">senioři 65+ </w:t>
      </w:r>
      <w:r w:rsidRPr="00115C8A">
        <w:t xml:space="preserve">v letech 2019, 2020 a 2021 podle příčin smrti </w:t>
      </w:r>
      <w:r w:rsidRPr="00115C8A">
        <w:br/>
      </w:r>
      <w:r>
        <w:t xml:space="preserve"> </w:t>
      </w:r>
      <w:r w:rsidRPr="00115C8A">
        <w:t>(15 nejčetnějších příčin v roce 2021)</w:t>
      </w:r>
    </w:p>
    <w:p w14:paraId="5A510A27" w14:textId="1CC591F8" w:rsidR="00985206" w:rsidRPr="004B7074" w:rsidRDefault="00985206" w:rsidP="00917551">
      <w:pPr>
        <w:pStyle w:val="Bezmezer"/>
        <w:rPr>
          <w:rFonts w:cs="Arial"/>
          <w:noProof/>
          <w:szCs w:val="20"/>
        </w:rPr>
      </w:pPr>
    </w:p>
    <w:p w14:paraId="71FF526E" w14:textId="30691871" w:rsidR="00985206" w:rsidRPr="00115C8A" w:rsidRDefault="00985206" w:rsidP="00D12FBE">
      <w:pPr>
        <w:spacing w:before="60" w:after="0" w:line="240" w:lineRule="auto"/>
        <w:ind w:left="284" w:hanging="284"/>
        <w:rPr>
          <w:b/>
        </w:rPr>
      </w:pPr>
      <w:r w:rsidRPr="008909C0">
        <w:rPr>
          <w:b/>
          <w:noProof/>
          <w:szCs w:val="20"/>
        </w:rPr>
        <w:t>2.1</w:t>
      </w:r>
      <w:r w:rsidRPr="009828CE">
        <w:rPr>
          <w:noProof/>
          <w:szCs w:val="20"/>
        </w:rPr>
        <w:t xml:space="preserve"> </w:t>
      </w:r>
      <w:r w:rsidR="00115C8A" w:rsidRPr="00115C8A">
        <w:t>Podíl obyvatel podle obce prvního</w:t>
      </w:r>
      <w:r w:rsidR="00D12FBE">
        <w:t xml:space="preserve"> obvyklého bydliště po narození</w:t>
      </w:r>
      <w:r w:rsidR="00D12FBE">
        <w:br/>
        <w:t xml:space="preserve"> </w:t>
      </w:r>
      <w:r w:rsidR="00115C8A" w:rsidRPr="00115C8A">
        <w:t>ve</w:t>
      </w:r>
      <w:r w:rsidR="00115C8A">
        <w:t> </w:t>
      </w:r>
      <w:r w:rsidR="00115C8A" w:rsidRPr="00115C8A">
        <w:t>věkových</w:t>
      </w:r>
      <w:r w:rsidR="00603BB3">
        <w:t xml:space="preserve"> skupinách podle Sčítání 2021</w:t>
      </w:r>
    </w:p>
    <w:p w14:paraId="6B0A451D" w14:textId="0592CF9E" w:rsidR="00985206" w:rsidRPr="009828CE" w:rsidRDefault="00985206" w:rsidP="00D12FBE">
      <w:pPr>
        <w:pStyle w:val="Bezmezer"/>
        <w:ind w:left="284" w:hanging="284"/>
        <w:rPr>
          <w:noProof/>
          <w:szCs w:val="20"/>
        </w:rPr>
      </w:pPr>
      <w:r w:rsidRPr="008909C0">
        <w:rPr>
          <w:b/>
          <w:noProof/>
          <w:szCs w:val="20"/>
        </w:rPr>
        <w:t>2.2</w:t>
      </w:r>
      <w:r w:rsidRPr="009828CE">
        <w:rPr>
          <w:noProof/>
          <w:szCs w:val="20"/>
        </w:rPr>
        <w:t xml:space="preserve"> </w:t>
      </w:r>
      <w:r w:rsidR="009963A2" w:rsidRPr="009963A2">
        <w:t xml:space="preserve">Podíl seniorů podle obce prvního obvyklého bydliště po narození </w:t>
      </w:r>
      <w:r w:rsidR="00D12FBE">
        <w:br/>
        <w:t xml:space="preserve"> </w:t>
      </w:r>
      <w:r w:rsidR="00603BB3">
        <w:t>v krajích podle Sčítání 2021</w:t>
      </w:r>
    </w:p>
    <w:p w14:paraId="20268E34" w14:textId="45C15CEB" w:rsidR="009963A2" w:rsidRDefault="00985206" w:rsidP="00D12FBE">
      <w:pPr>
        <w:spacing w:line="240" w:lineRule="auto"/>
        <w:ind w:left="284" w:hanging="284"/>
      </w:pPr>
      <w:r w:rsidRPr="008909C0">
        <w:rPr>
          <w:b/>
          <w:noProof/>
          <w:szCs w:val="20"/>
        </w:rPr>
        <w:t>2.3</w:t>
      </w:r>
      <w:r w:rsidRPr="009828CE">
        <w:rPr>
          <w:noProof/>
          <w:szCs w:val="20"/>
        </w:rPr>
        <w:t xml:space="preserve"> </w:t>
      </w:r>
      <w:r w:rsidR="009963A2" w:rsidRPr="009963A2">
        <w:t xml:space="preserve">Podíl seniorů podle obce prvního obvyklého bydliště po narození </w:t>
      </w:r>
      <w:r w:rsidR="00D12FBE">
        <w:br/>
        <w:t xml:space="preserve"> </w:t>
      </w:r>
      <w:r w:rsidR="009963A2" w:rsidRPr="009963A2">
        <w:t>ve velikostních skup</w:t>
      </w:r>
      <w:r w:rsidR="00603BB3">
        <w:t>inách obcí podle Sčítání 2021</w:t>
      </w:r>
    </w:p>
    <w:p w14:paraId="0514E783" w14:textId="77777777" w:rsidR="00B91C8F" w:rsidRDefault="00B91C8F" w:rsidP="00B91C8F">
      <w:pPr>
        <w:spacing w:after="0" w:line="240" w:lineRule="auto"/>
        <w:ind w:left="284" w:hanging="284"/>
      </w:pPr>
    </w:p>
    <w:p w14:paraId="788CA5F4" w14:textId="45372E4A" w:rsidR="00985206" w:rsidRPr="009828CE" w:rsidRDefault="00985206" w:rsidP="00917551">
      <w:pPr>
        <w:pStyle w:val="Bezmezer"/>
      </w:pPr>
      <w:r w:rsidRPr="008909C0">
        <w:rPr>
          <w:b/>
        </w:rPr>
        <w:t>3.1</w:t>
      </w:r>
      <w:r w:rsidRPr="009828CE">
        <w:t xml:space="preserve"> </w:t>
      </w:r>
      <w:r w:rsidR="009963A2" w:rsidRPr="009963A2">
        <w:rPr>
          <w:rFonts w:eastAsia="Calibri" w:cs="Arial"/>
          <w:color w:val="000000"/>
          <w:szCs w:val="20"/>
        </w:rPr>
        <w:t>Hospodařící domácnosti se seniory podle počtu osob v roce 2021</w:t>
      </w:r>
    </w:p>
    <w:p w14:paraId="46C7813E" w14:textId="17146531" w:rsidR="00985206" w:rsidRPr="009828CE" w:rsidRDefault="00985206" w:rsidP="00D12FBE">
      <w:pPr>
        <w:pStyle w:val="Bezmezer"/>
        <w:ind w:left="284" w:hanging="284"/>
      </w:pPr>
      <w:r w:rsidRPr="008909C0">
        <w:rPr>
          <w:b/>
        </w:rPr>
        <w:t>3.2</w:t>
      </w:r>
      <w:r w:rsidRPr="009828CE">
        <w:t xml:space="preserve"> </w:t>
      </w:r>
      <w:r w:rsidR="009963A2" w:rsidRPr="009963A2">
        <w:rPr>
          <w:rFonts w:eastAsia="Calibri" w:cs="Arial"/>
          <w:color w:val="000000"/>
          <w:szCs w:val="20"/>
        </w:rPr>
        <w:t>Roční čisté peněžní příjmy domácno</w:t>
      </w:r>
      <w:r w:rsidR="00D12FBE">
        <w:rPr>
          <w:rFonts w:eastAsia="Calibri" w:cs="Arial"/>
          <w:color w:val="000000"/>
          <w:szCs w:val="20"/>
        </w:rPr>
        <w:t>stí na osobu v letech 2016–2020</w:t>
      </w:r>
      <w:r w:rsidR="00D12FBE">
        <w:rPr>
          <w:rFonts w:eastAsia="Calibri" w:cs="Arial"/>
          <w:color w:val="000000"/>
          <w:szCs w:val="20"/>
        </w:rPr>
        <w:br/>
        <w:t xml:space="preserve"> </w:t>
      </w:r>
      <w:r w:rsidR="009963A2" w:rsidRPr="009963A2">
        <w:rPr>
          <w:rFonts w:eastAsia="Calibri" w:cs="Arial"/>
          <w:color w:val="000000"/>
          <w:szCs w:val="20"/>
        </w:rPr>
        <w:t>podle vybraných typů domácnosti</w:t>
      </w:r>
    </w:p>
    <w:p w14:paraId="6EB60E3F" w14:textId="72B4C82F" w:rsidR="00985206" w:rsidRDefault="00985206" w:rsidP="00D12FBE">
      <w:pPr>
        <w:pStyle w:val="Bezmezer"/>
        <w:ind w:left="284" w:hanging="284"/>
      </w:pPr>
      <w:r w:rsidRPr="008909C0">
        <w:rPr>
          <w:b/>
        </w:rPr>
        <w:t>3.3</w:t>
      </w:r>
      <w:r w:rsidRPr="009828CE">
        <w:t xml:space="preserve"> </w:t>
      </w:r>
      <w:r w:rsidR="002C5541" w:rsidRPr="002C5541">
        <w:rPr>
          <w:rFonts w:cs="Arial"/>
          <w:szCs w:val="20"/>
        </w:rPr>
        <w:t>Schopnost domácností vych</w:t>
      </w:r>
      <w:r w:rsidR="00D12FBE">
        <w:rPr>
          <w:rFonts w:cs="Arial"/>
          <w:szCs w:val="20"/>
        </w:rPr>
        <w:t>ázet se svými příjmy podle typu</w:t>
      </w:r>
      <w:r w:rsidR="00D12FBE">
        <w:rPr>
          <w:rFonts w:cs="Arial"/>
          <w:szCs w:val="20"/>
        </w:rPr>
        <w:br/>
        <w:t xml:space="preserve"> d</w:t>
      </w:r>
      <w:r w:rsidR="002C5541" w:rsidRPr="002C5541">
        <w:rPr>
          <w:rFonts w:cs="Arial"/>
          <w:szCs w:val="20"/>
        </w:rPr>
        <w:t>o</w:t>
      </w:r>
      <w:r w:rsidR="00603BB3">
        <w:rPr>
          <w:rFonts w:cs="Arial"/>
          <w:szCs w:val="20"/>
        </w:rPr>
        <w:t>mácnosti v letech 2020 a 2021</w:t>
      </w:r>
    </w:p>
    <w:p w14:paraId="00845294" w14:textId="1DFB4AD5" w:rsidR="00471416" w:rsidRDefault="00985206" w:rsidP="00D12FBE">
      <w:pPr>
        <w:pStyle w:val="Bezmezer"/>
        <w:ind w:left="284" w:hanging="284"/>
        <w:rPr>
          <w:b/>
        </w:rPr>
      </w:pPr>
      <w:r w:rsidRPr="008909C0">
        <w:rPr>
          <w:b/>
        </w:rPr>
        <w:t>3.4</w:t>
      </w:r>
      <w:r w:rsidRPr="009828CE">
        <w:t xml:space="preserve"> </w:t>
      </w:r>
      <w:r w:rsidR="00471416" w:rsidRPr="00471416">
        <w:rPr>
          <w:rFonts w:cs="Arial"/>
          <w:szCs w:val="20"/>
        </w:rPr>
        <w:t>Podíl osob ohrožených příjmov</w:t>
      </w:r>
      <w:r w:rsidR="00D12FBE">
        <w:rPr>
          <w:rFonts w:cs="Arial"/>
          <w:szCs w:val="20"/>
        </w:rPr>
        <w:t>ou chudobou ve vybraných typech</w:t>
      </w:r>
      <w:r w:rsidR="00D12FBE">
        <w:rPr>
          <w:rFonts w:cs="Arial"/>
          <w:szCs w:val="20"/>
        </w:rPr>
        <w:br/>
        <w:t xml:space="preserve"> </w:t>
      </w:r>
      <w:r w:rsidR="00471416" w:rsidRPr="00471416">
        <w:rPr>
          <w:rFonts w:cs="Arial"/>
          <w:szCs w:val="20"/>
        </w:rPr>
        <w:t>domácností v letech 2020 a 2021</w:t>
      </w:r>
    </w:p>
    <w:p w14:paraId="6D3883A1" w14:textId="740E6CBB" w:rsidR="00985206" w:rsidRDefault="00985206" w:rsidP="00D12FBE">
      <w:pPr>
        <w:pStyle w:val="Bezmezer"/>
        <w:ind w:left="284" w:hanging="284"/>
      </w:pPr>
      <w:r w:rsidRPr="008909C0">
        <w:rPr>
          <w:b/>
        </w:rPr>
        <w:t>3.5</w:t>
      </w:r>
      <w:r w:rsidRPr="009828CE">
        <w:t xml:space="preserve"> </w:t>
      </w:r>
      <w:r w:rsidR="004A483E" w:rsidRPr="004A483E">
        <w:rPr>
          <w:rFonts w:cs="Arial"/>
          <w:szCs w:val="20"/>
        </w:rPr>
        <w:t>Míra materiální a sociální deprivace</w:t>
      </w:r>
      <w:r w:rsidR="00D12FBE">
        <w:rPr>
          <w:rFonts w:cs="Arial"/>
          <w:szCs w:val="20"/>
        </w:rPr>
        <w:t xml:space="preserve"> podle typu domácnosti v letech</w:t>
      </w:r>
      <w:r w:rsidR="00D12FBE">
        <w:rPr>
          <w:rFonts w:cs="Arial"/>
          <w:szCs w:val="20"/>
        </w:rPr>
        <w:br/>
        <w:t xml:space="preserve"> </w:t>
      </w:r>
      <w:r w:rsidR="004A483E" w:rsidRPr="004A483E">
        <w:rPr>
          <w:rFonts w:cs="Arial"/>
          <w:szCs w:val="20"/>
        </w:rPr>
        <w:t>2020 a 2021</w:t>
      </w:r>
    </w:p>
    <w:p w14:paraId="2C1EB19F" w14:textId="1B8FB780" w:rsidR="00985206" w:rsidRDefault="00985206" w:rsidP="00D12FBE">
      <w:pPr>
        <w:pStyle w:val="Titulek"/>
        <w:keepNext/>
        <w:spacing w:line="240" w:lineRule="auto"/>
        <w:ind w:left="284" w:hanging="284"/>
        <w:rPr>
          <w:b w:val="0"/>
        </w:rPr>
      </w:pPr>
      <w:r w:rsidRPr="008909C0">
        <w:t>4.</w:t>
      </w:r>
      <w:fldSimple w:instr=" SEQ Obrázek \* ARABIC ">
        <w:r w:rsidR="00A0046C">
          <w:rPr>
            <w:noProof/>
          </w:rPr>
          <w:t>1</w:t>
        </w:r>
      </w:fldSimple>
      <w:r w:rsidR="00A5422F">
        <w:rPr>
          <w:rFonts w:eastAsiaTheme="minorHAnsi"/>
          <w:b w:val="0"/>
          <w:color w:val="auto"/>
          <w:sz w:val="22"/>
          <w:szCs w:val="22"/>
          <w:lang w:eastAsia="en-US"/>
        </w:rPr>
        <w:t xml:space="preserve"> </w:t>
      </w:r>
      <w:r w:rsidR="006E709D">
        <w:rPr>
          <w:b w:val="0"/>
        </w:rPr>
        <w:t>V</w:t>
      </w:r>
      <w:r w:rsidR="006E709D" w:rsidRPr="00456F8A">
        <w:rPr>
          <w:b w:val="0"/>
        </w:rPr>
        <w:t>ýdaje zdravotních pojišťoven</w:t>
      </w:r>
      <w:r w:rsidR="006E709D">
        <w:rPr>
          <w:b w:val="0"/>
        </w:rPr>
        <w:t xml:space="preserve"> na léčbu seniorů</w:t>
      </w:r>
      <w:r w:rsidR="006E709D" w:rsidRPr="00456F8A">
        <w:rPr>
          <w:b w:val="0"/>
        </w:rPr>
        <w:t xml:space="preserve"> </w:t>
      </w:r>
      <w:r w:rsidR="006E709D">
        <w:rPr>
          <w:b w:val="0"/>
        </w:rPr>
        <w:t>ve věku 65+</w:t>
      </w:r>
      <w:r w:rsidR="00D12FBE">
        <w:rPr>
          <w:b w:val="0"/>
        </w:rPr>
        <w:br/>
        <w:t xml:space="preserve"> </w:t>
      </w:r>
      <w:r w:rsidR="006E709D">
        <w:rPr>
          <w:b w:val="0"/>
        </w:rPr>
        <w:t>podle</w:t>
      </w:r>
      <w:r w:rsidR="004F5ECD">
        <w:rPr>
          <w:b w:val="0"/>
        </w:rPr>
        <w:t> </w:t>
      </w:r>
      <w:r w:rsidR="002A6027">
        <w:rPr>
          <w:b w:val="0"/>
        </w:rPr>
        <w:t>pohlaví</w:t>
      </w:r>
    </w:p>
    <w:p w14:paraId="1C7BAE54" w14:textId="4B144094" w:rsidR="00917551" w:rsidRPr="00917551" w:rsidRDefault="00985206" w:rsidP="004F5ECD">
      <w:pPr>
        <w:spacing w:line="240" w:lineRule="auto"/>
      </w:pPr>
      <w:r w:rsidRPr="004F5ECD">
        <w:rPr>
          <w:b/>
        </w:rPr>
        <w:t>4.</w:t>
      </w:r>
      <w:r w:rsidR="00115C8A" w:rsidRPr="004F5ECD">
        <w:rPr>
          <w:b/>
        </w:rPr>
        <w:fldChar w:fldCharType="begin"/>
      </w:r>
      <w:r w:rsidR="00115C8A" w:rsidRPr="004F5ECD">
        <w:rPr>
          <w:b/>
        </w:rPr>
        <w:instrText xml:space="preserve"> SEQ Obrázek \* ARABIC </w:instrText>
      </w:r>
      <w:r w:rsidR="00115C8A" w:rsidRPr="004F5ECD">
        <w:rPr>
          <w:b/>
        </w:rPr>
        <w:fldChar w:fldCharType="separate"/>
      </w:r>
      <w:r w:rsidR="00A0046C">
        <w:rPr>
          <w:b/>
          <w:noProof/>
        </w:rPr>
        <w:t>2</w:t>
      </w:r>
      <w:r w:rsidR="00115C8A" w:rsidRPr="004F5ECD">
        <w:rPr>
          <w:b/>
          <w:noProof/>
        </w:rPr>
        <w:fldChar w:fldCharType="end"/>
      </w:r>
      <w:r w:rsidRPr="003D15A1">
        <w:rPr>
          <w:b/>
        </w:rPr>
        <w:t xml:space="preserve"> </w:t>
      </w:r>
      <w:r w:rsidR="004F5ECD" w:rsidRPr="004F5ECD">
        <w:t xml:space="preserve">Průměrné výdaje zdravotních </w:t>
      </w:r>
      <w:r w:rsidR="00D12FBE">
        <w:t>pojišťoven na jednoho obyvatele</w:t>
      </w:r>
      <w:r w:rsidR="00D12FBE">
        <w:br/>
        <w:t xml:space="preserve">      </w:t>
      </w:r>
      <w:r w:rsidR="004F5ECD" w:rsidRPr="004F5ECD">
        <w:t>podle</w:t>
      </w:r>
      <w:r w:rsidR="004F5ECD">
        <w:t> </w:t>
      </w:r>
      <w:r w:rsidR="00603BB3">
        <w:t>věku a pohlaví v roce 2020</w:t>
      </w:r>
      <w:r w:rsidR="004F5ECD">
        <w:br/>
      </w:r>
      <w:r w:rsidR="004F5ECD" w:rsidRPr="004F5ECD">
        <w:rPr>
          <w:b/>
        </w:rPr>
        <w:t>4.3</w:t>
      </w:r>
      <w:r w:rsidR="004F5ECD">
        <w:t xml:space="preserve"> </w:t>
      </w:r>
      <w:r w:rsidR="004F5ECD" w:rsidRPr="00281941">
        <w:t xml:space="preserve">Průměrné výdaje zdravotních </w:t>
      </w:r>
      <w:r w:rsidR="00D12FBE">
        <w:t>pojišťoven na jednoho obyvatele</w:t>
      </w:r>
      <w:r w:rsidR="00D12FBE">
        <w:br/>
        <w:t xml:space="preserve">      </w:t>
      </w:r>
      <w:r w:rsidR="004F5ECD" w:rsidRPr="00281941">
        <w:t>u nejnákladnějších diagnóz podle věku</w:t>
      </w:r>
      <w:r w:rsidR="004F5ECD">
        <w:t xml:space="preserve"> v roce 2020</w:t>
      </w:r>
      <w:r w:rsidR="004F5ECD">
        <w:br/>
      </w:r>
      <w:r w:rsidR="004F5ECD" w:rsidRPr="004F5ECD">
        <w:rPr>
          <w:b/>
        </w:rPr>
        <w:lastRenderedPageBreak/>
        <w:t>4.4</w:t>
      </w:r>
      <w:r w:rsidR="004F5ECD">
        <w:t xml:space="preserve"> </w:t>
      </w:r>
      <w:r w:rsidR="004F5ECD" w:rsidRPr="006E709D">
        <w:t>Struktura výdajů zdravotních pojišťov</w:t>
      </w:r>
      <w:r w:rsidR="00D12FBE">
        <w:t>en za péči o seniory podle věku</w:t>
      </w:r>
      <w:r w:rsidR="00D12FBE">
        <w:br/>
        <w:t xml:space="preserve">      </w:t>
      </w:r>
      <w:r w:rsidR="004F5ECD" w:rsidRPr="006E709D">
        <w:t>a</w:t>
      </w:r>
      <w:r w:rsidR="004F5ECD">
        <w:t> </w:t>
      </w:r>
      <w:r w:rsidR="00603BB3">
        <w:t>skupin diagnóz v roce 2020</w:t>
      </w:r>
      <w:r w:rsidR="004F5ECD">
        <w:br/>
      </w:r>
      <w:r w:rsidR="004F5ECD" w:rsidRPr="004F5ECD">
        <w:rPr>
          <w:b/>
        </w:rPr>
        <w:t>4.5</w:t>
      </w:r>
      <w:r w:rsidR="004F5ECD">
        <w:t xml:space="preserve"> </w:t>
      </w:r>
      <w:r w:rsidR="004F5ECD" w:rsidRPr="004F5ECD">
        <w:t>Výdaje na zdravotní péči n</w:t>
      </w:r>
      <w:r w:rsidR="00D12FBE">
        <w:t>a jednoho obyvatele ve věku 65+</w:t>
      </w:r>
      <w:r w:rsidR="00D12FBE">
        <w:br/>
        <w:t xml:space="preserve">      </w:t>
      </w:r>
      <w:r w:rsidR="004F5ECD" w:rsidRPr="004F5ECD">
        <w:t>podle</w:t>
      </w:r>
      <w:r w:rsidR="004F5ECD">
        <w:t> </w:t>
      </w:r>
      <w:r w:rsidR="004F5ECD" w:rsidRPr="004F5ECD">
        <w:t>pohlaví a kraje</w:t>
      </w:r>
      <w:r w:rsidR="00603BB3">
        <w:t xml:space="preserve"> trvalého bydliště v roce 2020</w:t>
      </w:r>
    </w:p>
    <w:p w14:paraId="34E6832F" w14:textId="0762079D" w:rsidR="00985206" w:rsidRDefault="00985206" w:rsidP="00917551">
      <w:pPr>
        <w:pStyle w:val="Bezmezer"/>
      </w:pPr>
      <w:r w:rsidRPr="008909C0">
        <w:rPr>
          <w:b/>
          <w:noProof/>
        </w:rPr>
        <w:t>5.1</w:t>
      </w:r>
      <w:r w:rsidRPr="003D15A1">
        <w:rPr>
          <w:noProof/>
        </w:rPr>
        <w:t xml:space="preserve"> </w:t>
      </w:r>
      <w:r w:rsidR="00FA1162" w:rsidRPr="00A47B8B">
        <w:rPr>
          <w:bCs/>
        </w:rPr>
        <w:t>Míry ekonomické aktiv</w:t>
      </w:r>
      <w:r w:rsidR="00603BB3">
        <w:rPr>
          <w:bCs/>
        </w:rPr>
        <w:t>ity v 2. čtvrtletí 2012 a 2022</w:t>
      </w:r>
    </w:p>
    <w:p w14:paraId="546A89CA" w14:textId="77777777" w:rsidR="00E26C7C" w:rsidRDefault="00E26C7C" w:rsidP="00917551">
      <w:pPr>
        <w:pStyle w:val="Bezmezer"/>
        <w:rPr>
          <w:b/>
          <w:noProof/>
        </w:rPr>
      </w:pPr>
    </w:p>
    <w:p w14:paraId="1D8CEA87" w14:textId="665EF1A1" w:rsidR="00985206" w:rsidRPr="00F10597" w:rsidRDefault="00985206" w:rsidP="00F10597">
      <w:pPr>
        <w:spacing w:after="0" w:line="240" w:lineRule="auto"/>
        <w:jc w:val="both"/>
        <w:rPr>
          <w:b/>
        </w:rPr>
      </w:pPr>
      <w:r w:rsidRPr="00D74D3D">
        <w:rPr>
          <w:b/>
          <w:noProof/>
        </w:rPr>
        <w:t>6.1</w:t>
      </w:r>
      <w:r>
        <w:rPr>
          <w:noProof/>
        </w:rPr>
        <w:t xml:space="preserve"> </w:t>
      </w:r>
      <w:r w:rsidR="00F10597" w:rsidRPr="00F10597">
        <w:t>Příjemci důchodů podle druhu důc</w:t>
      </w:r>
      <w:r w:rsidR="00603BB3">
        <w:t>hodu k 31. 12. 2021</w:t>
      </w:r>
    </w:p>
    <w:p w14:paraId="420E0C9E" w14:textId="7E3570BF" w:rsidR="00985206" w:rsidRPr="00F10597" w:rsidRDefault="00985206" w:rsidP="00F10597">
      <w:pPr>
        <w:spacing w:after="0" w:line="240" w:lineRule="auto"/>
        <w:jc w:val="both"/>
        <w:rPr>
          <w:b/>
        </w:rPr>
      </w:pPr>
      <w:r w:rsidRPr="00D74D3D">
        <w:rPr>
          <w:b/>
        </w:rPr>
        <w:t>6.2</w:t>
      </w:r>
      <w:r>
        <w:t xml:space="preserve"> </w:t>
      </w:r>
      <w:r w:rsidR="00F10597" w:rsidRPr="00F10597">
        <w:t>Příjemci starobních důchodů podle pohlaví a věku k 31. 12. 2021</w:t>
      </w:r>
    </w:p>
    <w:p w14:paraId="3006DF7E" w14:textId="6891A9A0" w:rsidR="00985206" w:rsidRDefault="00985206" w:rsidP="00917551">
      <w:pPr>
        <w:pStyle w:val="Bezmezer"/>
      </w:pPr>
      <w:r w:rsidRPr="00995C16">
        <w:rPr>
          <w:b/>
        </w:rPr>
        <w:t>6.3</w:t>
      </w:r>
      <w:r>
        <w:t xml:space="preserve"> </w:t>
      </w:r>
      <w:r w:rsidR="00F10597" w:rsidRPr="00F10597">
        <w:t>Příjemci starobních důchodů podle měsíční výše k 31. 12. 2021</w:t>
      </w:r>
    </w:p>
    <w:p w14:paraId="12B8B34D" w14:textId="7AF29306" w:rsidR="00985206" w:rsidRDefault="00985206" w:rsidP="00917551">
      <w:pPr>
        <w:pStyle w:val="Bezmezer"/>
      </w:pPr>
      <w:r w:rsidRPr="00995C16">
        <w:rPr>
          <w:b/>
        </w:rPr>
        <w:t>6.4</w:t>
      </w:r>
      <w:r>
        <w:t xml:space="preserve"> </w:t>
      </w:r>
      <w:r w:rsidR="003C624E" w:rsidRPr="003C624E">
        <w:t>Struktura příjemců starobních důc</w:t>
      </w:r>
      <w:r w:rsidR="00D12FBE">
        <w:t>hodů podle měsíční výše důchodu</w:t>
      </w:r>
      <w:r w:rsidR="00D12FBE">
        <w:br/>
        <w:t xml:space="preserve">      </w:t>
      </w:r>
      <w:r w:rsidR="00603BB3">
        <w:t>k 31. 12. 2021</w:t>
      </w:r>
      <w:r w:rsidR="003C624E">
        <w:br/>
      </w:r>
      <w:r w:rsidR="003C624E" w:rsidRPr="003C624E">
        <w:rPr>
          <w:b/>
        </w:rPr>
        <w:t>6.5</w:t>
      </w:r>
      <w:r w:rsidR="003C624E">
        <w:t xml:space="preserve"> </w:t>
      </w:r>
      <w:r w:rsidR="003C624E" w:rsidRPr="003C624E">
        <w:rPr>
          <w:noProof/>
        </w:rPr>
        <w:t>Klienti pobytových zařízení sociálních služeb podle věku k 31. 12. 2021</w:t>
      </w:r>
      <w:r w:rsidR="003C624E">
        <w:rPr>
          <w:noProof/>
        </w:rPr>
        <w:br/>
      </w:r>
      <w:r w:rsidR="003C624E" w:rsidRPr="003C624E">
        <w:rPr>
          <w:b/>
          <w:noProof/>
        </w:rPr>
        <w:t>6.6</w:t>
      </w:r>
      <w:r w:rsidR="003C624E">
        <w:rPr>
          <w:noProof/>
        </w:rPr>
        <w:t xml:space="preserve"> </w:t>
      </w:r>
      <w:r w:rsidR="003C624E" w:rsidRPr="003C624E">
        <w:rPr>
          <w:noProof/>
        </w:rPr>
        <w:t>Struktura klientů vybraných pobyto</w:t>
      </w:r>
      <w:r w:rsidR="00D12FBE">
        <w:rPr>
          <w:noProof/>
        </w:rPr>
        <w:t>vých zařízení sociálních služeb</w:t>
      </w:r>
      <w:r w:rsidR="00D12FBE">
        <w:rPr>
          <w:noProof/>
        </w:rPr>
        <w:br/>
        <w:t xml:space="preserve">      </w:t>
      </w:r>
      <w:r w:rsidR="003C624E" w:rsidRPr="003C624E">
        <w:rPr>
          <w:noProof/>
        </w:rPr>
        <w:t>podle věku k 31. 12. 2021</w:t>
      </w:r>
      <w:r w:rsidR="00D962C2">
        <w:rPr>
          <w:noProof/>
        </w:rPr>
        <w:br/>
      </w:r>
      <w:r w:rsidR="00D962C2" w:rsidRPr="00D962C2">
        <w:rPr>
          <w:b/>
          <w:noProof/>
        </w:rPr>
        <w:t>6.7</w:t>
      </w:r>
      <w:r w:rsidR="00D962C2">
        <w:rPr>
          <w:noProof/>
        </w:rPr>
        <w:t xml:space="preserve"> </w:t>
      </w:r>
      <w:r w:rsidR="00D962C2" w:rsidRPr="00D962C2">
        <w:t>Podíl osob s příspěvkem na péči podle pohlaví a věku, v prosinci 2021</w:t>
      </w:r>
    </w:p>
    <w:p w14:paraId="1CD26A9F" w14:textId="7101E0F4" w:rsidR="00D962C2" w:rsidRDefault="00D962C2" w:rsidP="00917551">
      <w:pPr>
        <w:pStyle w:val="Bezmezer"/>
      </w:pPr>
      <w:r w:rsidRPr="00CB2167">
        <w:rPr>
          <w:b/>
        </w:rPr>
        <w:t>6.8</w:t>
      </w:r>
      <w:r>
        <w:t xml:space="preserve"> </w:t>
      </w:r>
      <w:r w:rsidR="00CB2167" w:rsidRPr="00CB2167">
        <w:t>Vyplacené příspěvky na péči podle stupně závislosti osobám ve v</w:t>
      </w:r>
      <w:r w:rsidR="00D12FBE">
        <w:t>ěku</w:t>
      </w:r>
      <w:r w:rsidR="00D12FBE">
        <w:br/>
        <w:t xml:space="preserve">      </w:t>
      </w:r>
      <w:r w:rsidR="00603BB3">
        <w:t>60 a více let</w:t>
      </w:r>
      <w:r w:rsidR="00CB2167" w:rsidRPr="00CB2167">
        <w:t xml:space="preserve"> v prosinci 2021</w:t>
      </w:r>
    </w:p>
    <w:p w14:paraId="476DD62B" w14:textId="50F60BDF" w:rsidR="00CB2167" w:rsidRDefault="00CB2167" w:rsidP="00CB2167">
      <w:pPr>
        <w:spacing w:after="0" w:line="240" w:lineRule="auto"/>
        <w:rPr>
          <w:noProof/>
        </w:rPr>
      </w:pPr>
      <w:r w:rsidRPr="00CB2167">
        <w:rPr>
          <w:b/>
        </w:rPr>
        <w:t>6.9</w:t>
      </w:r>
      <w:r>
        <w:t xml:space="preserve"> </w:t>
      </w:r>
      <w:r w:rsidRPr="00CB2167">
        <w:t>Držitelé průkazu osob se zdravotním postižením v prosinci 2021</w:t>
      </w:r>
    </w:p>
    <w:p w14:paraId="15C4417C" w14:textId="314254B1" w:rsidR="00985206" w:rsidRPr="0034577A" w:rsidRDefault="00985206" w:rsidP="00917551">
      <w:pPr>
        <w:spacing w:before="120" w:after="0" w:line="240" w:lineRule="auto"/>
        <w:rPr>
          <w:b/>
        </w:rPr>
      </w:pPr>
      <w:r>
        <w:rPr>
          <w:b/>
        </w:rPr>
        <w:t>8.</w:t>
      </w:r>
      <w:r w:rsidR="00A5422F">
        <w:rPr>
          <w:b/>
        </w:rPr>
        <w:t>1</w:t>
      </w:r>
      <w:r>
        <w:rPr>
          <w:b/>
        </w:rPr>
        <w:t xml:space="preserve"> </w:t>
      </w:r>
      <w:r w:rsidR="00A5422F" w:rsidRPr="00A5422F">
        <w:t>Senioři starší 65 let používající mobilní telefon</w:t>
      </w:r>
    </w:p>
    <w:p w14:paraId="132B43E6" w14:textId="67D0D29C" w:rsidR="00A5422F" w:rsidRDefault="00985206" w:rsidP="00A5422F">
      <w:pPr>
        <w:pStyle w:val="Bezmezer"/>
        <w:rPr>
          <w:b/>
          <w:noProof/>
        </w:rPr>
      </w:pPr>
      <w:r>
        <w:rPr>
          <w:b/>
          <w:noProof/>
        </w:rPr>
        <w:t>8.</w:t>
      </w:r>
      <w:r w:rsidR="00A5422F">
        <w:rPr>
          <w:b/>
          <w:noProof/>
        </w:rPr>
        <w:t>2</w:t>
      </w:r>
      <w:r>
        <w:rPr>
          <w:b/>
          <w:noProof/>
        </w:rPr>
        <w:t xml:space="preserve"> </w:t>
      </w:r>
      <w:r w:rsidR="00A5422F" w:rsidRPr="00A5422F">
        <w:t>Senioři používající internet podle věku</w:t>
      </w:r>
      <w:r w:rsidR="00A5422F" w:rsidRPr="0034577A">
        <w:rPr>
          <w:b/>
          <w:noProof/>
        </w:rPr>
        <w:t xml:space="preserve"> </w:t>
      </w:r>
    </w:p>
    <w:p w14:paraId="74F76CA6" w14:textId="0DE2CA42" w:rsidR="00A5422F" w:rsidRDefault="00A5422F" w:rsidP="00D12FBE">
      <w:pPr>
        <w:pStyle w:val="Bezmezer"/>
        <w:ind w:left="284" w:hanging="284"/>
        <w:rPr>
          <w:b/>
          <w:noProof/>
        </w:rPr>
      </w:pPr>
      <w:r>
        <w:rPr>
          <w:b/>
          <w:noProof/>
        </w:rPr>
        <w:t xml:space="preserve">8.3 </w:t>
      </w:r>
      <w:r w:rsidRPr="00A5422F">
        <w:t>Senioři ve věku 65–74 let používající i</w:t>
      </w:r>
      <w:r w:rsidR="00D12FBE">
        <w:t>nternet ve vybraných státech EU</w:t>
      </w:r>
      <w:r w:rsidR="00D12FBE">
        <w:br/>
        <w:t xml:space="preserve"> </w:t>
      </w:r>
      <w:r w:rsidRPr="00A5422F">
        <w:t>v roce 2021</w:t>
      </w:r>
      <w:r>
        <w:rPr>
          <w:b/>
          <w:noProof/>
        </w:rPr>
        <w:t xml:space="preserve"> </w:t>
      </w:r>
    </w:p>
    <w:p w14:paraId="43F465C0" w14:textId="526B8593" w:rsidR="00D12FBE" w:rsidRDefault="00A5422F" w:rsidP="00A5422F">
      <w:pPr>
        <w:pStyle w:val="Bezmezer"/>
      </w:pPr>
      <w:r>
        <w:rPr>
          <w:b/>
          <w:noProof/>
        </w:rPr>
        <w:t xml:space="preserve">8.4 </w:t>
      </w:r>
      <w:r w:rsidRPr="00A5422F">
        <w:t>Senioři a vybrané aktivity na internetu podle věku v roce 2022</w:t>
      </w:r>
    </w:p>
    <w:p w14:paraId="01F04A4C" w14:textId="77777777" w:rsidR="00D12FBE" w:rsidRDefault="00D12FBE">
      <w:pPr>
        <w:spacing w:after="0" w:line="240" w:lineRule="auto"/>
      </w:pPr>
      <w:r>
        <w:br w:type="page"/>
      </w:r>
    </w:p>
    <w:p w14:paraId="5FF80C16" w14:textId="77777777" w:rsidR="00985206" w:rsidRPr="007A47F5" w:rsidRDefault="00985206" w:rsidP="007A0ACD">
      <w:pPr>
        <w:pStyle w:val="Nadpis2"/>
        <w:spacing w:after="240"/>
      </w:pPr>
      <w:bookmarkStart w:id="57" w:name="_Toc90293557"/>
      <w:bookmarkStart w:id="58" w:name="_Toc121211653"/>
      <w:r w:rsidRPr="007A47F5">
        <w:lastRenderedPageBreak/>
        <w:t>Tabulky</w:t>
      </w:r>
      <w:bookmarkEnd w:id="57"/>
      <w:bookmarkEnd w:id="58"/>
    </w:p>
    <w:p w14:paraId="490801CB" w14:textId="3213B175" w:rsidR="00985206" w:rsidRPr="003143AD" w:rsidRDefault="00985206" w:rsidP="004B7074">
      <w:pPr>
        <w:pStyle w:val="Bezmezer"/>
      </w:pPr>
      <w:r w:rsidRPr="008909C0">
        <w:rPr>
          <w:b/>
        </w:rPr>
        <w:t>1.1</w:t>
      </w:r>
      <w:r w:rsidRPr="003143AD">
        <w:t xml:space="preserve"> </w:t>
      </w:r>
      <w:r w:rsidR="004B7074">
        <w:t>Senioři 65+ podle věku</w:t>
      </w:r>
      <w:r w:rsidR="002A6027">
        <w:t xml:space="preserve"> ve vybraných letech</w:t>
      </w:r>
    </w:p>
    <w:p w14:paraId="669D74F6" w14:textId="52FF92A2" w:rsidR="00985206" w:rsidRDefault="00985206" w:rsidP="00C60C2B">
      <w:pPr>
        <w:pStyle w:val="Bezmezer"/>
      </w:pPr>
      <w:r w:rsidRPr="008909C0">
        <w:rPr>
          <w:b/>
        </w:rPr>
        <w:t>1.2</w:t>
      </w:r>
      <w:r w:rsidRPr="003143AD">
        <w:t xml:space="preserve"> </w:t>
      </w:r>
      <w:r w:rsidR="00C60C2B">
        <w:t>Demografické události seniorů 65+ ve vybraných letech</w:t>
      </w:r>
    </w:p>
    <w:p w14:paraId="31A9437E" w14:textId="1C831225" w:rsidR="00115C8A" w:rsidRDefault="00115C8A" w:rsidP="00C60C2B">
      <w:pPr>
        <w:pStyle w:val="Bezmezer"/>
      </w:pPr>
    </w:p>
    <w:p w14:paraId="65B97DAF" w14:textId="0762D267" w:rsidR="00115C8A" w:rsidRPr="00ED266A" w:rsidRDefault="00115C8A" w:rsidP="00D12FBE">
      <w:pPr>
        <w:spacing w:before="60" w:after="0" w:line="240" w:lineRule="auto"/>
        <w:ind w:left="284" w:hanging="284"/>
        <w:rPr>
          <w:b/>
        </w:rPr>
      </w:pPr>
      <w:r w:rsidRPr="00115C8A">
        <w:rPr>
          <w:b/>
        </w:rPr>
        <w:t>2.1</w:t>
      </w:r>
      <w:r w:rsidRPr="00115C8A">
        <w:t xml:space="preserve"> Podíl obyvatel podle prvního obvyk</w:t>
      </w:r>
      <w:r w:rsidR="00D12FBE">
        <w:t>lého bydliště po narození podle</w:t>
      </w:r>
      <w:r w:rsidR="00D12FBE">
        <w:br/>
        <w:t xml:space="preserve"> </w:t>
      </w:r>
      <w:r w:rsidR="002A6027">
        <w:t>Sčítání 2021</w:t>
      </w:r>
    </w:p>
    <w:p w14:paraId="419CF61B" w14:textId="77777777" w:rsidR="00985206" w:rsidRPr="003143AD" w:rsidRDefault="00985206" w:rsidP="00917551">
      <w:pPr>
        <w:pStyle w:val="Bezmezer"/>
      </w:pPr>
    </w:p>
    <w:p w14:paraId="6D973F58" w14:textId="424875CF" w:rsidR="007E32EC" w:rsidRDefault="00985206" w:rsidP="00D12FBE">
      <w:pPr>
        <w:pStyle w:val="Bezmezer"/>
        <w:ind w:left="284" w:hanging="284"/>
        <w:rPr>
          <w:b/>
          <w:noProof/>
        </w:rPr>
      </w:pPr>
      <w:r w:rsidRPr="008909C0">
        <w:rPr>
          <w:rFonts w:cs="Arial"/>
          <w:b/>
          <w:szCs w:val="20"/>
        </w:rPr>
        <w:t>5.1</w:t>
      </w:r>
      <w:r w:rsidRPr="003D15A1">
        <w:rPr>
          <w:rFonts w:cs="Arial"/>
          <w:szCs w:val="20"/>
        </w:rPr>
        <w:t xml:space="preserve"> </w:t>
      </w:r>
      <w:r w:rsidR="007E32EC" w:rsidRPr="007E32EC">
        <w:t>Počet pracujících seniorů v ekonomických</w:t>
      </w:r>
      <w:r w:rsidR="00D12FBE">
        <w:t xml:space="preserve"> sektorech ve 2. čtvrtletí 2012</w:t>
      </w:r>
      <w:r w:rsidR="00D12FBE">
        <w:br/>
        <w:t xml:space="preserve"> </w:t>
      </w:r>
      <w:r w:rsidR="002A6027">
        <w:t>a 2022</w:t>
      </w:r>
    </w:p>
    <w:p w14:paraId="12439D71" w14:textId="77777777" w:rsidR="00985206" w:rsidRDefault="00985206" w:rsidP="00917551">
      <w:pPr>
        <w:pStyle w:val="Bezmezer"/>
        <w:rPr>
          <w:noProof/>
        </w:rPr>
      </w:pPr>
    </w:p>
    <w:p w14:paraId="46FBA4A2" w14:textId="7EE6CDFD" w:rsidR="00985206" w:rsidRDefault="00985206" w:rsidP="00917551">
      <w:pPr>
        <w:pStyle w:val="Bezmezer"/>
        <w:rPr>
          <w:noProof/>
        </w:rPr>
      </w:pPr>
      <w:r>
        <w:rPr>
          <w:b/>
        </w:rPr>
        <w:t>7</w:t>
      </w:r>
      <w:r w:rsidRPr="008909C0">
        <w:rPr>
          <w:b/>
        </w:rPr>
        <w:t>.1</w:t>
      </w:r>
      <w:r w:rsidRPr="003143AD">
        <w:t xml:space="preserve"> </w:t>
      </w:r>
      <w:r w:rsidR="00C9214C" w:rsidRPr="00C9214C">
        <w:rPr>
          <w:rFonts w:cs="Arial"/>
          <w:bCs/>
          <w:color w:val="000000"/>
          <w:szCs w:val="20"/>
        </w:rPr>
        <w:t>Počet obětí kriminality</w:t>
      </w:r>
    </w:p>
    <w:p w14:paraId="3E52D998" w14:textId="437FE4E5" w:rsidR="00D12FBE" w:rsidRDefault="00985206" w:rsidP="00D12FBE">
      <w:pPr>
        <w:spacing w:after="0" w:line="240" w:lineRule="auto"/>
        <w:ind w:left="284" w:hanging="284"/>
        <w:contextualSpacing/>
        <w:rPr>
          <w:rFonts w:cs="Arial"/>
          <w:bCs/>
          <w:color w:val="000000"/>
          <w:szCs w:val="20"/>
          <w:lang w:eastAsia="en-US"/>
        </w:rPr>
      </w:pPr>
      <w:r>
        <w:rPr>
          <w:b/>
        </w:rPr>
        <w:t>7</w:t>
      </w:r>
      <w:r w:rsidRPr="008909C0">
        <w:rPr>
          <w:b/>
        </w:rPr>
        <w:t>.2</w:t>
      </w:r>
      <w:r w:rsidRPr="003143AD">
        <w:t xml:space="preserve"> </w:t>
      </w:r>
      <w:r w:rsidR="00C9214C" w:rsidRPr="00C9214C">
        <w:rPr>
          <w:rFonts w:cs="Arial"/>
          <w:bCs/>
          <w:color w:val="000000"/>
          <w:szCs w:val="20"/>
          <w:lang w:eastAsia="en-US"/>
        </w:rPr>
        <w:t>Senioři jako oběti vybra</w:t>
      </w:r>
      <w:r w:rsidR="00D12FBE">
        <w:rPr>
          <w:rFonts w:cs="Arial"/>
          <w:bCs/>
          <w:color w:val="000000"/>
          <w:szCs w:val="20"/>
          <w:lang w:eastAsia="en-US"/>
        </w:rPr>
        <w:t>ných trestných činů ve srovnání s celkovou</w:t>
      </w:r>
      <w:r w:rsidR="00D12FBE">
        <w:rPr>
          <w:rFonts w:cs="Arial"/>
          <w:bCs/>
          <w:color w:val="000000"/>
          <w:szCs w:val="20"/>
          <w:lang w:eastAsia="en-US"/>
        </w:rPr>
        <w:br/>
        <w:t xml:space="preserve"> </w:t>
      </w:r>
      <w:r w:rsidR="00C9214C" w:rsidRPr="00C9214C">
        <w:rPr>
          <w:rFonts w:cs="Arial"/>
          <w:bCs/>
          <w:color w:val="000000"/>
          <w:szCs w:val="20"/>
          <w:lang w:eastAsia="en-US"/>
        </w:rPr>
        <w:t>populací v roce 2021</w:t>
      </w:r>
    </w:p>
    <w:p w14:paraId="1C7D00D5" w14:textId="77777777" w:rsidR="00D12FBE" w:rsidRDefault="00D12FBE">
      <w:pPr>
        <w:spacing w:after="0" w:line="240" w:lineRule="auto"/>
        <w:rPr>
          <w:rFonts w:cs="Arial"/>
          <w:bCs/>
          <w:color w:val="000000"/>
          <w:szCs w:val="20"/>
          <w:lang w:eastAsia="en-US"/>
        </w:rPr>
      </w:pPr>
      <w:r>
        <w:rPr>
          <w:rFonts w:cs="Arial"/>
          <w:bCs/>
          <w:color w:val="000000"/>
          <w:szCs w:val="20"/>
          <w:lang w:eastAsia="en-US"/>
        </w:rPr>
        <w:br w:type="page"/>
      </w:r>
    </w:p>
    <w:p w14:paraId="6AEB7821" w14:textId="77777777" w:rsidR="005D66EB" w:rsidRPr="002A380E" w:rsidRDefault="005D66EB" w:rsidP="005D66EB">
      <w:pPr>
        <w:pStyle w:val="Nadpis1"/>
        <w:spacing w:after="240"/>
      </w:pPr>
      <w:bookmarkStart w:id="59" w:name="_Toc93307271"/>
      <w:bookmarkStart w:id="60" w:name="_Toc121211654"/>
      <w:r>
        <w:lastRenderedPageBreak/>
        <w:t>Seznam autorů publikace</w:t>
      </w:r>
      <w:bookmarkEnd w:id="59"/>
      <w:bookmarkEnd w:id="60"/>
    </w:p>
    <w:p w14:paraId="666C7D4D" w14:textId="580B8FE5" w:rsidR="005D66EB" w:rsidRPr="005A32A1" w:rsidRDefault="005D66EB" w:rsidP="005D66EB">
      <w:pPr>
        <w:pStyle w:val="Bezmezer"/>
        <w:spacing w:line="360" w:lineRule="auto"/>
        <w:rPr>
          <w:rFonts w:cs="Arial"/>
          <w:szCs w:val="20"/>
        </w:rPr>
      </w:pPr>
      <w:r w:rsidRPr="005A32A1">
        <w:rPr>
          <w:rFonts w:cs="Arial"/>
          <w:szCs w:val="20"/>
        </w:rPr>
        <w:t xml:space="preserve">Mgr. </w:t>
      </w:r>
      <w:r>
        <w:rPr>
          <w:rFonts w:cs="Arial"/>
          <w:szCs w:val="20"/>
        </w:rPr>
        <w:t>Nikola Čermáková:</w:t>
      </w:r>
      <w:r w:rsidRPr="005A32A1">
        <w:rPr>
          <w:rFonts w:cs="Arial"/>
          <w:szCs w:val="20"/>
        </w:rPr>
        <w:t xml:space="preserve"> Oddělení statistiky vzdělávání, zdravotnictví, kultury a sociálního zabezpečení</w:t>
      </w:r>
      <w:r>
        <w:rPr>
          <w:rFonts w:cs="Arial"/>
          <w:szCs w:val="20"/>
        </w:rPr>
        <w:t xml:space="preserve">, Kapitola </w:t>
      </w:r>
      <w:r w:rsidR="00671BF2">
        <w:rPr>
          <w:rFonts w:cs="Arial"/>
          <w:szCs w:val="20"/>
        </w:rPr>
        <w:t>4</w:t>
      </w:r>
    </w:p>
    <w:p w14:paraId="5B55F506" w14:textId="215735CF" w:rsidR="005D66EB" w:rsidRDefault="005D66EB" w:rsidP="005D66EB">
      <w:pPr>
        <w:pStyle w:val="Bezmezer"/>
        <w:spacing w:line="360" w:lineRule="auto"/>
        <w:rPr>
          <w:rFonts w:cs="Arial"/>
          <w:szCs w:val="20"/>
        </w:rPr>
      </w:pPr>
      <w:r w:rsidRPr="005A32A1">
        <w:rPr>
          <w:rFonts w:cs="Arial"/>
          <w:szCs w:val="20"/>
        </w:rPr>
        <w:t xml:space="preserve">Ing. </w:t>
      </w:r>
      <w:r>
        <w:rPr>
          <w:rFonts w:cs="Arial"/>
          <w:szCs w:val="20"/>
        </w:rPr>
        <w:t>Táňa Dvornáková:</w:t>
      </w:r>
      <w:r w:rsidRPr="005A32A1">
        <w:rPr>
          <w:rFonts w:cs="Arial"/>
          <w:szCs w:val="20"/>
        </w:rPr>
        <w:t xml:space="preserve"> Oddělení sociálních šetření, Kapitola </w:t>
      </w:r>
      <w:r w:rsidR="00671BF2">
        <w:rPr>
          <w:rFonts w:cs="Arial"/>
          <w:szCs w:val="20"/>
        </w:rPr>
        <w:t>3</w:t>
      </w:r>
    </w:p>
    <w:p w14:paraId="0BA5BDBA" w14:textId="5687D56D" w:rsidR="005D66EB" w:rsidRDefault="005D66EB" w:rsidP="005D66EB">
      <w:pPr>
        <w:pStyle w:val="Bezmezer"/>
        <w:spacing w:line="360" w:lineRule="auto"/>
        <w:rPr>
          <w:rFonts w:cs="Arial"/>
          <w:szCs w:val="20"/>
        </w:rPr>
      </w:pPr>
      <w:r w:rsidRPr="00B06040">
        <w:rPr>
          <w:rFonts w:cs="Arial"/>
          <w:szCs w:val="20"/>
        </w:rPr>
        <w:t>Mgr. Dalibor Holý, Oddělení pracovních sil, migrace a rovných příležitostí</w:t>
      </w:r>
      <w:r>
        <w:rPr>
          <w:rFonts w:cs="Arial"/>
          <w:szCs w:val="20"/>
        </w:rPr>
        <w:t>, Kapitola 5</w:t>
      </w:r>
    </w:p>
    <w:p w14:paraId="706C342D" w14:textId="5AC8D4D1" w:rsidR="005D66EB" w:rsidRPr="005A32A1" w:rsidRDefault="005D66EB" w:rsidP="005D66EB">
      <w:pPr>
        <w:pStyle w:val="Bezmezer"/>
        <w:spacing w:line="360" w:lineRule="auto"/>
        <w:rPr>
          <w:rFonts w:cs="Arial"/>
          <w:szCs w:val="20"/>
        </w:rPr>
      </w:pPr>
      <w:r w:rsidRPr="005A32A1">
        <w:rPr>
          <w:rFonts w:cs="Arial"/>
          <w:szCs w:val="20"/>
        </w:rPr>
        <w:t>Mgr. Romana Lojková: Oddělení statistiky vzdělávání, zdravotnictví, kultury a sociálního zabezpečení</w:t>
      </w:r>
      <w:r>
        <w:rPr>
          <w:rFonts w:cs="Arial"/>
          <w:szCs w:val="20"/>
        </w:rPr>
        <w:t xml:space="preserve">, Kapitola </w:t>
      </w:r>
      <w:r w:rsidR="00945D5E">
        <w:rPr>
          <w:rFonts w:cs="Arial"/>
          <w:szCs w:val="20"/>
        </w:rPr>
        <w:t>4</w:t>
      </w:r>
    </w:p>
    <w:p w14:paraId="021A979D" w14:textId="77777777" w:rsidR="005D66EB" w:rsidRDefault="005D66EB" w:rsidP="005D66EB">
      <w:pPr>
        <w:pStyle w:val="Bezmezer"/>
        <w:spacing w:line="360" w:lineRule="auto"/>
        <w:rPr>
          <w:rFonts w:cs="Arial"/>
          <w:szCs w:val="20"/>
        </w:rPr>
      </w:pPr>
      <w:r w:rsidRPr="00B06040">
        <w:rPr>
          <w:rFonts w:cs="Arial"/>
          <w:szCs w:val="20"/>
        </w:rPr>
        <w:t>Mgr. Michaela Němečková: Oddělení demografické statistiky, Kapitola 1</w:t>
      </w:r>
    </w:p>
    <w:p w14:paraId="52A853A5" w14:textId="6D8E211D" w:rsidR="005D66EB" w:rsidRDefault="005D66EB" w:rsidP="005D66EB">
      <w:pPr>
        <w:pStyle w:val="Bezmezer"/>
        <w:spacing w:line="360" w:lineRule="auto"/>
        <w:rPr>
          <w:rFonts w:cs="Arial"/>
          <w:szCs w:val="20"/>
        </w:rPr>
      </w:pPr>
      <w:r w:rsidRPr="00B06040">
        <w:rPr>
          <w:rFonts w:cs="Arial"/>
          <w:szCs w:val="20"/>
        </w:rPr>
        <w:t>Mgr. Markéta Pištorová: Oddělení statistiky výzkumu, vývoje a informační společnosti</w:t>
      </w:r>
      <w:r>
        <w:rPr>
          <w:rFonts w:cs="Arial"/>
          <w:szCs w:val="20"/>
        </w:rPr>
        <w:t>, Kapitola 6</w:t>
      </w:r>
    </w:p>
    <w:p w14:paraId="1E9DB371" w14:textId="0C865611" w:rsidR="005D66EB" w:rsidRDefault="00AE5613" w:rsidP="005D66EB">
      <w:pPr>
        <w:pStyle w:val="Bezmezer"/>
        <w:spacing w:line="360" w:lineRule="auto"/>
        <w:rPr>
          <w:rFonts w:cs="Arial"/>
          <w:szCs w:val="20"/>
        </w:rPr>
      </w:pPr>
      <w:r>
        <w:rPr>
          <w:rFonts w:cs="Arial"/>
          <w:szCs w:val="20"/>
        </w:rPr>
        <w:t>Mgr. Markéta Šafusová:</w:t>
      </w:r>
      <w:r w:rsidR="005D66EB" w:rsidRPr="005A32A1">
        <w:rPr>
          <w:rFonts w:cs="Arial"/>
          <w:szCs w:val="20"/>
        </w:rPr>
        <w:t xml:space="preserve"> Oddělení demografické statistiky, Kapitola </w:t>
      </w:r>
      <w:r w:rsidR="00671BF2">
        <w:rPr>
          <w:rFonts w:cs="Arial"/>
          <w:szCs w:val="20"/>
        </w:rPr>
        <w:t>1</w:t>
      </w:r>
    </w:p>
    <w:p w14:paraId="22F9A901" w14:textId="028F6B86" w:rsidR="005D66EB" w:rsidRDefault="005D66EB" w:rsidP="005D66EB">
      <w:pPr>
        <w:pStyle w:val="Bezmezer"/>
        <w:spacing w:line="360" w:lineRule="auto"/>
        <w:rPr>
          <w:rFonts w:cs="Arial"/>
          <w:szCs w:val="20"/>
        </w:rPr>
      </w:pPr>
      <w:r w:rsidRPr="005A32A1">
        <w:rPr>
          <w:rFonts w:cs="Arial"/>
          <w:szCs w:val="20"/>
        </w:rPr>
        <w:t>Mgr. Terezie Štyglerová: Oddělení demografické statistiky, Kapitol</w:t>
      </w:r>
      <w:r>
        <w:rPr>
          <w:rFonts w:cs="Arial"/>
          <w:szCs w:val="20"/>
        </w:rPr>
        <w:t>a</w:t>
      </w:r>
      <w:r w:rsidRPr="005A32A1">
        <w:rPr>
          <w:rFonts w:cs="Arial"/>
          <w:szCs w:val="20"/>
        </w:rPr>
        <w:t xml:space="preserve"> 1 </w:t>
      </w:r>
    </w:p>
    <w:p w14:paraId="531CA761" w14:textId="317F321D" w:rsidR="00671BF2" w:rsidRDefault="00671BF2" w:rsidP="005D66EB">
      <w:pPr>
        <w:pStyle w:val="Bezmezer"/>
        <w:spacing w:line="360" w:lineRule="auto"/>
        <w:rPr>
          <w:rFonts w:cs="Arial"/>
          <w:szCs w:val="20"/>
        </w:rPr>
      </w:pPr>
      <w:r>
        <w:rPr>
          <w:rFonts w:cs="Arial"/>
          <w:szCs w:val="20"/>
        </w:rPr>
        <w:t>Mgr. Jakub Vachuška: Oddělení metodiky analýz a diseminace sčítání, Kapitola 2</w:t>
      </w:r>
    </w:p>
    <w:p w14:paraId="5ED5529E" w14:textId="7976975A" w:rsidR="005D66EB" w:rsidRPr="00B06040" w:rsidRDefault="005D66EB" w:rsidP="005D66EB">
      <w:pPr>
        <w:pStyle w:val="Bezmezer"/>
        <w:spacing w:line="360" w:lineRule="auto"/>
        <w:rPr>
          <w:rFonts w:cs="Arial"/>
          <w:szCs w:val="20"/>
        </w:rPr>
      </w:pPr>
      <w:r w:rsidRPr="00B06040">
        <w:rPr>
          <w:rFonts w:cs="Arial"/>
          <w:szCs w:val="20"/>
        </w:rPr>
        <w:t>Ing. Lenka Weichetová, Oddělení statistiky výzkumu, vývoje a informační společnosti</w:t>
      </w:r>
      <w:r>
        <w:rPr>
          <w:rFonts w:cs="Arial"/>
          <w:szCs w:val="20"/>
        </w:rPr>
        <w:t>, Kapitola 8</w:t>
      </w:r>
    </w:p>
    <w:p w14:paraId="38CF6DA3" w14:textId="35C724B1" w:rsidR="005D66EB" w:rsidRDefault="005D66EB" w:rsidP="005D66EB">
      <w:pPr>
        <w:pStyle w:val="Bezmezer"/>
        <w:spacing w:line="360" w:lineRule="auto"/>
        <w:rPr>
          <w:rFonts w:cs="Arial"/>
          <w:szCs w:val="20"/>
        </w:rPr>
      </w:pPr>
      <w:r w:rsidRPr="00B06040">
        <w:rPr>
          <w:rFonts w:cs="Arial"/>
          <w:szCs w:val="20"/>
        </w:rPr>
        <w:t>Mgr. Jitka Wichová, Oddělení statistiky vzdělávání, zdravotnictví, kultury a</w:t>
      </w:r>
      <w:r>
        <w:rPr>
          <w:rFonts w:cs="Arial"/>
          <w:szCs w:val="20"/>
        </w:rPr>
        <w:t> </w:t>
      </w:r>
      <w:r w:rsidRPr="00B06040">
        <w:rPr>
          <w:rFonts w:cs="Arial"/>
          <w:szCs w:val="20"/>
        </w:rPr>
        <w:t>sociálního zabezpečení</w:t>
      </w:r>
      <w:r>
        <w:rPr>
          <w:rFonts w:cs="Arial"/>
          <w:szCs w:val="20"/>
        </w:rPr>
        <w:t>, Kapitola 7</w:t>
      </w:r>
    </w:p>
    <w:p w14:paraId="3F5BB31A" w14:textId="5194DE31" w:rsidR="005D66EB" w:rsidRPr="003A1792" w:rsidRDefault="005D66EB" w:rsidP="005D66EB">
      <w:pPr>
        <w:spacing w:line="240" w:lineRule="auto"/>
        <w:jc w:val="both"/>
      </w:pPr>
      <w:r w:rsidRPr="00B06040">
        <w:rPr>
          <w:rFonts w:cs="Arial"/>
          <w:szCs w:val="20"/>
        </w:rPr>
        <w:t>Mgr. Ing. Martin Zelený, PhD., Sekce demografie a sociálních statistik</w:t>
      </w:r>
      <w:r>
        <w:rPr>
          <w:rFonts w:cs="Arial"/>
          <w:szCs w:val="20"/>
        </w:rPr>
        <w:t>, Koordinace redakčního týmu</w:t>
      </w:r>
    </w:p>
    <w:sectPr w:rsidR="005D66EB" w:rsidRPr="003A1792" w:rsidSect="00A03414">
      <w:headerReference w:type="even" r:id="rId47"/>
      <w:headerReference w:type="default" r:id="rId48"/>
      <w:footerReference w:type="even" r:id="rId49"/>
      <w:footerReference w:type="default" r:id="rId50"/>
      <w:pgSz w:w="8391" w:h="11906" w:code="11"/>
      <w:pgMar w:top="1134" w:right="851" w:bottom="1134"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AE855" w14:textId="77777777" w:rsidR="00942090" w:rsidRDefault="00942090" w:rsidP="00E71A58">
      <w:r>
        <w:separator/>
      </w:r>
    </w:p>
  </w:endnote>
  <w:endnote w:type="continuationSeparator" w:id="0">
    <w:p w14:paraId="033C31E4" w14:textId="77777777" w:rsidR="00942090" w:rsidRDefault="0094209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4E548" w14:textId="1B34B716" w:rsidR="001E10D0" w:rsidRPr="00932443" w:rsidRDefault="001E10D0" w:rsidP="00C804C6">
    <w:pPr>
      <w:pStyle w:val="Zpat"/>
      <w:tabs>
        <w:tab w:val="clear" w:pos="4820"/>
        <w:tab w:val="center" w:pos="3119"/>
      </w:tabs>
      <w:rPr>
        <w:szCs w:val="16"/>
      </w:rPr>
    </w:pPr>
    <w:r>
      <w:rPr>
        <w:szCs w:val="16"/>
        <w:lang w:eastAsia="cs-CZ"/>
      </w:rPr>
      <w:drawing>
        <wp:anchor distT="0" distB="0" distL="114300" distR="114300" simplePos="0" relativeHeight="251658240" behindDoc="0" locked="0" layoutInCell="1" allowOverlap="1" wp14:anchorId="4469B33D" wp14:editId="260DF651">
          <wp:simplePos x="0" y="0"/>
          <wp:positionH relativeFrom="column">
            <wp:align>right</wp:align>
          </wp:positionH>
          <wp:positionV relativeFrom="paragraph">
            <wp:posOffset>-64770</wp:posOffset>
          </wp:positionV>
          <wp:extent cx="428625" cy="201295"/>
          <wp:effectExtent l="0" t="0" r="3175" b="1905"/>
          <wp:wrapNone/>
          <wp:docPr id="15"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A0046C">
      <w:rPr>
        <w:szCs w:val="16"/>
      </w:rPr>
      <w:t>6</w:t>
    </w:r>
    <w:r w:rsidRPr="00932443">
      <w:rPr>
        <w:szCs w:val="16"/>
      </w:rPr>
      <w:fldChar w:fldCharType="end"/>
    </w:r>
    <w:r w:rsidRPr="00932443">
      <w:rPr>
        <w:szCs w:val="16"/>
      </w:rPr>
      <w:tab/>
    </w:r>
    <w:r>
      <w:rPr>
        <w:szCs w:val="16"/>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A184" w14:textId="726A3B41" w:rsidR="001E10D0" w:rsidRPr="00932443" w:rsidRDefault="001E10D0" w:rsidP="00C804C6">
    <w:pPr>
      <w:pStyle w:val="Zpat"/>
      <w:tabs>
        <w:tab w:val="clear" w:pos="4820"/>
        <w:tab w:val="center" w:pos="3119"/>
      </w:tabs>
      <w:rPr>
        <w:szCs w:val="16"/>
      </w:rPr>
    </w:pPr>
    <w:r>
      <w:rPr>
        <w:szCs w:val="16"/>
        <w:lang w:eastAsia="cs-CZ"/>
      </w:rPr>
      <w:drawing>
        <wp:anchor distT="0" distB="0" distL="114300" distR="114300" simplePos="0" relativeHeight="251657216" behindDoc="0" locked="0" layoutInCell="1" allowOverlap="1" wp14:anchorId="00AF3C06" wp14:editId="5D9E674D">
          <wp:simplePos x="0" y="0"/>
          <wp:positionH relativeFrom="column">
            <wp:align>left</wp:align>
          </wp:positionH>
          <wp:positionV relativeFrom="paragraph">
            <wp:posOffset>-122555</wp:posOffset>
          </wp:positionV>
          <wp:extent cx="512761" cy="273600"/>
          <wp:effectExtent l="0" t="0" r="1905" b="0"/>
          <wp:wrapNone/>
          <wp:docPr id="16"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rStyle w:val="ZpatChar"/>
        <w:szCs w:val="16"/>
      </w:rPr>
      <w:t>2022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A0046C">
      <w:rPr>
        <w:rStyle w:val="ZpatChar"/>
        <w:szCs w:val="16"/>
      </w:rPr>
      <w:t>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C8D5E" w14:textId="77777777" w:rsidR="00942090" w:rsidRDefault="00942090" w:rsidP="00E71A58">
      <w:r>
        <w:separator/>
      </w:r>
    </w:p>
  </w:footnote>
  <w:footnote w:type="continuationSeparator" w:id="0">
    <w:p w14:paraId="384F3D90" w14:textId="77777777" w:rsidR="00942090" w:rsidRDefault="00942090" w:rsidP="00E71A58">
      <w:r>
        <w:continuationSeparator/>
      </w:r>
    </w:p>
  </w:footnote>
  <w:footnote w:id="1">
    <w:p w14:paraId="7F4DA11E" w14:textId="77777777" w:rsidR="001E10D0" w:rsidRPr="00DD3B7B" w:rsidRDefault="001E10D0" w:rsidP="008B737D">
      <w:pPr>
        <w:jc w:val="both"/>
        <w:rPr>
          <w:sz w:val="16"/>
          <w:szCs w:val="16"/>
        </w:rPr>
      </w:pPr>
      <w:r>
        <w:rPr>
          <w:rStyle w:val="Znakapoznpodarou"/>
          <w:rFonts w:eastAsiaTheme="minorHAnsi"/>
        </w:rPr>
        <w:footnoteRef/>
      </w:r>
      <w:r>
        <w:t xml:space="preserve"> </w:t>
      </w:r>
      <w:r w:rsidRPr="00DD3B7B">
        <w:rPr>
          <w:sz w:val="16"/>
          <w:szCs w:val="16"/>
        </w:rPr>
        <w:t>Jedná se o</w:t>
      </w:r>
      <w:r w:rsidRPr="00DD3B7B">
        <w:rPr>
          <w:sz w:val="16"/>
          <w:szCs w:val="16"/>
          <w:vertAlign w:val="superscript"/>
        </w:rPr>
        <w:t xml:space="preserve"> </w:t>
      </w:r>
      <w:r w:rsidRPr="00DD3B7B">
        <w:rPr>
          <w:sz w:val="16"/>
          <w:szCs w:val="16"/>
        </w:rPr>
        <w:t>důchody, které se poskytují podle zákona o důchodovém pojištění – tzv. důchody v civilním sektoru. Nejsou zde obsaženy údaje týkající se ozbrojených složek Ministerstva obrany, Ministerstva vnitra a Ministerstva spravedlnosti.</w:t>
      </w:r>
    </w:p>
  </w:footnote>
  <w:footnote w:id="2">
    <w:p w14:paraId="602B017E" w14:textId="284E93C2" w:rsidR="001E10D0" w:rsidRPr="00DD3B7B" w:rsidRDefault="001E10D0" w:rsidP="008B737D">
      <w:pPr>
        <w:pStyle w:val="Textpoznpodarou"/>
        <w:rPr>
          <w:sz w:val="16"/>
          <w:szCs w:val="16"/>
        </w:rPr>
      </w:pPr>
      <w:r>
        <w:rPr>
          <w:rStyle w:val="Znakapoznpodarou"/>
        </w:rPr>
        <w:footnoteRef/>
      </w:r>
      <w:r>
        <w:t xml:space="preserve"> </w:t>
      </w:r>
      <w:r w:rsidRPr="00DD3B7B">
        <w:rPr>
          <w:sz w:val="16"/>
          <w:szCs w:val="16"/>
        </w:rPr>
        <w:t>Toto nestandardní vymezení vychází z výkazu Soc (MPSV) V 1-01, pomocí kterého jsou údaje zjišťovány. Věkové skupiny jsou definovány následovně: do 65, 66</w:t>
      </w:r>
      <w:r w:rsidRPr="00DD3B7B">
        <w:rPr>
          <w:rFonts w:ascii="Arial" w:hAnsi="Arial" w:cs="Arial"/>
          <w:color w:val="202124"/>
          <w:sz w:val="16"/>
          <w:szCs w:val="16"/>
          <w:shd w:val="clear" w:color="auto" w:fill="FFFFFF"/>
        </w:rPr>
        <w:t>–75, 76–85, 86–95, 96+.</w:t>
      </w:r>
    </w:p>
  </w:footnote>
  <w:footnote w:id="3">
    <w:p w14:paraId="13920DAF" w14:textId="77777777" w:rsidR="001E10D0" w:rsidRPr="002B60E0" w:rsidRDefault="001E10D0" w:rsidP="00174ECF">
      <w:pPr>
        <w:pStyle w:val="Textpoznpodarou"/>
        <w:rPr>
          <w:rFonts w:ascii="Arial" w:hAnsi="Arial" w:cs="Arial"/>
          <w:sz w:val="14"/>
          <w:szCs w:val="14"/>
        </w:rPr>
      </w:pPr>
      <w:r w:rsidRPr="002B60E0">
        <w:rPr>
          <w:rStyle w:val="Znakapoznpodarou"/>
          <w:rFonts w:ascii="Arial" w:hAnsi="Arial" w:cs="Arial"/>
          <w:sz w:val="14"/>
          <w:szCs w:val="14"/>
        </w:rPr>
        <w:footnoteRef/>
      </w:r>
      <w:r w:rsidRPr="002B60E0">
        <w:rPr>
          <w:rFonts w:ascii="Arial" w:hAnsi="Arial" w:cs="Arial"/>
          <w:sz w:val="14"/>
          <w:szCs w:val="14"/>
        </w:rPr>
        <w:t xml:space="preserve"> Nejnovější údaje o počtu uživatelů internetu v ostatních evropských státech se vztahují k roku 202</w:t>
      </w:r>
      <w:r>
        <w:rPr>
          <w:rFonts w:ascii="Arial" w:hAnsi="Arial" w:cs="Arial"/>
          <w:sz w:val="14"/>
          <w:szCs w:val="14"/>
        </w:rPr>
        <w:t>1</w:t>
      </w:r>
      <w:r w:rsidRPr="002B60E0">
        <w:rPr>
          <w:rFonts w:ascii="Arial" w:hAnsi="Arial"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F08D" w14:textId="559E13E8" w:rsidR="001E10D0" w:rsidRDefault="001E10D0" w:rsidP="00937AE2">
    <w:pPr>
      <w:pStyle w:val="Zhlav"/>
    </w:pPr>
    <w:r>
      <w:t>Senioři v ČR v datech</w:t>
    </w:r>
  </w:p>
  <w:p w14:paraId="04CF9F40" w14:textId="77777777" w:rsidR="001E10D0" w:rsidRPr="006F5416" w:rsidRDefault="001E10D0"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4FCC4" w14:textId="057ACB19" w:rsidR="001E10D0" w:rsidRPr="006F5416" w:rsidRDefault="001E10D0" w:rsidP="00937AE2">
    <w:pPr>
      <w:pStyle w:val="Zhlav"/>
    </w:pPr>
    <w:r>
      <w:t>Senioři v ČR v datech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15:restartNumberingAfterBreak="0">
    <w:nsid w:val="FFFFFF7C"/>
    <w:multiLevelType w:val="singleLevel"/>
    <w:tmpl w:val="63368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DCCA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028B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6A6C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9051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0ED9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F06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845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9C1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402D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3431C"/>
    <w:multiLevelType w:val="multilevel"/>
    <w:tmpl w:val="AF9C79EA"/>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078768F4"/>
    <w:multiLevelType w:val="hybridMultilevel"/>
    <w:tmpl w:val="EF3C6F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B57C4B"/>
    <w:multiLevelType w:val="multilevel"/>
    <w:tmpl w:val="6444128A"/>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3A97DB0"/>
    <w:multiLevelType w:val="hybridMultilevel"/>
    <w:tmpl w:val="617EACA2"/>
    <w:lvl w:ilvl="0" w:tplc="75D0197E">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1B7A8B"/>
    <w:multiLevelType w:val="multilevel"/>
    <w:tmpl w:val="E4182D0E"/>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A782800"/>
    <w:multiLevelType w:val="hybridMultilevel"/>
    <w:tmpl w:val="D2D6D660"/>
    <w:lvl w:ilvl="0" w:tplc="82D00C86">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A86458"/>
    <w:multiLevelType w:val="hybridMultilevel"/>
    <w:tmpl w:val="ACE2D0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556FED"/>
    <w:multiLevelType w:val="multilevel"/>
    <w:tmpl w:val="63981848"/>
    <w:lvl w:ilvl="0">
      <w:start w:val="1"/>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9AA12C3"/>
    <w:multiLevelType w:val="multilevel"/>
    <w:tmpl w:val="6444128A"/>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EE956AB"/>
    <w:multiLevelType w:val="multilevel"/>
    <w:tmpl w:val="77E4CC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DCC69F3"/>
    <w:multiLevelType w:val="hybridMultilevel"/>
    <w:tmpl w:val="73AE4C5A"/>
    <w:lvl w:ilvl="0" w:tplc="99A601D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8"/>
  </w:num>
  <w:num w:numId="14">
    <w:abstractNumId w:val="23"/>
  </w:num>
  <w:num w:numId="15">
    <w:abstractNumId w:val="22"/>
  </w:num>
  <w:num w:numId="16">
    <w:abstractNumId w:val="10"/>
  </w:num>
  <w:num w:numId="17">
    <w:abstractNumId w:val="14"/>
  </w:num>
  <w:num w:numId="18">
    <w:abstractNumId w:val="20"/>
  </w:num>
  <w:num w:numId="19">
    <w:abstractNumId w:val="13"/>
  </w:num>
  <w:num w:numId="20">
    <w:abstractNumId w:val="11"/>
  </w:num>
  <w:num w:numId="21">
    <w:abstractNumId w:val="19"/>
  </w:num>
  <w:num w:numId="22">
    <w:abstractNumId w:val="15"/>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E3"/>
    <w:rsid w:val="00001F46"/>
    <w:rsid w:val="0000209D"/>
    <w:rsid w:val="00004D5A"/>
    <w:rsid w:val="000056D5"/>
    <w:rsid w:val="0000767A"/>
    <w:rsid w:val="00010702"/>
    <w:rsid w:val="00013B53"/>
    <w:rsid w:val="0001495B"/>
    <w:rsid w:val="00015012"/>
    <w:rsid w:val="000234D6"/>
    <w:rsid w:val="00023D29"/>
    <w:rsid w:val="00026389"/>
    <w:rsid w:val="00031AE0"/>
    <w:rsid w:val="000322EF"/>
    <w:rsid w:val="00033FCD"/>
    <w:rsid w:val="000353BC"/>
    <w:rsid w:val="00041CEC"/>
    <w:rsid w:val="00042304"/>
    <w:rsid w:val="000434D7"/>
    <w:rsid w:val="000442B2"/>
    <w:rsid w:val="0004694F"/>
    <w:rsid w:val="00052043"/>
    <w:rsid w:val="000522E4"/>
    <w:rsid w:val="000610E1"/>
    <w:rsid w:val="00062EC5"/>
    <w:rsid w:val="00062F22"/>
    <w:rsid w:val="000650A9"/>
    <w:rsid w:val="00070F10"/>
    <w:rsid w:val="000712B3"/>
    <w:rsid w:val="000723B6"/>
    <w:rsid w:val="00073AD1"/>
    <w:rsid w:val="0008263E"/>
    <w:rsid w:val="00082C19"/>
    <w:rsid w:val="00085395"/>
    <w:rsid w:val="00087634"/>
    <w:rsid w:val="00087F2B"/>
    <w:rsid w:val="00092B38"/>
    <w:rsid w:val="000974D1"/>
    <w:rsid w:val="0009799E"/>
    <w:rsid w:val="000A1183"/>
    <w:rsid w:val="000A178C"/>
    <w:rsid w:val="000A256D"/>
    <w:rsid w:val="000A3A2C"/>
    <w:rsid w:val="000A44AD"/>
    <w:rsid w:val="000B0365"/>
    <w:rsid w:val="000B0EEE"/>
    <w:rsid w:val="000B7AFE"/>
    <w:rsid w:val="000C3408"/>
    <w:rsid w:val="000C4E62"/>
    <w:rsid w:val="000C6AFD"/>
    <w:rsid w:val="000D108D"/>
    <w:rsid w:val="000D1A0D"/>
    <w:rsid w:val="000D1C34"/>
    <w:rsid w:val="000D5637"/>
    <w:rsid w:val="000D6937"/>
    <w:rsid w:val="000E05E3"/>
    <w:rsid w:val="000E6E5F"/>
    <w:rsid w:val="000E6EF9"/>
    <w:rsid w:val="000E6FBD"/>
    <w:rsid w:val="000F2173"/>
    <w:rsid w:val="000F4AC9"/>
    <w:rsid w:val="0010035D"/>
    <w:rsid w:val="00100F5C"/>
    <w:rsid w:val="00104C4C"/>
    <w:rsid w:val="00115C8A"/>
    <w:rsid w:val="0012192F"/>
    <w:rsid w:val="0012469E"/>
    <w:rsid w:val="00125D69"/>
    <w:rsid w:val="00126A63"/>
    <w:rsid w:val="00133B34"/>
    <w:rsid w:val="0013758C"/>
    <w:rsid w:val="001405FA"/>
    <w:rsid w:val="001424F9"/>
    <w:rsid w:val="001425C3"/>
    <w:rsid w:val="00150B51"/>
    <w:rsid w:val="001525A7"/>
    <w:rsid w:val="00152A9D"/>
    <w:rsid w:val="0016191D"/>
    <w:rsid w:val="0016256B"/>
    <w:rsid w:val="00163793"/>
    <w:rsid w:val="001660A3"/>
    <w:rsid w:val="001706D6"/>
    <w:rsid w:val="001714F2"/>
    <w:rsid w:val="00174ECF"/>
    <w:rsid w:val="00177B30"/>
    <w:rsid w:val="00180F84"/>
    <w:rsid w:val="00183118"/>
    <w:rsid w:val="00184B08"/>
    <w:rsid w:val="00185010"/>
    <w:rsid w:val="001A29E2"/>
    <w:rsid w:val="001A38DF"/>
    <w:rsid w:val="001A5095"/>
    <w:rsid w:val="001A552F"/>
    <w:rsid w:val="001B070C"/>
    <w:rsid w:val="001B125D"/>
    <w:rsid w:val="001B1A7F"/>
    <w:rsid w:val="001B2243"/>
    <w:rsid w:val="001B2CA9"/>
    <w:rsid w:val="001B3110"/>
    <w:rsid w:val="001B4729"/>
    <w:rsid w:val="001B49EB"/>
    <w:rsid w:val="001B6C09"/>
    <w:rsid w:val="001C05CD"/>
    <w:rsid w:val="001C44D9"/>
    <w:rsid w:val="001D5071"/>
    <w:rsid w:val="001D68B2"/>
    <w:rsid w:val="001E10D0"/>
    <w:rsid w:val="001F0D99"/>
    <w:rsid w:val="001F4597"/>
    <w:rsid w:val="001F74AA"/>
    <w:rsid w:val="002005FA"/>
    <w:rsid w:val="00200C6D"/>
    <w:rsid w:val="002024A1"/>
    <w:rsid w:val="002037A8"/>
    <w:rsid w:val="00204485"/>
    <w:rsid w:val="002118B9"/>
    <w:rsid w:val="00215A24"/>
    <w:rsid w:val="00217C5B"/>
    <w:rsid w:val="0022139E"/>
    <w:rsid w:val="002228C9"/>
    <w:rsid w:val="00222CB1"/>
    <w:rsid w:val="002252E0"/>
    <w:rsid w:val="002255F6"/>
    <w:rsid w:val="00227850"/>
    <w:rsid w:val="00227A53"/>
    <w:rsid w:val="00230C6E"/>
    <w:rsid w:val="00231A58"/>
    <w:rsid w:val="00236443"/>
    <w:rsid w:val="002436BA"/>
    <w:rsid w:val="002441A8"/>
    <w:rsid w:val="0024492A"/>
    <w:rsid w:val="00244A15"/>
    <w:rsid w:val="00246102"/>
    <w:rsid w:val="00247319"/>
    <w:rsid w:val="0024799E"/>
    <w:rsid w:val="0025052A"/>
    <w:rsid w:val="00250F74"/>
    <w:rsid w:val="00253C0F"/>
    <w:rsid w:val="002558E2"/>
    <w:rsid w:val="00266429"/>
    <w:rsid w:val="00271465"/>
    <w:rsid w:val="00271E01"/>
    <w:rsid w:val="00273982"/>
    <w:rsid w:val="00280CE2"/>
    <w:rsid w:val="0028122C"/>
    <w:rsid w:val="0028230F"/>
    <w:rsid w:val="002836CF"/>
    <w:rsid w:val="00285412"/>
    <w:rsid w:val="002857DD"/>
    <w:rsid w:val="00286978"/>
    <w:rsid w:val="002874FF"/>
    <w:rsid w:val="00290BC9"/>
    <w:rsid w:val="002A0E72"/>
    <w:rsid w:val="002A16D4"/>
    <w:rsid w:val="002A230C"/>
    <w:rsid w:val="002A6027"/>
    <w:rsid w:val="002B5E1D"/>
    <w:rsid w:val="002C0191"/>
    <w:rsid w:val="002C207D"/>
    <w:rsid w:val="002C43BD"/>
    <w:rsid w:val="002C5541"/>
    <w:rsid w:val="002D0E59"/>
    <w:rsid w:val="002E02A1"/>
    <w:rsid w:val="002E1D87"/>
    <w:rsid w:val="002E2512"/>
    <w:rsid w:val="002E4E4C"/>
    <w:rsid w:val="002E5FC0"/>
    <w:rsid w:val="002E6B59"/>
    <w:rsid w:val="002F7BD0"/>
    <w:rsid w:val="00300B59"/>
    <w:rsid w:val="00301579"/>
    <w:rsid w:val="00303964"/>
    <w:rsid w:val="00304771"/>
    <w:rsid w:val="003052D4"/>
    <w:rsid w:val="00306C5B"/>
    <w:rsid w:val="00307F64"/>
    <w:rsid w:val="00310A45"/>
    <w:rsid w:val="00311DA1"/>
    <w:rsid w:val="00317234"/>
    <w:rsid w:val="00317CE5"/>
    <w:rsid w:val="00320548"/>
    <w:rsid w:val="003209D6"/>
    <w:rsid w:val="00321924"/>
    <w:rsid w:val="00322333"/>
    <w:rsid w:val="00323865"/>
    <w:rsid w:val="0032656E"/>
    <w:rsid w:val="00326D32"/>
    <w:rsid w:val="00332190"/>
    <w:rsid w:val="00332E0E"/>
    <w:rsid w:val="00333329"/>
    <w:rsid w:val="00337FFE"/>
    <w:rsid w:val="00344668"/>
    <w:rsid w:val="003462D9"/>
    <w:rsid w:val="00352358"/>
    <w:rsid w:val="00353B6A"/>
    <w:rsid w:val="00360204"/>
    <w:rsid w:val="00360C86"/>
    <w:rsid w:val="00363A31"/>
    <w:rsid w:val="003657F3"/>
    <w:rsid w:val="00366E7D"/>
    <w:rsid w:val="00366FAE"/>
    <w:rsid w:val="0036760B"/>
    <w:rsid w:val="00367A89"/>
    <w:rsid w:val="0037500F"/>
    <w:rsid w:val="00377790"/>
    <w:rsid w:val="003818DB"/>
    <w:rsid w:val="003818DC"/>
    <w:rsid w:val="0038346F"/>
    <w:rsid w:val="00384327"/>
    <w:rsid w:val="00385D98"/>
    <w:rsid w:val="00390502"/>
    <w:rsid w:val="0039277F"/>
    <w:rsid w:val="003A0910"/>
    <w:rsid w:val="003A0B39"/>
    <w:rsid w:val="003A0BDD"/>
    <w:rsid w:val="003A1792"/>
    <w:rsid w:val="003A2B4D"/>
    <w:rsid w:val="003A305C"/>
    <w:rsid w:val="003A478C"/>
    <w:rsid w:val="003A5525"/>
    <w:rsid w:val="003A692D"/>
    <w:rsid w:val="003A6B38"/>
    <w:rsid w:val="003B1F6F"/>
    <w:rsid w:val="003B5A32"/>
    <w:rsid w:val="003B7DCF"/>
    <w:rsid w:val="003C0B0F"/>
    <w:rsid w:val="003C19E3"/>
    <w:rsid w:val="003C3490"/>
    <w:rsid w:val="003C624E"/>
    <w:rsid w:val="003C7B1C"/>
    <w:rsid w:val="003D6920"/>
    <w:rsid w:val="003E1A1D"/>
    <w:rsid w:val="003E2079"/>
    <w:rsid w:val="003E2702"/>
    <w:rsid w:val="003E4C91"/>
    <w:rsid w:val="003F0887"/>
    <w:rsid w:val="003F313C"/>
    <w:rsid w:val="003F551C"/>
    <w:rsid w:val="003F7C12"/>
    <w:rsid w:val="003F7D23"/>
    <w:rsid w:val="00400215"/>
    <w:rsid w:val="00401684"/>
    <w:rsid w:val="00404D6A"/>
    <w:rsid w:val="00407C13"/>
    <w:rsid w:val="00410638"/>
    <w:rsid w:val="00414962"/>
    <w:rsid w:val="00414BD7"/>
    <w:rsid w:val="00416ADD"/>
    <w:rsid w:val="00421E3E"/>
    <w:rsid w:val="00424883"/>
    <w:rsid w:val="004325FB"/>
    <w:rsid w:val="00432A58"/>
    <w:rsid w:val="00434617"/>
    <w:rsid w:val="00437990"/>
    <w:rsid w:val="00440900"/>
    <w:rsid w:val="00441705"/>
    <w:rsid w:val="004441A0"/>
    <w:rsid w:val="00456478"/>
    <w:rsid w:val="00460FB3"/>
    <w:rsid w:val="004679DB"/>
    <w:rsid w:val="00471416"/>
    <w:rsid w:val="00476240"/>
    <w:rsid w:val="00476439"/>
    <w:rsid w:val="0047735C"/>
    <w:rsid w:val="004776BC"/>
    <w:rsid w:val="0048139F"/>
    <w:rsid w:val="00481E40"/>
    <w:rsid w:val="00482435"/>
    <w:rsid w:val="00484ECE"/>
    <w:rsid w:val="004860FF"/>
    <w:rsid w:val="004915CB"/>
    <w:rsid w:val="004924DC"/>
    <w:rsid w:val="004966F9"/>
    <w:rsid w:val="0049696F"/>
    <w:rsid w:val="004A14E4"/>
    <w:rsid w:val="004A208A"/>
    <w:rsid w:val="004A3212"/>
    <w:rsid w:val="004A483E"/>
    <w:rsid w:val="004A5340"/>
    <w:rsid w:val="004A5D5E"/>
    <w:rsid w:val="004A61C5"/>
    <w:rsid w:val="004A77DF"/>
    <w:rsid w:val="004A7E89"/>
    <w:rsid w:val="004B1417"/>
    <w:rsid w:val="004B55B7"/>
    <w:rsid w:val="004B573D"/>
    <w:rsid w:val="004B6468"/>
    <w:rsid w:val="004B7074"/>
    <w:rsid w:val="004C042D"/>
    <w:rsid w:val="004C384C"/>
    <w:rsid w:val="004C3867"/>
    <w:rsid w:val="004C3A75"/>
    <w:rsid w:val="004C4CD0"/>
    <w:rsid w:val="004C7003"/>
    <w:rsid w:val="004C70DC"/>
    <w:rsid w:val="004D0211"/>
    <w:rsid w:val="004D0794"/>
    <w:rsid w:val="004E30D4"/>
    <w:rsid w:val="004F06F5"/>
    <w:rsid w:val="004F24A1"/>
    <w:rsid w:val="004F33A0"/>
    <w:rsid w:val="004F5ECD"/>
    <w:rsid w:val="00501095"/>
    <w:rsid w:val="005108C0"/>
    <w:rsid w:val="00511873"/>
    <w:rsid w:val="00512A2F"/>
    <w:rsid w:val="00513B7E"/>
    <w:rsid w:val="00515C74"/>
    <w:rsid w:val="0052007E"/>
    <w:rsid w:val="0052337A"/>
    <w:rsid w:val="00523843"/>
    <w:rsid w:val="00525137"/>
    <w:rsid w:val="005251DD"/>
    <w:rsid w:val="00526908"/>
    <w:rsid w:val="00526DEF"/>
    <w:rsid w:val="00530EBC"/>
    <w:rsid w:val="00532CE7"/>
    <w:rsid w:val="0053324C"/>
    <w:rsid w:val="00534A28"/>
    <w:rsid w:val="00541222"/>
    <w:rsid w:val="00541508"/>
    <w:rsid w:val="005500CA"/>
    <w:rsid w:val="005526FC"/>
    <w:rsid w:val="0055599F"/>
    <w:rsid w:val="00556D68"/>
    <w:rsid w:val="00556DC5"/>
    <w:rsid w:val="00557C53"/>
    <w:rsid w:val="0056043E"/>
    <w:rsid w:val="00560FB5"/>
    <w:rsid w:val="005647BF"/>
    <w:rsid w:val="0056681A"/>
    <w:rsid w:val="00567C32"/>
    <w:rsid w:val="00567D58"/>
    <w:rsid w:val="0057183D"/>
    <w:rsid w:val="0057364B"/>
    <w:rsid w:val="00574773"/>
    <w:rsid w:val="00574796"/>
    <w:rsid w:val="00583E41"/>
    <w:rsid w:val="00583FFD"/>
    <w:rsid w:val="00586A29"/>
    <w:rsid w:val="00590B0C"/>
    <w:rsid w:val="005911BE"/>
    <w:rsid w:val="00593152"/>
    <w:rsid w:val="005A0116"/>
    <w:rsid w:val="005A10F2"/>
    <w:rsid w:val="005A21E0"/>
    <w:rsid w:val="005A28FF"/>
    <w:rsid w:val="005A37CE"/>
    <w:rsid w:val="005A3DF8"/>
    <w:rsid w:val="005A44B5"/>
    <w:rsid w:val="005A5549"/>
    <w:rsid w:val="005A679B"/>
    <w:rsid w:val="005B121D"/>
    <w:rsid w:val="005B289C"/>
    <w:rsid w:val="005B7036"/>
    <w:rsid w:val="005C06ED"/>
    <w:rsid w:val="005C273A"/>
    <w:rsid w:val="005D33BC"/>
    <w:rsid w:val="005D5802"/>
    <w:rsid w:val="005D66EB"/>
    <w:rsid w:val="005D7890"/>
    <w:rsid w:val="005E0A26"/>
    <w:rsid w:val="005E353B"/>
    <w:rsid w:val="005E7C78"/>
    <w:rsid w:val="005F3EB1"/>
    <w:rsid w:val="005F4F80"/>
    <w:rsid w:val="005F5469"/>
    <w:rsid w:val="005F7867"/>
    <w:rsid w:val="00603BB3"/>
    <w:rsid w:val="00604307"/>
    <w:rsid w:val="0060487F"/>
    <w:rsid w:val="00604EAD"/>
    <w:rsid w:val="00606530"/>
    <w:rsid w:val="006104FB"/>
    <w:rsid w:val="00612A2F"/>
    <w:rsid w:val="00612AFA"/>
    <w:rsid w:val="00616A6A"/>
    <w:rsid w:val="00616E05"/>
    <w:rsid w:val="00622F59"/>
    <w:rsid w:val="00624093"/>
    <w:rsid w:val="006241A2"/>
    <w:rsid w:val="0062458A"/>
    <w:rsid w:val="00630C07"/>
    <w:rsid w:val="0063699B"/>
    <w:rsid w:val="006404A7"/>
    <w:rsid w:val="006433D4"/>
    <w:rsid w:val="006451E4"/>
    <w:rsid w:val="00645B33"/>
    <w:rsid w:val="006516CB"/>
    <w:rsid w:val="00656119"/>
    <w:rsid w:val="00657E87"/>
    <w:rsid w:val="00660466"/>
    <w:rsid w:val="006616DC"/>
    <w:rsid w:val="006643BC"/>
    <w:rsid w:val="00664803"/>
    <w:rsid w:val="00665BA4"/>
    <w:rsid w:val="0066762C"/>
    <w:rsid w:val="00667AF2"/>
    <w:rsid w:val="006710C9"/>
    <w:rsid w:val="00671A46"/>
    <w:rsid w:val="00671BF2"/>
    <w:rsid w:val="00674D89"/>
    <w:rsid w:val="00675E37"/>
    <w:rsid w:val="0068174E"/>
    <w:rsid w:val="00681DCE"/>
    <w:rsid w:val="0068260E"/>
    <w:rsid w:val="00695BEF"/>
    <w:rsid w:val="006977F6"/>
    <w:rsid w:val="00697A13"/>
    <w:rsid w:val="006A109C"/>
    <w:rsid w:val="006A1303"/>
    <w:rsid w:val="006A604F"/>
    <w:rsid w:val="006B01AD"/>
    <w:rsid w:val="006B344A"/>
    <w:rsid w:val="006B3A27"/>
    <w:rsid w:val="006B78D8"/>
    <w:rsid w:val="006C113F"/>
    <w:rsid w:val="006C123E"/>
    <w:rsid w:val="006C56D4"/>
    <w:rsid w:val="006C6909"/>
    <w:rsid w:val="006C6924"/>
    <w:rsid w:val="006C7519"/>
    <w:rsid w:val="006C7A00"/>
    <w:rsid w:val="006C7CA6"/>
    <w:rsid w:val="006D3E8A"/>
    <w:rsid w:val="006D61F6"/>
    <w:rsid w:val="006D6F65"/>
    <w:rsid w:val="006E02B5"/>
    <w:rsid w:val="006E0816"/>
    <w:rsid w:val="006E279A"/>
    <w:rsid w:val="006E313B"/>
    <w:rsid w:val="006E709D"/>
    <w:rsid w:val="006F5416"/>
    <w:rsid w:val="00706AD4"/>
    <w:rsid w:val="00711E19"/>
    <w:rsid w:val="00713DB9"/>
    <w:rsid w:val="00713F27"/>
    <w:rsid w:val="007140BE"/>
    <w:rsid w:val="007211F5"/>
    <w:rsid w:val="00722021"/>
    <w:rsid w:val="00725BB5"/>
    <w:rsid w:val="0072673A"/>
    <w:rsid w:val="00730AE8"/>
    <w:rsid w:val="0073451C"/>
    <w:rsid w:val="00734EF8"/>
    <w:rsid w:val="00736466"/>
    <w:rsid w:val="00737619"/>
    <w:rsid w:val="00741493"/>
    <w:rsid w:val="00745045"/>
    <w:rsid w:val="00752180"/>
    <w:rsid w:val="00752F08"/>
    <w:rsid w:val="00755202"/>
    <w:rsid w:val="00755D3A"/>
    <w:rsid w:val="00757538"/>
    <w:rsid w:val="007578D3"/>
    <w:rsid w:val="00757B76"/>
    <w:rsid w:val="007609C6"/>
    <w:rsid w:val="0076175D"/>
    <w:rsid w:val="0076521E"/>
    <w:rsid w:val="007661E9"/>
    <w:rsid w:val="00776169"/>
    <w:rsid w:val="00776527"/>
    <w:rsid w:val="007800B5"/>
    <w:rsid w:val="00780EF1"/>
    <w:rsid w:val="00782D2A"/>
    <w:rsid w:val="007848DA"/>
    <w:rsid w:val="00790764"/>
    <w:rsid w:val="007925FF"/>
    <w:rsid w:val="00792ACA"/>
    <w:rsid w:val="0079453C"/>
    <w:rsid w:val="00794677"/>
    <w:rsid w:val="007A0ACD"/>
    <w:rsid w:val="007B19D3"/>
    <w:rsid w:val="007B6689"/>
    <w:rsid w:val="007B6F5A"/>
    <w:rsid w:val="007C0C49"/>
    <w:rsid w:val="007C133D"/>
    <w:rsid w:val="007D02E4"/>
    <w:rsid w:val="007D24EB"/>
    <w:rsid w:val="007D2611"/>
    <w:rsid w:val="007D40DF"/>
    <w:rsid w:val="007D6000"/>
    <w:rsid w:val="007E32EC"/>
    <w:rsid w:val="007E7E61"/>
    <w:rsid w:val="007F0845"/>
    <w:rsid w:val="007F4374"/>
    <w:rsid w:val="007F4C20"/>
    <w:rsid w:val="00805DA4"/>
    <w:rsid w:val="00806ED6"/>
    <w:rsid w:val="00807C82"/>
    <w:rsid w:val="00810F97"/>
    <w:rsid w:val="00812972"/>
    <w:rsid w:val="00812A8E"/>
    <w:rsid w:val="0081533C"/>
    <w:rsid w:val="00816905"/>
    <w:rsid w:val="00821FF6"/>
    <w:rsid w:val="00825C4D"/>
    <w:rsid w:val="0082794A"/>
    <w:rsid w:val="00830867"/>
    <w:rsid w:val="0083143E"/>
    <w:rsid w:val="00831CDE"/>
    <w:rsid w:val="00833FA7"/>
    <w:rsid w:val="00834304"/>
    <w:rsid w:val="00834FAA"/>
    <w:rsid w:val="00835FAA"/>
    <w:rsid w:val="00836086"/>
    <w:rsid w:val="00837AED"/>
    <w:rsid w:val="0084708F"/>
    <w:rsid w:val="008477C8"/>
    <w:rsid w:val="008506F4"/>
    <w:rsid w:val="0085114D"/>
    <w:rsid w:val="00852217"/>
    <w:rsid w:val="00854EDB"/>
    <w:rsid w:val="00855087"/>
    <w:rsid w:val="00855408"/>
    <w:rsid w:val="00856D65"/>
    <w:rsid w:val="00860B3C"/>
    <w:rsid w:val="00861B41"/>
    <w:rsid w:val="008631A4"/>
    <w:rsid w:val="00863434"/>
    <w:rsid w:val="00865E4C"/>
    <w:rsid w:val="008676D0"/>
    <w:rsid w:val="008701E4"/>
    <w:rsid w:val="00871CDD"/>
    <w:rsid w:val="00872EBE"/>
    <w:rsid w:val="00875208"/>
    <w:rsid w:val="00875608"/>
    <w:rsid w:val="00875A32"/>
    <w:rsid w:val="00876086"/>
    <w:rsid w:val="008873D4"/>
    <w:rsid w:val="00892E2D"/>
    <w:rsid w:val="00893E85"/>
    <w:rsid w:val="00894031"/>
    <w:rsid w:val="00896F62"/>
    <w:rsid w:val="008A1193"/>
    <w:rsid w:val="008B4BF6"/>
    <w:rsid w:val="008B64D5"/>
    <w:rsid w:val="008B737D"/>
    <w:rsid w:val="008B7C02"/>
    <w:rsid w:val="008B7D2B"/>
    <w:rsid w:val="008C003E"/>
    <w:rsid w:val="008C0049"/>
    <w:rsid w:val="008C0E88"/>
    <w:rsid w:val="008D1E6A"/>
    <w:rsid w:val="008D2A16"/>
    <w:rsid w:val="008D70F6"/>
    <w:rsid w:val="008E02BB"/>
    <w:rsid w:val="008E1DB7"/>
    <w:rsid w:val="008E2C57"/>
    <w:rsid w:val="008E31FF"/>
    <w:rsid w:val="008E33C7"/>
    <w:rsid w:val="008E35B0"/>
    <w:rsid w:val="008E47F7"/>
    <w:rsid w:val="008E6F06"/>
    <w:rsid w:val="008F029B"/>
    <w:rsid w:val="008F131A"/>
    <w:rsid w:val="008F2923"/>
    <w:rsid w:val="008F3FC9"/>
    <w:rsid w:val="008F585B"/>
    <w:rsid w:val="008F6B79"/>
    <w:rsid w:val="009003A8"/>
    <w:rsid w:val="00900974"/>
    <w:rsid w:val="00901781"/>
    <w:rsid w:val="00902500"/>
    <w:rsid w:val="00902EFF"/>
    <w:rsid w:val="00904D6F"/>
    <w:rsid w:val="00906401"/>
    <w:rsid w:val="0091155E"/>
    <w:rsid w:val="00912A92"/>
    <w:rsid w:val="0091728D"/>
    <w:rsid w:val="00917551"/>
    <w:rsid w:val="0092180B"/>
    <w:rsid w:val="00921F14"/>
    <w:rsid w:val="0092265D"/>
    <w:rsid w:val="00924AC8"/>
    <w:rsid w:val="0092597A"/>
    <w:rsid w:val="00931DC1"/>
    <w:rsid w:val="00932443"/>
    <w:rsid w:val="0093709B"/>
    <w:rsid w:val="00937AE2"/>
    <w:rsid w:val="009415A5"/>
    <w:rsid w:val="00942090"/>
    <w:rsid w:val="0094427A"/>
    <w:rsid w:val="00945D5E"/>
    <w:rsid w:val="00946378"/>
    <w:rsid w:val="00951263"/>
    <w:rsid w:val="009628B9"/>
    <w:rsid w:val="00974923"/>
    <w:rsid w:val="00980D3D"/>
    <w:rsid w:val="00983855"/>
    <w:rsid w:val="00985206"/>
    <w:rsid w:val="00985A49"/>
    <w:rsid w:val="00985D4D"/>
    <w:rsid w:val="00987765"/>
    <w:rsid w:val="00987A30"/>
    <w:rsid w:val="00987CD9"/>
    <w:rsid w:val="00992CF3"/>
    <w:rsid w:val="00994934"/>
    <w:rsid w:val="009963A2"/>
    <w:rsid w:val="009968D6"/>
    <w:rsid w:val="009A1CAB"/>
    <w:rsid w:val="009A5535"/>
    <w:rsid w:val="009A60D1"/>
    <w:rsid w:val="009A727A"/>
    <w:rsid w:val="009B32DD"/>
    <w:rsid w:val="009B6FD3"/>
    <w:rsid w:val="009C1750"/>
    <w:rsid w:val="009C2E29"/>
    <w:rsid w:val="009C5297"/>
    <w:rsid w:val="009C554B"/>
    <w:rsid w:val="009C6914"/>
    <w:rsid w:val="009C719E"/>
    <w:rsid w:val="009D0D2F"/>
    <w:rsid w:val="009D3ACD"/>
    <w:rsid w:val="009E4808"/>
    <w:rsid w:val="009E5273"/>
    <w:rsid w:val="009E5DDB"/>
    <w:rsid w:val="009F4CA7"/>
    <w:rsid w:val="009F5903"/>
    <w:rsid w:val="00A0046C"/>
    <w:rsid w:val="00A02B48"/>
    <w:rsid w:val="00A03414"/>
    <w:rsid w:val="00A03F32"/>
    <w:rsid w:val="00A0599E"/>
    <w:rsid w:val="00A10D66"/>
    <w:rsid w:val="00A12C59"/>
    <w:rsid w:val="00A138F5"/>
    <w:rsid w:val="00A14114"/>
    <w:rsid w:val="00A159F2"/>
    <w:rsid w:val="00A15FB8"/>
    <w:rsid w:val="00A16413"/>
    <w:rsid w:val="00A17C52"/>
    <w:rsid w:val="00A21289"/>
    <w:rsid w:val="00A23E43"/>
    <w:rsid w:val="00A30F65"/>
    <w:rsid w:val="00A32169"/>
    <w:rsid w:val="00A366AD"/>
    <w:rsid w:val="00A418BC"/>
    <w:rsid w:val="00A43727"/>
    <w:rsid w:val="00A437B2"/>
    <w:rsid w:val="00A44DB5"/>
    <w:rsid w:val="00A46DE0"/>
    <w:rsid w:val="00A47B8B"/>
    <w:rsid w:val="00A50D73"/>
    <w:rsid w:val="00A51A5B"/>
    <w:rsid w:val="00A52CAD"/>
    <w:rsid w:val="00A53139"/>
    <w:rsid w:val="00A53FC7"/>
    <w:rsid w:val="00A5422F"/>
    <w:rsid w:val="00A55D67"/>
    <w:rsid w:val="00A62CE1"/>
    <w:rsid w:val="00A6741E"/>
    <w:rsid w:val="00A75E40"/>
    <w:rsid w:val="00A77D1D"/>
    <w:rsid w:val="00A8474F"/>
    <w:rsid w:val="00A857C0"/>
    <w:rsid w:val="00A97348"/>
    <w:rsid w:val="00AA05B7"/>
    <w:rsid w:val="00AA2996"/>
    <w:rsid w:val="00AA52BF"/>
    <w:rsid w:val="00AA559A"/>
    <w:rsid w:val="00AB2AF1"/>
    <w:rsid w:val="00AC2CDA"/>
    <w:rsid w:val="00AD306C"/>
    <w:rsid w:val="00AE00DF"/>
    <w:rsid w:val="00AE09B3"/>
    <w:rsid w:val="00AE1A83"/>
    <w:rsid w:val="00AE5613"/>
    <w:rsid w:val="00AE577D"/>
    <w:rsid w:val="00AF4CBA"/>
    <w:rsid w:val="00AF6600"/>
    <w:rsid w:val="00AF788C"/>
    <w:rsid w:val="00AF7E4C"/>
    <w:rsid w:val="00B00538"/>
    <w:rsid w:val="00B00913"/>
    <w:rsid w:val="00B01593"/>
    <w:rsid w:val="00B03CA8"/>
    <w:rsid w:val="00B10444"/>
    <w:rsid w:val="00B109DE"/>
    <w:rsid w:val="00B10A4D"/>
    <w:rsid w:val="00B10D65"/>
    <w:rsid w:val="00B11F1F"/>
    <w:rsid w:val="00B1438F"/>
    <w:rsid w:val="00B17E71"/>
    <w:rsid w:val="00B17FDE"/>
    <w:rsid w:val="00B230CE"/>
    <w:rsid w:val="00B2379C"/>
    <w:rsid w:val="00B25507"/>
    <w:rsid w:val="00B2687D"/>
    <w:rsid w:val="00B322E7"/>
    <w:rsid w:val="00B32DDB"/>
    <w:rsid w:val="00B34528"/>
    <w:rsid w:val="00B3742D"/>
    <w:rsid w:val="00B402FC"/>
    <w:rsid w:val="00B46604"/>
    <w:rsid w:val="00B530CD"/>
    <w:rsid w:val="00B55F5E"/>
    <w:rsid w:val="00B5752E"/>
    <w:rsid w:val="00B63283"/>
    <w:rsid w:val="00B63A11"/>
    <w:rsid w:val="00B63A50"/>
    <w:rsid w:val="00B64C24"/>
    <w:rsid w:val="00B6608F"/>
    <w:rsid w:val="00B679FB"/>
    <w:rsid w:val="00B67F49"/>
    <w:rsid w:val="00B743A2"/>
    <w:rsid w:val="00B75F27"/>
    <w:rsid w:val="00B75F98"/>
    <w:rsid w:val="00B76D1E"/>
    <w:rsid w:val="00B8009D"/>
    <w:rsid w:val="00B80EC6"/>
    <w:rsid w:val="00B82475"/>
    <w:rsid w:val="00B8677A"/>
    <w:rsid w:val="00B908E2"/>
    <w:rsid w:val="00B90CB8"/>
    <w:rsid w:val="00B91C8F"/>
    <w:rsid w:val="00B92D1D"/>
    <w:rsid w:val="00B935BA"/>
    <w:rsid w:val="00B938C5"/>
    <w:rsid w:val="00B95940"/>
    <w:rsid w:val="00BA35A2"/>
    <w:rsid w:val="00BA4955"/>
    <w:rsid w:val="00BA507E"/>
    <w:rsid w:val="00BB46F3"/>
    <w:rsid w:val="00BB4CB1"/>
    <w:rsid w:val="00BB4F98"/>
    <w:rsid w:val="00BC066A"/>
    <w:rsid w:val="00BC265B"/>
    <w:rsid w:val="00BC7154"/>
    <w:rsid w:val="00BD0785"/>
    <w:rsid w:val="00BD366B"/>
    <w:rsid w:val="00BD53FB"/>
    <w:rsid w:val="00BD6BD1"/>
    <w:rsid w:val="00BD6D50"/>
    <w:rsid w:val="00BE18B9"/>
    <w:rsid w:val="00BE2495"/>
    <w:rsid w:val="00BE790D"/>
    <w:rsid w:val="00BF1578"/>
    <w:rsid w:val="00C02ED4"/>
    <w:rsid w:val="00C05054"/>
    <w:rsid w:val="00C12610"/>
    <w:rsid w:val="00C16851"/>
    <w:rsid w:val="00C20C9D"/>
    <w:rsid w:val="00C21F94"/>
    <w:rsid w:val="00C27913"/>
    <w:rsid w:val="00C33B68"/>
    <w:rsid w:val="00C36A79"/>
    <w:rsid w:val="00C37DA7"/>
    <w:rsid w:val="00C405D4"/>
    <w:rsid w:val="00C42EE9"/>
    <w:rsid w:val="00C438F4"/>
    <w:rsid w:val="00C4513B"/>
    <w:rsid w:val="00C54697"/>
    <w:rsid w:val="00C60C2B"/>
    <w:rsid w:val="00C73885"/>
    <w:rsid w:val="00C747B1"/>
    <w:rsid w:val="00C804C6"/>
    <w:rsid w:val="00C81AE3"/>
    <w:rsid w:val="00C82191"/>
    <w:rsid w:val="00C90CF4"/>
    <w:rsid w:val="00C9214C"/>
    <w:rsid w:val="00C92EB6"/>
    <w:rsid w:val="00C93389"/>
    <w:rsid w:val="00C94A15"/>
    <w:rsid w:val="00C95348"/>
    <w:rsid w:val="00CA27F6"/>
    <w:rsid w:val="00CB2167"/>
    <w:rsid w:val="00CB4930"/>
    <w:rsid w:val="00CB597A"/>
    <w:rsid w:val="00CB6235"/>
    <w:rsid w:val="00CB67BA"/>
    <w:rsid w:val="00CC1A35"/>
    <w:rsid w:val="00CC2B3A"/>
    <w:rsid w:val="00CC2E7D"/>
    <w:rsid w:val="00CC70E0"/>
    <w:rsid w:val="00CD10A5"/>
    <w:rsid w:val="00CD2076"/>
    <w:rsid w:val="00CD55B5"/>
    <w:rsid w:val="00CE670B"/>
    <w:rsid w:val="00CE70A4"/>
    <w:rsid w:val="00CF51EC"/>
    <w:rsid w:val="00CF73AE"/>
    <w:rsid w:val="00D040DD"/>
    <w:rsid w:val="00D12FBE"/>
    <w:rsid w:val="00D13986"/>
    <w:rsid w:val="00D22505"/>
    <w:rsid w:val="00D235B7"/>
    <w:rsid w:val="00D241BA"/>
    <w:rsid w:val="00D25F28"/>
    <w:rsid w:val="00D26561"/>
    <w:rsid w:val="00D266AF"/>
    <w:rsid w:val="00D27973"/>
    <w:rsid w:val="00D27EEA"/>
    <w:rsid w:val="00D378F2"/>
    <w:rsid w:val="00D47D08"/>
    <w:rsid w:val="00D5090B"/>
    <w:rsid w:val="00D50F46"/>
    <w:rsid w:val="00D64158"/>
    <w:rsid w:val="00D64B20"/>
    <w:rsid w:val="00D66223"/>
    <w:rsid w:val="00D8084C"/>
    <w:rsid w:val="00D83716"/>
    <w:rsid w:val="00D85519"/>
    <w:rsid w:val="00D87292"/>
    <w:rsid w:val="00D912FB"/>
    <w:rsid w:val="00D921EC"/>
    <w:rsid w:val="00D962C2"/>
    <w:rsid w:val="00DA2AAF"/>
    <w:rsid w:val="00DA495F"/>
    <w:rsid w:val="00DA4A03"/>
    <w:rsid w:val="00DA5E36"/>
    <w:rsid w:val="00DA7C0C"/>
    <w:rsid w:val="00DB0202"/>
    <w:rsid w:val="00DB2EC8"/>
    <w:rsid w:val="00DB38CC"/>
    <w:rsid w:val="00DB458C"/>
    <w:rsid w:val="00DC198A"/>
    <w:rsid w:val="00DC5B3B"/>
    <w:rsid w:val="00DD129F"/>
    <w:rsid w:val="00DD3B7B"/>
    <w:rsid w:val="00DF42FF"/>
    <w:rsid w:val="00DF68FC"/>
    <w:rsid w:val="00E01C0E"/>
    <w:rsid w:val="00E03F9A"/>
    <w:rsid w:val="00E04694"/>
    <w:rsid w:val="00E12B1E"/>
    <w:rsid w:val="00E147D6"/>
    <w:rsid w:val="00E17262"/>
    <w:rsid w:val="00E20AF8"/>
    <w:rsid w:val="00E22472"/>
    <w:rsid w:val="00E253A2"/>
    <w:rsid w:val="00E26C7C"/>
    <w:rsid w:val="00E3309D"/>
    <w:rsid w:val="00E37459"/>
    <w:rsid w:val="00E37C2F"/>
    <w:rsid w:val="00E47C01"/>
    <w:rsid w:val="00E50156"/>
    <w:rsid w:val="00E53470"/>
    <w:rsid w:val="00E534B2"/>
    <w:rsid w:val="00E539F6"/>
    <w:rsid w:val="00E649A2"/>
    <w:rsid w:val="00E6519D"/>
    <w:rsid w:val="00E67696"/>
    <w:rsid w:val="00E71A58"/>
    <w:rsid w:val="00E72A7A"/>
    <w:rsid w:val="00E74EA7"/>
    <w:rsid w:val="00E75C94"/>
    <w:rsid w:val="00E81148"/>
    <w:rsid w:val="00E83B57"/>
    <w:rsid w:val="00E9005F"/>
    <w:rsid w:val="00E93820"/>
    <w:rsid w:val="00E95BEB"/>
    <w:rsid w:val="00E9731C"/>
    <w:rsid w:val="00EA0C68"/>
    <w:rsid w:val="00EA394E"/>
    <w:rsid w:val="00EA4000"/>
    <w:rsid w:val="00EA45BD"/>
    <w:rsid w:val="00EB11B2"/>
    <w:rsid w:val="00EB5581"/>
    <w:rsid w:val="00EC03D7"/>
    <w:rsid w:val="00EC10E3"/>
    <w:rsid w:val="00EC14CA"/>
    <w:rsid w:val="00EC44FC"/>
    <w:rsid w:val="00EC7C8E"/>
    <w:rsid w:val="00ED0F49"/>
    <w:rsid w:val="00ED2766"/>
    <w:rsid w:val="00ED62C6"/>
    <w:rsid w:val="00ED64C1"/>
    <w:rsid w:val="00EE021E"/>
    <w:rsid w:val="00EE3446"/>
    <w:rsid w:val="00EE3E78"/>
    <w:rsid w:val="00EE4B1B"/>
    <w:rsid w:val="00EF08EA"/>
    <w:rsid w:val="00EF150D"/>
    <w:rsid w:val="00EF1F5A"/>
    <w:rsid w:val="00EF47BF"/>
    <w:rsid w:val="00F04811"/>
    <w:rsid w:val="00F0488C"/>
    <w:rsid w:val="00F10597"/>
    <w:rsid w:val="00F10F11"/>
    <w:rsid w:val="00F1184F"/>
    <w:rsid w:val="00F15AAA"/>
    <w:rsid w:val="00F15BEF"/>
    <w:rsid w:val="00F24407"/>
    <w:rsid w:val="00F24FAA"/>
    <w:rsid w:val="00F3364D"/>
    <w:rsid w:val="00F3614D"/>
    <w:rsid w:val="00F437CC"/>
    <w:rsid w:val="00F43CA3"/>
    <w:rsid w:val="00F47067"/>
    <w:rsid w:val="00F525EB"/>
    <w:rsid w:val="00F54DFE"/>
    <w:rsid w:val="00F60647"/>
    <w:rsid w:val="00F63DDE"/>
    <w:rsid w:val="00F63FB7"/>
    <w:rsid w:val="00F645A7"/>
    <w:rsid w:val="00F649D2"/>
    <w:rsid w:val="00F6602B"/>
    <w:rsid w:val="00F676AC"/>
    <w:rsid w:val="00F67842"/>
    <w:rsid w:val="00F73A0C"/>
    <w:rsid w:val="00F756DB"/>
    <w:rsid w:val="00F832D5"/>
    <w:rsid w:val="00F85066"/>
    <w:rsid w:val="00F915F7"/>
    <w:rsid w:val="00F97362"/>
    <w:rsid w:val="00FA0BCE"/>
    <w:rsid w:val="00FA1162"/>
    <w:rsid w:val="00FA50CB"/>
    <w:rsid w:val="00FA51AA"/>
    <w:rsid w:val="00FA5D4D"/>
    <w:rsid w:val="00FB0EE2"/>
    <w:rsid w:val="00FB12E4"/>
    <w:rsid w:val="00FB5247"/>
    <w:rsid w:val="00FC01AA"/>
    <w:rsid w:val="00FC0E5F"/>
    <w:rsid w:val="00FC1A51"/>
    <w:rsid w:val="00FC1A95"/>
    <w:rsid w:val="00FC39EA"/>
    <w:rsid w:val="00FC4EB0"/>
    <w:rsid w:val="00FC56DE"/>
    <w:rsid w:val="00FC684B"/>
    <w:rsid w:val="00FD19FA"/>
    <w:rsid w:val="00FD3265"/>
    <w:rsid w:val="00FE2F78"/>
    <w:rsid w:val="00FE5485"/>
    <w:rsid w:val="00FE7EF1"/>
    <w:rsid w:val="00FF381A"/>
    <w:rsid w:val="00FF519A"/>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CD0AD3C"/>
  <w15:docId w15:val="{3EAB29C9-7152-409E-8F58-4B35C1C5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04C6"/>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C804C6"/>
    <w:pPr>
      <w:keepNext/>
      <w:keepLines/>
      <w:spacing w:after="100" w:line="288" w:lineRule="auto"/>
      <w:contextualSpacing/>
      <w:outlineLvl w:val="0"/>
    </w:pPr>
    <w:rPr>
      <w:rFonts w:ascii="Arial" w:eastAsia="MS Gothic" w:hAnsi="Arial"/>
      <w:b/>
      <w:bCs/>
      <w:color w:val="BC091B" w:themeColor="accent1"/>
      <w:sz w:val="32"/>
      <w:szCs w:val="28"/>
      <w:lang w:eastAsia="cs-CZ"/>
    </w:rPr>
  </w:style>
  <w:style w:type="paragraph" w:styleId="Nadpis2">
    <w:name w:val="heading 2"/>
    <w:next w:val="Normln"/>
    <w:link w:val="Nadpis2Char"/>
    <w:uiPriority w:val="9"/>
    <w:qFormat/>
    <w:rsid w:val="00C804C6"/>
    <w:pPr>
      <w:keepNext/>
      <w:keepLines/>
      <w:spacing w:line="288" w:lineRule="auto"/>
      <w:outlineLvl w:val="1"/>
    </w:pPr>
    <w:rPr>
      <w:rFonts w:ascii="Arial" w:eastAsia="MS Gothic" w:hAnsi="Arial"/>
      <w:b/>
      <w:bCs/>
      <w:color w:val="BC091B" w:themeColor="accent1"/>
      <w:sz w:val="28"/>
      <w:szCs w:val="26"/>
      <w:lang w:eastAsia="cs-CZ"/>
    </w:rPr>
  </w:style>
  <w:style w:type="paragraph" w:styleId="Nadpis3">
    <w:name w:val="heading 3"/>
    <w:next w:val="Normln"/>
    <w:link w:val="Nadpis3Char"/>
    <w:uiPriority w:val="9"/>
    <w:qFormat/>
    <w:rsid w:val="00C804C6"/>
    <w:pPr>
      <w:keepNext/>
      <w:keepLines/>
      <w:spacing w:line="288" w:lineRule="auto"/>
      <w:outlineLvl w:val="2"/>
    </w:pPr>
    <w:rPr>
      <w:rFonts w:ascii="Arial" w:eastAsia="MS Gothic" w:hAnsi="Arial"/>
      <w:b/>
      <w:bCs/>
      <w:color w:val="BC091B" w:themeColor="accent1"/>
      <w:sz w:val="24"/>
      <w:szCs w:val="24"/>
      <w:lang w:eastAsia="cs-CZ"/>
    </w:rPr>
  </w:style>
  <w:style w:type="paragraph" w:styleId="Nadpis4">
    <w:name w:val="heading 4"/>
    <w:next w:val="Normln"/>
    <w:link w:val="Nadpis4Char"/>
    <w:uiPriority w:val="9"/>
    <w:qFormat/>
    <w:rsid w:val="003818DB"/>
    <w:pPr>
      <w:keepNext/>
      <w:keepLines/>
      <w:spacing w:line="288" w:lineRule="auto"/>
      <w:outlineLvl w:val="3"/>
    </w:pPr>
    <w:rPr>
      <w:rFonts w:ascii="Arial" w:eastAsia="MS Gothic" w:hAnsi="Arial"/>
      <w:b/>
      <w:bCs/>
      <w:iCs/>
      <w:color w:val="BC091B" w:themeColor="accent4"/>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C804C6"/>
    <w:rPr>
      <w:rFonts w:ascii="Arial" w:eastAsia="MS Gothic" w:hAnsi="Arial"/>
      <w:b/>
      <w:bCs/>
      <w:color w:val="BC091B" w:themeColor="accent1"/>
      <w:sz w:val="32"/>
      <w:szCs w:val="28"/>
      <w:lang w:eastAsia="cs-CZ"/>
    </w:rPr>
  </w:style>
  <w:style w:type="character" w:customStyle="1" w:styleId="Nadpis2Char">
    <w:name w:val="Nadpis 2 Char"/>
    <w:link w:val="Nadpis2"/>
    <w:uiPriority w:val="9"/>
    <w:rsid w:val="00C804C6"/>
    <w:rPr>
      <w:rFonts w:ascii="Arial" w:eastAsia="MS Gothic" w:hAnsi="Arial"/>
      <w:b/>
      <w:bCs/>
      <w:color w:val="BC091B" w:themeColor="accent1"/>
      <w:sz w:val="28"/>
      <w:szCs w:val="26"/>
      <w:lang w:eastAsia="cs-CZ"/>
    </w:rPr>
  </w:style>
  <w:style w:type="character" w:customStyle="1" w:styleId="Nadpis3Char">
    <w:name w:val="Nadpis 3 Char"/>
    <w:link w:val="Nadpis3"/>
    <w:uiPriority w:val="9"/>
    <w:rsid w:val="00C804C6"/>
    <w:rPr>
      <w:rFonts w:ascii="Arial" w:eastAsia="MS Gothic" w:hAnsi="Arial"/>
      <w:b/>
      <w:bCs/>
      <w:color w:val="BC091B" w:themeColor="accent1"/>
      <w:sz w:val="24"/>
      <w:szCs w:val="24"/>
      <w:lang w:eastAsia="cs-CZ"/>
    </w:rPr>
  </w:style>
  <w:style w:type="character" w:customStyle="1" w:styleId="Nadpis4Char">
    <w:name w:val="Nadpis 4 Char"/>
    <w:link w:val="Nadpis4"/>
    <w:uiPriority w:val="9"/>
    <w:rsid w:val="003818DB"/>
    <w:rPr>
      <w:rFonts w:ascii="Arial" w:eastAsia="MS Gothic" w:hAnsi="Arial"/>
      <w:b/>
      <w:bCs/>
      <w:iCs/>
      <w:color w:val="BC091B" w:themeColor="accent4"/>
      <w:szCs w:val="24"/>
      <w:lang w:eastAsia="cs-CZ"/>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C804C6"/>
    <w:pPr>
      <w:spacing w:after="80" w:line="288" w:lineRule="auto"/>
    </w:pPr>
    <w:rPr>
      <w:rFonts w:ascii="Arial" w:eastAsia="Times New Roman" w:hAnsi="Arial"/>
      <w:b/>
      <w:color w:val="BC091B" w:themeColor="accent1"/>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C804C6"/>
    <w:pPr>
      <w:shd w:val="clear" w:color="auto" w:fill="F5DADD" w:themeFill="accent5"/>
      <w:spacing w:before="240" w:after="240" w:line="288" w:lineRule="auto"/>
      <w:ind w:left="709"/>
      <w:contextualSpacing/>
    </w:pPr>
    <w:rPr>
      <w:rFonts w:ascii="Arial" w:hAnsi="Arial" w:cs="Arial"/>
      <w:lang w:eastAsia="cs-CZ"/>
    </w:rPr>
  </w:style>
  <w:style w:type="paragraph" w:customStyle="1" w:styleId="Box2">
    <w:name w:val="Box 2"/>
    <w:qFormat/>
    <w:rsid w:val="00C804C6"/>
    <w:pPr>
      <w:spacing w:before="240" w:after="240" w:line="288" w:lineRule="auto"/>
      <w:ind w:left="709"/>
      <w:contextualSpacing/>
    </w:pPr>
    <w:rPr>
      <w:rFonts w:ascii="Arial" w:hAnsi="Arial" w:cs="Arial"/>
      <w:color w:val="BC091B" w:themeColor="accent1"/>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C804C6"/>
    <w:pPr>
      <w:spacing w:after="40"/>
      <w:contextualSpacing/>
    </w:pPr>
    <w:rPr>
      <w:b/>
      <w:caps/>
      <w:color w:val="BC091B" w:themeColor="accent2"/>
      <w:sz w:val="24"/>
    </w:rPr>
  </w:style>
  <w:style w:type="paragraph" w:customStyle="1" w:styleId="TLKontakty">
    <w:name w:val="TL Kontakty"/>
    <w:qFormat/>
    <w:rsid w:val="00BA507E"/>
    <w:pPr>
      <w:spacing w:after="160" w:line="259" w:lineRule="auto"/>
      <w:contextualSpacing/>
    </w:pPr>
    <w:rPr>
      <w:rFonts w:ascii="Arial" w:eastAsia="Times New Roman" w:hAnsi="Arial"/>
      <w:b/>
      <w:color w:val="0071BC" w:themeColor="accent6"/>
      <w:lang w:eastAsia="cs-CZ"/>
    </w:rPr>
  </w:style>
  <w:style w:type="paragraph" w:styleId="Nzev">
    <w:name w:val="Title"/>
    <w:link w:val="NzevChar"/>
    <w:uiPriority w:val="10"/>
    <w:qFormat/>
    <w:rsid w:val="00BA507E"/>
    <w:pPr>
      <w:spacing w:line="288" w:lineRule="auto"/>
    </w:pPr>
    <w:rPr>
      <w:rFonts w:ascii="Arial" w:eastAsia="Times New Roman" w:hAnsi="Arial"/>
      <w:b/>
      <w:bCs/>
      <w:caps/>
      <w:color w:val="BC091B" w:themeColor="text2"/>
      <w:kern w:val="28"/>
      <w:sz w:val="40"/>
      <w:szCs w:val="40"/>
      <w:lang w:eastAsia="cs-CZ"/>
    </w:rPr>
  </w:style>
  <w:style w:type="character" w:customStyle="1" w:styleId="NzevChar">
    <w:name w:val="Název Char"/>
    <w:link w:val="Nzev"/>
    <w:uiPriority w:val="10"/>
    <w:rsid w:val="00BA507E"/>
    <w:rPr>
      <w:rFonts w:ascii="Arial" w:eastAsia="Times New Roman" w:hAnsi="Arial"/>
      <w:b/>
      <w:bCs/>
      <w:caps/>
      <w:color w:val="BC091B" w:themeColor="text2"/>
      <w:kern w:val="28"/>
      <w:sz w:val="40"/>
      <w:szCs w:val="40"/>
      <w:lang w:eastAsia="cs-CZ"/>
    </w:rPr>
  </w:style>
  <w:style w:type="paragraph" w:styleId="Podnadpis">
    <w:name w:val="Subtitle"/>
    <w:aliases w:val="Podtitul"/>
    <w:link w:val="PodnadpisChar"/>
    <w:uiPriority w:val="11"/>
    <w:qFormat/>
    <w:rsid w:val="00BA507E"/>
    <w:pPr>
      <w:spacing w:line="288" w:lineRule="auto"/>
    </w:pPr>
    <w:rPr>
      <w:rFonts w:ascii="Arial" w:eastAsia="Times New Roman" w:hAnsi="Arial" w:cs="Arial"/>
      <w:b/>
      <w:color w:val="BC091B" w:themeColor="text2"/>
      <w:sz w:val="28"/>
      <w:szCs w:val="28"/>
      <w:lang w:eastAsia="cs-CZ"/>
    </w:rPr>
  </w:style>
  <w:style w:type="character" w:customStyle="1" w:styleId="PodnadpisChar">
    <w:name w:val="Podnadpis Char"/>
    <w:aliases w:val="Podtitul Char"/>
    <w:link w:val="Podnadpis"/>
    <w:uiPriority w:val="11"/>
    <w:rsid w:val="00BA507E"/>
    <w:rPr>
      <w:rFonts w:ascii="Arial" w:eastAsia="Times New Roman" w:hAnsi="Arial" w:cs="Arial"/>
      <w:b/>
      <w:color w:val="BC091B" w:themeColor="text2"/>
      <w:sz w:val="28"/>
      <w:szCs w:val="28"/>
      <w:lang w:eastAsia="cs-CZ"/>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8D70F6"/>
    <w:pPr>
      <w:tabs>
        <w:tab w:val="left" w:pos="567"/>
      </w:tabs>
      <w:ind w:left="142"/>
    </w:pPr>
  </w:style>
  <w:style w:type="paragraph" w:styleId="Obsah4">
    <w:name w:val="toc 4"/>
    <w:basedOn w:val="Obsahpoloky"/>
    <w:next w:val="Obsahpoloky"/>
    <w:autoRedefine/>
    <w:uiPriority w:val="39"/>
    <w:unhideWhenUsed/>
    <w:rsid w:val="008F2923"/>
    <w:pPr>
      <w:tabs>
        <w:tab w:val="left" w:pos="567"/>
        <w:tab w:val="left" w:pos="993"/>
      </w:tabs>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UnresolvedMention">
    <w:name w:val="Unresolved Mention"/>
    <w:basedOn w:val="Standardnpsmoodstavce"/>
    <w:uiPriority w:val="99"/>
    <w:semiHidden/>
    <w:unhideWhenUsed/>
    <w:rsid w:val="003C19E3"/>
    <w:rPr>
      <w:color w:val="605E5C"/>
      <w:shd w:val="clear" w:color="auto" w:fill="E1DFDD"/>
    </w:rPr>
  </w:style>
  <w:style w:type="paragraph" w:styleId="Titulek">
    <w:name w:val="caption"/>
    <w:basedOn w:val="Zkladnodstavec"/>
    <w:next w:val="Normln"/>
    <w:uiPriority w:val="35"/>
    <w:unhideWhenUsed/>
    <w:qFormat/>
    <w:rsid w:val="00C804C6"/>
    <w:rPr>
      <w:rFonts w:cs="Arial"/>
      <w:b/>
      <w:szCs w:val="20"/>
    </w:rPr>
  </w:style>
  <w:style w:type="paragraph" w:customStyle="1" w:styleId="Poznmka">
    <w:name w:val="Poznámka"/>
    <w:basedOn w:val="Zkladnodstavec"/>
    <w:qFormat/>
    <w:rsid w:val="004B573D"/>
    <w:pPr>
      <w:spacing w:line="288" w:lineRule="auto"/>
    </w:pPr>
    <w:rPr>
      <w:rFonts w:cs="Arial"/>
      <w:iCs/>
      <w:sz w:val="14"/>
      <w:szCs w:val="14"/>
    </w:rPr>
  </w:style>
  <w:style w:type="character" w:styleId="Odkaznakoment">
    <w:name w:val="annotation reference"/>
    <w:basedOn w:val="Standardnpsmoodstavce"/>
    <w:uiPriority w:val="99"/>
    <w:semiHidden/>
    <w:unhideWhenUsed/>
    <w:rsid w:val="002441A8"/>
    <w:rPr>
      <w:sz w:val="16"/>
      <w:szCs w:val="16"/>
    </w:rPr>
  </w:style>
  <w:style w:type="paragraph" w:styleId="Textkomente">
    <w:name w:val="annotation text"/>
    <w:basedOn w:val="Normln"/>
    <w:link w:val="TextkomenteChar"/>
    <w:uiPriority w:val="99"/>
    <w:semiHidden/>
    <w:unhideWhenUsed/>
    <w:rsid w:val="002441A8"/>
    <w:pPr>
      <w:spacing w:line="240" w:lineRule="auto"/>
    </w:pPr>
    <w:rPr>
      <w:szCs w:val="20"/>
    </w:rPr>
  </w:style>
  <w:style w:type="character" w:customStyle="1" w:styleId="TextkomenteChar">
    <w:name w:val="Text komentáře Char"/>
    <w:basedOn w:val="Standardnpsmoodstavce"/>
    <w:link w:val="Textkomente"/>
    <w:uiPriority w:val="99"/>
    <w:semiHidden/>
    <w:rsid w:val="002441A8"/>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2441A8"/>
    <w:rPr>
      <w:b/>
      <w:bCs/>
    </w:rPr>
  </w:style>
  <w:style w:type="character" w:customStyle="1" w:styleId="PedmtkomenteChar">
    <w:name w:val="Předmět komentáře Char"/>
    <w:basedOn w:val="TextkomenteChar"/>
    <w:link w:val="Pedmtkomente"/>
    <w:uiPriority w:val="99"/>
    <w:semiHidden/>
    <w:rsid w:val="002441A8"/>
    <w:rPr>
      <w:rFonts w:ascii="Arial" w:eastAsia="Times New Roman" w:hAnsi="Arial"/>
      <w:b/>
      <w:bCs/>
      <w:lang w:eastAsia="cs-CZ"/>
    </w:rPr>
  </w:style>
  <w:style w:type="paragraph" w:styleId="Odstavecseseznamem">
    <w:name w:val="List Paragraph"/>
    <w:basedOn w:val="Normln"/>
    <w:uiPriority w:val="34"/>
    <w:qFormat/>
    <w:rsid w:val="008E33C7"/>
    <w:pPr>
      <w:ind w:left="720"/>
      <w:contextualSpacing/>
    </w:pPr>
  </w:style>
  <w:style w:type="paragraph" w:styleId="Textpoznpodarou">
    <w:name w:val="footnote text"/>
    <w:basedOn w:val="Normln"/>
    <w:link w:val="TextpoznpodarouChar"/>
    <w:uiPriority w:val="99"/>
    <w:semiHidden/>
    <w:unhideWhenUsed/>
    <w:rsid w:val="008B737D"/>
    <w:pPr>
      <w:spacing w:after="0"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8B737D"/>
    <w:rPr>
      <w:rFonts w:asciiTheme="minorHAnsi" w:eastAsiaTheme="minorHAnsi" w:hAnsiTheme="minorHAnsi" w:cstheme="minorBidi"/>
    </w:rPr>
  </w:style>
  <w:style w:type="character" w:styleId="Znakapoznpodarou">
    <w:name w:val="footnote reference"/>
    <w:basedOn w:val="Standardnpsmoodstavce"/>
    <w:uiPriority w:val="99"/>
    <w:semiHidden/>
    <w:unhideWhenUsed/>
    <w:rsid w:val="008B737D"/>
    <w:rPr>
      <w:vertAlign w:val="superscript"/>
    </w:rPr>
  </w:style>
  <w:style w:type="paragraph" w:styleId="Bezmezer">
    <w:name w:val="No Spacing"/>
    <w:uiPriority w:val="1"/>
    <w:qFormat/>
    <w:rsid w:val="00985206"/>
    <w:rPr>
      <w:rFonts w:ascii="Arial" w:eastAsia="Times New Roman" w:hAnsi="Arial"/>
      <w:szCs w:val="24"/>
      <w:lang w:eastAsia="cs-CZ"/>
    </w:rPr>
  </w:style>
  <w:style w:type="character" w:styleId="Sledovanodkaz">
    <w:name w:val="FollowedHyperlink"/>
    <w:basedOn w:val="Standardnpsmoodstavce"/>
    <w:uiPriority w:val="99"/>
    <w:semiHidden/>
    <w:unhideWhenUsed/>
    <w:rsid w:val="00DF68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28287651">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0.xml"/><Relationship Id="rId21" Type="http://schemas.openxmlformats.org/officeDocument/2006/relationships/chart" Target="charts/chart14.xml"/><Relationship Id="rId34" Type="http://schemas.openxmlformats.org/officeDocument/2006/relationships/chart" Target="charts/chart25.xml"/><Relationship Id="rId42" Type="http://schemas.openxmlformats.org/officeDocument/2006/relationships/hyperlink" Target="https://www.czso.cz/csu/czso/domacnosti_a_jednotlivci"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hyperlink" Target="https://www.czso.cz/csu/czso/zamestnanost_nezamestnanost_prace" TargetMode="Externa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5.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7.xml"/><Relationship Id="rId49"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s://www.czso.cz/csu/czso/vybrane-udaje-o-socialnim-zabezpeceni-2021" TargetMode="External"/><Relationship Id="rId44" Type="http://schemas.openxmlformats.org/officeDocument/2006/relationships/chart" Target="charts/chart3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2.xml"/><Relationship Id="rId35" Type="http://schemas.openxmlformats.org/officeDocument/2006/relationships/chart" Target="charts/chart26.xml"/><Relationship Id="rId43" Type="http://schemas.openxmlformats.org/officeDocument/2006/relationships/chart" Target="charts/chart33.xml"/><Relationship Id="rId48" Type="http://schemas.openxmlformats.org/officeDocument/2006/relationships/header" Target="header2.xml"/><Relationship Id="rId8" Type="http://schemas.openxmlformats.org/officeDocument/2006/relationships/chart" Target="charts/chart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6.xml"/><Relationship Id="rId20" Type="http://schemas.openxmlformats.org/officeDocument/2006/relationships/chart" Target="charts/chart13.xml"/><Relationship Id="rId41"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alivcova5849\Documents\Senio&#345;i\A5_publikace%20bar%20CZ_2020-11-10%20LaS%20.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BFS2\DATA\DATA\ZPRAC\UKAZATELE\Senio&#345;i%20v%20&#268;R%20v%20datech\seniori2021_demografie.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korychova31833\Documents\&#268;l&#225;nky%20a%20prezentace\Senio&#345;i%20v%20&#268;R%20v%20datech\2022_Senio&#345;i.xlsx" TargetMode="External"/><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3" Type="http://schemas.openxmlformats.org/officeDocument/2006/relationships/oleObject" Target="file:///D:\korychova31833\Documents\&#268;l&#225;nky%20a%20prezentace\Senio&#345;i%20v%20&#268;R%20v%20datech\2022_Senio&#345;i.xlsx" TargetMode="External"/><Relationship Id="rId2" Type="http://schemas.microsoft.com/office/2011/relationships/chartColorStyle" Target="colors8.xml"/><Relationship Id="rId1" Type="http://schemas.microsoft.com/office/2011/relationships/chartStyle" Target="style8.xml"/></Relationships>
</file>

<file path=word/charts/_rels/chart12.xml.rels><?xml version="1.0" encoding="UTF-8" standalone="yes"?>
<Relationships xmlns="http://schemas.openxmlformats.org/package/2006/relationships"><Relationship Id="rId3" Type="http://schemas.openxmlformats.org/officeDocument/2006/relationships/oleObject" Target="file:///D:\korychova31833\Documents\&#268;l&#225;nky%20a%20prezentace\Senio&#345;i%20v%20&#268;R%20v%20datech\2022_Senio&#345;i.xlsx" TargetMode="External"/><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3" Type="http://schemas.openxmlformats.org/officeDocument/2006/relationships/oleObject" Target="file:///D:\korychova31833\Documents\&#268;l&#225;nky%20a%20prezentace\Senio&#345;i%20v%20&#268;R%20v%20datech\2022_Senio&#345;i.xlsx" TargetMode="External"/><Relationship Id="rId2" Type="http://schemas.microsoft.com/office/2011/relationships/chartColorStyle" Target="colors10.xml"/><Relationship Id="rId1" Type="http://schemas.microsoft.com/office/2011/relationships/chartStyle" Target="style10.xml"/></Relationships>
</file>

<file path=word/charts/_rels/chart14.xml.rels><?xml version="1.0" encoding="UTF-8" standalone="yes"?>
<Relationships xmlns="http://schemas.openxmlformats.org/package/2006/relationships"><Relationship Id="rId3" Type="http://schemas.openxmlformats.org/officeDocument/2006/relationships/oleObject" Target="file:///D:\korychova31833\Documents\&#268;l&#225;nky%20a%20prezentace\Senio&#345;i%20v%20&#268;R%20v%20datech\2022_Senio&#345;i.xlsx" TargetMode="External"/><Relationship Id="rId2" Type="http://schemas.microsoft.com/office/2011/relationships/chartColorStyle" Target="colors11.xml"/><Relationship Id="rId1" Type="http://schemas.microsoft.com/office/2011/relationships/chartStyle" Target="style11.xml"/></Relationships>
</file>

<file path=word/charts/_rels/chart15.xml.rels><?xml version="1.0" encoding="UTF-8" standalone="yes"?>
<Relationships xmlns="http://schemas.openxmlformats.org/package/2006/relationships"><Relationship Id="rId3" Type="http://schemas.openxmlformats.org/officeDocument/2006/relationships/oleObject" Target="file:///\\ABFS2\DATA\DATA\ZPRAC\TECHNOL\oddeleni_6301\01_Zdravotnictv&#237;\01_Zdravotnick&#233;%20&#250;&#269;ty\Senio&#345;i_2022\Senio&#345;i_2022.xlsx" TargetMode="External"/><Relationship Id="rId2" Type="http://schemas.microsoft.com/office/2011/relationships/chartColorStyle" Target="colors12.xml"/><Relationship Id="rId1" Type="http://schemas.microsoft.com/office/2011/relationships/chartStyle" Target="style12.xml"/></Relationships>
</file>

<file path=word/charts/_rels/chart16.xml.rels><?xml version="1.0" encoding="UTF-8" standalone="yes"?>
<Relationships xmlns="http://schemas.openxmlformats.org/package/2006/relationships"><Relationship Id="rId3" Type="http://schemas.openxmlformats.org/officeDocument/2006/relationships/oleObject" Target="file:///\\ABFS2\DATA\DATA\ZPRAC\TECHNOL\oddeleni_6301\01_Zdravotnictv&#237;\01_Zdravotnick&#233;%20&#250;&#269;ty\Senio&#345;i_2022\Senio&#345;i_2022.xlsx" TargetMode="External"/><Relationship Id="rId2" Type="http://schemas.microsoft.com/office/2011/relationships/chartColorStyle" Target="colors13.xml"/><Relationship Id="rId1" Type="http://schemas.microsoft.com/office/2011/relationships/chartStyle" Target="style13.xml"/></Relationships>
</file>

<file path=word/charts/_rels/chart17.xml.rels><?xml version="1.0" encoding="UTF-8" standalone="yes"?>
<Relationships xmlns="http://schemas.openxmlformats.org/package/2006/relationships"><Relationship Id="rId3" Type="http://schemas.openxmlformats.org/officeDocument/2006/relationships/oleObject" Target="file:///\\ABFS2\DATA\DATA\ZPRAC\TECHNOL\oddeleni_6301\01_Zdravotnictv&#237;\01_Zdravotnick&#233;%20&#250;&#269;ty\Senio&#345;i_2022.xlsx" TargetMode="External"/><Relationship Id="rId2" Type="http://schemas.microsoft.com/office/2011/relationships/chartColorStyle" Target="colors14.xml"/><Relationship Id="rId1" Type="http://schemas.microsoft.com/office/2011/relationships/chartStyle" Target="style14.xml"/></Relationships>
</file>

<file path=word/charts/_rels/chart18.xml.rels><?xml version="1.0" encoding="UTF-8" standalone="yes"?>
<Relationships xmlns="http://schemas.openxmlformats.org/package/2006/relationships"><Relationship Id="rId3" Type="http://schemas.openxmlformats.org/officeDocument/2006/relationships/oleObject" Target="file:///\\ABFS2\DATA\DATA\ZPRAC\TECHNOL\oddeleni_6301\01_Zdravotnictv&#237;\01_Zdravotnick&#233;%20&#250;&#269;ty\Senio&#345;i_2022.xlsx" TargetMode="External"/><Relationship Id="rId2" Type="http://schemas.microsoft.com/office/2011/relationships/chartColorStyle" Target="colors15.xml"/><Relationship Id="rId1" Type="http://schemas.microsoft.com/office/2011/relationships/chartStyle" Target="style15.xml"/></Relationships>
</file>

<file path=word/charts/_rels/chart19.xml.rels><?xml version="1.0" encoding="UTF-8" standalone="yes"?>
<Relationships xmlns="http://schemas.openxmlformats.org/package/2006/relationships"><Relationship Id="rId3" Type="http://schemas.openxmlformats.org/officeDocument/2006/relationships/oleObject" Target="file:///\\ABFS2\DATA\DATA\ZPRAC\TECHNOL\oddeleni_6301\01_Zdravotnictv&#237;\01_Zdravotnick&#233;%20&#250;&#269;ty\Senio&#345;i_2022.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1" Type="http://schemas.openxmlformats.org/officeDocument/2006/relationships/oleObject" Target="file:///\\ABFS2\DATA\DATA\ZPRAC\UKAZATELE\Senio&#345;i%20v%20&#268;R%20v%20datech\seniori2021_demografie.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List_aplikace_Microsoft_Excel2.xlsx"/></Relationships>
</file>

<file path=word/charts/_rels/chart21.xml.rels><?xml version="1.0" encoding="UTF-8" standalone="yes"?>
<Relationships xmlns="http://schemas.openxmlformats.org/package/2006/relationships"><Relationship Id="rId3" Type="http://schemas.openxmlformats.org/officeDocument/2006/relationships/oleObject" Target="file:///\\ABFS2\DATA\DATA\ZPRAC\TECHNOL\oddeleni_6301\01_Zdravotnictv&#237;\01_Zdravotnick&#233;%20&#250;&#269;ty\Senio&#345;i_2022.xlsx" TargetMode="External"/><Relationship Id="rId2" Type="http://schemas.microsoft.com/office/2011/relationships/chartColorStyle" Target="colors18.xml"/><Relationship Id="rId1" Type="http://schemas.microsoft.com/office/2011/relationships/chartStyle" Target="style18.xml"/></Relationships>
</file>

<file path=word/charts/_rels/chart22.xml.rels><?xml version="1.0" encoding="UTF-8" standalone="yes"?>
<Relationships xmlns="http://schemas.openxmlformats.org/package/2006/relationships"><Relationship Id="rId3" Type="http://schemas.openxmlformats.org/officeDocument/2006/relationships/oleObject" Target="file:///D:\vojtech7131\Documents\Gender\Senio&#345;i%202022\GRAF-7-1_m&#237;ryEA.xlsx" TargetMode="External"/><Relationship Id="rId2" Type="http://schemas.microsoft.com/office/2011/relationships/chartColorStyle" Target="colors19.xml"/><Relationship Id="rId1" Type="http://schemas.microsoft.com/office/2011/relationships/chartStyle" Target="style19.xml"/></Relationships>
</file>

<file path=word/charts/_rels/chart23.xml.rels><?xml version="1.0" encoding="UTF-8" standalone="yes"?>
<Relationships xmlns="http://schemas.openxmlformats.org/package/2006/relationships"><Relationship Id="rId2" Type="http://schemas.openxmlformats.org/officeDocument/2006/relationships/oleObject" Target="https://czsocz-my.sharepoint.com/personal/marketa_pistorova_czso_cz/Documents/Dokumenty/SOCI&#193;LN&#205;%20ZABEZPE&#268;EN&#205;/Senio&#345;i%20SZ/2022/Duchodci_celkem.xlsx" TargetMode="External"/><Relationship Id="rId1" Type="http://schemas.openxmlformats.org/officeDocument/2006/relationships/themeOverride" Target="../theme/themeOverride2.xml"/></Relationships>
</file>

<file path=word/charts/_rels/chart2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https://czsocz-my.sharepoint.com/personal/marketa_pistorova_czso_cz/Documents/Dokumenty/SOCI&#193;LN&#205;%20ZABEZPE&#268;EN&#205;/Senio&#345;i%20SZ/2022/Senio&#345;i_SZ_grafy_2021.xlsx" TargetMode="External"/><Relationship Id="rId1" Type="http://schemas.openxmlformats.org/officeDocument/2006/relationships/themeOverride" Target="../theme/themeOverride3.xm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0.xml"/><Relationship Id="rId1" Type="http://schemas.microsoft.com/office/2011/relationships/chartStyle" Target="style20.xml"/><Relationship Id="rId5" Type="http://schemas.openxmlformats.org/officeDocument/2006/relationships/chartUserShapes" Target="../drawings/drawing3.xml"/><Relationship Id="rId4" Type="http://schemas.openxmlformats.org/officeDocument/2006/relationships/oleObject" Target="https://czsocz-my.sharepoint.com/personal/marketa_pistorova_czso_cz/Documents/Dokumenty/SOCI&#193;LN&#205;%20ZABEZPE&#268;EN&#205;/Senio&#345;i%20SZ/2022/Senio&#345;i_SZ_grafy_2021.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https://czsocz-my.sharepoint.com/personal/marketa_pistorova_czso_cz/Documents/Dokumenty/SOCI&#193;LN&#205;%20ZABEZPE&#268;EN&#205;/Senio&#345;i%20SZ/2022/Senio&#345;i_SZ_grafy_2021.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https://czsocz-my.sharepoint.com/personal/marketa_pistorova_czso_cz/Documents/Dokumenty/SOCI&#193;LN&#205;%20ZABEZPE&#268;EN&#205;/Senio&#345;i%20SZ/2022/Senio&#345;i_SZ_grafy_2021.xlsx" TargetMode="External"/></Relationships>
</file>

<file path=word/charts/_rels/chart28.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https://czsocz-my.sharepoint.com/personal/marketa_pistorova_czso_cz/Documents/Dokumenty/SOCI&#193;LN&#205;%20ZABEZPE&#268;EN&#205;/Senio&#345;i%20SZ/2022/Senio&#345;i_SZ_grafy_2021.xlsx" TargetMode="External"/><Relationship Id="rId1" Type="http://schemas.openxmlformats.org/officeDocument/2006/relationships/themeOverride" Target="../theme/themeOverride7.xml"/></Relationships>
</file>

<file path=word/charts/_rels/chart29.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https://czsocz-my.sharepoint.com/personal/marketa_pistorova_czso_cz/Documents/Dokumenty/SOCI&#193;LN&#205;%20ZABEZPE&#268;EN&#205;/Senio&#345;i%20SZ/2022/Senio&#345;i_SZ_grafy_2021.xlsx" TargetMode="External"/><Relationship Id="rId1" Type="http://schemas.openxmlformats.org/officeDocument/2006/relationships/themeOverride" Target="../theme/themeOverride8.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ABFS2\DATA\DATA\ZPRAC\UKAZATELE\Senio&#345;i%20v%20&#268;R%20v%20datech\seniori2021_demografie.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https://czsocz-my.sharepoint.com/personal/marketa_pistorova_czso_cz/Documents/Dokumenty/SOCI&#193;LN&#205;%20ZABEZPE&#268;EN&#205;/Senio&#345;i%20SZ/2022/Senio&#345;i_SZ_grafy_2021.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https://czsocz-my.sharepoint.com/personal/marketa_pistorova_czso_cz/Documents/Dokumenty/SOCI&#193;LN&#205;%20ZABEZPE&#268;EN&#205;/Senio&#345;i%20SZ/2022/Senio&#345;i_SZ_grafy_2021.xlsx"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https://czsocz-my.sharepoint.com/personal/marketa_pistorova_czso_cz/Documents/Dokumenty/SOCI&#193;LN&#205;%20ZABEZPE&#268;EN&#205;/Senio&#345;i%20SZ/2022/Senio&#345;i_SZ_grafy_2021_&#269;ist&#233;.xlsx" TargetMode="External"/></Relationships>
</file>

<file path=word/charts/_rels/chart33.xml.rels><?xml version="1.0" encoding="UTF-8" standalone="yes"?>
<Relationships xmlns="http://schemas.openxmlformats.org/package/2006/relationships"><Relationship Id="rId3" Type="http://schemas.openxmlformats.org/officeDocument/2006/relationships/oleObject" Target="file:///D:\weichetova9478\Documents\_VSIT\2022\V&#253;stupy\Senio&#345;i\Senio&#345;i%20a%20ICT_2022.xlsx" TargetMode="External"/><Relationship Id="rId2" Type="http://schemas.microsoft.com/office/2011/relationships/chartColorStyle" Target="colors26.xml"/><Relationship Id="rId1" Type="http://schemas.microsoft.com/office/2011/relationships/chartStyle" Target="style26.xml"/></Relationships>
</file>

<file path=word/charts/_rels/chart34.xml.rels><?xml version="1.0" encoding="UTF-8" standalone="yes"?>
<Relationships xmlns="http://schemas.openxmlformats.org/package/2006/relationships"><Relationship Id="rId1" Type="http://schemas.openxmlformats.org/officeDocument/2006/relationships/oleObject" Target="file:///D:\weichetova9478\Documents\_VSIT\2022\V&#253;stupy\Senio&#345;i\Senio&#345;i%20a%20ICT_2022.xlsx" TargetMode="External"/></Relationships>
</file>

<file path=word/charts/_rels/chart35.xml.rels><?xml version="1.0" encoding="UTF-8" standalone="yes"?>
<Relationships xmlns="http://schemas.openxmlformats.org/package/2006/relationships"><Relationship Id="rId3" Type="http://schemas.openxmlformats.org/officeDocument/2006/relationships/oleObject" Target="file:///D:\weichetova9478\Documents\_VSIT\2022\V&#253;stupy\Senio&#345;i\Senio&#345;i%20a%20ICT_2022.xlsx" TargetMode="External"/><Relationship Id="rId2" Type="http://schemas.microsoft.com/office/2011/relationships/chartColorStyle" Target="colors27.xml"/><Relationship Id="rId1" Type="http://schemas.microsoft.com/office/2011/relationships/chartStyle" Target="style27.xml"/></Relationships>
</file>

<file path=word/charts/_rels/chart36.xml.rels><?xml version="1.0" encoding="UTF-8" standalone="yes"?>
<Relationships xmlns="http://schemas.openxmlformats.org/package/2006/relationships"><Relationship Id="rId1" Type="http://schemas.openxmlformats.org/officeDocument/2006/relationships/oleObject" Target="file:///D:\weichetova9478\Documents\_VSIT\2022\V&#253;stupy\Senio&#345;i\Senio&#345;i%20a%20ICT_202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nemeckova5518\_D\zak&#225;zky\pro%20&#268;S&#218;\Seniori%202022\seniori2021_demografie_opr.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file:///\\ABFS2\DATA\DATA\ZPRAC\UKAZATELE\Senio&#345;i%20v%20&#268;R%20v%20datech\seniori2021_demografie.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oleObject" Target="file:///\\ABFS2\DATA\DATA\ZPRAC\UKAZATELE\Senio&#345;i%20v%20&#268;R%20v%20datech\Graf%20v%20aplikaci%20Microsoft%20Word.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oleObject" Target="file:///\\ABFS2\DATA\DATA\ZPRAC\UKAZATELE\Senio&#345;i%20v%20&#268;R%20v%20datech\Graf%20v%20aplikaci%20Microsoft%20Word.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26296296296293"/>
          <c:y val="6.7438679285610481E-2"/>
          <c:w val="0.7587518518518519"/>
          <c:h val="0.73486259259259246"/>
        </c:manualLayout>
      </c:layout>
      <c:barChart>
        <c:barDir val="col"/>
        <c:grouping val="clustered"/>
        <c:varyColors val="0"/>
        <c:ser>
          <c:idx val="0"/>
          <c:order val="0"/>
          <c:tx>
            <c:strRef>
              <c:f>'počet_podíl_graf 1+2'!$B$1</c:f>
              <c:strCache>
                <c:ptCount val="1"/>
                <c:pt idx="0">
                  <c:v>počet</c:v>
                </c:pt>
              </c:strCache>
            </c:strRef>
          </c:tx>
          <c:spPr>
            <a:solidFill>
              <a:srgbClr val="0071BC"/>
            </a:solidFill>
            <a:ln w="3175">
              <a:solidFill>
                <a:schemeClr val="tx1"/>
              </a:solidFill>
            </a:ln>
          </c:spPr>
          <c:invertIfNegative val="0"/>
          <c:cat>
            <c:numRef>
              <c:f>'počet_podíl_graf 1+2'!$A$22:$A$63</c:f>
              <c:numCache>
                <c:formatCode>General</c:formatCode>
                <c:ptCount val="4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numCache>
            </c:numRef>
          </c:cat>
          <c:val>
            <c:numRef>
              <c:f>'počet_podíl_graf 1+2'!$B$22:$B$63</c:f>
              <c:numCache>
                <c:formatCode>0</c:formatCode>
                <c:ptCount val="42"/>
                <c:pt idx="0">
                  <c:v>1369455</c:v>
                </c:pt>
                <c:pt idx="1">
                  <c:v>1328766</c:v>
                </c:pt>
                <c:pt idx="2">
                  <c:v>1282207</c:v>
                </c:pt>
                <c:pt idx="3">
                  <c:v>1232117</c:v>
                </c:pt>
                <c:pt idx="4">
                  <c:v>1219211</c:v>
                </c:pt>
                <c:pt idx="5">
                  <c:v>1225407</c:v>
                </c:pt>
                <c:pt idx="6">
                  <c:v>1239797</c:v>
                </c:pt>
                <c:pt idx="7">
                  <c:v>1258698</c:v>
                </c:pt>
                <c:pt idx="8">
                  <c:v>1278603</c:v>
                </c:pt>
                <c:pt idx="9">
                  <c:v>1292022</c:v>
                </c:pt>
                <c:pt idx="10">
                  <c:v>1302451</c:v>
                </c:pt>
                <c:pt idx="11">
                  <c:v>1314958</c:v>
                </c:pt>
                <c:pt idx="12">
                  <c:v>1328258</c:v>
                </c:pt>
                <c:pt idx="13">
                  <c:v>1342924</c:v>
                </c:pt>
                <c:pt idx="14">
                  <c:v>1356232</c:v>
                </c:pt>
                <c:pt idx="15">
                  <c:v>1372280</c:v>
                </c:pt>
                <c:pt idx="16">
                  <c:v>1388248</c:v>
                </c:pt>
                <c:pt idx="17">
                  <c:v>1401862</c:v>
                </c:pt>
                <c:pt idx="18">
                  <c:v>1411438</c:v>
                </c:pt>
                <c:pt idx="19">
                  <c:v>1418078</c:v>
                </c:pt>
                <c:pt idx="20">
                  <c:v>1423003</c:v>
                </c:pt>
                <c:pt idx="21">
                  <c:v>1414557</c:v>
                </c:pt>
                <c:pt idx="22">
                  <c:v>1417962</c:v>
                </c:pt>
                <c:pt idx="23">
                  <c:v>1423192</c:v>
                </c:pt>
                <c:pt idx="24">
                  <c:v>1434630</c:v>
                </c:pt>
                <c:pt idx="25" formatCode="General">
                  <c:v>1456391</c:v>
                </c:pt>
                <c:pt idx="26" formatCode="General">
                  <c:v>1482437</c:v>
                </c:pt>
                <c:pt idx="27" formatCode="General">
                  <c:v>1512834</c:v>
                </c:pt>
                <c:pt idx="28" formatCode="General">
                  <c:v>1556152</c:v>
                </c:pt>
                <c:pt idx="29" formatCode="General">
                  <c:v>1598883</c:v>
                </c:pt>
                <c:pt idx="30" formatCode="General">
                  <c:v>1635826</c:v>
                </c:pt>
                <c:pt idx="31" formatCode="General">
                  <c:v>1701436</c:v>
                </c:pt>
                <c:pt idx="32" formatCode="General">
                  <c:v>1767618</c:v>
                </c:pt>
                <c:pt idx="33" formatCode="General">
                  <c:v>1825544</c:v>
                </c:pt>
                <c:pt idx="34" formatCode="General">
                  <c:v>1880406</c:v>
                </c:pt>
                <c:pt idx="35" formatCode="General">
                  <c:v>1932412</c:v>
                </c:pt>
                <c:pt idx="36" formatCode="General">
                  <c:v>1988922</c:v>
                </c:pt>
                <c:pt idx="37" formatCode="General">
                  <c:v>2040183</c:v>
                </c:pt>
                <c:pt idx="38" formatCode="General">
                  <c:v>2086617</c:v>
                </c:pt>
                <c:pt idx="39" formatCode="General">
                  <c:v>2131630</c:v>
                </c:pt>
                <c:pt idx="40" formatCode="General">
                  <c:v>2158322</c:v>
                </c:pt>
                <c:pt idx="41" formatCode="General">
                  <c:v>2169109</c:v>
                </c:pt>
              </c:numCache>
            </c:numRef>
          </c:val>
          <c:extLst>
            <c:ext xmlns:c16="http://schemas.microsoft.com/office/drawing/2014/chart" uri="{C3380CC4-5D6E-409C-BE32-E72D297353CC}">
              <c16:uniqueId val="{00000000-858C-475E-AABE-506BC75820AF}"/>
            </c:ext>
          </c:extLst>
        </c:ser>
        <c:dLbls>
          <c:showLegendKey val="0"/>
          <c:showVal val="0"/>
          <c:showCatName val="0"/>
          <c:showSerName val="0"/>
          <c:showPercent val="0"/>
          <c:showBubbleSize val="0"/>
        </c:dLbls>
        <c:gapWidth val="80"/>
        <c:axId val="999497536"/>
        <c:axId val="999498784"/>
        <c:extLst/>
      </c:barChart>
      <c:lineChart>
        <c:grouping val="standard"/>
        <c:varyColors val="0"/>
        <c:ser>
          <c:idx val="1"/>
          <c:order val="1"/>
          <c:tx>
            <c:strRef>
              <c:f>'počet_podíl_graf 1+2'!$E$1</c:f>
              <c:strCache>
                <c:ptCount val="1"/>
                <c:pt idx="0">
                  <c:v>podíl</c:v>
                </c:pt>
              </c:strCache>
            </c:strRef>
          </c:tx>
          <c:spPr>
            <a:ln>
              <a:solidFill>
                <a:srgbClr val="BD1B21"/>
              </a:solidFill>
            </a:ln>
          </c:spPr>
          <c:marker>
            <c:symbol val="none"/>
          </c:marker>
          <c:cat>
            <c:numRef>
              <c:f>'počet_podíl_graf 1+2'!$A$22:$A$63</c:f>
              <c:numCache>
                <c:formatCode>General</c:formatCode>
                <c:ptCount val="4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numCache>
            </c:numRef>
          </c:cat>
          <c:val>
            <c:numRef>
              <c:f>'počet_podíl_graf 1+2'!$E$22:$E$63</c:f>
              <c:numCache>
                <c:formatCode>0.0</c:formatCode>
                <c:ptCount val="42"/>
                <c:pt idx="0">
                  <c:v>13.305087471072992</c:v>
                </c:pt>
                <c:pt idx="1">
                  <c:v>12.89004716027071</c:v>
                </c:pt>
                <c:pt idx="2">
                  <c:v>12.423058745380617</c:v>
                </c:pt>
                <c:pt idx="3">
                  <c:v>11.931573115682854</c:v>
                </c:pt>
                <c:pt idx="4">
                  <c:v>11.798169132660467</c:v>
                </c:pt>
                <c:pt idx="5">
                  <c:v>11.850747582162475</c:v>
                </c:pt>
                <c:pt idx="6">
                  <c:v>11.98552530186476</c:v>
                </c:pt>
                <c:pt idx="7">
                  <c:v>12.160725884513788</c:v>
                </c:pt>
                <c:pt idx="8">
                  <c:v>12.341687295620844</c:v>
                </c:pt>
                <c:pt idx="9">
                  <c:v>12.468724974913391</c:v>
                </c:pt>
                <c:pt idx="10">
                  <c:v>12.566918342543953</c:v>
                </c:pt>
                <c:pt idx="11">
                  <c:v>12.751048528452911</c:v>
                </c:pt>
                <c:pt idx="12">
                  <c:v>12.863615889561741</c:v>
                </c:pt>
                <c:pt idx="13">
                  <c:v>12.995183961932311</c:v>
                </c:pt>
                <c:pt idx="14">
                  <c:v>13.125044698326096</c:v>
                </c:pt>
                <c:pt idx="15">
                  <c:v>13.295555307525841</c:v>
                </c:pt>
                <c:pt idx="16">
                  <c:v>13.466190234934311</c:v>
                </c:pt>
                <c:pt idx="17">
                  <c:v>13.611466993555277</c:v>
                </c:pt>
                <c:pt idx="18">
                  <c:v>13.717103866119073</c:v>
                </c:pt>
                <c:pt idx="19">
                  <c:v>13.797085803229352</c:v>
                </c:pt>
                <c:pt idx="20">
                  <c:v>13.860581738006141</c:v>
                </c:pt>
                <c:pt idx="21">
                  <c:v>13.85946083432062</c:v>
                </c:pt>
                <c:pt idx="22">
                  <c:v>13.897134339984568</c:v>
                </c:pt>
                <c:pt idx="23">
                  <c:v>13.937210710912401</c:v>
                </c:pt>
                <c:pt idx="24">
                  <c:v>14.036683056152309</c:v>
                </c:pt>
                <c:pt idx="25">
                  <c:v>14.207197115542666</c:v>
                </c:pt>
                <c:pt idx="26">
                  <c:v>14.410515836736352</c:v>
                </c:pt>
                <c:pt idx="27">
                  <c:v>14.572922215596954</c:v>
                </c:pt>
                <c:pt idx="28">
                  <c:v>14.86645097769849</c:v>
                </c:pt>
                <c:pt idx="29">
                  <c:v>15.217583105362205</c:v>
                </c:pt>
                <c:pt idx="30">
                  <c:v>15.530824275095725</c:v>
                </c:pt>
                <c:pt idx="31">
                  <c:v>16.195753725805996</c:v>
                </c:pt>
                <c:pt idx="32">
                  <c:v>16.80864386834504</c:v>
                </c:pt>
                <c:pt idx="33">
                  <c:v>17.365593970331659</c:v>
                </c:pt>
                <c:pt idx="34">
                  <c:v>17.843584457608099</c:v>
                </c:pt>
                <c:pt idx="35">
                  <c:v>18.310031710723763</c:v>
                </c:pt>
                <c:pt idx="36">
                  <c:v>18.80098158395738</c:v>
                </c:pt>
                <c:pt idx="37">
                  <c:v>19.228769313636924</c:v>
                </c:pt>
                <c:pt idx="38">
                  <c:v>19.593015831283218</c:v>
                </c:pt>
                <c:pt idx="39">
                  <c:v>19.933066758656466</c:v>
                </c:pt>
                <c:pt idx="40">
                  <c:v>20.167884268192097</c:v>
                </c:pt>
                <c:pt idx="41">
                  <c:v>20.625363053282744</c:v>
                </c:pt>
              </c:numCache>
            </c:numRef>
          </c:val>
          <c:smooth val="0"/>
          <c:extLst>
            <c:ext xmlns:c16="http://schemas.microsoft.com/office/drawing/2014/chart" uri="{C3380CC4-5D6E-409C-BE32-E72D297353CC}">
              <c16:uniqueId val="{00000001-858C-475E-AABE-506BC75820AF}"/>
            </c:ext>
          </c:extLst>
        </c:ser>
        <c:dLbls>
          <c:showLegendKey val="0"/>
          <c:showVal val="0"/>
          <c:showCatName val="0"/>
          <c:showSerName val="0"/>
          <c:showPercent val="0"/>
          <c:showBubbleSize val="0"/>
        </c:dLbls>
        <c:marker val="1"/>
        <c:smooth val="0"/>
        <c:axId val="1134662863"/>
        <c:axId val="1134616687"/>
      </c:lineChart>
      <c:catAx>
        <c:axId val="999497536"/>
        <c:scaling>
          <c:orientation val="minMax"/>
        </c:scaling>
        <c:delete val="0"/>
        <c:axPos val="b"/>
        <c:numFmt formatCode="General" sourceLinked="1"/>
        <c:majorTickMark val="none"/>
        <c:minorTickMark val="none"/>
        <c:tickLblPos val="nextTo"/>
        <c:spPr>
          <a:noFill/>
          <a:ln w="3175" cap="flat" cmpd="sng" algn="ctr">
            <a:solidFill>
              <a:schemeClr val="tx1"/>
            </a:solidFill>
            <a:round/>
          </a:ln>
          <a:effectLst/>
        </c:spPr>
        <c:txPr>
          <a:bodyPr rot="-5400000" vert="horz"/>
          <a:lstStyle/>
          <a:p>
            <a:pPr>
              <a:defRPr/>
            </a:pPr>
            <a:endParaRPr lang="cs-CZ"/>
          </a:p>
        </c:txPr>
        <c:crossAx val="999498784"/>
        <c:crosses val="autoZero"/>
        <c:auto val="1"/>
        <c:lblAlgn val="ctr"/>
        <c:lblOffset val="100"/>
        <c:noMultiLvlLbl val="0"/>
      </c:catAx>
      <c:valAx>
        <c:axId val="999498784"/>
        <c:scaling>
          <c:orientation val="minMax"/>
        </c:scaling>
        <c:delete val="0"/>
        <c:axPos val="l"/>
        <c:majorGridlines>
          <c:spPr>
            <a:ln w="3175" cap="flat" cmpd="sng" algn="ctr">
              <a:solidFill>
                <a:schemeClr val="tx1"/>
              </a:solidFill>
              <a:round/>
            </a:ln>
            <a:effectLst/>
          </c:spPr>
        </c:majorGridlines>
        <c:title>
          <c:tx>
            <c:rich>
              <a:bodyPr/>
              <a:lstStyle/>
              <a:p>
                <a:pPr>
                  <a:defRPr b="0">
                    <a:solidFill>
                      <a:sysClr val="windowText" lastClr="000000"/>
                    </a:solidFill>
                  </a:defRPr>
                </a:pPr>
                <a:r>
                  <a:rPr lang="en-US" b="0">
                    <a:solidFill>
                      <a:sysClr val="windowText" lastClr="000000"/>
                    </a:solidFill>
                  </a:rPr>
                  <a:t>počet seniorů (mil.)</a:t>
                </a:r>
              </a:p>
            </c:rich>
          </c:tx>
          <c:layout>
            <c:manualLayout>
              <c:xMode val="edge"/>
              <c:yMode val="edge"/>
              <c:x val="3.7702044607258599E-3"/>
              <c:y val="0.21752213389594244"/>
            </c:manualLayout>
          </c:layout>
          <c:overlay val="0"/>
        </c:title>
        <c:numFmt formatCode="0.0" sourceLinked="0"/>
        <c:majorTickMark val="none"/>
        <c:minorTickMark val="none"/>
        <c:tickLblPos val="nextTo"/>
        <c:spPr>
          <a:noFill/>
          <a:ln w="3175">
            <a:solidFill>
              <a:schemeClr val="tx1"/>
            </a:solidFill>
          </a:ln>
          <a:effectLst/>
        </c:spPr>
        <c:txPr>
          <a:bodyPr rot="-60000000" vert="horz"/>
          <a:lstStyle/>
          <a:p>
            <a:pPr>
              <a:defRPr/>
            </a:pPr>
            <a:endParaRPr lang="cs-CZ"/>
          </a:p>
        </c:txPr>
        <c:crossAx val="999497536"/>
        <c:crosses val="autoZero"/>
        <c:crossBetween val="between"/>
        <c:dispUnits>
          <c:builtInUnit val="millions"/>
        </c:dispUnits>
      </c:valAx>
      <c:valAx>
        <c:axId val="1134616687"/>
        <c:scaling>
          <c:orientation val="minMax"/>
        </c:scaling>
        <c:delete val="0"/>
        <c:axPos val="r"/>
        <c:title>
          <c:tx>
            <c:rich>
              <a:bodyPr/>
              <a:lstStyle/>
              <a:p>
                <a:pPr>
                  <a:defRPr b="0"/>
                </a:pPr>
                <a:r>
                  <a:rPr lang="en-US" b="0"/>
                  <a:t>podíl seniorů v populaci (%)</a:t>
                </a:r>
              </a:p>
            </c:rich>
          </c:tx>
          <c:layout>
            <c:manualLayout>
              <c:xMode val="edge"/>
              <c:yMode val="edge"/>
              <c:x val="0.95651221949775345"/>
              <c:y val="0.15485777794522096"/>
            </c:manualLayout>
          </c:layout>
          <c:overlay val="0"/>
        </c:title>
        <c:numFmt formatCode="0" sourceLinked="0"/>
        <c:majorTickMark val="out"/>
        <c:minorTickMark val="none"/>
        <c:tickLblPos val="nextTo"/>
        <c:spPr>
          <a:ln w="3175">
            <a:solidFill>
              <a:schemeClr val="tx1"/>
            </a:solidFill>
          </a:ln>
        </c:spPr>
        <c:crossAx val="1134662863"/>
        <c:crosses val="max"/>
        <c:crossBetween val="between"/>
      </c:valAx>
      <c:catAx>
        <c:axId val="1134662863"/>
        <c:scaling>
          <c:orientation val="minMax"/>
        </c:scaling>
        <c:delete val="1"/>
        <c:axPos val="b"/>
        <c:numFmt formatCode="General" sourceLinked="1"/>
        <c:majorTickMark val="out"/>
        <c:minorTickMark val="none"/>
        <c:tickLblPos val="nextTo"/>
        <c:crossAx val="1134616687"/>
        <c:crosses val="autoZero"/>
        <c:auto val="1"/>
        <c:lblAlgn val="ctr"/>
        <c:lblOffset val="100"/>
        <c:noMultiLvlLbl val="0"/>
      </c:catAx>
      <c:spPr>
        <a:noFill/>
        <a:ln w="3175">
          <a:solidFill>
            <a:schemeClr val="tx1"/>
          </a:solidFill>
        </a:ln>
      </c:spPr>
    </c:plotArea>
    <c:legend>
      <c:legendPos val="t"/>
      <c:layout>
        <c:manualLayout>
          <c:xMode val="edge"/>
          <c:yMode val="edge"/>
          <c:x val="0.14170648148148152"/>
          <c:y val="9.4074074074074074E-2"/>
          <c:w val="0.31584259259259262"/>
          <c:h val="7.5021851851851853E-2"/>
        </c:manualLayout>
      </c:layout>
      <c:overlay val="0"/>
      <c:spPr>
        <a:ln w="3175">
          <a:solidFill>
            <a:schemeClr val="tx1"/>
          </a:solidFill>
        </a:ln>
      </c:spPr>
    </c:legend>
    <c:plotVisOnly val="1"/>
    <c:dispBlanksAs val="gap"/>
    <c:showDLblsOverMax val="0"/>
  </c:chart>
  <c:spPr>
    <a:ln>
      <a:noFill/>
    </a:ln>
  </c:spPr>
  <c:txPr>
    <a:bodyPr/>
    <a:lstStyle/>
    <a:p>
      <a:pPr>
        <a:defRPr sz="900">
          <a:solidFill>
            <a:schemeClr val="tx1"/>
          </a:solidFill>
          <a:latin typeface="Arial" panose="020B0604020202020204" pitchFamily="34" charset="0"/>
          <a:cs typeface="Arial" panose="020B0604020202020204"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06364829396325"/>
          <c:y val="6.9444444444444448E-2"/>
          <c:w val="0.46887292213473314"/>
          <c:h val="0.78145487022455529"/>
        </c:manualLayout>
      </c:layout>
      <c:doughnutChart>
        <c:varyColors val="1"/>
        <c:ser>
          <c:idx val="0"/>
          <c:order val="0"/>
          <c:spPr>
            <a:ln w="3175">
              <a:solidFill>
                <a:schemeClr val="tx1"/>
              </a:solidFill>
            </a:ln>
          </c:spPr>
          <c:dPt>
            <c:idx val="0"/>
            <c:bubble3D val="0"/>
            <c:spPr>
              <a:solidFill>
                <a:srgbClr val="0071BC"/>
              </a:solidFill>
              <a:ln w="3175">
                <a:solidFill>
                  <a:schemeClr val="tx1"/>
                </a:solidFill>
              </a:ln>
              <a:effectLst/>
            </c:spPr>
            <c:extLst>
              <c:ext xmlns:c16="http://schemas.microsoft.com/office/drawing/2014/chart" uri="{C3380CC4-5D6E-409C-BE32-E72D297353CC}">
                <c16:uniqueId val="{00000001-30BD-402B-A8F3-6E241F276F20}"/>
              </c:ext>
            </c:extLst>
          </c:dPt>
          <c:dPt>
            <c:idx val="1"/>
            <c:bubble3D val="0"/>
            <c:spPr>
              <a:solidFill>
                <a:srgbClr val="BD1B21"/>
              </a:solidFill>
              <a:ln w="3175">
                <a:solidFill>
                  <a:schemeClr val="tx1"/>
                </a:solidFill>
              </a:ln>
              <a:effectLst/>
            </c:spPr>
            <c:extLst>
              <c:ext xmlns:c16="http://schemas.microsoft.com/office/drawing/2014/chart" uri="{C3380CC4-5D6E-409C-BE32-E72D297353CC}">
                <c16:uniqueId val="{00000003-30BD-402B-A8F3-6E241F276F20}"/>
              </c:ext>
            </c:extLst>
          </c:dPt>
          <c:dPt>
            <c:idx val="2"/>
            <c:bubble3D val="0"/>
            <c:spPr>
              <a:solidFill>
                <a:srgbClr val="FFC000"/>
              </a:solidFill>
              <a:ln w="3175">
                <a:solidFill>
                  <a:schemeClr val="tx1"/>
                </a:solidFill>
              </a:ln>
              <a:effectLst/>
            </c:spPr>
            <c:extLst>
              <c:ext xmlns:c16="http://schemas.microsoft.com/office/drawing/2014/chart" uri="{C3380CC4-5D6E-409C-BE32-E72D297353CC}">
                <c16:uniqueId val="{00000005-30BD-402B-A8F3-6E241F276F20}"/>
              </c:ext>
            </c:extLst>
          </c:dPt>
          <c:dPt>
            <c:idx val="3"/>
            <c:bubble3D val="0"/>
            <c:spPr>
              <a:solidFill>
                <a:srgbClr val="92D050"/>
              </a:solidFill>
              <a:ln w="3175">
                <a:solidFill>
                  <a:schemeClr val="tx1"/>
                </a:solidFill>
              </a:ln>
              <a:effectLst/>
            </c:spPr>
            <c:extLst>
              <c:ext xmlns:c16="http://schemas.microsoft.com/office/drawing/2014/chart" uri="{C3380CC4-5D6E-409C-BE32-E72D297353CC}">
                <c16:uniqueId val="{00000007-30BD-402B-A8F3-6E241F276F20}"/>
              </c:ext>
            </c:extLst>
          </c:dPt>
          <c:dLbls>
            <c:dLbl>
              <c:idx val="0"/>
              <c:layout>
                <c:manualLayout>
                  <c:x val="-6.404450602293341E-3"/>
                  <c:y val="-4.7532075570517995E-17"/>
                </c:manualLayout>
              </c:layout>
              <c:numFmt formatCode="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0BD-402B-A8F3-6E241F276F20}"/>
                </c:ext>
              </c:extLst>
            </c:dLbl>
            <c:dLbl>
              <c:idx val="1"/>
              <c:layout>
                <c:manualLayout>
                  <c:x val="-8.1212191128224379E-3"/>
                  <c:y val="-2.1852894522486056E-2"/>
                </c:manualLayout>
              </c:layout>
              <c:numFmt formatCode="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0BD-402B-A8F3-6E241F276F20}"/>
                </c:ext>
              </c:extLst>
            </c:dLbl>
            <c:dLbl>
              <c:idx val="2"/>
              <c:layout>
                <c:manualLayout>
                  <c:x val="-4.7067520656195443E-3"/>
                  <c:y val="-8.1473708708371534E-3"/>
                </c:manualLayout>
              </c:layout>
              <c:numFmt formatCode="0.0\ %"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0"/>
              <c:showCatName val="0"/>
              <c:showSerName val="0"/>
              <c:showPercent val="1"/>
              <c:showBubbleSize val="0"/>
              <c:extLst>
                <c:ext xmlns:c15="http://schemas.microsoft.com/office/drawing/2012/chart" uri="{CE6537A1-D6FC-4f65-9D91-7224C49458BB}">
                  <c15:layout>
                    <c:manualLayout>
                      <c:w val="8.6739422933173868E-2"/>
                      <c:h val="6.9199063365718114E-2"/>
                    </c:manualLayout>
                  </c15:layout>
                </c:ext>
                <c:ext xmlns:c16="http://schemas.microsoft.com/office/drawing/2014/chart" uri="{C3380CC4-5D6E-409C-BE32-E72D297353CC}">
                  <c16:uniqueId val="{00000005-30BD-402B-A8F3-6E241F276F20}"/>
                </c:ext>
              </c:extLst>
            </c:dLbl>
            <c:dLbl>
              <c:idx val="3"/>
              <c:layout>
                <c:manualLayout>
                  <c:x val="1.8152025360710856E-2"/>
                  <c:y val="9.2765173863248941E-4"/>
                </c:manualLayout>
              </c:layout>
              <c:numFmt formatCode="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0BD-402B-A8F3-6E241F276F20}"/>
                </c:ext>
              </c:extLst>
            </c:dLbl>
            <c:numFmt formatCode="0.0\ %"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 1'!$B$3:$B$6</c:f>
              <c:strCache>
                <c:ptCount val="4"/>
                <c:pt idx="0">
                  <c:v>jednočlenné</c:v>
                </c:pt>
                <c:pt idx="1">
                  <c:v>dvoučlenné</c:v>
                </c:pt>
                <c:pt idx="2">
                  <c:v>tříčlenné</c:v>
                </c:pt>
                <c:pt idx="3">
                  <c:v>čtyř a vícečlenné</c:v>
                </c:pt>
              </c:strCache>
            </c:strRef>
          </c:cat>
          <c:val>
            <c:numRef>
              <c:f>'Graf 1'!$C$3:$C$6</c:f>
              <c:numCache>
                <c:formatCode>0.0</c:formatCode>
                <c:ptCount val="4"/>
                <c:pt idx="0">
                  <c:v>31.87</c:v>
                </c:pt>
                <c:pt idx="1">
                  <c:v>53.8</c:v>
                </c:pt>
                <c:pt idx="2">
                  <c:v>9.18</c:v>
                </c:pt>
                <c:pt idx="3">
                  <c:v>5.15</c:v>
                </c:pt>
              </c:numCache>
            </c:numRef>
          </c:val>
          <c:extLst>
            <c:ext xmlns:c16="http://schemas.microsoft.com/office/drawing/2014/chart" uri="{C3380CC4-5D6E-409C-BE32-E72D297353CC}">
              <c16:uniqueId val="{00000008-30BD-402B-A8F3-6E241F276F20}"/>
            </c:ext>
          </c:extLst>
        </c:ser>
        <c:dLbls>
          <c:showLegendKey val="0"/>
          <c:showVal val="0"/>
          <c:showCatName val="0"/>
          <c:showSerName val="0"/>
          <c:showPercent val="1"/>
          <c:showBubbleSize val="0"/>
          <c:showLeaderLines val="1"/>
        </c:dLbls>
        <c:firstSliceAng val="0"/>
        <c:holeSize val="44"/>
      </c:doughnutChart>
      <c:spPr>
        <a:noFill/>
        <a:ln>
          <a:noFill/>
        </a:ln>
        <a:effectLst/>
      </c:spPr>
    </c:plotArea>
    <c:legend>
      <c:legendPos val="r"/>
      <c:layout>
        <c:manualLayout>
          <c:xMode val="edge"/>
          <c:yMode val="edge"/>
          <c:x val="0.79198590234525379"/>
          <c:y val="0.21532748515328506"/>
          <c:w val="0.19007419632420369"/>
          <c:h val="0.45008094496354933"/>
        </c:manualLayout>
      </c:layout>
      <c:overlay val="0"/>
      <c:spPr>
        <a:no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92560225228525"/>
          <c:y val="6.1111111111111109E-2"/>
          <c:w val="0.85306178892153639"/>
          <c:h val="0.69483595800524933"/>
        </c:manualLayout>
      </c:layout>
      <c:barChart>
        <c:barDir val="col"/>
        <c:grouping val="clustered"/>
        <c:varyColors val="0"/>
        <c:ser>
          <c:idx val="0"/>
          <c:order val="0"/>
          <c:tx>
            <c:strRef>
              <c:f>'Graf 2'!$B$2</c:f>
              <c:strCache>
                <c:ptCount val="1"/>
                <c:pt idx="0">
                  <c:v>celkem</c:v>
                </c:pt>
              </c:strCache>
            </c:strRef>
          </c:tx>
          <c:spPr>
            <a:solidFill>
              <a:srgbClr val="92D050"/>
            </a:solidFill>
            <a:ln w="3175">
              <a:solidFill>
                <a:schemeClr val="tx1"/>
              </a:solidFill>
            </a:ln>
            <a:effectLst/>
          </c:spPr>
          <c:invertIfNegative val="0"/>
          <c:dLbls>
            <c:spPr>
              <a:solidFill>
                <a:schemeClr val="bg1"/>
              </a:solid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 2'!$A$3:$A$7</c:f>
              <c:numCache>
                <c:formatCode>General</c:formatCode>
                <c:ptCount val="5"/>
                <c:pt idx="0">
                  <c:v>2016</c:v>
                </c:pt>
                <c:pt idx="1">
                  <c:v>2017</c:v>
                </c:pt>
                <c:pt idx="2">
                  <c:v>2018</c:v>
                </c:pt>
                <c:pt idx="3">
                  <c:v>2019</c:v>
                </c:pt>
                <c:pt idx="4">
                  <c:v>2020</c:v>
                </c:pt>
              </c:numCache>
            </c:numRef>
          </c:cat>
          <c:val>
            <c:numRef>
              <c:f>'Graf 2'!$B$3:$B$7</c:f>
              <c:numCache>
                <c:formatCode>General</c:formatCode>
                <c:ptCount val="5"/>
                <c:pt idx="0">
                  <c:v>172.2</c:v>
                </c:pt>
                <c:pt idx="1">
                  <c:v>182.4</c:v>
                </c:pt>
                <c:pt idx="2">
                  <c:v>195.1</c:v>
                </c:pt>
                <c:pt idx="3">
                  <c:v>209.8</c:v>
                </c:pt>
                <c:pt idx="4">
                  <c:v>220.1</c:v>
                </c:pt>
              </c:numCache>
            </c:numRef>
          </c:val>
          <c:extLst>
            <c:ext xmlns:c16="http://schemas.microsoft.com/office/drawing/2014/chart" uri="{C3380CC4-5D6E-409C-BE32-E72D297353CC}">
              <c16:uniqueId val="{00000000-E39A-4B16-BA95-1C0ADDA7B0B8}"/>
            </c:ext>
          </c:extLst>
        </c:ser>
        <c:ser>
          <c:idx val="1"/>
          <c:order val="1"/>
          <c:tx>
            <c:strRef>
              <c:f>'Graf 2'!$C$2</c:f>
              <c:strCache>
                <c:ptCount val="1"/>
                <c:pt idx="0">
                  <c:v>jednotlivec (65+)</c:v>
                </c:pt>
              </c:strCache>
            </c:strRef>
          </c:tx>
          <c:spPr>
            <a:solidFill>
              <a:srgbClr val="0071BC"/>
            </a:solidFill>
            <a:ln w="3175">
              <a:solidFill>
                <a:schemeClr val="tx1"/>
              </a:solidFill>
            </a:ln>
            <a:effectLst/>
          </c:spPr>
          <c:invertIfNegative val="0"/>
          <c:dLbls>
            <c:dLbl>
              <c:idx val="0"/>
              <c:layout>
                <c:manualLayout>
                  <c:x val="2.7777712115015668E-3"/>
                  <c:y val="0.1918188976377952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9A-4B16-BA95-1C0ADDA7B0B8}"/>
                </c:ext>
              </c:extLst>
            </c:dLbl>
            <c:dLbl>
              <c:idx val="1"/>
              <c:layout>
                <c:manualLayout>
                  <c:x val="-5.0925337632079971E-17"/>
                  <c:y val="0.1937026037835236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9A-4B16-BA95-1C0ADDA7B0B8}"/>
                </c:ext>
              </c:extLst>
            </c:dLbl>
            <c:dLbl>
              <c:idx val="2"/>
              <c:layout>
                <c:manualLayout>
                  <c:x val="0"/>
                  <c:y val="0.2029298240834082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9A-4B16-BA95-1C0ADDA7B0B8}"/>
                </c:ext>
              </c:extLst>
            </c:dLbl>
            <c:dLbl>
              <c:idx val="3"/>
              <c:layout>
                <c:manualLayout>
                  <c:x val="-2.5534409519734681E-3"/>
                  <c:y val="0.2055634295713035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39A-4B16-BA95-1C0ADDA7B0B8}"/>
                </c:ext>
              </c:extLst>
            </c:dLbl>
            <c:dLbl>
              <c:idx val="4"/>
              <c:layout>
                <c:manualLayout>
                  <c:x val="0"/>
                  <c:y val="0.2166745406824147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39A-4B16-BA95-1C0ADDA7B0B8}"/>
                </c:ext>
              </c:extLst>
            </c:dLbl>
            <c:spPr>
              <a:solidFill>
                <a:schemeClr val="bg1"/>
              </a:solid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 2'!$A$3:$A$7</c:f>
              <c:numCache>
                <c:formatCode>General</c:formatCode>
                <c:ptCount val="5"/>
                <c:pt idx="0">
                  <c:v>2016</c:v>
                </c:pt>
                <c:pt idx="1">
                  <c:v>2017</c:v>
                </c:pt>
                <c:pt idx="2">
                  <c:v>2018</c:v>
                </c:pt>
                <c:pt idx="3">
                  <c:v>2019</c:v>
                </c:pt>
                <c:pt idx="4">
                  <c:v>2020</c:v>
                </c:pt>
              </c:numCache>
            </c:numRef>
          </c:cat>
          <c:val>
            <c:numRef>
              <c:f>'Graf 2'!$C$3:$C$7</c:f>
              <c:numCache>
                <c:formatCode>General</c:formatCode>
                <c:ptCount val="5"/>
                <c:pt idx="0">
                  <c:v>167.1</c:v>
                </c:pt>
                <c:pt idx="1">
                  <c:v>174.9</c:v>
                </c:pt>
                <c:pt idx="2">
                  <c:v>183.4</c:v>
                </c:pt>
                <c:pt idx="3">
                  <c:v>198.3</c:v>
                </c:pt>
                <c:pt idx="4">
                  <c:v>211.6</c:v>
                </c:pt>
              </c:numCache>
            </c:numRef>
          </c:val>
          <c:extLst>
            <c:ext xmlns:c16="http://schemas.microsoft.com/office/drawing/2014/chart" uri="{C3380CC4-5D6E-409C-BE32-E72D297353CC}">
              <c16:uniqueId val="{00000006-E39A-4B16-BA95-1C0ADDA7B0B8}"/>
            </c:ext>
          </c:extLst>
        </c:ser>
        <c:ser>
          <c:idx val="2"/>
          <c:order val="2"/>
          <c:tx>
            <c:strRef>
              <c:f>'Graf 2'!$D$2</c:f>
              <c:strCache>
                <c:ptCount val="1"/>
                <c:pt idx="0">
                  <c:v>dvojice dospělých, alespoň jeden 65+</c:v>
                </c:pt>
              </c:strCache>
            </c:strRef>
          </c:tx>
          <c:spPr>
            <a:solidFill>
              <a:srgbClr val="BD1B21"/>
            </a:solidFill>
            <a:ln w="3175">
              <a:solidFill>
                <a:schemeClr val="tx1"/>
              </a:solidFill>
            </a:ln>
            <a:effectLst/>
          </c:spPr>
          <c:invertIfNegative val="0"/>
          <c:dLbls>
            <c:spPr>
              <a:solidFill>
                <a:schemeClr val="bg1"/>
              </a:solid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 2'!$A$3:$A$7</c:f>
              <c:numCache>
                <c:formatCode>General</c:formatCode>
                <c:ptCount val="5"/>
                <c:pt idx="0">
                  <c:v>2016</c:v>
                </c:pt>
                <c:pt idx="1">
                  <c:v>2017</c:v>
                </c:pt>
                <c:pt idx="2">
                  <c:v>2018</c:v>
                </c:pt>
                <c:pt idx="3">
                  <c:v>2019</c:v>
                </c:pt>
                <c:pt idx="4">
                  <c:v>2020</c:v>
                </c:pt>
              </c:numCache>
            </c:numRef>
          </c:cat>
          <c:val>
            <c:numRef>
              <c:f>'Graf 2'!$D$3:$D$7</c:f>
              <c:numCache>
                <c:formatCode>General</c:formatCode>
                <c:ptCount val="5"/>
                <c:pt idx="0">
                  <c:v>164.5</c:v>
                </c:pt>
                <c:pt idx="1">
                  <c:v>170.3</c:v>
                </c:pt>
                <c:pt idx="2">
                  <c:v>181.8</c:v>
                </c:pt>
                <c:pt idx="3">
                  <c:v>182.3</c:v>
                </c:pt>
                <c:pt idx="4">
                  <c:v>203.4</c:v>
                </c:pt>
              </c:numCache>
            </c:numRef>
          </c:val>
          <c:extLst>
            <c:ext xmlns:c16="http://schemas.microsoft.com/office/drawing/2014/chart" uri="{C3380CC4-5D6E-409C-BE32-E72D297353CC}">
              <c16:uniqueId val="{00000007-E39A-4B16-BA95-1C0ADDA7B0B8}"/>
            </c:ext>
          </c:extLst>
        </c:ser>
        <c:dLbls>
          <c:showLegendKey val="0"/>
          <c:showVal val="1"/>
          <c:showCatName val="0"/>
          <c:showSerName val="0"/>
          <c:showPercent val="0"/>
          <c:showBubbleSize val="0"/>
        </c:dLbls>
        <c:gapWidth val="100"/>
        <c:overlap val="-27"/>
        <c:axId val="1262238623"/>
        <c:axId val="1262253183"/>
      </c:barChart>
      <c:catAx>
        <c:axId val="1262238623"/>
        <c:scaling>
          <c:orientation val="minMax"/>
        </c:scaling>
        <c:delete val="0"/>
        <c:axPos val="b"/>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262253183"/>
        <c:crosses val="autoZero"/>
        <c:auto val="1"/>
        <c:lblAlgn val="ctr"/>
        <c:lblOffset val="100"/>
        <c:noMultiLvlLbl val="0"/>
      </c:catAx>
      <c:valAx>
        <c:axId val="1262253183"/>
        <c:scaling>
          <c:orientation val="minMax"/>
        </c:scaling>
        <c:delete val="0"/>
        <c:axPos val="l"/>
        <c:majorGridlines>
          <c:spPr>
            <a:ln w="3175" cap="flat" cmpd="sng" algn="ctr">
              <a:solidFill>
                <a:schemeClr val="tx1"/>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cs-CZ" sz="900"/>
                  <a:t>tis.</a:t>
                </a:r>
                <a:r>
                  <a:rPr lang="cs-CZ" sz="900" baseline="0"/>
                  <a:t> Kč</a:t>
                </a:r>
                <a:endParaRPr lang="en-US" sz="900"/>
              </a:p>
            </c:rich>
          </c:tx>
          <c:layout>
            <c:manualLayout>
              <c:xMode val="edge"/>
              <c:yMode val="edge"/>
              <c:x val="6.0042029420594419E-3"/>
              <c:y val="0.3289777355416779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title>
        <c:numFmt formatCode="General" sourceLinked="1"/>
        <c:majorTickMark val="none"/>
        <c:minorTickMark val="none"/>
        <c:tickLblPos val="nextTo"/>
        <c:spPr>
          <a:noFill/>
          <a:ln w="317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262238623"/>
        <c:crosses val="autoZero"/>
        <c:crossBetween val="between"/>
      </c:valAx>
      <c:spPr>
        <a:noFill/>
        <a:ln w="3175">
          <a:solidFill>
            <a:schemeClr val="tx1"/>
          </a:solidFill>
        </a:ln>
        <a:effectLst/>
      </c:spPr>
    </c:plotArea>
    <c:legend>
      <c:legendPos val="b"/>
      <c:layout>
        <c:manualLayout>
          <c:xMode val="edge"/>
          <c:yMode val="edge"/>
          <c:x val="0.11304401269865284"/>
          <c:y val="0.87805818022747162"/>
          <c:w val="0.86997898528970274"/>
          <c:h val="8.8608486439195097E-2"/>
        </c:manualLayout>
      </c:layout>
      <c:overlay val="0"/>
      <c:spPr>
        <a:no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76698493118917"/>
          <c:y val="5.6701030927835051E-2"/>
          <c:w val="0.81834319596281591"/>
          <c:h val="0.57119735033120855"/>
        </c:manualLayout>
      </c:layout>
      <c:barChart>
        <c:barDir val="col"/>
        <c:grouping val="stacked"/>
        <c:varyColors val="0"/>
        <c:ser>
          <c:idx val="0"/>
          <c:order val="0"/>
          <c:tx>
            <c:strRef>
              <c:f>'Graf 3'!$A$18</c:f>
              <c:strCache>
                <c:ptCount val="1"/>
                <c:pt idx="0">
                  <c:v>snadno až velmi snadno</c:v>
                </c:pt>
              </c:strCache>
            </c:strRef>
          </c:tx>
          <c:spPr>
            <a:solidFill>
              <a:srgbClr val="92D050"/>
            </a:solidFill>
            <a:ln w="3175">
              <a:solidFill>
                <a:schemeClr val="tx1"/>
              </a:solid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 3'!$B$16:$G$17</c:f>
              <c:multiLvlStrCache>
                <c:ptCount val="6"/>
                <c:lvl>
                  <c:pt idx="0">
                    <c:v>2020</c:v>
                  </c:pt>
                  <c:pt idx="1">
                    <c:v>2021</c:v>
                  </c:pt>
                  <c:pt idx="2">
                    <c:v>2020</c:v>
                  </c:pt>
                  <c:pt idx="3">
                    <c:v>2021</c:v>
                  </c:pt>
                  <c:pt idx="4">
                    <c:v>2020</c:v>
                  </c:pt>
                  <c:pt idx="5">
                    <c:v>2021</c:v>
                  </c:pt>
                </c:lvl>
                <c:lvl>
                  <c:pt idx="0">
                    <c:v>celkem</c:v>
                  </c:pt>
                  <c:pt idx="2">
                    <c:v>jednotlivec
 (65+)</c:v>
                  </c:pt>
                  <c:pt idx="4">
                    <c:v>dvojice dospělých, alespoň jeden 65+</c:v>
                  </c:pt>
                </c:lvl>
              </c:multiLvlStrCache>
            </c:multiLvlStrRef>
          </c:cat>
          <c:val>
            <c:numRef>
              <c:f>'Graf 3'!$B$18:$G$18</c:f>
              <c:numCache>
                <c:formatCode>General</c:formatCode>
                <c:ptCount val="6"/>
                <c:pt idx="0">
                  <c:v>19.38</c:v>
                </c:pt>
                <c:pt idx="1">
                  <c:v>20</c:v>
                </c:pt>
                <c:pt idx="2">
                  <c:v>14.8</c:v>
                </c:pt>
                <c:pt idx="3">
                  <c:v>15.05</c:v>
                </c:pt>
                <c:pt idx="4">
                  <c:v>20.079999999999998</c:v>
                </c:pt>
                <c:pt idx="5">
                  <c:v>20.38</c:v>
                </c:pt>
              </c:numCache>
            </c:numRef>
          </c:val>
          <c:extLst>
            <c:ext xmlns:c16="http://schemas.microsoft.com/office/drawing/2014/chart" uri="{C3380CC4-5D6E-409C-BE32-E72D297353CC}">
              <c16:uniqueId val="{00000000-8831-41E2-ABDD-A8F129D2EC3A}"/>
            </c:ext>
          </c:extLst>
        </c:ser>
        <c:ser>
          <c:idx val="1"/>
          <c:order val="1"/>
          <c:tx>
            <c:strRef>
              <c:f>'Graf 3'!$A$19</c:f>
              <c:strCache>
                <c:ptCount val="1"/>
                <c:pt idx="0">
                  <c:v>s menšími obtížemi, docela snadno</c:v>
                </c:pt>
              </c:strCache>
            </c:strRef>
          </c:tx>
          <c:spPr>
            <a:solidFill>
              <a:srgbClr val="0071BC"/>
            </a:solidFill>
            <a:ln w="3175">
              <a:solidFill>
                <a:schemeClr val="tx1"/>
              </a:solidFill>
            </a:ln>
            <a:effectLst/>
          </c:spPr>
          <c:invertIfNegative val="0"/>
          <c:dLbls>
            <c:numFmt formatCode="#,##0.0" sourceLinked="0"/>
            <c:spPr>
              <a:noFill/>
              <a:ln w="3175">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 3'!$B$16:$G$17</c:f>
              <c:multiLvlStrCache>
                <c:ptCount val="6"/>
                <c:lvl>
                  <c:pt idx="0">
                    <c:v>2020</c:v>
                  </c:pt>
                  <c:pt idx="1">
                    <c:v>2021</c:v>
                  </c:pt>
                  <c:pt idx="2">
                    <c:v>2020</c:v>
                  </c:pt>
                  <c:pt idx="3">
                    <c:v>2021</c:v>
                  </c:pt>
                  <c:pt idx="4">
                    <c:v>2020</c:v>
                  </c:pt>
                  <c:pt idx="5">
                    <c:v>2021</c:v>
                  </c:pt>
                </c:lvl>
                <c:lvl>
                  <c:pt idx="0">
                    <c:v>celkem</c:v>
                  </c:pt>
                  <c:pt idx="2">
                    <c:v>jednotlivec
 (65+)</c:v>
                  </c:pt>
                  <c:pt idx="4">
                    <c:v>dvojice dospělých, alespoň jeden 65+</c:v>
                  </c:pt>
                </c:lvl>
              </c:multiLvlStrCache>
            </c:multiLvlStrRef>
          </c:cat>
          <c:val>
            <c:numRef>
              <c:f>'Graf 3'!$B$19:$G$19</c:f>
              <c:numCache>
                <c:formatCode>General</c:formatCode>
                <c:ptCount val="6"/>
                <c:pt idx="0">
                  <c:v>67.62</c:v>
                </c:pt>
                <c:pt idx="1">
                  <c:v>68.05</c:v>
                </c:pt>
                <c:pt idx="2">
                  <c:v>66.55</c:v>
                </c:pt>
                <c:pt idx="3">
                  <c:v>69.510000000000005</c:v>
                </c:pt>
                <c:pt idx="4">
                  <c:v>72.34</c:v>
                </c:pt>
                <c:pt idx="5">
                  <c:v>72.88</c:v>
                </c:pt>
              </c:numCache>
            </c:numRef>
          </c:val>
          <c:extLst>
            <c:ext xmlns:c16="http://schemas.microsoft.com/office/drawing/2014/chart" uri="{C3380CC4-5D6E-409C-BE32-E72D297353CC}">
              <c16:uniqueId val="{00000001-8831-41E2-ABDD-A8F129D2EC3A}"/>
            </c:ext>
          </c:extLst>
        </c:ser>
        <c:ser>
          <c:idx val="2"/>
          <c:order val="2"/>
          <c:tx>
            <c:strRef>
              <c:f>'Graf 3'!$A$20</c:f>
              <c:strCache>
                <c:ptCount val="1"/>
                <c:pt idx="0">
                  <c:v>s obtížemi až velkými obtížemi</c:v>
                </c:pt>
              </c:strCache>
            </c:strRef>
          </c:tx>
          <c:spPr>
            <a:solidFill>
              <a:srgbClr val="BD1B21"/>
            </a:solidFill>
            <a:ln w="3175">
              <a:solidFill>
                <a:schemeClr val="tx1"/>
              </a:solid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'Graf 3'!$B$16:$G$17</c:f>
              <c:multiLvlStrCache>
                <c:ptCount val="6"/>
                <c:lvl>
                  <c:pt idx="0">
                    <c:v>2020</c:v>
                  </c:pt>
                  <c:pt idx="1">
                    <c:v>2021</c:v>
                  </c:pt>
                  <c:pt idx="2">
                    <c:v>2020</c:v>
                  </c:pt>
                  <c:pt idx="3">
                    <c:v>2021</c:v>
                  </c:pt>
                  <c:pt idx="4">
                    <c:v>2020</c:v>
                  </c:pt>
                  <c:pt idx="5">
                    <c:v>2021</c:v>
                  </c:pt>
                </c:lvl>
                <c:lvl>
                  <c:pt idx="0">
                    <c:v>celkem</c:v>
                  </c:pt>
                  <c:pt idx="2">
                    <c:v>jednotlivec
 (65+)</c:v>
                  </c:pt>
                  <c:pt idx="4">
                    <c:v>dvojice dospělých, alespoň jeden 65+</c:v>
                  </c:pt>
                </c:lvl>
              </c:multiLvlStrCache>
            </c:multiLvlStrRef>
          </c:cat>
          <c:val>
            <c:numRef>
              <c:f>'Graf 3'!$B$20:$G$20</c:f>
              <c:numCache>
                <c:formatCode>General</c:formatCode>
                <c:ptCount val="6"/>
                <c:pt idx="0">
                  <c:v>13</c:v>
                </c:pt>
                <c:pt idx="1">
                  <c:v>11.95</c:v>
                </c:pt>
                <c:pt idx="2">
                  <c:v>18.600000000000001</c:v>
                </c:pt>
                <c:pt idx="3">
                  <c:v>15.44</c:v>
                </c:pt>
                <c:pt idx="4">
                  <c:v>7.59</c:v>
                </c:pt>
                <c:pt idx="5">
                  <c:v>6.74</c:v>
                </c:pt>
              </c:numCache>
            </c:numRef>
          </c:val>
          <c:extLst>
            <c:ext xmlns:c16="http://schemas.microsoft.com/office/drawing/2014/chart" uri="{C3380CC4-5D6E-409C-BE32-E72D297353CC}">
              <c16:uniqueId val="{00000002-8831-41E2-ABDD-A8F129D2EC3A}"/>
            </c:ext>
          </c:extLst>
        </c:ser>
        <c:dLbls>
          <c:showLegendKey val="0"/>
          <c:showVal val="0"/>
          <c:showCatName val="0"/>
          <c:showSerName val="0"/>
          <c:showPercent val="0"/>
          <c:showBubbleSize val="0"/>
        </c:dLbls>
        <c:gapWidth val="66"/>
        <c:overlap val="100"/>
        <c:axId val="673978592"/>
        <c:axId val="673979424"/>
      </c:barChart>
      <c:catAx>
        <c:axId val="673978592"/>
        <c:scaling>
          <c:orientation val="minMax"/>
        </c:scaling>
        <c:delete val="0"/>
        <c:axPos val="b"/>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73979424"/>
        <c:crosses val="autoZero"/>
        <c:auto val="1"/>
        <c:lblAlgn val="ctr"/>
        <c:lblOffset val="100"/>
        <c:noMultiLvlLbl val="0"/>
      </c:catAx>
      <c:valAx>
        <c:axId val="673979424"/>
        <c:scaling>
          <c:orientation val="minMax"/>
          <c:max val="100"/>
        </c:scaling>
        <c:delete val="0"/>
        <c:axPos val="l"/>
        <c:majorGridlines>
          <c:spPr>
            <a:ln w="3175" cap="flat" cmpd="sng" algn="ctr">
              <a:solidFill>
                <a:schemeClr val="tx1"/>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sz="900"/>
                  <a:t>%</a:t>
                </a:r>
                <a:r>
                  <a:rPr lang="cs-CZ" sz="900"/>
                  <a:t> domácností</a:t>
                </a:r>
                <a:endParaRPr lang="en-US" sz="900"/>
              </a:p>
            </c:rich>
          </c:tx>
          <c:layout>
            <c:manualLayout>
              <c:xMode val="edge"/>
              <c:yMode val="edge"/>
              <c:x val="1.5413247510603261E-2"/>
              <c:y val="0.1951939831050530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title>
        <c:numFmt formatCode="#,##0" sourceLinked="0"/>
        <c:majorTickMark val="none"/>
        <c:minorTickMark val="none"/>
        <c:tickLblPos val="nextTo"/>
        <c:spPr>
          <a:noFill/>
          <a:ln w="317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73978592"/>
        <c:crosses val="autoZero"/>
        <c:crossBetween val="between"/>
        <c:majorUnit val="20"/>
      </c:valAx>
      <c:spPr>
        <a:noFill/>
        <a:ln w="3175">
          <a:solidFill>
            <a:schemeClr val="tx1"/>
          </a:solidFill>
        </a:ln>
        <a:effectLst/>
      </c:spPr>
    </c:plotArea>
    <c:legend>
      <c:legendPos val="b"/>
      <c:layout>
        <c:manualLayout>
          <c:xMode val="edge"/>
          <c:yMode val="edge"/>
          <c:x val="5.2266795997188954E-2"/>
          <c:y val="0.86773234228074414"/>
          <c:w val="0.92856858657356112"/>
          <c:h val="0.12342048153071775"/>
        </c:manualLayout>
      </c:layout>
      <c:overlay val="0"/>
      <c:spPr>
        <a:no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93365532552563"/>
          <c:y val="5.0925925925925923E-2"/>
          <c:w val="0.8495108316274339"/>
          <c:h val="0.72893182760049735"/>
        </c:manualLayout>
      </c:layout>
      <c:barChart>
        <c:barDir val="col"/>
        <c:grouping val="clustered"/>
        <c:varyColors val="0"/>
        <c:ser>
          <c:idx val="0"/>
          <c:order val="0"/>
          <c:tx>
            <c:strRef>
              <c:f>'Graf 4'!$B$2</c:f>
              <c:strCache>
                <c:ptCount val="1"/>
                <c:pt idx="0">
                  <c:v>2020</c:v>
                </c:pt>
              </c:strCache>
            </c:strRef>
          </c:tx>
          <c:spPr>
            <a:solidFill>
              <a:srgbClr val="0071BC"/>
            </a:solidFill>
            <a:ln w="3175">
              <a:solidFill>
                <a:schemeClr val="tx1"/>
              </a:solidFill>
            </a:ln>
            <a:effectLst/>
          </c:spPr>
          <c:invertIfNegative val="0"/>
          <c:dLbls>
            <c:dLbl>
              <c:idx val="2"/>
              <c:layout>
                <c:manualLayout>
                  <c:x val="0"/>
                  <c:y val="2.0391440304411708E-2"/>
                </c:manualLayout>
              </c:layout>
              <c:numFmt formatCode="#,##0.0" sourceLinked="0"/>
              <c:spPr>
                <a:noFill/>
                <a:ln w="3175">
                  <a:noFill/>
                </a:ln>
                <a:effectLst/>
              </c:spPr>
              <c:txPr>
                <a:bodyPr rot="0" spcFirstLastPara="1" vertOverflow="ellipsis" vert="horz" wrap="square" anchor="ctr" anchorCtr="1"/>
                <a:lstStyle/>
                <a:p>
                  <a:pPr>
                    <a:defRPr sz="900" b="0" i="0" u="none" strike="noStrike" kern="1200" baseline="0">
                      <a:ln>
                        <a:noFill/>
                      </a:ln>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B3-4432-9763-0B04E469A59D}"/>
                </c:ext>
              </c:extLst>
            </c:dLbl>
            <c:numFmt formatCode="#,##0.0" sourceLinked="0"/>
            <c:spPr>
              <a:noFill/>
              <a:ln w="3175">
                <a:noFill/>
              </a:ln>
              <a:effectLst/>
            </c:spPr>
            <c:txPr>
              <a:bodyPr rot="0" spcFirstLastPara="1" vertOverflow="ellipsis" vert="horz" wrap="square" anchor="ctr" anchorCtr="1"/>
              <a:lstStyle/>
              <a:p>
                <a:pPr>
                  <a:defRPr sz="900" b="0" i="0" u="none" strike="noStrike" kern="1200" baseline="0">
                    <a:ln>
                      <a:noFill/>
                    </a:ln>
                    <a:solidFill>
                      <a:schemeClr val="bg1"/>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4'!$A$3:$A$5</c:f>
              <c:strCache>
                <c:ptCount val="3"/>
                <c:pt idx="0">
                  <c:v>celkem</c:v>
                </c:pt>
                <c:pt idx="1">
                  <c:v>jednotlivec 65+</c:v>
                </c:pt>
                <c:pt idx="2">
                  <c:v>dvojice dospělých, alespoň jeden 65+</c:v>
                </c:pt>
              </c:strCache>
            </c:strRef>
          </c:cat>
          <c:val>
            <c:numRef>
              <c:f>'Graf 4'!$B$3:$B$5</c:f>
              <c:numCache>
                <c:formatCode>0.0</c:formatCode>
                <c:ptCount val="3"/>
                <c:pt idx="0">
                  <c:v>9.49</c:v>
                </c:pt>
                <c:pt idx="1">
                  <c:v>37.376390000000001</c:v>
                </c:pt>
                <c:pt idx="2">
                  <c:v>4.6941300000000004</c:v>
                </c:pt>
              </c:numCache>
            </c:numRef>
          </c:val>
          <c:extLst>
            <c:ext xmlns:c16="http://schemas.microsoft.com/office/drawing/2014/chart" uri="{C3380CC4-5D6E-409C-BE32-E72D297353CC}">
              <c16:uniqueId val="{00000000-328A-4093-B704-29E35DC40A9A}"/>
            </c:ext>
          </c:extLst>
        </c:ser>
        <c:ser>
          <c:idx val="1"/>
          <c:order val="1"/>
          <c:tx>
            <c:strRef>
              <c:f>'Graf 4'!$C$2</c:f>
              <c:strCache>
                <c:ptCount val="1"/>
                <c:pt idx="0">
                  <c:v>2021</c:v>
                </c:pt>
              </c:strCache>
            </c:strRef>
          </c:tx>
          <c:spPr>
            <a:solidFill>
              <a:srgbClr val="BD1B21"/>
            </a:solidFill>
            <a:ln w="3175">
              <a:solidFill>
                <a:schemeClr val="tx1"/>
              </a:solidFill>
            </a:ln>
            <a:effectLst/>
          </c:spPr>
          <c:invertIfNegative val="0"/>
          <c:dLbls>
            <c:dLbl>
              <c:idx val="0"/>
              <c:numFmt formatCode="#,##0.0" sourceLinked="0"/>
              <c:spPr>
                <a:noFill/>
                <a:ln w="3175">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cs-CZ"/>
                </a:p>
              </c:txPr>
              <c:dLblPos val="inEnd"/>
              <c:showLegendKey val="0"/>
              <c:showVal val="1"/>
              <c:showCatName val="0"/>
              <c:showSerName val="0"/>
              <c:showPercent val="0"/>
              <c:showBubbleSize val="0"/>
              <c:extLst>
                <c:ext xmlns:c16="http://schemas.microsoft.com/office/drawing/2014/chart" uri="{C3380CC4-5D6E-409C-BE32-E72D297353CC}">
                  <c16:uniqueId val="{00000002-F2B3-4432-9763-0B04E469A59D}"/>
                </c:ext>
              </c:extLst>
            </c:dLbl>
            <c:dLbl>
              <c:idx val="1"/>
              <c:numFmt formatCode="#,##0.0" sourceLinked="0"/>
              <c:spPr>
                <a:noFill/>
                <a:ln w="3175">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cs-CZ"/>
                </a:p>
              </c:txPr>
              <c:dLblPos val="inEnd"/>
              <c:showLegendKey val="0"/>
              <c:showVal val="1"/>
              <c:showCatName val="0"/>
              <c:showSerName val="0"/>
              <c:showPercent val="0"/>
              <c:showBubbleSize val="0"/>
              <c:extLst>
                <c:ext xmlns:c16="http://schemas.microsoft.com/office/drawing/2014/chart" uri="{C3380CC4-5D6E-409C-BE32-E72D297353CC}">
                  <c16:uniqueId val="{00000003-F2B3-4432-9763-0B04E469A59D}"/>
                </c:ext>
              </c:extLst>
            </c:dLbl>
            <c:dLbl>
              <c:idx val="2"/>
              <c:layout>
                <c:manualLayout>
                  <c:x val="-1.0963146388129042E-16"/>
                  <c:y val="1.7175432317371703E-2"/>
                </c:manualLayout>
              </c:layout>
              <c:numFmt formatCode="#,##0.0" sourceLinked="0"/>
              <c:spPr>
                <a:solidFill>
                  <a:schemeClr val="bg1"/>
                </a:solidFill>
                <a:ln w="3175">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B3-4432-9763-0B04E469A59D}"/>
                </c:ext>
              </c:extLst>
            </c:dLbl>
            <c:numFmt formatCode="#,##0.0" sourceLinked="0"/>
            <c:spPr>
              <a:solidFill>
                <a:schemeClr val="bg1"/>
              </a:solidFill>
              <a:ln w="3175">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4'!$A$3:$A$5</c:f>
              <c:strCache>
                <c:ptCount val="3"/>
                <c:pt idx="0">
                  <c:v>celkem</c:v>
                </c:pt>
                <c:pt idx="1">
                  <c:v>jednotlivec 65+</c:v>
                </c:pt>
                <c:pt idx="2">
                  <c:v>dvojice dospělých, alespoň jeden 65+</c:v>
                </c:pt>
              </c:strCache>
            </c:strRef>
          </c:cat>
          <c:val>
            <c:numRef>
              <c:f>'Graf 4'!$C$3:$C$5</c:f>
              <c:numCache>
                <c:formatCode>0.0</c:formatCode>
                <c:ptCount val="3"/>
                <c:pt idx="0">
                  <c:v>8.5963499999999993</c:v>
                </c:pt>
                <c:pt idx="1">
                  <c:v>27.808029999999999</c:v>
                </c:pt>
                <c:pt idx="2">
                  <c:v>3.0987800000000001</c:v>
                </c:pt>
              </c:numCache>
            </c:numRef>
          </c:val>
          <c:extLst>
            <c:ext xmlns:c16="http://schemas.microsoft.com/office/drawing/2014/chart" uri="{C3380CC4-5D6E-409C-BE32-E72D297353CC}">
              <c16:uniqueId val="{00000001-328A-4093-B704-29E35DC40A9A}"/>
            </c:ext>
          </c:extLst>
        </c:ser>
        <c:dLbls>
          <c:showLegendKey val="0"/>
          <c:showVal val="0"/>
          <c:showCatName val="0"/>
          <c:showSerName val="0"/>
          <c:showPercent val="0"/>
          <c:showBubbleSize val="0"/>
        </c:dLbls>
        <c:gapWidth val="66"/>
        <c:overlap val="-27"/>
        <c:axId val="1457585215"/>
        <c:axId val="1457583551"/>
      </c:barChart>
      <c:catAx>
        <c:axId val="1457585215"/>
        <c:scaling>
          <c:orientation val="minMax"/>
        </c:scaling>
        <c:delete val="0"/>
        <c:axPos val="b"/>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457583551"/>
        <c:crosses val="autoZero"/>
        <c:auto val="1"/>
        <c:lblAlgn val="ctr"/>
        <c:lblOffset val="100"/>
        <c:noMultiLvlLbl val="0"/>
      </c:catAx>
      <c:valAx>
        <c:axId val="1457583551"/>
        <c:scaling>
          <c:orientation val="minMax"/>
          <c:max val="50"/>
        </c:scaling>
        <c:delete val="0"/>
        <c:axPos val="l"/>
        <c:majorGridlines>
          <c:spPr>
            <a:ln w="3175" cap="flat" cmpd="sng" algn="ctr">
              <a:solidFill>
                <a:schemeClr val="tx1"/>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cs-CZ" sz="900"/>
                  <a:t>podíl</a:t>
                </a:r>
                <a:r>
                  <a:rPr lang="cs-CZ" sz="900" baseline="0"/>
                  <a:t> osob (</a:t>
                </a:r>
                <a:r>
                  <a:rPr lang="en-US" sz="900"/>
                  <a:t>%</a:t>
                </a:r>
                <a:r>
                  <a:rPr lang="cs-CZ" sz="900"/>
                  <a:t>)</a:t>
                </a:r>
                <a:endParaRPr lang="en-US" sz="900"/>
              </a:p>
            </c:rich>
          </c:tx>
          <c:layout>
            <c:manualLayout>
              <c:xMode val="edge"/>
              <c:yMode val="edge"/>
              <c:x val="2.989983555090447E-3"/>
              <c:y val="0.2342194740609577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title>
        <c:numFmt formatCode="0" sourceLinked="0"/>
        <c:majorTickMark val="none"/>
        <c:minorTickMark val="none"/>
        <c:tickLblPos val="nextTo"/>
        <c:spPr>
          <a:noFill/>
          <a:ln w="317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457585215"/>
        <c:crosses val="autoZero"/>
        <c:crossBetween val="between"/>
      </c:valAx>
      <c:spPr>
        <a:noFill/>
        <a:ln w="3175">
          <a:solidFill>
            <a:schemeClr val="tx1"/>
          </a:solidFill>
        </a:ln>
        <a:effectLst/>
      </c:spPr>
    </c:plotArea>
    <c:legend>
      <c:legendPos val="b"/>
      <c:layout>
        <c:manualLayout>
          <c:xMode val="edge"/>
          <c:yMode val="edge"/>
          <c:x val="0.1590958478074827"/>
          <c:y val="8.0136947594469349E-2"/>
          <c:w val="0.19962919495281359"/>
          <c:h val="9.9981426335629148E-2"/>
        </c:manualLayout>
      </c:layout>
      <c:overlay val="0"/>
      <c:spPr>
        <a:solidFill>
          <a:schemeClr val="bg1"/>
        </a:solidFill>
        <a:ln w="3175">
          <a:solidFill>
            <a:schemeClr val="tx1"/>
          </a:solidFill>
        </a:ln>
        <a:effectLst/>
      </c:spPr>
      <c:txPr>
        <a:bodyPr rot="0" spcFirstLastPara="1" vertOverflow="ellipsis" vert="horz" wrap="square" anchor="ctr" anchorCtr="1"/>
        <a:lstStyle/>
        <a:p>
          <a:pPr>
            <a:defRPr sz="900" b="0" i="0" u="none" strike="noStrike" kern="1200" baseline="0">
              <a:ln>
                <a:noFill/>
              </a:ln>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86354021115877"/>
          <c:y val="5.0925925925925923E-2"/>
          <c:w val="0.82858094674180083"/>
          <c:h val="0.73480508188010241"/>
        </c:manualLayout>
      </c:layout>
      <c:barChart>
        <c:barDir val="col"/>
        <c:grouping val="clustered"/>
        <c:varyColors val="0"/>
        <c:ser>
          <c:idx val="0"/>
          <c:order val="0"/>
          <c:tx>
            <c:strRef>
              <c:f>'Graf 5'!$B$2</c:f>
              <c:strCache>
                <c:ptCount val="1"/>
                <c:pt idx="0">
                  <c:v>2020</c:v>
                </c:pt>
              </c:strCache>
            </c:strRef>
          </c:tx>
          <c:spPr>
            <a:solidFill>
              <a:srgbClr val="0071BC"/>
            </a:solidFill>
            <a:ln w="3175">
              <a:solidFill>
                <a:schemeClr val="tx1"/>
              </a:solidFill>
            </a:ln>
            <a:effectLst/>
          </c:spPr>
          <c:invertIfNegative val="0"/>
          <c:dLbls>
            <c:spPr>
              <a:noFill/>
              <a:ln w="3175">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5'!$A$3:$A$5</c:f>
              <c:strCache>
                <c:ptCount val="3"/>
                <c:pt idx="0">
                  <c:v>celkem</c:v>
                </c:pt>
                <c:pt idx="1">
                  <c:v>jednotlivec 65+</c:v>
                </c:pt>
                <c:pt idx="2">
                  <c:v>dvojice dospělých, alespoň jeden 65+</c:v>
                </c:pt>
              </c:strCache>
            </c:strRef>
          </c:cat>
          <c:val>
            <c:numRef>
              <c:f>'Graf 5'!$B$3:$B$5</c:f>
              <c:numCache>
                <c:formatCode>0.0</c:formatCode>
                <c:ptCount val="3"/>
                <c:pt idx="0">
                  <c:v>5</c:v>
                </c:pt>
                <c:pt idx="1">
                  <c:v>8.1999999999999993</c:v>
                </c:pt>
                <c:pt idx="2">
                  <c:v>2.5867900000000001</c:v>
                </c:pt>
              </c:numCache>
            </c:numRef>
          </c:val>
          <c:extLst>
            <c:ext xmlns:c16="http://schemas.microsoft.com/office/drawing/2014/chart" uri="{C3380CC4-5D6E-409C-BE32-E72D297353CC}">
              <c16:uniqueId val="{00000000-AEE1-4C98-8E74-EE6580CF78E5}"/>
            </c:ext>
          </c:extLst>
        </c:ser>
        <c:ser>
          <c:idx val="1"/>
          <c:order val="1"/>
          <c:tx>
            <c:strRef>
              <c:f>'Graf 5'!$C$2</c:f>
              <c:strCache>
                <c:ptCount val="1"/>
                <c:pt idx="0">
                  <c:v>2021</c:v>
                </c:pt>
              </c:strCache>
            </c:strRef>
          </c:tx>
          <c:spPr>
            <a:solidFill>
              <a:srgbClr val="BD1B21"/>
            </a:solidFill>
            <a:ln w="3175">
              <a:solidFill>
                <a:schemeClr val="tx1"/>
              </a:solidFill>
            </a:ln>
            <a:effectLst/>
          </c:spPr>
          <c:invertIfNegative val="0"/>
          <c:dLbls>
            <c:spPr>
              <a:noFill/>
              <a:ln w="3175">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5'!$A$3:$A$5</c:f>
              <c:strCache>
                <c:ptCount val="3"/>
                <c:pt idx="0">
                  <c:v>celkem</c:v>
                </c:pt>
                <c:pt idx="1">
                  <c:v>jednotlivec 65+</c:v>
                </c:pt>
                <c:pt idx="2">
                  <c:v>dvojice dospělých, alespoň jeden 65+</c:v>
                </c:pt>
              </c:strCache>
            </c:strRef>
          </c:cat>
          <c:val>
            <c:numRef>
              <c:f>'Graf 5'!$C$3:$C$5</c:f>
              <c:numCache>
                <c:formatCode>0.0</c:formatCode>
                <c:ptCount val="3"/>
                <c:pt idx="0">
                  <c:v>4.8</c:v>
                </c:pt>
                <c:pt idx="1">
                  <c:v>6.2</c:v>
                </c:pt>
                <c:pt idx="2">
                  <c:v>2.87358</c:v>
                </c:pt>
              </c:numCache>
            </c:numRef>
          </c:val>
          <c:extLst>
            <c:ext xmlns:c16="http://schemas.microsoft.com/office/drawing/2014/chart" uri="{C3380CC4-5D6E-409C-BE32-E72D297353CC}">
              <c16:uniqueId val="{00000001-AEE1-4C98-8E74-EE6580CF78E5}"/>
            </c:ext>
          </c:extLst>
        </c:ser>
        <c:dLbls>
          <c:showLegendKey val="0"/>
          <c:showVal val="0"/>
          <c:showCatName val="0"/>
          <c:showSerName val="0"/>
          <c:showPercent val="0"/>
          <c:showBubbleSize val="0"/>
        </c:dLbls>
        <c:gapWidth val="66"/>
        <c:overlap val="-27"/>
        <c:axId val="1457585215"/>
        <c:axId val="1457583551"/>
      </c:barChart>
      <c:catAx>
        <c:axId val="1457585215"/>
        <c:scaling>
          <c:orientation val="minMax"/>
        </c:scaling>
        <c:delete val="0"/>
        <c:axPos val="b"/>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457583551"/>
        <c:crosses val="autoZero"/>
        <c:auto val="1"/>
        <c:lblAlgn val="ctr"/>
        <c:lblOffset val="100"/>
        <c:noMultiLvlLbl val="0"/>
      </c:catAx>
      <c:valAx>
        <c:axId val="1457583551"/>
        <c:scaling>
          <c:orientation val="minMax"/>
        </c:scaling>
        <c:delete val="0"/>
        <c:axPos val="l"/>
        <c:majorGridlines>
          <c:spPr>
            <a:ln w="3175" cap="flat" cmpd="sng" algn="ctr">
              <a:solidFill>
                <a:schemeClr val="tx1"/>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cs-CZ" sz="900"/>
                  <a:t>míra materiální a sociální deprivace</a:t>
                </a:r>
                <a:r>
                  <a:rPr lang="cs-CZ" sz="900" baseline="0"/>
                  <a:t> (</a:t>
                </a:r>
                <a:r>
                  <a:rPr lang="en-US" sz="900"/>
                  <a:t>%</a:t>
                </a:r>
                <a:r>
                  <a:rPr lang="cs-CZ" sz="900"/>
                  <a:t>)</a:t>
                </a:r>
                <a:endParaRPr lang="en-US" sz="900"/>
              </a:p>
            </c:rich>
          </c:tx>
          <c:layout>
            <c:manualLayout>
              <c:xMode val="edge"/>
              <c:yMode val="edge"/>
              <c:x val="3.5185278921910806E-3"/>
              <c:y val="0.12836885350290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title>
        <c:numFmt formatCode="0" sourceLinked="0"/>
        <c:majorTickMark val="none"/>
        <c:minorTickMark val="none"/>
        <c:tickLblPos val="nextTo"/>
        <c:spPr>
          <a:noFill/>
          <a:ln w="317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457585215"/>
        <c:crosses val="autoZero"/>
        <c:crossBetween val="between"/>
      </c:valAx>
      <c:spPr>
        <a:noFill/>
        <a:ln w="3175">
          <a:solidFill>
            <a:schemeClr val="tx1"/>
          </a:solidFill>
        </a:ln>
        <a:effectLst/>
      </c:spPr>
    </c:plotArea>
    <c:legend>
      <c:legendPos val="b"/>
      <c:layout>
        <c:manualLayout>
          <c:xMode val="edge"/>
          <c:yMode val="edge"/>
          <c:x val="0.14414593003203049"/>
          <c:y val="7.4710488294373115E-2"/>
          <c:w val="0.2175690962833563"/>
          <c:h val="0.108590274514626"/>
        </c:manualLayout>
      </c:layout>
      <c:overlay val="0"/>
      <c:spPr>
        <a:solidFill>
          <a:schemeClr val="bg1"/>
        </a:solid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47343822954773"/>
          <c:y val="6.2785298341591869E-2"/>
          <c:w val="0.74732841037357389"/>
          <c:h val="0.81767889590724241"/>
        </c:manualLayout>
      </c:layout>
      <c:barChart>
        <c:barDir val="col"/>
        <c:grouping val="clustered"/>
        <c:varyColors val="0"/>
        <c:ser>
          <c:idx val="0"/>
          <c:order val="0"/>
          <c:tx>
            <c:strRef>
              <c:f>'výdaje podle věku a pohlaví_gra'!$C$32</c:f>
              <c:strCache>
                <c:ptCount val="1"/>
                <c:pt idx="0">
                  <c:v>muži</c:v>
                </c:pt>
              </c:strCache>
            </c:strRef>
          </c:tx>
          <c:spPr>
            <a:solidFill>
              <a:srgbClr val="0070C0"/>
            </a:solidFill>
            <a:ln w="3175">
              <a:solidFill>
                <a:sysClr val="windowText" lastClr="000000"/>
              </a:solid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'výdaje podle věku a pohlaví_gra'!$B$33:$B$36</c:f>
              <c:strCache>
                <c:ptCount val="4"/>
                <c:pt idx="0">
                  <c:v>2017</c:v>
                </c:pt>
                <c:pt idx="1">
                  <c:v>2018</c:v>
                </c:pt>
                <c:pt idx="2">
                  <c:v>2019</c:v>
                </c:pt>
                <c:pt idx="3">
                  <c:v>2020</c:v>
                </c:pt>
              </c:strCache>
            </c:strRef>
          </c:cat>
          <c:val>
            <c:numRef>
              <c:f>'výdaje podle věku a pohlaví_gra'!$C$33:$C$36</c:f>
              <c:numCache>
                <c:formatCode>#,##0</c:formatCode>
                <c:ptCount val="4"/>
                <c:pt idx="0">
                  <c:v>60371.238601451965</c:v>
                </c:pt>
                <c:pt idx="1">
                  <c:v>64479.320817505126</c:v>
                </c:pt>
                <c:pt idx="2">
                  <c:v>69886.357953488783</c:v>
                </c:pt>
                <c:pt idx="3">
                  <c:v>81225.992947393534</c:v>
                </c:pt>
              </c:numCache>
            </c:numRef>
          </c:val>
          <c:extLst>
            <c:ext xmlns:c16="http://schemas.microsoft.com/office/drawing/2014/chart" uri="{C3380CC4-5D6E-409C-BE32-E72D297353CC}">
              <c16:uniqueId val="{00000000-222B-42FF-8E21-07718917A745}"/>
            </c:ext>
          </c:extLst>
        </c:ser>
        <c:ser>
          <c:idx val="1"/>
          <c:order val="1"/>
          <c:tx>
            <c:strRef>
              <c:f>'výdaje podle věku a pohlaví_gra'!$D$32</c:f>
              <c:strCache>
                <c:ptCount val="1"/>
                <c:pt idx="0">
                  <c:v>ženy</c:v>
                </c:pt>
              </c:strCache>
            </c:strRef>
          </c:tx>
          <c:spPr>
            <a:solidFill>
              <a:srgbClr val="C00000"/>
            </a:solidFill>
            <a:ln w="3175">
              <a:solidFill>
                <a:sysClr val="windowText" lastClr="000000"/>
              </a:solid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'výdaje podle věku a pohlaví_gra'!$B$33:$B$36</c:f>
              <c:strCache>
                <c:ptCount val="4"/>
                <c:pt idx="0">
                  <c:v>2017</c:v>
                </c:pt>
                <c:pt idx="1">
                  <c:v>2018</c:v>
                </c:pt>
                <c:pt idx="2">
                  <c:v>2019</c:v>
                </c:pt>
                <c:pt idx="3">
                  <c:v>2020</c:v>
                </c:pt>
              </c:strCache>
            </c:strRef>
          </c:cat>
          <c:val>
            <c:numRef>
              <c:f>'výdaje podle věku a pohlaví_gra'!$D$33:$D$36</c:f>
              <c:numCache>
                <c:formatCode>#,##0</c:formatCode>
                <c:ptCount val="4"/>
                <c:pt idx="0">
                  <c:v>50270.012938602784</c:v>
                </c:pt>
                <c:pt idx="1">
                  <c:v>53256.019499832197</c:v>
                </c:pt>
                <c:pt idx="2">
                  <c:v>57626.704634123213</c:v>
                </c:pt>
                <c:pt idx="3">
                  <c:v>64642.873883691747</c:v>
                </c:pt>
              </c:numCache>
            </c:numRef>
          </c:val>
          <c:extLst>
            <c:ext xmlns:c16="http://schemas.microsoft.com/office/drawing/2014/chart" uri="{C3380CC4-5D6E-409C-BE32-E72D297353CC}">
              <c16:uniqueId val="{00000001-222B-42FF-8E21-07718917A745}"/>
            </c:ext>
          </c:extLst>
        </c:ser>
        <c:dLbls>
          <c:dLblPos val="ctr"/>
          <c:showLegendKey val="0"/>
          <c:showVal val="1"/>
          <c:showCatName val="0"/>
          <c:showSerName val="0"/>
          <c:showPercent val="0"/>
          <c:showBubbleSize val="0"/>
        </c:dLbls>
        <c:gapWidth val="66"/>
        <c:overlap val="-27"/>
        <c:axId val="1810824991"/>
        <c:axId val="1810811679"/>
      </c:barChart>
      <c:catAx>
        <c:axId val="1810824991"/>
        <c:scaling>
          <c:orientation val="minMax"/>
        </c:scaling>
        <c:delete val="0"/>
        <c:axPos val="b"/>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810811679"/>
        <c:crosses val="autoZero"/>
        <c:auto val="1"/>
        <c:lblAlgn val="ctr"/>
        <c:lblOffset val="100"/>
        <c:noMultiLvlLbl val="0"/>
      </c:catAx>
      <c:valAx>
        <c:axId val="1810811679"/>
        <c:scaling>
          <c:orientation val="minMax"/>
        </c:scaling>
        <c:delete val="0"/>
        <c:axPos val="l"/>
        <c:majorGridlines>
          <c:spPr>
            <a:ln w="3175" cap="flat" cmpd="sng" algn="ctr">
              <a:solidFill>
                <a:sysClr val="windowText" lastClr="000000"/>
              </a:solidFill>
              <a:round/>
            </a:ln>
            <a:effectLst/>
          </c:spPr>
        </c:majorGridlines>
        <c:numFmt formatCode="#,##0" sourceLinked="0"/>
        <c:majorTickMark val="none"/>
        <c:minorTickMark val="none"/>
        <c:tickLblPos val="nextTo"/>
        <c:spPr>
          <a:noFill/>
          <a:ln w="3175">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810824991"/>
        <c:crosses val="autoZero"/>
        <c:crossBetween val="between"/>
      </c:valAx>
      <c:spPr>
        <a:noFill/>
        <a:ln w="3175">
          <a:solidFill>
            <a:sysClr val="windowText" lastClr="000000"/>
          </a:solid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281386206814661E-2"/>
          <c:y val="5.612737087109395E-2"/>
          <c:w val="0.38397667486134374"/>
          <c:h val="0.69556776417440569"/>
        </c:manualLayout>
      </c:layout>
      <c:barChart>
        <c:barDir val="col"/>
        <c:grouping val="clustered"/>
        <c:varyColors val="0"/>
        <c:ser>
          <c:idx val="0"/>
          <c:order val="0"/>
          <c:tx>
            <c:strRef>
              <c:f>'výdaje podle věku a pohlaví_gra'!$C$32</c:f>
              <c:strCache>
                <c:ptCount val="1"/>
                <c:pt idx="0">
                  <c:v>muži</c:v>
                </c:pt>
              </c:strCache>
            </c:strRef>
          </c:tx>
          <c:spPr>
            <a:solidFill>
              <a:srgbClr val="0070C0"/>
            </a:solidFill>
            <a:ln w="3175">
              <a:solidFill>
                <a:sysClr val="windowText" lastClr="000000"/>
              </a:solid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'výdaje podle věku a pohlaví_gra'!$B$33:$B$36</c:f>
              <c:strCache>
                <c:ptCount val="4"/>
                <c:pt idx="0">
                  <c:v>2017</c:v>
                </c:pt>
                <c:pt idx="1">
                  <c:v>2018</c:v>
                </c:pt>
                <c:pt idx="2">
                  <c:v>2019</c:v>
                </c:pt>
                <c:pt idx="3">
                  <c:v>2020</c:v>
                </c:pt>
              </c:strCache>
            </c:strRef>
          </c:cat>
          <c:val>
            <c:numRef>
              <c:f>'výdaje podle věku a pohlaví_gra'!$C$42:$C$45</c:f>
              <c:numCache>
                <c:formatCode>#\ ##0.0</c:formatCode>
                <c:ptCount val="4"/>
                <c:pt idx="0">
                  <c:v>51.582937027</c:v>
                </c:pt>
                <c:pt idx="1">
                  <c:v>56.539530689999999</c:v>
                </c:pt>
                <c:pt idx="2">
                  <c:v>62.756342056000001</c:v>
                </c:pt>
                <c:pt idx="3">
                  <c:v>73.871060512</c:v>
                </c:pt>
              </c:numCache>
            </c:numRef>
          </c:val>
          <c:extLst>
            <c:ext xmlns:c16="http://schemas.microsoft.com/office/drawing/2014/chart" uri="{C3380CC4-5D6E-409C-BE32-E72D297353CC}">
              <c16:uniqueId val="{00000000-9A31-47B9-BD50-222449C91E7F}"/>
            </c:ext>
          </c:extLst>
        </c:ser>
        <c:ser>
          <c:idx val="1"/>
          <c:order val="1"/>
          <c:tx>
            <c:strRef>
              <c:f>'výdaje podle věku a pohlaví_gra'!$D$32</c:f>
              <c:strCache>
                <c:ptCount val="1"/>
                <c:pt idx="0">
                  <c:v>ženy</c:v>
                </c:pt>
              </c:strCache>
            </c:strRef>
          </c:tx>
          <c:spPr>
            <a:solidFill>
              <a:srgbClr val="C00000"/>
            </a:solidFill>
            <a:ln w="3175">
              <a:solidFill>
                <a:sysClr val="windowText" lastClr="000000"/>
              </a:solidFill>
            </a:ln>
            <a:effectLst/>
          </c:spPr>
          <c:invertIfNegative val="0"/>
          <c:dPt>
            <c:idx val="3"/>
            <c:invertIfNegative val="0"/>
            <c:bubble3D val="0"/>
            <c:spPr>
              <a:solidFill>
                <a:srgbClr val="C00000"/>
              </a:solidFill>
              <a:ln w="3175">
                <a:solidFill>
                  <a:srgbClr val="000000"/>
                </a:solidFill>
              </a:ln>
              <a:effectLst/>
            </c:spPr>
            <c:extLst>
              <c:ext xmlns:c16="http://schemas.microsoft.com/office/drawing/2014/chart" uri="{C3380CC4-5D6E-409C-BE32-E72D297353CC}">
                <c16:uniqueId val="{00000002-9A31-47B9-BD50-222449C91E7F}"/>
              </c:ext>
            </c:extLst>
          </c:dPt>
          <c:dLbls>
            <c:spPr>
              <a:noFill/>
              <a:ln>
                <a:noFill/>
              </a:ln>
              <a:effectLst/>
            </c:spPr>
            <c:txPr>
              <a:bodyPr rot="-5400000" spcFirstLastPara="1" vertOverflow="ellipsis"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'výdaje podle věku a pohlaví_gra'!$B$33:$B$36</c:f>
              <c:strCache>
                <c:ptCount val="4"/>
                <c:pt idx="0">
                  <c:v>2017</c:v>
                </c:pt>
                <c:pt idx="1">
                  <c:v>2018</c:v>
                </c:pt>
                <c:pt idx="2">
                  <c:v>2019</c:v>
                </c:pt>
                <c:pt idx="3">
                  <c:v>2020</c:v>
                </c:pt>
              </c:strCache>
            </c:strRef>
          </c:cat>
          <c:val>
            <c:numRef>
              <c:f>'výdaje podle věku a pohlaví_gra'!$D$42:$D$45</c:f>
              <c:numCache>
                <c:formatCode>#\ ##0.0</c:formatCode>
                <c:ptCount val="4"/>
                <c:pt idx="0">
                  <c:v>59.607868922000002</c:v>
                </c:pt>
                <c:pt idx="1">
                  <c:v>64.426682614000001</c:v>
                </c:pt>
                <c:pt idx="2">
                  <c:v>71.091357052000006</c:v>
                </c:pt>
                <c:pt idx="3">
                  <c:v>80.730610549999994</c:v>
                </c:pt>
              </c:numCache>
            </c:numRef>
          </c:val>
          <c:extLst>
            <c:ext xmlns:c16="http://schemas.microsoft.com/office/drawing/2014/chart" uri="{C3380CC4-5D6E-409C-BE32-E72D297353CC}">
              <c16:uniqueId val="{00000003-9A31-47B9-BD50-222449C91E7F}"/>
            </c:ext>
          </c:extLst>
        </c:ser>
        <c:dLbls>
          <c:dLblPos val="ctr"/>
          <c:showLegendKey val="0"/>
          <c:showVal val="1"/>
          <c:showCatName val="0"/>
          <c:showSerName val="0"/>
          <c:showPercent val="0"/>
          <c:showBubbleSize val="0"/>
        </c:dLbls>
        <c:gapWidth val="66"/>
        <c:overlap val="-27"/>
        <c:axId val="1810824991"/>
        <c:axId val="1810811679"/>
      </c:barChart>
      <c:catAx>
        <c:axId val="1810824991"/>
        <c:scaling>
          <c:orientation val="minMax"/>
        </c:scaling>
        <c:delete val="0"/>
        <c:axPos val="b"/>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810811679"/>
        <c:crosses val="autoZero"/>
        <c:auto val="1"/>
        <c:lblAlgn val="ctr"/>
        <c:lblOffset val="100"/>
        <c:noMultiLvlLbl val="0"/>
      </c:catAx>
      <c:valAx>
        <c:axId val="1810811679"/>
        <c:scaling>
          <c:orientation val="minMax"/>
          <c:max val="100"/>
        </c:scaling>
        <c:delete val="0"/>
        <c:axPos val="l"/>
        <c:majorGridlines>
          <c:spPr>
            <a:ln w="3175" cap="flat" cmpd="sng" algn="ctr">
              <a:solidFill>
                <a:sysClr val="windowText" lastClr="000000"/>
              </a:solidFill>
              <a:round/>
            </a:ln>
            <a:effectLst/>
          </c:spPr>
        </c:majorGridlines>
        <c:numFmt formatCode="#,##0" sourceLinked="0"/>
        <c:majorTickMark val="none"/>
        <c:minorTickMark val="none"/>
        <c:tickLblPos val="nextTo"/>
        <c:spPr>
          <a:noFill/>
          <a:ln w="3175">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810824991"/>
        <c:crosses val="autoZero"/>
        <c:crossBetween val="between"/>
      </c:valAx>
      <c:spPr>
        <a:noFill/>
        <a:ln w="3175">
          <a:solidFill>
            <a:sysClr val="windowText" lastClr="000000"/>
          </a:solidFill>
        </a:ln>
        <a:effectLst/>
      </c:spPr>
    </c:plotArea>
    <c:legend>
      <c:legendPos val="b"/>
      <c:layout>
        <c:manualLayout>
          <c:xMode val="edge"/>
          <c:yMode val="edge"/>
          <c:x val="0.41957720217099564"/>
          <c:y val="0.8808205813895903"/>
          <c:w val="0.20307763565753376"/>
          <c:h val="0.10031149408210766"/>
        </c:manualLayout>
      </c:layout>
      <c:overlay val="0"/>
      <c:spPr>
        <a:noFill/>
        <a:ln w="3175">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47407988028647"/>
          <c:y val="3.5450013192795345E-2"/>
          <c:w val="0.85864942221588814"/>
          <c:h val="0.752663139329806"/>
        </c:manualLayout>
      </c:layout>
      <c:barChart>
        <c:barDir val="col"/>
        <c:grouping val="clustered"/>
        <c:varyColors val="0"/>
        <c:ser>
          <c:idx val="0"/>
          <c:order val="0"/>
          <c:tx>
            <c:strRef>
              <c:f>'výdaje podle věku a pohlaví_gra'!$H$3</c:f>
              <c:strCache>
                <c:ptCount val="1"/>
                <c:pt idx="0">
                  <c:v>muži </c:v>
                </c:pt>
              </c:strCache>
            </c:strRef>
          </c:tx>
          <c:spPr>
            <a:solidFill>
              <a:srgbClr val="0070C0"/>
            </a:solidFill>
            <a:ln w="3175">
              <a:solidFill>
                <a:sysClr val="windowText" lastClr="000000"/>
              </a:solid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'výdaje podle věku a pohlaví_gra'!$A$21:$A$30</c:f>
              <c:strCache>
                <c:ptCount val="10"/>
                <c:pt idx="0">
                  <c:v>65–69</c:v>
                </c:pt>
                <c:pt idx="1">
                  <c:v>70–74</c:v>
                </c:pt>
                <c:pt idx="2">
                  <c:v>75–79</c:v>
                </c:pt>
                <c:pt idx="3">
                  <c:v>80–84</c:v>
                </c:pt>
                <c:pt idx="4">
                  <c:v>85–89</c:v>
                </c:pt>
                <c:pt idx="5">
                  <c:v>90–94</c:v>
                </c:pt>
                <c:pt idx="6">
                  <c:v>95+</c:v>
                </c:pt>
                <c:pt idx="8">
                  <c:v>65+</c:v>
                </c:pt>
                <c:pt idx="9">
                  <c:v>celkem</c:v>
                </c:pt>
              </c:strCache>
            </c:strRef>
          </c:cat>
          <c:val>
            <c:numRef>
              <c:f>'výdaje podle věku a pohlaví_gra'!$H$21:$H$30</c:f>
              <c:numCache>
                <c:formatCode>#\ ##0.0</c:formatCode>
                <c:ptCount val="10"/>
                <c:pt idx="0">
                  <c:v>66.251576450254618</c:v>
                </c:pt>
                <c:pt idx="1">
                  <c:v>80.640246070968743</c:v>
                </c:pt>
                <c:pt idx="2">
                  <c:v>94.248790675116396</c:v>
                </c:pt>
                <c:pt idx="3">
                  <c:v>95.344251108794964</c:v>
                </c:pt>
                <c:pt idx="4">
                  <c:v>102.11346614088788</c:v>
                </c:pt>
                <c:pt idx="5">
                  <c:v>105.86392437770562</c:v>
                </c:pt>
                <c:pt idx="6">
                  <c:v>106.01909979381445</c:v>
                </c:pt>
                <c:pt idx="8">
                  <c:v>81.225992947393536</c:v>
                </c:pt>
                <c:pt idx="9">
                  <c:v>32.174904698922468</c:v>
                </c:pt>
              </c:numCache>
            </c:numRef>
          </c:val>
          <c:extLst>
            <c:ext xmlns:c16="http://schemas.microsoft.com/office/drawing/2014/chart" uri="{C3380CC4-5D6E-409C-BE32-E72D297353CC}">
              <c16:uniqueId val="{00000000-F532-438E-A2CA-758C5740D24C}"/>
            </c:ext>
          </c:extLst>
        </c:ser>
        <c:ser>
          <c:idx val="1"/>
          <c:order val="1"/>
          <c:tx>
            <c:strRef>
              <c:f>'výdaje podle věku a pohlaví_gra'!$I$3</c:f>
              <c:strCache>
                <c:ptCount val="1"/>
                <c:pt idx="0">
                  <c:v>ženy</c:v>
                </c:pt>
              </c:strCache>
            </c:strRef>
          </c:tx>
          <c:spPr>
            <a:solidFill>
              <a:srgbClr val="C00000"/>
            </a:solidFill>
            <a:ln w="3175">
              <a:solidFill>
                <a:sysClr val="windowText" lastClr="000000"/>
              </a:solid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'výdaje podle věku a pohlaví_gra'!$A$21:$A$30</c:f>
              <c:strCache>
                <c:ptCount val="10"/>
                <c:pt idx="0">
                  <c:v>65–69</c:v>
                </c:pt>
                <c:pt idx="1">
                  <c:v>70–74</c:v>
                </c:pt>
                <c:pt idx="2">
                  <c:v>75–79</c:v>
                </c:pt>
                <c:pt idx="3">
                  <c:v>80–84</c:v>
                </c:pt>
                <c:pt idx="4">
                  <c:v>85–89</c:v>
                </c:pt>
                <c:pt idx="5">
                  <c:v>90–94</c:v>
                </c:pt>
                <c:pt idx="6">
                  <c:v>95+</c:v>
                </c:pt>
                <c:pt idx="8">
                  <c:v>65+</c:v>
                </c:pt>
                <c:pt idx="9">
                  <c:v>celkem</c:v>
                </c:pt>
              </c:strCache>
            </c:strRef>
          </c:cat>
          <c:val>
            <c:numRef>
              <c:f>'výdaje podle věku a pohlaví_gra'!$I$21:$I$30</c:f>
              <c:numCache>
                <c:formatCode>#\ ##0.0</c:formatCode>
                <c:ptCount val="10"/>
                <c:pt idx="0">
                  <c:v>48.781812970918523</c:v>
                </c:pt>
                <c:pt idx="1">
                  <c:v>58.986632219020166</c:v>
                </c:pt>
                <c:pt idx="2">
                  <c:v>70.214917396811785</c:v>
                </c:pt>
                <c:pt idx="3">
                  <c:v>77.257982377280783</c:v>
                </c:pt>
                <c:pt idx="4">
                  <c:v>90.406455228259588</c:v>
                </c:pt>
                <c:pt idx="5">
                  <c:v>102.61529036308197</c:v>
                </c:pt>
                <c:pt idx="6">
                  <c:v>116.30283920120051</c:v>
                </c:pt>
                <c:pt idx="8">
                  <c:v>64.642873883691749</c:v>
                </c:pt>
                <c:pt idx="9">
                  <c:v>33.903070690260733</c:v>
                </c:pt>
              </c:numCache>
            </c:numRef>
          </c:val>
          <c:extLst>
            <c:ext xmlns:c16="http://schemas.microsoft.com/office/drawing/2014/chart" uri="{C3380CC4-5D6E-409C-BE32-E72D297353CC}">
              <c16:uniqueId val="{00000001-F532-438E-A2CA-758C5740D24C}"/>
            </c:ext>
          </c:extLst>
        </c:ser>
        <c:dLbls>
          <c:dLblPos val="ctr"/>
          <c:showLegendKey val="0"/>
          <c:showVal val="1"/>
          <c:showCatName val="0"/>
          <c:showSerName val="0"/>
          <c:showPercent val="0"/>
          <c:showBubbleSize val="0"/>
        </c:dLbls>
        <c:gapWidth val="66"/>
        <c:axId val="1633882527"/>
        <c:axId val="1633884191"/>
      </c:barChart>
      <c:catAx>
        <c:axId val="1633882527"/>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věk</a:t>
                </a:r>
                <a:r>
                  <a:rPr lang="cs-CZ"/>
                  <a:t> (v letech)</a:t>
                </a:r>
                <a:r>
                  <a:rPr lang="en-US"/>
                  <a:t> </a:t>
                </a:r>
              </a:p>
            </c:rich>
          </c:tx>
          <c:layout>
            <c:manualLayout>
              <c:xMode val="edge"/>
              <c:yMode val="edge"/>
              <c:x val="0.46092017909526017"/>
              <c:y val="0.8982774387309164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633884191"/>
        <c:crosses val="autoZero"/>
        <c:auto val="1"/>
        <c:lblAlgn val="ctr"/>
        <c:lblOffset val="100"/>
        <c:noMultiLvlLbl val="0"/>
      </c:catAx>
      <c:valAx>
        <c:axId val="1633884191"/>
        <c:scaling>
          <c:orientation val="minMax"/>
        </c:scaling>
        <c:delete val="0"/>
        <c:axPos val="l"/>
        <c:majorGridlines>
          <c:spPr>
            <a:ln w="3175" cap="flat" cmpd="sng" algn="ctr">
              <a:solidFill>
                <a:sysClr val="windowText" lastClr="000000"/>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tis. Kč</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w="3175">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633882527"/>
        <c:crosses val="autoZero"/>
        <c:crossBetween val="between"/>
      </c:valAx>
      <c:spPr>
        <a:noFill/>
        <a:ln w="3175">
          <a:solidFill>
            <a:sysClr val="windowText" lastClr="000000"/>
          </a:solidFill>
        </a:ln>
        <a:effectLst/>
      </c:spPr>
    </c:plotArea>
    <c:legend>
      <c:legendPos val="b"/>
      <c:layout>
        <c:manualLayout>
          <c:xMode val="edge"/>
          <c:yMode val="edge"/>
          <c:x val="0.12896758945855749"/>
          <c:y val="6.1918371314696768E-2"/>
          <c:w val="0.21260842394700663"/>
          <c:h val="0.12824508047605163"/>
        </c:manualLayout>
      </c:layout>
      <c:overlay val="0"/>
      <c:spPr>
        <a:solidFill>
          <a:schemeClr val="bg1"/>
        </a:solidFill>
        <a:ln w="3175">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17762150339669"/>
          <c:y val="2.9216467463479414E-2"/>
          <c:w val="0.76632266160331408"/>
          <c:h val="0.67588250671853267"/>
        </c:manualLayout>
      </c:layout>
      <c:barChart>
        <c:barDir val="bar"/>
        <c:grouping val="clustered"/>
        <c:varyColors val="0"/>
        <c:ser>
          <c:idx val="4"/>
          <c:order val="0"/>
          <c:tx>
            <c:strRef>
              <c:f>'diagnózy_grafy (2)'!$A$6</c:f>
              <c:strCache>
                <c:ptCount val="1"/>
                <c:pt idx="0">
                  <c:v>nemoci močové a pohlavní soustavy</c:v>
                </c:pt>
              </c:strCache>
            </c:strRef>
          </c:tx>
          <c:spPr>
            <a:solidFill>
              <a:srgbClr val="7030A0"/>
            </a:solidFill>
            <a:ln w="3175">
              <a:solidFill>
                <a:sysClr val="windowText" lastClr="000000"/>
              </a:solidFill>
            </a:ln>
            <a:effectLst/>
          </c:spPr>
          <c:invertIfNegative val="0"/>
          <c:cat>
            <c:strRef>
              <c:f>'diagnózy_grafy (2)'!$B$1:$K$1</c:f>
              <c:strCache>
                <c:ptCount val="10"/>
                <c:pt idx="0">
                  <c:v>95+</c:v>
                </c:pt>
                <c:pt idx="1">
                  <c:v>90-94</c:v>
                </c:pt>
                <c:pt idx="2">
                  <c:v>85-89</c:v>
                </c:pt>
                <c:pt idx="3">
                  <c:v>80-84</c:v>
                </c:pt>
                <c:pt idx="4">
                  <c:v>75-79</c:v>
                </c:pt>
                <c:pt idx="5">
                  <c:v>70-74</c:v>
                </c:pt>
                <c:pt idx="6">
                  <c:v>65-69</c:v>
                </c:pt>
                <c:pt idx="8">
                  <c:v>65+</c:v>
                </c:pt>
                <c:pt idx="9">
                  <c:v>celkem</c:v>
                </c:pt>
              </c:strCache>
            </c:strRef>
          </c:cat>
          <c:val>
            <c:numRef>
              <c:f>'diagnózy_grafy (2)'!$B$6:$K$6</c:f>
              <c:numCache>
                <c:formatCode>#,##0</c:formatCode>
                <c:ptCount val="10"/>
                <c:pt idx="0">
                  <c:v>9665.6731601731608</c:v>
                </c:pt>
                <c:pt idx="1">
                  <c:v>7813.3419003549461</c:v>
                </c:pt>
                <c:pt idx="2">
                  <c:v>6953.490844104268</c:v>
                </c:pt>
                <c:pt idx="3">
                  <c:v>5998.8862769674406</c:v>
                </c:pt>
                <c:pt idx="4">
                  <c:v>5198.3424296681933</c:v>
                </c:pt>
                <c:pt idx="5">
                  <c:v>4398.9509302501547</c:v>
                </c:pt>
                <c:pt idx="6">
                  <c:v>3499.3353033381027</c:v>
                </c:pt>
                <c:pt idx="8">
                  <c:v>4730.2731561833689</c:v>
                </c:pt>
                <c:pt idx="9">
                  <c:v>1945.7664942934243</c:v>
                </c:pt>
              </c:numCache>
            </c:numRef>
          </c:val>
          <c:extLst>
            <c:ext xmlns:c16="http://schemas.microsoft.com/office/drawing/2014/chart" uri="{C3380CC4-5D6E-409C-BE32-E72D297353CC}">
              <c16:uniqueId val="{00000000-3560-491E-B626-20E16340CCA7}"/>
            </c:ext>
          </c:extLst>
        </c:ser>
        <c:ser>
          <c:idx val="2"/>
          <c:order val="1"/>
          <c:tx>
            <c:strRef>
              <c:f>'diagnózy_grafy (2)'!$A$4</c:f>
              <c:strCache>
                <c:ptCount val="1"/>
                <c:pt idx="0">
                  <c:v>nemoci dýchací soustavy</c:v>
                </c:pt>
              </c:strCache>
            </c:strRef>
          </c:tx>
          <c:spPr>
            <a:solidFill>
              <a:srgbClr val="00B0F0"/>
            </a:solidFill>
            <a:ln w="3175">
              <a:solidFill>
                <a:sysClr val="windowText" lastClr="000000"/>
              </a:solidFill>
            </a:ln>
            <a:effectLst/>
          </c:spPr>
          <c:invertIfNegative val="0"/>
          <c:cat>
            <c:strRef>
              <c:f>'diagnózy_grafy (2)'!$B$1:$K$1</c:f>
              <c:strCache>
                <c:ptCount val="10"/>
                <c:pt idx="0">
                  <c:v>95+</c:v>
                </c:pt>
                <c:pt idx="1">
                  <c:v>90-94</c:v>
                </c:pt>
                <c:pt idx="2">
                  <c:v>85-89</c:v>
                </c:pt>
                <c:pt idx="3">
                  <c:v>80-84</c:v>
                </c:pt>
                <c:pt idx="4">
                  <c:v>75-79</c:v>
                </c:pt>
                <c:pt idx="5">
                  <c:v>70-74</c:v>
                </c:pt>
                <c:pt idx="6">
                  <c:v>65-69</c:v>
                </c:pt>
                <c:pt idx="8">
                  <c:v>65+</c:v>
                </c:pt>
                <c:pt idx="9">
                  <c:v>celkem</c:v>
                </c:pt>
              </c:strCache>
            </c:strRef>
          </c:cat>
          <c:val>
            <c:numRef>
              <c:f>'diagnózy_grafy (2)'!$B$4:$K$4</c:f>
              <c:numCache>
                <c:formatCode>#,##0</c:formatCode>
                <c:ptCount val="10"/>
                <c:pt idx="0">
                  <c:v>5193.4058441558445</c:v>
                </c:pt>
                <c:pt idx="1">
                  <c:v>5450.0754306740255</c:v>
                </c:pt>
                <c:pt idx="2">
                  <c:v>5343.0448407827271</c:v>
                </c:pt>
                <c:pt idx="3">
                  <c:v>5070.1562278556712</c:v>
                </c:pt>
                <c:pt idx="4">
                  <c:v>5247.4207204680715</c:v>
                </c:pt>
                <c:pt idx="5">
                  <c:v>4418.8903565328401</c:v>
                </c:pt>
                <c:pt idx="6">
                  <c:v>3485.5024211130576</c:v>
                </c:pt>
                <c:pt idx="8">
                  <c:v>4450.9050540188164</c:v>
                </c:pt>
                <c:pt idx="9">
                  <c:v>1726.3442305889946</c:v>
                </c:pt>
              </c:numCache>
            </c:numRef>
          </c:val>
          <c:extLst>
            <c:ext xmlns:c16="http://schemas.microsoft.com/office/drawing/2014/chart" uri="{C3380CC4-5D6E-409C-BE32-E72D297353CC}">
              <c16:uniqueId val="{00000001-3560-491E-B626-20E16340CCA7}"/>
            </c:ext>
          </c:extLst>
        </c:ser>
        <c:ser>
          <c:idx val="6"/>
          <c:order val="2"/>
          <c:tx>
            <c:strRef>
              <c:f>'diagnózy_grafy (2)'!$A$8</c:f>
              <c:strCache>
                <c:ptCount val="1"/>
                <c:pt idx="0">
                  <c:v>faktory ovlivňující zdravotní stav</c:v>
                </c:pt>
              </c:strCache>
            </c:strRef>
          </c:tx>
          <c:spPr>
            <a:solidFill>
              <a:srgbClr val="92D050"/>
            </a:solidFill>
            <a:ln w="3175">
              <a:solidFill>
                <a:sysClr val="windowText" lastClr="000000"/>
              </a:solidFill>
            </a:ln>
            <a:effectLst/>
          </c:spPr>
          <c:invertIfNegative val="0"/>
          <c:cat>
            <c:strRef>
              <c:f>'diagnózy_grafy (2)'!$B$1:$K$1</c:f>
              <c:strCache>
                <c:ptCount val="10"/>
                <c:pt idx="0">
                  <c:v>95+</c:v>
                </c:pt>
                <c:pt idx="1">
                  <c:v>90-94</c:v>
                </c:pt>
                <c:pt idx="2">
                  <c:v>85-89</c:v>
                </c:pt>
                <c:pt idx="3">
                  <c:v>80-84</c:v>
                </c:pt>
                <c:pt idx="4">
                  <c:v>75-79</c:v>
                </c:pt>
                <c:pt idx="5">
                  <c:v>70-74</c:v>
                </c:pt>
                <c:pt idx="6">
                  <c:v>65-69</c:v>
                </c:pt>
                <c:pt idx="8">
                  <c:v>65+</c:v>
                </c:pt>
                <c:pt idx="9">
                  <c:v>celkem</c:v>
                </c:pt>
              </c:strCache>
            </c:strRef>
          </c:cat>
          <c:val>
            <c:numRef>
              <c:f>'diagnózy_grafy (2)'!$B$8:$K$8</c:f>
              <c:numCache>
                <c:formatCode>#,##0</c:formatCode>
                <c:ptCount val="10"/>
                <c:pt idx="0">
                  <c:v>4531.8189033189028</c:v>
                </c:pt>
                <c:pt idx="1">
                  <c:v>4243.6052665811821</c:v>
                </c:pt>
                <c:pt idx="2">
                  <c:v>4397.6081883168463</c:v>
                </c:pt>
                <c:pt idx="3">
                  <c:v>4631.634537165608</c:v>
                </c:pt>
                <c:pt idx="4">
                  <c:v>5119.1026531575908</c:v>
                </c:pt>
                <c:pt idx="5">
                  <c:v>4872.0627824275534</c:v>
                </c:pt>
                <c:pt idx="6">
                  <c:v>4392.6441335597801</c:v>
                </c:pt>
                <c:pt idx="8">
                  <c:v>4695.3979257960582</c:v>
                </c:pt>
                <c:pt idx="9">
                  <c:v>3273.6695566540025</c:v>
                </c:pt>
              </c:numCache>
            </c:numRef>
          </c:val>
          <c:extLst>
            <c:ext xmlns:c16="http://schemas.microsoft.com/office/drawing/2014/chart" uri="{C3380CC4-5D6E-409C-BE32-E72D297353CC}">
              <c16:uniqueId val="{00000002-3560-491E-B626-20E16340CCA7}"/>
            </c:ext>
          </c:extLst>
        </c:ser>
        <c:ser>
          <c:idx val="3"/>
          <c:order val="3"/>
          <c:tx>
            <c:strRef>
              <c:f>'diagnózy_grafy (2)'!$A$5</c:f>
              <c:strCache>
                <c:ptCount val="1"/>
                <c:pt idx="0">
                  <c:v>nemoci svalové, kosterní a pojivové tkáně</c:v>
                </c:pt>
              </c:strCache>
            </c:strRef>
          </c:tx>
          <c:spPr>
            <a:solidFill>
              <a:srgbClr val="FFC000"/>
            </a:solidFill>
            <a:ln w="3175">
              <a:solidFill>
                <a:sysClr val="windowText" lastClr="000000"/>
              </a:solidFill>
            </a:ln>
            <a:effectLst/>
          </c:spPr>
          <c:invertIfNegative val="0"/>
          <c:cat>
            <c:strRef>
              <c:f>'diagnózy_grafy (2)'!$B$1:$K$1</c:f>
              <c:strCache>
                <c:ptCount val="10"/>
                <c:pt idx="0">
                  <c:v>95+</c:v>
                </c:pt>
                <c:pt idx="1">
                  <c:v>90-94</c:v>
                </c:pt>
                <c:pt idx="2">
                  <c:v>85-89</c:v>
                </c:pt>
                <c:pt idx="3">
                  <c:v>80-84</c:v>
                </c:pt>
                <c:pt idx="4">
                  <c:v>75-79</c:v>
                </c:pt>
                <c:pt idx="5">
                  <c:v>70-74</c:v>
                </c:pt>
                <c:pt idx="6">
                  <c:v>65-69</c:v>
                </c:pt>
                <c:pt idx="8">
                  <c:v>65+</c:v>
                </c:pt>
                <c:pt idx="9">
                  <c:v>celkem</c:v>
                </c:pt>
              </c:strCache>
            </c:strRef>
          </c:cat>
          <c:val>
            <c:numRef>
              <c:f>'diagnózy_grafy (2)'!$B$5:$K$5</c:f>
              <c:numCache>
                <c:formatCode>#,##0</c:formatCode>
                <c:ptCount val="10"/>
                <c:pt idx="0">
                  <c:v>2523.6149891774894</c:v>
                </c:pt>
                <c:pt idx="1">
                  <c:v>2721.7050788872161</c:v>
                </c:pt>
                <c:pt idx="2">
                  <c:v>3324.4449851974873</c:v>
                </c:pt>
                <c:pt idx="3">
                  <c:v>4171.4468679470956</c:v>
                </c:pt>
                <c:pt idx="4">
                  <c:v>5181.340337151637</c:v>
                </c:pt>
                <c:pt idx="5">
                  <c:v>5076.5461422428716</c:v>
                </c:pt>
                <c:pt idx="6">
                  <c:v>4390.9694669089768</c:v>
                </c:pt>
                <c:pt idx="8">
                  <c:v>4596.58355194452</c:v>
                </c:pt>
                <c:pt idx="9">
                  <c:v>2287.3797883286111</c:v>
                </c:pt>
              </c:numCache>
            </c:numRef>
          </c:val>
          <c:extLst>
            <c:ext xmlns:c16="http://schemas.microsoft.com/office/drawing/2014/chart" uri="{C3380CC4-5D6E-409C-BE32-E72D297353CC}">
              <c16:uniqueId val="{00000003-3560-491E-B626-20E16340CCA7}"/>
            </c:ext>
          </c:extLst>
        </c:ser>
        <c:ser>
          <c:idx val="0"/>
          <c:order val="4"/>
          <c:tx>
            <c:strRef>
              <c:f>'diagnózy_grafy (2)'!$A$2</c:f>
              <c:strCache>
                <c:ptCount val="1"/>
                <c:pt idx="0">
                  <c:v>novotvary</c:v>
                </c:pt>
              </c:strCache>
            </c:strRef>
          </c:tx>
          <c:spPr>
            <a:solidFill>
              <a:srgbClr val="BD1B21"/>
            </a:solidFill>
            <a:ln w="3175">
              <a:solidFill>
                <a:sysClr val="windowText" lastClr="000000"/>
              </a:solidFill>
            </a:ln>
            <a:effectLst/>
          </c:spPr>
          <c:invertIfNegative val="0"/>
          <c:cat>
            <c:strRef>
              <c:f>'diagnózy_grafy (2)'!$B$1:$K$1</c:f>
              <c:strCache>
                <c:ptCount val="10"/>
                <c:pt idx="0">
                  <c:v>95+</c:v>
                </c:pt>
                <c:pt idx="1">
                  <c:v>90-94</c:v>
                </c:pt>
                <c:pt idx="2">
                  <c:v>85-89</c:v>
                </c:pt>
                <c:pt idx="3">
                  <c:v>80-84</c:v>
                </c:pt>
                <c:pt idx="4">
                  <c:v>75-79</c:v>
                </c:pt>
                <c:pt idx="5">
                  <c:v>70-74</c:v>
                </c:pt>
                <c:pt idx="6">
                  <c:v>65-69</c:v>
                </c:pt>
                <c:pt idx="8">
                  <c:v>65+</c:v>
                </c:pt>
                <c:pt idx="9">
                  <c:v>celkem</c:v>
                </c:pt>
              </c:strCache>
            </c:strRef>
          </c:cat>
          <c:val>
            <c:numRef>
              <c:f>'diagnózy_grafy (2)'!$B$2:$K$2</c:f>
              <c:numCache>
                <c:formatCode>#,##0</c:formatCode>
                <c:ptCount val="10"/>
                <c:pt idx="0">
                  <c:v>2456.9581529581533</c:v>
                </c:pt>
                <c:pt idx="1">
                  <c:v>3591.5037260039767</c:v>
                </c:pt>
                <c:pt idx="2">
                  <c:v>5312.3353310708353</c:v>
                </c:pt>
                <c:pt idx="3">
                  <c:v>7590.2342127575903</c:v>
                </c:pt>
                <c:pt idx="4">
                  <c:v>10469.078372295369</c:v>
                </c:pt>
                <c:pt idx="5">
                  <c:v>10199.632737528917</c:v>
                </c:pt>
                <c:pt idx="6">
                  <c:v>8813.0583193787206</c:v>
                </c:pt>
                <c:pt idx="8">
                  <c:v>9006.4474943961104</c:v>
                </c:pt>
                <c:pt idx="9">
                  <c:v>3294.6198444426564</c:v>
                </c:pt>
              </c:numCache>
            </c:numRef>
          </c:val>
          <c:extLst>
            <c:ext xmlns:c16="http://schemas.microsoft.com/office/drawing/2014/chart" uri="{C3380CC4-5D6E-409C-BE32-E72D297353CC}">
              <c16:uniqueId val="{00000004-3560-491E-B626-20E16340CCA7}"/>
            </c:ext>
          </c:extLst>
        </c:ser>
        <c:ser>
          <c:idx val="1"/>
          <c:order val="5"/>
          <c:tx>
            <c:strRef>
              <c:f>'diagnózy_grafy (2)'!$A$3</c:f>
              <c:strCache>
                <c:ptCount val="1"/>
                <c:pt idx="0">
                  <c:v>nemoci oběhové soustavy</c:v>
                </c:pt>
              </c:strCache>
            </c:strRef>
          </c:tx>
          <c:spPr>
            <a:solidFill>
              <a:srgbClr val="0071BC"/>
            </a:solidFill>
            <a:ln w="3175">
              <a:solidFill>
                <a:sysClr val="windowText" lastClr="000000"/>
              </a:solidFill>
            </a:ln>
            <a:effectLst/>
          </c:spPr>
          <c:invertIfNegative val="0"/>
          <c:cat>
            <c:strRef>
              <c:f>'diagnózy_grafy (2)'!$B$1:$K$1</c:f>
              <c:strCache>
                <c:ptCount val="10"/>
                <c:pt idx="0">
                  <c:v>95+</c:v>
                </c:pt>
                <c:pt idx="1">
                  <c:v>90-94</c:v>
                </c:pt>
                <c:pt idx="2">
                  <c:v>85-89</c:v>
                </c:pt>
                <c:pt idx="3">
                  <c:v>80-84</c:v>
                </c:pt>
                <c:pt idx="4">
                  <c:v>75-79</c:v>
                </c:pt>
                <c:pt idx="5">
                  <c:v>70-74</c:v>
                </c:pt>
                <c:pt idx="6">
                  <c:v>65-69</c:v>
                </c:pt>
                <c:pt idx="8">
                  <c:v>65+</c:v>
                </c:pt>
                <c:pt idx="9">
                  <c:v>celkem</c:v>
                </c:pt>
              </c:strCache>
            </c:strRef>
          </c:cat>
          <c:val>
            <c:numRef>
              <c:f>'diagnózy_grafy (2)'!$B$3:$K$3</c:f>
              <c:numCache>
                <c:formatCode>#,##0</c:formatCode>
                <c:ptCount val="10"/>
                <c:pt idx="0">
                  <c:v>27200.238275613276</c:v>
                </c:pt>
                <c:pt idx="1">
                  <c:v>23962.477467432309</c:v>
                </c:pt>
                <c:pt idx="2">
                  <c:v>20946.878186150625</c:v>
                </c:pt>
                <c:pt idx="3">
                  <c:v>17491.520298029383</c:v>
                </c:pt>
                <c:pt idx="4">
                  <c:v>15415.867493126814</c:v>
                </c:pt>
                <c:pt idx="5">
                  <c:v>12196.170943225523</c:v>
                </c:pt>
                <c:pt idx="6">
                  <c:v>9019.8495697616672</c:v>
                </c:pt>
                <c:pt idx="8">
                  <c:v>13359.872617709498</c:v>
                </c:pt>
                <c:pt idx="9">
                  <c:v>3907.5387635156294</c:v>
                </c:pt>
              </c:numCache>
            </c:numRef>
          </c:val>
          <c:extLst>
            <c:ext xmlns:c16="http://schemas.microsoft.com/office/drawing/2014/chart" uri="{C3380CC4-5D6E-409C-BE32-E72D297353CC}">
              <c16:uniqueId val="{00000005-3560-491E-B626-20E16340CCA7}"/>
            </c:ext>
          </c:extLst>
        </c:ser>
        <c:dLbls>
          <c:showLegendKey val="0"/>
          <c:showVal val="0"/>
          <c:showCatName val="0"/>
          <c:showSerName val="0"/>
          <c:showPercent val="0"/>
          <c:showBubbleSize val="0"/>
        </c:dLbls>
        <c:gapWidth val="66"/>
        <c:axId val="1350399151"/>
        <c:axId val="1350385839"/>
      </c:barChart>
      <c:catAx>
        <c:axId val="1350399151"/>
        <c:scaling>
          <c:orientation val="minMax"/>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solidFill>
                      <a:sysClr val="windowText" lastClr="000000"/>
                    </a:solidFill>
                  </a:rPr>
                  <a:t>věk (v letech)</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350385839"/>
        <c:crosses val="autoZero"/>
        <c:auto val="1"/>
        <c:lblAlgn val="ctr"/>
        <c:lblOffset val="100"/>
        <c:noMultiLvlLbl val="0"/>
      </c:catAx>
      <c:valAx>
        <c:axId val="1350385839"/>
        <c:scaling>
          <c:orientation val="minMax"/>
        </c:scaling>
        <c:delete val="0"/>
        <c:axPos val="b"/>
        <c:majorGridlines>
          <c:spPr>
            <a:ln w="3175" cap="flat" cmpd="sng" algn="ctr">
              <a:solidFill>
                <a:sysClr val="windowText" lastClr="000000"/>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solidFill>
                      <a:sysClr val="windowText" lastClr="000000"/>
                    </a:solidFill>
                  </a:rPr>
                  <a:t>Kč</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1"/>
        <c:majorTickMark val="none"/>
        <c:minorTickMark val="none"/>
        <c:tickLblPos val="nextTo"/>
        <c:spPr>
          <a:noFill/>
          <a:ln w="3175">
            <a:solidFill>
              <a:sysClr val="windowText" lastClr="000000"/>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350399151"/>
        <c:crosses val="autoZero"/>
        <c:crossBetween val="between"/>
      </c:valAx>
      <c:spPr>
        <a:noFill/>
        <a:ln w="3175">
          <a:solidFill>
            <a:sysClr val="windowText" lastClr="000000"/>
          </a:solidFill>
        </a:ln>
        <a:effectLst/>
      </c:spPr>
    </c:plotArea>
    <c:legend>
      <c:legendPos val="b"/>
      <c:layout>
        <c:manualLayout>
          <c:xMode val="edge"/>
          <c:yMode val="edge"/>
          <c:x val="6.9753687644484091E-3"/>
          <c:y val="0.84397094611444412"/>
          <c:w val="0.97436028022577648"/>
          <c:h val="0.13684391562448942"/>
        </c:manualLayout>
      </c:layout>
      <c:overlay val="0"/>
      <c:spPr>
        <a:noFill/>
        <a:ln w="3175">
          <a:solidFill>
            <a:sysClr val="windowText" lastClr="000000"/>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24293616385109"/>
          <c:y val="1.9286699011108462E-2"/>
          <c:w val="0.77240998560334695"/>
          <c:h val="0.69903397491980168"/>
        </c:manualLayout>
      </c:layout>
      <c:barChart>
        <c:barDir val="bar"/>
        <c:grouping val="percentStacked"/>
        <c:varyColors val="0"/>
        <c:ser>
          <c:idx val="0"/>
          <c:order val="0"/>
          <c:tx>
            <c:strRef>
              <c:f>'diagnózy-muži'!$L$40</c:f>
              <c:strCache>
                <c:ptCount val="1"/>
                <c:pt idx="0">
                  <c:v>nemoci oběhové soustavy</c:v>
                </c:pt>
              </c:strCache>
            </c:strRef>
          </c:tx>
          <c:spPr>
            <a:solidFill>
              <a:srgbClr val="0071BC"/>
            </a:solidFill>
            <a:ln w="3175">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'diagnózy-muži'!$M$39:$S$39</c:f>
              <c:strCache>
                <c:ptCount val="7"/>
                <c:pt idx="0">
                  <c:v>85+</c:v>
                </c:pt>
                <c:pt idx="1">
                  <c:v>80–84</c:v>
                </c:pt>
                <c:pt idx="2">
                  <c:v>75–79</c:v>
                </c:pt>
                <c:pt idx="3">
                  <c:v>70–74</c:v>
                </c:pt>
                <c:pt idx="4">
                  <c:v>65–69</c:v>
                </c:pt>
                <c:pt idx="6">
                  <c:v>65+</c:v>
                </c:pt>
              </c:strCache>
            </c:strRef>
          </c:cat>
          <c:val>
            <c:numRef>
              <c:f>'diagnózy-muži'!$M$40:$S$40</c:f>
              <c:numCache>
                <c:formatCode>#,##0</c:formatCode>
                <c:ptCount val="7"/>
                <c:pt idx="0">
                  <c:v>23.712142834395657</c:v>
                </c:pt>
                <c:pt idx="1">
                  <c:v>22.762375269182733</c:v>
                </c:pt>
                <c:pt idx="2">
                  <c:v>22.120660817345968</c:v>
                </c:pt>
                <c:pt idx="3">
                  <c:v>20.954480302627498</c:v>
                </c:pt>
                <c:pt idx="4">
                  <c:v>19.528043166316706</c:v>
                </c:pt>
                <c:pt idx="6">
                  <c:v>21.25622396127541</c:v>
                </c:pt>
              </c:numCache>
            </c:numRef>
          </c:val>
          <c:extLst>
            <c:ext xmlns:c16="http://schemas.microsoft.com/office/drawing/2014/chart" uri="{C3380CC4-5D6E-409C-BE32-E72D297353CC}">
              <c16:uniqueId val="{00000000-8A3B-4776-AC3B-A567FC58EB73}"/>
            </c:ext>
          </c:extLst>
        </c:ser>
        <c:ser>
          <c:idx val="1"/>
          <c:order val="1"/>
          <c:tx>
            <c:strRef>
              <c:f>'diagnózy-muži'!$L$41</c:f>
              <c:strCache>
                <c:ptCount val="1"/>
                <c:pt idx="0">
                  <c:v>novotvary</c:v>
                </c:pt>
              </c:strCache>
            </c:strRef>
          </c:tx>
          <c:spPr>
            <a:solidFill>
              <a:srgbClr val="BD1B21"/>
            </a:solidFill>
            <a:ln w="3175">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'diagnózy-muži'!$M$39:$S$39</c:f>
              <c:strCache>
                <c:ptCount val="7"/>
                <c:pt idx="0">
                  <c:v>85+</c:v>
                </c:pt>
                <c:pt idx="1">
                  <c:v>80–84</c:v>
                </c:pt>
                <c:pt idx="2">
                  <c:v>75–79</c:v>
                </c:pt>
                <c:pt idx="3">
                  <c:v>70–74</c:v>
                </c:pt>
                <c:pt idx="4">
                  <c:v>65–69</c:v>
                </c:pt>
                <c:pt idx="6">
                  <c:v>65+</c:v>
                </c:pt>
              </c:strCache>
            </c:strRef>
          </c:cat>
          <c:val>
            <c:numRef>
              <c:f>'diagnózy-muži'!$M$41:$S$41</c:f>
              <c:numCache>
                <c:formatCode>#,##0</c:formatCode>
                <c:ptCount val="7"/>
                <c:pt idx="0">
                  <c:v>7.5652113535339929</c:v>
                </c:pt>
                <c:pt idx="1">
                  <c:v>11.78681370085831</c:v>
                </c:pt>
                <c:pt idx="2">
                  <c:v>15.649596115022435</c:v>
                </c:pt>
                <c:pt idx="3">
                  <c:v>16.627352084350665</c:v>
                </c:pt>
                <c:pt idx="4">
                  <c:v>16.265000100396282</c:v>
                </c:pt>
                <c:pt idx="6">
                  <c:v>14.96574648228329</c:v>
                </c:pt>
              </c:numCache>
            </c:numRef>
          </c:val>
          <c:extLst>
            <c:ext xmlns:c16="http://schemas.microsoft.com/office/drawing/2014/chart" uri="{C3380CC4-5D6E-409C-BE32-E72D297353CC}">
              <c16:uniqueId val="{00000001-8A3B-4776-AC3B-A567FC58EB73}"/>
            </c:ext>
          </c:extLst>
        </c:ser>
        <c:ser>
          <c:idx val="2"/>
          <c:order val="2"/>
          <c:tx>
            <c:strRef>
              <c:f>'diagnózy-muži'!$L$42</c:f>
              <c:strCache>
                <c:ptCount val="1"/>
                <c:pt idx="0">
                  <c:v>nemoci dýchací soustavy</c:v>
                </c:pt>
              </c:strCache>
            </c:strRef>
          </c:tx>
          <c:spPr>
            <a:solidFill>
              <a:srgbClr val="00B0F0"/>
            </a:solidFill>
            <a:ln w="3175">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'diagnózy-muži'!$M$39:$S$39</c:f>
              <c:strCache>
                <c:ptCount val="7"/>
                <c:pt idx="0">
                  <c:v>85+</c:v>
                </c:pt>
                <c:pt idx="1">
                  <c:v>80–84</c:v>
                </c:pt>
                <c:pt idx="2">
                  <c:v>75–79</c:v>
                </c:pt>
                <c:pt idx="3">
                  <c:v>70–74</c:v>
                </c:pt>
                <c:pt idx="4">
                  <c:v>65–69</c:v>
                </c:pt>
                <c:pt idx="6">
                  <c:v>65+</c:v>
                </c:pt>
              </c:strCache>
            </c:strRef>
          </c:cat>
          <c:val>
            <c:numRef>
              <c:f>'diagnózy-muži'!$M$42:$S$42</c:f>
              <c:numCache>
                <c:formatCode>#,##0</c:formatCode>
                <c:ptCount val="7"/>
                <c:pt idx="0">
                  <c:v>7.5411428447553055</c:v>
                </c:pt>
                <c:pt idx="1">
                  <c:v>7.7959320077653684</c:v>
                </c:pt>
                <c:pt idx="2">
                  <c:v>7.979667162289708</c:v>
                </c:pt>
                <c:pt idx="3">
                  <c:v>7.5342432177695891</c:v>
                </c:pt>
                <c:pt idx="4">
                  <c:v>7.03572760628475</c:v>
                </c:pt>
                <c:pt idx="6">
                  <c:v>7.5220242466904317</c:v>
                </c:pt>
              </c:numCache>
            </c:numRef>
          </c:val>
          <c:extLst>
            <c:ext xmlns:c16="http://schemas.microsoft.com/office/drawing/2014/chart" uri="{C3380CC4-5D6E-409C-BE32-E72D297353CC}">
              <c16:uniqueId val="{00000002-8A3B-4776-AC3B-A567FC58EB73}"/>
            </c:ext>
          </c:extLst>
        </c:ser>
        <c:ser>
          <c:idx val="3"/>
          <c:order val="3"/>
          <c:tx>
            <c:strRef>
              <c:f>'diagnózy-muži'!$L$43</c:f>
              <c:strCache>
                <c:ptCount val="1"/>
                <c:pt idx="0">
                  <c:v>nemoci močové a pohlavní soustavy</c:v>
                </c:pt>
              </c:strCache>
            </c:strRef>
          </c:tx>
          <c:spPr>
            <a:solidFill>
              <a:srgbClr val="7030A0"/>
            </a:solidFill>
            <a:ln w="3175">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'diagnózy-muži'!$M$39:$S$39</c:f>
              <c:strCache>
                <c:ptCount val="7"/>
                <c:pt idx="0">
                  <c:v>85+</c:v>
                </c:pt>
                <c:pt idx="1">
                  <c:v>80–84</c:v>
                </c:pt>
                <c:pt idx="2">
                  <c:v>75–79</c:v>
                </c:pt>
                <c:pt idx="3">
                  <c:v>70–74</c:v>
                </c:pt>
                <c:pt idx="4">
                  <c:v>65–69</c:v>
                </c:pt>
                <c:pt idx="6">
                  <c:v>65+</c:v>
                </c:pt>
              </c:strCache>
            </c:strRef>
          </c:cat>
          <c:val>
            <c:numRef>
              <c:f>'diagnózy-muži'!$M$43:$S$43</c:f>
              <c:numCache>
                <c:formatCode>#,##0</c:formatCode>
                <c:ptCount val="7"/>
                <c:pt idx="0">
                  <c:v>7.9295823377041161</c:v>
                </c:pt>
                <c:pt idx="1">
                  <c:v>8.1772127657002365</c:v>
                </c:pt>
                <c:pt idx="2">
                  <c:v>7.0701058275062341</c:v>
                </c:pt>
                <c:pt idx="3">
                  <c:v>6.9660391862561992</c:v>
                </c:pt>
                <c:pt idx="4">
                  <c:v>6.7522129862537819</c:v>
                </c:pt>
                <c:pt idx="6">
                  <c:v>7.1529668727872728</c:v>
                </c:pt>
              </c:numCache>
            </c:numRef>
          </c:val>
          <c:extLst>
            <c:ext xmlns:c16="http://schemas.microsoft.com/office/drawing/2014/chart" uri="{C3380CC4-5D6E-409C-BE32-E72D297353CC}">
              <c16:uniqueId val="{00000003-8A3B-4776-AC3B-A567FC58EB73}"/>
            </c:ext>
          </c:extLst>
        </c:ser>
        <c:ser>
          <c:idx val="4"/>
          <c:order val="4"/>
          <c:tx>
            <c:strRef>
              <c:f>'diagnózy-muži'!$L$44</c:f>
              <c:strCache>
                <c:ptCount val="1"/>
                <c:pt idx="0">
                  <c:v>faktory ovlivňující zdravotní stav </c:v>
                </c:pt>
              </c:strCache>
            </c:strRef>
          </c:tx>
          <c:spPr>
            <a:solidFill>
              <a:srgbClr val="92D050"/>
            </a:solidFill>
            <a:ln w="3175">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'diagnózy-muži'!$M$39:$S$39</c:f>
              <c:strCache>
                <c:ptCount val="7"/>
                <c:pt idx="0">
                  <c:v>85+</c:v>
                </c:pt>
                <c:pt idx="1">
                  <c:v>80–84</c:v>
                </c:pt>
                <c:pt idx="2">
                  <c:v>75–79</c:v>
                </c:pt>
                <c:pt idx="3">
                  <c:v>70–74</c:v>
                </c:pt>
                <c:pt idx="4">
                  <c:v>65–69</c:v>
                </c:pt>
                <c:pt idx="6">
                  <c:v>65+</c:v>
                </c:pt>
              </c:strCache>
            </c:strRef>
          </c:cat>
          <c:val>
            <c:numRef>
              <c:f>'diagnózy-muži'!$M$44:$S$44</c:f>
              <c:numCache>
                <c:formatCode>#,##0</c:formatCode>
                <c:ptCount val="7"/>
                <c:pt idx="0">
                  <c:v>4.6548533114176927</c:v>
                </c:pt>
                <c:pt idx="1">
                  <c:v>5.3545663642941284</c:v>
                </c:pt>
                <c:pt idx="2">
                  <c:v>5.8148955457536671</c:v>
                </c:pt>
                <c:pt idx="3">
                  <c:v>6.4804269012750551</c:v>
                </c:pt>
                <c:pt idx="4">
                  <c:v>6.6879536341236072</c:v>
                </c:pt>
                <c:pt idx="6">
                  <c:v>6.1052092020086466</c:v>
                </c:pt>
              </c:numCache>
            </c:numRef>
          </c:val>
          <c:extLst>
            <c:ext xmlns:c16="http://schemas.microsoft.com/office/drawing/2014/chart" uri="{C3380CC4-5D6E-409C-BE32-E72D297353CC}">
              <c16:uniqueId val="{00000004-8A3B-4776-AC3B-A567FC58EB73}"/>
            </c:ext>
          </c:extLst>
        </c:ser>
        <c:ser>
          <c:idx val="5"/>
          <c:order val="5"/>
          <c:tx>
            <c:strRef>
              <c:f>'diagnózy-muži'!$L$45</c:f>
              <c:strCache>
                <c:ptCount val="1"/>
                <c:pt idx="0">
                  <c:v>ostatní *</c:v>
                </c:pt>
              </c:strCache>
            </c:strRef>
          </c:tx>
          <c:spPr>
            <a:solidFill>
              <a:srgbClr val="FFC000"/>
            </a:solidFill>
            <a:ln w="3175">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'diagnózy-muži'!$M$39:$S$39</c:f>
              <c:strCache>
                <c:ptCount val="7"/>
                <c:pt idx="0">
                  <c:v>85+</c:v>
                </c:pt>
                <c:pt idx="1">
                  <c:v>80–84</c:v>
                </c:pt>
                <c:pt idx="2">
                  <c:v>75–79</c:v>
                </c:pt>
                <c:pt idx="3">
                  <c:v>70–74</c:v>
                </c:pt>
                <c:pt idx="4">
                  <c:v>65–69</c:v>
                </c:pt>
                <c:pt idx="6">
                  <c:v>65+</c:v>
                </c:pt>
              </c:strCache>
            </c:strRef>
          </c:cat>
          <c:val>
            <c:numRef>
              <c:f>'diagnózy-muži'!$M$45:$S$45</c:f>
              <c:numCache>
                <c:formatCode>#,##0</c:formatCode>
                <c:ptCount val="7"/>
                <c:pt idx="0">
                  <c:v>48.597067318193233</c:v>
                </c:pt>
                <c:pt idx="1">
                  <c:v>44.123099892199221</c:v>
                </c:pt>
                <c:pt idx="2">
                  <c:v>41.365074532081977</c:v>
                </c:pt>
                <c:pt idx="3">
                  <c:v>41.437458307720988</c:v>
                </c:pt>
                <c:pt idx="4">
                  <c:v>43.73106250662488</c:v>
                </c:pt>
                <c:pt idx="6">
                  <c:v>42.997829234954956</c:v>
                </c:pt>
              </c:numCache>
            </c:numRef>
          </c:val>
          <c:extLst>
            <c:ext xmlns:c16="http://schemas.microsoft.com/office/drawing/2014/chart" uri="{C3380CC4-5D6E-409C-BE32-E72D297353CC}">
              <c16:uniqueId val="{00000005-8A3B-4776-AC3B-A567FC58EB73}"/>
            </c:ext>
          </c:extLst>
        </c:ser>
        <c:dLbls>
          <c:dLblPos val="ctr"/>
          <c:showLegendKey val="0"/>
          <c:showVal val="1"/>
          <c:showCatName val="0"/>
          <c:showSerName val="0"/>
          <c:showPercent val="0"/>
          <c:showBubbleSize val="0"/>
        </c:dLbls>
        <c:gapWidth val="66"/>
        <c:overlap val="100"/>
        <c:axId val="2048926159"/>
        <c:axId val="2048929903"/>
      </c:barChart>
      <c:catAx>
        <c:axId val="2048926159"/>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věk (v letech)</a:t>
                </a:r>
              </a:p>
            </c:rich>
          </c:tx>
          <c:layout>
            <c:manualLayout>
              <c:xMode val="edge"/>
              <c:yMode val="edge"/>
              <c:x val="1.4949682343676246E-2"/>
              <c:y val="0.218484918893335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048929903"/>
        <c:crosses val="autoZero"/>
        <c:auto val="1"/>
        <c:lblAlgn val="ctr"/>
        <c:lblOffset val="100"/>
        <c:noMultiLvlLbl val="0"/>
      </c:catAx>
      <c:valAx>
        <c:axId val="2048929903"/>
        <c:scaling>
          <c:orientation val="minMax"/>
        </c:scaling>
        <c:delete val="1"/>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a:t>
                </a:r>
              </a:p>
            </c:rich>
          </c:tx>
          <c:layout>
            <c:manualLayout>
              <c:xMode val="edge"/>
              <c:yMode val="edge"/>
              <c:x val="0.53154797569873213"/>
              <c:y val="0.7226921388924746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1"/>
        <c:majorTickMark val="none"/>
        <c:minorTickMark val="none"/>
        <c:tickLblPos val="nextTo"/>
        <c:crossAx val="2048926159"/>
        <c:crosses val="autoZero"/>
        <c:crossBetween val="between"/>
      </c:valAx>
      <c:spPr>
        <a:noFill/>
        <a:ln w="3175">
          <a:solidFill>
            <a:sysClr val="windowText" lastClr="000000"/>
          </a:solidFill>
        </a:ln>
        <a:effectLst/>
      </c:spPr>
    </c:plotArea>
    <c:legend>
      <c:legendPos val="b"/>
      <c:layout>
        <c:manualLayout>
          <c:xMode val="edge"/>
          <c:yMode val="edge"/>
          <c:x val="2.1503396691948118E-2"/>
          <c:y val="0.82358969063293319"/>
          <c:w val="0.96504002928771282"/>
          <c:h val="0.14322275289359324"/>
        </c:manualLayout>
      </c:layout>
      <c:overlay val="0"/>
      <c:spPr>
        <a:noFill/>
        <a:ln w="3175">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22295153754607"/>
          <c:y val="6.7438679285610481E-2"/>
          <c:w val="0.72586206287676436"/>
          <c:h val="0.62627246354971178"/>
        </c:manualLayout>
      </c:layout>
      <c:lineChart>
        <c:grouping val="standard"/>
        <c:varyColors val="0"/>
        <c:ser>
          <c:idx val="0"/>
          <c:order val="0"/>
          <c:tx>
            <c:strRef>
              <c:f>'počet_podíl_graf 1+2'!$H$1</c:f>
              <c:strCache>
                <c:ptCount val="1"/>
                <c:pt idx="0">
                  <c:v>počet 65+letých na 100 dětí</c:v>
                </c:pt>
              </c:strCache>
            </c:strRef>
          </c:tx>
          <c:spPr>
            <a:ln>
              <a:solidFill>
                <a:srgbClr val="BD1B21"/>
              </a:solidFill>
            </a:ln>
          </c:spPr>
          <c:marker>
            <c:symbol val="none"/>
          </c:marker>
          <c:cat>
            <c:numRef>
              <c:f>'počet_podíl_graf 1+2'!$A$22:$A$63</c:f>
              <c:numCache>
                <c:formatCode>General</c:formatCode>
                <c:ptCount val="4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numCache>
            </c:numRef>
          </c:cat>
          <c:val>
            <c:numRef>
              <c:f>'počet_podíl_graf 1+2'!$H$22:$H$63</c:f>
              <c:numCache>
                <c:formatCode>0.0</c:formatCode>
                <c:ptCount val="42"/>
                <c:pt idx="0">
                  <c:v>56.725871451099195</c:v>
                </c:pt>
                <c:pt idx="1">
                  <c:v>54.913268042949824</c:v>
                </c:pt>
                <c:pt idx="2">
                  <c:v>52.874689895884195</c:v>
                </c:pt>
                <c:pt idx="3">
                  <c:v>50.76766439827076</c:v>
                </c:pt>
                <c:pt idx="4">
                  <c:v>50.327027789003196</c:v>
                </c:pt>
                <c:pt idx="5">
                  <c:v>50.809130996336741</c:v>
                </c:pt>
                <c:pt idx="6">
                  <c:v>51.810423038685741</c:v>
                </c:pt>
                <c:pt idx="7">
                  <c:v>53.284041177830211</c:v>
                </c:pt>
                <c:pt idx="8">
                  <c:v>55.206978187120392</c:v>
                </c:pt>
                <c:pt idx="9">
                  <c:v>57.354145608687148</c:v>
                </c:pt>
                <c:pt idx="10">
                  <c:v>59.37282614344285</c:v>
                </c:pt>
                <c:pt idx="11">
                  <c:v>62.002864953918376</c:v>
                </c:pt>
                <c:pt idx="12">
                  <c:v>64.336597167898972</c:v>
                </c:pt>
                <c:pt idx="13">
                  <c:v>66.820383808549508</c:v>
                </c:pt>
                <c:pt idx="14">
                  <c:v>69.620908161295759</c:v>
                </c:pt>
                <c:pt idx="15">
                  <c:v>72.482423165557378</c:v>
                </c:pt>
                <c:pt idx="16">
                  <c:v>75.338569550095272</c:v>
                </c:pt>
                <c:pt idx="17">
                  <c:v>78.096769305505418</c:v>
                </c:pt>
                <c:pt idx="18">
                  <c:v>80.585861827001409</c:v>
                </c:pt>
                <c:pt idx="19">
                  <c:v>83.064306864143447</c:v>
                </c:pt>
                <c:pt idx="20">
                  <c:v>85.49470871179031</c:v>
                </c:pt>
                <c:pt idx="21">
                  <c:v>87.218086372330077</c:v>
                </c:pt>
                <c:pt idx="22">
                  <c:v>89.193126535603355</c:v>
                </c:pt>
                <c:pt idx="23">
                  <c:v>91.554511973495877</c:v>
                </c:pt>
                <c:pt idx="24">
                  <c:v>93.954206632061641</c:v>
                </c:pt>
                <c:pt idx="25">
                  <c:v>97.006656093826081</c:v>
                </c:pt>
                <c:pt idx="26">
                  <c:v>100.19756487603362</c:v>
                </c:pt>
                <c:pt idx="27">
                  <c:v>102.43147408497262</c:v>
                </c:pt>
                <c:pt idx="28">
                  <c:v>105.14490809840764</c:v>
                </c:pt>
                <c:pt idx="29">
                  <c:v>106.99378333344487</c:v>
                </c:pt>
                <c:pt idx="30">
                  <c:v>107.75184403040032</c:v>
                </c:pt>
                <c:pt idx="31">
                  <c:v>110.39389686622663</c:v>
                </c:pt>
                <c:pt idx="32">
                  <c:v>113.28735060526978</c:v>
                </c:pt>
                <c:pt idx="33">
                  <c:v>115.72716812840937</c:v>
                </c:pt>
                <c:pt idx="34">
                  <c:v>117.44866633979683</c:v>
                </c:pt>
                <c:pt idx="35">
                  <c:v>119.01169909023498</c:v>
                </c:pt>
                <c:pt idx="36">
                  <c:v>120.7401314291785</c:v>
                </c:pt>
                <c:pt idx="37">
                  <c:v>122.1171417335607</c:v>
                </c:pt>
                <c:pt idx="38">
                  <c:v>123.24530731338524</c:v>
                </c:pt>
                <c:pt idx="39">
                  <c:v>124.64200135422598</c:v>
                </c:pt>
                <c:pt idx="40">
                  <c:v>125.50273558634701</c:v>
                </c:pt>
                <c:pt idx="41">
                  <c:v>128.0913400668947</c:v>
                </c:pt>
              </c:numCache>
            </c:numRef>
          </c:val>
          <c:smooth val="0"/>
          <c:extLst>
            <c:ext xmlns:c16="http://schemas.microsoft.com/office/drawing/2014/chart" uri="{C3380CC4-5D6E-409C-BE32-E72D297353CC}">
              <c16:uniqueId val="{00000000-CDFF-4ACE-9ABD-72B4783347C1}"/>
            </c:ext>
          </c:extLst>
        </c:ser>
        <c:dLbls>
          <c:showLegendKey val="0"/>
          <c:showVal val="0"/>
          <c:showCatName val="0"/>
          <c:showSerName val="0"/>
          <c:showPercent val="0"/>
          <c:showBubbleSize val="0"/>
        </c:dLbls>
        <c:marker val="1"/>
        <c:smooth val="0"/>
        <c:axId val="999497536"/>
        <c:axId val="999498784"/>
      </c:lineChart>
      <c:lineChart>
        <c:grouping val="standard"/>
        <c:varyColors val="0"/>
        <c:ser>
          <c:idx val="1"/>
          <c:order val="1"/>
          <c:tx>
            <c:strRef>
              <c:f>'počet_podíl_graf 1+2'!$J$1</c:f>
              <c:strCache>
                <c:ptCount val="1"/>
                <c:pt idx="0">
                  <c:v>počet 20–64letých na 1 seniora</c:v>
                </c:pt>
              </c:strCache>
            </c:strRef>
          </c:tx>
          <c:spPr>
            <a:ln>
              <a:solidFill>
                <a:srgbClr val="0071BC"/>
              </a:solidFill>
            </a:ln>
          </c:spPr>
          <c:marker>
            <c:symbol val="none"/>
          </c:marker>
          <c:cat>
            <c:numRef>
              <c:f>'počet_podíl_graf 1+2'!$A$22:$A$63</c:f>
              <c:numCache>
                <c:formatCode>General</c:formatCode>
                <c:ptCount val="4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numCache>
            </c:numRef>
          </c:cat>
          <c:val>
            <c:numRef>
              <c:f>'počet_podíl_graf 1+2'!$J$22:$J$63</c:f>
              <c:numCache>
                <c:formatCode>0.0</c:formatCode>
                <c:ptCount val="42"/>
                <c:pt idx="0">
                  <c:v>4.2483053477478263</c:v>
                </c:pt>
                <c:pt idx="1">
                  <c:v>4.4098404083186953</c:v>
                </c:pt>
                <c:pt idx="2">
                  <c:v>4.60828867725726</c:v>
                </c:pt>
                <c:pt idx="3">
                  <c:v>4.8476297299688262</c:v>
                </c:pt>
                <c:pt idx="4">
                  <c:v>4.9272849408346877</c:v>
                </c:pt>
                <c:pt idx="5">
                  <c:v>4.9094219308360403</c:v>
                </c:pt>
                <c:pt idx="6">
                  <c:v>4.8475814992293094</c:v>
                </c:pt>
                <c:pt idx="7">
                  <c:v>4.7686800169699168</c:v>
                </c:pt>
                <c:pt idx="8">
                  <c:v>4.687925024421185</c:v>
                </c:pt>
                <c:pt idx="9">
                  <c:v>4.6404511687881476</c:v>
                </c:pt>
                <c:pt idx="10">
                  <c:v>4.6091968143139361</c:v>
                </c:pt>
                <c:pt idx="11">
                  <c:v>4.5503696696016149</c:v>
                </c:pt>
                <c:pt idx="12">
                  <c:v>4.5339339194644417</c:v>
                </c:pt>
                <c:pt idx="13">
                  <c:v>4.5220183718512734</c:v>
                </c:pt>
                <c:pt idx="14">
                  <c:v>4.5278794483539686</c:v>
                </c:pt>
                <c:pt idx="15">
                  <c:v>4.521045267729618</c:v>
                </c:pt>
                <c:pt idx="16">
                  <c:v>4.5145766462476447</c:v>
                </c:pt>
                <c:pt idx="17">
                  <c:v>4.5152333111247751</c:v>
                </c:pt>
                <c:pt idx="18">
                  <c:v>4.5297519267583839</c:v>
                </c:pt>
                <c:pt idx="19">
                  <c:v>4.5507249953810724</c:v>
                </c:pt>
                <c:pt idx="20">
                  <c:v>4.5655392153073464</c:v>
                </c:pt>
                <c:pt idx="21">
                  <c:v>4.5919386776213331</c:v>
                </c:pt>
                <c:pt idx="22">
                  <c:v>4.6053836421568421</c:v>
                </c:pt>
                <c:pt idx="23">
                  <c:v>4.6162056841241377</c:v>
                </c:pt>
                <c:pt idx="24">
                  <c:v>4.6017481859434142</c:v>
                </c:pt>
                <c:pt idx="25">
                  <c:v>4.5591039768853285</c:v>
                </c:pt>
                <c:pt idx="26">
                  <c:v>4.5020402216080679</c:v>
                </c:pt>
                <c:pt idx="27">
                  <c:v>4.4584838786013536</c:v>
                </c:pt>
                <c:pt idx="28">
                  <c:v>4.3659841712120668</c:v>
                </c:pt>
                <c:pt idx="29">
                  <c:v>4.2514486676010694</c:v>
                </c:pt>
                <c:pt idx="30">
                  <c:v>4.1545690067280994</c:v>
                </c:pt>
                <c:pt idx="31">
                  <c:v>3.950582331630458</c:v>
                </c:pt>
                <c:pt idx="32">
                  <c:v>3.7779350515778862</c:v>
                </c:pt>
                <c:pt idx="33">
                  <c:v>3.6315454461793308</c:v>
                </c:pt>
                <c:pt idx="34">
                  <c:v>3.5065517765844185</c:v>
                </c:pt>
                <c:pt idx="35">
                  <c:v>3.3842224121978131</c:v>
                </c:pt>
                <c:pt idx="36">
                  <c:v>3.2600323190150244</c:v>
                </c:pt>
                <c:pt idx="37">
                  <c:v>3.1551066742542213</c:v>
                </c:pt>
                <c:pt idx="38">
                  <c:v>3.0684749525188377</c:v>
                </c:pt>
                <c:pt idx="39">
                  <c:v>2.9902361103943931</c:v>
                </c:pt>
                <c:pt idx="40">
                  <c:v>2.9343462189608407</c:v>
                </c:pt>
                <c:pt idx="41">
                  <c:v>2.8356735415324912</c:v>
                </c:pt>
              </c:numCache>
            </c:numRef>
          </c:val>
          <c:smooth val="0"/>
          <c:extLst>
            <c:ext xmlns:c16="http://schemas.microsoft.com/office/drawing/2014/chart" uri="{C3380CC4-5D6E-409C-BE32-E72D297353CC}">
              <c16:uniqueId val="{00000001-CDFF-4ACE-9ABD-72B4783347C1}"/>
            </c:ext>
          </c:extLst>
        </c:ser>
        <c:dLbls>
          <c:showLegendKey val="0"/>
          <c:showVal val="0"/>
          <c:showCatName val="0"/>
          <c:showSerName val="0"/>
          <c:showPercent val="0"/>
          <c:showBubbleSize val="0"/>
        </c:dLbls>
        <c:marker val="1"/>
        <c:smooth val="0"/>
        <c:axId val="1124541407"/>
        <c:axId val="1124544735"/>
      </c:lineChart>
      <c:catAx>
        <c:axId val="999497536"/>
        <c:scaling>
          <c:orientation val="minMax"/>
        </c:scaling>
        <c:delete val="0"/>
        <c:axPos val="b"/>
        <c:numFmt formatCode="General" sourceLinked="1"/>
        <c:majorTickMark val="none"/>
        <c:minorTickMark val="none"/>
        <c:tickLblPos val="nextTo"/>
        <c:spPr>
          <a:noFill/>
          <a:ln w="3175" cap="flat" cmpd="sng" algn="ctr">
            <a:solidFill>
              <a:schemeClr val="tx1"/>
            </a:solidFill>
            <a:round/>
          </a:ln>
          <a:effectLst/>
        </c:spPr>
        <c:txPr>
          <a:bodyPr rot="-5400000" vert="horz"/>
          <a:lstStyle/>
          <a:p>
            <a:pPr>
              <a:defRPr/>
            </a:pPr>
            <a:endParaRPr lang="cs-CZ"/>
          </a:p>
        </c:txPr>
        <c:crossAx val="999498784"/>
        <c:crosses val="autoZero"/>
        <c:auto val="1"/>
        <c:lblAlgn val="ctr"/>
        <c:lblOffset val="100"/>
        <c:noMultiLvlLbl val="0"/>
      </c:catAx>
      <c:valAx>
        <c:axId val="999498784"/>
        <c:scaling>
          <c:orientation val="minMax"/>
        </c:scaling>
        <c:delete val="0"/>
        <c:axPos val="l"/>
        <c:majorGridlines>
          <c:spPr>
            <a:ln w="3175" cap="flat" cmpd="sng" algn="ctr">
              <a:solidFill>
                <a:schemeClr val="tx1"/>
              </a:solidFill>
              <a:round/>
            </a:ln>
            <a:effectLst/>
          </c:spPr>
        </c:majorGridlines>
        <c:title>
          <c:tx>
            <c:rich>
              <a:bodyPr/>
              <a:lstStyle/>
              <a:p>
                <a:pPr>
                  <a:defRPr b="0"/>
                </a:pPr>
                <a:r>
                  <a:rPr lang="en-US" b="0"/>
                  <a:t>počet seniorů</a:t>
                </a:r>
                <a:r>
                  <a:rPr lang="cs-CZ" b="0"/>
                  <a:t> na 100 dětí (index stáří)</a:t>
                </a:r>
                <a:endParaRPr lang="en-US" b="0"/>
              </a:p>
            </c:rich>
          </c:tx>
          <c:layout>
            <c:manualLayout>
              <c:xMode val="edge"/>
              <c:yMode val="edge"/>
              <c:x val="1.1959934220361788E-2"/>
              <c:y val="2.8888219116151151E-2"/>
            </c:manualLayout>
          </c:layout>
          <c:overlay val="0"/>
        </c:title>
        <c:numFmt formatCode="0" sourceLinked="0"/>
        <c:majorTickMark val="none"/>
        <c:minorTickMark val="none"/>
        <c:tickLblPos val="nextTo"/>
        <c:spPr>
          <a:noFill/>
          <a:ln w="3175">
            <a:solidFill>
              <a:schemeClr val="tx1"/>
            </a:solidFill>
          </a:ln>
          <a:effectLst/>
        </c:spPr>
        <c:txPr>
          <a:bodyPr rot="-60000000" vert="horz"/>
          <a:lstStyle/>
          <a:p>
            <a:pPr>
              <a:defRPr/>
            </a:pPr>
            <a:endParaRPr lang="cs-CZ"/>
          </a:p>
        </c:txPr>
        <c:crossAx val="999497536"/>
        <c:crosses val="autoZero"/>
        <c:crossBetween val="between"/>
      </c:valAx>
      <c:valAx>
        <c:axId val="1124544735"/>
        <c:scaling>
          <c:orientation val="minMax"/>
          <c:max val="7"/>
        </c:scaling>
        <c:delete val="0"/>
        <c:axPos val="r"/>
        <c:title>
          <c:tx>
            <c:rich>
              <a:bodyPr/>
              <a:lstStyle/>
              <a:p>
                <a:pPr>
                  <a:defRPr b="0"/>
                </a:pPr>
                <a:r>
                  <a:rPr lang="en-US" b="0"/>
                  <a:t>počet osob ekonomicky aktivního věku na 1 seniora</a:t>
                </a:r>
              </a:p>
            </c:rich>
          </c:tx>
          <c:layout>
            <c:manualLayout>
              <c:xMode val="edge"/>
              <c:yMode val="edge"/>
              <c:x val="0.92659731631318543"/>
              <c:y val="1.4806917077948989E-2"/>
            </c:manualLayout>
          </c:layout>
          <c:overlay val="0"/>
        </c:title>
        <c:numFmt formatCode="0" sourceLinked="0"/>
        <c:majorTickMark val="out"/>
        <c:minorTickMark val="none"/>
        <c:tickLblPos val="nextTo"/>
        <c:spPr>
          <a:ln w="3175">
            <a:solidFill>
              <a:schemeClr val="tx1"/>
            </a:solidFill>
          </a:ln>
        </c:spPr>
        <c:crossAx val="1124541407"/>
        <c:crosses val="max"/>
        <c:crossBetween val="between"/>
      </c:valAx>
      <c:catAx>
        <c:axId val="1124541407"/>
        <c:scaling>
          <c:orientation val="minMax"/>
        </c:scaling>
        <c:delete val="1"/>
        <c:axPos val="b"/>
        <c:numFmt formatCode="General" sourceLinked="1"/>
        <c:majorTickMark val="out"/>
        <c:minorTickMark val="none"/>
        <c:tickLblPos val="nextTo"/>
        <c:crossAx val="1124544735"/>
        <c:crosses val="autoZero"/>
        <c:auto val="1"/>
        <c:lblAlgn val="ctr"/>
        <c:lblOffset val="100"/>
        <c:noMultiLvlLbl val="0"/>
      </c:catAx>
      <c:spPr>
        <a:noFill/>
        <a:ln w="3175">
          <a:solidFill>
            <a:schemeClr val="tx1"/>
          </a:solidFill>
        </a:ln>
      </c:spPr>
    </c:plotArea>
    <c:legend>
      <c:legendPos val="b"/>
      <c:layout>
        <c:manualLayout>
          <c:xMode val="edge"/>
          <c:yMode val="edge"/>
          <c:x val="2.2939530525495497E-2"/>
          <c:y val="0.88718645217194736"/>
          <c:w val="0.90000000000000013"/>
          <c:h val="7.5021851851851853E-2"/>
        </c:manualLayout>
      </c:layout>
      <c:overlay val="0"/>
      <c:spPr>
        <a:ln w="3175">
          <a:solidFill>
            <a:schemeClr val="tx1"/>
          </a:solidFill>
        </a:ln>
      </c:spPr>
    </c:legend>
    <c:plotVisOnly val="1"/>
    <c:dispBlanksAs val="gap"/>
    <c:showDLblsOverMax val="0"/>
  </c:chart>
  <c:spPr>
    <a:ln>
      <a:noFill/>
    </a:ln>
  </c:spPr>
  <c:txPr>
    <a:bodyPr/>
    <a:lstStyle/>
    <a:p>
      <a:pPr>
        <a:defRPr sz="900">
          <a:solidFill>
            <a:schemeClr val="tx1"/>
          </a:solidFill>
          <a:latin typeface="Arial" panose="020B0604020202020204" pitchFamily="34" charset="0"/>
          <a:cs typeface="Arial" panose="020B0604020202020204" pitchFamily="34" charset="0"/>
        </a:defRPr>
      </a:pPr>
      <a:endParaRPr lang="cs-CZ"/>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42654386560511"/>
          <c:y val="1.4724536551575121E-2"/>
          <c:w val="0.79332668951846941"/>
          <c:h val="0.63136196958431046"/>
        </c:manualLayout>
      </c:layout>
      <c:barChart>
        <c:barDir val="bar"/>
        <c:grouping val="percentStacked"/>
        <c:varyColors val="0"/>
        <c:ser>
          <c:idx val="0"/>
          <c:order val="0"/>
          <c:tx>
            <c:strRef>
              <c:f>'diagnozy-ženy'!$L$39</c:f>
              <c:strCache>
                <c:ptCount val="1"/>
                <c:pt idx="0">
                  <c:v>nemoci oběhové soustavy</c:v>
                </c:pt>
              </c:strCache>
            </c:strRef>
          </c:tx>
          <c:spPr>
            <a:solidFill>
              <a:srgbClr val="0071BC"/>
            </a:solidFill>
            <a:ln w="3175">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'diagnozy-ženy'!$M$38:$S$38</c:f>
              <c:strCache>
                <c:ptCount val="7"/>
                <c:pt idx="0">
                  <c:v>85+</c:v>
                </c:pt>
                <c:pt idx="1">
                  <c:v>80–84</c:v>
                </c:pt>
                <c:pt idx="2">
                  <c:v>75–79</c:v>
                </c:pt>
                <c:pt idx="3">
                  <c:v>70–74</c:v>
                </c:pt>
                <c:pt idx="4">
                  <c:v>65–69</c:v>
                </c:pt>
                <c:pt idx="6">
                  <c:v>65+</c:v>
                </c:pt>
              </c:strCache>
            </c:strRef>
          </c:cat>
          <c:val>
            <c:numRef>
              <c:f>'diagnozy-ženy'!$M$39:$S$39</c:f>
              <c:numCache>
                <c:formatCode>#,##0</c:formatCode>
                <c:ptCount val="7"/>
                <c:pt idx="0">
                  <c:v>22.068000950870477</c:v>
                </c:pt>
                <c:pt idx="1">
                  <c:v>19.447223360975062</c:v>
                </c:pt>
                <c:pt idx="2">
                  <c:v>16.628974516372306</c:v>
                </c:pt>
                <c:pt idx="3">
                  <c:v>14.378327289431509</c:v>
                </c:pt>
                <c:pt idx="4">
                  <c:v>11.495575737052716</c:v>
                </c:pt>
                <c:pt idx="6">
                  <c:v>16.267322684084419</c:v>
                </c:pt>
              </c:numCache>
            </c:numRef>
          </c:val>
          <c:extLst>
            <c:ext xmlns:c16="http://schemas.microsoft.com/office/drawing/2014/chart" uri="{C3380CC4-5D6E-409C-BE32-E72D297353CC}">
              <c16:uniqueId val="{00000000-3AA3-436E-87C8-02F0949ABF20}"/>
            </c:ext>
          </c:extLst>
        </c:ser>
        <c:ser>
          <c:idx val="1"/>
          <c:order val="1"/>
          <c:tx>
            <c:strRef>
              <c:f>'diagnozy-ženy'!$L$40</c:f>
              <c:strCache>
                <c:ptCount val="1"/>
                <c:pt idx="0">
                  <c:v>novotvary</c:v>
                </c:pt>
              </c:strCache>
            </c:strRef>
          </c:tx>
          <c:spPr>
            <a:solidFill>
              <a:srgbClr val="BD1B21"/>
            </a:solidFill>
            <a:ln w="3175">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'diagnozy-ženy'!$M$38:$S$38</c:f>
              <c:strCache>
                <c:ptCount val="7"/>
                <c:pt idx="0">
                  <c:v>85+</c:v>
                </c:pt>
                <c:pt idx="1">
                  <c:v>80–84</c:v>
                </c:pt>
                <c:pt idx="2">
                  <c:v>75–79</c:v>
                </c:pt>
                <c:pt idx="3">
                  <c:v>70–74</c:v>
                </c:pt>
                <c:pt idx="4">
                  <c:v>65–69</c:v>
                </c:pt>
                <c:pt idx="6">
                  <c:v>65+</c:v>
                </c:pt>
              </c:strCache>
            </c:strRef>
          </c:cat>
          <c:val>
            <c:numRef>
              <c:f>'diagnozy-ženy'!$M$40:$S$40</c:f>
              <c:numCache>
                <c:formatCode>#,##0</c:formatCode>
                <c:ptCount val="7"/>
                <c:pt idx="0">
                  <c:v>3.5042549162881595</c:v>
                </c:pt>
                <c:pt idx="1">
                  <c:v>7.0584724085366801</c:v>
                </c:pt>
                <c:pt idx="2">
                  <c:v>10.713330544264458</c:v>
                </c:pt>
                <c:pt idx="3">
                  <c:v>12.993318945397666</c:v>
                </c:pt>
                <c:pt idx="4">
                  <c:v>14.56206764852401</c:v>
                </c:pt>
                <c:pt idx="6">
                  <c:v>10.38448498269161</c:v>
                </c:pt>
              </c:numCache>
            </c:numRef>
          </c:val>
          <c:extLst>
            <c:ext xmlns:c16="http://schemas.microsoft.com/office/drawing/2014/chart" uri="{C3380CC4-5D6E-409C-BE32-E72D297353CC}">
              <c16:uniqueId val="{00000001-3AA3-436E-87C8-02F0949ABF20}"/>
            </c:ext>
          </c:extLst>
        </c:ser>
        <c:ser>
          <c:idx val="2"/>
          <c:order val="2"/>
          <c:tx>
            <c:strRef>
              <c:f>'diagnozy-ženy'!$L$41</c:f>
              <c:strCache>
                <c:ptCount val="1"/>
                <c:pt idx="0">
                  <c:v>nemoci svalové, kosterní a pojivové tkáně</c:v>
                </c:pt>
              </c:strCache>
            </c:strRef>
          </c:tx>
          <c:spPr>
            <a:solidFill>
              <a:srgbClr val="7030A0"/>
            </a:solidFill>
            <a:ln w="3175">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'diagnozy-ženy'!$M$38:$S$38</c:f>
              <c:strCache>
                <c:ptCount val="7"/>
                <c:pt idx="0">
                  <c:v>85+</c:v>
                </c:pt>
                <c:pt idx="1">
                  <c:v>80–84</c:v>
                </c:pt>
                <c:pt idx="2">
                  <c:v>75–79</c:v>
                </c:pt>
                <c:pt idx="3">
                  <c:v>70–74</c:v>
                </c:pt>
                <c:pt idx="4">
                  <c:v>65–69</c:v>
                </c:pt>
                <c:pt idx="6">
                  <c:v>65+</c:v>
                </c:pt>
              </c:strCache>
            </c:strRef>
          </c:cat>
          <c:val>
            <c:numRef>
              <c:f>'diagnozy-ženy'!$M$41:$S$41</c:f>
              <c:numCache>
                <c:formatCode>#,##0</c:formatCode>
                <c:ptCount val="7"/>
                <c:pt idx="0">
                  <c:v>3.5942043512191573</c:v>
                </c:pt>
                <c:pt idx="1">
                  <c:v>6.0782481525362524</c:v>
                </c:pt>
                <c:pt idx="2">
                  <c:v>8.4043062490284832</c:v>
                </c:pt>
                <c:pt idx="3">
                  <c:v>9.6788041417705308</c:v>
                </c:pt>
                <c:pt idx="4">
                  <c:v>10.229284250398749</c:v>
                </c:pt>
                <c:pt idx="6">
                  <c:v>7.9775476292368985</c:v>
                </c:pt>
              </c:numCache>
            </c:numRef>
          </c:val>
          <c:extLst>
            <c:ext xmlns:c16="http://schemas.microsoft.com/office/drawing/2014/chart" uri="{C3380CC4-5D6E-409C-BE32-E72D297353CC}">
              <c16:uniqueId val="{00000002-3AA3-436E-87C8-02F0949ABF20}"/>
            </c:ext>
          </c:extLst>
        </c:ser>
        <c:ser>
          <c:idx val="3"/>
          <c:order val="3"/>
          <c:tx>
            <c:strRef>
              <c:f>'diagnozy-ženy'!$L$42</c:f>
              <c:strCache>
                <c:ptCount val="1"/>
                <c:pt idx="0">
                  <c:v>faktory ovlivňující zdravotní stav </c:v>
                </c:pt>
              </c:strCache>
            </c:strRef>
          </c:tx>
          <c:spPr>
            <a:solidFill>
              <a:srgbClr val="92D050"/>
            </a:solidFill>
            <a:ln w="3175">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'diagnozy-ženy'!$M$38:$S$38</c:f>
              <c:strCache>
                <c:ptCount val="7"/>
                <c:pt idx="0">
                  <c:v>85+</c:v>
                </c:pt>
                <c:pt idx="1">
                  <c:v>80–84</c:v>
                </c:pt>
                <c:pt idx="2">
                  <c:v>75–79</c:v>
                </c:pt>
                <c:pt idx="3">
                  <c:v>70–74</c:v>
                </c:pt>
                <c:pt idx="4">
                  <c:v>65–69</c:v>
                </c:pt>
                <c:pt idx="6">
                  <c:v>65+</c:v>
                </c:pt>
              </c:strCache>
            </c:strRef>
          </c:cat>
          <c:val>
            <c:numRef>
              <c:f>'diagnozy-ženy'!$M$42:$S$42</c:f>
              <c:numCache>
                <c:formatCode>#,##0</c:formatCode>
                <c:ptCount val="7"/>
                <c:pt idx="0">
                  <c:v>4.3752629164412724</c:v>
                </c:pt>
                <c:pt idx="1">
                  <c:v>5.635875621551051</c:v>
                </c:pt>
                <c:pt idx="2">
                  <c:v>6.9363247570242814</c:v>
                </c:pt>
                <c:pt idx="3">
                  <c:v>7.7857250925672279</c:v>
                </c:pt>
                <c:pt idx="4">
                  <c:v>8.9364209557926237</c:v>
                </c:pt>
                <c:pt idx="6">
                  <c:v>6.9666237127200814</c:v>
                </c:pt>
              </c:numCache>
            </c:numRef>
          </c:val>
          <c:extLst>
            <c:ext xmlns:c16="http://schemas.microsoft.com/office/drawing/2014/chart" uri="{C3380CC4-5D6E-409C-BE32-E72D297353CC}">
              <c16:uniqueId val="{00000003-3AA3-436E-87C8-02F0949ABF20}"/>
            </c:ext>
          </c:extLst>
        </c:ser>
        <c:ser>
          <c:idx val="4"/>
          <c:order val="4"/>
          <c:tx>
            <c:strRef>
              <c:f>'diagnozy-ženy'!$L$43</c:f>
              <c:strCache>
                <c:ptCount val="1"/>
                <c:pt idx="0">
                  <c:v>nemoci trávicí soustavy</c:v>
                </c:pt>
              </c:strCache>
            </c:strRef>
          </c:tx>
          <c:spPr>
            <a:solidFill>
              <a:srgbClr val="00B0F0"/>
            </a:solidFill>
            <a:ln w="3175">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'diagnozy-ženy'!$M$38:$S$38</c:f>
              <c:strCache>
                <c:ptCount val="7"/>
                <c:pt idx="0">
                  <c:v>85+</c:v>
                </c:pt>
                <c:pt idx="1">
                  <c:v>80–84</c:v>
                </c:pt>
                <c:pt idx="2">
                  <c:v>75–79</c:v>
                </c:pt>
                <c:pt idx="3">
                  <c:v>70–74</c:v>
                </c:pt>
                <c:pt idx="4">
                  <c:v>65–69</c:v>
                </c:pt>
                <c:pt idx="6">
                  <c:v>65+</c:v>
                </c:pt>
              </c:strCache>
            </c:strRef>
          </c:cat>
          <c:val>
            <c:numRef>
              <c:f>'diagnozy-ženy'!$M$43:$S$43</c:f>
              <c:numCache>
                <c:formatCode>#,##0</c:formatCode>
                <c:ptCount val="7"/>
                <c:pt idx="0">
                  <c:v>3.8762471045660849</c:v>
                </c:pt>
                <c:pt idx="1">
                  <c:v>4.4306201353033936</c:v>
                </c:pt>
                <c:pt idx="2">
                  <c:v>4.6772554083640614</c:v>
                </c:pt>
                <c:pt idx="3">
                  <c:v>5.2536107900201632</c:v>
                </c:pt>
                <c:pt idx="4">
                  <c:v>5.7860358701883214</c:v>
                </c:pt>
                <c:pt idx="6">
                  <c:v>4.8940335829034547</c:v>
                </c:pt>
              </c:numCache>
            </c:numRef>
          </c:val>
          <c:extLst>
            <c:ext xmlns:c16="http://schemas.microsoft.com/office/drawing/2014/chart" uri="{C3380CC4-5D6E-409C-BE32-E72D297353CC}">
              <c16:uniqueId val="{00000004-3AA3-436E-87C8-02F0949ABF20}"/>
            </c:ext>
          </c:extLst>
        </c:ser>
        <c:ser>
          <c:idx val="5"/>
          <c:order val="5"/>
          <c:tx>
            <c:strRef>
              <c:f>'diagnozy-ženy'!$L$44</c:f>
              <c:strCache>
                <c:ptCount val="1"/>
                <c:pt idx="0">
                  <c:v>ostatní *</c:v>
                </c:pt>
              </c:strCache>
            </c:strRef>
          </c:tx>
          <c:spPr>
            <a:solidFill>
              <a:srgbClr val="FFC000"/>
            </a:solidFill>
            <a:ln w="3175">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'diagnozy-ženy'!$M$38:$S$38</c:f>
              <c:strCache>
                <c:ptCount val="7"/>
                <c:pt idx="0">
                  <c:v>85+</c:v>
                </c:pt>
                <c:pt idx="1">
                  <c:v>80–84</c:v>
                </c:pt>
                <c:pt idx="2">
                  <c:v>75–79</c:v>
                </c:pt>
                <c:pt idx="3">
                  <c:v>70–74</c:v>
                </c:pt>
                <c:pt idx="4">
                  <c:v>65–69</c:v>
                </c:pt>
                <c:pt idx="6">
                  <c:v>65+</c:v>
                </c:pt>
              </c:strCache>
            </c:strRef>
          </c:cat>
          <c:val>
            <c:numRef>
              <c:f>'diagnozy-ženy'!$M$44:$S$44</c:f>
              <c:numCache>
                <c:formatCode>#,##0</c:formatCode>
                <c:ptCount val="7"/>
                <c:pt idx="0">
                  <c:v>62.582029760614866</c:v>
                </c:pt>
                <c:pt idx="1">
                  <c:v>57.349560321097556</c:v>
                </c:pt>
                <c:pt idx="2">
                  <c:v>52.63980852494641</c:v>
                </c:pt>
                <c:pt idx="3">
                  <c:v>49.9102137408129</c:v>
                </c:pt>
                <c:pt idx="4">
                  <c:v>48.990615538043585</c:v>
                </c:pt>
                <c:pt idx="6">
                  <c:v>53.509987408363536</c:v>
                </c:pt>
              </c:numCache>
            </c:numRef>
          </c:val>
          <c:extLst>
            <c:ext xmlns:c16="http://schemas.microsoft.com/office/drawing/2014/chart" uri="{C3380CC4-5D6E-409C-BE32-E72D297353CC}">
              <c16:uniqueId val="{00000005-3AA3-436E-87C8-02F0949ABF20}"/>
            </c:ext>
          </c:extLst>
        </c:ser>
        <c:dLbls>
          <c:dLblPos val="ctr"/>
          <c:showLegendKey val="0"/>
          <c:showVal val="1"/>
          <c:showCatName val="0"/>
          <c:showSerName val="0"/>
          <c:showPercent val="0"/>
          <c:showBubbleSize val="0"/>
        </c:dLbls>
        <c:gapWidth val="66"/>
        <c:overlap val="100"/>
        <c:axId val="547695599"/>
        <c:axId val="547692687"/>
      </c:barChart>
      <c:catAx>
        <c:axId val="547695599"/>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věk (v letech)</a:t>
                </a:r>
              </a:p>
            </c:rich>
          </c:tx>
          <c:layout>
            <c:manualLayout>
              <c:xMode val="edge"/>
              <c:yMode val="edge"/>
              <c:x val="3.8660431701948252E-3"/>
              <c:y val="0.2272814560560684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47692687"/>
        <c:crosses val="autoZero"/>
        <c:auto val="1"/>
        <c:lblAlgn val="ctr"/>
        <c:lblOffset val="100"/>
        <c:noMultiLvlLbl val="0"/>
      </c:catAx>
      <c:valAx>
        <c:axId val="547692687"/>
        <c:scaling>
          <c:orientation val="minMax"/>
        </c:scaling>
        <c:delete val="1"/>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a:t>
                </a:r>
              </a:p>
            </c:rich>
          </c:tx>
          <c:layout>
            <c:manualLayout>
              <c:xMode val="edge"/>
              <c:yMode val="edge"/>
              <c:x val="0.50236527110050044"/>
              <c:y val="0.6585293128280159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1"/>
        <c:majorTickMark val="none"/>
        <c:minorTickMark val="none"/>
        <c:tickLblPos val="nextTo"/>
        <c:crossAx val="547695599"/>
        <c:crosses val="autoZero"/>
        <c:crossBetween val="between"/>
      </c:valAx>
      <c:spPr>
        <a:noFill/>
        <a:ln w="3175">
          <a:solidFill>
            <a:sysClr val="windowText" lastClr="000000"/>
          </a:solidFill>
        </a:ln>
        <a:effectLst/>
      </c:spPr>
    </c:plotArea>
    <c:legend>
      <c:legendPos val="b"/>
      <c:layout>
        <c:manualLayout>
          <c:xMode val="edge"/>
          <c:yMode val="edge"/>
          <c:x val="0"/>
          <c:y val="0.77592693592687056"/>
          <c:w val="0.9888734353268428"/>
          <c:h val="0.16939813257478031"/>
        </c:manualLayout>
      </c:layout>
      <c:overlay val="0"/>
      <c:spPr>
        <a:noFill/>
        <a:ln w="3175">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66129497804326"/>
          <c:y val="1.3245033112582781E-2"/>
          <c:w val="0.7095860113578728"/>
          <c:h val="0.86332924857902682"/>
        </c:manualLayout>
      </c:layout>
      <c:barChart>
        <c:barDir val="bar"/>
        <c:grouping val="clustered"/>
        <c:varyColors val="0"/>
        <c:ser>
          <c:idx val="0"/>
          <c:order val="0"/>
          <c:tx>
            <c:strRef>
              <c:f>kraje_grafy!$D$16</c:f>
              <c:strCache>
                <c:ptCount val="1"/>
                <c:pt idx="0">
                  <c:v>ženy</c:v>
                </c:pt>
              </c:strCache>
            </c:strRef>
          </c:tx>
          <c:spPr>
            <a:solidFill>
              <a:srgbClr val="C00000"/>
            </a:solidFill>
            <a:ln w="3175">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kraje_grafy!$B$2:$B$15</c:f>
              <c:strCache>
                <c:ptCount val="14"/>
                <c:pt idx="0">
                  <c:v>Moravskoslezský</c:v>
                </c:pt>
                <c:pt idx="1">
                  <c:v>Zlínský</c:v>
                </c:pt>
                <c:pt idx="2">
                  <c:v>Olomoucký</c:v>
                </c:pt>
                <c:pt idx="3">
                  <c:v>Jihomoravský</c:v>
                </c:pt>
                <c:pt idx="4">
                  <c:v>Vysočina</c:v>
                </c:pt>
                <c:pt idx="5">
                  <c:v>Pardubický</c:v>
                </c:pt>
                <c:pt idx="6">
                  <c:v>Královéhradecký</c:v>
                </c:pt>
                <c:pt idx="7">
                  <c:v>Liberecký</c:v>
                </c:pt>
                <c:pt idx="8">
                  <c:v>Ústecký</c:v>
                </c:pt>
                <c:pt idx="9">
                  <c:v>Karlovarský</c:v>
                </c:pt>
                <c:pt idx="10">
                  <c:v>Plzeňský</c:v>
                </c:pt>
                <c:pt idx="11">
                  <c:v>Jihočeský</c:v>
                </c:pt>
                <c:pt idx="12">
                  <c:v>Středočeský</c:v>
                </c:pt>
                <c:pt idx="13">
                  <c:v>Hl. město Praha</c:v>
                </c:pt>
              </c:strCache>
            </c:strRef>
          </c:cat>
          <c:val>
            <c:numRef>
              <c:f>kraje_grafy!$D$2:$D$15</c:f>
              <c:numCache>
                <c:formatCode>#\ ##0.0</c:formatCode>
                <c:ptCount val="14"/>
                <c:pt idx="0">
                  <c:v>65.893808842761345</c:v>
                </c:pt>
                <c:pt idx="1">
                  <c:v>61.211288973121029</c:v>
                </c:pt>
                <c:pt idx="2">
                  <c:v>64.333250903272429</c:v>
                </c:pt>
                <c:pt idx="3">
                  <c:v>61.117004488050739</c:v>
                </c:pt>
                <c:pt idx="4">
                  <c:v>60.420831405068107</c:v>
                </c:pt>
                <c:pt idx="5">
                  <c:v>64.441649243801123</c:v>
                </c:pt>
                <c:pt idx="6">
                  <c:v>64.939701500459023</c:v>
                </c:pt>
                <c:pt idx="7">
                  <c:v>59.742105709699608</c:v>
                </c:pt>
                <c:pt idx="8">
                  <c:v>65.431977433124345</c:v>
                </c:pt>
                <c:pt idx="9">
                  <c:v>64.11380488575945</c:v>
                </c:pt>
                <c:pt idx="10">
                  <c:v>61.432767422908448</c:v>
                </c:pt>
                <c:pt idx="11">
                  <c:v>59.555091672267693</c:v>
                </c:pt>
                <c:pt idx="12">
                  <c:v>65.864206304612921</c:v>
                </c:pt>
                <c:pt idx="13">
                  <c:v>70.676838602598878</c:v>
                </c:pt>
              </c:numCache>
            </c:numRef>
          </c:val>
          <c:extLst>
            <c:ext xmlns:c16="http://schemas.microsoft.com/office/drawing/2014/chart" uri="{C3380CC4-5D6E-409C-BE32-E72D297353CC}">
              <c16:uniqueId val="{00000000-C5F7-4479-A6E7-F88C795BAF53}"/>
            </c:ext>
          </c:extLst>
        </c:ser>
        <c:ser>
          <c:idx val="1"/>
          <c:order val="1"/>
          <c:tx>
            <c:strRef>
              <c:f>kraje_grafy!$C$16</c:f>
              <c:strCache>
                <c:ptCount val="1"/>
                <c:pt idx="0">
                  <c:v>muži</c:v>
                </c:pt>
              </c:strCache>
            </c:strRef>
          </c:tx>
          <c:spPr>
            <a:solidFill>
              <a:srgbClr val="0070C0"/>
            </a:solidFill>
            <a:ln w="3175">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kraje_grafy!$B$2:$B$15</c:f>
              <c:strCache>
                <c:ptCount val="14"/>
                <c:pt idx="0">
                  <c:v>Moravskoslezský</c:v>
                </c:pt>
                <c:pt idx="1">
                  <c:v>Zlínský</c:v>
                </c:pt>
                <c:pt idx="2">
                  <c:v>Olomoucký</c:v>
                </c:pt>
                <c:pt idx="3">
                  <c:v>Jihomoravský</c:v>
                </c:pt>
                <c:pt idx="4">
                  <c:v>Vysočina</c:v>
                </c:pt>
                <c:pt idx="5">
                  <c:v>Pardubický</c:v>
                </c:pt>
                <c:pt idx="6">
                  <c:v>Královéhradecký</c:v>
                </c:pt>
                <c:pt idx="7">
                  <c:v>Liberecký</c:v>
                </c:pt>
                <c:pt idx="8">
                  <c:v>Ústecký</c:v>
                </c:pt>
                <c:pt idx="9">
                  <c:v>Karlovarský</c:v>
                </c:pt>
                <c:pt idx="10">
                  <c:v>Plzeňský</c:v>
                </c:pt>
                <c:pt idx="11">
                  <c:v>Jihočeský</c:v>
                </c:pt>
                <c:pt idx="12">
                  <c:v>Středočeský</c:v>
                </c:pt>
                <c:pt idx="13">
                  <c:v>Hl. město Praha</c:v>
                </c:pt>
              </c:strCache>
            </c:strRef>
          </c:cat>
          <c:val>
            <c:numRef>
              <c:f>kraje_grafy!$C$2:$C$15</c:f>
              <c:numCache>
                <c:formatCode>#\ ##0.0</c:formatCode>
                <c:ptCount val="14"/>
                <c:pt idx="0">
                  <c:v>82.890013202648575</c:v>
                </c:pt>
                <c:pt idx="1">
                  <c:v>78.284768016718076</c:v>
                </c:pt>
                <c:pt idx="2">
                  <c:v>79.326139879389345</c:v>
                </c:pt>
                <c:pt idx="3">
                  <c:v>77.203160335078948</c:v>
                </c:pt>
                <c:pt idx="4">
                  <c:v>77.616009176942924</c:v>
                </c:pt>
                <c:pt idx="5">
                  <c:v>82.725013193644457</c:v>
                </c:pt>
                <c:pt idx="6">
                  <c:v>80.699712406234198</c:v>
                </c:pt>
                <c:pt idx="7">
                  <c:v>78.907610751682384</c:v>
                </c:pt>
                <c:pt idx="8">
                  <c:v>80.88949679756557</c:v>
                </c:pt>
                <c:pt idx="9">
                  <c:v>79.328252722305592</c:v>
                </c:pt>
                <c:pt idx="10">
                  <c:v>76.045781794474479</c:v>
                </c:pt>
                <c:pt idx="11">
                  <c:v>72.008334778121778</c:v>
                </c:pt>
                <c:pt idx="12">
                  <c:v>84.539051043875901</c:v>
                </c:pt>
                <c:pt idx="13">
                  <c:v>86.104428226859739</c:v>
                </c:pt>
              </c:numCache>
            </c:numRef>
          </c:val>
          <c:extLst>
            <c:ext xmlns:c16="http://schemas.microsoft.com/office/drawing/2014/chart" uri="{C3380CC4-5D6E-409C-BE32-E72D297353CC}">
              <c16:uniqueId val="{00000001-C5F7-4479-A6E7-F88C795BAF53}"/>
            </c:ext>
          </c:extLst>
        </c:ser>
        <c:dLbls>
          <c:dLblPos val="ctr"/>
          <c:showLegendKey val="0"/>
          <c:showVal val="1"/>
          <c:showCatName val="0"/>
          <c:showSerName val="0"/>
          <c:showPercent val="0"/>
          <c:showBubbleSize val="0"/>
        </c:dLbls>
        <c:gapWidth val="35"/>
        <c:axId val="654872448"/>
        <c:axId val="654866208"/>
      </c:barChart>
      <c:catAx>
        <c:axId val="654872448"/>
        <c:scaling>
          <c:orientation val="minMax"/>
        </c:scaling>
        <c:delete val="0"/>
        <c:axPos val="l"/>
        <c:numFmt formatCode="General" sourceLinked="1"/>
        <c:majorTickMark val="none"/>
        <c:minorTickMark val="none"/>
        <c:tickLblPos val="nextTo"/>
        <c:spPr>
          <a:noFill/>
          <a:ln w="3175" cap="flat" cmpd="sng" algn="ctr">
            <a:solidFill>
              <a:sysClr val="windowText" lastClr="000000"/>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654866208"/>
        <c:crosses val="autoZero"/>
        <c:auto val="1"/>
        <c:lblAlgn val="ctr"/>
        <c:lblOffset val="100"/>
        <c:noMultiLvlLbl val="0"/>
      </c:catAx>
      <c:valAx>
        <c:axId val="654866208"/>
        <c:scaling>
          <c:orientation val="minMax"/>
        </c:scaling>
        <c:delete val="0"/>
        <c:axPos val="b"/>
        <c:majorGridlines>
          <c:spPr>
            <a:ln w="3175" cap="flat" cmpd="sng" algn="ctr">
              <a:solidFill>
                <a:sysClr val="windowText" lastClr="000000"/>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tis. Kč</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w="3175">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654872448"/>
        <c:crosses val="autoZero"/>
        <c:crossBetween val="between"/>
      </c:valAx>
      <c:spPr>
        <a:noFill/>
        <a:ln w="3175">
          <a:solidFill>
            <a:sysClr val="windowText" lastClr="000000"/>
          </a:solidFill>
        </a:ln>
        <a:effectLst/>
      </c:spPr>
    </c:plotArea>
    <c:legend>
      <c:legendPos val="b"/>
      <c:layout>
        <c:manualLayout>
          <c:xMode val="edge"/>
          <c:yMode val="edge"/>
          <c:x val="0.84496871893125303"/>
          <c:y val="0.14586249152630756"/>
          <c:w val="0.10052869579264577"/>
          <c:h val="0.10579313761276531"/>
        </c:manualLayout>
      </c:layout>
      <c:overlay val="0"/>
      <c:spPr>
        <a:solidFill>
          <a:schemeClr val="bg1"/>
        </a:solidFill>
        <a:ln w="3175">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9561444316179"/>
          <c:y val="2.3675097149958729E-2"/>
          <c:w val="0.87347082708753299"/>
          <c:h val="0.73707873088302123"/>
        </c:manualLayout>
      </c:layout>
      <c:lineChart>
        <c:grouping val="standard"/>
        <c:varyColors val="0"/>
        <c:ser>
          <c:idx val="0"/>
          <c:order val="0"/>
          <c:tx>
            <c:strRef>
              <c:f>T5081_C1!$R$40</c:f>
              <c:strCache>
                <c:ptCount val="1"/>
                <c:pt idx="0">
                  <c:v>2. čtvrtletí 2012</c:v>
                </c:pt>
              </c:strCache>
            </c:strRef>
          </c:tx>
          <c:spPr>
            <a:ln w="28575" cap="rnd">
              <a:solidFill>
                <a:srgbClr val="00B050"/>
              </a:solidFill>
              <a:round/>
            </a:ln>
            <a:effectLst/>
          </c:spPr>
          <c:marker>
            <c:symbol val="none"/>
          </c:marker>
          <c:cat>
            <c:strRef>
              <c:f>T5081_C1!$F$41:$F$51</c:f>
              <c:strCache>
                <c:ptCount val="11"/>
                <c:pt idx="0">
                  <c:v>15 -19</c:v>
                </c:pt>
                <c:pt idx="1">
                  <c:v>20-24</c:v>
                </c:pt>
                <c:pt idx="2">
                  <c:v>25-29</c:v>
                </c:pt>
                <c:pt idx="3">
                  <c:v>30-34</c:v>
                </c:pt>
                <c:pt idx="4">
                  <c:v>35-39</c:v>
                </c:pt>
                <c:pt idx="5">
                  <c:v>40-44</c:v>
                </c:pt>
                <c:pt idx="6">
                  <c:v>45-49</c:v>
                </c:pt>
                <c:pt idx="7">
                  <c:v>50-54</c:v>
                </c:pt>
                <c:pt idx="8">
                  <c:v>55-59</c:v>
                </c:pt>
                <c:pt idx="9">
                  <c:v>60-64</c:v>
                </c:pt>
                <c:pt idx="10">
                  <c:v>65 a více</c:v>
                </c:pt>
              </c:strCache>
            </c:strRef>
          </c:cat>
          <c:val>
            <c:numRef>
              <c:f>T5081_C1!$R$41:$R$51</c:f>
              <c:numCache>
                <c:formatCode>#,##0</c:formatCode>
                <c:ptCount val="11"/>
                <c:pt idx="0">
                  <c:v>5.927708118535989</c:v>
                </c:pt>
                <c:pt idx="1">
                  <c:v>50.262695639060794</c:v>
                </c:pt>
                <c:pt idx="2">
                  <c:v>78.924671127774872</c:v>
                </c:pt>
                <c:pt idx="3">
                  <c:v>80.984368734428088</c:v>
                </c:pt>
                <c:pt idx="4">
                  <c:v>89.652168867768225</c:v>
                </c:pt>
                <c:pt idx="5">
                  <c:v>94.273482442426371</c:v>
                </c:pt>
                <c:pt idx="6">
                  <c:v>94.495451350311072</c:v>
                </c:pt>
                <c:pt idx="7">
                  <c:v>91.994109139554681</c:v>
                </c:pt>
                <c:pt idx="8">
                  <c:v>76.352615313544419</c:v>
                </c:pt>
                <c:pt idx="9">
                  <c:v>27.908903349574473</c:v>
                </c:pt>
                <c:pt idx="10">
                  <c:v>4.5579972778967406</c:v>
                </c:pt>
              </c:numCache>
            </c:numRef>
          </c:val>
          <c:smooth val="0"/>
          <c:extLst>
            <c:ext xmlns:c16="http://schemas.microsoft.com/office/drawing/2014/chart" uri="{C3380CC4-5D6E-409C-BE32-E72D297353CC}">
              <c16:uniqueId val="{00000000-2AA1-4F9D-87B2-D2DB3622BF4C}"/>
            </c:ext>
          </c:extLst>
        </c:ser>
        <c:ser>
          <c:idx val="1"/>
          <c:order val="1"/>
          <c:tx>
            <c:strRef>
              <c:f>T5081_C1!$O$7</c:f>
              <c:strCache>
                <c:ptCount val="1"/>
                <c:pt idx="0">
                  <c:v>2. čtvrtletí 2022</c:v>
                </c:pt>
              </c:strCache>
            </c:strRef>
          </c:tx>
          <c:spPr>
            <a:ln w="28575" cap="rnd">
              <a:solidFill>
                <a:schemeClr val="accent2"/>
              </a:solidFill>
              <a:round/>
            </a:ln>
            <a:effectLst/>
          </c:spPr>
          <c:marker>
            <c:symbol val="none"/>
          </c:marker>
          <c:cat>
            <c:strRef>
              <c:f>T5081_C1!$F$41:$F$51</c:f>
              <c:strCache>
                <c:ptCount val="11"/>
                <c:pt idx="0">
                  <c:v>15 -19</c:v>
                </c:pt>
                <c:pt idx="1">
                  <c:v>20-24</c:v>
                </c:pt>
                <c:pt idx="2">
                  <c:v>25-29</c:v>
                </c:pt>
                <c:pt idx="3">
                  <c:v>30-34</c:v>
                </c:pt>
                <c:pt idx="4">
                  <c:v>35-39</c:v>
                </c:pt>
                <c:pt idx="5">
                  <c:v>40-44</c:v>
                </c:pt>
                <c:pt idx="6">
                  <c:v>45-49</c:v>
                </c:pt>
                <c:pt idx="7">
                  <c:v>50-54</c:v>
                </c:pt>
                <c:pt idx="8">
                  <c:v>55-59</c:v>
                </c:pt>
                <c:pt idx="9">
                  <c:v>60-64</c:v>
                </c:pt>
                <c:pt idx="10">
                  <c:v>65 a více</c:v>
                </c:pt>
              </c:strCache>
            </c:strRef>
          </c:cat>
          <c:val>
            <c:numRef>
              <c:f>T5081_C1!$O$41:$O$51</c:f>
              <c:numCache>
                <c:formatCode>#,##0</c:formatCode>
                <c:ptCount val="11"/>
                <c:pt idx="0">
                  <c:v>5.7522530697453389</c:v>
                </c:pt>
                <c:pt idx="1">
                  <c:v>49.418473803692386</c:v>
                </c:pt>
                <c:pt idx="2">
                  <c:v>80.271479035004262</c:v>
                </c:pt>
                <c:pt idx="3">
                  <c:v>80.60046674868731</c:v>
                </c:pt>
                <c:pt idx="4">
                  <c:v>86.719848568768498</c:v>
                </c:pt>
                <c:pt idx="5">
                  <c:v>93.972290814555819</c:v>
                </c:pt>
                <c:pt idx="6">
                  <c:v>95.386336771425135</c:v>
                </c:pt>
                <c:pt idx="7">
                  <c:v>94.24439087993413</c:v>
                </c:pt>
                <c:pt idx="8">
                  <c:v>90.391867785723832</c:v>
                </c:pt>
                <c:pt idx="9">
                  <c:v>55.858193092894631</c:v>
                </c:pt>
                <c:pt idx="10">
                  <c:v>7.1584983421379338</c:v>
                </c:pt>
              </c:numCache>
            </c:numRef>
          </c:val>
          <c:smooth val="0"/>
          <c:extLst>
            <c:ext xmlns:c16="http://schemas.microsoft.com/office/drawing/2014/chart" uri="{C3380CC4-5D6E-409C-BE32-E72D297353CC}">
              <c16:uniqueId val="{00000001-2AA1-4F9D-87B2-D2DB3622BF4C}"/>
            </c:ext>
          </c:extLst>
        </c:ser>
        <c:dLbls>
          <c:showLegendKey val="0"/>
          <c:showVal val="0"/>
          <c:showCatName val="0"/>
          <c:showSerName val="0"/>
          <c:showPercent val="0"/>
          <c:showBubbleSize val="0"/>
        </c:dLbls>
        <c:smooth val="0"/>
        <c:axId val="1532770399"/>
        <c:axId val="1532762079"/>
      </c:lineChart>
      <c:catAx>
        <c:axId val="1532770399"/>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věk</a:t>
                </a:r>
                <a:r>
                  <a:rPr lang="cs-CZ" baseline="0"/>
                  <a:t> </a:t>
                </a:r>
                <a:r>
                  <a:rPr lang="cs-CZ"/>
                  <a:t>(v letech)</a:t>
                </a:r>
                <a:endParaRPr lang="en-US"/>
              </a:p>
            </c:rich>
          </c:tx>
          <c:layout>
            <c:manualLayout>
              <c:xMode val="edge"/>
              <c:yMode val="edge"/>
              <c:x val="0.44217554862534963"/>
              <c:y val="0.8931189078397003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out"/>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532762079"/>
        <c:crosses val="autoZero"/>
        <c:auto val="1"/>
        <c:lblAlgn val="ctr"/>
        <c:lblOffset val="100"/>
        <c:noMultiLvlLbl val="0"/>
      </c:catAx>
      <c:valAx>
        <c:axId val="1532762079"/>
        <c:scaling>
          <c:orientation val="minMax"/>
          <c:max val="100"/>
        </c:scaling>
        <c:delete val="0"/>
        <c:axPos val="l"/>
        <c:majorGridlines>
          <c:spPr>
            <a:ln w="3175" cap="flat" cmpd="sng" algn="ctr">
              <a:solidFill>
                <a:schemeClr val="tx1"/>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t>
                </a:r>
              </a:p>
            </c:rich>
          </c:tx>
          <c:layout>
            <c:manualLayout>
              <c:xMode val="edge"/>
              <c:yMode val="edge"/>
              <c:x val="7.1317562328778901E-3"/>
              <c:y val="0.3367782384092447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1"/>
        <c:majorTickMark val="none"/>
        <c:minorTickMark val="none"/>
        <c:tickLblPos val="nextTo"/>
        <c:spPr>
          <a:noFill/>
          <a:ln w="317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532770399"/>
        <c:crosses val="autoZero"/>
        <c:crossBetween val="between"/>
      </c:valAx>
      <c:spPr>
        <a:noFill/>
        <a:ln w="3175">
          <a:solidFill>
            <a:schemeClr val="tx1"/>
          </a:solidFill>
        </a:ln>
        <a:effectLst/>
      </c:spPr>
    </c:plotArea>
    <c:legend>
      <c:legendPos val="b"/>
      <c:layout>
        <c:manualLayout>
          <c:xMode val="edge"/>
          <c:yMode val="edge"/>
          <c:x val="0.40913799341821872"/>
          <c:y val="0.28795006631238235"/>
          <c:w val="0.27174578013634509"/>
          <c:h val="0.17057696409856896"/>
        </c:manualLayout>
      </c:layout>
      <c:overlay val="0"/>
      <c:spPr>
        <a:solidFill>
          <a:schemeClr val="bg1"/>
        </a:solid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445582887876794"/>
          <c:y val="1.6099398865464399E-2"/>
          <c:w val="0.80114160868178219"/>
          <c:h val="0.50341630683261362"/>
        </c:manualLayout>
      </c:layout>
      <c:barChart>
        <c:barDir val="bar"/>
        <c:grouping val="stacked"/>
        <c:varyColors val="0"/>
        <c:ser>
          <c:idx val="2"/>
          <c:order val="0"/>
          <c:tx>
            <c:strRef>
              <c:f>[Duchodci_celkem.xlsx]graf!$A$3</c:f>
              <c:strCache>
                <c:ptCount val="1"/>
                <c:pt idx="0">
                  <c:v> starobní sólo</c:v>
                </c:pt>
              </c:strCache>
            </c:strRef>
          </c:tx>
          <c:spPr>
            <a:solidFill>
              <a:srgbClr val="0070C0"/>
            </a:solidFill>
            <a:ln w="3175">
              <a:solidFill>
                <a:sysClr val="windowText" lastClr="000000"/>
              </a:solidFill>
            </a:ln>
          </c:spPr>
          <c:invertIfNegative val="0"/>
          <c:cat>
            <c:strRef>
              <c:f>[Duchodci_celkem.xlsx]graf!$B$2:$C$2</c:f>
              <c:strCache>
                <c:ptCount val="2"/>
                <c:pt idx="0">
                  <c:v>muži</c:v>
                </c:pt>
                <c:pt idx="1">
                  <c:v>ženy</c:v>
                </c:pt>
              </c:strCache>
            </c:strRef>
          </c:cat>
          <c:val>
            <c:numRef>
              <c:f>[Duchodci_celkem.xlsx]graf!$B$3:$C$3</c:f>
              <c:numCache>
                <c:formatCode>General</c:formatCode>
                <c:ptCount val="2"/>
                <c:pt idx="0">
                  <c:v>859865</c:v>
                </c:pt>
                <c:pt idx="1">
                  <c:v>929016</c:v>
                </c:pt>
              </c:numCache>
            </c:numRef>
          </c:val>
          <c:extLst>
            <c:ext xmlns:c16="http://schemas.microsoft.com/office/drawing/2014/chart" uri="{C3380CC4-5D6E-409C-BE32-E72D297353CC}">
              <c16:uniqueId val="{00000000-E455-4EDF-BDEC-4C989721FC3D}"/>
            </c:ext>
          </c:extLst>
        </c:ser>
        <c:ser>
          <c:idx val="0"/>
          <c:order val="1"/>
          <c:tx>
            <c:strRef>
              <c:f>[Duchodci_celkem.xlsx]graf!$A$4</c:f>
              <c:strCache>
                <c:ptCount val="1"/>
                <c:pt idx="0">
                  <c:v> starobní v souběhu
s vdovským/vdoveckým</c:v>
                </c:pt>
              </c:strCache>
            </c:strRef>
          </c:tx>
          <c:spPr>
            <a:solidFill>
              <a:srgbClr val="C00000"/>
            </a:solidFill>
            <a:ln w="3175">
              <a:solidFill>
                <a:schemeClr val="tx1"/>
              </a:solidFill>
            </a:ln>
            <a:effectLst/>
          </c:spPr>
          <c:invertIfNegative val="0"/>
          <c:cat>
            <c:strRef>
              <c:f>[Duchodci_celkem.xlsx]graf!$B$2:$C$2</c:f>
              <c:strCache>
                <c:ptCount val="2"/>
                <c:pt idx="0">
                  <c:v>muži</c:v>
                </c:pt>
                <c:pt idx="1">
                  <c:v>ženy</c:v>
                </c:pt>
              </c:strCache>
            </c:strRef>
          </c:cat>
          <c:val>
            <c:numRef>
              <c:f>[Duchodci_celkem.xlsx]graf!$B$4:$C$4</c:f>
              <c:numCache>
                <c:formatCode>General</c:formatCode>
                <c:ptCount val="2"/>
                <c:pt idx="0">
                  <c:v>91825</c:v>
                </c:pt>
                <c:pt idx="1">
                  <c:v>497114</c:v>
                </c:pt>
              </c:numCache>
            </c:numRef>
          </c:val>
          <c:extLst>
            <c:ext xmlns:c16="http://schemas.microsoft.com/office/drawing/2014/chart" uri="{C3380CC4-5D6E-409C-BE32-E72D297353CC}">
              <c16:uniqueId val="{00000001-E455-4EDF-BDEC-4C989721FC3D}"/>
            </c:ext>
          </c:extLst>
        </c:ser>
        <c:ser>
          <c:idx val="3"/>
          <c:order val="2"/>
          <c:tx>
            <c:strRef>
              <c:f>[Duchodci_celkem.xlsx]graf!$A$5</c:f>
              <c:strCache>
                <c:ptCount val="1"/>
                <c:pt idx="0">
                  <c:v> invalidní (včetně souběhu
s vdovským/vdoveckým)</c:v>
                </c:pt>
              </c:strCache>
            </c:strRef>
          </c:tx>
          <c:spPr>
            <a:solidFill>
              <a:srgbClr val="92D050"/>
            </a:solidFill>
            <a:ln w="3175">
              <a:solidFill>
                <a:sysClr val="windowText" lastClr="000000"/>
              </a:solidFill>
            </a:ln>
          </c:spPr>
          <c:invertIfNegative val="0"/>
          <c:cat>
            <c:strRef>
              <c:f>[Duchodci_celkem.xlsx]graf!$B$2:$C$2</c:f>
              <c:strCache>
                <c:ptCount val="2"/>
                <c:pt idx="0">
                  <c:v>muži</c:v>
                </c:pt>
                <c:pt idx="1">
                  <c:v>ženy</c:v>
                </c:pt>
              </c:strCache>
            </c:strRef>
          </c:cat>
          <c:val>
            <c:numRef>
              <c:f>[Duchodci_celkem.xlsx]graf!$B$5:$C$5</c:f>
              <c:numCache>
                <c:formatCode>General</c:formatCode>
                <c:ptCount val="2"/>
                <c:pt idx="0">
                  <c:v>202734</c:v>
                </c:pt>
                <c:pt idx="1">
                  <c:v>211912</c:v>
                </c:pt>
              </c:numCache>
            </c:numRef>
          </c:val>
          <c:extLst>
            <c:ext xmlns:c16="http://schemas.microsoft.com/office/drawing/2014/chart" uri="{C3380CC4-5D6E-409C-BE32-E72D297353CC}">
              <c16:uniqueId val="{00000002-E455-4EDF-BDEC-4C989721FC3D}"/>
            </c:ext>
          </c:extLst>
        </c:ser>
        <c:ser>
          <c:idx val="1"/>
          <c:order val="3"/>
          <c:tx>
            <c:strRef>
              <c:f>[Duchodci_celkem.xlsx]graf!$A$6</c:f>
              <c:strCache>
                <c:ptCount val="1"/>
                <c:pt idx="0">
                  <c:v> vdovský / vdovecký sólo</c:v>
                </c:pt>
              </c:strCache>
            </c:strRef>
          </c:tx>
          <c:spPr>
            <a:solidFill>
              <a:srgbClr val="FFC000"/>
            </a:solidFill>
            <a:ln w="3175">
              <a:solidFill>
                <a:sysClr val="windowText" lastClr="000000"/>
              </a:solidFill>
            </a:ln>
            <a:effectLst/>
          </c:spPr>
          <c:invertIfNegative val="0"/>
          <c:dPt>
            <c:idx val="0"/>
            <c:invertIfNegative val="0"/>
            <c:bubble3D val="0"/>
            <c:extLst>
              <c:ext xmlns:c16="http://schemas.microsoft.com/office/drawing/2014/chart" uri="{C3380CC4-5D6E-409C-BE32-E72D297353CC}">
                <c16:uniqueId val="{00000004-E455-4EDF-BDEC-4C989721FC3D}"/>
              </c:ext>
            </c:extLst>
          </c:dPt>
          <c:dPt>
            <c:idx val="1"/>
            <c:invertIfNegative val="0"/>
            <c:bubble3D val="0"/>
            <c:extLst>
              <c:ext xmlns:c16="http://schemas.microsoft.com/office/drawing/2014/chart" uri="{C3380CC4-5D6E-409C-BE32-E72D297353CC}">
                <c16:uniqueId val="{00000006-E455-4EDF-BDEC-4C989721FC3D}"/>
              </c:ext>
            </c:extLst>
          </c:dPt>
          <c:cat>
            <c:strRef>
              <c:f>[Duchodci_celkem.xlsx]graf!$B$2:$C$2</c:f>
              <c:strCache>
                <c:ptCount val="2"/>
                <c:pt idx="0">
                  <c:v>muži</c:v>
                </c:pt>
                <c:pt idx="1">
                  <c:v>ženy</c:v>
                </c:pt>
              </c:strCache>
            </c:strRef>
          </c:cat>
          <c:val>
            <c:numRef>
              <c:f>[Duchodci_celkem.xlsx]graf!$B$6:$C$6</c:f>
              <c:numCache>
                <c:formatCode>General</c:formatCode>
                <c:ptCount val="2"/>
                <c:pt idx="0">
                  <c:v>4956</c:v>
                </c:pt>
                <c:pt idx="1">
                  <c:v>20457</c:v>
                </c:pt>
              </c:numCache>
            </c:numRef>
          </c:val>
          <c:extLst>
            <c:ext xmlns:c16="http://schemas.microsoft.com/office/drawing/2014/chart" uri="{C3380CC4-5D6E-409C-BE32-E72D297353CC}">
              <c16:uniqueId val="{00000007-E455-4EDF-BDEC-4C989721FC3D}"/>
            </c:ext>
          </c:extLst>
        </c:ser>
        <c:ser>
          <c:idx val="4"/>
          <c:order val="4"/>
          <c:tx>
            <c:strRef>
              <c:f>[Duchodci_celkem.xlsx]graf!$A$7</c:f>
              <c:strCache>
                <c:ptCount val="1"/>
                <c:pt idx="0">
                  <c:v> sirotčí</c:v>
                </c:pt>
              </c:strCache>
            </c:strRef>
          </c:tx>
          <c:spPr>
            <a:solidFill>
              <a:srgbClr val="7030A0"/>
            </a:solidFill>
            <a:ln w="3175">
              <a:solidFill>
                <a:sysClr val="windowText" lastClr="000000"/>
              </a:solidFill>
            </a:ln>
          </c:spPr>
          <c:invertIfNegative val="0"/>
          <c:cat>
            <c:strRef>
              <c:f>[Duchodci_celkem.xlsx]graf!$B$2:$C$2</c:f>
              <c:strCache>
                <c:ptCount val="2"/>
                <c:pt idx="0">
                  <c:v>muži</c:v>
                </c:pt>
                <c:pt idx="1">
                  <c:v>ženy</c:v>
                </c:pt>
              </c:strCache>
            </c:strRef>
          </c:cat>
          <c:val>
            <c:numRef>
              <c:f>[Duchodci_celkem.xlsx]graf!$B$7:$C$7</c:f>
              <c:numCache>
                <c:formatCode>General</c:formatCode>
                <c:ptCount val="2"/>
                <c:pt idx="0">
                  <c:v>19512</c:v>
                </c:pt>
                <c:pt idx="1">
                  <c:v>20253</c:v>
                </c:pt>
              </c:numCache>
            </c:numRef>
          </c:val>
          <c:extLst>
            <c:ext xmlns:c16="http://schemas.microsoft.com/office/drawing/2014/chart" uri="{C3380CC4-5D6E-409C-BE32-E72D297353CC}">
              <c16:uniqueId val="{00000008-E455-4EDF-BDEC-4C989721FC3D}"/>
            </c:ext>
          </c:extLst>
        </c:ser>
        <c:dLbls>
          <c:showLegendKey val="0"/>
          <c:showVal val="0"/>
          <c:showCatName val="0"/>
          <c:showSerName val="0"/>
          <c:showPercent val="0"/>
          <c:showBubbleSize val="0"/>
        </c:dLbls>
        <c:gapWidth val="29"/>
        <c:overlap val="100"/>
        <c:axId val="1156612735"/>
        <c:axId val="1"/>
      </c:barChart>
      <c:catAx>
        <c:axId val="1156612735"/>
        <c:scaling>
          <c:orientation val="minMax"/>
        </c:scaling>
        <c:delete val="0"/>
        <c:axPos val="l"/>
        <c:numFmt formatCode="General" sourceLinked="1"/>
        <c:majorTickMark val="none"/>
        <c:minorTickMark val="none"/>
        <c:tickLblPos val="low"/>
        <c:spPr>
          <a:noFill/>
          <a:ln w="317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
        <c:crosses val="autoZero"/>
        <c:auto val="1"/>
        <c:lblAlgn val="ctr"/>
        <c:lblOffset val="100"/>
        <c:noMultiLvlLbl val="0"/>
      </c:catAx>
      <c:valAx>
        <c:axId val="1"/>
        <c:scaling>
          <c:orientation val="minMax"/>
          <c:max val="1750000.0000000002"/>
        </c:scaling>
        <c:delete val="0"/>
        <c:axPos val="b"/>
        <c:majorGridlines>
          <c:spPr>
            <a:ln w="3175" cap="flat" cmpd="sng" algn="ctr">
              <a:solidFill>
                <a:sysClr val="windowText" lastClr="000000"/>
              </a:solidFill>
              <a:prstDash val="solid"/>
              <a:round/>
            </a:ln>
            <a:effectLst/>
          </c:spPr>
        </c:majorGridlines>
        <c:numFmt formatCode="0;0" sourceLinked="0"/>
        <c:majorTickMark val="none"/>
        <c:minorTickMark val="none"/>
        <c:tickLblPos val="nextTo"/>
        <c:spPr>
          <a:noFill/>
          <a:ln w="3175">
            <a:solidFill>
              <a:sysClr val="windowText" lastClr="000000"/>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156612735"/>
        <c:crosses val="autoZero"/>
        <c:crossBetween val="between"/>
        <c:majorUnit val="250000"/>
        <c:dispUnits>
          <c:builtInUnit val="thousands"/>
        </c:dispUnits>
      </c:valAx>
      <c:spPr>
        <a:noFill/>
        <a:ln w="3175">
          <a:solidFill>
            <a:sysClr val="windowText" lastClr="000000"/>
          </a:solidFill>
        </a:ln>
        <a:effectLst/>
      </c:spPr>
    </c:plotArea>
    <c:legend>
      <c:legendPos val="b"/>
      <c:layout>
        <c:manualLayout>
          <c:xMode val="edge"/>
          <c:yMode val="edge"/>
          <c:x val="7.9175706265898996E-2"/>
          <c:y val="0.65005395084656703"/>
          <c:w val="0.86970051900935008"/>
          <c:h val="0.32687514289954717"/>
        </c:manualLayout>
      </c:layout>
      <c:overlay val="0"/>
      <c:spPr>
        <a:ln w="3175">
          <a:solidFill>
            <a:sysClr val="windowText" lastClr="000000"/>
          </a:solidFill>
        </a:ln>
      </c:spPr>
      <c:txPr>
        <a:bodyPr/>
        <a:lstStyle/>
        <a:p>
          <a:pPr>
            <a:defRPr sz="900"/>
          </a:pPr>
          <a:endParaRPr lang="cs-CZ"/>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766809830589359"/>
          <c:y val="4.2981210571426419E-2"/>
          <c:w val="0.78369553805774284"/>
          <c:h val="0.72545300676078628"/>
        </c:manualLayout>
      </c:layout>
      <c:barChart>
        <c:barDir val="bar"/>
        <c:grouping val="stacked"/>
        <c:varyColors val="0"/>
        <c:ser>
          <c:idx val="2"/>
          <c:order val="0"/>
          <c:tx>
            <c:strRef>
              <c:f>'1'!$P$3</c:f>
              <c:strCache>
                <c:ptCount val="1"/>
                <c:pt idx="0">
                  <c:v> sólo</c:v>
                </c:pt>
              </c:strCache>
            </c:strRef>
          </c:tx>
          <c:spPr>
            <a:solidFill>
              <a:srgbClr val="0070C0"/>
            </a:solidFill>
            <a:ln w="3175">
              <a:solidFill>
                <a:sysClr val="windowText" lastClr="000000"/>
              </a:solidFill>
            </a:ln>
          </c:spPr>
          <c:invertIfNegative val="0"/>
          <c:cat>
            <c:strRef>
              <c:f>'1'!$M$4:$M$9</c:f>
              <c:strCache>
                <c:ptCount val="6"/>
                <c:pt idx="0">
                  <c:v>≤ 64</c:v>
                </c:pt>
                <c:pt idx="1">
                  <c:v>65–69</c:v>
                </c:pt>
                <c:pt idx="2">
                  <c:v>70–74</c:v>
                </c:pt>
                <c:pt idx="3">
                  <c:v>75–79</c:v>
                </c:pt>
                <c:pt idx="4">
                  <c:v>80–84</c:v>
                </c:pt>
                <c:pt idx="5">
                  <c:v>85+</c:v>
                </c:pt>
              </c:strCache>
            </c:strRef>
          </c:cat>
          <c:val>
            <c:numRef>
              <c:f>'1'!$P$4:$P$9</c:f>
              <c:numCache>
                <c:formatCode>General</c:formatCode>
                <c:ptCount val="6"/>
                <c:pt idx="0">
                  <c:v>-80516</c:v>
                </c:pt>
                <c:pt idx="1">
                  <c:v>-274517</c:v>
                </c:pt>
                <c:pt idx="2">
                  <c:v>-241160</c:v>
                </c:pt>
                <c:pt idx="3">
                  <c:v>-153342</c:v>
                </c:pt>
                <c:pt idx="4">
                  <c:v>-72898</c:v>
                </c:pt>
                <c:pt idx="5">
                  <c:v>-37432</c:v>
                </c:pt>
              </c:numCache>
            </c:numRef>
          </c:val>
          <c:extLst>
            <c:ext xmlns:c16="http://schemas.microsoft.com/office/drawing/2014/chart" uri="{C3380CC4-5D6E-409C-BE32-E72D297353CC}">
              <c16:uniqueId val="{00000000-970C-46E6-85AF-0A00F5C4C712}"/>
            </c:ext>
          </c:extLst>
        </c:ser>
        <c:ser>
          <c:idx val="0"/>
          <c:order val="1"/>
          <c:tx>
            <c:strRef>
              <c:f>'1'!$N$3</c:f>
              <c:strCache>
                <c:ptCount val="1"/>
                <c:pt idx="0">
                  <c:v> sólo</c:v>
                </c:pt>
              </c:strCache>
            </c:strRef>
          </c:tx>
          <c:spPr>
            <a:solidFill>
              <a:srgbClr val="C00000"/>
            </a:solidFill>
            <a:ln w="3175">
              <a:solidFill>
                <a:schemeClr val="tx1"/>
              </a:solidFill>
            </a:ln>
            <a:effectLst/>
          </c:spPr>
          <c:invertIfNegative val="0"/>
          <c:cat>
            <c:strRef>
              <c:f>'1'!$M$4:$M$9</c:f>
              <c:strCache>
                <c:ptCount val="6"/>
                <c:pt idx="0">
                  <c:v>≤ 64</c:v>
                </c:pt>
                <c:pt idx="1">
                  <c:v>65–69</c:v>
                </c:pt>
                <c:pt idx="2">
                  <c:v>70–74</c:v>
                </c:pt>
                <c:pt idx="3">
                  <c:v>75–79</c:v>
                </c:pt>
                <c:pt idx="4">
                  <c:v>80–84</c:v>
                </c:pt>
                <c:pt idx="5">
                  <c:v>85+</c:v>
                </c:pt>
              </c:strCache>
            </c:strRef>
          </c:cat>
          <c:val>
            <c:numRef>
              <c:f>'1'!$N$4:$N$9</c:f>
              <c:numCache>
                <c:formatCode>General</c:formatCode>
                <c:ptCount val="6"/>
                <c:pt idx="0">
                  <c:v>165058</c:v>
                </c:pt>
                <c:pt idx="1">
                  <c:v>286231</c:v>
                </c:pt>
                <c:pt idx="2">
                  <c:v>243262</c:v>
                </c:pt>
                <c:pt idx="3">
                  <c:v>146547</c:v>
                </c:pt>
                <c:pt idx="4">
                  <c:v>59918</c:v>
                </c:pt>
                <c:pt idx="5">
                  <c:v>28000</c:v>
                </c:pt>
              </c:numCache>
            </c:numRef>
          </c:val>
          <c:extLst>
            <c:ext xmlns:c16="http://schemas.microsoft.com/office/drawing/2014/chart" uri="{C3380CC4-5D6E-409C-BE32-E72D297353CC}">
              <c16:uniqueId val="{00000001-970C-46E6-85AF-0A00F5C4C712}"/>
            </c:ext>
          </c:extLst>
        </c:ser>
        <c:ser>
          <c:idx val="3"/>
          <c:order val="2"/>
          <c:tx>
            <c:strRef>
              <c:f>'1'!$Q$3</c:f>
              <c:strCache>
                <c:ptCount val="1"/>
                <c:pt idx="0">
                  <c:v> v souběhu</c:v>
                </c:pt>
              </c:strCache>
            </c:strRef>
          </c:tx>
          <c:spPr>
            <a:solidFill>
              <a:schemeClr val="accent5">
                <a:lumMod val="40000"/>
                <a:lumOff val="60000"/>
              </a:schemeClr>
            </a:solidFill>
            <a:ln w="3175">
              <a:solidFill>
                <a:sysClr val="windowText" lastClr="000000"/>
              </a:solidFill>
            </a:ln>
          </c:spPr>
          <c:invertIfNegative val="0"/>
          <c:cat>
            <c:strRef>
              <c:f>'1'!$M$4:$M$9</c:f>
              <c:strCache>
                <c:ptCount val="6"/>
                <c:pt idx="0">
                  <c:v>≤ 64</c:v>
                </c:pt>
                <c:pt idx="1">
                  <c:v>65–69</c:v>
                </c:pt>
                <c:pt idx="2">
                  <c:v>70–74</c:v>
                </c:pt>
                <c:pt idx="3">
                  <c:v>75–79</c:v>
                </c:pt>
                <c:pt idx="4">
                  <c:v>80–84</c:v>
                </c:pt>
                <c:pt idx="5">
                  <c:v>85+</c:v>
                </c:pt>
              </c:strCache>
            </c:strRef>
          </c:cat>
          <c:val>
            <c:numRef>
              <c:f>'1'!$Q$4:$Q$9</c:f>
              <c:numCache>
                <c:formatCode>General</c:formatCode>
                <c:ptCount val="6"/>
                <c:pt idx="0">
                  <c:v>-1526</c:v>
                </c:pt>
                <c:pt idx="1">
                  <c:v>-11185</c:v>
                </c:pt>
                <c:pt idx="2">
                  <c:v>-19413</c:v>
                </c:pt>
                <c:pt idx="3">
                  <c:v>-21541</c:v>
                </c:pt>
                <c:pt idx="4">
                  <c:v>-18045</c:v>
                </c:pt>
                <c:pt idx="5">
                  <c:v>-20115</c:v>
                </c:pt>
              </c:numCache>
            </c:numRef>
          </c:val>
          <c:extLst>
            <c:ext xmlns:c16="http://schemas.microsoft.com/office/drawing/2014/chart" uri="{C3380CC4-5D6E-409C-BE32-E72D297353CC}">
              <c16:uniqueId val="{00000002-970C-46E6-85AF-0A00F5C4C712}"/>
            </c:ext>
          </c:extLst>
        </c:ser>
        <c:ser>
          <c:idx val="1"/>
          <c:order val="3"/>
          <c:tx>
            <c:strRef>
              <c:f>'1'!$O$3</c:f>
              <c:strCache>
                <c:ptCount val="1"/>
                <c:pt idx="0">
                  <c:v> v souběhu</c:v>
                </c:pt>
              </c:strCache>
            </c:strRef>
          </c:tx>
          <c:spPr>
            <a:solidFill>
              <a:schemeClr val="accent2">
                <a:lumMod val="60000"/>
                <a:lumOff val="40000"/>
              </a:schemeClr>
            </a:solidFill>
            <a:ln w="3175">
              <a:solidFill>
                <a:schemeClr val="tx1"/>
              </a:solidFill>
            </a:ln>
            <a:effectLst/>
          </c:spPr>
          <c:invertIfNegative val="0"/>
          <c:cat>
            <c:strRef>
              <c:f>'1'!$M$4:$M$9</c:f>
              <c:strCache>
                <c:ptCount val="6"/>
                <c:pt idx="0">
                  <c:v>≤ 64</c:v>
                </c:pt>
                <c:pt idx="1">
                  <c:v>65–69</c:v>
                </c:pt>
                <c:pt idx="2">
                  <c:v>70–74</c:v>
                </c:pt>
                <c:pt idx="3">
                  <c:v>75–79</c:v>
                </c:pt>
                <c:pt idx="4">
                  <c:v>80–84</c:v>
                </c:pt>
                <c:pt idx="5">
                  <c:v>85+</c:v>
                </c:pt>
              </c:strCache>
            </c:strRef>
          </c:cat>
          <c:val>
            <c:numRef>
              <c:f>'1'!$O$4:$O$9</c:f>
              <c:numCache>
                <c:formatCode>General</c:formatCode>
                <c:ptCount val="6"/>
                <c:pt idx="0">
                  <c:v>13705</c:v>
                </c:pt>
                <c:pt idx="1">
                  <c:v>57505</c:v>
                </c:pt>
                <c:pt idx="2">
                  <c:v>97798</c:v>
                </c:pt>
                <c:pt idx="3">
                  <c:v>115667</c:v>
                </c:pt>
                <c:pt idx="4">
                  <c:v>99622</c:v>
                </c:pt>
                <c:pt idx="5">
                  <c:v>112817</c:v>
                </c:pt>
              </c:numCache>
            </c:numRef>
          </c:val>
          <c:extLst>
            <c:ext xmlns:c16="http://schemas.microsoft.com/office/drawing/2014/chart" uri="{C3380CC4-5D6E-409C-BE32-E72D297353CC}">
              <c16:uniqueId val="{00000003-970C-46E6-85AF-0A00F5C4C712}"/>
            </c:ext>
          </c:extLst>
        </c:ser>
        <c:dLbls>
          <c:showLegendKey val="0"/>
          <c:showVal val="0"/>
          <c:showCatName val="0"/>
          <c:showSerName val="0"/>
          <c:showPercent val="0"/>
          <c:showBubbleSize val="0"/>
        </c:dLbls>
        <c:gapWidth val="21"/>
        <c:overlap val="100"/>
        <c:axId val="1156612735"/>
        <c:axId val="1"/>
      </c:barChart>
      <c:catAx>
        <c:axId val="1156612735"/>
        <c:scaling>
          <c:orientation val="minMax"/>
        </c:scaling>
        <c:delete val="0"/>
        <c:axPos val="l"/>
        <c:title>
          <c:tx>
            <c:rich>
              <a:bodyPr/>
              <a:lstStyle/>
              <a:p>
                <a:pPr>
                  <a:defRPr sz="900"/>
                </a:pPr>
                <a:r>
                  <a:rPr lang="en-US" sz="900" b="0"/>
                  <a:t>věk (v letech)</a:t>
                </a:r>
              </a:p>
            </c:rich>
          </c:tx>
          <c:layout>
            <c:manualLayout>
              <c:xMode val="edge"/>
              <c:yMode val="edge"/>
              <c:x val="3.1958959675495082E-3"/>
              <c:y val="0.27223798876547023"/>
            </c:manualLayout>
          </c:layout>
          <c:overlay val="0"/>
        </c:title>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
        <c:crosses val="autoZero"/>
        <c:auto val="1"/>
        <c:lblAlgn val="ctr"/>
        <c:lblOffset val="100"/>
        <c:noMultiLvlLbl val="0"/>
      </c:catAx>
      <c:valAx>
        <c:axId val="1"/>
        <c:scaling>
          <c:orientation val="minMax"/>
          <c:max val="350000"/>
        </c:scaling>
        <c:delete val="0"/>
        <c:axPos val="b"/>
        <c:majorGridlines>
          <c:spPr>
            <a:ln w="3175" cap="flat" cmpd="sng" algn="ctr">
              <a:solidFill>
                <a:sysClr val="windowText" lastClr="000000"/>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b="0"/>
                  <a:t>tis. osob    </a:t>
                </a:r>
              </a:p>
            </c:rich>
          </c:tx>
          <c:layout>
            <c:manualLayout>
              <c:xMode val="edge"/>
              <c:yMode val="edge"/>
              <c:x val="0.84251825340014319"/>
              <c:y val="0.83732499294765361"/>
            </c:manualLayout>
          </c:layout>
          <c:overlay val="0"/>
          <c:spPr>
            <a:noFill/>
            <a:ln w="25400">
              <a:noFill/>
            </a:ln>
          </c:spPr>
        </c:title>
        <c:numFmt formatCode="0;0" sourceLinked="0"/>
        <c:majorTickMark val="none"/>
        <c:minorTickMark val="none"/>
        <c:tickLblPos val="nextTo"/>
        <c:spPr>
          <a:noFill/>
          <a:ln w="3175">
            <a:solidFill>
              <a:sysClr val="windowText" lastClr="000000"/>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156612735"/>
        <c:crosses val="autoZero"/>
        <c:crossBetween val="between"/>
        <c:majorUnit val="100000"/>
        <c:dispUnits>
          <c:builtInUnit val="thousands"/>
        </c:dispUnits>
      </c:valAx>
      <c:spPr>
        <a:noFill/>
        <a:ln w="3175">
          <a:solidFill>
            <a:sysClr val="windowText" lastClr="000000"/>
          </a:solidFill>
        </a:ln>
        <a:effectLst/>
      </c:spPr>
    </c:plotArea>
    <c:legend>
      <c:legendPos val="b"/>
      <c:layout>
        <c:manualLayout>
          <c:xMode val="edge"/>
          <c:yMode val="edge"/>
          <c:x val="0.32925721784776907"/>
          <c:y val="0.88629345712646723"/>
          <c:w val="0.41142782152230967"/>
          <c:h val="0.10408884631185947"/>
        </c:manualLayout>
      </c:layout>
      <c:overlay val="0"/>
      <c:spPr>
        <a:solidFill>
          <a:sysClr val="window" lastClr="FFFFFF"/>
        </a:solidFill>
        <a:ln w="3175">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2">
    <c:autoUpdate val="0"/>
  </c:externalData>
  <c:userShapes r:id="rId3"/>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65838733362113"/>
          <c:y val="3.8537537880228741E-2"/>
          <c:w val="0.6695370888599026"/>
          <c:h val="0.84742490522018088"/>
        </c:manualLayout>
      </c:layout>
      <c:barChart>
        <c:barDir val="bar"/>
        <c:grouping val="clustered"/>
        <c:varyColors val="0"/>
        <c:ser>
          <c:idx val="0"/>
          <c:order val="0"/>
          <c:tx>
            <c:strRef>
              <c:f>'2'!$B$2</c:f>
              <c:strCache>
                <c:ptCount val="1"/>
                <c:pt idx="0">
                  <c:v> muži</c:v>
                </c:pt>
              </c:strCache>
            </c:strRef>
          </c:tx>
          <c:spPr>
            <a:solidFill>
              <a:srgbClr val="0070C0"/>
            </a:solidFill>
            <a:ln w="3175">
              <a:solidFill>
                <a:sysClr val="windowText" lastClr="000000"/>
              </a:solidFill>
            </a:ln>
            <a:effectLst/>
          </c:spPr>
          <c:invertIfNegative val="0"/>
          <c:cat>
            <c:strRef>
              <c:f>'2'!$M$3:$M$17</c:f>
              <c:strCache>
                <c:ptCount val="15"/>
                <c:pt idx="0">
                  <c:v> ≤ 9 999</c:v>
                </c:pt>
                <c:pt idx="1">
                  <c:v>10 000–10 999</c:v>
                </c:pt>
                <c:pt idx="2">
                  <c:v>11 000–11 999</c:v>
                </c:pt>
                <c:pt idx="3">
                  <c:v>12 000–12 999</c:v>
                </c:pt>
                <c:pt idx="4">
                  <c:v>13 000–13 999</c:v>
                </c:pt>
                <c:pt idx="5">
                  <c:v>14 000–14 999</c:v>
                </c:pt>
                <c:pt idx="6">
                  <c:v>15 000–15 999</c:v>
                </c:pt>
                <c:pt idx="7">
                  <c:v>16 000–16 999</c:v>
                </c:pt>
                <c:pt idx="8">
                  <c:v>17 000–17 999</c:v>
                </c:pt>
                <c:pt idx="9">
                  <c:v>18 000–18 999</c:v>
                </c:pt>
                <c:pt idx="10">
                  <c:v>19 000–19 999</c:v>
                </c:pt>
                <c:pt idx="11">
                  <c:v>20 000–20 999</c:v>
                </c:pt>
                <c:pt idx="12">
                  <c:v>21 000–21 999</c:v>
                </c:pt>
                <c:pt idx="13">
                  <c:v>22 000–22 999</c:v>
                </c:pt>
                <c:pt idx="14">
                  <c:v>23 000+</c:v>
                </c:pt>
              </c:strCache>
            </c:strRef>
          </c:cat>
          <c:val>
            <c:numRef>
              <c:f>'2'!$N$3:$N$17</c:f>
              <c:numCache>
                <c:formatCode>General</c:formatCode>
                <c:ptCount val="15"/>
                <c:pt idx="0" formatCode="#\ ##0_ ;\-#\ ##0\ ">
                  <c:v>23077</c:v>
                </c:pt>
                <c:pt idx="1">
                  <c:v>10156</c:v>
                </c:pt>
                <c:pt idx="2">
                  <c:v>17887</c:v>
                </c:pt>
                <c:pt idx="3">
                  <c:v>31733</c:v>
                </c:pt>
                <c:pt idx="4">
                  <c:v>52987</c:v>
                </c:pt>
                <c:pt idx="5">
                  <c:v>81929</c:v>
                </c:pt>
                <c:pt idx="6">
                  <c:v>109017</c:v>
                </c:pt>
                <c:pt idx="7">
                  <c:v>123420</c:v>
                </c:pt>
                <c:pt idx="8">
                  <c:v>121271</c:v>
                </c:pt>
                <c:pt idx="9">
                  <c:v>102344</c:v>
                </c:pt>
                <c:pt idx="10">
                  <c:v>62118</c:v>
                </c:pt>
                <c:pt idx="11">
                  <c:v>50132</c:v>
                </c:pt>
                <c:pt idx="12">
                  <c:v>20183</c:v>
                </c:pt>
                <c:pt idx="13">
                  <c:v>12507</c:v>
                </c:pt>
                <c:pt idx="14">
                  <c:v>38000</c:v>
                </c:pt>
              </c:numCache>
            </c:numRef>
          </c:val>
          <c:extLst>
            <c:ext xmlns:c16="http://schemas.microsoft.com/office/drawing/2014/chart" uri="{C3380CC4-5D6E-409C-BE32-E72D297353CC}">
              <c16:uniqueId val="{00000000-369F-412A-AC41-8F191CF6D2BD}"/>
            </c:ext>
          </c:extLst>
        </c:ser>
        <c:ser>
          <c:idx val="1"/>
          <c:order val="1"/>
          <c:tx>
            <c:strRef>
              <c:f>'2'!$C$2</c:f>
              <c:strCache>
                <c:ptCount val="1"/>
                <c:pt idx="0">
                  <c:v> ženy</c:v>
                </c:pt>
              </c:strCache>
            </c:strRef>
          </c:tx>
          <c:spPr>
            <a:solidFill>
              <a:srgbClr val="C00000"/>
            </a:solidFill>
            <a:ln w="3175">
              <a:solidFill>
                <a:sysClr val="windowText" lastClr="000000"/>
              </a:solidFill>
            </a:ln>
            <a:effectLst/>
          </c:spPr>
          <c:invertIfNegative val="0"/>
          <c:cat>
            <c:strRef>
              <c:f>'2'!$M$3:$M$17</c:f>
              <c:strCache>
                <c:ptCount val="15"/>
                <c:pt idx="0">
                  <c:v> ≤ 9 999</c:v>
                </c:pt>
                <c:pt idx="1">
                  <c:v>10 000–10 999</c:v>
                </c:pt>
                <c:pt idx="2">
                  <c:v>11 000–11 999</c:v>
                </c:pt>
                <c:pt idx="3">
                  <c:v>12 000–12 999</c:v>
                </c:pt>
                <c:pt idx="4">
                  <c:v>13 000–13 999</c:v>
                </c:pt>
                <c:pt idx="5">
                  <c:v>14 000–14 999</c:v>
                </c:pt>
                <c:pt idx="6">
                  <c:v>15 000–15 999</c:v>
                </c:pt>
                <c:pt idx="7">
                  <c:v>16 000–16 999</c:v>
                </c:pt>
                <c:pt idx="8">
                  <c:v>17 000–17 999</c:v>
                </c:pt>
                <c:pt idx="9">
                  <c:v>18 000–18 999</c:v>
                </c:pt>
                <c:pt idx="10">
                  <c:v>19 000–19 999</c:v>
                </c:pt>
                <c:pt idx="11">
                  <c:v>20 000–20 999</c:v>
                </c:pt>
                <c:pt idx="12">
                  <c:v>21 000–21 999</c:v>
                </c:pt>
                <c:pt idx="13">
                  <c:v>22 000–22 999</c:v>
                </c:pt>
                <c:pt idx="14">
                  <c:v>23 000+</c:v>
                </c:pt>
              </c:strCache>
            </c:strRef>
          </c:cat>
          <c:val>
            <c:numRef>
              <c:f>'2'!$O$3:$O$17</c:f>
              <c:numCache>
                <c:formatCode>General</c:formatCode>
                <c:ptCount val="15"/>
                <c:pt idx="0" formatCode="#\ ##0_ ;\-#\ ##0\ ">
                  <c:v>62482</c:v>
                </c:pt>
                <c:pt idx="1">
                  <c:v>45782</c:v>
                </c:pt>
                <c:pt idx="2">
                  <c:v>84797</c:v>
                </c:pt>
                <c:pt idx="3">
                  <c:v>124252</c:v>
                </c:pt>
                <c:pt idx="4">
                  <c:v>146826</c:v>
                </c:pt>
                <c:pt idx="5">
                  <c:v>140226</c:v>
                </c:pt>
                <c:pt idx="6">
                  <c:v>112246</c:v>
                </c:pt>
                <c:pt idx="7">
                  <c:v>83557</c:v>
                </c:pt>
                <c:pt idx="8">
                  <c:v>55869</c:v>
                </c:pt>
                <c:pt idx="9">
                  <c:v>29674</c:v>
                </c:pt>
                <c:pt idx="10">
                  <c:v>15161</c:v>
                </c:pt>
                <c:pt idx="11">
                  <c:v>8484</c:v>
                </c:pt>
                <c:pt idx="12">
                  <c:v>5102</c:v>
                </c:pt>
                <c:pt idx="13">
                  <c:v>3344</c:v>
                </c:pt>
                <c:pt idx="14">
                  <c:v>9043</c:v>
                </c:pt>
              </c:numCache>
            </c:numRef>
          </c:val>
          <c:extLst>
            <c:ext xmlns:c16="http://schemas.microsoft.com/office/drawing/2014/chart" uri="{C3380CC4-5D6E-409C-BE32-E72D297353CC}">
              <c16:uniqueId val="{00000001-369F-412A-AC41-8F191CF6D2BD}"/>
            </c:ext>
          </c:extLst>
        </c:ser>
        <c:dLbls>
          <c:showLegendKey val="0"/>
          <c:showVal val="0"/>
          <c:showCatName val="0"/>
          <c:showSerName val="0"/>
          <c:showPercent val="0"/>
          <c:showBubbleSize val="0"/>
        </c:dLbls>
        <c:gapWidth val="66"/>
        <c:axId val="541761983"/>
        <c:axId val="550492511"/>
      </c:barChart>
      <c:catAx>
        <c:axId val="541761983"/>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Kč</a:t>
                </a:r>
              </a:p>
            </c:rich>
          </c:tx>
          <c:layout>
            <c:manualLayout>
              <c:xMode val="edge"/>
              <c:yMode val="edge"/>
              <c:x val="7.2102356114998375E-3"/>
              <c:y val="0.4049359316811062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out"/>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50492511"/>
        <c:crosses val="autoZero"/>
        <c:auto val="1"/>
        <c:lblAlgn val="ctr"/>
        <c:lblOffset val="100"/>
        <c:noMultiLvlLbl val="0"/>
      </c:catAx>
      <c:valAx>
        <c:axId val="550492511"/>
        <c:scaling>
          <c:orientation val="minMax"/>
          <c:max val="180000"/>
          <c:min val="0"/>
        </c:scaling>
        <c:delete val="0"/>
        <c:axPos val="b"/>
        <c:majorGridlines>
          <c:spPr>
            <a:ln w="3175" cap="flat" cmpd="sng" algn="ctr">
              <a:solidFill>
                <a:sysClr val="windowText" lastClr="000000"/>
              </a:solidFill>
              <a:prstDash val="solid"/>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baseline="0"/>
                  <a:t>tis. osob</a:t>
                </a:r>
                <a:endParaRPr lang="cs-CZ"/>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w="3175">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41761983"/>
        <c:crosses val="autoZero"/>
        <c:crossBetween val="between"/>
        <c:majorUnit val="20000"/>
        <c:dispUnits>
          <c:builtInUnit val="thousands"/>
        </c:dispUnits>
      </c:valAx>
      <c:spPr>
        <a:noFill/>
        <a:ln w="3175">
          <a:solidFill>
            <a:sysClr val="windowText" lastClr="000000"/>
          </a:solidFill>
        </a:ln>
        <a:effectLst/>
      </c:spPr>
    </c:plotArea>
    <c:legend>
      <c:legendPos val="b"/>
      <c:layout>
        <c:manualLayout>
          <c:xMode val="edge"/>
          <c:yMode val="edge"/>
          <c:x val="0.77695020647910362"/>
          <c:y val="0.74634396364171296"/>
          <c:w val="0.13984376605862764"/>
          <c:h val="0.11577947684075722"/>
        </c:manualLayout>
      </c:layout>
      <c:overlay val="0"/>
      <c:spPr>
        <a:solidFill>
          <a:sysClr val="window" lastClr="FFFFFF"/>
        </a:solidFill>
        <a:ln w="3175">
          <a:solidFill>
            <a:sysClr val="windowText" lastClr="000000"/>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4">
    <c:autoUpdate val="0"/>
  </c:externalData>
  <c:userShapes r:id="rId5"/>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417188638533355E-2"/>
          <c:y val="6.9030436146846563E-2"/>
          <c:w val="0.83328581535321244"/>
          <c:h val="0.56277890742163661"/>
        </c:manualLayout>
      </c:layout>
      <c:barChart>
        <c:barDir val="bar"/>
        <c:grouping val="percentStacked"/>
        <c:varyColors val="0"/>
        <c:ser>
          <c:idx val="0"/>
          <c:order val="0"/>
          <c:tx>
            <c:strRef>
              <c:f>'2'!$O$34</c:f>
              <c:strCache>
                <c:ptCount val="1"/>
                <c:pt idx="0">
                  <c:v> ≤ 9 999</c:v>
                </c:pt>
              </c:strCache>
            </c:strRef>
          </c:tx>
          <c:spPr>
            <a:solidFill>
              <a:srgbClr val="70AD47">
                <a:lumMod val="50000"/>
              </a:srgbClr>
            </a:solidFill>
            <a:ln w="3175">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'2'!$N$35:$N$36</c:f>
              <c:strCache>
                <c:ptCount val="2"/>
                <c:pt idx="0">
                  <c:v>muži</c:v>
                </c:pt>
                <c:pt idx="1">
                  <c:v>ženy</c:v>
                </c:pt>
              </c:strCache>
            </c:strRef>
          </c:cat>
          <c:val>
            <c:numRef>
              <c:f>'2'!$O$35:$O$36</c:f>
              <c:numCache>
                <c:formatCode>#\ ##0_ ;\-#\ ##0\ </c:formatCode>
                <c:ptCount val="2"/>
                <c:pt idx="0">
                  <c:v>2.6935166283245855</c:v>
                </c:pt>
                <c:pt idx="1">
                  <c:v>6.7413645215758837</c:v>
                </c:pt>
              </c:numCache>
            </c:numRef>
          </c:val>
          <c:extLst>
            <c:ext xmlns:c16="http://schemas.microsoft.com/office/drawing/2014/chart" uri="{C3380CC4-5D6E-409C-BE32-E72D297353CC}">
              <c16:uniqueId val="{00000000-92C3-4161-9C47-60983E0DFD36}"/>
            </c:ext>
          </c:extLst>
        </c:ser>
        <c:ser>
          <c:idx val="1"/>
          <c:order val="1"/>
          <c:tx>
            <c:strRef>
              <c:f>'2'!$P$34</c:f>
              <c:strCache>
                <c:ptCount val="1"/>
                <c:pt idx="0">
                  <c:v>10 000–
11 999</c:v>
                </c:pt>
              </c:strCache>
            </c:strRef>
          </c:tx>
          <c:spPr>
            <a:solidFill>
              <a:srgbClr val="70AD47"/>
            </a:solidFill>
            <a:ln w="3175">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'2'!$N$35:$N$36</c:f>
              <c:strCache>
                <c:ptCount val="2"/>
                <c:pt idx="0">
                  <c:v>muži</c:v>
                </c:pt>
                <c:pt idx="1">
                  <c:v>ženy</c:v>
                </c:pt>
              </c:strCache>
            </c:strRef>
          </c:cat>
          <c:val>
            <c:numRef>
              <c:f>'2'!$P$35:$P$36</c:f>
              <c:numCache>
                <c:formatCode>#\ ##0_ ;\-#\ ##0\ </c:formatCode>
                <c:ptCount val="2"/>
                <c:pt idx="0">
                  <c:v>3.2731415178795484</c:v>
                </c:pt>
                <c:pt idx="1">
                  <c:v>14.088547707545491</c:v>
                </c:pt>
              </c:numCache>
            </c:numRef>
          </c:val>
          <c:extLst>
            <c:ext xmlns:c16="http://schemas.microsoft.com/office/drawing/2014/chart" uri="{C3380CC4-5D6E-409C-BE32-E72D297353CC}">
              <c16:uniqueId val="{00000001-92C3-4161-9C47-60983E0DFD36}"/>
            </c:ext>
          </c:extLst>
        </c:ser>
        <c:ser>
          <c:idx val="2"/>
          <c:order val="2"/>
          <c:tx>
            <c:strRef>
              <c:f>'2'!$Q$34</c:f>
              <c:strCache>
                <c:ptCount val="1"/>
                <c:pt idx="0">
                  <c:v>12 000–
13 999</c:v>
                </c:pt>
              </c:strCache>
            </c:strRef>
          </c:tx>
          <c:spPr>
            <a:solidFill>
              <a:srgbClr val="70AD47">
                <a:lumMod val="60000"/>
                <a:lumOff val="40000"/>
              </a:srgbClr>
            </a:solidFill>
            <a:ln w="3175">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'2'!$N$35:$N$36</c:f>
              <c:strCache>
                <c:ptCount val="2"/>
                <c:pt idx="0">
                  <c:v>muži</c:v>
                </c:pt>
                <c:pt idx="1">
                  <c:v>ženy</c:v>
                </c:pt>
              </c:strCache>
            </c:strRef>
          </c:cat>
          <c:val>
            <c:numRef>
              <c:f>'2'!$Q$35:$Q$36</c:f>
              <c:numCache>
                <c:formatCode>#\ ##0_ ;\-#\ ##0\ </c:formatCode>
                <c:ptCount val="2"/>
                <c:pt idx="0">
                  <c:v>9.8884052845542687</c:v>
                </c:pt>
                <c:pt idx="1">
                  <c:v>29.247393037670811</c:v>
                </c:pt>
              </c:numCache>
            </c:numRef>
          </c:val>
          <c:extLst>
            <c:ext xmlns:c16="http://schemas.microsoft.com/office/drawing/2014/chart" uri="{C3380CC4-5D6E-409C-BE32-E72D297353CC}">
              <c16:uniqueId val="{00000002-92C3-4161-9C47-60983E0DFD36}"/>
            </c:ext>
          </c:extLst>
        </c:ser>
        <c:ser>
          <c:idx val="3"/>
          <c:order val="3"/>
          <c:tx>
            <c:strRef>
              <c:f>'2'!$R$34</c:f>
              <c:strCache>
                <c:ptCount val="1"/>
                <c:pt idx="0">
                  <c:v>14 000–
15 999</c:v>
                </c:pt>
              </c:strCache>
            </c:strRef>
          </c:tx>
          <c:spPr>
            <a:solidFill>
              <a:srgbClr val="FFC000">
                <a:lumMod val="40000"/>
                <a:lumOff val="60000"/>
              </a:srgbClr>
            </a:solidFill>
            <a:ln w="3175">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'2'!$N$35:$N$36</c:f>
              <c:strCache>
                <c:ptCount val="2"/>
                <c:pt idx="0">
                  <c:v>muži</c:v>
                </c:pt>
                <c:pt idx="1">
                  <c:v>ženy</c:v>
                </c:pt>
              </c:strCache>
            </c:strRef>
          </c:cat>
          <c:val>
            <c:numRef>
              <c:f>'2'!$R$35:$R$36</c:f>
              <c:numCache>
                <c:formatCode>#\ ##0_ ;\-#\ ##0\ </c:formatCode>
                <c:ptCount val="2"/>
                <c:pt idx="0">
                  <c:v>22.286962174982289</c:v>
                </c:pt>
                <c:pt idx="1">
                  <c:v>27.239937637900617</c:v>
                </c:pt>
              </c:numCache>
            </c:numRef>
          </c:val>
          <c:extLst>
            <c:ext xmlns:c16="http://schemas.microsoft.com/office/drawing/2014/chart" uri="{C3380CC4-5D6E-409C-BE32-E72D297353CC}">
              <c16:uniqueId val="{00000003-92C3-4161-9C47-60983E0DFD36}"/>
            </c:ext>
          </c:extLst>
        </c:ser>
        <c:ser>
          <c:idx val="4"/>
          <c:order val="4"/>
          <c:tx>
            <c:strRef>
              <c:f>'2'!$S$34</c:f>
              <c:strCache>
                <c:ptCount val="1"/>
                <c:pt idx="0">
                  <c:v>16 000–
17 999</c:v>
                </c:pt>
              </c:strCache>
            </c:strRef>
          </c:tx>
          <c:spPr>
            <a:solidFill>
              <a:srgbClr val="FFC000"/>
            </a:solidFill>
            <a:ln w="3175">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'2'!$N$35:$N$36</c:f>
              <c:strCache>
                <c:ptCount val="2"/>
                <c:pt idx="0">
                  <c:v>muži</c:v>
                </c:pt>
                <c:pt idx="1">
                  <c:v>ženy</c:v>
                </c:pt>
              </c:strCache>
            </c:strRef>
          </c:cat>
          <c:val>
            <c:numRef>
              <c:f>'2'!$S$35:$S$36</c:f>
              <c:numCache>
                <c:formatCode>#\ ##0_ ;\-#\ ##0\ </c:formatCode>
                <c:ptCount val="2"/>
                <c:pt idx="0">
                  <c:v>28.560006816370027</c:v>
                </c:pt>
                <c:pt idx="1">
                  <c:v>15.043076242521671</c:v>
                </c:pt>
              </c:numCache>
            </c:numRef>
          </c:val>
          <c:extLst>
            <c:ext xmlns:c16="http://schemas.microsoft.com/office/drawing/2014/chart" uri="{C3380CC4-5D6E-409C-BE32-E72D297353CC}">
              <c16:uniqueId val="{00000004-92C3-4161-9C47-60983E0DFD36}"/>
            </c:ext>
          </c:extLst>
        </c:ser>
        <c:ser>
          <c:idx val="5"/>
          <c:order val="5"/>
          <c:tx>
            <c:strRef>
              <c:f>'2'!$T$34</c:f>
              <c:strCache>
                <c:ptCount val="1"/>
                <c:pt idx="0">
                  <c:v>18 000–
19 999</c:v>
                </c:pt>
              </c:strCache>
            </c:strRef>
          </c:tx>
          <c:spPr>
            <a:solidFill>
              <a:srgbClr val="FFC000">
                <a:lumMod val="75000"/>
              </a:srgbClr>
            </a:solidFill>
            <a:ln w="3175">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'2'!$N$35:$N$36</c:f>
              <c:strCache>
                <c:ptCount val="2"/>
                <c:pt idx="0">
                  <c:v>muži</c:v>
                </c:pt>
                <c:pt idx="1">
                  <c:v>ženy</c:v>
                </c:pt>
              </c:strCache>
            </c:strRef>
          </c:cat>
          <c:val>
            <c:numRef>
              <c:f>'2'!$T$35:$T$36</c:f>
              <c:numCache>
                <c:formatCode>#\ ##0_ ;\-#\ ##0\ </c:formatCode>
                <c:ptCount val="2"/>
                <c:pt idx="0">
                  <c:v>19.195785055575591</c:v>
                </c:pt>
                <c:pt idx="1">
                  <c:v>4.8373784181821122</c:v>
                </c:pt>
              </c:numCache>
            </c:numRef>
          </c:val>
          <c:extLst>
            <c:ext xmlns:c16="http://schemas.microsoft.com/office/drawing/2014/chart" uri="{C3380CC4-5D6E-409C-BE32-E72D297353CC}">
              <c16:uniqueId val="{00000005-92C3-4161-9C47-60983E0DFD36}"/>
            </c:ext>
          </c:extLst>
        </c:ser>
        <c:ser>
          <c:idx val="6"/>
          <c:order val="6"/>
          <c:tx>
            <c:strRef>
              <c:f>'2'!$U$34</c:f>
              <c:strCache>
                <c:ptCount val="1"/>
                <c:pt idx="0">
                  <c:v>20 000+</c:v>
                </c:pt>
              </c:strCache>
            </c:strRef>
          </c:tx>
          <c:spPr>
            <a:solidFill>
              <a:srgbClr val="FFC000">
                <a:lumMod val="50000"/>
              </a:srgbClr>
            </a:solidFill>
            <a:ln w="3175">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'2'!$N$35:$N$36</c:f>
              <c:strCache>
                <c:ptCount val="2"/>
                <c:pt idx="0">
                  <c:v>muži</c:v>
                </c:pt>
                <c:pt idx="1">
                  <c:v>ženy</c:v>
                </c:pt>
              </c:strCache>
            </c:strRef>
          </c:cat>
          <c:val>
            <c:numRef>
              <c:f>'2'!$U$35:$U$36</c:f>
              <c:numCache>
                <c:formatCode>0</c:formatCode>
                <c:ptCount val="2"/>
                <c:pt idx="0">
                  <c:v>14.102182522313692</c:v>
                </c:pt>
                <c:pt idx="1">
                  <c:v>2.8023024346034124</c:v>
                </c:pt>
              </c:numCache>
            </c:numRef>
          </c:val>
          <c:extLst>
            <c:ext xmlns:c16="http://schemas.microsoft.com/office/drawing/2014/chart" uri="{C3380CC4-5D6E-409C-BE32-E72D297353CC}">
              <c16:uniqueId val="{00000006-92C3-4161-9C47-60983E0DFD36}"/>
            </c:ext>
          </c:extLst>
        </c:ser>
        <c:dLbls>
          <c:showLegendKey val="0"/>
          <c:showVal val="0"/>
          <c:showCatName val="0"/>
          <c:showSerName val="0"/>
          <c:showPercent val="0"/>
          <c:showBubbleSize val="0"/>
        </c:dLbls>
        <c:gapWidth val="30"/>
        <c:overlap val="100"/>
        <c:axId val="358620735"/>
        <c:axId val="358611999"/>
      </c:barChart>
      <c:catAx>
        <c:axId val="358620735"/>
        <c:scaling>
          <c:orientation val="minMax"/>
        </c:scaling>
        <c:delete val="0"/>
        <c:axPos val="l"/>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358611999"/>
        <c:crosses val="autoZero"/>
        <c:auto val="1"/>
        <c:lblAlgn val="ctr"/>
        <c:lblOffset val="100"/>
        <c:noMultiLvlLbl val="0"/>
      </c:catAx>
      <c:valAx>
        <c:axId val="35861199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3175">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358620735"/>
        <c:crosses val="autoZero"/>
        <c:crossBetween val="between"/>
        <c:majorUnit val="0.25"/>
      </c:valAx>
      <c:spPr>
        <a:noFill/>
        <a:ln w="3175">
          <a:solidFill>
            <a:sysClr val="windowText" lastClr="000000"/>
          </a:solidFill>
        </a:ln>
        <a:effectLst/>
      </c:spPr>
    </c:plotArea>
    <c:legend>
      <c:legendPos val="b"/>
      <c:layout>
        <c:manualLayout>
          <c:xMode val="edge"/>
          <c:yMode val="edge"/>
          <c:x val="5.7221222291151425E-2"/>
          <c:y val="0.78019612154693407"/>
          <c:w val="0.91429176824566838"/>
          <c:h val="0.17754274638038273"/>
        </c:manualLayout>
      </c:layout>
      <c:overlay val="0"/>
      <c:spPr>
        <a:noFill/>
        <a:ln w="3175">
          <a:solidFill>
            <a:sysClr val="windowText" lastClr="000000"/>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37510936132983"/>
          <c:y val="5.0925925925925923E-2"/>
          <c:w val="0.7597080052493439"/>
          <c:h val="0.68717220215402308"/>
        </c:manualLayout>
      </c:layout>
      <c:barChart>
        <c:barDir val="col"/>
        <c:grouping val="clustered"/>
        <c:varyColors val="0"/>
        <c:ser>
          <c:idx val="0"/>
          <c:order val="0"/>
          <c:tx>
            <c:v> osoby</c:v>
          </c:tx>
          <c:spPr>
            <a:solidFill>
              <a:srgbClr val="0070C0"/>
            </a:solidFill>
            <a:ln w="3175">
              <a:solidFill>
                <a:sysClr val="windowText" lastClr="000000"/>
              </a:solidFill>
            </a:ln>
            <a:effectLst/>
          </c:spPr>
          <c:invertIfNegative val="0"/>
          <c:cat>
            <c:strRef>
              <c:f>Soc_služby!$I$25:$I$28</c:f>
              <c:strCache>
                <c:ptCount val="4"/>
                <c:pt idx="0">
                  <c:v>66–75 let</c:v>
                </c:pt>
                <c:pt idx="1">
                  <c:v>76–85 let</c:v>
                </c:pt>
                <c:pt idx="2">
                  <c:v>86–95 let</c:v>
                </c:pt>
                <c:pt idx="3">
                  <c:v>96 let a více</c:v>
                </c:pt>
              </c:strCache>
            </c:strRef>
          </c:cat>
          <c:val>
            <c:numRef>
              <c:f>Soc_služby!$L$25:$L$28</c:f>
              <c:numCache>
                <c:formatCode>#,##0</c:formatCode>
                <c:ptCount val="4"/>
                <c:pt idx="0">
                  <c:v>11388</c:v>
                </c:pt>
                <c:pt idx="1">
                  <c:v>20262</c:v>
                </c:pt>
                <c:pt idx="2">
                  <c:v>20946</c:v>
                </c:pt>
                <c:pt idx="3">
                  <c:v>2084</c:v>
                </c:pt>
              </c:numCache>
            </c:numRef>
          </c:val>
          <c:extLst>
            <c:ext xmlns:c16="http://schemas.microsoft.com/office/drawing/2014/chart" uri="{C3380CC4-5D6E-409C-BE32-E72D297353CC}">
              <c16:uniqueId val="{00000000-4D38-4FF1-B03D-FF66CABA3A28}"/>
            </c:ext>
          </c:extLst>
        </c:ser>
        <c:dLbls>
          <c:showLegendKey val="0"/>
          <c:showVal val="0"/>
          <c:showCatName val="0"/>
          <c:showSerName val="0"/>
          <c:showPercent val="0"/>
          <c:showBubbleSize val="0"/>
        </c:dLbls>
        <c:gapWidth val="80"/>
        <c:axId val="519870671"/>
        <c:axId val="519874831"/>
      </c:barChart>
      <c:lineChart>
        <c:grouping val="standard"/>
        <c:varyColors val="0"/>
        <c:ser>
          <c:idx val="1"/>
          <c:order val="1"/>
          <c:tx>
            <c:v> % z osob daného věku</c:v>
          </c:tx>
          <c:spPr>
            <a:ln w="28575" cap="rnd">
              <a:solidFill>
                <a:sysClr val="windowText" lastClr="000000"/>
              </a:solidFill>
              <a:prstDash val="sysDash"/>
              <a:round/>
            </a:ln>
            <a:effectLst/>
          </c:spPr>
          <c:marker>
            <c:symbol val="circle"/>
            <c:size val="5"/>
            <c:spPr>
              <a:solidFill>
                <a:schemeClr val="tx1"/>
              </a:solidFill>
              <a:ln w="9525">
                <a:solidFill>
                  <a:sysClr val="windowText" lastClr="000000"/>
                </a:solidFill>
                <a:prstDash val="sysDash"/>
              </a:ln>
              <a:effectLst/>
            </c:spPr>
          </c:marker>
          <c:cat>
            <c:strRef>
              <c:f>Soc_služby!$I$25:$I$28</c:f>
              <c:strCache>
                <c:ptCount val="4"/>
                <c:pt idx="0">
                  <c:v>66–75 let</c:v>
                </c:pt>
                <c:pt idx="1">
                  <c:v>76–85 let</c:v>
                </c:pt>
                <c:pt idx="2">
                  <c:v>86–95 let</c:v>
                </c:pt>
                <c:pt idx="3">
                  <c:v>96 let a více</c:v>
                </c:pt>
              </c:strCache>
            </c:strRef>
          </c:cat>
          <c:val>
            <c:numRef>
              <c:f>Soc_služby!$M$25:$M$28</c:f>
              <c:numCache>
                <c:formatCode>General</c:formatCode>
                <c:ptCount val="4"/>
                <c:pt idx="0">
                  <c:v>0.90724553626910809</c:v>
                </c:pt>
                <c:pt idx="1">
                  <c:v>3.2879886668083858</c:v>
                </c:pt>
                <c:pt idx="2">
                  <c:v>13.263005926751431</c:v>
                </c:pt>
                <c:pt idx="3">
                  <c:v>30.29950567025298</c:v>
                </c:pt>
              </c:numCache>
            </c:numRef>
          </c:val>
          <c:smooth val="0"/>
          <c:extLst>
            <c:ext xmlns:c16="http://schemas.microsoft.com/office/drawing/2014/chart" uri="{C3380CC4-5D6E-409C-BE32-E72D297353CC}">
              <c16:uniqueId val="{00000001-4D38-4FF1-B03D-FF66CABA3A28}"/>
            </c:ext>
          </c:extLst>
        </c:ser>
        <c:dLbls>
          <c:showLegendKey val="0"/>
          <c:showVal val="0"/>
          <c:showCatName val="0"/>
          <c:showSerName val="0"/>
          <c:showPercent val="0"/>
          <c:showBubbleSize val="0"/>
        </c:dLbls>
        <c:marker val="1"/>
        <c:smooth val="0"/>
        <c:axId val="784096975"/>
        <c:axId val="784104047"/>
      </c:lineChart>
      <c:catAx>
        <c:axId val="519870671"/>
        <c:scaling>
          <c:orientation val="minMax"/>
        </c:scaling>
        <c:delete val="0"/>
        <c:axPos val="b"/>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19874831"/>
        <c:crosses val="autoZero"/>
        <c:auto val="1"/>
        <c:lblAlgn val="ctr"/>
        <c:lblOffset val="100"/>
        <c:noMultiLvlLbl val="0"/>
      </c:catAx>
      <c:valAx>
        <c:axId val="519874831"/>
        <c:scaling>
          <c:orientation val="minMax"/>
          <c:max val="25000"/>
          <c:min val="0"/>
        </c:scaling>
        <c:delete val="0"/>
        <c:axPos val="l"/>
        <c:majorGridlines>
          <c:spPr>
            <a:ln w="3175" cap="flat" cmpd="sng" algn="ctr">
              <a:solidFill>
                <a:sysClr val="windowText" lastClr="000000"/>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tis.</a:t>
                </a:r>
                <a:r>
                  <a:rPr lang="cs-CZ"/>
                  <a:t> osob</a:t>
                </a:r>
                <a:endParaRPr lang="en-US"/>
              </a:p>
            </c:rich>
          </c:tx>
          <c:layout>
            <c:manualLayout>
              <c:xMode val="edge"/>
              <c:yMode val="edge"/>
              <c:x val="4.9664333145380303E-3"/>
              <c:y val="0.3409360523181549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19870671"/>
        <c:crosses val="autoZero"/>
        <c:crossBetween val="between"/>
        <c:dispUnits>
          <c:builtInUnit val="thousands"/>
        </c:dispUnits>
      </c:valAx>
      <c:valAx>
        <c:axId val="784104047"/>
        <c:scaling>
          <c:orientation val="minMax"/>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a:t>
                </a:r>
              </a:p>
            </c:rich>
          </c:tx>
          <c:layout>
            <c:manualLayout>
              <c:xMode val="edge"/>
              <c:yMode val="edge"/>
              <c:x val="0.95856047594887839"/>
              <c:y val="0.3720848188270012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784096975"/>
        <c:crosses val="max"/>
        <c:crossBetween val="between"/>
      </c:valAx>
      <c:catAx>
        <c:axId val="784096975"/>
        <c:scaling>
          <c:orientation val="minMax"/>
        </c:scaling>
        <c:delete val="1"/>
        <c:axPos val="b"/>
        <c:numFmt formatCode="General" sourceLinked="1"/>
        <c:majorTickMark val="out"/>
        <c:minorTickMark val="none"/>
        <c:tickLblPos val="nextTo"/>
        <c:crossAx val="784104047"/>
        <c:crosses val="autoZero"/>
        <c:auto val="1"/>
        <c:lblAlgn val="ctr"/>
        <c:lblOffset val="100"/>
        <c:noMultiLvlLbl val="0"/>
      </c:catAx>
      <c:spPr>
        <a:noFill/>
        <a:ln w="3175">
          <a:solidFill>
            <a:sysClr val="windowText" lastClr="000000"/>
          </a:solidFill>
        </a:ln>
        <a:effectLst/>
      </c:spPr>
    </c:plotArea>
    <c:legend>
      <c:legendPos val="b"/>
      <c:layout>
        <c:manualLayout>
          <c:xMode val="edge"/>
          <c:yMode val="edge"/>
          <c:x val="0.24851027996500438"/>
          <c:y val="0.87060403907844852"/>
          <c:w val="0.57520144356955383"/>
          <c:h val="7.3840405365995912E-2"/>
        </c:manualLayout>
      </c:layout>
      <c:overlay val="0"/>
      <c:spPr>
        <a:noFill/>
        <a:ln w="3175">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380365931609421E-2"/>
          <c:y val="8.4576460737199252E-2"/>
          <c:w val="0.46660671004104753"/>
          <c:h val="0.75262413394371042"/>
        </c:manualLayout>
      </c:layout>
      <c:doughnutChart>
        <c:varyColors val="1"/>
        <c:ser>
          <c:idx val="0"/>
          <c:order val="0"/>
          <c:tx>
            <c:strRef>
              <c:f>'3'!$B$5</c:f>
              <c:strCache>
                <c:ptCount val="1"/>
                <c:pt idx="0">
                  <c:v>Domovy pro seniory</c:v>
                </c:pt>
              </c:strCache>
            </c:strRef>
          </c:tx>
          <c:spPr>
            <a:ln w="3175">
              <a:solidFill>
                <a:sysClr val="windowText" lastClr="000000"/>
              </a:solidFill>
            </a:ln>
          </c:spPr>
          <c:dPt>
            <c:idx val="0"/>
            <c:bubble3D val="0"/>
            <c:spPr>
              <a:solidFill>
                <a:srgbClr val="C00000"/>
              </a:solidFill>
              <a:ln w="3175">
                <a:solidFill>
                  <a:sysClr val="windowText" lastClr="000000"/>
                </a:solidFill>
              </a:ln>
              <a:effectLst/>
            </c:spPr>
            <c:extLst>
              <c:ext xmlns:c16="http://schemas.microsoft.com/office/drawing/2014/chart" uri="{C3380CC4-5D6E-409C-BE32-E72D297353CC}">
                <c16:uniqueId val="{00000001-F8C8-4FB6-8549-4064F5594ED9}"/>
              </c:ext>
            </c:extLst>
          </c:dPt>
          <c:dPt>
            <c:idx val="1"/>
            <c:bubble3D val="0"/>
            <c:spPr>
              <a:solidFill>
                <a:srgbClr val="0070C0"/>
              </a:solidFill>
              <a:ln w="3175">
                <a:solidFill>
                  <a:sysClr val="windowText" lastClr="000000"/>
                </a:solidFill>
              </a:ln>
              <a:effectLst/>
            </c:spPr>
            <c:extLst>
              <c:ext xmlns:c16="http://schemas.microsoft.com/office/drawing/2014/chart" uri="{C3380CC4-5D6E-409C-BE32-E72D297353CC}">
                <c16:uniqueId val="{00000003-F8C8-4FB6-8549-4064F5594ED9}"/>
              </c:ext>
            </c:extLst>
          </c:dPt>
          <c:dPt>
            <c:idx val="2"/>
            <c:bubble3D val="0"/>
            <c:spPr>
              <a:solidFill>
                <a:schemeClr val="accent4"/>
              </a:solidFill>
              <a:ln w="3175">
                <a:solidFill>
                  <a:sysClr val="windowText" lastClr="000000"/>
                </a:solidFill>
              </a:ln>
              <a:effectLst/>
            </c:spPr>
            <c:extLst>
              <c:ext xmlns:c16="http://schemas.microsoft.com/office/drawing/2014/chart" uri="{C3380CC4-5D6E-409C-BE32-E72D297353CC}">
                <c16:uniqueId val="{00000005-F8C8-4FB6-8549-4064F5594ED9}"/>
              </c:ext>
            </c:extLst>
          </c:dPt>
          <c:dPt>
            <c:idx val="3"/>
            <c:bubble3D val="0"/>
            <c:spPr>
              <a:solidFill>
                <a:schemeClr val="accent6"/>
              </a:solidFill>
              <a:ln w="3175">
                <a:solidFill>
                  <a:sysClr val="windowText" lastClr="000000"/>
                </a:solidFill>
              </a:ln>
              <a:effectLst/>
            </c:spPr>
            <c:extLst>
              <c:ext xmlns:c16="http://schemas.microsoft.com/office/drawing/2014/chart" uri="{C3380CC4-5D6E-409C-BE32-E72D297353CC}">
                <c16:uniqueId val="{00000007-F8C8-4FB6-8549-4064F5594ED9}"/>
              </c:ext>
            </c:extLst>
          </c:dPt>
          <c:dPt>
            <c:idx val="4"/>
            <c:bubble3D val="0"/>
            <c:spPr>
              <a:solidFill>
                <a:srgbClr val="7030A0"/>
              </a:solidFill>
              <a:ln w="3175">
                <a:solidFill>
                  <a:sysClr val="windowText" lastClr="000000"/>
                </a:solidFill>
              </a:ln>
              <a:effectLst/>
            </c:spPr>
            <c:extLst>
              <c:ext xmlns:c16="http://schemas.microsoft.com/office/drawing/2014/chart" uri="{C3380CC4-5D6E-409C-BE32-E72D297353CC}">
                <c16:uniqueId val="{00000009-F8C8-4FB6-8549-4064F5594ED9}"/>
              </c:ext>
            </c:extLst>
          </c:dPt>
          <c:dLbls>
            <c:dLbl>
              <c:idx val="2"/>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0"/>
              <c:showCatName val="0"/>
              <c:showSerName val="0"/>
              <c:showPercent val="1"/>
              <c:showBubbleSize val="0"/>
              <c:extLst>
                <c:ext xmlns:c16="http://schemas.microsoft.com/office/drawing/2014/chart" uri="{C3380CC4-5D6E-409C-BE32-E72D297353CC}">
                  <c16:uniqueId val="{00000005-F8C8-4FB6-8549-4064F5594ED9}"/>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'3'!$J$4:$N$4</c:f>
              <c:strCache>
                <c:ptCount val="5"/>
                <c:pt idx="0">
                  <c:v> do 65</c:v>
                </c:pt>
                <c:pt idx="1">
                  <c:v> 66–75</c:v>
                </c:pt>
                <c:pt idx="2">
                  <c:v> 76–85</c:v>
                </c:pt>
                <c:pt idx="3">
                  <c:v> 86–95</c:v>
                </c:pt>
                <c:pt idx="4">
                  <c:v> 96 a více</c:v>
                </c:pt>
              </c:strCache>
            </c:strRef>
          </c:cat>
          <c:val>
            <c:numRef>
              <c:f>'3'!$J$5:$N$5</c:f>
              <c:numCache>
                <c:formatCode>#,##0</c:formatCode>
                <c:ptCount val="5"/>
                <c:pt idx="0">
                  <c:v>1037</c:v>
                </c:pt>
                <c:pt idx="1">
                  <c:v>5318</c:v>
                </c:pt>
                <c:pt idx="2">
                  <c:v>11811</c:v>
                </c:pt>
                <c:pt idx="3">
                  <c:v>14046</c:v>
                </c:pt>
                <c:pt idx="4">
                  <c:v>1538</c:v>
                </c:pt>
              </c:numCache>
            </c:numRef>
          </c:val>
          <c:extLst>
            <c:ext xmlns:c16="http://schemas.microsoft.com/office/drawing/2014/chart" uri="{C3380CC4-5D6E-409C-BE32-E72D297353CC}">
              <c16:uniqueId val="{0000000A-F8C8-4FB6-8549-4064F5594ED9}"/>
            </c:ext>
          </c:extLst>
        </c:ser>
        <c:dLbls>
          <c:showLegendKey val="0"/>
          <c:showVal val="0"/>
          <c:showCatName val="0"/>
          <c:showSerName val="0"/>
          <c:showPercent val="0"/>
          <c:showBubbleSize val="0"/>
          <c:showLeaderLines val="1"/>
        </c:dLbls>
        <c:firstSliceAng val="0"/>
        <c:holeSize val="46"/>
      </c:doughnutChart>
    </c:plotArea>
    <c:legend>
      <c:legendPos val="b"/>
      <c:layout>
        <c:manualLayout>
          <c:xMode val="edge"/>
          <c:yMode val="edge"/>
          <c:x val="0.19837039208047247"/>
          <c:y val="0.91423615335243458"/>
          <c:w val="0.63323119518118243"/>
          <c:h val="7.2828892963721997E-2"/>
        </c:manualLayout>
      </c:layout>
      <c:overlay val="0"/>
      <c:spPr>
        <a:noFill/>
        <a:ln w="3175">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no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2">
    <c:autoUpdate val="0"/>
  </c:externalData>
  <c:userShapes r:id="rId3"/>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45066907620153"/>
          <c:y val="7.4082412702214509E-2"/>
          <c:w val="0.8412658663568694"/>
          <c:h val="0.8018315288713912"/>
        </c:manualLayout>
      </c:layout>
      <c:doughnutChart>
        <c:varyColors val="1"/>
        <c:ser>
          <c:idx val="0"/>
          <c:order val="0"/>
          <c:tx>
            <c:strRef>
              <c:f>'3'!$B$6</c:f>
              <c:strCache>
                <c:ptCount val="1"/>
                <c:pt idx="0">
                  <c:v>Domovy se zvláštním režimem</c:v>
                </c:pt>
              </c:strCache>
            </c:strRef>
          </c:tx>
          <c:spPr>
            <a:ln w="3175">
              <a:solidFill>
                <a:sysClr val="windowText" lastClr="000000"/>
              </a:solidFill>
            </a:ln>
          </c:spPr>
          <c:dPt>
            <c:idx val="0"/>
            <c:bubble3D val="0"/>
            <c:spPr>
              <a:solidFill>
                <a:srgbClr val="C00000"/>
              </a:solidFill>
              <a:ln w="3175">
                <a:solidFill>
                  <a:sysClr val="windowText" lastClr="000000"/>
                </a:solidFill>
              </a:ln>
              <a:effectLst/>
            </c:spPr>
            <c:extLst>
              <c:ext xmlns:c16="http://schemas.microsoft.com/office/drawing/2014/chart" uri="{C3380CC4-5D6E-409C-BE32-E72D297353CC}">
                <c16:uniqueId val="{00000001-AF66-4BB3-AB9B-FFF0820E6C43}"/>
              </c:ext>
            </c:extLst>
          </c:dPt>
          <c:dPt>
            <c:idx val="1"/>
            <c:bubble3D val="0"/>
            <c:spPr>
              <a:solidFill>
                <a:srgbClr val="0070C0"/>
              </a:solidFill>
              <a:ln w="3175">
                <a:solidFill>
                  <a:sysClr val="windowText" lastClr="000000"/>
                </a:solidFill>
              </a:ln>
              <a:effectLst/>
            </c:spPr>
            <c:extLst>
              <c:ext xmlns:c16="http://schemas.microsoft.com/office/drawing/2014/chart" uri="{C3380CC4-5D6E-409C-BE32-E72D297353CC}">
                <c16:uniqueId val="{00000003-AF66-4BB3-AB9B-FFF0820E6C43}"/>
              </c:ext>
            </c:extLst>
          </c:dPt>
          <c:dPt>
            <c:idx val="2"/>
            <c:bubble3D val="0"/>
            <c:spPr>
              <a:solidFill>
                <a:schemeClr val="accent4"/>
              </a:solidFill>
              <a:ln w="3175">
                <a:solidFill>
                  <a:sysClr val="windowText" lastClr="000000"/>
                </a:solidFill>
              </a:ln>
              <a:effectLst/>
            </c:spPr>
            <c:extLst>
              <c:ext xmlns:c16="http://schemas.microsoft.com/office/drawing/2014/chart" uri="{C3380CC4-5D6E-409C-BE32-E72D297353CC}">
                <c16:uniqueId val="{00000005-AF66-4BB3-AB9B-FFF0820E6C43}"/>
              </c:ext>
            </c:extLst>
          </c:dPt>
          <c:dPt>
            <c:idx val="3"/>
            <c:bubble3D val="0"/>
            <c:spPr>
              <a:solidFill>
                <a:schemeClr val="accent6"/>
              </a:solidFill>
              <a:ln w="3175">
                <a:solidFill>
                  <a:sysClr val="windowText" lastClr="000000"/>
                </a:solidFill>
              </a:ln>
              <a:effectLst/>
            </c:spPr>
            <c:extLst>
              <c:ext xmlns:c16="http://schemas.microsoft.com/office/drawing/2014/chart" uri="{C3380CC4-5D6E-409C-BE32-E72D297353CC}">
                <c16:uniqueId val="{00000007-AF66-4BB3-AB9B-FFF0820E6C43}"/>
              </c:ext>
            </c:extLst>
          </c:dPt>
          <c:dPt>
            <c:idx val="4"/>
            <c:bubble3D val="0"/>
            <c:spPr>
              <a:solidFill>
                <a:srgbClr val="7030A0"/>
              </a:solidFill>
              <a:ln w="3175">
                <a:solidFill>
                  <a:sysClr val="windowText" lastClr="000000"/>
                </a:solidFill>
              </a:ln>
              <a:effectLst/>
            </c:spPr>
            <c:extLst>
              <c:ext xmlns:c16="http://schemas.microsoft.com/office/drawing/2014/chart" uri="{C3380CC4-5D6E-409C-BE32-E72D297353CC}">
                <c16:uniqueId val="{00000009-AF66-4BB3-AB9B-FFF0820E6C43}"/>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0"/>
              <c:showCatName val="0"/>
              <c:showSerName val="0"/>
              <c:showPercent val="1"/>
              <c:showBubbleSize val="0"/>
              <c:extLst>
                <c:ext xmlns:c16="http://schemas.microsoft.com/office/drawing/2014/chart" uri="{C3380CC4-5D6E-409C-BE32-E72D297353CC}">
                  <c16:uniqueId val="{00000005-AF66-4BB3-AB9B-FFF0820E6C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'3'!$C$4:$G$4</c:f>
              <c:strCache>
                <c:ptCount val="5"/>
                <c:pt idx="0">
                  <c:v>do 65</c:v>
                </c:pt>
                <c:pt idx="1">
                  <c:v>66–75</c:v>
                </c:pt>
                <c:pt idx="2">
                  <c:v>76–85</c:v>
                </c:pt>
                <c:pt idx="3">
                  <c:v>86–95</c:v>
                </c:pt>
                <c:pt idx="4">
                  <c:v>96 a více</c:v>
                </c:pt>
              </c:strCache>
            </c:strRef>
          </c:cat>
          <c:val>
            <c:numRef>
              <c:f>'3'!$J$6:$N$6</c:f>
              <c:numCache>
                <c:formatCode>#,##0</c:formatCode>
                <c:ptCount val="5"/>
                <c:pt idx="0">
                  <c:v>2527</c:v>
                </c:pt>
                <c:pt idx="1">
                  <c:v>3999</c:v>
                </c:pt>
                <c:pt idx="2">
                  <c:v>7649</c:v>
                </c:pt>
                <c:pt idx="3">
                  <c:v>6415</c:v>
                </c:pt>
                <c:pt idx="4">
                  <c:v>496</c:v>
                </c:pt>
              </c:numCache>
            </c:numRef>
          </c:val>
          <c:extLst>
            <c:ext xmlns:c16="http://schemas.microsoft.com/office/drawing/2014/chart" uri="{C3380CC4-5D6E-409C-BE32-E72D297353CC}">
              <c16:uniqueId val="{0000000A-AF66-4BB3-AB9B-FFF0820E6C43}"/>
            </c:ext>
          </c:extLst>
        </c:ser>
        <c:dLbls>
          <c:showLegendKey val="0"/>
          <c:showVal val="0"/>
          <c:showCatName val="0"/>
          <c:showSerName val="0"/>
          <c:showPercent val="0"/>
          <c:showBubbleSize val="0"/>
          <c:showLeaderLines val="1"/>
        </c:dLbls>
        <c:firstSliceAng val="0"/>
        <c:holeSize val="49"/>
      </c:doughnutChart>
    </c:plotArea>
    <c:plotVisOnly val="1"/>
    <c:dispBlanksAs val="gap"/>
    <c:showDLblsOverMax val="0"/>
  </c:chart>
  <c:spPr>
    <a:noFill/>
    <a:ln w="9525" cap="flat" cmpd="sng" algn="ctr">
      <a:noFill/>
      <a:round/>
    </a:ln>
    <a:effectLst/>
  </c:spPr>
  <c:txPr>
    <a:bodyPr/>
    <a:lstStyle/>
    <a:p>
      <a:pPr>
        <a:defRPr/>
      </a:pPr>
      <a:endParaRPr lang="cs-CZ"/>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69097222222222"/>
          <c:y val="5.5698447138452067E-2"/>
          <c:w val="0.82967314814814808"/>
          <c:h val="0.70652198962934509"/>
        </c:manualLayout>
      </c:layout>
      <c:barChart>
        <c:barDir val="bar"/>
        <c:grouping val="stacked"/>
        <c:varyColors val="0"/>
        <c:ser>
          <c:idx val="0"/>
          <c:order val="0"/>
          <c:tx>
            <c:strRef>
              <c:f>'rod.stav_graf 3'!$C$3</c:f>
              <c:strCache>
                <c:ptCount val="1"/>
                <c:pt idx="0">
                  <c:v>svobodní/é</c:v>
                </c:pt>
              </c:strCache>
            </c:strRef>
          </c:tx>
          <c:spPr>
            <a:solidFill>
              <a:srgbClr val="BD1B21"/>
            </a:solidFill>
            <a:ln w="3175">
              <a:solidFill>
                <a:srgbClr val="000000"/>
              </a:solidFill>
              <a:prstDash val="solid"/>
            </a:ln>
          </c:spPr>
          <c:invertIfNegative val="0"/>
          <c:cat>
            <c:strRef>
              <c:f>'rod.stav_graf 3'!$B$4:$B$39</c:f>
              <c:strCache>
                <c:ptCount val="36"/>
                <c:pt idx="0">
                  <c:v>65</c:v>
                </c:pt>
                <c:pt idx="1">
                  <c:v>66</c:v>
                </c:pt>
                <c:pt idx="2">
                  <c:v>67</c:v>
                </c:pt>
                <c:pt idx="3">
                  <c:v>68</c:v>
                </c:pt>
                <c:pt idx="4">
                  <c:v>69</c:v>
                </c:pt>
                <c:pt idx="5">
                  <c:v>70</c:v>
                </c:pt>
                <c:pt idx="6">
                  <c:v>71</c:v>
                </c:pt>
                <c:pt idx="7">
                  <c:v>72</c:v>
                </c:pt>
                <c:pt idx="8">
                  <c:v>73</c:v>
                </c:pt>
                <c:pt idx="9">
                  <c:v>74</c:v>
                </c:pt>
                <c:pt idx="10">
                  <c:v>75</c:v>
                </c:pt>
                <c:pt idx="11">
                  <c:v>76</c:v>
                </c:pt>
                <c:pt idx="12">
                  <c:v>77</c:v>
                </c:pt>
                <c:pt idx="13">
                  <c:v>78</c:v>
                </c:pt>
                <c:pt idx="14">
                  <c:v>79</c:v>
                </c:pt>
                <c:pt idx="15">
                  <c:v>80</c:v>
                </c:pt>
                <c:pt idx="16">
                  <c:v>81</c:v>
                </c:pt>
                <c:pt idx="17">
                  <c:v>82</c:v>
                </c:pt>
                <c:pt idx="18">
                  <c:v>83</c:v>
                </c:pt>
                <c:pt idx="19">
                  <c:v>84</c:v>
                </c:pt>
                <c:pt idx="20">
                  <c:v>85</c:v>
                </c:pt>
                <c:pt idx="21">
                  <c:v>86</c:v>
                </c:pt>
                <c:pt idx="22">
                  <c:v>87</c:v>
                </c:pt>
                <c:pt idx="23">
                  <c:v>88</c:v>
                </c:pt>
                <c:pt idx="24">
                  <c:v>89</c:v>
                </c:pt>
                <c:pt idx="25">
                  <c:v>90</c:v>
                </c:pt>
                <c:pt idx="26">
                  <c:v>91</c:v>
                </c:pt>
                <c:pt idx="27">
                  <c:v>92</c:v>
                </c:pt>
                <c:pt idx="28">
                  <c:v>93</c:v>
                </c:pt>
                <c:pt idx="29">
                  <c:v>94</c:v>
                </c:pt>
                <c:pt idx="30">
                  <c:v>95</c:v>
                </c:pt>
                <c:pt idx="31">
                  <c:v>96</c:v>
                </c:pt>
                <c:pt idx="32">
                  <c:v>97</c:v>
                </c:pt>
                <c:pt idx="33">
                  <c:v>98</c:v>
                </c:pt>
                <c:pt idx="34">
                  <c:v>99</c:v>
                </c:pt>
                <c:pt idx="35">
                  <c:v>100</c:v>
                </c:pt>
              </c:strCache>
            </c:strRef>
          </c:cat>
          <c:val>
            <c:numRef>
              <c:f>'rod.stav_graf 3'!$C$4:$C$39</c:f>
              <c:numCache>
                <c:formatCode>General</c:formatCode>
                <c:ptCount val="36"/>
                <c:pt idx="0">
                  <c:v>-4822</c:v>
                </c:pt>
                <c:pt idx="1">
                  <c:v>-4502</c:v>
                </c:pt>
                <c:pt idx="2">
                  <c:v>-4042</c:v>
                </c:pt>
                <c:pt idx="3">
                  <c:v>-3703</c:v>
                </c:pt>
                <c:pt idx="4">
                  <c:v>-3471</c:v>
                </c:pt>
                <c:pt idx="5">
                  <c:v>-3043</c:v>
                </c:pt>
                <c:pt idx="6">
                  <c:v>-2642</c:v>
                </c:pt>
                <c:pt idx="7">
                  <c:v>-2360</c:v>
                </c:pt>
                <c:pt idx="8">
                  <c:v>-2212</c:v>
                </c:pt>
                <c:pt idx="9">
                  <c:v>-1943</c:v>
                </c:pt>
                <c:pt idx="10">
                  <c:v>-1612</c:v>
                </c:pt>
                <c:pt idx="11">
                  <c:v>-1139</c:v>
                </c:pt>
                <c:pt idx="12">
                  <c:v>-1029</c:v>
                </c:pt>
                <c:pt idx="13">
                  <c:v>-904</c:v>
                </c:pt>
                <c:pt idx="14">
                  <c:v>-697</c:v>
                </c:pt>
                <c:pt idx="15">
                  <c:v>-611</c:v>
                </c:pt>
                <c:pt idx="16">
                  <c:v>-493</c:v>
                </c:pt>
                <c:pt idx="17">
                  <c:v>-366</c:v>
                </c:pt>
                <c:pt idx="18">
                  <c:v>-335</c:v>
                </c:pt>
                <c:pt idx="19">
                  <c:v>-219</c:v>
                </c:pt>
                <c:pt idx="20">
                  <c:v>-216</c:v>
                </c:pt>
                <c:pt idx="21">
                  <c:v>-177</c:v>
                </c:pt>
                <c:pt idx="22">
                  <c:v>-121</c:v>
                </c:pt>
                <c:pt idx="23">
                  <c:v>-122</c:v>
                </c:pt>
                <c:pt idx="24">
                  <c:v>-111</c:v>
                </c:pt>
                <c:pt idx="25">
                  <c:v>-71</c:v>
                </c:pt>
                <c:pt idx="26">
                  <c:v>-65</c:v>
                </c:pt>
                <c:pt idx="27">
                  <c:v>-40</c:v>
                </c:pt>
                <c:pt idx="28">
                  <c:v>-38</c:v>
                </c:pt>
                <c:pt idx="29">
                  <c:v>-20</c:v>
                </c:pt>
                <c:pt idx="30">
                  <c:v>-14</c:v>
                </c:pt>
                <c:pt idx="31">
                  <c:v>-6</c:v>
                </c:pt>
                <c:pt idx="32">
                  <c:v>-4</c:v>
                </c:pt>
                <c:pt idx="33">
                  <c:v>-3</c:v>
                </c:pt>
                <c:pt idx="34">
                  <c:v>-3</c:v>
                </c:pt>
                <c:pt idx="35">
                  <c:v>-4</c:v>
                </c:pt>
              </c:numCache>
            </c:numRef>
          </c:val>
          <c:extLst>
            <c:ext xmlns:c16="http://schemas.microsoft.com/office/drawing/2014/chart" uri="{C3380CC4-5D6E-409C-BE32-E72D297353CC}">
              <c16:uniqueId val="{00000000-40E2-4D44-B295-9354555D92FC}"/>
            </c:ext>
          </c:extLst>
        </c:ser>
        <c:ser>
          <c:idx val="1"/>
          <c:order val="1"/>
          <c:tx>
            <c:strRef>
              <c:f>'rod.stav_graf 3'!$D$3</c:f>
              <c:strCache>
                <c:ptCount val="1"/>
                <c:pt idx="0">
                  <c:v>ženatí/vdané</c:v>
                </c:pt>
              </c:strCache>
            </c:strRef>
          </c:tx>
          <c:spPr>
            <a:solidFill>
              <a:srgbClr val="0071BC"/>
            </a:solidFill>
            <a:ln w="3175">
              <a:solidFill>
                <a:srgbClr val="000000"/>
              </a:solidFill>
              <a:prstDash val="solid"/>
            </a:ln>
          </c:spPr>
          <c:invertIfNegative val="0"/>
          <c:dPt>
            <c:idx val="0"/>
            <c:invertIfNegative val="0"/>
            <c:bubble3D val="0"/>
            <c:extLst>
              <c:ext xmlns:c16="http://schemas.microsoft.com/office/drawing/2014/chart" uri="{C3380CC4-5D6E-409C-BE32-E72D297353CC}">
                <c16:uniqueId val="{00000001-40E2-4D44-B295-9354555D92FC}"/>
              </c:ext>
            </c:extLst>
          </c:dPt>
          <c:dPt>
            <c:idx val="20"/>
            <c:invertIfNegative val="0"/>
            <c:bubble3D val="0"/>
            <c:extLst>
              <c:ext xmlns:c16="http://schemas.microsoft.com/office/drawing/2014/chart" uri="{C3380CC4-5D6E-409C-BE32-E72D297353CC}">
                <c16:uniqueId val="{00000002-40E2-4D44-B295-9354555D92FC}"/>
              </c:ext>
            </c:extLst>
          </c:dPt>
          <c:dPt>
            <c:idx val="21"/>
            <c:invertIfNegative val="0"/>
            <c:bubble3D val="0"/>
            <c:extLst>
              <c:ext xmlns:c16="http://schemas.microsoft.com/office/drawing/2014/chart" uri="{C3380CC4-5D6E-409C-BE32-E72D297353CC}">
                <c16:uniqueId val="{00000003-40E2-4D44-B295-9354555D92FC}"/>
              </c:ext>
            </c:extLst>
          </c:dPt>
          <c:cat>
            <c:strRef>
              <c:f>'rod.stav_graf 3'!$B$4:$B$39</c:f>
              <c:strCache>
                <c:ptCount val="36"/>
                <c:pt idx="0">
                  <c:v>65</c:v>
                </c:pt>
                <c:pt idx="1">
                  <c:v>66</c:v>
                </c:pt>
                <c:pt idx="2">
                  <c:v>67</c:v>
                </c:pt>
                <c:pt idx="3">
                  <c:v>68</c:v>
                </c:pt>
                <c:pt idx="4">
                  <c:v>69</c:v>
                </c:pt>
                <c:pt idx="5">
                  <c:v>70</c:v>
                </c:pt>
                <c:pt idx="6">
                  <c:v>71</c:v>
                </c:pt>
                <c:pt idx="7">
                  <c:v>72</c:v>
                </c:pt>
                <c:pt idx="8">
                  <c:v>73</c:v>
                </c:pt>
                <c:pt idx="9">
                  <c:v>74</c:v>
                </c:pt>
                <c:pt idx="10">
                  <c:v>75</c:v>
                </c:pt>
                <c:pt idx="11">
                  <c:v>76</c:v>
                </c:pt>
                <c:pt idx="12">
                  <c:v>77</c:v>
                </c:pt>
                <c:pt idx="13">
                  <c:v>78</c:v>
                </c:pt>
                <c:pt idx="14">
                  <c:v>79</c:v>
                </c:pt>
                <c:pt idx="15">
                  <c:v>80</c:v>
                </c:pt>
                <c:pt idx="16">
                  <c:v>81</c:v>
                </c:pt>
                <c:pt idx="17">
                  <c:v>82</c:v>
                </c:pt>
                <c:pt idx="18">
                  <c:v>83</c:v>
                </c:pt>
                <c:pt idx="19">
                  <c:v>84</c:v>
                </c:pt>
                <c:pt idx="20">
                  <c:v>85</c:v>
                </c:pt>
                <c:pt idx="21">
                  <c:v>86</c:v>
                </c:pt>
                <c:pt idx="22">
                  <c:v>87</c:v>
                </c:pt>
                <c:pt idx="23">
                  <c:v>88</c:v>
                </c:pt>
                <c:pt idx="24">
                  <c:v>89</c:v>
                </c:pt>
                <c:pt idx="25">
                  <c:v>90</c:v>
                </c:pt>
                <c:pt idx="26">
                  <c:v>91</c:v>
                </c:pt>
                <c:pt idx="27">
                  <c:v>92</c:v>
                </c:pt>
                <c:pt idx="28">
                  <c:v>93</c:v>
                </c:pt>
                <c:pt idx="29">
                  <c:v>94</c:v>
                </c:pt>
                <c:pt idx="30">
                  <c:v>95</c:v>
                </c:pt>
                <c:pt idx="31">
                  <c:v>96</c:v>
                </c:pt>
                <c:pt idx="32">
                  <c:v>97</c:v>
                </c:pt>
                <c:pt idx="33">
                  <c:v>98</c:v>
                </c:pt>
                <c:pt idx="34">
                  <c:v>99</c:v>
                </c:pt>
                <c:pt idx="35">
                  <c:v>100</c:v>
                </c:pt>
              </c:strCache>
            </c:strRef>
          </c:cat>
          <c:val>
            <c:numRef>
              <c:f>'rod.stav_graf 3'!$D$4:$D$39</c:f>
              <c:numCache>
                <c:formatCode>General</c:formatCode>
                <c:ptCount val="36"/>
                <c:pt idx="0">
                  <c:v>-42931</c:v>
                </c:pt>
                <c:pt idx="1">
                  <c:v>-43101</c:v>
                </c:pt>
                <c:pt idx="2">
                  <c:v>-42744</c:v>
                </c:pt>
                <c:pt idx="3">
                  <c:v>-42727</c:v>
                </c:pt>
                <c:pt idx="4">
                  <c:v>-42623</c:v>
                </c:pt>
                <c:pt idx="5">
                  <c:v>-41892</c:v>
                </c:pt>
                <c:pt idx="6">
                  <c:v>-40340</c:v>
                </c:pt>
                <c:pt idx="7">
                  <c:v>-38061</c:v>
                </c:pt>
                <c:pt idx="8">
                  <c:v>-38286</c:v>
                </c:pt>
                <c:pt idx="9">
                  <c:v>-37921</c:v>
                </c:pt>
                <c:pt idx="10">
                  <c:v>-34864</c:v>
                </c:pt>
                <c:pt idx="11">
                  <c:v>-26245</c:v>
                </c:pt>
                <c:pt idx="12">
                  <c:v>-26191</c:v>
                </c:pt>
                <c:pt idx="13">
                  <c:v>-23925</c:v>
                </c:pt>
                <c:pt idx="14">
                  <c:v>-19819</c:v>
                </c:pt>
                <c:pt idx="15">
                  <c:v>-17377</c:v>
                </c:pt>
                <c:pt idx="16">
                  <c:v>-15670</c:v>
                </c:pt>
                <c:pt idx="17">
                  <c:v>-12271</c:v>
                </c:pt>
                <c:pt idx="18">
                  <c:v>-10386</c:v>
                </c:pt>
                <c:pt idx="19">
                  <c:v>-8496</c:v>
                </c:pt>
                <c:pt idx="20">
                  <c:v>-7249</c:v>
                </c:pt>
                <c:pt idx="21">
                  <c:v>-6192</c:v>
                </c:pt>
                <c:pt idx="22">
                  <c:v>-4948</c:v>
                </c:pt>
                <c:pt idx="23">
                  <c:v>-4124</c:v>
                </c:pt>
                <c:pt idx="24">
                  <c:v>-3217</c:v>
                </c:pt>
                <c:pt idx="25">
                  <c:v>-2445</c:v>
                </c:pt>
                <c:pt idx="26">
                  <c:v>-1743</c:v>
                </c:pt>
                <c:pt idx="27">
                  <c:v>-1119</c:v>
                </c:pt>
                <c:pt idx="28">
                  <c:v>-718</c:v>
                </c:pt>
                <c:pt idx="29">
                  <c:v>-451</c:v>
                </c:pt>
                <c:pt idx="30">
                  <c:v>-277</c:v>
                </c:pt>
                <c:pt idx="31">
                  <c:v>-168</c:v>
                </c:pt>
                <c:pt idx="32">
                  <c:v>-65</c:v>
                </c:pt>
                <c:pt idx="33">
                  <c:v>-55</c:v>
                </c:pt>
                <c:pt idx="34">
                  <c:v>-23</c:v>
                </c:pt>
                <c:pt idx="35">
                  <c:v>-21</c:v>
                </c:pt>
              </c:numCache>
            </c:numRef>
          </c:val>
          <c:extLst>
            <c:ext xmlns:c16="http://schemas.microsoft.com/office/drawing/2014/chart" uri="{C3380CC4-5D6E-409C-BE32-E72D297353CC}">
              <c16:uniqueId val="{00000004-40E2-4D44-B295-9354555D92FC}"/>
            </c:ext>
          </c:extLst>
        </c:ser>
        <c:ser>
          <c:idx val="2"/>
          <c:order val="2"/>
          <c:tx>
            <c:strRef>
              <c:f>'rod.stav_graf 3'!$E$3</c:f>
              <c:strCache>
                <c:ptCount val="1"/>
                <c:pt idx="0">
                  <c:v>rozvedení/é</c:v>
                </c:pt>
              </c:strCache>
            </c:strRef>
          </c:tx>
          <c:spPr>
            <a:solidFill>
              <a:srgbClr val="FFC000"/>
            </a:solidFill>
            <a:ln w="3175">
              <a:solidFill>
                <a:srgbClr val="000000"/>
              </a:solidFill>
              <a:prstDash val="solid"/>
            </a:ln>
          </c:spPr>
          <c:invertIfNegative val="0"/>
          <c:cat>
            <c:strRef>
              <c:f>'rod.stav_graf 3'!$B$4:$B$39</c:f>
              <c:strCache>
                <c:ptCount val="36"/>
                <c:pt idx="0">
                  <c:v>65</c:v>
                </c:pt>
                <c:pt idx="1">
                  <c:v>66</c:v>
                </c:pt>
                <c:pt idx="2">
                  <c:v>67</c:v>
                </c:pt>
                <c:pt idx="3">
                  <c:v>68</c:v>
                </c:pt>
                <c:pt idx="4">
                  <c:v>69</c:v>
                </c:pt>
                <c:pt idx="5">
                  <c:v>70</c:v>
                </c:pt>
                <c:pt idx="6">
                  <c:v>71</c:v>
                </c:pt>
                <c:pt idx="7">
                  <c:v>72</c:v>
                </c:pt>
                <c:pt idx="8">
                  <c:v>73</c:v>
                </c:pt>
                <c:pt idx="9">
                  <c:v>74</c:v>
                </c:pt>
                <c:pt idx="10">
                  <c:v>75</c:v>
                </c:pt>
                <c:pt idx="11">
                  <c:v>76</c:v>
                </c:pt>
                <c:pt idx="12">
                  <c:v>77</c:v>
                </c:pt>
                <c:pt idx="13">
                  <c:v>78</c:v>
                </c:pt>
                <c:pt idx="14">
                  <c:v>79</c:v>
                </c:pt>
                <c:pt idx="15">
                  <c:v>80</c:v>
                </c:pt>
                <c:pt idx="16">
                  <c:v>81</c:v>
                </c:pt>
                <c:pt idx="17">
                  <c:v>82</c:v>
                </c:pt>
                <c:pt idx="18">
                  <c:v>83</c:v>
                </c:pt>
                <c:pt idx="19">
                  <c:v>84</c:v>
                </c:pt>
                <c:pt idx="20">
                  <c:v>85</c:v>
                </c:pt>
                <c:pt idx="21">
                  <c:v>86</c:v>
                </c:pt>
                <c:pt idx="22">
                  <c:v>87</c:v>
                </c:pt>
                <c:pt idx="23">
                  <c:v>88</c:v>
                </c:pt>
                <c:pt idx="24">
                  <c:v>89</c:v>
                </c:pt>
                <c:pt idx="25">
                  <c:v>90</c:v>
                </c:pt>
                <c:pt idx="26">
                  <c:v>91</c:v>
                </c:pt>
                <c:pt idx="27">
                  <c:v>92</c:v>
                </c:pt>
                <c:pt idx="28">
                  <c:v>93</c:v>
                </c:pt>
                <c:pt idx="29">
                  <c:v>94</c:v>
                </c:pt>
                <c:pt idx="30">
                  <c:v>95</c:v>
                </c:pt>
                <c:pt idx="31">
                  <c:v>96</c:v>
                </c:pt>
                <c:pt idx="32">
                  <c:v>97</c:v>
                </c:pt>
                <c:pt idx="33">
                  <c:v>98</c:v>
                </c:pt>
                <c:pt idx="34">
                  <c:v>99</c:v>
                </c:pt>
                <c:pt idx="35">
                  <c:v>100</c:v>
                </c:pt>
              </c:strCache>
            </c:strRef>
          </c:cat>
          <c:val>
            <c:numRef>
              <c:f>'rod.stav_graf 3'!$E$4:$E$39</c:f>
              <c:numCache>
                <c:formatCode>General</c:formatCode>
                <c:ptCount val="36"/>
                <c:pt idx="0">
                  <c:v>-13023</c:v>
                </c:pt>
                <c:pt idx="1">
                  <c:v>-12253</c:v>
                </c:pt>
                <c:pt idx="2">
                  <c:v>-11697</c:v>
                </c:pt>
                <c:pt idx="3">
                  <c:v>-10904</c:v>
                </c:pt>
                <c:pt idx="4">
                  <c:v>-10206</c:v>
                </c:pt>
                <c:pt idx="5">
                  <c:v>-9316</c:v>
                </c:pt>
                <c:pt idx="6">
                  <c:v>-8462</c:v>
                </c:pt>
                <c:pt idx="7">
                  <c:v>-7574</c:v>
                </c:pt>
                <c:pt idx="8">
                  <c:v>-7077</c:v>
                </c:pt>
                <c:pt idx="9">
                  <c:v>-6551</c:v>
                </c:pt>
                <c:pt idx="10">
                  <c:v>-5569</c:v>
                </c:pt>
                <c:pt idx="11">
                  <c:v>-3901</c:v>
                </c:pt>
                <c:pt idx="12">
                  <c:v>-3715</c:v>
                </c:pt>
                <c:pt idx="13">
                  <c:v>-3148</c:v>
                </c:pt>
                <c:pt idx="14">
                  <c:v>-2497</c:v>
                </c:pt>
                <c:pt idx="15">
                  <c:v>-1954</c:v>
                </c:pt>
                <c:pt idx="16">
                  <c:v>-1643</c:v>
                </c:pt>
                <c:pt idx="17">
                  <c:v>-1279</c:v>
                </c:pt>
                <c:pt idx="18">
                  <c:v>-985</c:v>
                </c:pt>
                <c:pt idx="19">
                  <c:v>-753</c:v>
                </c:pt>
                <c:pt idx="20">
                  <c:v>-609</c:v>
                </c:pt>
                <c:pt idx="21">
                  <c:v>-498</c:v>
                </c:pt>
                <c:pt idx="22">
                  <c:v>-422</c:v>
                </c:pt>
                <c:pt idx="23">
                  <c:v>-328</c:v>
                </c:pt>
                <c:pt idx="24">
                  <c:v>-272</c:v>
                </c:pt>
                <c:pt idx="25">
                  <c:v>-210</c:v>
                </c:pt>
                <c:pt idx="26">
                  <c:v>-147</c:v>
                </c:pt>
                <c:pt idx="27">
                  <c:v>-87</c:v>
                </c:pt>
                <c:pt idx="28">
                  <c:v>-60</c:v>
                </c:pt>
                <c:pt idx="29">
                  <c:v>-41</c:v>
                </c:pt>
                <c:pt idx="30">
                  <c:v>-32</c:v>
                </c:pt>
                <c:pt idx="31">
                  <c:v>-13</c:v>
                </c:pt>
                <c:pt idx="32">
                  <c:v>-9</c:v>
                </c:pt>
                <c:pt idx="33">
                  <c:v>-2</c:v>
                </c:pt>
                <c:pt idx="34">
                  <c:v>-1</c:v>
                </c:pt>
                <c:pt idx="35">
                  <c:v>-3</c:v>
                </c:pt>
              </c:numCache>
            </c:numRef>
          </c:val>
          <c:extLst>
            <c:ext xmlns:c16="http://schemas.microsoft.com/office/drawing/2014/chart" uri="{C3380CC4-5D6E-409C-BE32-E72D297353CC}">
              <c16:uniqueId val="{00000005-40E2-4D44-B295-9354555D92FC}"/>
            </c:ext>
          </c:extLst>
        </c:ser>
        <c:ser>
          <c:idx val="3"/>
          <c:order val="3"/>
          <c:tx>
            <c:strRef>
              <c:f>'rod.stav_graf 3'!$F$3</c:f>
              <c:strCache>
                <c:ptCount val="1"/>
                <c:pt idx="0">
                  <c:v>ovdovělí/é</c:v>
                </c:pt>
              </c:strCache>
            </c:strRef>
          </c:tx>
          <c:spPr>
            <a:solidFill>
              <a:srgbClr val="92D050"/>
            </a:solidFill>
            <a:ln w="3175">
              <a:solidFill>
                <a:srgbClr val="000000"/>
              </a:solidFill>
              <a:prstDash val="solid"/>
            </a:ln>
          </c:spPr>
          <c:invertIfNegative val="0"/>
          <c:cat>
            <c:strRef>
              <c:f>'rod.stav_graf 3'!$B$4:$B$39</c:f>
              <c:strCache>
                <c:ptCount val="36"/>
                <c:pt idx="0">
                  <c:v>65</c:v>
                </c:pt>
                <c:pt idx="1">
                  <c:v>66</c:v>
                </c:pt>
                <c:pt idx="2">
                  <c:v>67</c:v>
                </c:pt>
                <c:pt idx="3">
                  <c:v>68</c:v>
                </c:pt>
                <c:pt idx="4">
                  <c:v>69</c:v>
                </c:pt>
                <c:pt idx="5">
                  <c:v>70</c:v>
                </c:pt>
                <c:pt idx="6">
                  <c:v>71</c:v>
                </c:pt>
                <c:pt idx="7">
                  <c:v>72</c:v>
                </c:pt>
                <c:pt idx="8">
                  <c:v>73</c:v>
                </c:pt>
                <c:pt idx="9">
                  <c:v>74</c:v>
                </c:pt>
                <c:pt idx="10">
                  <c:v>75</c:v>
                </c:pt>
                <c:pt idx="11">
                  <c:v>76</c:v>
                </c:pt>
                <c:pt idx="12">
                  <c:v>77</c:v>
                </c:pt>
                <c:pt idx="13">
                  <c:v>78</c:v>
                </c:pt>
                <c:pt idx="14">
                  <c:v>79</c:v>
                </c:pt>
                <c:pt idx="15">
                  <c:v>80</c:v>
                </c:pt>
                <c:pt idx="16">
                  <c:v>81</c:v>
                </c:pt>
                <c:pt idx="17">
                  <c:v>82</c:v>
                </c:pt>
                <c:pt idx="18">
                  <c:v>83</c:v>
                </c:pt>
                <c:pt idx="19">
                  <c:v>84</c:v>
                </c:pt>
                <c:pt idx="20">
                  <c:v>85</c:v>
                </c:pt>
                <c:pt idx="21">
                  <c:v>86</c:v>
                </c:pt>
                <c:pt idx="22">
                  <c:v>87</c:v>
                </c:pt>
                <c:pt idx="23">
                  <c:v>88</c:v>
                </c:pt>
                <c:pt idx="24">
                  <c:v>89</c:v>
                </c:pt>
                <c:pt idx="25">
                  <c:v>90</c:v>
                </c:pt>
                <c:pt idx="26">
                  <c:v>91</c:v>
                </c:pt>
                <c:pt idx="27">
                  <c:v>92</c:v>
                </c:pt>
                <c:pt idx="28">
                  <c:v>93</c:v>
                </c:pt>
                <c:pt idx="29">
                  <c:v>94</c:v>
                </c:pt>
                <c:pt idx="30">
                  <c:v>95</c:v>
                </c:pt>
                <c:pt idx="31">
                  <c:v>96</c:v>
                </c:pt>
                <c:pt idx="32">
                  <c:v>97</c:v>
                </c:pt>
                <c:pt idx="33">
                  <c:v>98</c:v>
                </c:pt>
                <c:pt idx="34">
                  <c:v>99</c:v>
                </c:pt>
                <c:pt idx="35">
                  <c:v>100</c:v>
                </c:pt>
              </c:strCache>
            </c:strRef>
          </c:cat>
          <c:val>
            <c:numRef>
              <c:f>'rod.stav_graf 3'!$F$4:$F$39</c:f>
              <c:numCache>
                <c:formatCode>General</c:formatCode>
                <c:ptCount val="36"/>
                <c:pt idx="0">
                  <c:v>-2491</c:v>
                </c:pt>
                <c:pt idx="1">
                  <c:v>-2748</c:v>
                </c:pt>
                <c:pt idx="2">
                  <c:v>-2994</c:v>
                </c:pt>
                <c:pt idx="3">
                  <c:v>-3515</c:v>
                </c:pt>
                <c:pt idx="4">
                  <c:v>-3832</c:v>
                </c:pt>
                <c:pt idx="5">
                  <c:v>-4077</c:v>
                </c:pt>
                <c:pt idx="6">
                  <c:v>-4340</c:v>
                </c:pt>
                <c:pt idx="7">
                  <c:v>-4541</c:v>
                </c:pt>
                <c:pt idx="8">
                  <c:v>-5062</c:v>
                </c:pt>
                <c:pt idx="9">
                  <c:v>-5765</c:v>
                </c:pt>
                <c:pt idx="10">
                  <c:v>-5633</c:v>
                </c:pt>
                <c:pt idx="11">
                  <c:v>-4638</c:v>
                </c:pt>
                <c:pt idx="12">
                  <c:v>-5101</c:v>
                </c:pt>
                <c:pt idx="13">
                  <c:v>-5087</c:v>
                </c:pt>
                <c:pt idx="14">
                  <c:v>-4602</c:v>
                </c:pt>
                <c:pt idx="15">
                  <c:v>-4569</c:v>
                </c:pt>
                <c:pt idx="16">
                  <c:v>-4674</c:v>
                </c:pt>
                <c:pt idx="17">
                  <c:v>-3958</c:v>
                </c:pt>
                <c:pt idx="18">
                  <c:v>-3730</c:v>
                </c:pt>
                <c:pt idx="19">
                  <c:v>-3458</c:v>
                </c:pt>
                <c:pt idx="20">
                  <c:v>-3236</c:v>
                </c:pt>
                <c:pt idx="21">
                  <c:v>-3030</c:v>
                </c:pt>
                <c:pt idx="22">
                  <c:v>-2926</c:v>
                </c:pt>
                <c:pt idx="23">
                  <c:v>-2626</c:v>
                </c:pt>
                <c:pt idx="24">
                  <c:v>-2443</c:v>
                </c:pt>
                <c:pt idx="25">
                  <c:v>-2160</c:v>
                </c:pt>
                <c:pt idx="26">
                  <c:v>-1860</c:v>
                </c:pt>
                <c:pt idx="27">
                  <c:v>-1393</c:v>
                </c:pt>
                <c:pt idx="28">
                  <c:v>-1087</c:v>
                </c:pt>
                <c:pt idx="29">
                  <c:v>-749</c:v>
                </c:pt>
                <c:pt idx="30">
                  <c:v>-538</c:v>
                </c:pt>
                <c:pt idx="31">
                  <c:v>-325</c:v>
                </c:pt>
                <c:pt idx="32">
                  <c:v>-234</c:v>
                </c:pt>
                <c:pt idx="33">
                  <c:v>-129</c:v>
                </c:pt>
                <c:pt idx="34">
                  <c:v>-68</c:v>
                </c:pt>
                <c:pt idx="35">
                  <c:v>-76</c:v>
                </c:pt>
              </c:numCache>
            </c:numRef>
          </c:val>
          <c:extLst>
            <c:ext xmlns:c16="http://schemas.microsoft.com/office/drawing/2014/chart" uri="{C3380CC4-5D6E-409C-BE32-E72D297353CC}">
              <c16:uniqueId val="{00000006-40E2-4D44-B295-9354555D92FC}"/>
            </c:ext>
          </c:extLst>
        </c:ser>
        <c:ser>
          <c:idx val="4"/>
          <c:order val="4"/>
          <c:tx>
            <c:strRef>
              <c:f>'rod.stav_graf 3'!$G$3</c:f>
              <c:strCache>
                <c:ptCount val="1"/>
                <c:pt idx="0">
                  <c:v>svobodní/é</c:v>
                </c:pt>
              </c:strCache>
            </c:strRef>
          </c:tx>
          <c:spPr>
            <a:solidFill>
              <a:srgbClr val="BD1B21"/>
            </a:solidFill>
            <a:ln w="3175">
              <a:solidFill>
                <a:srgbClr val="000000"/>
              </a:solidFill>
              <a:prstDash val="solid"/>
            </a:ln>
          </c:spPr>
          <c:invertIfNegative val="0"/>
          <c:cat>
            <c:strRef>
              <c:f>'rod.stav_graf 3'!$B$4:$B$39</c:f>
              <c:strCache>
                <c:ptCount val="36"/>
                <c:pt idx="0">
                  <c:v>65</c:v>
                </c:pt>
                <c:pt idx="1">
                  <c:v>66</c:v>
                </c:pt>
                <c:pt idx="2">
                  <c:v>67</c:v>
                </c:pt>
                <c:pt idx="3">
                  <c:v>68</c:v>
                </c:pt>
                <c:pt idx="4">
                  <c:v>69</c:v>
                </c:pt>
                <c:pt idx="5">
                  <c:v>70</c:v>
                </c:pt>
                <c:pt idx="6">
                  <c:v>71</c:v>
                </c:pt>
                <c:pt idx="7">
                  <c:v>72</c:v>
                </c:pt>
                <c:pt idx="8">
                  <c:v>73</c:v>
                </c:pt>
                <c:pt idx="9">
                  <c:v>74</c:v>
                </c:pt>
                <c:pt idx="10">
                  <c:v>75</c:v>
                </c:pt>
                <c:pt idx="11">
                  <c:v>76</c:v>
                </c:pt>
                <c:pt idx="12">
                  <c:v>77</c:v>
                </c:pt>
                <c:pt idx="13">
                  <c:v>78</c:v>
                </c:pt>
                <c:pt idx="14">
                  <c:v>79</c:v>
                </c:pt>
                <c:pt idx="15">
                  <c:v>80</c:v>
                </c:pt>
                <c:pt idx="16">
                  <c:v>81</c:v>
                </c:pt>
                <c:pt idx="17">
                  <c:v>82</c:v>
                </c:pt>
                <c:pt idx="18">
                  <c:v>83</c:v>
                </c:pt>
                <c:pt idx="19">
                  <c:v>84</c:v>
                </c:pt>
                <c:pt idx="20">
                  <c:v>85</c:v>
                </c:pt>
                <c:pt idx="21">
                  <c:v>86</c:v>
                </c:pt>
                <c:pt idx="22">
                  <c:v>87</c:v>
                </c:pt>
                <c:pt idx="23">
                  <c:v>88</c:v>
                </c:pt>
                <c:pt idx="24">
                  <c:v>89</c:v>
                </c:pt>
                <c:pt idx="25">
                  <c:v>90</c:v>
                </c:pt>
                <c:pt idx="26">
                  <c:v>91</c:v>
                </c:pt>
                <c:pt idx="27">
                  <c:v>92</c:v>
                </c:pt>
                <c:pt idx="28">
                  <c:v>93</c:v>
                </c:pt>
                <c:pt idx="29">
                  <c:v>94</c:v>
                </c:pt>
                <c:pt idx="30">
                  <c:v>95</c:v>
                </c:pt>
                <c:pt idx="31">
                  <c:v>96</c:v>
                </c:pt>
                <c:pt idx="32">
                  <c:v>97</c:v>
                </c:pt>
                <c:pt idx="33">
                  <c:v>98</c:v>
                </c:pt>
                <c:pt idx="34">
                  <c:v>99</c:v>
                </c:pt>
                <c:pt idx="35">
                  <c:v>100</c:v>
                </c:pt>
              </c:strCache>
            </c:strRef>
          </c:cat>
          <c:val>
            <c:numRef>
              <c:f>'rod.stav_graf 3'!$G$4:$G$39</c:f>
              <c:numCache>
                <c:formatCode>#,##0</c:formatCode>
                <c:ptCount val="36"/>
                <c:pt idx="0">
                  <c:v>2325</c:v>
                </c:pt>
                <c:pt idx="1">
                  <c:v>2271</c:v>
                </c:pt>
                <c:pt idx="2">
                  <c:v>2213</c:v>
                </c:pt>
                <c:pt idx="3">
                  <c:v>2000</c:v>
                </c:pt>
                <c:pt idx="4">
                  <c:v>1976</c:v>
                </c:pt>
                <c:pt idx="5">
                  <c:v>1966</c:v>
                </c:pt>
                <c:pt idx="6">
                  <c:v>1837</c:v>
                </c:pt>
                <c:pt idx="7">
                  <c:v>1763</c:v>
                </c:pt>
                <c:pt idx="8">
                  <c:v>1686</c:v>
                </c:pt>
                <c:pt idx="9">
                  <c:v>1742</c:v>
                </c:pt>
                <c:pt idx="10">
                  <c:v>1579</c:v>
                </c:pt>
                <c:pt idx="11">
                  <c:v>1214</c:v>
                </c:pt>
                <c:pt idx="12">
                  <c:v>1169</c:v>
                </c:pt>
                <c:pt idx="13">
                  <c:v>1162</c:v>
                </c:pt>
                <c:pt idx="14">
                  <c:v>997</c:v>
                </c:pt>
                <c:pt idx="15">
                  <c:v>803</c:v>
                </c:pt>
                <c:pt idx="16">
                  <c:v>780</c:v>
                </c:pt>
                <c:pt idx="17">
                  <c:v>628</c:v>
                </c:pt>
                <c:pt idx="18">
                  <c:v>584</c:v>
                </c:pt>
                <c:pt idx="19">
                  <c:v>408</c:v>
                </c:pt>
                <c:pt idx="20">
                  <c:v>454</c:v>
                </c:pt>
                <c:pt idx="21">
                  <c:v>370</c:v>
                </c:pt>
                <c:pt idx="22">
                  <c:v>321</c:v>
                </c:pt>
                <c:pt idx="23">
                  <c:v>265</c:v>
                </c:pt>
                <c:pt idx="24">
                  <c:v>248</c:v>
                </c:pt>
                <c:pt idx="25">
                  <c:v>228</c:v>
                </c:pt>
                <c:pt idx="26">
                  <c:v>149</c:v>
                </c:pt>
                <c:pt idx="27">
                  <c:v>142</c:v>
                </c:pt>
                <c:pt idx="28">
                  <c:v>115</c:v>
                </c:pt>
                <c:pt idx="29">
                  <c:v>92</c:v>
                </c:pt>
                <c:pt idx="30">
                  <c:v>55</c:v>
                </c:pt>
                <c:pt idx="31">
                  <c:v>56</c:v>
                </c:pt>
                <c:pt idx="32">
                  <c:v>48</c:v>
                </c:pt>
                <c:pt idx="33">
                  <c:v>26</c:v>
                </c:pt>
                <c:pt idx="34">
                  <c:v>23</c:v>
                </c:pt>
                <c:pt idx="35">
                  <c:v>25</c:v>
                </c:pt>
              </c:numCache>
            </c:numRef>
          </c:val>
          <c:extLst>
            <c:ext xmlns:c16="http://schemas.microsoft.com/office/drawing/2014/chart" uri="{C3380CC4-5D6E-409C-BE32-E72D297353CC}">
              <c16:uniqueId val="{00000007-40E2-4D44-B295-9354555D92FC}"/>
            </c:ext>
          </c:extLst>
        </c:ser>
        <c:ser>
          <c:idx val="5"/>
          <c:order val="5"/>
          <c:tx>
            <c:strRef>
              <c:f>'rod.stav_graf 3'!$H$3</c:f>
              <c:strCache>
                <c:ptCount val="1"/>
                <c:pt idx="0">
                  <c:v>ženatí/vdané</c:v>
                </c:pt>
              </c:strCache>
            </c:strRef>
          </c:tx>
          <c:spPr>
            <a:solidFill>
              <a:srgbClr val="0071BC"/>
            </a:solidFill>
            <a:ln w="3175">
              <a:solidFill>
                <a:srgbClr val="000000"/>
              </a:solidFill>
              <a:prstDash val="solid"/>
            </a:ln>
          </c:spPr>
          <c:invertIfNegative val="0"/>
          <c:cat>
            <c:strRef>
              <c:f>'rod.stav_graf 3'!$B$4:$B$39</c:f>
              <c:strCache>
                <c:ptCount val="36"/>
                <c:pt idx="0">
                  <c:v>65</c:v>
                </c:pt>
                <c:pt idx="1">
                  <c:v>66</c:v>
                </c:pt>
                <c:pt idx="2">
                  <c:v>67</c:v>
                </c:pt>
                <c:pt idx="3">
                  <c:v>68</c:v>
                </c:pt>
                <c:pt idx="4">
                  <c:v>69</c:v>
                </c:pt>
                <c:pt idx="5">
                  <c:v>70</c:v>
                </c:pt>
                <c:pt idx="6">
                  <c:v>71</c:v>
                </c:pt>
                <c:pt idx="7">
                  <c:v>72</c:v>
                </c:pt>
                <c:pt idx="8">
                  <c:v>73</c:v>
                </c:pt>
                <c:pt idx="9">
                  <c:v>74</c:v>
                </c:pt>
                <c:pt idx="10">
                  <c:v>75</c:v>
                </c:pt>
                <c:pt idx="11">
                  <c:v>76</c:v>
                </c:pt>
                <c:pt idx="12">
                  <c:v>77</c:v>
                </c:pt>
                <c:pt idx="13">
                  <c:v>78</c:v>
                </c:pt>
                <c:pt idx="14">
                  <c:v>79</c:v>
                </c:pt>
                <c:pt idx="15">
                  <c:v>80</c:v>
                </c:pt>
                <c:pt idx="16">
                  <c:v>81</c:v>
                </c:pt>
                <c:pt idx="17">
                  <c:v>82</c:v>
                </c:pt>
                <c:pt idx="18">
                  <c:v>83</c:v>
                </c:pt>
                <c:pt idx="19">
                  <c:v>84</c:v>
                </c:pt>
                <c:pt idx="20">
                  <c:v>85</c:v>
                </c:pt>
                <c:pt idx="21">
                  <c:v>86</c:v>
                </c:pt>
                <c:pt idx="22">
                  <c:v>87</c:v>
                </c:pt>
                <c:pt idx="23">
                  <c:v>88</c:v>
                </c:pt>
                <c:pt idx="24">
                  <c:v>89</c:v>
                </c:pt>
                <c:pt idx="25">
                  <c:v>90</c:v>
                </c:pt>
                <c:pt idx="26">
                  <c:v>91</c:v>
                </c:pt>
                <c:pt idx="27">
                  <c:v>92</c:v>
                </c:pt>
                <c:pt idx="28">
                  <c:v>93</c:v>
                </c:pt>
                <c:pt idx="29">
                  <c:v>94</c:v>
                </c:pt>
                <c:pt idx="30">
                  <c:v>95</c:v>
                </c:pt>
                <c:pt idx="31">
                  <c:v>96</c:v>
                </c:pt>
                <c:pt idx="32">
                  <c:v>97</c:v>
                </c:pt>
                <c:pt idx="33">
                  <c:v>98</c:v>
                </c:pt>
                <c:pt idx="34">
                  <c:v>99</c:v>
                </c:pt>
                <c:pt idx="35">
                  <c:v>100</c:v>
                </c:pt>
              </c:strCache>
            </c:strRef>
          </c:cat>
          <c:val>
            <c:numRef>
              <c:f>'rod.stav_graf 3'!$H$4:$H$39</c:f>
              <c:numCache>
                <c:formatCode>#,##0</c:formatCode>
                <c:ptCount val="36"/>
                <c:pt idx="0">
                  <c:v>41416</c:v>
                </c:pt>
                <c:pt idx="1">
                  <c:v>40751</c:v>
                </c:pt>
                <c:pt idx="2">
                  <c:v>40206</c:v>
                </c:pt>
                <c:pt idx="3">
                  <c:v>39013</c:v>
                </c:pt>
                <c:pt idx="4">
                  <c:v>38948</c:v>
                </c:pt>
                <c:pt idx="5">
                  <c:v>37862</c:v>
                </c:pt>
                <c:pt idx="6">
                  <c:v>35392</c:v>
                </c:pt>
                <c:pt idx="7">
                  <c:v>33074</c:v>
                </c:pt>
                <c:pt idx="8">
                  <c:v>31872</c:v>
                </c:pt>
                <c:pt idx="9">
                  <c:v>31422</c:v>
                </c:pt>
                <c:pt idx="10">
                  <c:v>28352</c:v>
                </c:pt>
                <c:pt idx="11">
                  <c:v>20760</c:v>
                </c:pt>
                <c:pt idx="12">
                  <c:v>19594</c:v>
                </c:pt>
                <c:pt idx="13">
                  <c:v>17102</c:v>
                </c:pt>
                <c:pt idx="14">
                  <c:v>13307</c:v>
                </c:pt>
                <c:pt idx="15">
                  <c:v>11121</c:v>
                </c:pt>
                <c:pt idx="16">
                  <c:v>9278</c:v>
                </c:pt>
                <c:pt idx="17">
                  <c:v>6851</c:v>
                </c:pt>
                <c:pt idx="18">
                  <c:v>5646</c:v>
                </c:pt>
                <c:pt idx="19">
                  <c:v>4202</c:v>
                </c:pt>
                <c:pt idx="20">
                  <c:v>3355</c:v>
                </c:pt>
                <c:pt idx="21">
                  <c:v>2471</c:v>
                </c:pt>
                <c:pt idx="22">
                  <c:v>1898</c:v>
                </c:pt>
                <c:pt idx="23">
                  <c:v>1390</c:v>
                </c:pt>
                <c:pt idx="24">
                  <c:v>970</c:v>
                </c:pt>
                <c:pt idx="25">
                  <c:v>624</c:v>
                </c:pt>
                <c:pt idx="26">
                  <c:v>447</c:v>
                </c:pt>
                <c:pt idx="27">
                  <c:v>226</c:v>
                </c:pt>
                <c:pt idx="28">
                  <c:v>135</c:v>
                </c:pt>
                <c:pt idx="29">
                  <c:v>72</c:v>
                </c:pt>
                <c:pt idx="30">
                  <c:v>49</c:v>
                </c:pt>
                <c:pt idx="31">
                  <c:v>21</c:v>
                </c:pt>
                <c:pt idx="32">
                  <c:v>17</c:v>
                </c:pt>
                <c:pt idx="33">
                  <c:v>7</c:v>
                </c:pt>
                <c:pt idx="34">
                  <c:v>1</c:v>
                </c:pt>
                <c:pt idx="35">
                  <c:v>3</c:v>
                </c:pt>
              </c:numCache>
            </c:numRef>
          </c:val>
          <c:extLst>
            <c:ext xmlns:c16="http://schemas.microsoft.com/office/drawing/2014/chart" uri="{C3380CC4-5D6E-409C-BE32-E72D297353CC}">
              <c16:uniqueId val="{00000008-40E2-4D44-B295-9354555D92FC}"/>
            </c:ext>
          </c:extLst>
        </c:ser>
        <c:ser>
          <c:idx val="6"/>
          <c:order val="6"/>
          <c:tx>
            <c:strRef>
              <c:f>'rod.stav_graf 3'!$I$3</c:f>
              <c:strCache>
                <c:ptCount val="1"/>
                <c:pt idx="0">
                  <c:v>rozvedení/é</c:v>
                </c:pt>
              </c:strCache>
            </c:strRef>
          </c:tx>
          <c:spPr>
            <a:solidFill>
              <a:srgbClr val="FFC000"/>
            </a:solidFill>
            <a:ln w="3175">
              <a:solidFill>
                <a:srgbClr val="000000"/>
              </a:solidFill>
              <a:prstDash val="solid"/>
            </a:ln>
          </c:spPr>
          <c:invertIfNegative val="0"/>
          <c:cat>
            <c:strRef>
              <c:f>'rod.stav_graf 3'!$B$4:$B$39</c:f>
              <c:strCache>
                <c:ptCount val="36"/>
                <c:pt idx="0">
                  <c:v>65</c:v>
                </c:pt>
                <c:pt idx="1">
                  <c:v>66</c:v>
                </c:pt>
                <c:pt idx="2">
                  <c:v>67</c:v>
                </c:pt>
                <c:pt idx="3">
                  <c:v>68</c:v>
                </c:pt>
                <c:pt idx="4">
                  <c:v>69</c:v>
                </c:pt>
                <c:pt idx="5">
                  <c:v>70</c:v>
                </c:pt>
                <c:pt idx="6">
                  <c:v>71</c:v>
                </c:pt>
                <c:pt idx="7">
                  <c:v>72</c:v>
                </c:pt>
                <c:pt idx="8">
                  <c:v>73</c:v>
                </c:pt>
                <c:pt idx="9">
                  <c:v>74</c:v>
                </c:pt>
                <c:pt idx="10">
                  <c:v>75</c:v>
                </c:pt>
                <c:pt idx="11">
                  <c:v>76</c:v>
                </c:pt>
                <c:pt idx="12">
                  <c:v>77</c:v>
                </c:pt>
                <c:pt idx="13">
                  <c:v>78</c:v>
                </c:pt>
                <c:pt idx="14">
                  <c:v>79</c:v>
                </c:pt>
                <c:pt idx="15">
                  <c:v>80</c:v>
                </c:pt>
                <c:pt idx="16">
                  <c:v>81</c:v>
                </c:pt>
                <c:pt idx="17">
                  <c:v>82</c:v>
                </c:pt>
                <c:pt idx="18">
                  <c:v>83</c:v>
                </c:pt>
                <c:pt idx="19">
                  <c:v>84</c:v>
                </c:pt>
                <c:pt idx="20">
                  <c:v>85</c:v>
                </c:pt>
                <c:pt idx="21">
                  <c:v>86</c:v>
                </c:pt>
                <c:pt idx="22">
                  <c:v>87</c:v>
                </c:pt>
                <c:pt idx="23">
                  <c:v>88</c:v>
                </c:pt>
                <c:pt idx="24">
                  <c:v>89</c:v>
                </c:pt>
                <c:pt idx="25">
                  <c:v>90</c:v>
                </c:pt>
                <c:pt idx="26">
                  <c:v>91</c:v>
                </c:pt>
                <c:pt idx="27">
                  <c:v>92</c:v>
                </c:pt>
                <c:pt idx="28">
                  <c:v>93</c:v>
                </c:pt>
                <c:pt idx="29">
                  <c:v>94</c:v>
                </c:pt>
                <c:pt idx="30">
                  <c:v>95</c:v>
                </c:pt>
                <c:pt idx="31">
                  <c:v>96</c:v>
                </c:pt>
                <c:pt idx="32">
                  <c:v>97</c:v>
                </c:pt>
                <c:pt idx="33">
                  <c:v>98</c:v>
                </c:pt>
                <c:pt idx="34">
                  <c:v>99</c:v>
                </c:pt>
                <c:pt idx="35">
                  <c:v>100</c:v>
                </c:pt>
              </c:strCache>
            </c:strRef>
          </c:cat>
          <c:val>
            <c:numRef>
              <c:f>'rod.stav_graf 3'!$I$4:$I$39</c:f>
              <c:numCache>
                <c:formatCode>#,##0</c:formatCode>
                <c:ptCount val="36"/>
                <c:pt idx="0">
                  <c:v>14796</c:v>
                </c:pt>
                <c:pt idx="1">
                  <c:v>14603</c:v>
                </c:pt>
                <c:pt idx="2">
                  <c:v>14198</c:v>
                </c:pt>
                <c:pt idx="3">
                  <c:v>14008</c:v>
                </c:pt>
                <c:pt idx="4">
                  <c:v>13408</c:v>
                </c:pt>
                <c:pt idx="5">
                  <c:v>13167</c:v>
                </c:pt>
                <c:pt idx="6">
                  <c:v>12022</c:v>
                </c:pt>
                <c:pt idx="7">
                  <c:v>10969</c:v>
                </c:pt>
                <c:pt idx="8">
                  <c:v>10781</c:v>
                </c:pt>
                <c:pt idx="9">
                  <c:v>10551</c:v>
                </c:pt>
                <c:pt idx="10">
                  <c:v>9551</c:v>
                </c:pt>
                <c:pt idx="11">
                  <c:v>7412</c:v>
                </c:pt>
                <c:pt idx="12">
                  <c:v>7047</c:v>
                </c:pt>
                <c:pt idx="13">
                  <c:v>6368</c:v>
                </c:pt>
                <c:pt idx="14">
                  <c:v>5092</c:v>
                </c:pt>
                <c:pt idx="15">
                  <c:v>4366</c:v>
                </c:pt>
                <c:pt idx="16">
                  <c:v>3635</c:v>
                </c:pt>
                <c:pt idx="17">
                  <c:v>3038</c:v>
                </c:pt>
                <c:pt idx="18">
                  <c:v>2552</c:v>
                </c:pt>
                <c:pt idx="19">
                  <c:v>2120</c:v>
                </c:pt>
                <c:pt idx="20">
                  <c:v>1932</c:v>
                </c:pt>
                <c:pt idx="21">
                  <c:v>1621</c:v>
                </c:pt>
                <c:pt idx="22">
                  <c:v>1487</c:v>
                </c:pt>
                <c:pt idx="23">
                  <c:v>1290</c:v>
                </c:pt>
                <c:pt idx="24">
                  <c:v>1108</c:v>
                </c:pt>
                <c:pt idx="25">
                  <c:v>897</c:v>
                </c:pt>
                <c:pt idx="26">
                  <c:v>690</c:v>
                </c:pt>
                <c:pt idx="27">
                  <c:v>563</c:v>
                </c:pt>
                <c:pt idx="28">
                  <c:v>411</c:v>
                </c:pt>
                <c:pt idx="29">
                  <c:v>287</c:v>
                </c:pt>
                <c:pt idx="30">
                  <c:v>204</c:v>
                </c:pt>
                <c:pt idx="31">
                  <c:v>144</c:v>
                </c:pt>
                <c:pt idx="32">
                  <c:v>100</c:v>
                </c:pt>
                <c:pt idx="33">
                  <c:v>65</c:v>
                </c:pt>
                <c:pt idx="34">
                  <c:v>34</c:v>
                </c:pt>
                <c:pt idx="35">
                  <c:v>32</c:v>
                </c:pt>
              </c:numCache>
            </c:numRef>
          </c:val>
          <c:extLst>
            <c:ext xmlns:c16="http://schemas.microsoft.com/office/drawing/2014/chart" uri="{C3380CC4-5D6E-409C-BE32-E72D297353CC}">
              <c16:uniqueId val="{00000009-40E2-4D44-B295-9354555D92FC}"/>
            </c:ext>
          </c:extLst>
        </c:ser>
        <c:ser>
          <c:idx val="7"/>
          <c:order val="7"/>
          <c:tx>
            <c:strRef>
              <c:f>'rod.stav_graf 3'!$J$3</c:f>
              <c:strCache>
                <c:ptCount val="1"/>
                <c:pt idx="0">
                  <c:v>ovdovělí/é</c:v>
                </c:pt>
              </c:strCache>
            </c:strRef>
          </c:tx>
          <c:spPr>
            <a:solidFill>
              <a:srgbClr val="92D050"/>
            </a:solidFill>
            <a:ln w="3175">
              <a:solidFill>
                <a:srgbClr val="000000"/>
              </a:solidFill>
              <a:prstDash val="solid"/>
            </a:ln>
          </c:spPr>
          <c:invertIfNegative val="0"/>
          <c:cat>
            <c:strRef>
              <c:f>'rod.stav_graf 3'!$B$4:$B$39</c:f>
              <c:strCache>
                <c:ptCount val="36"/>
                <c:pt idx="0">
                  <c:v>65</c:v>
                </c:pt>
                <c:pt idx="1">
                  <c:v>66</c:v>
                </c:pt>
                <c:pt idx="2">
                  <c:v>67</c:v>
                </c:pt>
                <c:pt idx="3">
                  <c:v>68</c:v>
                </c:pt>
                <c:pt idx="4">
                  <c:v>69</c:v>
                </c:pt>
                <c:pt idx="5">
                  <c:v>70</c:v>
                </c:pt>
                <c:pt idx="6">
                  <c:v>71</c:v>
                </c:pt>
                <c:pt idx="7">
                  <c:v>72</c:v>
                </c:pt>
                <c:pt idx="8">
                  <c:v>73</c:v>
                </c:pt>
                <c:pt idx="9">
                  <c:v>74</c:v>
                </c:pt>
                <c:pt idx="10">
                  <c:v>75</c:v>
                </c:pt>
                <c:pt idx="11">
                  <c:v>76</c:v>
                </c:pt>
                <c:pt idx="12">
                  <c:v>77</c:v>
                </c:pt>
                <c:pt idx="13">
                  <c:v>78</c:v>
                </c:pt>
                <c:pt idx="14">
                  <c:v>79</c:v>
                </c:pt>
                <c:pt idx="15">
                  <c:v>80</c:v>
                </c:pt>
                <c:pt idx="16">
                  <c:v>81</c:v>
                </c:pt>
                <c:pt idx="17">
                  <c:v>82</c:v>
                </c:pt>
                <c:pt idx="18">
                  <c:v>83</c:v>
                </c:pt>
                <c:pt idx="19">
                  <c:v>84</c:v>
                </c:pt>
                <c:pt idx="20">
                  <c:v>85</c:v>
                </c:pt>
                <c:pt idx="21">
                  <c:v>86</c:v>
                </c:pt>
                <c:pt idx="22">
                  <c:v>87</c:v>
                </c:pt>
                <c:pt idx="23">
                  <c:v>88</c:v>
                </c:pt>
                <c:pt idx="24">
                  <c:v>89</c:v>
                </c:pt>
                <c:pt idx="25">
                  <c:v>90</c:v>
                </c:pt>
                <c:pt idx="26">
                  <c:v>91</c:v>
                </c:pt>
                <c:pt idx="27">
                  <c:v>92</c:v>
                </c:pt>
                <c:pt idx="28">
                  <c:v>93</c:v>
                </c:pt>
                <c:pt idx="29">
                  <c:v>94</c:v>
                </c:pt>
                <c:pt idx="30">
                  <c:v>95</c:v>
                </c:pt>
                <c:pt idx="31">
                  <c:v>96</c:v>
                </c:pt>
                <c:pt idx="32">
                  <c:v>97</c:v>
                </c:pt>
                <c:pt idx="33">
                  <c:v>98</c:v>
                </c:pt>
                <c:pt idx="34">
                  <c:v>99</c:v>
                </c:pt>
                <c:pt idx="35">
                  <c:v>100</c:v>
                </c:pt>
              </c:strCache>
            </c:strRef>
          </c:cat>
          <c:val>
            <c:numRef>
              <c:f>'rod.stav_graf 3'!$J$4:$J$39</c:f>
              <c:numCache>
                <c:formatCode>#,##0</c:formatCode>
                <c:ptCount val="36"/>
                <c:pt idx="0">
                  <c:v>11028</c:v>
                </c:pt>
                <c:pt idx="1">
                  <c:v>12347</c:v>
                </c:pt>
                <c:pt idx="2">
                  <c:v>13731</c:v>
                </c:pt>
                <c:pt idx="3">
                  <c:v>15238</c:v>
                </c:pt>
                <c:pt idx="4">
                  <c:v>16891</c:v>
                </c:pt>
                <c:pt idx="5">
                  <c:v>18441</c:v>
                </c:pt>
                <c:pt idx="6">
                  <c:v>19869</c:v>
                </c:pt>
                <c:pt idx="7">
                  <c:v>20848</c:v>
                </c:pt>
                <c:pt idx="8">
                  <c:v>23031</c:v>
                </c:pt>
                <c:pt idx="9">
                  <c:v>25417</c:v>
                </c:pt>
                <c:pt idx="10">
                  <c:v>26027</c:v>
                </c:pt>
                <c:pt idx="11">
                  <c:v>22814</c:v>
                </c:pt>
                <c:pt idx="12">
                  <c:v>25030</c:v>
                </c:pt>
                <c:pt idx="13">
                  <c:v>25013</c:v>
                </c:pt>
                <c:pt idx="14">
                  <c:v>23187</c:v>
                </c:pt>
                <c:pt idx="15">
                  <c:v>23000</c:v>
                </c:pt>
                <c:pt idx="16">
                  <c:v>22912</c:v>
                </c:pt>
                <c:pt idx="17">
                  <c:v>20483</c:v>
                </c:pt>
                <c:pt idx="18">
                  <c:v>19156</c:v>
                </c:pt>
                <c:pt idx="19">
                  <c:v>17878</c:v>
                </c:pt>
                <c:pt idx="20">
                  <c:v>16618</c:v>
                </c:pt>
                <c:pt idx="21">
                  <c:v>15663</c:v>
                </c:pt>
                <c:pt idx="22">
                  <c:v>14527</c:v>
                </c:pt>
                <c:pt idx="23">
                  <c:v>13244</c:v>
                </c:pt>
                <c:pt idx="24">
                  <c:v>12076</c:v>
                </c:pt>
                <c:pt idx="25">
                  <c:v>10231</c:v>
                </c:pt>
                <c:pt idx="26">
                  <c:v>8675</c:v>
                </c:pt>
                <c:pt idx="27">
                  <c:v>6486</c:v>
                </c:pt>
                <c:pt idx="28">
                  <c:v>5008</c:v>
                </c:pt>
                <c:pt idx="29">
                  <c:v>3609</c:v>
                </c:pt>
                <c:pt idx="30">
                  <c:v>2662</c:v>
                </c:pt>
                <c:pt idx="31">
                  <c:v>1808</c:v>
                </c:pt>
                <c:pt idx="32">
                  <c:v>1270</c:v>
                </c:pt>
                <c:pt idx="33">
                  <c:v>877</c:v>
                </c:pt>
                <c:pt idx="34">
                  <c:v>517</c:v>
                </c:pt>
                <c:pt idx="35">
                  <c:v>592</c:v>
                </c:pt>
              </c:numCache>
            </c:numRef>
          </c:val>
          <c:extLst>
            <c:ext xmlns:c16="http://schemas.microsoft.com/office/drawing/2014/chart" uri="{C3380CC4-5D6E-409C-BE32-E72D297353CC}">
              <c16:uniqueId val="{0000000A-40E2-4D44-B295-9354555D92FC}"/>
            </c:ext>
          </c:extLst>
        </c:ser>
        <c:dLbls>
          <c:showLegendKey val="0"/>
          <c:showVal val="0"/>
          <c:showCatName val="0"/>
          <c:showSerName val="0"/>
          <c:showPercent val="0"/>
          <c:showBubbleSize val="0"/>
        </c:dLbls>
        <c:gapWidth val="0"/>
        <c:overlap val="100"/>
        <c:axId val="897475520"/>
        <c:axId val="1"/>
      </c:barChart>
      <c:catAx>
        <c:axId val="897475520"/>
        <c:scaling>
          <c:orientation val="minMax"/>
        </c:scaling>
        <c:delete val="0"/>
        <c:axPos val="l"/>
        <c:title>
          <c:tx>
            <c:rich>
              <a:bodyPr/>
              <a:lstStyle/>
              <a:p>
                <a:pPr>
                  <a:defRPr/>
                </a:pPr>
                <a:r>
                  <a:rPr lang="cs-CZ"/>
                  <a:t>v</a:t>
                </a:r>
                <a:r>
                  <a:rPr lang="en-US"/>
                  <a:t>ěk</a:t>
                </a:r>
              </a:p>
            </c:rich>
          </c:tx>
          <c:layout>
            <c:manualLayout>
              <c:xMode val="edge"/>
              <c:yMode val="edge"/>
              <c:x val="1.2452692927511734E-2"/>
              <c:y val="0.40369023848095553"/>
            </c:manualLayout>
          </c:layout>
          <c:overlay val="0"/>
        </c:title>
        <c:numFmt formatCode="General" sourceLinked="1"/>
        <c:majorTickMark val="none"/>
        <c:minorTickMark val="none"/>
        <c:tickLblPos val="low"/>
        <c:spPr>
          <a:ln w="3175">
            <a:solidFill>
              <a:srgbClr val="000000"/>
            </a:solidFill>
            <a:prstDash val="solid"/>
          </a:ln>
        </c:spPr>
        <c:txPr>
          <a:bodyPr rot="0" vert="horz"/>
          <a:lstStyle/>
          <a:p>
            <a:pPr>
              <a:defRPr/>
            </a:pPr>
            <a:endParaRPr lang="cs-CZ"/>
          </a:p>
        </c:txPr>
        <c:crossAx val="1"/>
        <c:crosses val="autoZero"/>
        <c:auto val="1"/>
        <c:lblAlgn val="ctr"/>
        <c:lblOffset val="100"/>
        <c:tickLblSkip val="5"/>
        <c:tickMarkSkip val="1"/>
        <c:noMultiLvlLbl val="0"/>
      </c:catAx>
      <c:valAx>
        <c:axId val="1"/>
        <c:scaling>
          <c:orientation val="minMax"/>
          <c:max val="80000"/>
          <c:min val="-80000"/>
        </c:scaling>
        <c:delete val="0"/>
        <c:axPos val="b"/>
        <c:majorGridlines>
          <c:spPr>
            <a:ln w="3175">
              <a:solidFill>
                <a:srgbClr val="000000"/>
              </a:solidFill>
              <a:prstDash val="solid"/>
            </a:ln>
          </c:spPr>
        </c:majorGridlines>
        <c:title>
          <c:tx>
            <c:rich>
              <a:bodyPr/>
              <a:lstStyle/>
              <a:p>
                <a:pPr>
                  <a:defRPr/>
                </a:pPr>
                <a:r>
                  <a:rPr lang="en-US"/>
                  <a:t>tis. osob</a:t>
                </a:r>
              </a:p>
            </c:rich>
          </c:tx>
          <c:layout>
            <c:manualLayout>
              <c:xMode val="edge"/>
              <c:yMode val="edge"/>
              <c:x val="0.46406616574632459"/>
              <c:y val="0.84348935873038045"/>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a:pPr>
            <a:endParaRPr lang="cs-CZ"/>
          </a:p>
        </c:txPr>
        <c:crossAx val="897475520"/>
        <c:crosses val="autoZero"/>
        <c:crossBetween val="between"/>
        <c:majorUnit val="10000"/>
        <c:dispUnits>
          <c:builtInUnit val="thousands"/>
        </c:dispUnits>
      </c:valAx>
      <c:spPr>
        <a:noFill/>
        <a:ln w="3175">
          <a:solidFill>
            <a:schemeClr val="tx1"/>
          </a:solidFill>
          <a:prstDash val="solid"/>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1387698908123368"/>
          <c:y val="0.91385515629196978"/>
          <c:w val="0.82207645075866898"/>
          <c:h val="6.0413674610407357E-2"/>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9525">
      <a:noFill/>
    </a:ln>
  </c:spPr>
  <c:txPr>
    <a:bodyPr/>
    <a:lstStyle/>
    <a:p>
      <a:pPr>
        <a:defRPr sz="900" b="0" i="0" u="none" strike="noStrike" baseline="0">
          <a:solidFill>
            <a:srgbClr val="000000"/>
          </a:solidFill>
          <a:latin typeface="Arial CE"/>
          <a:ea typeface="Arial CE"/>
          <a:cs typeface="Arial CE"/>
        </a:defRPr>
      </a:pPr>
      <a:endParaRPr lang="cs-CZ"/>
    </a:p>
  </c:txPr>
  <c:externalData r:id="rId1">
    <c:autoUpdate val="0"/>
  </c:externalData>
  <c:userShapes r:id="rId2"/>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12839378684222"/>
          <c:y val="3.2057667432719233E-2"/>
          <c:w val="0.82952344071745132"/>
          <c:h val="0.80828090268620734"/>
        </c:manualLayout>
      </c:layout>
      <c:lineChart>
        <c:grouping val="standard"/>
        <c:varyColors val="0"/>
        <c:ser>
          <c:idx val="2"/>
          <c:order val="0"/>
          <c:tx>
            <c:v>muži</c:v>
          </c:tx>
          <c:spPr>
            <a:ln w="28575" cap="rnd">
              <a:solidFill>
                <a:srgbClr val="0070C0"/>
              </a:solidFill>
              <a:prstDash val="sysDash"/>
              <a:round/>
            </a:ln>
            <a:effectLst/>
          </c:spPr>
          <c:marker>
            <c:symbol val="triangle"/>
            <c:size val="6"/>
            <c:spPr>
              <a:solidFill>
                <a:srgbClr val="0070C0"/>
              </a:solidFill>
              <a:ln w="9525">
                <a:solidFill>
                  <a:schemeClr val="tx1"/>
                </a:solidFill>
                <a:prstDash val="sysDot"/>
              </a:ln>
              <a:effectLst/>
            </c:spPr>
          </c:marker>
          <c:dLbls>
            <c:dLbl>
              <c:idx val="0"/>
              <c:layout>
                <c:manualLayout>
                  <c:x val="-8.3719539542532515E-2"/>
                  <c:y val="-5.45454545454545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5D-4DF9-9B2C-DE4F6D3F721E}"/>
                </c:ext>
              </c:extLst>
            </c:dLbl>
            <c:dLbl>
              <c:idx val="1"/>
              <c:layout>
                <c:manualLayout>
                  <c:x val="-7.773957243235162E-2"/>
                  <c:y val="-5.4545454545454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5D-4DF9-9B2C-DE4F6D3F721E}"/>
                </c:ext>
              </c:extLst>
            </c:dLbl>
            <c:dLbl>
              <c:idx val="2"/>
              <c:layout>
                <c:manualLayout>
                  <c:x val="-1.1449256235783787E-16"/>
                  <c:y val="2.1052631578947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5D-4DF9-9B2C-DE4F6D3F721E}"/>
                </c:ext>
              </c:extLst>
            </c:dLbl>
            <c:dLbl>
              <c:idx val="3"/>
              <c:layout>
                <c:manualLayout>
                  <c:x val="-9.3676814988290398E-3"/>
                  <c:y val="1.6055659620016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A0-4EC0-B810-8F8C524FE3E5}"/>
                </c:ext>
              </c:extLst>
            </c:dLbl>
            <c:dLbl>
              <c:idx val="4"/>
              <c:layout>
                <c:manualLayout>
                  <c:x val="-1.249024199843860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5D-4DF9-9B2C-DE4F6D3F72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'4_nove'!$B$58:$F$58</c:f>
              <c:strCache>
                <c:ptCount val="5"/>
                <c:pt idx="0">
                  <c:v>1–59</c:v>
                </c:pt>
                <c:pt idx="1">
                  <c:v>60–69 let</c:v>
                </c:pt>
                <c:pt idx="2">
                  <c:v>70–79 let</c:v>
                </c:pt>
                <c:pt idx="3">
                  <c:v>80–89 let</c:v>
                </c:pt>
                <c:pt idx="4">
                  <c:v>90 let a více</c:v>
                </c:pt>
              </c:strCache>
            </c:strRef>
          </c:cat>
          <c:val>
            <c:numRef>
              <c:f>'4_nove'!$B$63:$F$63</c:f>
              <c:numCache>
                <c:formatCode>0.0</c:formatCode>
                <c:ptCount val="5"/>
                <c:pt idx="0">
                  <c:v>1.4826766841503316</c:v>
                </c:pt>
                <c:pt idx="1">
                  <c:v>3.334347267447562</c:v>
                </c:pt>
                <c:pt idx="2">
                  <c:v>6.606519530480476</c:v>
                </c:pt>
                <c:pt idx="3">
                  <c:v>17.995650065395978</c:v>
                </c:pt>
                <c:pt idx="4">
                  <c:v>46.962659105990227</c:v>
                </c:pt>
              </c:numCache>
            </c:numRef>
          </c:val>
          <c:smooth val="0"/>
          <c:extLst>
            <c:ext xmlns:c16="http://schemas.microsoft.com/office/drawing/2014/chart" uri="{C3380CC4-5D6E-409C-BE32-E72D297353CC}">
              <c16:uniqueId val="{00000004-F95D-4DF9-9B2C-DE4F6D3F721E}"/>
            </c:ext>
          </c:extLst>
        </c:ser>
        <c:ser>
          <c:idx val="3"/>
          <c:order val="1"/>
          <c:tx>
            <c:v>ženy</c:v>
          </c:tx>
          <c:spPr>
            <a:ln w="28575" cap="rnd">
              <a:solidFill>
                <a:srgbClr val="C00000"/>
              </a:solidFill>
              <a:prstDash val="sysDash"/>
              <a:round/>
            </a:ln>
            <a:effectLst/>
          </c:spPr>
          <c:marker>
            <c:symbol val="diamond"/>
            <c:size val="6"/>
            <c:spPr>
              <a:solidFill>
                <a:srgbClr val="C00000"/>
              </a:solidFill>
              <a:ln w="9525">
                <a:solidFill>
                  <a:schemeClr val="tx1"/>
                </a:solidFill>
                <a:prstDash val="sysDash"/>
              </a:ln>
              <a:effectLst/>
            </c:spPr>
          </c:marker>
          <c:dLbls>
            <c:dLbl>
              <c:idx val="0"/>
              <c:layout>
                <c:manualLayout>
                  <c:x val="-2.4682431963159637E-2"/>
                  <c:y val="-6.4681937485087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5D-4DF9-9B2C-DE4F6D3F721E}"/>
                </c:ext>
              </c:extLst>
            </c:dLbl>
            <c:dLbl>
              <c:idx val="1"/>
              <c:layout>
                <c:manualLayout>
                  <c:x val="-2.4682431963159637E-2"/>
                  <c:y val="-5.86213314244810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5D-4DF9-9B2C-DE4F6D3F721E}"/>
                </c:ext>
              </c:extLst>
            </c:dLbl>
            <c:dLbl>
              <c:idx val="3"/>
              <c:layout>
                <c:manualLayout>
                  <c:x val="-7.106160910214103E-2"/>
                  <c:y val="-5.17662279102990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A0-4EC0-B810-8F8C524FE3E5}"/>
                </c:ext>
              </c:extLst>
            </c:dLbl>
            <c:dLbl>
              <c:idx val="4"/>
              <c:layout>
                <c:manualLayout>
                  <c:x val="-8.2448207952179105E-3"/>
                  <c:y val="-4.04395132426628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5D-4DF9-9B2C-DE4F6D3F72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Arial" panose="020B0604020202020204" pitchFamily="34" charset="0"/>
                    <a:ea typeface="+mn-ea"/>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'4_nove'!$B$58:$F$58</c:f>
              <c:strCache>
                <c:ptCount val="5"/>
                <c:pt idx="0">
                  <c:v>1–59</c:v>
                </c:pt>
                <c:pt idx="1">
                  <c:v>60–69 let</c:v>
                </c:pt>
                <c:pt idx="2">
                  <c:v>70–79 let</c:v>
                </c:pt>
                <c:pt idx="3">
                  <c:v>80–89 let</c:v>
                </c:pt>
                <c:pt idx="4">
                  <c:v>90 let a více</c:v>
                </c:pt>
              </c:strCache>
            </c:strRef>
          </c:cat>
          <c:val>
            <c:numRef>
              <c:f>'4_nove'!$B$64:$F$64</c:f>
              <c:numCache>
                <c:formatCode>0.0</c:formatCode>
                <c:ptCount val="5"/>
                <c:pt idx="0">
                  <c:v>1.074130997531918</c:v>
                </c:pt>
                <c:pt idx="1">
                  <c:v>2.745127858082471</c:v>
                </c:pt>
                <c:pt idx="2">
                  <c:v>7.8258632885345003</c:v>
                </c:pt>
                <c:pt idx="3">
                  <c:v>31.543495686921979</c:v>
                </c:pt>
                <c:pt idx="4">
                  <c:v>70.150661106803852</c:v>
                </c:pt>
              </c:numCache>
            </c:numRef>
          </c:val>
          <c:smooth val="0"/>
          <c:extLst>
            <c:ext xmlns:c16="http://schemas.microsoft.com/office/drawing/2014/chart" uri="{C3380CC4-5D6E-409C-BE32-E72D297353CC}">
              <c16:uniqueId val="{00000008-F95D-4DF9-9B2C-DE4F6D3F721E}"/>
            </c:ext>
          </c:extLst>
        </c:ser>
        <c:dLbls>
          <c:showLegendKey val="0"/>
          <c:showVal val="0"/>
          <c:showCatName val="0"/>
          <c:showSerName val="0"/>
          <c:showPercent val="0"/>
          <c:showBubbleSize val="0"/>
        </c:dLbls>
        <c:marker val="1"/>
        <c:smooth val="0"/>
        <c:axId val="216242655"/>
        <c:axId val="216232671"/>
      </c:lineChart>
      <c:catAx>
        <c:axId val="216242655"/>
        <c:scaling>
          <c:orientation val="minMax"/>
        </c:scaling>
        <c:delete val="0"/>
        <c:axPos val="b"/>
        <c:numFmt formatCode="General" sourceLinked="1"/>
        <c:majorTickMark val="out"/>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16232671"/>
        <c:crosses val="autoZero"/>
        <c:auto val="1"/>
        <c:lblAlgn val="ctr"/>
        <c:lblOffset val="100"/>
        <c:noMultiLvlLbl val="0"/>
      </c:catAx>
      <c:valAx>
        <c:axId val="216232671"/>
        <c:scaling>
          <c:orientation val="minMax"/>
        </c:scaling>
        <c:delete val="0"/>
        <c:axPos val="l"/>
        <c:majorGridlines>
          <c:spPr>
            <a:ln w="3175" cap="flat" cmpd="sng" algn="ctr">
              <a:solidFill>
                <a:sysClr val="windowText" lastClr="000000"/>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a:t>
                </a:r>
              </a:p>
            </c:rich>
          </c:tx>
          <c:layout>
            <c:manualLayout>
              <c:xMode val="edge"/>
              <c:yMode val="edge"/>
              <c:x val="1.4154542157640134E-2"/>
              <c:y val="0.3732532095516424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w="3175">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16242655"/>
        <c:crosses val="autoZero"/>
        <c:crossBetween val="between"/>
        <c:majorUnit val="20"/>
      </c:valAx>
      <c:spPr>
        <a:noFill/>
        <a:ln w="3175">
          <a:solidFill>
            <a:sysClr val="windowText" lastClr="000000"/>
          </a:solidFill>
        </a:ln>
        <a:effectLst/>
      </c:spPr>
    </c:plotArea>
    <c:legend>
      <c:legendPos val="b"/>
      <c:layout>
        <c:manualLayout>
          <c:xMode val="edge"/>
          <c:yMode val="edge"/>
          <c:x val="0.15249749519015041"/>
          <c:y val="5.1308442903967147E-2"/>
          <c:w val="0.39989304615611576"/>
          <c:h val="0.13578836855919327"/>
        </c:manualLayout>
      </c:layout>
      <c:overlay val="0"/>
      <c:spPr>
        <a:solidFill>
          <a:sysClr val="window" lastClr="FFFFFF"/>
        </a:solidFill>
        <a:ln w="3175">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88403722261991"/>
          <c:y val="4.9583318544703388E-2"/>
          <c:w val="0.79764638511095209"/>
          <c:h val="0.60908685577482735"/>
        </c:manualLayout>
      </c:layout>
      <c:barChart>
        <c:barDir val="bar"/>
        <c:grouping val="clustered"/>
        <c:varyColors val="0"/>
        <c:ser>
          <c:idx val="0"/>
          <c:order val="0"/>
          <c:tx>
            <c:strRef>
              <c:f>'4_nove'!$A$77</c:f>
              <c:strCache>
                <c:ptCount val="1"/>
                <c:pt idx="0">
                  <c:v> celkem</c:v>
                </c:pt>
              </c:strCache>
            </c:strRef>
          </c:tx>
          <c:spPr>
            <a:solidFill>
              <a:srgbClr val="0070C0"/>
            </a:solidFill>
            <a:ln w="3175">
              <a:solidFill>
                <a:sysClr val="windowText" lastClr="000000"/>
              </a:solidFill>
            </a:ln>
            <a:effectLst/>
          </c:spPr>
          <c:invertIfNegative val="0"/>
          <c:cat>
            <c:strRef>
              <c:f>'4_nove'!$B$76:$E$76</c:f>
              <c:strCache>
                <c:ptCount val="4"/>
                <c:pt idx="0">
                  <c:v>I.</c:v>
                </c:pt>
                <c:pt idx="1">
                  <c:v>II.</c:v>
                </c:pt>
                <c:pt idx="2">
                  <c:v>III.</c:v>
                </c:pt>
                <c:pt idx="3">
                  <c:v>IV.</c:v>
                </c:pt>
              </c:strCache>
            </c:strRef>
          </c:cat>
          <c:val>
            <c:numRef>
              <c:f>'4_nove'!$B$77:$E$77</c:f>
              <c:numCache>
                <c:formatCode>General</c:formatCode>
                <c:ptCount val="4"/>
                <c:pt idx="0">
                  <c:v>69971</c:v>
                </c:pt>
                <c:pt idx="1">
                  <c:v>83666</c:v>
                </c:pt>
                <c:pt idx="2">
                  <c:v>69122</c:v>
                </c:pt>
                <c:pt idx="3">
                  <c:v>37511</c:v>
                </c:pt>
              </c:numCache>
            </c:numRef>
          </c:val>
          <c:extLst>
            <c:ext xmlns:c16="http://schemas.microsoft.com/office/drawing/2014/chart" uri="{C3380CC4-5D6E-409C-BE32-E72D297353CC}">
              <c16:uniqueId val="{00000000-D2E4-45AD-B7FF-08C71B3B0322}"/>
            </c:ext>
          </c:extLst>
        </c:ser>
        <c:dLbls>
          <c:showLegendKey val="0"/>
          <c:showVal val="0"/>
          <c:showCatName val="0"/>
          <c:showSerName val="0"/>
          <c:showPercent val="0"/>
          <c:showBubbleSize val="0"/>
        </c:dLbls>
        <c:gapWidth val="47"/>
        <c:axId val="365113359"/>
        <c:axId val="365115439"/>
      </c:barChart>
      <c:barChart>
        <c:barDir val="bar"/>
        <c:grouping val="clustered"/>
        <c:varyColors val="0"/>
        <c:ser>
          <c:idx val="1"/>
          <c:order val="1"/>
          <c:tx>
            <c:strRef>
              <c:f>'4_nove'!$A$78</c:f>
              <c:strCache>
                <c:ptCount val="1"/>
                <c:pt idx="0">
                  <c:v> z toho vyplaceno osobám v pobytovém
zařízení sociálních služeb</c:v>
                </c:pt>
              </c:strCache>
            </c:strRef>
          </c:tx>
          <c:spPr>
            <a:solidFill>
              <a:srgbClr val="A3D8FF"/>
            </a:solidFill>
            <a:ln w="3175">
              <a:solidFill>
                <a:sysClr val="windowText" lastClr="000000"/>
              </a:solidFill>
            </a:ln>
            <a:effectLst/>
          </c:spPr>
          <c:invertIfNegative val="0"/>
          <c:cat>
            <c:strRef>
              <c:f>'4_nove'!$B$76:$E$76</c:f>
              <c:strCache>
                <c:ptCount val="4"/>
                <c:pt idx="0">
                  <c:v>I.</c:v>
                </c:pt>
                <c:pt idx="1">
                  <c:v>II.</c:v>
                </c:pt>
                <c:pt idx="2">
                  <c:v>III.</c:v>
                </c:pt>
                <c:pt idx="3">
                  <c:v>IV.</c:v>
                </c:pt>
              </c:strCache>
            </c:strRef>
          </c:cat>
          <c:val>
            <c:numRef>
              <c:f>'4_nove'!$B$78:$E$78</c:f>
              <c:numCache>
                <c:formatCode>General</c:formatCode>
                <c:ptCount val="4"/>
                <c:pt idx="0">
                  <c:v>6102</c:v>
                </c:pt>
                <c:pt idx="1">
                  <c:v>12676</c:v>
                </c:pt>
                <c:pt idx="2">
                  <c:v>20491</c:v>
                </c:pt>
                <c:pt idx="3">
                  <c:v>19670</c:v>
                </c:pt>
              </c:numCache>
            </c:numRef>
          </c:val>
          <c:extLst>
            <c:ext xmlns:c16="http://schemas.microsoft.com/office/drawing/2014/chart" uri="{C3380CC4-5D6E-409C-BE32-E72D297353CC}">
              <c16:uniqueId val="{00000001-D2E4-45AD-B7FF-08C71B3B0322}"/>
            </c:ext>
          </c:extLst>
        </c:ser>
        <c:dLbls>
          <c:showLegendKey val="0"/>
          <c:showVal val="0"/>
          <c:showCatName val="0"/>
          <c:showSerName val="0"/>
          <c:showPercent val="0"/>
          <c:showBubbleSize val="0"/>
        </c:dLbls>
        <c:gapWidth val="79"/>
        <c:axId val="1979457423"/>
        <c:axId val="1979455343"/>
      </c:barChart>
      <c:catAx>
        <c:axId val="365113359"/>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stupeň závislosti</a:t>
                </a:r>
              </a:p>
            </c:rich>
          </c:tx>
          <c:layout>
            <c:manualLayout>
              <c:xMode val="edge"/>
              <c:yMode val="edge"/>
              <c:x val="1.1883798616082082E-2"/>
              <c:y val="0.1736005367750083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365115439"/>
        <c:crosses val="autoZero"/>
        <c:auto val="1"/>
        <c:lblAlgn val="ctr"/>
        <c:lblOffset val="100"/>
        <c:noMultiLvlLbl val="0"/>
      </c:catAx>
      <c:valAx>
        <c:axId val="365115439"/>
        <c:scaling>
          <c:orientation val="minMax"/>
        </c:scaling>
        <c:delete val="0"/>
        <c:axPos val="b"/>
        <c:majorGridlines>
          <c:spPr>
            <a:ln w="3175" cap="flat" cmpd="sng" algn="ctr">
              <a:solidFill>
                <a:sysClr val="windowText" lastClr="000000"/>
              </a:solidFill>
              <a:round/>
            </a:ln>
            <a:effectLst/>
          </c:spPr>
        </c:majorGridlines>
        <c:numFmt formatCode="#,##0" sourceLinked="0"/>
        <c:majorTickMark val="none"/>
        <c:minorTickMark val="none"/>
        <c:tickLblPos val="nextTo"/>
        <c:spPr>
          <a:noFill/>
          <a:ln w="3175">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365113359"/>
        <c:crosses val="autoZero"/>
        <c:crossBetween val="between"/>
        <c:dispUnits>
          <c:builtInUnit val="thousands"/>
          <c:dispUnitsLbl>
            <c:layout>
              <c:manualLayout>
                <c:xMode val="edge"/>
                <c:yMode val="edge"/>
                <c:x val="0.49533261751371982"/>
                <c:y val="0.74263769660371393"/>
              </c:manualLayout>
            </c:layout>
            <c:tx>
              <c:rich>
                <a:bodyPr rot="0" spcFirstLastPara="1" vertOverflow="ellipsis" vert="horz" wrap="square" anchor="t" anchorCtr="0"/>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v tis.</a:t>
                  </a:r>
                </a:p>
              </c:rich>
            </c:tx>
            <c:spPr>
              <a:noFill/>
              <a:ln>
                <a:noFill/>
              </a:ln>
              <a:effectLst/>
            </c:spPr>
            <c:txPr>
              <a:bodyPr rot="0" spcFirstLastPara="1" vertOverflow="ellipsis" vert="horz" wrap="square" anchor="t" anchorCtr="0"/>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dispUnitsLbl>
        </c:dispUnits>
      </c:valAx>
      <c:valAx>
        <c:axId val="1979455343"/>
        <c:scaling>
          <c:orientation val="minMax"/>
          <c:max val="100000"/>
        </c:scaling>
        <c:delete val="0"/>
        <c:axPos val="t"/>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979457423"/>
        <c:crosses val="max"/>
        <c:crossBetween val="between"/>
        <c:dispUnits>
          <c:builtInUnit val="thousands"/>
        </c:dispUnits>
      </c:valAx>
      <c:catAx>
        <c:axId val="1979457423"/>
        <c:scaling>
          <c:orientation val="minMax"/>
        </c:scaling>
        <c:delete val="1"/>
        <c:axPos val="l"/>
        <c:numFmt formatCode="General" sourceLinked="1"/>
        <c:majorTickMark val="out"/>
        <c:minorTickMark val="none"/>
        <c:tickLblPos val="nextTo"/>
        <c:crossAx val="1979455343"/>
        <c:crosses val="autoZero"/>
        <c:auto val="1"/>
        <c:lblAlgn val="ctr"/>
        <c:lblOffset val="100"/>
        <c:noMultiLvlLbl val="0"/>
      </c:catAx>
      <c:spPr>
        <a:noFill/>
        <a:ln w="3175">
          <a:solidFill>
            <a:sysClr val="windowText" lastClr="000000"/>
          </a:solidFill>
        </a:ln>
        <a:effectLst/>
      </c:spPr>
    </c:plotArea>
    <c:legend>
      <c:legendPos val="r"/>
      <c:layout>
        <c:manualLayout>
          <c:xMode val="edge"/>
          <c:yMode val="edge"/>
          <c:x val="0.13303054163684089"/>
          <c:y val="0.88068517751070585"/>
          <c:w val="0.79917179670722982"/>
          <c:h val="0.11498312710911136"/>
        </c:manualLayout>
      </c:layout>
      <c:overlay val="0"/>
      <c:spPr>
        <a:noFill/>
        <a:ln w="3175">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33512300721716"/>
          <c:y val="5.0925925925925923E-2"/>
          <c:w val="0.77274806563367049"/>
          <c:h val="0.70212375413857575"/>
        </c:manualLayout>
      </c:layout>
      <c:barChart>
        <c:barDir val="col"/>
        <c:grouping val="clustered"/>
        <c:varyColors val="0"/>
        <c:ser>
          <c:idx val="0"/>
          <c:order val="0"/>
          <c:tx>
            <c:strRef>
              <c:f>'9'!$A$4</c:f>
              <c:strCache>
                <c:ptCount val="1"/>
                <c:pt idx="0">
                  <c:v> muži</c:v>
                </c:pt>
              </c:strCache>
            </c:strRef>
          </c:tx>
          <c:spPr>
            <a:solidFill>
              <a:srgbClr val="0070C0"/>
            </a:solidFill>
            <a:ln w="3175">
              <a:solidFill>
                <a:sysClr val="windowText" lastClr="000000"/>
              </a:solidFill>
            </a:ln>
            <a:effectLst/>
          </c:spPr>
          <c:invertIfNegative val="0"/>
          <c:cat>
            <c:strRef>
              <c:f>'9'!$B$3:$F$3</c:f>
              <c:strCache>
                <c:ptCount val="5"/>
                <c:pt idx="0">
                  <c:v>1–59 let</c:v>
                </c:pt>
                <c:pt idx="1">
                  <c:v>60–69 let</c:v>
                </c:pt>
                <c:pt idx="2">
                  <c:v>70–79 let</c:v>
                </c:pt>
                <c:pt idx="3">
                  <c:v>80–89 let</c:v>
                </c:pt>
                <c:pt idx="4">
                  <c:v>90 let a více</c:v>
                </c:pt>
              </c:strCache>
            </c:strRef>
          </c:cat>
          <c:val>
            <c:numRef>
              <c:f>'9'!$B$4:$F$4</c:f>
              <c:numCache>
                <c:formatCode>General</c:formatCode>
                <c:ptCount val="5"/>
                <c:pt idx="0">
                  <c:v>61664</c:v>
                </c:pt>
                <c:pt idx="1">
                  <c:v>38416</c:v>
                </c:pt>
                <c:pt idx="2">
                  <c:v>49556</c:v>
                </c:pt>
                <c:pt idx="3">
                  <c:v>31411</c:v>
                </c:pt>
                <c:pt idx="4">
                  <c:v>11389</c:v>
                </c:pt>
              </c:numCache>
            </c:numRef>
          </c:val>
          <c:extLst>
            <c:ext xmlns:c16="http://schemas.microsoft.com/office/drawing/2014/chart" uri="{C3380CC4-5D6E-409C-BE32-E72D297353CC}">
              <c16:uniqueId val="{00000000-77D3-4618-892C-D0A02F71DCBF}"/>
            </c:ext>
          </c:extLst>
        </c:ser>
        <c:ser>
          <c:idx val="1"/>
          <c:order val="1"/>
          <c:tx>
            <c:strRef>
              <c:f>'9'!$A$5</c:f>
              <c:strCache>
                <c:ptCount val="1"/>
                <c:pt idx="0">
                  <c:v> ženy</c:v>
                </c:pt>
              </c:strCache>
            </c:strRef>
          </c:tx>
          <c:spPr>
            <a:solidFill>
              <a:srgbClr val="C00000"/>
            </a:solidFill>
            <a:ln w="3175">
              <a:solidFill>
                <a:sysClr val="windowText" lastClr="000000"/>
              </a:solidFill>
            </a:ln>
            <a:effectLst/>
          </c:spPr>
          <c:invertIfNegative val="0"/>
          <c:cat>
            <c:strRef>
              <c:f>'9'!$B$3:$F$3</c:f>
              <c:strCache>
                <c:ptCount val="5"/>
                <c:pt idx="0">
                  <c:v>1–59 let</c:v>
                </c:pt>
                <c:pt idx="1">
                  <c:v>60–69 let</c:v>
                </c:pt>
                <c:pt idx="2">
                  <c:v>70–79 let</c:v>
                </c:pt>
                <c:pt idx="3">
                  <c:v>80–89 let</c:v>
                </c:pt>
                <c:pt idx="4">
                  <c:v>90 let a více</c:v>
                </c:pt>
              </c:strCache>
            </c:strRef>
          </c:cat>
          <c:val>
            <c:numRef>
              <c:f>'9'!$B$5:$F$5</c:f>
              <c:numCache>
                <c:formatCode>General</c:formatCode>
                <c:ptCount val="5"/>
                <c:pt idx="0">
                  <c:v>47030</c:v>
                </c:pt>
                <c:pt idx="1">
                  <c:v>29215</c:v>
                </c:pt>
                <c:pt idx="2">
                  <c:v>50318</c:v>
                </c:pt>
                <c:pt idx="3">
                  <c:v>54102</c:v>
                </c:pt>
                <c:pt idx="4">
                  <c:v>27408</c:v>
                </c:pt>
              </c:numCache>
            </c:numRef>
          </c:val>
          <c:extLst>
            <c:ext xmlns:c16="http://schemas.microsoft.com/office/drawing/2014/chart" uri="{C3380CC4-5D6E-409C-BE32-E72D297353CC}">
              <c16:uniqueId val="{00000001-77D3-4618-892C-D0A02F71DCBF}"/>
            </c:ext>
          </c:extLst>
        </c:ser>
        <c:dLbls>
          <c:showLegendKey val="0"/>
          <c:showVal val="0"/>
          <c:showCatName val="0"/>
          <c:showSerName val="0"/>
          <c:showPercent val="0"/>
          <c:showBubbleSize val="0"/>
        </c:dLbls>
        <c:gapWidth val="80"/>
        <c:axId val="519870671"/>
        <c:axId val="519874831"/>
      </c:barChart>
      <c:lineChart>
        <c:grouping val="standard"/>
        <c:varyColors val="0"/>
        <c:ser>
          <c:idx val="2"/>
          <c:order val="2"/>
          <c:tx>
            <c:strRef>
              <c:f>'9'!$A$6</c:f>
              <c:strCache>
                <c:ptCount val="1"/>
                <c:pt idx="0">
                  <c:v> % z osob daného věku</c:v>
                </c:pt>
              </c:strCache>
            </c:strRef>
          </c:tx>
          <c:spPr>
            <a:ln w="28575" cap="rnd">
              <a:solidFill>
                <a:sysClr val="windowText" lastClr="000000"/>
              </a:solidFill>
              <a:prstDash val="sysDash"/>
              <a:round/>
            </a:ln>
            <a:effectLst/>
          </c:spPr>
          <c:marker>
            <c:symbol val="circle"/>
            <c:size val="6"/>
            <c:spPr>
              <a:solidFill>
                <a:schemeClr val="tx1"/>
              </a:solidFill>
              <a:ln w="9525">
                <a:noFill/>
              </a:ln>
              <a:effectLst/>
            </c:spPr>
          </c:marker>
          <c:cat>
            <c:strRef>
              <c:f>'9'!$B$3:$F$3</c:f>
              <c:strCache>
                <c:ptCount val="5"/>
                <c:pt idx="0">
                  <c:v>1–59 let</c:v>
                </c:pt>
                <c:pt idx="1">
                  <c:v>60–69 let</c:v>
                </c:pt>
                <c:pt idx="2">
                  <c:v>70–79 let</c:v>
                </c:pt>
                <c:pt idx="3">
                  <c:v>80–89 let</c:v>
                </c:pt>
                <c:pt idx="4">
                  <c:v>90 let a více</c:v>
                </c:pt>
              </c:strCache>
            </c:strRef>
          </c:cat>
          <c:val>
            <c:numRef>
              <c:f>'9'!$B$6:$F$6</c:f>
              <c:numCache>
                <c:formatCode>0</c:formatCode>
                <c:ptCount val="5"/>
                <c:pt idx="0">
                  <c:v>1.4233571528561755</c:v>
                </c:pt>
                <c:pt idx="1">
                  <c:v>5.3710265871017846</c:v>
                </c:pt>
                <c:pt idx="2">
                  <c:v>9.4374781482986378</c:v>
                </c:pt>
                <c:pt idx="3">
                  <c:v>22.105350232523271</c:v>
                </c:pt>
                <c:pt idx="4">
                  <c:v>60.33748055987558</c:v>
                </c:pt>
              </c:numCache>
            </c:numRef>
          </c:val>
          <c:smooth val="0"/>
          <c:extLst>
            <c:ext xmlns:c16="http://schemas.microsoft.com/office/drawing/2014/chart" uri="{C3380CC4-5D6E-409C-BE32-E72D297353CC}">
              <c16:uniqueId val="{00000002-77D3-4618-892C-D0A02F71DCBF}"/>
            </c:ext>
          </c:extLst>
        </c:ser>
        <c:dLbls>
          <c:showLegendKey val="0"/>
          <c:showVal val="0"/>
          <c:showCatName val="0"/>
          <c:showSerName val="0"/>
          <c:showPercent val="0"/>
          <c:showBubbleSize val="0"/>
        </c:dLbls>
        <c:marker val="1"/>
        <c:smooth val="0"/>
        <c:axId val="598434351"/>
        <c:axId val="598440591"/>
      </c:lineChart>
      <c:catAx>
        <c:axId val="519870671"/>
        <c:scaling>
          <c:orientation val="minMax"/>
        </c:scaling>
        <c:delete val="0"/>
        <c:axPos val="b"/>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19874831"/>
        <c:crosses val="autoZero"/>
        <c:auto val="1"/>
        <c:lblAlgn val="ctr"/>
        <c:lblOffset val="100"/>
        <c:noMultiLvlLbl val="0"/>
      </c:catAx>
      <c:valAx>
        <c:axId val="519874831"/>
        <c:scaling>
          <c:orientation val="minMax"/>
          <c:min val="0"/>
        </c:scaling>
        <c:delete val="0"/>
        <c:axPos val="l"/>
        <c:majorGridlines>
          <c:spPr>
            <a:ln w="3175" cap="flat" cmpd="sng" algn="ctr">
              <a:solidFill>
                <a:sysClr val="windowText" lastClr="000000"/>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tis. osob</a:t>
                </a:r>
              </a:p>
            </c:rich>
          </c:tx>
          <c:layout>
            <c:manualLayout>
              <c:xMode val="edge"/>
              <c:yMode val="edge"/>
              <c:x val="8.9628877119915973E-4"/>
              <c:y val="0.3426942396963206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w="3175">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19870671"/>
        <c:crosses val="autoZero"/>
        <c:crossBetween val="between"/>
        <c:dispUnits>
          <c:builtInUnit val="thousands"/>
        </c:dispUnits>
      </c:valAx>
      <c:valAx>
        <c:axId val="598440591"/>
        <c:scaling>
          <c:orientation val="minMax"/>
          <c:min val="0"/>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a:t>
                </a:r>
              </a:p>
            </c:rich>
          </c:tx>
          <c:layout>
            <c:manualLayout>
              <c:xMode val="edge"/>
              <c:yMode val="edge"/>
              <c:x val="0.95856047594887839"/>
              <c:y val="0.3681056627360108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98434351"/>
        <c:crosses val="max"/>
        <c:crossBetween val="between"/>
      </c:valAx>
      <c:catAx>
        <c:axId val="598434351"/>
        <c:scaling>
          <c:orientation val="minMax"/>
        </c:scaling>
        <c:delete val="1"/>
        <c:axPos val="b"/>
        <c:numFmt formatCode="General" sourceLinked="1"/>
        <c:majorTickMark val="out"/>
        <c:minorTickMark val="none"/>
        <c:tickLblPos val="nextTo"/>
        <c:crossAx val="598440591"/>
        <c:crosses val="autoZero"/>
        <c:auto val="1"/>
        <c:lblAlgn val="ctr"/>
        <c:lblOffset val="100"/>
        <c:noMultiLvlLbl val="0"/>
      </c:catAx>
      <c:spPr>
        <a:noFill/>
        <a:ln w="3175">
          <a:solidFill>
            <a:sysClr val="windowText" lastClr="000000"/>
          </a:solidFill>
        </a:ln>
        <a:effectLst/>
      </c:spPr>
    </c:plotArea>
    <c:legend>
      <c:legendPos val="b"/>
      <c:layout>
        <c:manualLayout>
          <c:xMode val="edge"/>
          <c:yMode val="edge"/>
          <c:x val="9.5157992379073394E-2"/>
          <c:y val="0.91451242844402414"/>
          <c:w val="0.78277439867781518"/>
          <c:h val="6.9496852109172627E-2"/>
        </c:manualLayout>
      </c:layout>
      <c:overlay val="0"/>
      <c:spPr>
        <a:noFill/>
        <a:ln w="3175">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40381964513369"/>
          <c:y val="3.6025217652356653E-2"/>
          <c:w val="0.84870636124887144"/>
          <c:h val="0.70021298373428331"/>
        </c:manualLayout>
      </c:layout>
      <c:lineChart>
        <c:grouping val="standard"/>
        <c:varyColors val="0"/>
        <c:ser>
          <c:idx val="0"/>
          <c:order val="0"/>
          <c:tx>
            <c:strRef>
              <c:f>mobil!$A$8</c:f>
              <c:strCache>
                <c:ptCount val="1"/>
                <c:pt idx="0">
                  <c:v>chytrý</c:v>
                </c:pt>
              </c:strCache>
            </c:strRef>
          </c:tx>
          <c:spPr>
            <a:ln w="25400" cap="rnd">
              <a:solidFill>
                <a:srgbClr val="BD1B21"/>
              </a:solidFill>
              <a:round/>
            </a:ln>
            <a:effectLst/>
          </c:spPr>
          <c:marker>
            <c:symbol val="circle"/>
            <c:size val="5"/>
            <c:spPr>
              <a:solidFill>
                <a:srgbClr val="BD1B21"/>
              </a:solidFill>
              <a:ln w="9525">
                <a:noFill/>
              </a:ln>
              <a:effectLst/>
            </c:spPr>
          </c:marker>
          <c:dLbls>
            <c:dLbl>
              <c:idx val="4"/>
              <c:layout>
                <c:manualLayout>
                  <c:x val="-2.2439944296841909E-2"/>
                  <c:y val="-3.54233554378157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1B-4528-891B-825EE49EB597}"/>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mobil!$B$7:$F$7</c:f>
              <c:numCache>
                <c:formatCode>General</c:formatCode>
                <c:ptCount val="5"/>
                <c:pt idx="0">
                  <c:v>2018</c:v>
                </c:pt>
                <c:pt idx="1">
                  <c:v>2019</c:v>
                </c:pt>
                <c:pt idx="2">
                  <c:v>2020</c:v>
                </c:pt>
                <c:pt idx="3">
                  <c:v>2021</c:v>
                </c:pt>
                <c:pt idx="4">
                  <c:v>2022</c:v>
                </c:pt>
              </c:numCache>
            </c:numRef>
          </c:cat>
          <c:val>
            <c:numRef>
              <c:f>mobil!$B$8:$F$8</c:f>
              <c:numCache>
                <c:formatCode>General</c:formatCode>
                <c:ptCount val="5"/>
                <c:pt idx="0">
                  <c:v>14.37</c:v>
                </c:pt>
                <c:pt idx="1">
                  <c:v>19.82</c:v>
                </c:pt>
                <c:pt idx="2">
                  <c:v>23.37</c:v>
                </c:pt>
                <c:pt idx="3">
                  <c:v>30.01</c:v>
                </c:pt>
                <c:pt idx="4">
                  <c:v>39.65</c:v>
                </c:pt>
              </c:numCache>
            </c:numRef>
          </c:val>
          <c:smooth val="0"/>
          <c:extLst>
            <c:ext xmlns:c16="http://schemas.microsoft.com/office/drawing/2014/chart" uri="{C3380CC4-5D6E-409C-BE32-E72D297353CC}">
              <c16:uniqueId val="{00000001-731B-4528-891B-825EE49EB597}"/>
            </c:ext>
          </c:extLst>
        </c:ser>
        <c:ser>
          <c:idx val="1"/>
          <c:order val="1"/>
          <c:tx>
            <c:strRef>
              <c:f>mobil!$A$9</c:f>
              <c:strCache>
                <c:ptCount val="1"/>
                <c:pt idx="0">
                  <c:v>tlačítkový</c:v>
                </c:pt>
              </c:strCache>
            </c:strRef>
          </c:tx>
          <c:spPr>
            <a:ln w="25400" cap="rnd">
              <a:solidFill>
                <a:srgbClr val="0071BC"/>
              </a:solidFill>
              <a:round/>
            </a:ln>
            <a:effectLst/>
          </c:spPr>
          <c:marker>
            <c:symbol val="circle"/>
            <c:size val="5"/>
            <c:spPr>
              <a:solidFill>
                <a:srgbClr val="0071BC"/>
              </a:solidFill>
              <a:ln w="9525">
                <a:noFill/>
              </a:ln>
              <a:effectLst/>
            </c:spPr>
          </c:marker>
          <c:dLbls>
            <c:dLbl>
              <c:idx val="4"/>
              <c:layout>
                <c:manualLayout>
                  <c:x val="-6.4299714068108055E-2"/>
                  <c:y val="2.96844745195946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1B-4528-891B-825EE49EB597}"/>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mobil!$B$7:$F$7</c:f>
              <c:numCache>
                <c:formatCode>General</c:formatCode>
                <c:ptCount val="5"/>
                <c:pt idx="0">
                  <c:v>2018</c:v>
                </c:pt>
                <c:pt idx="1">
                  <c:v>2019</c:v>
                </c:pt>
                <c:pt idx="2">
                  <c:v>2020</c:v>
                </c:pt>
                <c:pt idx="3">
                  <c:v>2021</c:v>
                </c:pt>
                <c:pt idx="4">
                  <c:v>2022</c:v>
                </c:pt>
              </c:numCache>
            </c:numRef>
          </c:cat>
          <c:val>
            <c:numRef>
              <c:f>mobil!$B$9:$F$9</c:f>
              <c:numCache>
                <c:formatCode>General</c:formatCode>
                <c:ptCount val="5"/>
                <c:pt idx="0">
                  <c:v>76.56</c:v>
                </c:pt>
                <c:pt idx="1">
                  <c:v>73.7</c:v>
                </c:pt>
                <c:pt idx="2">
                  <c:v>74.56</c:v>
                </c:pt>
                <c:pt idx="3">
                  <c:v>67.33</c:v>
                </c:pt>
                <c:pt idx="4">
                  <c:v>57.49</c:v>
                </c:pt>
              </c:numCache>
            </c:numRef>
          </c:val>
          <c:smooth val="0"/>
          <c:extLst>
            <c:ext xmlns:c16="http://schemas.microsoft.com/office/drawing/2014/chart" uri="{C3380CC4-5D6E-409C-BE32-E72D297353CC}">
              <c16:uniqueId val="{00000003-731B-4528-891B-825EE49EB597}"/>
            </c:ext>
          </c:extLst>
        </c:ser>
        <c:ser>
          <c:idx val="2"/>
          <c:order val="2"/>
          <c:tx>
            <c:strRef>
              <c:f>mobil!$A$10</c:f>
              <c:strCache>
                <c:ptCount val="1"/>
                <c:pt idx="0">
                  <c:v>mobilní telefon celkem</c:v>
                </c:pt>
              </c:strCache>
            </c:strRef>
          </c:tx>
          <c:spPr>
            <a:ln w="25400" cap="rnd">
              <a:solidFill>
                <a:srgbClr val="FFC000"/>
              </a:solidFill>
              <a:round/>
            </a:ln>
            <a:effectLst/>
          </c:spPr>
          <c:marker>
            <c:symbol val="circle"/>
            <c:size val="5"/>
            <c:spPr>
              <a:solidFill>
                <a:srgbClr val="FFC000"/>
              </a:solidFill>
              <a:ln w="9525">
                <a:noFill/>
              </a:ln>
              <a:effectLst/>
            </c:spPr>
          </c:marker>
          <c:dLbls>
            <c:dLbl>
              <c:idx val="0"/>
              <c:layout>
                <c:manualLayout>
                  <c:x val="-5.23397798477463E-2"/>
                  <c:y val="5.2639998192478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1B-4528-891B-825EE49EB597}"/>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mobil!$B$7:$F$7</c:f>
              <c:numCache>
                <c:formatCode>General</c:formatCode>
                <c:ptCount val="5"/>
                <c:pt idx="0">
                  <c:v>2018</c:v>
                </c:pt>
                <c:pt idx="1">
                  <c:v>2019</c:v>
                </c:pt>
                <c:pt idx="2">
                  <c:v>2020</c:v>
                </c:pt>
                <c:pt idx="3">
                  <c:v>2021</c:v>
                </c:pt>
                <c:pt idx="4">
                  <c:v>2022</c:v>
                </c:pt>
              </c:numCache>
            </c:numRef>
          </c:cat>
          <c:val>
            <c:numRef>
              <c:f>mobil!$B$10:$F$10</c:f>
              <c:numCache>
                <c:formatCode>General</c:formatCode>
                <c:ptCount val="5"/>
                <c:pt idx="0">
                  <c:v>89.99</c:v>
                </c:pt>
                <c:pt idx="1">
                  <c:v>91.62</c:v>
                </c:pt>
                <c:pt idx="2">
                  <c:v>96.7</c:v>
                </c:pt>
                <c:pt idx="3">
                  <c:v>96.2</c:v>
                </c:pt>
                <c:pt idx="4">
                  <c:v>96.19</c:v>
                </c:pt>
              </c:numCache>
            </c:numRef>
          </c:val>
          <c:smooth val="0"/>
          <c:extLst>
            <c:ext xmlns:c16="http://schemas.microsoft.com/office/drawing/2014/chart" uri="{C3380CC4-5D6E-409C-BE32-E72D297353CC}">
              <c16:uniqueId val="{00000005-731B-4528-891B-825EE49EB597}"/>
            </c:ext>
          </c:extLst>
        </c:ser>
        <c:dLbls>
          <c:showLegendKey val="0"/>
          <c:showVal val="0"/>
          <c:showCatName val="0"/>
          <c:showSerName val="0"/>
          <c:showPercent val="0"/>
          <c:showBubbleSize val="0"/>
        </c:dLbls>
        <c:marker val="1"/>
        <c:smooth val="0"/>
        <c:axId val="2104875135"/>
        <c:axId val="2104873055"/>
      </c:lineChart>
      <c:catAx>
        <c:axId val="2104875135"/>
        <c:scaling>
          <c:orientation val="minMax"/>
        </c:scaling>
        <c:delete val="0"/>
        <c:axPos val="b"/>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cs-CZ"/>
          </a:p>
        </c:txPr>
        <c:crossAx val="2104873055"/>
        <c:crosses val="autoZero"/>
        <c:auto val="1"/>
        <c:lblAlgn val="ctr"/>
        <c:lblOffset val="100"/>
        <c:noMultiLvlLbl val="0"/>
      </c:catAx>
      <c:valAx>
        <c:axId val="2104873055"/>
        <c:scaling>
          <c:orientation val="minMax"/>
          <c:max val="100"/>
        </c:scaling>
        <c:delete val="0"/>
        <c:axPos val="l"/>
        <c:majorGridlines>
          <c:spPr>
            <a:ln w="3175" cap="flat" cmpd="sng" algn="ctr">
              <a:solidFill>
                <a:schemeClr val="tx1"/>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r>
                  <a:rPr lang="cs-CZ" baseline="0"/>
                  <a:t>%</a:t>
                </a:r>
                <a:endParaRPr lang="cs-CZ"/>
              </a:p>
            </c:rich>
          </c:tx>
          <c:layout>
            <c:manualLayout>
              <c:xMode val="edge"/>
              <c:yMode val="edge"/>
              <c:x val="2.989983555090447E-3"/>
              <c:y val="0.3201152617856121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cs-CZ"/>
          </a:p>
        </c:txPr>
        <c:crossAx val="2104875135"/>
        <c:crosses val="autoZero"/>
        <c:crossBetween val="between"/>
      </c:valAx>
      <c:spPr>
        <a:noFill/>
        <a:ln w="3175">
          <a:solidFill>
            <a:schemeClr val="tx1"/>
          </a:solidFill>
        </a:ln>
        <a:effectLst/>
      </c:spPr>
    </c:plotArea>
    <c:legend>
      <c:legendPos val="b"/>
      <c:layout>
        <c:manualLayout>
          <c:xMode val="edge"/>
          <c:yMode val="edge"/>
          <c:x val="0.13872817400291701"/>
          <c:y val="0.88021898793722531"/>
          <c:w val="0.8002829889947416"/>
          <c:h val="9.5764200294536889E-2"/>
        </c:manualLayout>
      </c:layout>
      <c:overlay val="0"/>
      <c:spPr>
        <a:no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baseline="0">
          <a:solidFill>
            <a:sysClr val="windowText" lastClr="000000"/>
          </a:solidFill>
          <a:latin typeface="Arial" panose="020B0604020202020204" pitchFamily="34" charset="0"/>
        </a:defRPr>
      </a:pPr>
      <a:endParaRPr lang="cs-CZ"/>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76241755473494"/>
          <c:y val="5.0077486696217963E-2"/>
          <c:w val="0.84653968261442281"/>
          <c:h val="0.67078291841390225"/>
        </c:manualLayout>
      </c:layout>
      <c:barChart>
        <c:barDir val="col"/>
        <c:grouping val="clustered"/>
        <c:varyColors val="0"/>
        <c:ser>
          <c:idx val="0"/>
          <c:order val="0"/>
          <c:tx>
            <c:strRef>
              <c:f>internet!$A$7</c:f>
              <c:strCache>
                <c:ptCount val="1"/>
                <c:pt idx="0">
                  <c:v>65-74</c:v>
                </c:pt>
              </c:strCache>
            </c:strRef>
          </c:tx>
          <c:spPr>
            <a:solidFill>
              <a:srgbClr val="FFC000"/>
            </a:solidFill>
            <a:ln w="3175">
              <a:solidFill>
                <a:schemeClr val="tx1"/>
              </a:solidFill>
            </a:ln>
            <a:effectLst/>
          </c:spPr>
          <c:invertIfNegative val="0"/>
          <c:cat>
            <c:numRef>
              <c:f>internet!$B$6:$J$6</c:f>
              <c:numCache>
                <c:formatCode>General</c:formatCode>
                <c:ptCount val="9"/>
                <c:pt idx="0">
                  <c:v>2006</c:v>
                </c:pt>
                <c:pt idx="1">
                  <c:v>2008</c:v>
                </c:pt>
                <c:pt idx="2">
                  <c:v>2010</c:v>
                </c:pt>
                <c:pt idx="3">
                  <c:v>2012</c:v>
                </c:pt>
                <c:pt idx="4">
                  <c:v>2014</c:v>
                </c:pt>
                <c:pt idx="5">
                  <c:v>2016</c:v>
                </c:pt>
                <c:pt idx="6">
                  <c:v>2018</c:v>
                </c:pt>
                <c:pt idx="7">
                  <c:v>2020</c:v>
                </c:pt>
                <c:pt idx="8">
                  <c:v>2022</c:v>
                </c:pt>
              </c:numCache>
            </c:numRef>
          </c:cat>
          <c:val>
            <c:numRef>
              <c:f>internet!$B$7:$J$7</c:f>
              <c:numCache>
                <c:formatCode>0.0</c:formatCode>
                <c:ptCount val="9"/>
                <c:pt idx="0">
                  <c:v>5.2224437100000003</c:v>
                </c:pt>
                <c:pt idx="1">
                  <c:v>9.6953140900000001</c:v>
                </c:pt>
                <c:pt idx="2">
                  <c:v>19.097484869999999</c:v>
                </c:pt>
                <c:pt idx="3">
                  <c:v>25.51939995</c:v>
                </c:pt>
                <c:pt idx="4">
                  <c:v>36.934684872761167</c:v>
                </c:pt>
                <c:pt idx="5">
                  <c:v>44.1</c:v>
                </c:pt>
                <c:pt idx="6">
                  <c:v>49.99</c:v>
                </c:pt>
                <c:pt idx="7">
                  <c:v>53.337000000000003</c:v>
                </c:pt>
                <c:pt idx="8" formatCode="General">
                  <c:v>60.756</c:v>
                </c:pt>
              </c:numCache>
            </c:numRef>
          </c:val>
          <c:extLst>
            <c:ext xmlns:c16="http://schemas.microsoft.com/office/drawing/2014/chart" uri="{C3380CC4-5D6E-409C-BE32-E72D297353CC}">
              <c16:uniqueId val="{00000000-FEAC-4F8C-8B36-76F01D34B418}"/>
            </c:ext>
          </c:extLst>
        </c:ser>
        <c:ser>
          <c:idx val="1"/>
          <c:order val="1"/>
          <c:tx>
            <c:strRef>
              <c:f>internet!$A$8</c:f>
              <c:strCache>
                <c:ptCount val="1"/>
                <c:pt idx="0">
                  <c:v>75+</c:v>
                </c:pt>
              </c:strCache>
            </c:strRef>
          </c:tx>
          <c:spPr>
            <a:solidFill>
              <a:srgbClr val="0071BC"/>
            </a:solidFill>
            <a:ln w="3175">
              <a:solidFill>
                <a:schemeClr val="tx1"/>
              </a:solidFill>
            </a:ln>
            <a:effectLst/>
          </c:spPr>
          <c:invertIfNegative val="0"/>
          <c:cat>
            <c:numRef>
              <c:f>internet!$B$6:$J$6</c:f>
              <c:numCache>
                <c:formatCode>General</c:formatCode>
                <c:ptCount val="9"/>
                <c:pt idx="0">
                  <c:v>2006</c:v>
                </c:pt>
                <c:pt idx="1">
                  <c:v>2008</c:v>
                </c:pt>
                <c:pt idx="2">
                  <c:v>2010</c:v>
                </c:pt>
                <c:pt idx="3">
                  <c:v>2012</c:v>
                </c:pt>
                <c:pt idx="4">
                  <c:v>2014</c:v>
                </c:pt>
                <c:pt idx="5">
                  <c:v>2016</c:v>
                </c:pt>
                <c:pt idx="6">
                  <c:v>2018</c:v>
                </c:pt>
                <c:pt idx="7">
                  <c:v>2020</c:v>
                </c:pt>
                <c:pt idx="8">
                  <c:v>2022</c:v>
                </c:pt>
              </c:numCache>
            </c:numRef>
          </c:cat>
          <c:val>
            <c:numRef>
              <c:f>internet!$B$8:$J$8</c:f>
              <c:numCache>
                <c:formatCode>0.0</c:formatCode>
                <c:ptCount val="9"/>
                <c:pt idx="0">
                  <c:v>0.91247345999999996</c:v>
                </c:pt>
                <c:pt idx="1">
                  <c:v>1.56796636</c:v>
                </c:pt>
                <c:pt idx="2">
                  <c:v>5.0513835299999998</c:v>
                </c:pt>
                <c:pt idx="3">
                  <c:v>3.8139702999999998</c:v>
                </c:pt>
                <c:pt idx="4">
                  <c:v>10.062361779746162</c:v>
                </c:pt>
                <c:pt idx="5">
                  <c:v>13.5</c:v>
                </c:pt>
                <c:pt idx="6">
                  <c:v>19.13</c:v>
                </c:pt>
                <c:pt idx="7">
                  <c:v>19.727</c:v>
                </c:pt>
                <c:pt idx="8" formatCode="General">
                  <c:v>29.86</c:v>
                </c:pt>
              </c:numCache>
            </c:numRef>
          </c:val>
          <c:extLst>
            <c:ext xmlns:c16="http://schemas.microsoft.com/office/drawing/2014/chart" uri="{C3380CC4-5D6E-409C-BE32-E72D297353CC}">
              <c16:uniqueId val="{00000001-FEAC-4F8C-8B36-76F01D34B418}"/>
            </c:ext>
          </c:extLst>
        </c:ser>
        <c:dLbls>
          <c:showLegendKey val="0"/>
          <c:showVal val="0"/>
          <c:showCatName val="0"/>
          <c:showSerName val="0"/>
          <c:showPercent val="0"/>
          <c:showBubbleSize val="0"/>
        </c:dLbls>
        <c:gapWidth val="66"/>
        <c:axId val="2104875135"/>
        <c:axId val="2104873055"/>
      </c:barChart>
      <c:lineChart>
        <c:grouping val="standard"/>
        <c:varyColors val="0"/>
        <c:ser>
          <c:idx val="2"/>
          <c:order val="2"/>
          <c:tx>
            <c:strRef>
              <c:f>internet!$A$9</c:f>
              <c:strCache>
                <c:ptCount val="1"/>
                <c:pt idx="0">
                  <c:v>celkem 65+</c:v>
                </c:pt>
              </c:strCache>
            </c:strRef>
          </c:tx>
          <c:spPr>
            <a:ln w="25400" cap="rnd">
              <a:solidFill>
                <a:srgbClr val="BD1B21"/>
              </a:solidFill>
              <a:round/>
            </a:ln>
            <a:effectLst/>
          </c:spPr>
          <c:marker>
            <c:symbol val="circle"/>
            <c:size val="5"/>
            <c:spPr>
              <a:solidFill>
                <a:srgbClr val="BD1B21"/>
              </a:solidFill>
              <a:ln w="9525">
                <a:noFill/>
              </a:ln>
              <a:effectLst/>
            </c:spPr>
          </c:marker>
          <c:cat>
            <c:numRef>
              <c:f>internet!$B$6:$J$6</c:f>
              <c:numCache>
                <c:formatCode>General</c:formatCode>
                <c:ptCount val="9"/>
                <c:pt idx="0">
                  <c:v>2006</c:v>
                </c:pt>
                <c:pt idx="1">
                  <c:v>2008</c:v>
                </c:pt>
                <c:pt idx="2">
                  <c:v>2010</c:v>
                </c:pt>
                <c:pt idx="3">
                  <c:v>2012</c:v>
                </c:pt>
                <c:pt idx="4">
                  <c:v>2014</c:v>
                </c:pt>
                <c:pt idx="5">
                  <c:v>2016</c:v>
                </c:pt>
                <c:pt idx="6">
                  <c:v>2018</c:v>
                </c:pt>
                <c:pt idx="7">
                  <c:v>2020</c:v>
                </c:pt>
                <c:pt idx="8">
                  <c:v>2022</c:v>
                </c:pt>
              </c:numCache>
            </c:numRef>
          </c:cat>
          <c:val>
            <c:numRef>
              <c:f>internet!$B$9:$J$9</c:f>
              <c:numCache>
                <c:formatCode>0.0</c:formatCode>
                <c:ptCount val="9"/>
                <c:pt idx="0">
                  <c:v>3.3156489499999999</c:v>
                </c:pt>
                <c:pt idx="1">
                  <c:v>6.0873692699999999</c:v>
                </c:pt>
                <c:pt idx="2">
                  <c:v>13.223690960000001</c:v>
                </c:pt>
                <c:pt idx="3">
                  <c:v>16.787419629999999</c:v>
                </c:pt>
                <c:pt idx="4">
                  <c:v>26.7</c:v>
                </c:pt>
                <c:pt idx="5">
                  <c:v>32.5</c:v>
                </c:pt>
                <c:pt idx="6">
                  <c:v>38.299999999999997</c:v>
                </c:pt>
                <c:pt idx="7">
                  <c:v>40.270000000000003</c:v>
                </c:pt>
                <c:pt idx="8" formatCode="General">
                  <c:v>48.16</c:v>
                </c:pt>
              </c:numCache>
            </c:numRef>
          </c:val>
          <c:smooth val="0"/>
          <c:extLst>
            <c:ext xmlns:c16="http://schemas.microsoft.com/office/drawing/2014/chart" uri="{C3380CC4-5D6E-409C-BE32-E72D297353CC}">
              <c16:uniqueId val="{00000002-FEAC-4F8C-8B36-76F01D34B418}"/>
            </c:ext>
          </c:extLst>
        </c:ser>
        <c:dLbls>
          <c:showLegendKey val="0"/>
          <c:showVal val="0"/>
          <c:showCatName val="0"/>
          <c:showSerName val="0"/>
          <c:showPercent val="0"/>
          <c:showBubbleSize val="0"/>
        </c:dLbls>
        <c:marker val="1"/>
        <c:smooth val="0"/>
        <c:axId val="2104875135"/>
        <c:axId val="2104873055"/>
      </c:lineChart>
      <c:catAx>
        <c:axId val="2104875135"/>
        <c:scaling>
          <c:orientation val="minMax"/>
        </c:scaling>
        <c:delete val="0"/>
        <c:axPos val="b"/>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104873055"/>
        <c:crosses val="autoZero"/>
        <c:auto val="1"/>
        <c:lblAlgn val="ctr"/>
        <c:lblOffset val="100"/>
        <c:noMultiLvlLbl val="0"/>
      </c:catAx>
      <c:valAx>
        <c:axId val="2104873055"/>
        <c:scaling>
          <c:orientation val="minMax"/>
          <c:max val="70"/>
          <c:min val="0"/>
        </c:scaling>
        <c:delete val="0"/>
        <c:axPos val="l"/>
        <c:majorGridlines>
          <c:spPr>
            <a:ln w="3175" cap="flat" cmpd="sng" algn="ctr">
              <a:solidFill>
                <a:schemeClr val="tx1"/>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a:t>
                </a:r>
              </a:p>
            </c:rich>
          </c:tx>
          <c:layout>
            <c:manualLayout>
              <c:xMode val="edge"/>
              <c:yMode val="edge"/>
              <c:x val="2.8383654913520023E-3"/>
              <c:y val="0.37045869423604222"/>
            </c:manualLayout>
          </c:layout>
          <c:overlay val="0"/>
          <c:spPr>
            <a:noFill/>
            <a:ln>
              <a:noFill/>
            </a:ln>
            <a:effectLst/>
          </c:spPr>
        </c:title>
        <c:numFmt formatCode="#,##0" sourceLinked="0"/>
        <c:majorTickMark val="none"/>
        <c:minorTickMark val="none"/>
        <c:tickLblPos val="nextTo"/>
        <c:spPr>
          <a:noFill/>
          <a:ln w="317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104875135"/>
        <c:crosses val="autoZero"/>
        <c:crossBetween val="between"/>
        <c:majorUnit val="10"/>
      </c:valAx>
      <c:spPr>
        <a:ln w="3175">
          <a:solidFill>
            <a:schemeClr val="tx1"/>
          </a:solidFill>
        </a:ln>
      </c:spPr>
    </c:plotArea>
    <c:legend>
      <c:legendPos val="b"/>
      <c:overlay val="0"/>
      <c:spPr>
        <a:no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4438854247719"/>
          <c:y val="3.0189482547784561E-2"/>
          <c:w val="0.87976946520494936"/>
          <c:h val="0.64739074182263712"/>
        </c:manualLayout>
      </c:layout>
      <c:barChart>
        <c:barDir val="col"/>
        <c:grouping val="clustered"/>
        <c:varyColors val="0"/>
        <c:ser>
          <c:idx val="0"/>
          <c:order val="0"/>
          <c:tx>
            <c:strRef>
              <c:f>mezinárodní!$B$4</c:f>
              <c:strCache>
                <c:ptCount val="1"/>
                <c:pt idx="0">
                  <c:v>2021</c:v>
                </c:pt>
              </c:strCache>
            </c:strRef>
          </c:tx>
          <c:spPr>
            <a:solidFill>
              <a:srgbClr val="0071BC"/>
            </a:solidFill>
            <a:ln w="3175">
              <a:solidFill>
                <a:schemeClr val="tx1"/>
              </a:solidFill>
            </a:ln>
            <a:effectLst/>
          </c:spPr>
          <c:invertIfNegative val="0"/>
          <c:dPt>
            <c:idx val="8"/>
            <c:invertIfNegative val="0"/>
            <c:bubble3D val="0"/>
            <c:spPr>
              <a:solidFill>
                <a:srgbClr val="BD1B21"/>
              </a:solidFill>
              <a:ln w="3175">
                <a:solidFill>
                  <a:schemeClr val="tx1"/>
                </a:solidFill>
              </a:ln>
              <a:effectLst/>
            </c:spPr>
            <c:extLst>
              <c:ext xmlns:c16="http://schemas.microsoft.com/office/drawing/2014/chart" uri="{C3380CC4-5D6E-409C-BE32-E72D297353CC}">
                <c16:uniqueId val="{00000001-B40C-4934-B98D-EB1ECBB29CF0}"/>
              </c:ext>
            </c:extLst>
          </c:dPt>
          <c:dPt>
            <c:idx val="10"/>
            <c:invertIfNegative val="0"/>
            <c:bubble3D val="0"/>
            <c:spPr>
              <a:solidFill>
                <a:srgbClr val="BD1B21"/>
              </a:solidFill>
              <a:ln w="3175">
                <a:solidFill>
                  <a:schemeClr val="tx1"/>
                </a:solidFill>
              </a:ln>
              <a:effectLst/>
            </c:spPr>
            <c:extLst>
              <c:ext xmlns:c16="http://schemas.microsoft.com/office/drawing/2014/chart" uri="{C3380CC4-5D6E-409C-BE32-E72D297353CC}">
                <c16:uniqueId val="{00000003-B40C-4934-B98D-EB1ECBB29CF0}"/>
              </c:ext>
            </c:extLst>
          </c:dPt>
          <c:cat>
            <c:strRef>
              <c:f>mezinárodní!$A$5:$A$21</c:f>
              <c:strCache>
                <c:ptCount val="17"/>
                <c:pt idx="0">
                  <c:v>Dánsko</c:v>
                </c:pt>
                <c:pt idx="1">
                  <c:v>Švédsko</c:v>
                </c:pt>
                <c:pt idx="2">
                  <c:v>Nizozemsko</c:v>
                </c:pt>
                <c:pt idx="3">
                  <c:v>Finsko</c:v>
                </c:pt>
                <c:pt idx="4">
                  <c:v>Francie</c:v>
                </c:pt>
                <c:pt idx="5">
                  <c:v>Německo</c:v>
                </c:pt>
                <c:pt idx="6">
                  <c:v>Rakousko</c:v>
                </c:pt>
                <c:pt idx="7">
                  <c:v>Slovensko</c:v>
                </c:pt>
                <c:pt idx="8">
                  <c:v>EU27</c:v>
                </c:pt>
                <c:pt idx="9">
                  <c:v>Maďarsko</c:v>
                </c:pt>
                <c:pt idx="10">
                  <c:v>Česko</c:v>
                </c:pt>
                <c:pt idx="11">
                  <c:v>Itálie</c:v>
                </c:pt>
                <c:pt idx="12">
                  <c:v>Polsko</c:v>
                </c:pt>
                <c:pt idx="13">
                  <c:v>Rumunsko</c:v>
                </c:pt>
                <c:pt idx="14">
                  <c:v>Chorvatsko</c:v>
                </c:pt>
                <c:pt idx="15">
                  <c:v>Řecko</c:v>
                </c:pt>
                <c:pt idx="16">
                  <c:v>Bulharsko</c:v>
                </c:pt>
              </c:strCache>
            </c:strRef>
          </c:cat>
          <c:val>
            <c:numRef>
              <c:f>mezinárodní!$B$5:$B$21</c:f>
              <c:numCache>
                <c:formatCode>General</c:formatCode>
                <c:ptCount val="17"/>
                <c:pt idx="0">
                  <c:v>95.152799999999999</c:v>
                </c:pt>
                <c:pt idx="1">
                  <c:v>89.990000000000009</c:v>
                </c:pt>
                <c:pt idx="2">
                  <c:v>89.77770000000001</c:v>
                </c:pt>
                <c:pt idx="3">
                  <c:v>85.402599999999993</c:v>
                </c:pt>
                <c:pt idx="4">
                  <c:v>74.128100000000003</c:v>
                </c:pt>
                <c:pt idx="5">
                  <c:v>73.573999999999998</c:v>
                </c:pt>
                <c:pt idx="6">
                  <c:v>65.808800000000005</c:v>
                </c:pt>
                <c:pt idx="7">
                  <c:v>65.363900000000001</c:v>
                </c:pt>
                <c:pt idx="8">
                  <c:v>65.186199999999999</c:v>
                </c:pt>
                <c:pt idx="9">
                  <c:v>62.437899999999999</c:v>
                </c:pt>
                <c:pt idx="10">
                  <c:v>55.564300000000003</c:v>
                </c:pt>
                <c:pt idx="11">
                  <c:v>52.221700000000006</c:v>
                </c:pt>
                <c:pt idx="12">
                  <c:v>49.489100000000001</c:v>
                </c:pt>
                <c:pt idx="13">
                  <c:v>47.2027</c:v>
                </c:pt>
                <c:pt idx="14">
                  <c:v>38.436</c:v>
                </c:pt>
                <c:pt idx="15">
                  <c:v>34.520200000000003</c:v>
                </c:pt>
                <c:pt idx="16">
                  <c:v>33.2042</c:v>
                </c:pt>
              </c:numCache>
            </c:numRef>
          </c:val>
          <c:extLst>
            <c:ext xmlns:c16="http://schemas.microsoft.com/office/drawing/2014/chart" uri="{C3380CC4-5D6E-409C-BE32-E72D297353CC}">
              <c16:uniqueId val="{00000004-B40C-4934-B98D-EB1ECBB29CF0}"/>
            </c:ext>
          </c:extLst>
        </c:ser>
        <c:dLbls>
          <c:showLegendKey val="0"/>
          <c:showVal val="0"/>
          <c:showCatName val="0"/>
          <c:showSerName val="0"/>
          <c:showPercent val="0"/>
          <c:showBubbleSize val="0"/>
        </c:dLbls>
        <c:gapWidth val="66"/>
        <c:axId val="964317872"/>
        <c:axId val="964320784"/>
      </c:barChart>
      <c:catAx>
        <c:axId val="964317872"/>
        <c:scaling>
          <c:orientation val="minMax"/>
        </c:scaling>
        <c:delete val="0"/>
        <c:axPos val="b"/>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964320784"/>
        <c:crosses val="autoZero"/>
        <c:auto val="1"/>
        <c:lblAlgn val="ctr"/>
        <c:lblOffset val="100"/>
        <c:noMultiLvlLbl val="0"/>
      </c:catAx>
      <c:valAx>
        <c:axId val="964320784"/>
        <c:scaling>
          <c:orientation val="minMax"/>
          <c:max val="100"/>
        </c:scaling>
        <c:delete val="0"/>
        <c:axPos val="l"/>
        <c:majorGridlines>
          <c:spPr>
            <a:ln w="3175" cap="flat" cmpd="sng" algn="ctr">
              <a:solidFill>
                <a:schemeClr val="tx1"/>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317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964317872"/>
        <c:crosses val="autoZero"/>
        <c:crossBetween val="between"/>
        <c:majorUnit val="20"/>
      </c:valAx>
      <c:spPr>
        <a:noFill/>
        <a:ln w="3175">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400845201209057"/>
          <c:y val="3.2325253460964438E-2"/>
          <c:w val="0.49747178714574036"/>
          <c:h val="0.80086043775402171"/>
        </c:manualLayout>
      </c:layout>
      <c:barChart>
        <c:barDir val="bar"/>
        <c:grouping val="clustered"/>
        <c:varyColors val="0"/>
        <c:ser>
          <c:idx val="0"/>
          <c:order val="0"/>
          <c:tx>
            <c:strRef>
              <c:f>aktivity!$B$5</c:f>
              <c:strCache>
                <c:ptCount val="1"/>
                <c:pt idx="0">
                  <c:v>65-74</c:v>
                </c:pt>
              </c:strCache>
            </c:strRef>
          </c:tx>
          <c:spPr>
            <a:solidFill>
              <a:srgbClr val="FFC000"/>
            </a:solidFill>
            <a:ln w="3175">
              <a:solidFill>
                <a:schemeClr val="tx1"/>
              </a:solidFill>
            </a:ln>
            <a:effectLst/>
          </c:spPr>
          <c:invertIfNegative val="0"/>
          <c:cat>
            <c:strRef>
              <c:f>aktivity!$A$6:$A$12</c:f>
              <c:strCache>
                <c:ptCount val="7"/>
                <c:pt idx="0">
                  <c:v>sociální sítě</c:v>
                </c:pt>
                <c:pt idx="1">
                  <c:v>nakupování</c:v>
                </c:pt>
                <c:pt idx="2">
                  <c:v>bankovnictví</c:v>
                </c:pt>
                <c:pt idx="3">
                  <c:v>hledání informací o zdraví</c:v>
                </c:pt>
                <c:pt idx="4">
                  <c:v>hledání informací o zboží/službách</c:v>
                </c:pt>
                <c:pt idx="5">
                  <c:v>e-mail</c:v>
                </c:pt>
                <c:pt idx="6">
                  <c:v>čtení zpravodajství</c:v>
                </c:pt>
              </c:strCache>
            </c:strRef>
          </c:cat>
          <c:val>
            <c:numRef>
              <c:f>aktivity!$B$6:$B$12</c:f>
              <c:numCache>
                <c:formatCode>General</c:formatCode>
                <c:ptCount val="7"/>
                <c:pt idx="0">
                  <c:v>17.960999999999999</c:v>
                </c:pt>
                <c:pt idx="1">
                  <c:v>25.641999999999999</c:v>
                </c:pt>
                <c:pt idx="2">
                  <c:v>42.407000000000004</c:v>
                </c:pt>
                <c:pt idx="3">
                  <c:v>46.739000000000004</c:v>
                </c:pt>
                <c:pt idx="4">
                  <c:v>50.39</c:v>
                </c:pt>
                <c:pt idx="5">
                  <c:v>52.445</c:v>
                </c:pt>
                <c:pt idx="6">
                  <c:v>56.486000000000004</c:v>
                </c:pt>
              </c:numCache>
            </c:numRef>
          </c:val>
          <c:extLst>
            <c:ext xmlns:c16="http://schemas.microsoft.com/office/drawing/2014/chart" uri="{C3380CC4-5D6E-409C-BE32-E72D297353CC}">
              <c16:uniqueId val="{00000000-FCAF-4538-96B3-72DBF58368EC}"/>
            </c:ext>
          </c:extLst>
        </c:ser>
        <c:ser>
          <c:idx val="1"/>
          <c:order val="1"/>
          <c:tx>
            <c:strRef>
              <c:f>aktivity!$C$5</c:f>
              <c:strCache>
                <c:ptCount val="1"/>
                <c:pt idx="0">
                  <c:v>75+</c:v>
                </c:pt>
              </c:strCache>
            </c:strRef>
          </c:tx>
          <c:spPr>
            <a:solidFill>
              <a:srgbClr val="0071BC"/>
            </a:solidFill>
            <a:ln w="3175">
              <a:solidFill>
                <a:schemeClr val="tx1"/>
              </a:solidFill>
            </a:ln>
            <a:effectLst/>
          </c:spPr>
          <c:invertIfNegative val="0"/>
          <c:cat>
            <c:strRef>
              <c:f>aktivity!$A$6:$A$12</c:f>
              <c:strCache>
                <c:ptCount val="7"/>
                <c:pt idx="0">
                  <c:v>sociální sítě</c:v>
                </c:pt>
                <c:pt idx="1">
                  <c:v>nakupování</c:v>
                </c:pt>
                <c:pt idx="2">
                  <c:v>bankovnictví</c:v>
                </c:pt>
                <c:pt idx="3">
                  <c:v>hledání informací o zdraví</c:v>
                </c:pt>
                <c:pt idx="4">
                  <c:v>hledání informací o zboží/službách</c:v>
                </c:pt>
                <c:pt idx="5">
                  <c:v>e-mail</c:v>
                </c:pt>
                <c:pt idx="6">
                  <c:v>čtení zpravodajství</c:v>
                </c:pt>
              </c:strCache>
            </c:strRef>
          </c:cat>
          <c:val>
            <c:numRef>
              <c:f>aktivity!$C$6:$C$12</c:f>
              <c:numCache>
                <c:formatCode>General</c:formatCode>
                <c:ptCount val="7"/>
                <c:pt idx="0">
                  <c:v>5.2279999999999998</c:v>
                </c:pt>
                <c:pt idx="1">
                  <c:v>8.3369999999999997</c:v>
                </c:pt>
                <c:pt idx="2">
                  <c:v>14.402000000000001</c:v>
                </c:pt>
                <c:pt idx="3">
                  <c:v>23.428999999999998</c:v>
                </c:pt>
                <c:pt idx="4">
                  <c:v>22.146999999999998</c:v>
                </c:pt>
                <c:pt idx="5">
                  <c:v>23.698</c:v>
                </c:pt>
                <c:pt idx="6">
                  <c:v>26.69</c:v>
                </c:pt>
              </c:numCache>
            </c:numRef>
          </c:val>
          <c:extLst>
            <c:ext xmlns:c16="http://schemas.microsoft.com/office/drawing/2014/chart" uri="{C3380CC4-5D6E-409C-BE32-E72D297353CC}">
              <c16:uniqueId val="{00000001-FCAF-4538-96B3-72DBF58368EC}"/>
            </c:ext>
          </c:extLst>
        </c:ser>
        <c:ser>
          <c:idx val="2"/>
          <c:order val="2"/>
          <c:tx>
            <c:strRef>
              <c:f>aktivity!$D$5</c:f>
              <c:strCache>
                <c:ptCount val="1"/>
                <c:pt idx="0">
                  <c:v>celkem 65+</c:v>
                </c:pt>
              </c:strCache>
            </c:strRef>
          </c:tx>
          <c:spPr>
            <a:solidFill>
              <a:srgbClr val="BD1B21"/>
            </a:solidFill>
            <a:ln w="3175">
              <a:solidFill>
                <a:schemeClr val="tx1"/>
              </a:solidFill>
            </a:ln>
            <a:effectLst/>
          </c:spPr>
          <c:invertIfNegative val="0"/>
          <c:cat>
            <c:strRef>
              <c:f>aktivity!$A$6:$A$12</c:f>
              <c:strCache>
                <c:ptCount val="7"/>
                <c:pt idx="0">
                  <c:v>sociální sítě</c:v>
                </c:pt>
                <c:pt idx="1">
                  <c:v>nakupování</c:v>
                </c:pt>
                <c:pt idx="2">
                  <c:v>bankovnictví</c:v>
                </c:pt>
                <c:pt idx="3">
                  <c:v>hledání informací o zdraví</c:v>
                </c:pt>
                <c:pt idx="4">
                  <c:v>hledání informací o zboží/službách</c:v>
                </c:pt>
                <c:pt idx="5">
                  <c:v>e-mail</c:v>
                </c:pt>
                <c:pt idx="6">
                  <c:v>čtení zpravodajství</c:v>
                </c:pt>
              </c:strCache>
            </c:strRef>
          </c:cat>
          <c:val>
            <c:numRef>
              <c:f>aktivity!$D$6:$D$12</c:f>
              <c:numCache>
                <c:formatCode>General</c:formatCode>
                <c:ptCount val="7"/>
                <c:pt idx="0">
                  <c:v>12.77</c:v>
                </c:pt>
                <c:pt idx="1">
                  <c:v>18.59</c:v>
                </c:pt>
                <c:pt idx="2">
                  <c:v>30.99</c:v>
                </c:pt>
                <c:pt idx="3">
                  <c:v>37.229999999999997</c:v>
                </c:pt>
                <c:pt idx="4">
                  <c:v>38.869999999999997</c:v>
                </c:pt>
                <c:pt idx="5">
                  <c:v>40.72</c:v>
                </c:pt>
                <c:pt idx="6">
                  <c:v>44.34</c:v>
                </c:pt>
              </c:numCache>
            </c:numRef>
          </c:val>
          <c:extLst>
            <c:ext xmlns:c16="http://schemas.microsoft.com/office/drawing/2014/chart" uri="{C3380CC4-5D6E-409C-BE32-E72D297353CC}">
              <c16:uniqueId val="{00000002-FCAF-4538-96B3-72DBF58368EC}"/>
            </c:ext>
          </c:extLst>
        </c:ser>
        <c:dLbls>
          <c:showLegendKey val="0"/>
          <c:showVal val="0"/>
          <c:showCatName val="0"/>
          <c:showSerName val="0"/>
          <c:showPercent val="0"/>
          <c:showBubbleSize val="0"/>
        </c:dLbls>
        <c:gapWidth val="66"/>
        <c:axId val="1599743999"/>
        <c:axId val="1599736927"/>
      </c:barChart>
      <c:catAx>
        <c:axId val="1599743999"/>
        <c:scaling>
          <c:orientation val="minMax"/>
        </c:scaling>
        <c:delete val="0"/>
        <c:axPos val="l"/>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599736927"/>
        <c:crosses val="autoZero"/>
        <c:auto val="1"/>
        <c:lblAlgn val="ctr"/>
        <c:lblOffset val="100"/>
        <c:noMultiLvlLbl val="0"/>
      </c:catAx>
      <c:valAx>
        <c:axId val="1599736927"/>
        <c:scaling>
          <c:orientation val="minMax"/>
        </c:scaling>
        <c:delete val="0"/>
        <c:axPos val="b"/>
        <c:majorGridlines>
          <c:spPr>
            <a:ln w="3175" cap="flat" cmpd="sng" algn="ctr">
              <a:solidFill>
                <a:schemeClr val="tx1"/>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t>%</a:t>
                </a:r>
              </a:p>
            </c:rich>
          </c:tx>
          <c:layout>
            <c:manualLayout>
              <c:xMode val="edge"/>
              <c:yMode val="edge"/>
              <c:x val="0.69231806704056942"/>
              <c:y val="0.92396365450309093"/>
            </c:manualLayout>
          </c:layout>
          <c:overlay val="0"/>
          <c:spPr>
            <a:noFill/>
            <a:ln>
              <a:noFill/>
            </a:ln>
            <a:effectLst/>
          </c:spPr>
        </c:title>
        <c:numFmt formatCode="General" sourceLinked="1"/>
        <c:majorTickMark val="none"/>
        <c:minorTickMark val="none"/>
        <c:tickLblPos val="nextTo"/>
        <c:spPr>
          <a:noFill/>
          <a:ln w="317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599743999"/>
        <c:crosses val="autoZero"/>
        <c:crossBetween val="between"/>
        <c:majorUnit val="10"/>
      </c:valAx>
      <c:spPr>
        <a:ln w="3175">
          <a:solidFill>
            <a:schemeClr val="tx1"/>
          </a:solidFill>
        </a:ln>
      </c:spPr>
    </c:plotArea>
    <c:legend>
      <c:legendPos val="b"/>
      <c:layout>
        <c:manualLayout>
          <c:xMode val="edge"/>
          <c:yMode val="edge"/>
          <c:x val="0.77425906821466395"/>
          <c:y val="0.62362120532848386"/>
          <c:w val="0.17222864285238346"/>
          <c:h val="0.19753823875463841"/>
        </c:manualLayout>
      </c:layout>
      <c:overlay val="0"/>
      <c:spPr>
        <a:solidFill>
          <a:schemeClr val="bg1"/>
        </a:solid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34467592592593"/>
          <c:y val="9.776E-2"/>
          <c:w val="0.78876620370370365"/>
          <c:h val="0.72772296296296302"/>
        </c:manualLayout>
      </c:layout>
      <c:lineChart>
        <c:grouping val="standard"/>
        <c:varyColors val="0"/>
        <c:ser>
          <c:idx val="2"/>
          <c:order val="0"/>
          <c:tx>
            <c:v>muži</c:v>
          </c:tx>
          <c:spPr>
            <a:ln w="28575" cap="rnd">
              <a:solidFill>
                <a:srgbClr val="0071BC"/>
              </a:solidFill>
              <a:round/>
            </a:ln>
            <a:effectLst/>
          </c:spPr>
          <c:marker>
            <c:symbol val="none"/>
          </c:marker>
          <c:cat>
            <c:strRef>
              <c:f>'míry steh_graf 4'!$A$20:$A$25</c:f>
              <c:strCache>
                <c:ptCount val="6"/>
                <c:pt idx="0">
                  <c:v>65–69</c:v>
                </c:pt>
                <c:pt idx="1">
                  <c:v>70–74</c:v>
                </c:pt>
                <c:pt idx="2">
                  <c:v>75–79</c:v>
                </c:pt>
                <c:pt idx="3">
                  <c:v>80–84</c:v>
                </c:pt>
                <c:pt idx="4">
                  <c:v>85–89</c:v>
                </c:pt>
                <c:pt idx="5">
                  <c:v>90+</c:v>
                </c:pt>
              </c:strCache>
            </c:strRef>
          </c:cat>
          <c:val>
            <c:numRef>
              <c:f>'míry steh_graf 4'!$N$20:$N$25</c:f>
              <c:numCache>
                <c:formatCode>0.0</c:formatCode>
                <c:ptCount val="6"/>
                <c:pt idx="0">
                  <c:v>8.2660601882574269</c:v>
                </c:pt>
                <c:pt idx="1">
                  <c:v>5.9792323531894747</c:v>
                </c:pt>
                <c:pt idx="2">
                  <c:v>5.4979947480133413</c:v>
                </c:pt>
                <c:pt idx="3">
                  <c:v>6.3208774865216579</c:v>
                </c:pt>
                <c:pt idx="4">
                  <c:v>8.7135977986700297</c:v>
                </c:pt>
                <c:pt idx="5">
                  <c:v>11.847195357833657</c:v>
                </c:pt>
              </c:numCache>
            </c:numRef>
          </c:val>
          <c:smooth val="0"/>
          <c:extLst>
            <c:ext xmlns:c16="http://schemas.microsoft.com/office/drawing/2014/chart" uri="{C3380CC4-5D6E-409C-BE32-E72D297353CC}">
              <c16:uniqueId val="{00000000-C1BB-489E-B3DA-1074D51EF42E}"/>
            </c:ext>
          </c:extLst>
        </c:ser>
        <c:ser>
          <c:idx val="5"/>
          <c:order val="1"/>
          <c:tx>
            <c:v>ženy</c:v>
          </c:tx>
          <c:spPr>
            <a:ln w="28575" cap="rnd">
              <a:solidFill>
                <a:srgbClr val="BD1B21"/>
              </a:solidFill>
              <a:round/>
            </a:ln>
            <a:effectLst/>
          </c:spPr>
          <c:marker>
            <c:symbol val="none"/>
          </c:marker>
          <c:cat>
            <c:strRef>
              <c:f>'míry steh_graf 4'!$A$20:$A$25</c:f>
              <c:strCache>
                <c:ptCount val="6"/>
                <c:pt idx="0">
                  <c:v>65–69</c:v>
                </c:pt>
                <c:pt idx="1">
                  <c:v>70–74</c:v>
                </c:pt>
                <c:pt idx="2">
                  <c:v>75–79</c:v>
                </c:pt>
                <c:pt idx="3">
                  <c:v>80–84</c:v>
                </c:pt>
                <c:pt idx="4">
                  <c:v>85–89</c:v>
                </c:pt>
                <c:pt idx="5">
                  <c:v>90+</c:v>
                </c:pt>
              </c:strCache>
            </c:strRef>
          </c:cat>
          <c:val>
            <c:numRef>
              <c:f>'míry steh_graf 4'!$O$20:$O$25</c:f>
              <c:numCache>
                <c:formatCode>0.0</c:formatCode>
                <c:ptCount val="6"/>
                <c:pt idx="0">
                  <c:v>7.1687315883687823</c:v>
                </c:pt>
                <c:pt idx="1">
                  <c:v>6.3970769476141456</c:v>
                </c:pt>
                <c:pt idx="2">
                  <c:v>6.964275192961094</c:v>
                </c:pt>
                <c:pt idx="3">
                  <c:v>10.085773817893621</c:v>
                </c:pt>
                <c:pt idx="4">
                  <c:v>13.591749721347487</c:v>
                </c:pt>
                <c:pt idx="5">
                  <c:v>14.821511163436067</c:v>
                </c:pt>
              </c:numCache>
            </c:numRef>
          </c:val>
          <c:smooth val="0"/>
          <c:extLst>
            <c:ext xmlns:c16="http://schemas.microsoft.com/office/drawing/2014/chart" uri="{C3380CC4-5D6E-409C-BE32-E72D297353CC}">
              <c16:uniqueId val="{00000001-C1BB-489E-B3DA-1074D51EF42E}"/>
            </c:ext>
          </c:extLst>
        </c:ser>
        <c:dLbls>
          <c:showLegendKey val="0"/>
          <c:showVal val="0"/>
          <c:showCatName val="0"/>
          <c:showSerName val="0"/>
          <c:showPercent val="0"/>
          <c:showBubbleSize val="0"/>
        </c:dLbls>
        <c:smooth val="0"/>
        <c:axId val="1041812399"/>
        <c:axId val="1041804079"/>
      </c:lineChart>
      <c:catAx>
        <c:axId val="1041812399"/>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cs-CZ"/>
                  <a:t>v</a:t>
                </a:r>
                <a:r>
                  <a:rPr lang="en-US"/>
                  <a:t>ěková skupina</a:t>
                </a:r>
                <a:r>
                  <a:rPr lang="cs-CZ"/>
                  <a:t> (v letech)</a:t>
                </a:r>
                <a:endParaRPr lang="en-US"/>
              </a:p>
            </c:rich>
          </c:tx>
          <c:layout>
            <c:manualLayout>
              <c:xMode val="edge"/>
              <c:yMode val="edge"/>
              <c:x val="0.3917078703703703"/>
              <c:y val="0.923117777777777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title>
        <c:numFmt formatCode="General" sourceLinked="1"/>
        <c:majorTickMark val="out"/>
        <c:minorTickMark val="none"/>
        <c:tickLblPos val="nextTo"/>
        <c:spPr>
          <a:noFill/>
          <a:ln w="3175" cap="flat" cmpd="sng" algn="ctr">
            <a:solidFill>
              <a:schemeClr val="tx1"/>
            </a:solidFill>
            <a:round/>
          </a:ln>
          <a:effectLst/>
        </c:spPr>
        <c:txPr>
          <a:bodyPr rot="0" spcFirstLastPara="1" vertOverflow="ellipsis"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crossAx val="1041804079"/>
        <c:crosses val="autoZero"/>
        <c:auto val="1"/>
        <c:lblAlgn val="ctr"/>
        <c:lblOffset val="100"/>
        <c:noMultiLvlLbl val="0"/>
      </c:catAx>
      <c:valAx>
        <c:axId val="1041804079"/>
        <c:scaling>
          <c:orientation val="minMax"/>
          <c:max val="18"/>
        </c:scaling>
        <c:delete val="0"/>
        <c:axPos val="l"/>
        <c:majorGridlines>
          <c:spPr>
            <a:ln w="3175" cap="flat" cmpd="sng" algn="ctr">
              <a:solidFill>
                <a:schemeClr val="tx1"/>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cs-CZ"/>
                  <a:t>p</a:t>
                </a:r>
                <a:r>
                  <a:rPr lang="en-US"/>
                  <a:t>očet </a:t>
                </a:r>
                <a:r>
                  <a:rPr lang="cs-CZ"/>
                  <a:t>stěhujících se </a:t>
                </a:r>
                <a:r>
                  <a:rPr lang="en-US"/>
                  <a:t>osob na </a:t>
                </a:r>
                <a:endParaRPr lang="cs-CZ"/>
              </a:p>
              <a:p>
                <a:pPr>
                  <a:defRPr/>
                </a:pPr>
                <a:r>
                  <a:rPr lang="en-US"/>
                  <a:t>1000 ob</a:t>
                </a:r>
                <a:r>
                  <a:rPr lang="cs-CZ"/>
                  <a:t>yvatel daného věku</a:t>
                </a:r>
                <a:endParaRPr lang="en-US"/>
              </a:p>
            </c:rich>
          </c:tx>
          <c:layout>
            <c:manualLayout>
              <c:xMode val="edge"/>
              <c:yMode val="edge"/>
              <c:x val="1.9326388888888893E-2"/>
              <c:y val="0.1616296296296296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crossAx val="1041812399"/>
        <c:crosses val="autoZero"/>
        <c:crossBetween val="between"/>
      </c:valAx>
      <c:spPr>
        <a:noFill/>
        <a:ln w="3175">
          <a:solidFill>
            <a:schemeClr val="tx1"/>
          </a:solidFill>
        </a:ln>
        <a:effectLst/>
      </c:spPr>
    </c:plotArea>
    <c:legend>
      <c:legendPos val="r"/>
      <c:layout>
        <c:manualLayout>
          <c:xMode val="edge"/>
          <c:yMode val="edge"/>
          <c:x val="0.16367569444444444"/>
          <c:y val="0.10604148148148146"/>
          <c:w val="0.19778449074074073"/>
          <c:h val="0.14046888888888892"/>
        </c:manualLayout>
      </c:layout>
      <c:overlay val="0"/>
      <c:spPr>
        <a:solidFill>
          <a:schemeClr val="bg1"/>
        </a:solidFill>
        <a:ln w="3175">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75088375202913"/>
          <c:y val="7.7234814814814812E-2"/>
          <c:w val="0.79291114922489969"/>
          <c:h val="0.73940586972083033"/>
        </c:manualLayout>
      </c:layout>
      <c:barChart>
        <c:barDir val="col"/>
        <c:grouping val="clustered"/>
        <c:varyColors val="0"/>
        <c:ser>
          <c:idx val="0"/>
          <c:order val="0"/>
          <c:tx>
            <c:strRef>
              <c:f>'ú5x_graf 5'!$I$2</c:f>
              <c:strCache>
                <c:ptCount val="1"/>
                <c:pt idx="0">
                  <c:v>2017</c:v>
                </c:pt>
              </c:strCache>
            </c:strRef>
          </c:tx>
          <c:spPr>
            <a:solidFill>
              <a:srgbClr val="00B0F0"/>
            </a:solidFill>
            <a:ln w="3175">
              <a:solidFill>
                <a:schemeClr val="tx1"/>
              </a:solidFill>
            </a:ln>
            <a:effectLst/>
          </c:spPr>
          <c:invertIfNegative val="0"/>
          <c:cat>
            <c:strRef>
              <c:f>'ú5x_graf 5'!$A$18:$A$23</c:f>
              <c:strCache>
                <c:ptCount val="6"/>
                <c:pt idx="0">
                  <c:v>65–69</c:v>
                </c:pt>
                <c:pt idx="1">
                  <c:v>70–74</c:v>
                </c:pt>
                <c:pt idx="2">
                  <c:v>75–79</c:v>
                </c:pt>
                <c:pt idx="3">
                  <c:v>80–84</c:v>
                </c:pt>
                <c:pt idx="4">
                  <c:v>85–89</c:v>
                </c:pt>
                <c:pt idx="5">
                  <c:v>90+</c:v>
                </c:pt>
              </c:strCache>
            </c:strRef>
          </c:cat>
          <c:val>
            <c:numRef>
              <c:f>'ú5x_graf 5'!$I$18:$I$23</c:f>
              <c:numCache>
                <c:formatCode>0.0</c:formatCode>
                <c:ptCount val="6"/>
                <c:pt idx="0">
                  <c:v>17.117182615270526</c:v>
                </c:pt>
                <c:pt idx="1">
                  <c:v>26.667562058845416</c:v>
                </c:pt>
                <c:pt idx="2">
                  <c:v>41.085533287129053</c:v>
                </c:pt>
                <c:pt idx="3">
                  <c:v>74.00045633249087</c:v>
                </c:pt>
                <c:pt idx="4">
                  <c:v>134.58206475625494</c:v>
                </c:pt>
                <c:pt idx="5">
                  <c:v>257.81856445464115</c:v>
                </c:pt>
              </c:numCache>
            </c:numRef>
          </c:val>
          <c:extLst>
            <c:ext xmlns:c16="http://schemas.microsoft.com/office/drawing/2014/chart" uri="{C3380CC4-5D6E-409C-BE32-E72D297353CC}">
              <c16:uniqueId val="{00000000-500A-41DE-BF44-F49A389DE706}"/>
            </c:ext>
          </c:extLst>
        </c:ser>
        <c:ser>
          <c:idx val="1"/>
          <c:order val="1"/>
          <c:tx>
            <c:strRef>
              <c:f>'ú5x_graf 5'!$J$2</c:f>
              <c:strCache>
                <c:ptCount val="1"/>
                <c:pt idx="0">
                  <c:v>2018</c:v>
                </c:pt>
              </c:strCache>
            </c:strRef>
          </c:tx>
          <c:spPr>
            <a:solidFill>
              <a:srgbClr val="92D050"/>
            </a:solidFill>
            <a:ln w="3175">
              <a:solidFill>
                <a:schemeClr val="tx1"/>
              </a:solidFill>
            </a:ln>
            <a:effectLst/>
          </c:spPr>
          <c:invertIfNegative val="0"/>
          <c:cat>
            <c:strRef>
              <c:f>'ú5x_graf 5'!$A$18:$A$23</c:f>
              <c:strCache>
                <c:ptCount val="6"/>
                <c:pt idx="0">
                  <c:v>65–69</c:v>
                </c:pt>
                <c:pt idx="1">
                  <c:v>70–74</c:v>
                </c:pt>
                <c:pt idx="2">
                  <c:v>75–79</c:v>
                </c:pt>
                <c:pt idx="3">
                  <c:v>80–84</c:v>
                </c:pt>
                <c:pt idx="4">
                  <c:v>85–89</c:v>
                </c:pt>
                <c:pt idx="5">
                  <c:v>90+</c:v>
                </c:pt>
              </c:strCache>
            </c:strRef>
          </c:cat>
          <c:val>
            <c:numRef>
              <c:f>'ú5x_graf 5'!$J$18:$J$23</c:f>
              <c:numCache>
                <c:formatCode>0.0</c:formatCode>
                <c:ptCount val="6"/>
                <c:pt idx="0">
                  <c:v>17.108978475233762</c:v>
                </c:pt>
                <c:pt idx="1">
                  <c:v>26.685114612463749</c:v>
                </c:pt>
                <c:pt idx="2">
                  <c:v>40.93300964857211</c:v>
                </c:pt>
                <c:pt idx="3">
                  <c:v>72.294919389519322</c:v>
                </c:pt>
                <c:pt idx="4">
                  <c:v>134.2542720148702</c:v>
                </c:pt>
                <c:pt idx="5">
                  <c:v>254.16611339795514</c:v>
                </c:pt>
              </c:numCache>
            </c:numRef>
          </c:val>
          <c:extLst>
            <c:ext xmlns:c16="http://schemas.microsoft.com/office/drawing/2014/chart" uri="{C3380CC4-5D6E-409C-BE32-E72D297353CC}">
              <c16:uniqueId val="{00000001-500A-41DE-BF44-F49A389DE706}"/>
            </c:ext>
          </c:extLst>
        </c:ser>
        <c:ser>
          <c:idx val="2"/>
          <c:order val="2"/>
          <c:tx>
            <c:strRef>
              <c:f>'ú5x_graf 5'!$K$2</c:f>
              <c:strCache>
                <c:ptCount val="1"/>
                <c:pt idx="0">
                  <c:v>2019</c:v>
                </c:pt>
              </c:strCache>
            </c:strRef>
          </c:tx>
          <c:spPr>
            <a:solidFill>
              <a:srgbClr val="FFC000"/>
            </a:solidFill>
            <a:ln w="3175">
              <a:solidFill>
                <a:schemeClr val="tx1"/>
              </a:solidFill>
            </a:ln>
            <a:effectLst/>
          </c:spPr>
          <c:invertIfNegative val="0"/>
          <c:cat>
            <c:strRef>
              <c:f>'ú5x_graf 5'!$A$18:$A$23</c:f>
              <c:strCache>
                <c:ptCount val="6"/>
                <c:pt idx="0">
                  <c:v>65–69</c:v>
                </c:pt>
                <c:pt idx="1">
                  <c:v>70–74</c:v>
                </c:pt>
                <c:pt idx="2">
                  <c:v>75–79</c:v>
                </c:pt>
                <c:pt idx="3">
                  <c:v>80–84</c:v>
                </c:pt>
                <c:pt idx="4">
                  <c:v>85–89</c:v>
                </c:pt>
                <c:pt idx="5">
                  <c:v>90+</c:v>
                </c:pt>
              </c:strCache>
            </c:strRef>
          </c:cat>
          <c:val>
            <c:numRef>
              <c:f>'ú5x_graf 5'!$K$18:$K$23</c:f>
              <c:numCache>
                <c:formatCode>0.0</c:formatCode>
                <c:ptCount val="6"/>
                <c:pt idx="0">
                  <c:v>16.510895630707086</c:v>
                </c:pt>
                <c:pt idx="1">
                  <c:v>25.660503919842366</c:v>
                </c:pt>
                <c:pt idx="2">
                  <c:v>40.699596891241413</c:v>
                </c:pt>
                <c:pt idx="3">
                  <c:v>69.84458372334781</c:v>
                </c:pt>
                <c:pt idx="4">
                  <c:v>130.4891235658414</c:v>
                </c:pt>
                <c:pt idx="5">
                  <c:v>249.94821954911177</c:v>
                </c:pt>
              </c:numCache>
            </c:numRef>
          </c:val>
          <c:extLst>
            <c:ext xmlns:c16="http://schemas.microsoft.com/office/drawing/2014/chart" uri="{C3380CC4-5D6E-409C-BE32-E72D297353CC}">
              <c16:uniqueId val="{00000002-500A-41DE-BF44-F49A389DE706}"/>
            </c:ext>
          </c:extLst>
        </c:ser>
        <c:ser>
          <c:idx val="3"/>
          <c:order val="3"/>
          <c:tx>
            <c:strRef>
              <c:f>'ú5x_graf 5'!$L$2</c:f>
              <c:strCache>
                <c:ptCount val="1"/>
                <c:pt idx="0">
                  <c:v>2020</c:v>
                </c:pt>
              </c:strCache>
            </c:strRef>
          </c:tx>
          <c:spPr>
            <a:solidFill>
              <a:srgbClr val="0071BC"/>
            </a:solidFill>
            <a:ln w="3175">
              <a:solidFill>
                <a:schemeClr val="tx1"/>
              </a:solidFill>
            </a:ln>
            <a:effectLst/>
          </c:spPr>
          <c:invertIfNegative val="0"/>
          <c:cat>
            <c:strRef>
              <c:f>'ú5x_graf 5'!$A$18:$A$23</c:f>
              <c:strCache>
                <c:ptCount val="6"/>
                <c:pt idx="0">
                  <c:v>65–69</c:v>
                </c:pt>
                <c:pt idx="1">
                  <c:v>70–74</c:v>
                </c:pt>
                <c:pt idx="2">
                  <c:v>75–79</c:v>
                </c:pt>
                <c:pt idx="3">
                  <c:v>80–84</c:v>
                </c:pt>
                <c:pt idx="4">
                  <c:v>85–89</c:v>
                </c:pt>
                <c:pt idx="5">
                  <c:v>90+</c:v>
                </c:pt>
              </c:strCache>
            </c:strRef>
          </c:cat>
          <c:val>
            <c:numRef>
              <c:f>'ú5x_graf 5'!$L$18:$L$23</c:f>
              <c:numCache>
                <c:formatCode>0.0</c:formatCode>
                <c:ptCount val="6"/>
                <c:pt idx="0">
                  <c:v>18.059211840592386</c:v>
                </c:pt>
                <c:pt idx="1">
                  <c:v>29.144769836200545</c:v>
                </c:pt>
                <c:pt idx="2">
                  <c:v>47.279314361548835</c:v>
                </c:pt>
                <c:pt idx="3">
                  <c:v>82.823303323376436</c:v>
                </c:pt>
                <c:pt idx="4">
                  <c:v>150.51254508333747</c:v>
                </c:pt>
                <c:pt idx="5">
                  <c:v>289.89935019618184</c:v>
                </c:pt>
              </c:numCache>
            </c:numRef>
          </c:val>
          <c:extLst>
            <c:ext xmlns:c16="http://schemas.microsoft.com/office/drawing/2014/chart" uri="{C3380CC4-5D6E-409C-BE32-E72D297353CC}">
              <c16:uniqueId val="{00000003-500A-41DE-BF44-F49A389DE706}"/>
            </c:ext>
          </c:extLst>
        </c:ser>
        <c:ser>
          <c:idx val="4"/>
          <c:order val="4"/>
          <c:tx>
            <c:strRef>
              <c:f>'ú5x_graf 5'!$M$2</c:f>
              <c:strCache>
                <c:ptCount val="1"/>
                <c:pt idx="0">
                  <c:v>2021</c:v>
                </c:pt>
              </c:strCache>
            </c:strRef>
          </c:tx>
          <c:spPr>
            <a:solidFill>
              <a:srgbClr val="BD1B21"/>
            </a:solidFill>
            <a:ln w="3175">
              <a:solidFill>
                <a:schemeClr val="tx1"/>
              </a:solidFill>
            </a:ln>
            <a:effectLst/>
          </c:spPr>
          <c:invertIfNegative val="0"/>
          <c:cat>
            <c:strRef>
              <c:f>'ú5x_graf 5'!$A$18:$A$23</c:f>
              <c:strCache>
                <c:ptCount val="6"/>
                <c:pt idx="0">
                  <c:v>65–69</c:v>
                </c:pt>
                <c:pt idx="1">
                  <c:v>70–74</c:v>
                </c:pt>
                <c:pt idx="2">
                  <c:v>75–79</c:v>
                </c:pt>
                <c:pt idx="3">
                  <c:v>80–84</c:v>
                </c:pt>
                <c:pt idx="4">
                  <c:v>85–89</c:v>
                </c:pt>
                <c:pt idx="5">
                  <c:v>90+</c:v>
                </c:pt>
              </c:strCache>
            </c:strRef>
          </c:cat>
          <c:val>
            <c:numRef>
              <c:f>'ú5x_graf 5'!$M$18:$M$23</c:f>
              <c:numCache>
                <c:formatCode>0.0</c:formatCode>
                <c:ptCount val="6"/>
                <c:pt idx="0">
                  <c:v>20.988903438415662</c:v>
                </c:pt>
                <c:pt idx="1">
                  <c:v>33.454400539132465</c:v>
                </c:pt>
                <c:pt idx="2">
                  <c:v>52.643836637352805</c:v>
                </c:pt>
                <c:pt idx="3">
                  <c:v>84.065816596141204</c:v>
                </c:pt>
                <c:pt idx="4">
                  <c:v>151.3465030620722</c:v>
                </c:pt>
                <c:pt idx="5">
                  <c:v>286.22679769146782</c:v>
                </c:pt>
              </c:numCache>
            </c:numRef>
          </c:val>
          <c:extLst>
            <c:ext xmlns:c16="http://schemas.microsoft.com/office/drawing/2014/chart" uri="{C3380CC4-5D6E-409C-BE32-E72D297353CC}">
              <c16:uniqueId val="{00000004-500A-41DE-BF44-F49A389DE706}"/>
            </c:ext>
          </c:extLst>
        </c:ser>
        <c:dLbls>
          <c:showLegendKey val="0"/>
          <c:showVal val="0"/>
          <c:showCatName val="0"/>
          <c:showSerName val="0"/>
          <c:showPercent val="0"/>
          <c:showBubbleSize val="0"/>
        </c:dLbls>
        <c:gapWidth val="195"/>
        <c:axId val="1134659535"/>
        <c:axId val="1134657455"/>
      </c:barChart>
      <c:catAx>
        <c:axId val="1134659535"/>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věková skupina (v letech)</a:t>
                </a:r>
              </a:p>
            </c:rich>
          </c:tx>
          <c:layout>
            <c:manualLayout>
              <c:xMode val="edge"/>
              <c:yMode val="edge"/>
              <c:x val="0.40744505905217521"/>
              <c:y val="0.9327886825151641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134657455"/>
        <c:crosses val="autoZero"/>
        <c:auto val="1"/>
        <c:lblAlgn val="ctr"/>
        <c:lblOffset val="100"/>
        <c:noMultiLvlLbl val="0"/>
      </c:catAx>
      <c:valAx>
        <c:axId val="1134657455"/>
        <c:scaling>
          <c:orientation val="minMax"/>
          <c:max val="300"/>
        </c:scaling>
        <c:delete val="0"/>
        <c:axPos val="l"/>
        <c:majorGridlines>
          <c:spPr>
            <a:ln w="3175" cap="flat" cmpd="sng" algn="ctr">
              <a:solidFill>
                <a:schemeClr val="tx1"/>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rPr>
                  <a:t>počet zemřelých na </a:t>
                </a:r>
                <a:r>
                  <a:rPr lang="cs-CZ">
                    <a:solidFill>
                      <a:sysClr val="windowText" lastClr="000000"/>
                    </a:solidFill>
                  </a:rPr>
                  <a:t>1000</a:t>
                </a:r>
                <a:r>
                  <a:rPr lang="en-US">
                    <a:solidFill>
                      <a:sysClr val="windowText" lastClr="000000"/>
                    </a:solidFill>
                  </a:rPr>
                  <a:t> </a:t>
                </a:r>
                <a:r>
                  <a:rPr lang="cs-CZ">
                    <a:solidFill>
                      <a:sysClr val="windowText" lastClr="000000"/>
                    </a:solidFill>
                  </a:rPr>
                  <a:t/>
                </a:r>
                <a:br>
                  <a:rPr lang="cs-CZ">
                    <a:solidFill>
                      <a:sysClr val="windowText" lastClr="000000"/>
                    </a:solidFill>
                  </a:rPr>
                </a:br>
                <a:r>
                  <a:rPr lang="en-US">
                    <a:solidFill>
                      <a:sysClr val="windowText" lastClr="000000"/>
                    </a:solidFill>
                  </a:rPr>
                  <a:t>obyvatel daného věku</a:t>
                </a:r>
              </a:p>
            </c:rich>
          </c:tx>
          <c:layout>
            <c:manualLayout>
              <c:xMode val="edge"/>
              <c:yMode val="edge"/>
              <c:x val="8.8195097604128539E-3"/>
              <c:y val="0.1249195644802772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w="317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134659535"/>
        <c:crosses val="autoZero"/>
        <c:crossBetween val="between"/>
      </c:valAx>
      <c:spPr>
        <a:noFill/>
        <a:ln w="3175">
          <a:solidFill>
            <a:schemeClr val="tx1"/>
          </a:solidFill>
        </a:ln>
        <a:effectLst/>
      </c:spPr>
    </c:plotArea>
    <c:legend>
      <c:legendPos val="b"/>
      <c:layout>
        <c:manualLayout>
          <c:xMode val="edge"/>
          <c:yMode val="edge"/>
          <c:x val="0.18902417060328217"/>
          <c:y val="0.10249745695663642"/>
          <c:w val="0.11493873476609263"/>
          <c:h val="0.36688806841728516"/>
        </c:manualLayout>
      </c:layout>
      <c:overlay val="0"/>
      <c:spPr>
        <a:solidFill>
          <a:schemeClr val="bg1"/>
        </a:solid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454452780037271"/>
          <c:y val="2.4072864778126174E-2"/>
          <c:w val="0.46636586333420837"/>
          <c:h val="0.81019399498139655"/>
        </c:manualLayout>
      </c:layout>
      <c:barChart>
        <c:barDir val="bar"/>
        <c:grouping val="clustered"/>
        <c:varyColors val="0"/>
        <c:ser>
          <c:idx val="2"/>
          <c:order val="0"/>
          <c:tx>
            <c:strRef>
              <c:f>'příčinyTOP10-15_graf 6'!$E$2</c:f>
              <c:strCache>
                <c:ptCount val="1"/>
                <c:pt idx="0">
                  <c:v>2019</c:v>
                </c:pt>
              </c:strCache>
            </c:strRef>
          </c:tx>
          <c:spPr>
            <a:solidFill>
              <a:srgbClr val="FFC000"/>
            </a:solidFill>
            <a:ln w="3175">
              <a:solidFill>
                <a:schemeClr val="tx1"/>
              </a:solidFill>
            </a:ln>
            <a:effectLst/>
          </c:spPr>
          <c:invertIfNegative val="0"/>
          <c:cat>
            <c:strRef>
              <c:f>'příčinyTOP10-15_graf 6'!$B$3:$B$17</c:f>
              <c:strCache>
                <c:ptCount val="15"/>
                <c:pt idx="0">
                  <c:v>nedopravní nehody</c:v>
                </c:pt>
                <c:pt idx="1">
                  <c:v>ZN slinivky břišní</c:v>
                </c:pt>
                <c:pt idx="2">
                  <c:v>ZN tlustého střeva, konečníku a řiti</c:v>
                </c:pt>
                <c:pt idx="3">
                  <c:v>akutní infarkt myokardu</c:v>
                </c:pt>
                <c:pt idx="4">
                  <c:v>chronické nemoci dolní části dých. ústrojí</c:v>
                </c:pt>
                <c:pt idx="5">
                  <c:v>zánět plic (pneumonie)</c:v>
                </c:pt>
                <c:pt idx="6">
                  <c:v>ZN ženských pohl. orgánů, prsu a prostaty</c:v>
                </c:pt>
                <c:pt idx="7">
                  <c:v>Alzheimer a vaskulární demence</c:v>
                </c:pt>
                <c:pt idx="8">
                  <c:v>ZN průdušnice, průdušky a plíce</c:v>
                </c:pt>
                <c:pt idx="9">
                  <c:v>hypertenzní nemoci</c:v>
                </c:pt>
                <c:pt idx="10">
                  <c:v>diabetes mellitus</c:v>
                </c:pt>
                <c:pt idx="11">
                  <c:v>srdeční selhání</c:v>
                </c:pt>
                <c:pt idx="12">
                  <c:v>cévní nemoci mozku</c:v>
                </c:pt>
                <c:pt idx="13">
                  <c:v>chronická ischemická choroba srdeční</c:v>
                </c:pt>
                <c:pt idx="14">
                  <c:v>covid-19</c:v>
                </c:pt>
              </c:strCache>
            </c:strRef>
          </c:cat>
          <c:val>
            <c:numRef>
              <c:f>'příčinyTOP10-15_graf 6'!$E$3:$E$17</c:f>
              <c:numCache>
                <c:formatCode>0</c:formatCode>
                <c:ptCount val="15"/>
                <c:pt idx="0">
                  <c:v>2082</c:v>
                </c:pt>
                <c:pt idx="1">
                  <c:v>1757</c:v>
                </c:pt>
                <c:pt idx="2">
                  <c:v>2825</c:v>
                </c:pt>
                <c:pt idx="3">
                  <c:v>3081</c:v>
                </c:pt>
                <c:pt idx="4">
                  <c:v>3065</c:v>
                </c:pt>
                <c:pt idx="5">
                  <c:v>3016</c:v>
                </c:pt>
                <c:pt idx="6">
                  <c:v>3726</c:v>
                </c:pt>
                <c:pt idx="7">
                  <c:v>3733</c:v>
                </c:pt>
                <c:pt idx="8">
                  <c:v>4204</c:v>
                </c:pt>
                <c:pt idx="9">
                  <c:v>3665</c:v>
                </c:pt>
                <c:pt idx="10">
                  <c:v>3867</c:v>
                </c:pt>
                <c:pt idx="11">
                  <c:v>4930</c:v>
                </c:pt>
                <c:pt idx="12">
                  <c:v>6819</c:v>
                </c:pt>
                <c:pt idx="13">
                  <c:v>16761</c:v>
                </c:pt>
                <c:pt idx="14" formatCode="General">
                  <c:v>0</c:v>
                </c:pt>
              </c:numCache>
            </c:numRef>
          </c:val>
          <c:extLst>
            <c:ext xmlns:c16="http://schemas.microsoft.com/office/drawing/2014/chart" uri="{C3380CC4-5D6E-409C-BE32-E72D297353CC}">
              <c16:uniqueId val="{00000000-2B9A-4019-BB1B-89B7CE7E6B28}"/>
            </c:ext>
          </c:extLst>
        </c:ser>
        <c:ser>
          <c:idx val="1"/>
          <c:order val="1"/>
          <c:tx>
            <c:strRef>
              <c:f>'příčinyTOP10-15_graf 6'!$D$2</c:f>
              <c:strCache>
                <c:ptCount val="1"/>
                <c:pt idx="0">
                  <c:v>2020</c:v>
                </c:pt>
              </c:strCache>
            </c:strRef>
          </c:tx>
          <c:spPr>
            <a:solidFill>
              <a:srgbClr val="0071BC"/>
            </a:solidFill>
            <a:ln w="3175">
              <a:solidFill>
                <a:schemeClr val="tx1"/>
              </a:solidFill>
            </a:ln>
            <a:effectLst/>
          </c:spPr>
          <c:invertIfNegative val="0"/>
          <c:cat>
            <c:strRef>
              <c:f>'příčinyTOP10-15_graf 6'!$B$3:$B$17</c:f>
              <c:strCache>
                <c:ptCount val="15"/>
                <c:pt idx="0">
                  <c:v>nedopravní nehody</c:v>
                </c:pt>
                <c:pt idx="1">
                  <c:v>ZN slinivky břišní</c:v>
                </c:pt>
                <c:pt idx="2">
                  <c:v>ZN tlustého střeva, konečníku a řiti</c:v>
                </c:pt>
                <c:pt idx="3">
                  <c:v>akutní infarkt myokardu</c:v>
                </c:pt>
                <c:pt idx="4">
                  <c:v>chronické nemoci dolní části dých. ústrojí</c:v>
                </c:pt>
                <c:pt idx="5">
                  <c:v>zánět plic (pneumonie)</c:v>
                </c:pt>
                <c:pt idx="6">
                  <c:v>ZN ženských pohl. orgánů, prsu a prostaty</c:v>
                </c:pt>
                <c:pt idx="7">
                  <c:v>Alzheimer a vaskulární demence</c:v>
                </c:pt>
                <c:pt idx="8">
                  <c:v>ZN průdušnice, průdušky a plíce</c:v>
                </c:pt>
                <c:pt idx="9">
                  <c:v>hypertenzní nemoci</c:v>
                </c:pt>
                <c:pt idx="10">
                  <c:v>diabetes mellitus</c:v>
                </c:pt>
                <c:pt idx="11">
                  <c:v>srdeční selhání</c:v>
                </c:pt>
                <c:pt idx="12">
                  <c:v>cévní nemoci mozku</c:v>
                </c:pt>
                <c:pt idx="13">
                  <c:v>chronická ischemická choroba srdeční</c:v>
                </c:pt>
                <c:pt idx="14">
                  <c:v>covid-19</c:v>
                </c:pt>
              </c:strCache>
            </c:strRef>
          </c:cat>
          <c:val>
            <c:numRef>
              <c:f>'příčinyTOP10-15_graf 6'!$D$3:$D$17</c:f>
              <c:numCache>
                <c:formatCode>0</c:formatCode>
                <c:ptCount val="15"/>
                <c:pt idx="0">
                  <c:v>2067</c:v>
                </c:pt>
                <c:pt idx="1">
                  <c:v>1832</c:v>
                </c:pt>
                <c:pt idx="2">
                  <c:v>2773</c:v>
                </c:pt>
                <c:pt idx="3">
                  <c:v>2938</c:v>
                </c:pt>
                <c:pt idx="4">
                  <c:v>2962</c:v>
                </c:pt>
                <c:pt idx="5">
                  <c:v>3334</c:v>
                </c:pt>
                <c:pt idx="6">
                  <c:v>3834</c:v>
                </c:pt>
                <c:pt idx="7">
                  <c:v>4292</c:v>
                </c:pt>
                <c:pt idx="8">
                  <c:v>4291</c:v>
                </c:pt>
                <c:pt idx="9">
                  <c:v>4552</c:v>
                </c:pt>
                <c:pt idx="10">
                  <c:v>4565</c:v>
                </c:pt>
                <c:pt idx="11">
                  <c:v>6116</c:v>
                </c:pt>
                <c:pt idx="12">
                  <c:v>6907</c:v>
                </c:pt>
                <c:pt idx="13">
                  <c:v>17955</c:v>
                </c:pt>
                <c:pt idx="14">
                  <c:v>9676</c:v>
                </c:pt>
              </c:numCache>
            </c:numRef>
          </c:val>
          <c:extLst>
            <c:ext xmlns:c16="http://schemas.microsoft.com/office/drawing/2014/chart" uri="{C3380CC4-5D6E-409C-BE32-E72D297353CC}">
              <c16:uniqueId val="{00000001-2B9A-4019-BB1B-89B7CE7E6B28}"/>
            </c:ext>
          </c:extLst>
        </c:ser>
        <c:ser>
          <c:idx val="0"/>
          <c:order val="2"/>
          <c:tx>
            <c:strRef>
              <c:f>'příčinyTOP10-15_graf 6'!$C$2</c:f>
              <c:strCache>
                <c:ptCount val="1"/>
                <c:pt idx="0">
                  <c:v>2021</c:v>
                </c:pt>
              </c:strCache>
            </c:strRef>
          </c:tx>
          <c:spPr>
            <a:solidFill>
              <a:srgbClr val="BD1B21"/>
            </a:solidFill>
            <a:ln w="3175">
              <a:solidFill>
                <a:schemeClr val="tx1"/>
              </a:solidFill>
            </a:ln>
            <a:effectLst/>
          </c:spPr>
          <c:invertIfNegative val="0"/>
          <c:cat>
            <c:strRef>
              <c:f>'příčinyTOP10-15_graf 6'!$B$3:$B$17</c:f>
              <c:strCache>
                <c:ptCount val="15"/>
                <c:pt idx="0">
                  <c:v>nedopravní nehody</c:v>
                </c:pt>
                <c:pt idx="1">
                  <c:v>ZN slinivky břišní</c:v>
                </c:pt>
                <c:pt idx="2">
                  <c:v>ZN tlustého střeva, konečníku a řiti</c:v>
                </c:pt>
                <c:pt idx="3">
                  <c:v>akutní infarkt myokardu</c:v>
                </c:pt>
                <c:pt idx="4">
                  <c:v>chronické nemoci dolní části dých. ústrojí</c:v>
                </c:pt>
                <c:pt idx="5">
                  <c:v>zánět plic (pneumonie)</c:v>
                </c:pt>
                <c:pt idx="6">
                  <c:v>ZN ženských pohl. orgánů, prsu a prostaty</c:v>
                </c:pt>
                <c:pt idx="7">
                  <c:v>Alzheimer a vaskulární demence</c:v>
                </c:pt>
                <c:pt idx="8">
                  <c:v>ZN průdušnice, průdušky a plíce</c:v>
                </c:pt>
                <c:pt idx="9">
                  <c:v>hypertenzní nemoci</c:v>
                </c:pt>
                <c:pt idx="10">
                  <c:v>diabetes mellitus</c:v>
                </c:pt>
                <c:pt idx="11">
                  <c:v>srdeční selhání</c:v>
                </c:pt>
                <c:pt idx="12">
                  <c:v>cévní nemoci mozku</c:v>
                </c:pt>
                <c:pt idx="13">
                  <c:v>chronická ischemická choroba srdeční</c:v>
                </c:pt>
                <c:pt idx="14">
                  <c:v>covid-19</c:v>
                </c:pt>
              </c:strCache>
            </c:strRef>
          </c:cat>
          <c:val>
            <c:numRef>
              <c:f>'příčinyTOP10-15_graf 6'!$C$3:$C$17</c:f>
              <c:numCache>
                <c:formatCode>0</c:formatCode>
                <c:ptCount val="15"/>
                <c:pt idx="0" formatCode="#\ ##0_ ;\-#\ ##0\ ">
                  <c:v>1812</c:v>
                </c:pt>
                <c:pt idx="1">
                  <c:v>1819</c:v>
                </c:pt>
                <c:pt idx="2">
                  <c:v>2686</c:v>
                </c:pt>
                <c:pt idx="3">
                  <c:v>2690</c:v>
                </c:pt>
                <c:pt idx="4">
                  <c:v>2882</c:v>
                </c:pt>
                <c:pt idx="5">
                  <c:v>3070</c:v>
                </c:pt>
                <c:pt idx="6" formatCode="#\ ##0_ ;\-#\ ##0\ ">
                  <c:v>3791</c:v>
                </c:pt>
                <c:pt idx="7" formatCode="#\ ##0_ ;\-#\ ##0\ ">
                  <c:v>3920</c:v>
                </c:pt>
                <c:pt idx="8">
                  <c:v>3983</c:v>
                </c:pt>
                <c:pt idx="9">
                  <c:v>4237</c:v>
                </c:pt>
                <c:pt idx="10">
                  <c:v>4615</c:v>
                </c:pt>
                <c:pt idx="11">
                  <c:v>5904</c:v>
                </c:pt>
                <c:pt idx="12">
                  <c:v>6462</c:v>
                </c:pt>
                <c:pt idx="13">
                  <c:v>16844</c:v>
                </c:pt>
                <c:pt idx="14">
                  <c:v>21898</c:v>
                </c:pt>
              </c:numCache>
            </c:numRef>
          </c:val>
          <c:extLst>
            <c:ext xmlns:c16="http://schemas.microsoft.com/office/drawing/2014/chart" uri="{C3380CC4-5D6E-409C-BE32-E72D297353CC}">
              <c16:uniqueId val="{00000002-2B9A-4019-BB1B-89B7CE7E6B28}"/>
            </c:ext>
          </c:extLst>
        </c:ser>
        <c:dLbls>
          <c:showLegendKey val="0"/>
          <c:showVal val="0"/>
          <c:showCatName val="0"/>
          <c:showSerName val="0"/>
          <c:showPercent val="0"/>
          <c:showBubbleSize val="0"/>
        </c:dLbls>
        <c:gapWidth val="75"/>
        <c:axId val="645745983"/>
        <c:axId val="645764287"/>
      </c:barChart>
      <c:catAx>
        <c:axId val="645745983"/>
        <c:scaling>
          <c:orientation val="minMax"/>
        </c:scaling>
        <c:delete val="0"/>
        <c:axPos val="l"/>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645764287"/>
        <c:crosses val="autoZero"/>
        <c:auto val="1"/>
        <c:lblAlgn val="ctr"/>
        <c:lblOffset val="100"/>
        <c:tickLblSkip val="1"/>
        <c:noMultiLvlLbl val="0"/>
      </c:catAx>
      <c:valAx>
        <c:axId val="645764287"/>
        <c:scaling>
          <c:orientation val="minMax"/>
          <c:max val="25000"/>
          <c:min val="0"/>
        </c:scaling>
        <c:delete val="0"/>
        <c:axPos val="b"/>
        <c:majorGridlines>
          <c:spPr>
            <a:ln w="3175" cap="flat" cmpd="sng" algn="ctr">
              <a:solidFill>
                <a:schemeClr val="tx1"/>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800"/>
                  <a:t>p</a:t>
                </a:r>
                <a:r>
                  <a:rPr lang="en-US" sz="800"/>
                  <a:t>očet úmrtí (tis</a:t>
                </a:r>
                <a:r>
                  <a:rPr lang="cs-CZ" sz="800"/>
                  <a:t>.</a:t>
                </a:r>
                <a:r>
                  <a:rPr lang="en-US" sz="800"/>
                  <a:t>)</a:t>
                </a:r>
              </a:p>
            </c:rich>
          </c:tx>
          <c:layout>
            <c:manualLayout>
              <c:xMode val="edge"/>
              <c:yMode val="edge"/>
              <c:x val="0.6285903640128403"/>
              <c:y val="0.9263716438031696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w="317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645745983"/>
        <c:crosses val="autoZero"/>
        <c:crossBetween val="between"/>
        <c:majorUnit val="5000"/>
        <c:dispUnits>
          <c:builtInUnit val="thousands"/>
        </c:dispUnits>
      </c:valAx>
      <c:spPr>
        <a:noFill/>
        <a:ln w="3175">
          <a:solidFill>
            <a:schemeClr val="tx1"/>
          </a:solidFill>
        </a:ln>
        <a:effectLst/>
      </c:spPr>
    </c:plotArea>
    <c:legend>
      <c:legendPos val="b"/>
      <c:layout>
        <c:manualLayout>
          <c:xMode val="edge"/>
          <c:yMode val="edge"/>
          <c:x val="0.8025327750461152"/>
          <c:y val="0.62127622947699113"/>
          <c:w val="0.11053125000000001"/>
          <c:h val="0.15658184623075153"/>
        </c:manualLayout>
      </c:layout>
      <c:overlay val="0"/>
      <c:spPr>
        <a:solidFill>
          <a:schemeClr val="bg1"/>
        </a:solidFill>
        <a:ln w="3175">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40761480536265"/>
          <c:y val="3.2250633494586498E-2"/>
          <c:w val="0.85670256608864237"/>
          <c:h val="0.54236750122889787"/>
        </c:manualLayout>
      </c:layout>
      <c:barChart>
        <c:barDir val="col"/>
        <c:grouping val="stacked"/>
        <c:varyColors val="0"/>
        <c:ser>
          <c:idx val="0"/>
          <c:order val="0"/>
          <c:tx>
            <c:strRef>
              <c:f>'ČR podle věku tab'!$B$25</c:f>
              <c:strCache>
                <c:ptCount val="1"/>
                <c:pt idx="0">
                  <c:v>v obci obvyklého pobytu</c:v>
                </c:pt>
              </c:strCache>
            </c:strRef>
          </c:tx>
          <c:spPr>
            <a:solidFill>
              <a:srgbClr val="BD1B21"/>
            </a:solidFill>
            <a:ln w="3175">
              <a:solidFill>
                <a:schemeClr val="tx1"/>
              </a:solidFill>
            </a:ln>
            <a:effectLst/>
          </c:spPr>
          <c:invertIfNegative val="0"/>
          <c:cat>
            <c:strRef>
              <c:f>'ČR podle věku tab'!$A$26:$A$46</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 a více</c:v>
                </c:pt>
              </c:strCache>
            </c:strRef>
          </c:cat>
          <c:val>
            <c:numRef>
              <c:f>'ČR podle věku tab'!$B$26:$B$46</c:f>
              <c:numCache>
                <c:formatCode>#\ ##0.0</c:formatCode>
                <c:ptCount val="21"/>
                <c:pt idx="0">
                  <c:v>87.444348520954918</c:v>
                </c:pt>
                <c:pt idx="1">
                  <c:v>78.350217445056941</c:v>
                </c:pt>
                <c:pt idx="2">
                  <c:v>75.293751204603652</c:v>
                </c:pt>
                <c:pt idx="3">
                  <c:v>71.196890387803265</c:v>
                </c:pt>
                <c:pt idx="4">
                  <c:v>60.604783854543321</c:v>
                </c:pt>
                <c:pt idx="5">
                  <c:v>48.84591328879781</c:v>
                </c:pt>
                <c:pt idx="6">
                  <c:v>43.861295381581066</c:v>
                </c:pt>
                <c:pt idx="7">
                  <c:v>42.117874143534387</c:v>
                </c:pt>
                <c:pt idx="8">
                  <c:v>43.242061877780721</c:v>
                </c:pt>
                <c:pt idx="9">
                  <c:v>44.057309802920642</c:v>
                </c:pt>
                <c:pt idx="10">
                  <c:v>42.370696545610443</c:v>
                </c:pt>
                <c:pt idx="11">
                  <c:v>41.639968126820442</c:v>
                </c:pt>
                <c:pt idx="12">
                  <c:v>41.045364315740308</c:v>
                </c:pt>
                <c:pt idx="13">
                  <c:v>41.383604682665727</c:v>
                </c:pt>
                <c:pt idx="14">
                  <c:v>40.321420431308589</c:v>
                </c:pt>
                <c:pt idx="15">
                  <c:v>37.081274679994657</c:v>
                </c:pt>
                <c:pt idx="16">
                  <c:v>34.153747539784611</c:v>
                </c:pt>
                <c:pt idx="17">
                  <c:v>32.974407106591485</c:v>
                </c:pt>
                <c:pt idx="18">
                  <c:v>31.775470768764446</c:v>
                </c:pt>
                <c:pt idx="19">
                  <c:v>29.036841571095099</c:v>
                </c:pt>
                <c:pt idx="20">
                  <c:v>27.357032457496135</c:v>
                </c:pt>
              </c:numCache>
            </c:numRef>
          </c:val>
          <c:extLst>
            <c:ext xmlns:c16="http://schemas.microsoft.com/office/drawing/2014/chart" uri="{C3380CC4-5D6E-409C-BE32-E72D297353CC}">
              <c16:uniqueId val="{00000000-E6BB-49CC-80BE-CA96CFA4E370}"/>
            </c:ext>
          </c:extLst>
        </c:ser>
        <c:ser>
          <c:idx val="1"/>
          <c:order val="1"/>
          <c:tx>
            <c:strRef>
              <c:f>'ČR podle věku tab'!$C$25</c:f>
              <c:strCache>
                <c:ptCount val="1"/>
                <c:pt idx="0">
                  <c:v>v jiné obci okresu obvyklého pobytu</c:v>
                </c:pt>
              </c:strCache>
            </c:strRef>
          </c:tx>
          <c:spPr>
            <a:solidFill>
              <a:srgbClr val="0071BC"/>
            </a:solidFill>
            <a:ln w="3175">
              <a:solidFill>
                <a:schemeClr val="tx1"/>
              </a:solidFill>
            </a:ln>
            <a:effectLst/>
          </c:spPr>
          <c:invertIfNegative val="0"/>
          <c:cat>
            <c:strRef>
              <c:f>'ČR podle věku tab'!$A$26:$A$46</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 a více</c:v>
                </c:pt>
              </c:strCache>
            </c:strRef>
          </c:cat>
          <c:val>
            <c:numRef>
              <c:f>'ČR podle věku tab'!$C$26:$C$46</c:f>
              <c:numCache>
                <c:formatCode>#\ ##0.0</c:formatCode>
                <c:ptCount val="21"/>
                <c:pt idx="0">
                  <c:v>4.483868205881933</c:v>
                </c:pt>
                <c:pt idx="1">
                  <c:v>8.0381946969586782</c:v>
                </c:pt>
                <c:pt idx="2">
                  <c:v>9.9927035435997684</c:v>
                </c:pt>
                <c:pt idx="3">
                  <c:v>11.503850268253048</c:v>
                </c:pt>
                <c:pt idx="4">
                  <c:v>12.592676438960892</c:v>
                </c:pt>
                <c:pt idx="5">
                  <c:v>14.093730870571953</c:v>
                </c:pt>
                <c:pt idx="6">
                  <c:v>14.587270349759109</c:v>
                </c:pt>
                <c:pt idx="7">
                  <c:v>15.057106978412964</c:v>
                </c:pt>
                <c:pt idx="8">
                  <c:v>16.285608048331017</c:v>
                </c:pt>
                <c:pt idx="9">
                  <c:v>17.065550309018978</c:v>
                </c:pt>
                <c:pt idx="10">
                  <c:v>17.392132071907106</c:v>
                </c:pt>
                <c:pt idx="11">
                  <c:v>17.715125204271967</c:v>
                </c:pt>
                <c:pt idx="12">
                  <c:v>18.270765218745133</c:v>
                </c:pt>
                <c:pt idx="13">
                  <c:v>17.771348085037594</c:v>
                </c:pt>
                <c:pt idx="14">
                  <c:v>17.111548278532045</c:v>
                </c:pt>
                <c:pt idx="15">
                  <c:v>15.191907823200626</c:v>
                </c:pt>
                <c:pt idx="16">
                  <c:v>15.984106700414589</c:v>
                </c:pt>
                <c:pt idx="17">
                  <c:v>15.98687468128977</c:v>
                </c:pt>
                <c:pt idx="18">
                  <c:v>15.39612776114879</c:v>
                </c:pt>
                <c:pt idx="19">
                  <c:v>14.584390540951995</c:v>
                </c:pt>
                <c:pt idx="20">
                  <c:v>11.128284389489954</c:v>
                </c:pt>
              </c:numCache>
            </c:numRef>
          </c:val>
          <c:extLst>
            <c:ext xmlns:c16="http://schemas.microsoft.com/office/drawing/2014/chart" uri="{C3380CC4-5D6E-409C-BE32-E72D297353CC}">
              <c16:uniqueId val="{00000001-E6BB-49CC-80BE-CA96CFA4E370}"/>
            </c:ext>
          </c:extLst>
        </c:ser>
        <c:ser>
          <c:idx val="2"/>
          <c:order val="2"/>
          <c:tx>
            <c:strRef>
              <c:f>'ČR podle věku tab'!$D$25</c:f>
              <c:strCache>
                <c:ptCount val="1"/>
                <c:pt idx="0">
                  <c:v>v jiném okrese kraje obvyklého pobytu</c:v>
                </c:pt>
              </c:strCache>
            </c:strRef>
          </c:tx>
          <c:spPr>
            <a:solidFill>
              <a:srgbClr val="FFC000"/>
            </a:solidFill>
            <a:ln w="3175">
              <a:solidFill>
                <a:schemeClr val="tx1"/>
              </a:solidFill>
            </a:ln>
            <a:effectLst/>
          </c:spPr>
          <c:invertIfNegative val="0"/>
          <c:cat>
            <c:strRef>
              <c:f>'ČR podle věku tab'!$A$26:$A$46</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 a více</c:v>
                </c:pt>
              </c:strCache>
            </c:strRef>
          </c:cat>
          <c:val>
            <c:numRef>
              <c:f>'ČR podle věku tab'!$D$26:$D$46</c:f>
              <c:numCache>
                <c:formatCode>#\ ##0.0</c:formatCode>
                <c:ptCount val="21"/>
                <c:pt idx="0">
                  <c:v>2.7017722855634356</c:v>
                </c:pt>
                <c:pt idx="1">
                  <c:v>4.4483513446685965</c:v>
                </c:pt>
                <c:pt idx="2">
                  <c:v>5.0402337619427851</c:v>
                </c:pt>
                <c:pt idx="3">
                  <c:v>5.4111988502274233</c:v>
                </c:pt>
                <c:pt idx="4">
                  <c:v>6.5785860567681835</c:v>
                </c:pt>
                <c:pt idx="5">
                  <c:v>8.3760279988289454</c:v>
                </c:pt>
                <c:pt idx="6">
                  <c:v>8.8729308489764112</c:v>
                </c:pt>
                <c:pt idx="7">
                  <c:v>8.8716417578352615</c:v>
                </c:pt>
                <c:pt idx="8">
                  <c:v>8.9399091054262829</c:v>
                </c:pt>
                <c:pt idx="9">
                  <c:v>8.9060591420393429</c:v>
                </c:pt>
                <c:pt idx="10">
                  <c:v>9.1639418116289555</c:v>
                </c:pt>
                <c:pt idx="11">
                  <c:v>9.601270125196768</c:v>
                </c:pt>
                <c:pt idx="12">
                  <c:v>9.7853093051014586</c:v>
                </c:pt>
                <c:pt idx="13">
                  <c:v>9.9887588481037479</c:v>
                </c:pt>
                <c:pt idx="14">
                  <c:v>10.291143803475103</c:v>
                </c:pt>
                <c:pt idx="15">
                  <c:v>10.268546956372447</c:v>
                </c:pt>
                <c:pt idx="16">
                  <c:v>10.749343600152852</c:v>
                </c:pt>
                <c:pt idx="17">
                  <c:v>11.030884407032687</c:v>
                </c:pt>
                <c:pt idx="18">
                  <c:v>10.813473269427499</c:v>
                </c:pt>
                <c:pt idx="19">
                  <c:v>11.387394702121181</c:v>
                </c:pt>
                <c:pt idx="20">
                  <c:v>10.200927357032457</c:v>
                </c:pt>
              </c:numCache>
            </c:numRef>
          </c:val>
          <c:extLst>
            <c:ext xmlns:c16="http://schemas.microsoft.com/office/drawing/2014/chart" uri="{C3380CC4-5D6E-409C-BE32-E72D297353CC}">
              <c16:uniqueId val="{00000002-E6BB-49CC-80BE-CA96CFA4E370}"/>
            </c:ext>
          </c:extLst>
        </c:ser>
        <c:ser>
          <c:idx val="3"/>
          <c:order val="3"/>
          <c:tx>
            <c:strRef>
              <c:f>'ČR podle věku tab'!$E$25</c:f>
              <c:strCache>
                <c:ptCount val="1"/>
                <c:pt idx="0">
                  <c:v>v jiném kraji</c:v>
                </c:pt>
              </c:strCache>
            </c:strRef>
          </c:tx>
          <c:spPr>
            <a:solidFill>
              <a:srgbClr val="92D050"/>
            </a:solidFill>
            <a:ln w="3175">
              <a:solidFill>
                <a:schemeClr val="tx1"/>
              </a:solidFill>
            </a:ln>
            <a:effectLst/>
          </c:spPr>
          <c:invertIfNegative val="0"/>
          <c:cat>
            <c:strRef>
              <c:f>'ČR podle věku tab'!$A$26:$A$46</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 a více</c:v>
                </c:pt>
              </c:strCache>
            </c:strRef>
          </c:cat>
          <c:val>
            <c:numRef>
              <c:f>'ČR podle věku tab'!$E$26:$E$46</c:f>
              <c:numCache>
                <c:formatCode>#\ ##0.0</c:formatCode>
                <c:ptCount val="21"/>
                <c:pt idx="0">
                  <c:v>3.9517901225759502</c:v>
                </c:pt>
                <c:pt idx="1">
                  <c:v>6.586803484938839</c:v>
                </c:pt>
                <c:pt idx="2">
                  <c:v>7.2654808777774722</c:v>
                </c:pt>
                <c:pt idx="3">
                  <c:v>7.934900660629272</c:v>
                </c:pt>
                <c:pt idx="4">
                  <c:v>12.053544290795974</c:v>
                </c:pt>
                <c:pt idx="5">
                  <c:v>17.649143001623507</c:v>
                </c:pt>
                <c:pt idx="6">
                  <c:v>19.355133000560414</c:v>
                </c:pt>
                <c:pt idx="7">
                  <c:v>19.385083070384891</c:v>
                </c:pt>
                <c:pt idx="8">
                  <c:v>19.051959571846695</c:v>
                </c:pt>
                <c:pt idx="9">
                  <c:v>18.004115695247123</c:v>
                </c:pt>
                <c:pt idx="10">
                  <c:v>18.496170670387002</c:v>
                </c:pt>
                <c:pt idx="11">
                  <c:v>19.351701928747538</c:v>
                </c:pt>
                <c:pt idx="12">
                  <c:v>19.943140536613214</c:v>
                </c:pt>
                <c:pt idx="13">
                  <c:v>21.578820532240851</c:v>
                </c:pt>
                <c:pt idx="14">
                  <c:v>23.861635972448752</c:v>
                </c:pt>
                <c:pt idx="15">
                  <c:v>27.015413670094045</c:v>
                </c:pt>
                <c:pt idx="16">
                  <c:v>26.590870803252621</c:v>
                </c:pt>
                <c:pt idx="17">
                  <c:v>27.189954992572666</c:v>
                </c:pt>
                <c:pt idx="18">
                  <c:v>28.124881597393248</c:v>
                </c:pt>
                <c:pt idx="19">
                  <c:v>29.666091545722114</c:v>
                </c:pt>
                <c:pt idx="20">
                  <c:v>33.23029366306028</c:v>
                </c:pt>
              </c:numCache>
            </c:numRef>
          </c:val>
          <c:extLst>
            <c:ext xmlns:c16="http://schemas.microsoft.com/office/drawing/2014/chart" uri="{C3380CC4-5D6E-409C-BE32-E72D297353CC}">
              <c16:uniqueId val="{00000003-E6BB-49CC-80BE-CA96CFA4E370}"/>
            </c:ext>
          </c:extLst>
        </c:ser>
        <c:ser>
          <c:idx val="4"/>
          <c:order val="4"/>
          <c:tx>
            <c:strRef>
              <c:f>'ČR podle věku tab'!$F$25</c:f>
              <c:strCache>
                <c:ptCount val="1"/>
                <c:pt idx="0">
                  <c:v>v zahraničí</c:v>
                </c:pt>
              </c:strCache>
            </c:strRef>
          </c:tx>
          <c:spPr>
            <a:solidFill>
              <a:srgbClr val="00B0F0"/>
            </a:solidFill>
            <a:ln w="3175">
              <a:solidFill>
                <a:schemeClr val="tx1"/>
              </a:solidFill>
            </a:ln>
            <a:effectLst/>
          </c:spPr>
          <c:invertIfNegative val="0"/>
          <c:cat>
            <c:strRef>
              <c:f>'ČR podle věku tab'!$A$26:$A$46</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 a více</c:v>
                </c:pt>
              </c:strCache>
            </c:strRef>
          </c:cat>
          <c:val>
            <c:numRef>
              <c:f>'ČR podle věku tab'!$F$26:$F$46</c:f>
              <c:numCache>
                <c:formatCode>#\ ##0.0</c:formatCode>
                <c:ptCount val="21"/>
                <c:pt idx="0">
                  <c:v>0.94999928651949939</c:v>
                </c:pt>
                <c:pt idx="1">
                  <c:v>2.1757232411676579</c:v>
                </c:pt>
                <c:pt idx="2">
                  <c:v>2.1846347641730226</c:v>
                </c:pt>
                <c:pt idx="3">
                  <c:v>3.7890232649294866</c:v>
                </c:pt>
                <c:pt idx="4">
                  <c:v>7.8888951773665115</c:v>
                </c:pt>
                <c:pt idx="5">
                  <c:v>9.9877238974795723</c:v>
                </c:pt>
                <c:pt idx="6">
                  <c:v>10.230088290534797</c:v>
                </c:pt>
                <c:pt idx="7">
                  <c:v>10.239761698482384</c:v>
                </c:pt>
                <c:pt idx="8">
                  <c:v>7.888059101288353</c:v>
                </c:pt>
                <c:pt idx="9">
                  <c:v>6.9784507119286792</c:v>
                </c:pt>
                <c:pt idx="10">
                  <c:v>7.6742090654110537</c:v>
                </c:pt>
                <c:pt idx="11">
                  <c:v>7.032207817932715</c:v>
                </c:pt>
                <c:pt idx="12">
                  <c:v>6.5104572110644039</c:v>
                </c:pt>
                <c:pt idx="13">
                  <c:v>5.0297793231659034</c:v>
                </c:pt>
                <c:pt idx="14">
                  <c:v>4.1262210468633054</c:v>
                </c:pt>
                <c:pt idx="15">
                  <c:v>6.0889242860685604</c:v>
                </c:pt>
                <c:pt idx="16">
                  <c:v>8.0460856380946115</c:v>
                </c:pt>
                <c:pt idx="17">
                  <c:v>7.7155589715544188</c:v>
                </c:pt>
                <c:pt idx="18">
                  <c:v>7.9604440571363622</c:v>
                </c:pt>
                <c:pt idx="19">
                  <c:v>8.9820359281437128</c:v>
                </c:pt>
                <c:pt idx="20">
                  <c:v>10.046367851622875</c:v>
                </c:pt>
              </c:numCache>
            </c:numRef>
          </c:val>
          <c:extLst>
            <c:ext xmlns:c16="http://schemas.microsoft.com/office/drawing/2014/chart" uri="{C3380CC4-5D6E-409C-BE32-E72D297353CC}">
              <c16:uniqueId val="{00000004-E6BB-49CC-80BE-CA96CFA4E370}"/>
            </c:ext>
          </c:extLst>
        </c:ser>
        <c:ser>
          <c:idx val="5"/>
          <c:order val="5"/>
          <c:tx>
            <c:strRef>
              <c:f>'ČR podle věku tab'!$G$25</c:f>
              <c:strCache>
                <c:ptCount val="1"/>
                <c:pt idx="0">
                  <c:v>v ČR – nezjištěno</c:v>
                </c:pt>
              </c:strCache>
            </c:strRef>
          </c:tx>
          <c:spPr>
            <a:solidFill>
              <a:srgbClr val="7030A0"/>
            </a:solidFill>
            <a:ln w="3175">
              <a:solidFill>
                <a:schemeClr val="tx1"/>
              </a:solidFill>
            </a:ln>
            <a:effectLst/>
          </c:spPr>
          <c:invertIfNegative val="0"/>
          <c:cat>
            <c:strRef>
              <c:f>'ČR podle věku tab'!$A$26:$A$46</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 a více</c:v>
                </c:pt>
              </c:strCache>
            </c:strRef>
          </c:cat>
          <c:val>
            <c:numRef>
              <c:f>'ČR podle věku tab'!$G$26:$G$46</c:f>
              <c:numCache>
                <c:formatCode>#\ ##0.0</c:formatCode>
                <c:ptCount val="21"/>
                <c:pt idx="0">
                  <c:v>0.44753064398749981</c:v>
                </c:pt>
                <c:pt idx="1">
                  <c:v>0.39889168472648467</c:v>
                </c:pt>
                <c:pt idx="2">
                  <c:v>0.2202703818937746</c:v>
                </c:pt>
                <c:pt idx="3">
                  <c:v>0.16189091859316179</c:v>
                </c:pt>
                <c:pt idx="4">
                  <c:v>0.27417762433892379</c:v>
                </c:pt>
                <c:pt idx="5">
                  <c:v>1.0399755143321001</c:v>
                </c:pt>
                <c:pt idx="6">
                  <c:v>3.0866208778080431</c:v>
                </c:pt>
                <c:pt idx="7">
                  <c:v>4.3231088224128031</c:v>
                </c:pt>
                <c:pt idx="8">
                  <c:v>4.587506716850231</c:v>
                </c:pt>
                <c:pt idx="9">
                  <c:v>4.9809939654700921</c:v>
                </c:pt>
                <c:pt idx="10">
                  <c:v>4.8970368109749893</c:v>
                </c:pt>
                <c:pt idx="11">
                  <c:v>4.6540244391055703</c:v>
                </c:pt>
                <c:pt idx="12">
                  <c:v>4.4413955057346</c:v>
                </c:pt>
                <c:pt idx="13">
                  <c:v>4.2466407516453843</c:v>
                </c:pt>
                <c:pt idx="14">
                  <c:v>4.2877071718267326</c:v>
                </c:pt>
                <c:pt idx="15">
                  <c:v>4.3515480437229357</c:v>
                </c:pt>
                <c:pt idx="16">
                  <c:v>4.4746130425314226</c:v>
                </c:pt>
                <c:pt idx="17">
                  <c:v>5.1008417645276438</c:v>
                </c:pt>
                <c:pt idx="18">
                  <c:v>5.9220247792975407</c:v>
                </c:pt>
                <c:pt idx="19">
                  <c:v>6.3330965188267534</c:v>
                </c:pt>
                <c:pt idx="20">
                  <c:v>8.0370942812982999</c:v>
                </c:pt>
              </c:numCache>
            </c:numRef>
          </c:val>
          <c:extLst>
            <c:ext xmlns:c16="http://schemas.microsoft.com/office/drawing/2014/chart" uri="{C3380CC4-5D6E-409C-BE32-E72D297353CC}">
              <c16:uniqueId val="{00000005-E6BB-49CC-80BE-CA96CFA4E370}"/>
            </c:ext>
          </c:extLst>
        </c:ser>
        <c:ser>
          <c:idx val="6"/>
          <c:order val="6"/>
          <c:tx>
            <c:strRef>
              <c:f>'ČR podle věku tab'!$H$25</c:f>
              <c:strCache>
                <c:ptCount val="1"/>
                <c:pt idx="0">
                  <c:v>nezjištěno</c:v>
                </c:pt>
              </c:strCache>
            </c:strRef>
          </c:tx>
          <c:spPr>
            <a:solidFill>
              <a:schemeClr val="bg1">
                <a:lumMod val="50000"/>
              </a:schemeClr>
            </a:solidFill>
            <a:ln w="3175">
              <a:solidFill>
                <a:schemeClr val="tx1"/>
              </a:solidFill>
            </a:ln>
            <a:effectLst/>
          </c:spPr>
          <c:invertIfNegative val="0"/>
          <c:cat>
            <c:strRef>
              <c:f>'ČR podle věku tab'!$A$26:$A$46</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 a více</c:v>
                </c:pt>
              </c:strCache>
            </c:strRef>
          </c:cat>
          <c:val>
            <c:numRef>
              <c:f>'ČR podle věku tab'!$H$26:$H$46</c:f>
              <c:numCache>
                <c:formatCode>#\ ##0.0</c:formatCode>
                <c:ptCount val="21"/>
                <c:pt idx="0">
                  <c:v>2.0690934516759657E-2</c:v>
                </c:pt>
                <c:pt idx="1">
                  <c:v>1.8181024828007506E-3</c:v>
                </c:pt>
                <c:pt idx="2">
                  <c:v>2.9254660095266939E-3</c:v>
                </c:pt>
                <c:pt idx="3">
                  <c:v>2.2456495643439845E-3</c:v>
                </c:pt>
                <c:pt idx="4">
                  <c:v>7.3365572261944439E-3</c:v>
                </c:pt>
                <c:pt idx="5">
                  <c:v>7.4854283661139652E-3</c:v>
                </c:pt>
                <c:pt idx="6">
                  <c:v>6.6612507801627951E-3</c:v>
                </c:pt>
                <c:pt idx="7">
                  <c:v>5.4235289373081776E-3</c:v>
                </c:pt>
                <c:pt idx="8">
                  <c:v>4.8955784767057888E-3</c:v>
                </c:pt>
                <c:pt idx="9">
                  <c:v>7.5203733751435711E-3</c:v>
                </c:pt>
                <c:pt idx="10">
                  <c:v>5.8130240804522533E-3</c:v>
                </c:pt>
                <c:pt idx="11">
                  <c:v>5.7023579250019881E-3</c:v>
                </c:pt>
                <c:pt idx="12">
                  <c:v>3.567907000882246E-3</c:v>
                </c:pt>
                <c:pt idx="13">
                  <c:v>1.0477771407958016E-3</c:v>
                </c:pt>
                <c:pt idx="14">
                  <c:v>3.2329554547232673E-4</c:v>
                </c:pt>
                <c:pt idx="15">
                  <c:v>2.3845405467274564E-3</c:v>
                </c:pt>
                <c:pt idx="16">
                  <c:v>1.2326757692924029E-3</c:v>
                </c:pt>
                <c:pt idx="17">
                  <c:v>1.4780764313322642E-3</c:v>
                </c:pt>
                <c:pt idx="18">
                  <c:v>7.5777668321145757E-3</c:v>
                </c:pt>
                <c:pt idx="19">
                  <c:v>1.0149193139145437E-2</c:v>
                </c:pt>
                <c:pt idx="20">
                  <c:v>0</c:v>
                </c:pt>
              </c:numCache>
            </c:numRef>
          </c:val>
          <c:extLst>
            <c:ext xmlns:c16="http://schemas.microsoft.com/office/drawing/2014/chart" uri="{C3380CC4-5D6E-409C-BE32-E72D297353CC}">
              <c16:uniqueId val="{00000006-E6BB-49CC-80BE-CA96CFA4E370}"/>
            </c:ext>
          </c:extLst>
        </c:ser>
        <c:dLbls>
          <c:showLegendKey val="0"/>
          <c:showVal val="0"/>
          <c:showCatName val="0"/>
          <c:showSerName val="0"/>
          <c:showPercent val="0"/>
          <c:showBubbleSize val="0"/>
        </c:dLbls>
        <c:gapWidth val="80"/>
        <c:overlap val="100"/>
        <c:axId val="1610264976"/>
        <c:axId val="1610270800"/>
      </c:barChart>
      <c:catAx>
        <c:axId val="161026497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cs-CZ" sz="800">
                    <a:solidFill>
                      <a:sysClr val="windowText" lastClr="000000"/>
                    </a:solidFill>
                  </a:rPr>
                  <a:t>věk (v letech)</a:t>
                </a:r>
              </a:p>
            </c:rich>
          </c:tx>
          <c:layout>
            <c:manualLayout>
              <c:xMode val="edge"/>
              <c:yMode val="edge"/>
              <c:x val="0.45267715358274191"/>
              <c:y val="0.7198803478546903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317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cs-CZ"/>
          </a:p>
        </c:txPr>
        <c:crossAx val="1610270800"/>
        <c:crosses val="autoZero"/>
        <c:auto val="1"/>
        <c:lblAlgn val="ctr"/>
        <c:lblOffset val="100"/>
        <c:noMultiLvlLbl val="0"/>
      </c:catAx>
      <c:valAx>
        <c:axId val="1610270800"/>
        <c:scaling>
          <c:orientation val="minMax"/>
          <c:max val="100"/>
        </c:scaling>
        <c:delete val="0"/>
        <c:axPos val="l"/>
        <c:majorGridlines>
          <c:spPr>
            <a:ln w="3175" cap="flat" cmpd="sng" algn="ctr">
              <a:solidFill>
                <a:schemeClr val="tx1"/>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cs-CZ" sz="800">
                    <a:solidFill>
                      <a:sysClr val="windowText" lastClr="000000"/>
                    </a:solidFill>
                  </a:rPr>
                  <a:t>podíl obyvatel (</a:t>
                </a:r>
                <a:r>
                  <a:rPr lang="cs-CZ" sz="800" baseline="0">
                    <a:solidFill>
                      <a:sysClr val="windowText" lastClr="000000"/>
                    </a:solidFill>
                  </a:rPr>
                  <a:t>%)</a:t>
                </a:r>
                <a:endParaRPr lang="cs-CZ" sz="800">
                  <a:solidFill>
                    <a:sysClr val="windowText" lastClr="000000"/>
                  </a:solidFill>
                </a:endParaRPr>
              </a:p>
            </c:rich>
          </c:tx>
          <c:layout>
            <c:manualLayout>
              <c:xMode val="edge"/>
              <c:yMode val="edge"/>
              <c:x val="1.1959934220361788E-2"/>
              <c:y val="0.1512921112918936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title>
        <c:numFmt formatCode="#,##0" sourceLinked="0"/>
        <c:majorTickMark val="none"/>
        <c:minorTickMark val="none"/>
        <c:tickLblPos val="nextTo"/>
        <c:spPr>
          <a:noFill/>
          <a:ln w="3175">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cs-CZ"/>
          </a:p>
        </c:txPr>
        <c:crossAx val="1610264976"/>
        <c:crosses val="autoZero"/>
        <c:crossBetween val="between"/>
      </c:valAx>
      <c:spPr>
        <a:noFill/>
        <a:ln w="3175">
          <a:solidFill>
            <a:schemeClr val="tx1"/>
          </a:solidFill>
        </a:ln>
        <a:effectLst/>
      </c:spPr>
    </c:plotArea>
    <c:legend>
      <c:legendPos val="b"/>
      <c:layout>
        <c:manualLayout>
          <c:xMode val="edge"/>
          <c:yMode val="edge"/>
          <c:x val="7.588437003753958E-3"/>
          <c:y val="0.79423908499688189"/>
          <c:w val="0.97884292345053514"/>
          <c:h val="0.17811756885480701"/>
        </c:manualLayout>
      </c:layout>
      <c:overlay val="0"/>
      <c:spPr>
        <a:noFill/>
        <a:ln w="3175">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39380320022415"/>
          <c:y val="3.3492215885767403E-2"/>
          <c:w val="0.86664626257941402"/>
          <c:h val="0.39499876173384402"/>
        </c:manualLayout>
      </c:layout>
      <c:barChart>
        <c:barDir val="col"/>
        <c:grouping val="stacked"/>
        <c:varyColors val="0"/>
        <c:ser>
          <c:idx val="0"/>
          <c:order val="0"/>
          <c:tx>
            <c:strRef>
              <c:f>'kraje podle věku 65+ tab'!$B$17</c:f>
              <c:strCache>
                <c:ptCount val="1"/>
                <c:pt idx="0">
                  <c:v>v obci obvyklého pobytu</c:v>
                </c:pt>
              </c:strCache>
            </c:strRef>
          </c:tx>
          <c:spPr>
            <a:solidFill>
              <a:srgbClr val="BD1B21"/>
            </a:solidFill>
            <a:ln w="3175">
              <a:solidFill>
                <a:schemeClr val="tx1"/>
              </a:solidFill>
            </a:ln>
            <a:effectLst/>
          </c:spPr>
          <c:invertIfNegative val="0"/>
          <c:cat>
            <c:strRef>
              <c:f>'kraje podle věku 65+ tab'!$A$18:$A$32</c:f>
              <c:strCache>
                <c:ptCount val="15"/>
                <c:pt idx="0">
                  <c:v>Česko</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'kraje podle věku 65+ tab'!$B$18:$B$32</c:f>
              <c:numCache>
                <c:formatCode>#\ ##0.0</c:formatCode>
                <c:ptCount val="15"/>
                <c:pt idx="0" formatCode="0.0">
                  <c:v>38.591921595793018</c:v>
                </c:pt>
                <c:pt idx="1">
                  <c:v>54.101440724421181</c:v>
                </c:pt>
                <c:pt idx="2">
                  <c:v>32.416523571358944</c:v>
                </c:pt>
                <c:pt idx="3">
                  <c:v>33.587457274483576</c:v>
                </c:pt>
                <c:pt idx="4">
                  <c:v>37.090933143717031</c:v>
                </c:pt>
                <c:pt idx="5">
                  <c:v>24.302386285175398</c:v>
                </c:pt>
                <c:pt idx="6">
                  <c:v>30.943554247287327</c:v>
                </c:pt>
                <c:pt idx="7">
                  <c:v>31.519998244805723</c:v>
                </c:pt>
                <c:pt idx="8">
                  <c:v>35.846910135684986</c:v>
                </c:pt>
                <c:pt idx="9">
                  <c:v>36.857427197559453</c:v>
                </c:pt>
                <c:pt idx="10">
                  <c:v>39.749527898608591</c:v>
                </c:pt>
                <c:pt idx="11">
                  <c:v>43.779174705918962</c:v>
                </c:pt>
                <c:pt idx="12">
                  <c:v>37.66783706806914</c:v>
                </c:pt>
                <c:pt idx="13">
                  <c:v>42.814756851045793</c:v>
                </c:pt>
                <c:pt idx="14">
                  <c:v>39.740283245102034</c:v>
                </c:pt>
              </c:numCache>
            </c:numRef>
          </c:val>
          <c:extLst>
            <c:ext xmlns:c16="http://schemas.microsoft.com/office/drawing/2014/chart" uri="{C3380CC4-5D6E-409C-BE32-E72D297353CC}">
              <c16:uniqueId val="{00000000-712C-4C92-BE84-D053D799B869}"/>
            </c:ext>
          </c:extLst>
        </c:ser>
        <c:ser>
          <c:idx val="1"/>
          <c:order val="1"/>
          <c:tx>
            <c:strRef>
              <c:f>'kraje podle věku 65+ tab'!$C$17</c:f>
              <c:strCache>
                <c:ptCount val="1"/>
                <c:pt idx="0">
                  <c:v>v jiné obci okresu obvyklého pobytu</c:v>
                </c:pt>
              </c:strCache>
            </c:strRef>
          </c:tx>
          <c:spPr>
            <a:solidFill>
              <a:srgbClr val="0071BC"/>
            </a:solidFill>
            <a:ln w="3175">
              <a:solidFill>
                <a:schemeClr val="tx1"/>
              </a:solidFill>
            </a:ln>
            <a:effectLst/>
          </c:spPr>
          <c:invertIfNegative val="0"/>
          <c:cat>
            <c:strRef>
              <c:f>'kraje podle věku 65+ tab'!$A$18:$A$32</c:f>
              <c:strCache>
                <c:ptCount val="15"/>
                <c:pt idx="0">
                  <c:v>Česko</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'kraje podle věku 65+ tab'!$C$18:$C$32</c:f>
              <c:numCache>
                <c:formatCode>#\ ##0.0</c:formatCode>
                <c:ptCount val="15"/>
                <c:pt idx="0" formatCode="0.0">
                  <c:v>16.687848688669899</c:v>
                </c:pt>
                <c:pt idx="1">
                  <c:v>0</c:v>
                </c:pt>
                <c:pt idx="2">
                  <c:v>17.636340459354685</c:v>
                </c:pt>
                <c:pt idx="3">
                  <c:v>22.209838014563829</c:v>
                </c:pt>
                <c:pt idx="4">
                  <c:v>16.093132472343029</c:v>
                </c:pt>
                <c:pt idx="5">
                  <c:v>11.946582240110473</c:v>
                </c:pt>
                <c:pt idx="6">
                  <c:v>16.387496459054351</c:v>
                </c:pt>
                <c:pt idx="7">
                  <c:v>15.015687048860221</c:v>
                </c:pt>
                <c:pt idx="8">
                  <c:v>20.496404430936842</c:v>
                </c:pt>
                <c:pt idx="9">
                  <c:v>23.130295674172455</c:v>
                </c:pt>
                <c:pt idx="10">
                  <c:v>26.769323274363721</c:v>
                </c:pt>
                <c:pt idx="11">
                  <c:v>15.378104188709777</c:v>
                </c:pt>
                <c:pt idx="12">
                  <c:v>23.665968444370773</c:v>
                </c:pt>
                <c:pt idx="13">
                  <c:v>24.420045320421902</c:v>
                </c:pt>
                <c:pt idx="14">
                  <c:v>15.713398406489217</c:v>
                </c:pt>
              </c:numCache>
            </c:numRef>
          </c:val>
          <c:extLst>
            <c:ext xmlns:c16="http://schemas.microsoft.com/office/drawing/2014/chart" uri="{C3380CC4-5D6E-409C-BE32-E72D297353CC}">
              <c16:uniqueId val="{00000001-712C-4C92-BE84-D053D799B869}"/>
            </c:ext>
          </c:extLst>
        </c:ser>
        <c:ser>
          <c:idx val="2"/>
          <c:order val="2"/>
          <c:tx>
            <c:strRef>
              <c:f>'kraje podle věku 65+ tab'!$D$17</c:f>
              <c:strCache>
                <c:ptCount val="1"/>
                <c:pt idx="0">
                  <c:v>v jiném okrese kraje obvyklého pobytu</c:v>
                </c:pt>
              </c:strCache>
            </c:strRef>
          </c:tx>
          <c:spPr>
            <a:solidFill>
              <a:srgbClr val="FFC000"/>
            </a:solidFill>
            <a:ln w="3175">
              <a:solidFill>
                <a:schemeClr val="tx1"/>
              </a:solidFill>
            </a:ln>
            <a:effectLst/>
          </c:spPr>
          <c:invertIfNegative val="0"/>
          <c:cat>
            <c:strRef>
              <c:f>'kraje podle věku 65+ tab'!$A$18:$A$32</c:f>
              <c:strCache>
                <c:ptCount val="15"/>
                <c:pt idx="0">
                  <c:v>Česko</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'kraje podle věku 65+ tab'!$D$18:$D$32</c:f>
              <c:numCache>
                <c:formatCode>#\ ##0.0</c:formatCode>
                <c:ptCount val="15"/>
                <c:pt idx="0" formatCode="0.0">
                  <c:v>10.309034062553536</c:v>
                </c:pt>
                <c:pt idx="1">
                  <c:v>0</c:v>
                </c:pt>
                <c:pt idx="2">
                  <c:v>9.6160046790291016</c:v>
                </c:pt>
                <c:pt idx="3">
                  <c:v>13.47748551047704</c:v>
                </c:pt>
                <c:pt idx="4">
                  <c:v>18.171746068493377</c:v>
                </c:pt>
                <c:pt idx="5">
                  <c:v>5.3434600293023022</c:v>
                </c:pt>
                <c:pt idx="6">
                  <c:v>11.391991920485756</c:v>
                </c:pt>
                <c:pt idx="7">
                  <c:v>7.8413304372627746</c:v>
                </c:pt>
                <c:pt idx="8">
                  <c:v>11.478418281766396</c:v>
                </c:pt>
                <c:pt idx="9">
                  <c:v>8.9464921826315837</c:v>
                </c:pt>
                <c:pt idx="10">
                  <c:v>7.7199146929227069</c:v>
                </c:pt>
                <c:pt idx="11">
                  <c:v>15.405074583514866</c:v>
                </c:pt>
                <c:pt idx="12">
                  <c:v>9.853976099700116</c:v>
                </c:pt>
                <c:pt idx="13">
                  <c:v>8.0174760763600208</c:v>
                </c:pt>
                <c:pt idx="14">
                  <c:v>14.462118127110662</c:v>
                </c:pt>
              </c:numCache>
            </c:numRef>
          </c:val>
          <c:extLst>
            <c:ext xmlns:c16="http://schemas.microsoft.com/office/drawing/2014/chart" uri="{C3380CC4-5D6E-409C-BE32-E72D297353CC}">
              <c16:uniqueId val="{00000002-712C-4C92-BE84-D053D799B869}"/>
            </c:ext>
          </c:extLst>
        </c:ser>
        <c:ser>
          <c:idx val="3"/>
          <c:order val="3"/>
          <c:tx>
            <c:strRef>
              <c:f>'kraje podle věku 65+ tab'!$E$17</c:f>
              <c:strCache>
                <c:ptCount val="1"/>
                <c:pt idx="0">
                  <c:v>v jiném kraji</c:v>
                </c:pt>
              </c:strCache>
            </c:strRef>
          </c:tx>
          <c:spPr>
            <a:solidFill>
              <a:srgbClr val="92D050"/>
            </a:solidFill>
            <a:ln w="3175">
              <a:solidFill>
                <a:schemeClr val="tx1"/>
              </a:solidFill>
            </a:ln>
            <a:effectLst/>
          </c:spPr>
          <c:invertIfNegative val="0"/>
          <c:cat>
            <c:strRef>
              <c:f>'kraje podle věku 65+ tab'!$A$18:$A$32</c:f>
              <c:strCache>
                <c:ptCount val="15"/>
                <c:pt idx="0">
                  <c:v>Česko</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'kraje podle věku 65+ tab'!$E$18:$E$32</c:f>
              <c:numCache>
                <c:formatCode>#\ ##0.0</c:formatCode>
                <c:ptCount val="15"/>
                <c:pt idx="0" formatCode="0.0">
                  <c:v>24.420450567212651</c:v>
                </c:pt>
                <c:pt idx="1">
                  <c:v>35.081618733183525</c:v>
                </c:pt>
                <c:pt idx="2">
                  <c:v>31.539955459242208</c:v>
                </c:pt>
                <c:pt idx="3">
                  <c:v>22.308663991677811</c:v>
                </c:pt>
                <c:pt idx="4">
                  <c:v>19.505399103732245</c:v>
                </c:pt>
                <c:pt idx="5">
                  <c:v>40.819454034118657</c:v>
                </c:pt>
                <c:pt idx="6">
                  <c:v>28.604066853053833</c:v>
                </c:pt>
                <c:pt idx="7">
                  <c:v>34.21531845806183</c:v>
                </c:pt>
                <c:pt idx="8">
                  <c:v>22.325743610183846</c:v>
                </c:pt>
                <c:pt idx="9">
                  <c:v>23.154477896518689</c:v>
                </c:pt>
                <c:pt idx="10">
                  <c:v>19.396086021101286</c:v>
                </c:pt>
                <c:pt idx="11">
                  <c:v>16.401734403850543</c:v>
                </c:pt>
                <c:pt idx="12">
                  <c:v>19.30333489051975</c:v>
                </c:pt>
                <c:pt idx="13">
                  <c:v>16.84354673057172</c:v>
                </c:pt>
                <c:pt idx="14">
                  <c:v>17.634742977487651</c:v>
                </c:pt>
              </c:numCache>
            </c:numRef>
          </c:val>
          <c:extLst>
            <c:ext xmlns:c16="http://schemas.microsoft.com/office/drawing/2014/chart" uri="{C3380CC4-5D6E-409C-BE32-E72D297353CC}">
              <c16:uniqueId val="{00000003-712C-4C92-BE84-D053D799B869}"/>
            </c:ext>
          </c:extLst>
        </c:ser>
        <c:ser>
          <c:idx val="4"/>
          <c:order val="4"/>
          <c:tx>
            <c:strRef>
              <c:f>'kraje podle věku 65+ tab'!$F$17</c:f>
              <c:strCache>
                <c:ptCount val="1"/>
                <c:pt idx="0">
                  <c:v>v zahraničí</c:v>
                </c:pt>
              </c:strCache>
            </c:strRef>
          </c:tx>
          <c:spPr>
            <a:solidFill>
              <a:srgbClr val="00B0F0"/>
            </a:solidFill>
            <a:ln w="3175">
              <a:solidFill>
                <a:schemeClr val="tx1"/>
              </a:solidFill>
            </a:ln>
            <a:effectLst/>
          </c:spPr>
          <c:invertIfNegative val="0"/>
          <c:cat>
            <c:strRef>
              <c:f>'kraje podle věku 65+ tab'!$A$18:$A$32</c:f>
              <c:strCache>
                <c:ptCount val="15"/>
                <c:pt idx="0">
                  <c:v>Česko</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'kraje podle věku 65+ tab'!$F$18:$F$32</c:f>
              <c:numCache>
                <c:formatCode>#\ ##0.0</c:formatCode>
                <c:ptCount val="15"/>
                <c:pt idx="0" formatCode="0.0">
                  <c:v>5.57892561060088</c:v>
                </c:pt>
                <c:pt idx="1">
                  <c:v>6.6341112324617013</c:v>
                </c:pt>
                <c:pt idx="2">
                  <c:v>4.4259566140025948</c:v>
                </c:pt>
                <c:pt idx="3">
                  <c:v>3.9314905632337642</c:v>
                </c:pt>
                <c:pt idx="4">
                  <c:v>4.6020538091379626</c:v>
                </c:pt>
                <c:pt idx="5">
                  <c:v>12.919957562183189</c:v>
                </c:pt>
                <c:pt idx="6">
                  <c:v>7.7284987622085648</c:v>
                </c:pt>
                <c:pt idx="7">
                  <c:v>6.6971631672480747</c:v>
                </c:pt>
                <c:pt idx="8">
                  <c:v>5.3003504226662015</c:v>
                </c:pt>
                <c:pt idx="9">
                  <c:v>3.7324330105936734</c:v>
                </c:pt>
                <c:pt idx="10">
                  <c:v>2.2736027208072227</c:v>
                </c:pt>
                <c:pt idx="11">
                  <c:v>4.5314412564054685</c:v>
                </c:pt>
                <c:pt idx="12">
                  <c:v>4.9895266655615664</c:v>
                </c:pt>
                <c:pt idx="13">
                  <c:v>3.6729104514109649</c:v>
                </c:pt>
                <c:pt idx="14">
                  <c:v>8.2801683181756474</c:v>
                </c:pt>
              </c:numCache>
            </c:numRef>
          </c:val>
          <c:extLst>
            <c:ext xmlns:c16="http://schemas.microsoft.com/office/drawing/2014/chart" uri="{C3380CC4-5D6E-409C-BE32-E72D297353CC}">
              <c16:uniqueId val="{00000004-712C-4C92-BE84-D053D799B869}"/>
            </c:ext>
          </c:extLst>
        </c:ser>
        <c:ser>
          <c:idx val="5"/>
          <c:order val="5"/>
          <c:tx>
            <c:strRef>
              <c:f>'kraje podle věku 65+ tab'!$G$17</c:f>
              <c:strCache>
                <c:ptCount val="1"/>
                <c:pt idx="0">
                  <c:v>v ČR – nezjištěno</c:v>
                </c:pt>
              </c:strCache>
            </c:strRef>
          </c:tx>
          <c:spPr>
            <a:solidFill>
              <a:srgbClr val="7030A0"/>
            </a:solidFill>
            <a:ln w="3175">
              <a:solidFill>
                <a:schemeClr val="tx1"/>
              </a:solidFill>
            </a:ln>
            <a:effectLst/>
          </c:spPr>
          <c:invertIfNegative val="0"/>
          <c:cat>
            <c:strRef>
              <c:f>'kraje podle věku 65+ tab'!$A$18:$A$32</c:f>
              <c:strCache>
                <c:ptCount val="15"/>
                <c:pt idx="0">
                  <c:v>Česko</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'kraje podle věku 65+ tab'!$G$18:$G$32</c:f>
              <c:numCache>
                <c:formatCode>#\ ##0.0</c:formatCode>
                <c:ptCount val="15"/>
                <c:pt idx="0" formatCode="0.0">
                  <c:v>4.4104694122291495</c:v>
                </c:pt>
                <c:pt idx="1">
                  <c:v>4.1811555086891206</c:v>
                </c:pt>
                <c:pt idx="2">
                  <c:v>4.3637195281978993</c:v>
                </c:pt>
                <c:pt idx="3">
                  <c:v>4.4843215931044735</c:v>
                </c:pt>
                <c:pt idx="4">
                  <c:v>4.534254956757561</c:v>
                </c:pt>
                <c:pt idx="5">
                  <c:v>4.6664758087603779</c:v>
                </c:pt>
                <c:pt idx="6">
                  <c:v>4.9425443080068483</c:v>
                </c:pt>
                <c:pt idx="7">
                  <c:v>4.7083086509137981</c:v>
                </c:pt>
                <c:pt idx="8">
                  <c:v>4.5505123478318632</c:v>
                </c:pt>
                <c:pt idx="9">
                  <c:v>4.1770138675744297</c:v>
                </c:pt>
                <c:pt idx="10">
                  <c:v>4.0906058869399375</c:v>
                </c:pt>
                <c:pt idx="11">
                  <c:v>4.5040559324495346</c:v>
                </c:pt>
                <c:pt idx="12">
                  <c:v>4.5178498771832007</c:v>
                </c:pt>
                <c:pt idx="13">
                  <c:v>4.2304494546877294</c:v>
                </c:pt>
                <c:pt idx="14">
                  <c:v>4.1684662561545958</c:v>
                </c:pt>
              </c:numCache>
            </c:numRef>
          </c:val>
          <c:extLst>
            <c:ext xmlns:c16="http://schemas.microsoft.com/office/drawing/2014/chart" uri="{C3380CC4-5D6E-409C-BE32-E72D297353CC}">
              <c16:uniqueId val="{00000005-712C-4C92-BE84-D053D799B869}"/>
            </c:ext>
          </c:extLst>
        </c:ser>
        <c:ser>
          <c:idx val="6"/>
          <c:order val="6"/>
          <c:tx>
            <c:strRef>
              <c:f>'kraje podle věku 65+ tab'!$H$17</c:f>
              <c:strCache>
                <c:ptCount val="1"/>
                <c:pt idx="0">
                  <c:v>nezjištěno</c:v>
                </c:pt>
              </c:strCache>
            </c:strRef>
          </c:tx>
          <c:spPr>
            <a:solidFill>
              <a:schemeClr val="bg1">
                <a:lumMod val="50000"/>
              </a:schemeClr>
            </a:solidFill>
            <a:ln w="3175">
              <a:solidFill>
                <a:schemeClr val="tx1"/>
              </a:solidFill>
            </a:ln>
            <a:effectLst/>
          </c:spPr>
          <c:invertIfNegative val="0"/>
          <c:cat>
            <c:strRef>
              <c:f>'kraje podle věku 65+ tab'!$A$18:$A$32</c:f>
              <c:strCache>
                <c:ptCount val="15"/>
                <c:pt idx="0">
                  <c:v>Česko</c:v>
                </c:pt>
                <c:pt idx="1">
                  <c:v>Hlavní město Praha</c:v>
                </c:pt>
                <c:pt idx="2">
                  <c:v>Středočeský kraj</c:v>
                </c:pt>
                <c:pt idx="3">
                  <c:v>Jihočeský kraj</c:v>
                </c:pt>
                <c:pt idx="4">
                  <c:v>Plzeňský kraj</c:v>
                </c:pt>
                <c:pt idx="5">
                  <c:v>Karlovarský kraj</c:v>
                </c:pt>
                <c:pt idx="6">
                  <c:v>Ústecký kraj</c:v>
                </c:pt>
                <c:pt idx="7">
                  <c:v>Liberecký kraj</c:v>
                </c:pt>
                <c:pt idx="8">
                  <c:v>Královéhradecký kraj</c:v>
                </c:pt>
                <c:pt idx="9">
                  <c:v>Pardubický kraj</c:v>
                </c:pt>
                <c:pt idx="10">
                  <c:v>Kraj Vysočina</c:v>
                </c:pt>
                <c:pt idx="11">
                  <c:v>Jihomoravský kraj</c:v>
                </c:pt>
                <c:pt idx="12">
                  <c:v>Olomoucký kraj</c:v>
                </c:pt>
                <c:pt idx="13">
                  <c:v>Zlínský kraj</c:v>
                </c:pt>
                <c:pt idx="14">
                  <c:v>Moravskoslezský kraj</c:v>
                </c:pt>
              </c:strCache>
            </c:strRef>
          </c:cat>
          <c:val>
            <c:numRef>
              <c:f>'kraje podle věku 65+ tab'!$H$18:$H$32</c:f>
              <c:numCache>
                <c:formatCode>#\ ##0.0</c:formatCode>
                <c:ptCount val="15"/>
                <c:pt idx="0" formatCode="0.0">
                  <c:v>1.350062940865381E-3</c:v>
                </c:pt>
                <c:pt idx="1">
                  <c:v>1.6738012444712301E-3</c:v>
                </c:pt>
                <c:pt idx="2">
                  <c:v>1.4996888145709765E-3</c:v>
                </c:pt>
                <c:pt idx="3">
                  <c:v>7.4305245950364099E-4</c:v>
                </c:pt>
                <c:pt idx="4">
                  <c:v>2.4804458187951649E-3</c:v>
                </c:pt>
                <c:pt idx="5">
                  <c:v>1.6840403496067801E-3</c:v>
                </c:pt>
                <c:pt idx="6">
                  <c:v>1.84744990331679E-3</c:v>
                </c:pt>
                <c:pt idx="7">
                  <c:v>2.193992847583317E-3</c:v>
                </c:pt>
                <c:pt idx="8">
                  <c:v>1.6607709298656437E-3</c:v>
                </c:pt>
                <c:pt idx="9">
                  <c:v>1.8601709497102783E-3</c:v>
                </c:pt>
                <c:pt idx="10">
                  <c:v>9.3950525653191028E-4</c:v>
                </c:pt>
                <c:pt idx="11">
                  <c:v>4.1492915084749278E-4</c:v>
                </c:pt>
                <c:pt idx="12">
                  <c:v>1.5069545954580388E-3</c:v>
                </c:pt>
                <c:pt idx="13">
                  <c:v>8.151155018666145E-4</c:v>
                </c:pt>
                <c:pt idx="14">
                  <c:v>8.2266948019628892E-4</c:v>
                </c:pt>
              </c:numCache>
            </c:numRef>
          </c:val>
          <c:extLst>
            <c:ext xmlns:c16="http://schemas.microsoft.com/office/drawing/2014/chart" uri="{C3380CC4-5D6E-409C-BE32-E72D297353CC}">
              <c16:uniqueId val="{00000006-712C-4C92-BE84-D053D799B869}"/>
            </c:ext>
          </c:extLst>
        </c:ser>
        <c:dLbls>
          <c:showLegendKey val="0"/>
          <c:showVal val="0"/>
          <c:showCatName val="0"/>
          <c:showSerName val="0"/>
          <c:showPercent val="0"/>
          <c:showBubbleSize val="0"/>
        </c:dLbls>
        <c:gapWidth val="80"/>
        <c:overlap val="100"/>
        <c:axId val="2023339039"/>
        <c:axId val="2023336127"/>
      </c:barChart>
      <c:catAx>
        <c:axId val="2023339039"/>
        <c:scaling>
          <c:orientation val="minMax"/>
        </c:scaling>
        <c:delete val="0"/>
        <c:axPos val="b"/>
        <c:numFmt formatCode="General" sourceLinked="1"/>
        <c:majorTickMark val="none"/>
        <c:minorTickMark val="none"/>
        <c:tickLblPos val="nextTo"/>
        <c:spPr>
          <a:noFill/>
          <a:ln w="3175" cap="flat" cmpd="sng" algn="ctr">
            <a:solidFill>
              <a:schemeClr val="tx1"/>
            </a:solidFill>
            <a:round/>
          </a:ln>
          <a:effectLst/>
        </c:spPr>
        <c:txPr>
          <a:bodyPr rot="-5400000" spcFirstLastPara="1" vertOverflow="ellipsis" wrap="square" anchor="ctr" anchorCtr="1"/>
          <a:lstStyle/>
          <a:p>
            <a:pPr>
              <a:defRPr sz="800" b="0" i="0" u="none" strike="noStrike" kern="1200" baseline="0">
                <a:ln>
                  <a:noFill/>
                </a:ln>
                <a:solidFill>
                  <a:sysClr val="windowText" lastClr="000000"/>
                </a:solidFill>
                <a:latin typeface="+mn-lt"/>
                <a:ea typeface="+mn-ea"/>
                <a:cs typeface="+mn-cs"/>
              </a:defRPr>
            </a:pPr>
            <a:endParaRPr lang="cs-CZ"/>
          </a:p>
        </c:txPr>
        <c:crossAx val="2023336127"/>
        <c:crosses val="autoZero"/>
        <c:auto val="1"/>
        <c:lblAlgn val="ctr"/>
        <c:lblOffset val="100"/>
        <c:noMultiLvlLbl val="0"/>
      </c:catAx>
      <c:valAx>
        <c:axId val="2023336127"/>
        <c:scaling>
          <c:orientation val="minMax"/>
          <c:max val="100"/>
        </c:scaling>
        <c:delete val="0"/>
        <c:axPos val="l"/>
        <c:majorGridlines>
          <c:spPr>
            <a:ln w="3175" cap="flat" cmpd="sng" algn="ctr">
              <a:solidFill>
                <a:schemeClr val="tx1"/>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cs-CZ" sz="800">
                    <a:solidFill>
                      <a:sysClr val="windowText" lastClr="000000"/>
                    </a:solidFill>
                  </a:rPr>
                  <a:t>podíl obyvatel (%)</a:t>
                </a:r>
              </a:p>
            </c:rich>
          </c:tx>
          <c:layout>
            <c:manualLayout>
              <c:xMode val="edge"/>
              <c:yMode val="edge"/>
              <c:x val="9.4184481985349084E-3"/>
              <c:y val="6.7172037575440935E-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title>
        <c:numFmt formatCode="0" sourceLinked="0"/>
        <c:majorTickMark val="none"/>
        <c:minorTickMark val="none"/>
        <c:tickLblPos val="nextTo"/>
        <c:spPr>
          <a:noFill/>
          <a:ln w="3175">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cs-CZ"/>
          </a:p>
        </c:txPr>
        <c:crossAx val="2023339039"/>
        <c:crosses val="autoZero"/>
        <c:crossBetween val="between"/>
        <c:majorUnit val="10"/>
      </c:valAx>
      <c:spPr>
        <a:noFill/>
        <a:ln w="3175">
          <a:solidFill>
            <a:schemeClr val="tx1"/>
          </a:solidFill>
        </a:ln>
        <a:effectLst/>
      </c:spPr>
    </c:plotArea>
    <c:legend>
      <c:legendPos val="b"/>
      <c:layout>
        <c:manualLayout>
          <c:xMode val="edge"/>
          <c:yMode val="edge"/>
          <c:x val="0"/>
          <c:y val="0.79550933449131012"/>
          <c:w val="0.97656088324585089"/>
          <c:h val="0.18543866850766877"/>
        </c:manualLayout>
      </c:layout>
      <c:overlay val="0"/>
      <c:spPr>
        <a:noFill/>
        <a:ln w="3175">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14931083233371"/>
          <c:y val="2.3189189090490787E-2"/>
          <c:w val="0.86481130731733724"/>
          <c:h val="0.47365428384260255"/>
        </c:manualLayout>
      </c:layout>
      <c:barChart>
        <c:barDir val="col"/>
        <c:grouping val="stacked"/>
        <c:varyColors val="0"/>
        <c:ser>
          <c:idx val="0"/>
          <c:order val="0"/>
          <c:tx>
            <c:strRef>
              <c:f>'velikostní skupina obcí 65+'!$B$15</c:f>
              <c:strCache>
                <c:ptCount val="1"/>
                <c:pt idx="0">
                  <c:v>v obci obvyklého pobytu</c:v>
                </c:pt>
              </c:strCache>
            </c:strRef>
          </c:tx>
          <c:spPr>
            <a:solidFill>
              <a:srgbClr val="BD1B21"/>
            </a:solidFill>
            <a:ln w="3175">
              <a:solidFill>
                <a:schemeClr val="tx1"/>
              </a:solidFill>
            </a:ln>
            <a:effectLst/>
          </c:spPr>
          <c:invertIfNegative val="0"/>
          <c:cat>
            <c:strRef>
              <c:f>'velikostní skupina obcí 65+'!$A$16:$A$25</c:f>
              <c:strCache>
                <c:ptCount val="10"/>
                <c:pt idx="0">
                  <c:v>do 199 </c:v>
                </c:pt>
                <c:pt idx="1">
                  <c:v>200 až 499</c:v>
                </c:pt>
                <c:pt idx="2">
                  <c:v>500 až 999 </c:v>
                </c:pt>
                <c:pt idx="3">
                  <c:v>1000 až 1999</c:v>
                </c:pt>
                <c:pt idx="4">
                  <c:v>2000 až 4999</c:v>
                </c:pt>
                <c:pt idx="5">
                  <c:v>5000 až 9999</c:v>
                </c:pt>
                <c:pt idx="6">
                  <c:v>10000 až 19999</c:v>
                </c:pt>
                <c:pt idx="7">
                  <c:v>20000 až 49999</c:v>
                </c:pt>
                <c:pt idx="8">
                  <c:v>50000 až 99999</c:v>
                </c:pt>
                <c:pt idx="9">
                  <c:v>100000 a více </c:v>
                </c:pt>
              </c:strCache>
            </c:strRef>
          </c:cat>
          <c:val>
            <c:numRef>
              <c:f>'velikostní skupina obcí 65+'!$B$16:$B$25</c:f>
              <c:numCache>
                <c:formatCode>0.0</c:formatCode>
                <c:ptCount val="10"/>
                <c:pt idx="0">
                  <c:v>38.700818725457502</c:v>
                </c:pt>
                <c:pt idx="1">
                  <c:v>37.646809380655597</c:v>
                </c:pt>
                <c:pt idx="2">
                  <c:v>38.437714158215442</c:v>
                </c:pt>
                <c:pt idx="3">
                  <c:v>37.843439974840607</c:v>
                </c:pt>
                <c:pt idx="4">
                  <c:v>35.603212251092486</c:v>
                </c:pt>
                <c:pt idx="5">
                  <c:v>34.038136093510175</c:v>
                </c:pt>
                <c:pt idx="6">
                  <c:v>31.079613873699586</c:v>
                </c:pt>
                <c:pt idx="7">
                  <c:v>33.806311054887907</c:v>
                </c:pt>
                <c:pt idx="8">
                  <c:v>36.935472635660716</c:v>
                </c:pt>
                <c:pt idx="9">
                  <c:v>50.015530926370197</c:v>
                </c:pt>
              </c:numCache>
            </c:numRef>
          </c:val>
          <c:extLst>
            <c:ext xmlns:c16="http://schemas.microsoft.com/office/drawing/2014/chart" uri="{C3380CC4-5D6E-409C-BE32-E72D297353CC}">
              <c16:uniqueId val="{00000000-06D5-4524-A6BB-DBA72E86AF7F}"/>
            </c:ext>
          </c:extLst>
        </c:ser>
        <c:ser>
          <c:idx val="1"/>
          <c:order val="1"/>
          <c:tx>
            <c:strRef>
              <c:f>'velikostní skupina obcí 65+'!$C$15</c:f>
              <c:strCache>
                <c:ptCount val="1"/>
                <c:pt idx="0">
                  <c:v>v jiné obci okresu obvyklého pobytu</c:v>
                </c:pt>
              </c:strCache>
            </c:strRef>
          </c:tx>
          <c:spPr>
            <a:solidFill>
              <a:srgbClr val="0071BC"/>
            </a:solidFill>
            <a:ln w="3175">
              <a:solidFill>
                <a:schemeClr val="tx1"/>
              </a:solidFill>
            </a:ln>
            <a:effectLst/>
          </c:spPr>
          <c:invertIfNegative val="0"/>
          <c:cat>
            <c:strRef>
              <c:f>'velikostní skupina obcí 65+'!$A$16:$A$25</c:f>
              <c:strCache>
                <c:ptCount val="10"/>
                <c:pt idx="0">
                  <c:v>do 199 </c:v>
                </c:pt>
                <c:pt idx="1">
                  <c:v>200 až 499</c:v>
                </c:pt>
                <c:pt idx="2">
                  <c:v>500 až 999 </c:v>
                </c:pt>
                <c:pt idx="3">
                  <c:v>1000 až 1999</c:v>
                </c:pt>
                <c:pt idx="4">
                  <c:v>2000 až 4999</c:v>
                </c:pt>
                <c:pt idx="5">
                  <c:v>5000 až 9999</c:v>
                </c:pt>
                <c:pt idx="6">
                  <c:v>10000 až 19999</c:v>
                </c:pt>
                <c:pt idx="7">
                  <c:v>20000 až 49999</c:v>
                </c:pt>
                <c:pt idx="8">
                  <c:v>50000 až 99999</c:v>
                </c:pt>
                <c:pt idx="9">
                  <c:v>100000 a více </c:v>
                </c:pt>
              </c:strCache>
            </c:strRef>
          </c:cat>
          <c:val>
            <c:numRef>
              <c:f>'velikostní skupina obcí 65+'!$C$16:$C$25</c:f>
              <c:numCache>
                <c:formatCode>0.0</c:formatCode>
                <c:ptCount val="10"/>
                <c:pt idx="0">
                  <c:v>23.527449118394376</c:v>
                </c:pt>
                <c:pt idx="1">
                  <c:v>23.737117500511136</c:v>
                </c:pt>
                <c:pt idx="2">
                  <c:v>23.12616541912589</c:v>
                </c:pt>
                <c:pt idx="3">
                  <c:v>21.983017411441804</c:v>
                </c:pt>
                <c:pt idx="4">
                  <c:v>21.427590887944906</c:v>
                </c:pt>
                <c:pt idx="5">
                  <c:v>21.910051556535088</c:v>
                </c:pt>
                <c:pt idx="6">
                  <c:v>21.320350593205283</c:v>
                </c:pt>
                <c:pt idx="7">
                  <c:v>19.469393492163892</c:v>
                </c:pt>
                <c:pt idx="8">
                  <c:v>13.14579608516962</c:v>
                </c:pt>
                <c:pt idx="9">
                  <c:v>1.3878700160596387</c:v>
                </c:pt>
              </c:numCache>
            </c:numRef>
          </c:val>
          <c:extLst>
            <c:ext xmlns:c16="http://schemas.microsoft.com/office/drawing/2014/chart" uri="{C3380CC4-5D6E-409C-BE32-E72D297353CC}">
              <c16:uniqueId val="{00000001-06D5-4524-A6BB-DBA72E86AF7F}"/>
            </c:ext>
          </c:extLst>
        </c:ser>
        <c:ser>
          <c:idx val="2"/>
          <c:order val="2"/>
          <c:tx>
            <c:strRef>
              <c:f>'velikostní skupina obcí 65+'!$D$15</c:f>
              <c:strCache>
                <c:ptCount val="1"/>
                <c:pt idx="0">
                  <c:v>v jiném okrese kraje obvyklého pobytu</c:v>
                </c:pt>
              </c:strCache>
            </c:strRef>
          </c:tx>
          <c:spPr>
            <a:solidFill>
              <a:srgbClr val="FFC000"/>
            </a:solidFill>
            <a:ln w="3175">
              <a:solidFill>
                <a:schemeClr val="tx1"/>
              </a:solidFill>
            </a:ln>
            <a:effectLst/>
          </c:spPr>
          <c:invertIfNegative val="0"/>
          <c:cat>
            <c:strRef>
              <c:f>'velikostní skupina obcí 65+'!$A$16:$A$25</c:f>
              <c:strCache>
                <c:ptCount val="10"/>
                <c:pt idx="0">
                  <c:v>do 199 </c:v>
                </c:pt>
                <c:pt idx="1">
                  <c:v>200 až 499</c:v>
                </c:pt>
                <c:pt idx="2">
                  <c:v>500 až 999 </c:v>
                </c:pt>
                <c:pt idx="3">
                  <c:v>1000 až 1999</c:v>
                </c:pt>
                <c:pt idx="4">
                  <c:v>2000 až 4999</c:v>
                </c:pt>
                <c:pt idx="5">
                  <c:v>5000 až 9999</c:v>
                </c:pt>
                <c:pt idx="6">
                  <c:v>10000 až 19999</c:v>
                </c:pt>
                <c:pt idx="7">
                  <c:v>20000 až 49999</c:v>
                </c:pt>
                <c:pt idx="8">
                  <c:v>50000 až 99999</c:v>
                </c:pt>
                <c:pt idx="9">
                  <c:v>100000 a více </c:v>
                </c:pt>
              </c:strCache>
            </c:strRef>
          </c:cat>
          <c:val>
            <c:numRef>
              <c:f>'velikostní skupina obcí 65+'!$D$16:$D$25</c:f>
              <c:numCache>
                <c:formatCode>0.0</c:formatCode>
                <c:ptCount val="10"/>
                <c:pt idx="0">
                  <c:v>9.0239457947283324</c:v>
                </c:pt>
                <c:pt idx="1">
                  <c:v>9.4624372439591387</c:v>
                </c:pt>
                <c:pt idx="2">
                  <c:v>9.4274770634891123</c:v>
                </c:pt>
                <c:pt idx="3">
                  <c:v>10.432569974554708</c:v>
                </c:pt>
                <c:pt idx="4">
                  <c:v>11.068233643220488</c:v>
                </c:pt>
                <c:pt idx="5">
                  <c:v>11.141229485615334</c:v>
                </c:pt>
                <c:pt idx="6">
                  <c:v>10.705825453540479</c:v>
                </c:pt>
                <c:pt idx="7">
                  <c:v>9.9409656335652539</c:v>
                </c:pt>
                <c:pt idx="8">
                  <c:v>14.783360809900852</c:v>
                </c:pt>
                <c:pt idx="9">
                  <c:v>8.5184377430149389</c:v>
                </c:pt>
              </c:numCache>
            </c:numRef>
          </c:val>
          <c:extLst>
            <c:ext xmlns:c16="http://schemas.microsoft.com/office/drawing/2014/chart" uri="{C3380CC4-5D6E-409C-BE32-E72D297353CC}">
              <c16:uniqueId val="{00000002-06D5-4524-A6BB-DBA72E86AF7F}"/>
            </c:ext>
          </c:extLst>
        </c:ser>
        <c:ser>
          <c:idx val="5"/>
          <c:order val="3"/>
          <c:tx>
            <c:strRef>
              <c:f>'velikostní skupina obcí 65+'!$E$15</c:f>
              <c:strCache>
                <c:ptCount val="1"/>
                <c:pt idx="0">
                  <c:v>v jiném kraji</c:v>
                </c:pt>
              </c:strCache>
            </c:strRef>
          </c:tx>
          <c:spPr>
            <a:solidFill>
              <a:srgbClr val="92D050"/>
            </a:solidFill>
            <a:ln w="3175">
              <a:solidFill>
                <a:schemeClr val="tx1"/>
              </a:solidFill>
            </a:ln>
            <a:effectLst/>
          </c:spPr>
          <c:invertIfNegative val="0"/>
          <c:cat>
            <c:strRef>
              <c:f>'velikostní skupina obcí 65+'!$A$16:$A$25</c:f>
              <c:strCache>
                <c:ptCount val="10"/>
                <c:pt idx="0">
                  <c:v>do 199 </c:v>
                </c:pt>
                <c:pt idx="1">
                  <c:v>200 až 499</c:v>
                </c:pt>
                <c:pt idx="2">
                  <c:v>500 až 999 </c:v>
                </c:pt>
                <c:pt idx="3">
                  <c:v>1000 až 1999</c:v>
                </c:pt>
                <c:pt idx="4">
                  <c:v>2000 až 4999</c:v>
                </c:pt>
                <c:pt idx="5">
                  <c:v>5000 až 9999</c:v>
                </c:pt>
                <c:pt idx="6">
                  <c:v>10000 až 19999</c:v>
                </c:pt>
                <c:pt idx="7">
                  <c:v>20000 až 49999</c:v>
                </c:pt>
                <c:pt idx="8">
                  <c:v>50000 až 99999</c:v>
                </c:pt>
                <c:pt idx="9">
                  <c:v>100000 a více </c:v>
                </c:pt>
              </c:strCache>
            </c:strRef>
          </c:cat>
          <c:val>
            <c:numRef>
              <c:f>'velikostní skupina obcí 65+'!$E$16:$E$25</c:f>
              <c:numCache>
                <c:formatCode>0.0</c:formatCode>
                <c:ptCount val="10"/>
                <c:pt idx="0">
                  <c:v>21.130303108076895</c:v>
                </c:pt>
                <c:pt idx="1">
                  <c:v>20.387856942730142</c:v>
                </c:pt>
                <c:pt idx="2">
                  <c:v>20.20431689837811</c:v>
                </c:pt>
                <c:pt idx="3">
                  <c:v>20.58304981368709</c:v>
                </c:pt>
                <c:pt idx="4">
                  <c:v>22.221883269906883</c:v>
                </c:pt>
                <c:pt idx="5">
                  <c:v>23.321460899681217</c:v>
                </c:pt>
                <c:pt idx="6">
                  <c:v>26.353712221410664</c:v>
                </c:pt>
                <c:pt idx="7">
                  <c:v>25.614941317028602</c:v>
                </c:pt>
                <c:pt idx="8">
                  <c:v>24.941370422829543</c:v>
                </c:pt>
                <c:pt idx="9">
                  <c:v>29.351247871381901</c:v>
                </c:pt>
              </c:numCache>
            </c:numRef>
          </c:val>
          <c:extLst>
            <c:ext xmlns:c16="http://schemas.microsoft.com/office/drawing/2014/chart" uri="{C3380CC4-5D6E-409C-BE32-E72D297353CC}">
              <c16:uniqueId val="{00000003-06D5-4524-A6BB-DBA72E86AF7F}"/>
            </c:ext>
          </c:extLst>
        </c:ser>
        <c:ser>
          <c:idx val="4"/>
          <c:order val="4"/>
          <c:tx>
            <c:strRef>
              <c:f>'velikostní skupina obcí 65+'!$F$15</c:f>
              <c:strCache>
                <c:ptCount val="1"/>
                <c:pt idx="0">
                  <c:v>v zahraničí</c:v>
                </c:pt>
              </c:strCache>
            </c:strRef>
          </c:tx>
          <c:spPr>
            <a:solidFill>
              <a:srgbClr val="00B0F0"/>
            </a:solidFill>
            <a:ln w="3175">
              <a:solidFill>
                <a:schemeClr val="tx1"/>
              </a:solidFill>
            </a:ln>
            <a:effectLst/>
          </c:spPr>
          <c:invertIfNegative val="0"/>
          <c:cat>
            <c:strRef>
              <c:f>'velikostní skupina obcí 65+'!$A$16:$A$25</c:f>
              <c:strCache>
                <c:ptCount val="10"/>
                <c:pt idx="0">
                  <c:v>do 199 </c:v>
                </c:pt>
                <c:pt idx="1">
                  <c:v>200 až 499</c:v>
                </c:pt>
                <c:pt idx="2">
                  <c:v>500 až 999 </c:v>
                </c:pt>
                <c:pt idx="3">
                  <c:v>1000 až 1999</c:v>
                </c:pt>
                <c:pt idx="4">
                  <c:v>2000 až 4999</c:v>
                </c:pt>
                <c:pt idx="5">
                  <c:v>5000 až 9999</c:v>
                </c:pt>
                <c:pt idx="6">
                  <c:v>10000 až 19999</c:v>
                </c:pt>
                <c:pt idx="7">
                  <c:v>20000 až 49999</c:v>
                </c:pt>
                <c:pt idx="8">
                  <c:v>50000 až 99999</c:v>
                </c:pt>
                <c:pt idx="9">
                  <c:v>100000 a více </c:v>
                </c:pt>
              </c:strCache>
            </c:strRef>
          </c:cat>
          <c:val>
            <c:numRef>
              <c:f>'velikostní skupina obcí 65+'!$F$16:$F$25</c:f>
              <c:numCache>
                <c:formatCode>0.0</c:formatCode>
                <c:ptCount val="10"/>
                <c:pt idx="0">
                  <c:v>3.1722403305700282</c:v>
                </c:pt>
                <c:pt idx="1">
                  <c:v>4.1405735315275747</c:v>
                </c:pt>
                <c:pt idx="2">
                  <c:v>4.3009610225407329</c:v>
                </c:pt>
                <c:pt idx="3">
                  <c:v>4.6892719977890236</c:v>
                </c:pt>
                <c:pt idx="4">
                  <c:v>5.1958847799394459</c:v>
                </c:pt>
                <c:pt idx="5">
                  <c:v>5.1704120587193518</c:v>
                </c:pt>
                <c:pt idx="6">
                  <c:v>6.0085476834396037</c:v>
                </c:pt>
                <c:pt idx="7">
                  <c:v>6.8518518518518521</c:v>
                </c:pt>
                <c:pt idx="8">
                  <c:v>5.9006896231453316</c:v>
                </c:pt>
                <c:pt idx="9">
                  <c:v>6.4375139062372639</c:v>
                </c:pt>
              </c:numCache>
            </c:numRef>
          </c:val>
          <c:extLst>
            <c:ext xmlns:c16="http://schemas.microsoft.com/office/drawing/2014/chart" uri="{C3380CC4-5D6E-409C-BE32-E72D297353CC}">
              <c16:uniqueId val="{00000004-06D5-4524-A6BB-DBA72E86AF7F}"/>
            </c:ext>
          </c:extLst>
        </c:ser>
        <c:ser>
          <c:idx val="3"/>
          <c:order val="5"/>
          <c:tx>
            <c:strRef>
              <c:f>'velikostní skupina obcí 65+'!$G$15</c:f>
              <c:strCache>
                <c:ptCount val="1"/>
                <c:pt idx="0">
                  <c:v>v ČR – nezjištěno</c:v>
                </c:pt>
              </c:strCache>
            </c:strRef>
          </c:tx>
          <c:spPr>
            <a:solidFill>
              <a:srgbClr val="7030A0"/>
            </a:solidFill>
            <a:ln w="3175">
              <a:solidFill>
                <a:schemeClr val="tx1"/>
              </a:solidFill>
            </a:ln>
            <a:effectLst/>
          </c:spPr>
          <c:invertIfNegative val="0"/>
          <c:cat>
            <c:strRef>
              <c:f>'velikostní skupina obcí 65+'!$A$16:$A$25</c:f>
              <c:strCache>
                <c:ptCount val="10"/>
                <c:pt idx="0">
                  <c:v>do 199 </c:v>
                </c:pt>
                <c:pt idx="1">
                  <c:v>200 až 499</c:v>
                </c:pt>
                <c:pt idx="2">
                  <c:v>500 až 999 </c:v>
                </c:pt>
                <c:pt idx="3">
                  <c:v>1000 až 1999</c:v>
                </c:pt>
                <c:pt idx="4">
                  <c:v>2000 až 4999</c:v>
                </c:pt>
                <c:pt idx="5">
                  <c:v>5000 až 9999</c:v>
                </c:pt>
                <c:pt idx="6">
                  <c:v>10000 až 19999</c:v>
                </c:pt>
                <c:pt idx="7">
                  <c:v>20000 až 49999</c:v>
                </c:pt>
                <c:pt idx="8">
                  <c:v>50000 až 99999</c:v>
                </c:pt>
                <c:pt idx="9">
                  <c:v>100000 a více </c:v>
                </c:pt>
              </c:strCache>
            </c:strRef>
          </c:cat>
          <c:val>
            <c:numRef>
              <c:f>'velikostní skupina obcí 65+'!$G$16:$G$25</c:f>
              <c:numCache>
                <c:formatCode>0.0</c:formatCode>
                <c:ptCount val="10"/>
                <c:pt idx="0">
                  <c:v>4.4426763852886069</c:v>
                </c:pt>
                <c:pt idx="1">
                  <c:v>4.625205400616391</c:v>
                </c:pt>
                <c:pt idx="2">
                  <c:v>4.501240457508354</c:v>
                </c:pt>
                <c:pt idx="3">
                  <c:v>4.4686508276867656</c:v>
                </c:pt>
                <c:pt idx="4">
                  <c:v>4.480525918412483</c:v>
                </c:pt>
                <c:pt idx="5">
                  <c:v>4.4177260025975045</c:v>
                </c:pt>
                <c:pt idx="6">
                  <c:v>4.5309631442841072</c:v>
                </c:pt>
                <c:pt idx="7">
                  <c:v>4.3144282802726828</c:v>
                </c:pt>
                <c:pt idx="8">
                  <c:v>4.2933104232939376</c:v>
                </c:pt>
                <c:pt idx="9">
                  <c:v>4.2878574591404455</c:v>
                </c:pt>
              </c:numCache>
            </c:numRef>
          </c:val>
          <c:extLst>
            <c:ext xmlns:c16="http://schemas.microsoft.com/office/drawing/2014/chart" uri="{C3380CC4-5D6E-409C-BE32-E72D297353CC}">
              <c16:uniqueId val="{00000005-06D5-4524-A6BB-DBA72E86AF7F}"/>
            </c:ext>
          </c:extLst>
        </c:ser>
        <c:ser>
          <c:idx val="6"/>
          <c:order val="6"/>
          <c:tx>
            <c:strRef>
              <c:f>'velikostní skupina obcí 65+'!$H$15</c:f>
              <c:strCache>
                <c:ptCount val="1"/>
                <c:pt idx="0">
                  <c:v>nezjištěno</c:v>
                </c:pt>
              </c:strCache>
            </c:strRef>
          </c:tx>
          <c:spPr>
            <a:solidFill>
              <a:schemeClr val="bg1">
                <a:lumMod val="50000"/>
              </a:schemeClr>
            </a:solidFill>
            <a:ln w="3175">
              <a:solidFill>
                <a:schemeClr val="tx1"/>
              </a:solidFill>
            </a:ln>
            <a:effectLst/>
          </c:spPr>
          <c:invertIfNegative val="0"/>
          <c:cat>
            <c:strRef>
              <c:f>'velikostní skupina obcí 65+'!$A$16:$A$25</c:f>
              <c:strCache>
                <c:ptCount val="10"/>
                <c:pt idx="0">
                  <c:v>do 199 </c:v>
                </c:pt>
                <c:pt idx="1">
                  <c:v>200 až 499</c:v>
                </c:pt>
                <c:pt idx="2">
                  <c:v>500 až 999 </c:v>
                </c:pt>
                <c:pt idx="3">
                  <c:v>1000 až 1999</c:v>
                </c:pt>
                <c:pt idx="4">
                  <c:v>2000 až 4999</c:v>
                </c:pt>
                <c:pt idx="5">
                  <c:v>5000 až 9999</c:v>
                </c:pt>
                <c:pt idx="6">
                  <c:v>10000 až 19999</c:v>
                </c:pt>
                <c:pt idx="7">
                  <c:v>20000 až 49999</c:v>
                </c:pt>
                <c:pt idx="8">
                  <c:v>50000 až 99999</c:v>
                </c:pt>
                <c:pt idx="9">
                  <c:v>100000 a více </c:v>
                </c:pt>
              </c:strCache>
            </c:strRef>
          </c:cat>
          <c:val>
            <c:numRef>
              <c:f>'velikostní skupina obcí 65+'!$H$16:$H$25</c:f>
              <c:numCache>
                <c:formatCode>0.0</c:formatCode>
                <c:ptCount val="10"/>
                <c:pt idx="0">
                  <c:v>2.566537484279958E-3</c:v>
                </c:pt>
                <c:pt idx="1">
                  <c:v>0</c:v>
                </c:pt>
                <c:pt idx="2">
                  <c:v>2.1249807423620224E-3</c:v>
                </c:pt>
                <c:pt idx="3">
                  <c:v>0</c:v>
                </c:pt>
                <c:pt idx="4">
                  <c:v>2.6692494833095645E-3</c:v>
                </c:pt>
                <c:pt idx="5">
                  <c:v>9.8390334133574716E-4</c:v>
                </c:pt>
                <c:pt idx="6">
                  <c:v>9.8703042027755306E-4</c:v>
                </c:pt>
                <c:pt idx="7">
                  <c:v>2.1083702298123549E-3</c:v>
                </c:pt>
                <c:pt idx="8">
                  <c:v>0</c:v>
                </c:pt>
                <c:pt idx="9">
                  <c:v>1.5420777956218208E-3</c:v>
                </c:pt>
              </c:numCache>
            </c:numRef>
          </c:val>
          <c:extLst>
            <c:ext xmlns:c16="http://schemas.microsoft.com/office/drawing/2014/chart" uri="{C3380CC4-5D6E-409C-BE32-E72D297353CC}">
              <c16:uniqueId val="{00000006-06D5-4524-A6BB-DBA72E86AF7F}"/>
            </c:ext>
          </c:extLst>
        </c:ser>
        <c:dLbls>
          <c:showLegendKey val="0"/>
          <c:showVal val="0"/>
          <c:showCatName val="0"/>
          <c:showSerName val="0"/>
          <c:showPercent val="0"/>
          <c:showBubbleSize val="0"/>
        </c:dLbls>
        <c:gapWidth val="80"/>
        <c:overlap val="100"/>
        <c:axId val="718415903"/>
        <c:axId val="718407583"/>
      </c:barChart>
      <c:catAx>
        <c:axId val="718415903"/>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800">
                    <a:solidFill>
                      <a:sysClr val="windowText" lastClr="000000"/>
                    </a:solidFill>
                    <a:latin typeface="Arial" panose="020B0604020202020204" pitchFamily="34" charset="0"/>
                    <a:cs typeface="Arial" panose="020B0604020202020204" pitchFamily="34" charset="0"/>
                  </a:rPr>
                  <a:t>velikostní skupina obcí</a:t>
                </a:r>
              </a:p>
            </c:rich>
          </c:tx>
          <c:layout>
            <c:manualLayout>
              <c:xMode val="edge"/>
              <c:yMode val="edge"/>
              <c:x val="0.39870277091428746"/>
              <c:y val="0.7163180610414980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317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718407583"/>
        <c:crosses val="autoZero"/>
        <c:auto val="1"/>
        <c:lblAlgn val="ctr"/>
        <c:lblOffset val="100"/>
        <c:noMultiLvlLbl val="0"/>
      </c:catAx>
      <c:valAx>
        <c:axId val="718407583"/>
        <c:scaling>
          <c:orientation val="minMax"/>
          <c:max val="100"/>
        </c:scaling>
        <c:delete val="0"/>
        <c:axPos val="l"/>
        <c:majorGridlines>
          <c:spPr>
            <a:ln w="3175" cap="flat" cmpd="sng" algn="ctr">
              <a:solidFill>
                <a:schemeClr val="tx1"/>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800">
                    <a:solidFill>
                      <a:sysClr val="windowText" lastClr="000000"/>
                    </a:solidFill>
                    <a:latin typeface="Arial" panose="020B0604020202020204" pitchFamily="34" charset="0"/>
                    <a:cs typeface="Arial" panose="020B0604020202020204" pitchFamily="34" charset="0"/>
                  </a:rPr>
                  <a:t>podíl</a:t>
                </a:r>
                <a:r>
                  <a:rPr lang="cs-CZ" sz="800" baseline="0">
                    <a:solidFill>
                      <a:sysClr val="windowText" lastClr="000000"/>
                    </a:solidFill>
                    <a:latin typeface="Arial" panose="020B0604020202020204" pitchFamily="34" charset="0"/>
                    <a:cs typeface="Arial" panose="020B0604020202020204" pitchFamily="34" charset="0"/>
                  </a:rPr>
                  <a:t> obyvatel (%)</a:t>
                </a:r>
                <a:endParaRPr lang="cs-CZ"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1.2731679582061513E-2"/>
              <c:y val="0.1448484879870121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w="3175">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718415903"/>
        <c:crosses val="autoZero"/>
        <c:crossBetween val="between"/>
      </c:valAx>
      <c:spPr>
        <a:noFill/>
        <a:ln w="3175">
          <a:solidFill>
            <a:schemeClr val="tx1"/>
          </a:solidFill>
        </a:ln>
        <a:effectLst/>
      </c:spPr>
    </c:plotArea>
    <c:legend>
      <c:legendPos val="b"/>
      <c:layout>
        <c:manualLayout>
          <c:xMode val="edge"/>
          <c:yMode val="edge"/>
          <c:x val="1.7939901330542681E-2"/>
          <c:y val="0.77789066786848771"/>
          <c:w val="0.97656088324585089"/>
          <c:h val="0.19305010139261106"/>
        </c:manualLayout>
      </c:layout>
      <c:overlay val="0"/>
      <c:spPr>
        <a:no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0.64177</cdr:x>
      <cdr:y>0.08172</cdr:y>
    </cdr:from>
    <cdr:to>
      <cdr:x>0.80019</cdr:x>
      <cdr:y>0.18897</cdr:y>
    </cdr:to>
    <cdr:sp macro="" textlink="">
      <cdr:nvSpPr>
        <cdr:cNvPr id="4" name="Text Box 1025"/>
        <cdr:cNvSpPr txBox="1">
          <a:spLocks xmlns:a="http://schemas.openxmlformats.org/drawingml/2006/main" noChangeArrowheads="1"/>
        </cdr:cNvSpPr>
      </cdr:nvSpPr>
      <cdr:spPr bwMode="auto">
        <a:xfrm xmlns:a="http://schemas.openxmlformats.org/drawingml/2006/main">
          <a:off x="2725947" y="234048"/>
          <a:ext cx="672861" cy="307145"/>
        </a:xfrm>
        <a:prstGeom xmlns:a="http://schemas.openxmlformats.org/drawingml/2006/main" prst="rect">
          <a:avLst/>
        </a:prstGeom>
        <a:solidFill xmlns:a="http://schemas.openxmlformats.org/drawingml/2006/main">
          <a:schemeClr val="bg1"/>
        </a:solidFill>
        <a:ln xmlns:a="http://schemas.openxmlformats.org/drawingml/2006/main" w="3175">
          <a:solidFill>
            <a:srgbClr val="000000"/>
          </a:solidFill>
          <a:miter lim="800000"/>
          <a:headEnd/>
          <a:tailEnd/>
        </a:ln>
      </cdr:spPr>
      <cdr:txBody>
        <a:bodyPr xmlns:a="http://schemas.openxmlformats.org/drawingml/2006/main" vertOverflow="clip" wrap="square" lIns="27432" tIns="22860" rIns="0" bIns="0" anchor="ctr" anchorCtr="0" upright="1"/>
        <a:lstStyle xmlns:a="http://schemas.openxmlformats.org/drawingml/2006/main"/>
        <a:p xmlns:a="http://schemas.openxmlformats.org/drawingml/2006/main">
          <a:pPr algn="ctr" rtl="0">
            <a:defRPr sz="1000"/>
          </a:pPr>
          <a:r>
            <a:rPr lang="cs-CZ" sz="1000" b="0" i="0" u="none" strike="noStrike" baseline="0">
              <a:solidFill>
                <a:srgbClr val="000000"/>
              </a:solidFill>
              <a:latin typeface="Arial CE"/>
              <a:cs typeface="Arial CE"/>
            </a:rPr>
            <a:t>ŽENY</a:t>
          </a:r>
          <a:endParaRPr lang="cs-CZ" sz="1000" b="0" i="1" u="none" strike="noStrike" baseline="0">
            <a:solidFill>
              <a:srgbClr val="000000"/>
            </a:solidFill>
            <a:latin typeface="Arial CE"/>
            <a:cs typeface="Arial CE"/>
          </a:endParaRPr>
        </a:p>
      </cdr:txBody>
    </cdr:sp>
  </cdr:relSizeAnchor>
  <cdr:relSizeAnchor xmlns:cdr="http://schemas.openxmlformats.org/drawingml/2006/chartDrawing">
    <cdr:from>
      <cdr:x>0.28515</cdr:x>
      <cdr:y>0.08113</cdr:y>
    </cdr:from>
    <cdr:to>
      <cdr:x>0.43868</cdr:x>
      <cdr:y>0.18838</cdr:y>
    </cdr:to>
    <cdr:sp macro="" textlink="">
      <cdr:nvSpPr>
        <cdr:cNvPr id="5" name="Text Box 1025"/>
        <cdr:cNvSpPr txBox="1">
          <a:spLocks xmlns:a="http://schemas.openxmlformats.org/drawingml/2006/main" noChangeArrowheads="1"/>
        </cdr:cNvSpPr>
      </cdr:nvSpPr>
      <cdr:spPr bwMode="auto">
        <a:xfrm xmlns:a="http://schemas.openxmlformats.org/drawingml/2006/main">
          <a:off x="1211185" y="232333"/>
          <a:ext cx="652121" cy="307145"/>
        </a:xfrm>
        <a:prstGeom xmlns:a="http://schemas.openxmlformats.org/drawingml/2006/main" prst="rect">
          <a:avLst/>
        </a:prstGeom>
        <a:solidFill xmlns:a="http://schemas.openxmlformats.org/drawingml/2006/main">
          <a:schemeClr val="bg1"/>
        </a:solidFill>
        <a:ln xmlns:a="http://schemas.openxmlformats.org/drawingml/2006/main" w="3175">
          <a:solidFill>
            <a:srgbClr val="000000"/>
          </a:solidFill>
          <a:miter lim="800000"/>
          <a:headEnd/>
          <a:tailEnd/>
        </a:ln>
      </cdr:spPr>
      <cdr:txBody>
        <a:bodyPr xmlns:a="http://schemas.openxmlformats.org/drawingml/2006/main" wrap="square" lIns="27432" tIns="22860" rIns="0" bIns="0" anchor="ctr" anchorCtr="0"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cs-CZ" sz="1000" b="0" i="0" u="none" strike="noStrike" baseline="0">
              <a:solidFill>
                <a:srgbClr val="000000"/>
              </a:solidFill>
              <a:latin typeface="Arial CE"/>
              <a:cs typeface="Arial CE"/>
            </a:rPr>
            <a:t>MUŽI</a:t>
          </a:r>
          <a:endParaRPr lang="cs-CZ" sz="1000" b="0" i="1" u="none" strike="noStrike" baseline="0">
            <a:solidFill>
              <a:srgbClr val="000000"/>
            </a:solidFill>
            <a:latin typeface="Arial CE"/>
            <a:cs typeface="Arial CE"/>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0.20236</cdr:x>
      <cdr:y>0.1085</cdr:y>
    </cdr:from>
    <cdr:to>
      <cdr:x>0.3253</cdr:x>
      <cdr:y>0.2023</cdr:y>
    </cdr:to>
    <cdr:sp macro="" textlink="">
      <cdr:nvSpPr>
        <cdr:cNvPr id="2" name="TextovéPole 1"/>
        <cdr:cNvSpPr txBox="1"/>
      </cdr:nvSpPr>
      <cdr:spPr>
        <a:xfrm xmlns:a="http://schemas.openxmlformats.org/drawingml/2006/main">
          <a:off x="848088" y="286552"/>
          <a:ext cx="515241" cy="247722"/>
        </a:xfrm>
        <a:prstGeom xmlns:a="http://schemas.openxmlformats.org/drawingml/2006/main" prst="rect">
          <a:avLst/>
        </a:prstGeom>
        <a:solidFill xmlns:a="http://schemas.openxmlformats.org/drawingml/2006/main">
          <a:schemeClr val="bg1"/>
        </a:solidFill>
        <a:ln xmlns:a="http://schemas.openxmlformats.org/drawingml/2006/main" w="3175">
          <a:solidFill>
            <a:sysClr val="windowText" lastClr="000000"/>
          </a:solidFill>
        </a:ln>
      </cdr:spPr>
      <cdr:txBody>
        <a:bodyPr xmlns:a="http://schemas.openxmlformats.org/drawingml/2006/main" vertOverflow="clip" wrap="square" rtlCol="0"/>
        <a:lstStyle xmlns:a="http://schemas.openxmlformats.org/drawingml/2006/main"/>
        <a:p xmlns:a="http://schemas.openxmlformats.org/drawingml/2006/main">
          <a:r>
            <a:rPr lang="cs-CZ" sz="1100"/>
            <a:t>MUŽI</a:t>
          </a:r>
        </a:p>
      </cdr:txBody>
    </cdr:sp>
  </cdr:relSizeAnchor>
  <cdr:relSizeAnchor xmlns:cdr="http://schemas.openxmlformats.org/drawingml/2006/chartDrawing">
    <cdr:from>
      <cdr:x>0.76736</cdr:x>
      <cdr:y>0.11502</cdr:y>
    </cdr:from>
    <cdr:to>
      <cdr:x>0.88636</cdr:x>
      <cdr:y>0.20882</cdr:y>
    </cdr:to>
    <cdr:sp macro="" textlink="">
      <cdr:nvSpPr>
        <cdr:cNvPr id="3" name="TextovéPole 1"/>
        <cdr:cNvSpPr txBox="1"/>
      </cdr:nvSpPr>
      <cdr:spPr>
        <a:xfrm xmlns:a="http://schemas.openxmlformats.org/drawingml/2006/main">
          <a:off x="3216006" y="303764"/>
          <a:ext cx="498744" cy="247722"/>
        </a:xfrm>
        <a:prstGeom xmlns:a="http://schemas.openxmlformats.org/drawingml/2006/main" prst="rect">
          <a:avLst/>
        </a:prstGeom>
        <a:solidFill xmlns:a="http://schemas.openxmlformats.org/drawingml/2006/main">
          <a:schemeClr val="bg1"/>
        </a:solidFill>
        <a:ln xmlns:a="http://schemas.openxmlformats.org/drawingml/2006/main" w="3175">
          <a:solidFill>
            <a:sysClr val="windowText" lastClr="000000"/>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1100"/>
            <a:t>ŽENY</a:t>
          </a:r>
        </a:p>
      </cdr:txBody>
    </cdr:sp>
  </cdr:relSizeAnchor>
</c:userShapes>
</file>

<file path=word/drawings/drawing3.xml><?xml version="1.0" encoding="utf-8"?>
<c:userShapes xmlns:c="http://schemas.openxmlformats.org/drawingml/2006/chart">
  <cdr:relSizeAnchor xmlns:cdr="http://schemas.openxmlformats.org/drawingml/2006/chartDrawing">
    <cdr:from>
      <cdr:x>0.45708</cdr:x>
      <cdr:y>0.04889</cdr:y>
    </cdr:from>
    <cdr:to>
      <cdr:x>0.91834</cdr:x>
      <cdr:y>0.15916</cdr:y>
    </cdr:to>
    <cdr:sp macro="" textlink="">
      <cdr:nvSpPr>
        <cdr:cNvPr id="2" name="TextovéPole 2"/>
        <cdr:cNvSpPr txBox="1"/>
      </cdr:nvSpPr>
      <cdr:spPr>
        <a:xfrm xmlns:a="http://schemas.openxmlformats.org/drawingml/2006/main">
          <a:off x="1876439" y="157865"/>
          <a:ext cx="1893599" cy="356059"/>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cs-CZ" sz="900">
              <a:latin typeface="Arial" panose="020B0604020202020204" pitchFamily="34" charset="0"/>
              <a:cs typeface="Arial" panose="020B0604020202020204" pitchFamily="34" charset="0"/>
            </a:rPr>
            <a:t>průměrná výše – muži:</a:t>
          </a:r>
          <a:r>
            <a:rPr lang="cs-CZ" sz="900" baseline="0">
              <a:latin typeface="Arial" panose="020B0604020202020204" pitchFamily="34" charset="0"/>
              <a:cs typeface="Arial" panose="020B0604020202020204" pitchFamily="34" charset="0"/>
            </a:rPr>
            <a:t> 16 938 Kč</a:t>
          </a:r>
          <a:br>
            <a:rPr lang="cs-CZ" sz="900" baseline="0">
              <a:latin typeface="Arial" panose="020B0604020202020204" pitchFamily="34" charset="0"/>
              <a:cs typeface="Arial" panose="020B0604020202020204" pitchFamily="34" charset="0"/>
            </a:rPr>
          </a:br>
          <a:r>
            <a:rPr lang="cs-CZ" sz="900" baseline="0">
              <a:latin typeface="Arial" panose="020B0604020202020204" pitchFamily="34" charset="0"/>
              <a:cs typeface="Arial" panose="020B0604020202020204" pitchFamily="34" charset="0"/>
            </a:rPr>
            <a:t>                         – ženy: 14 080 Kč</a:t>
          </a:r>
          <a:endParaRPr lang="cs-CZ" sz="900">
            <a:latin typeface="Arial" panose="020B0604020202020204" pitchFamily="34" charset="0"/>
            <a:cs typeface="Arial" panose="020B060402020202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0.16699</cdr:x>
      <cdr:y>0.36116</cdr:y>
    </cdr:from>
    <cdr:to>
      <cdr:x>0.34884</cdr:x>
      <cdr:y>0.59867</cdr:y>
    </cdr:to>
    <cdr:sp macro="" textlink="">
      <cdr:nvSpPr>
        <cdr:cNvPr id="2" name="TextovéPole 1"/>
        <cdr:cNvSpPr txBox="1"/>
      </cdr:nvSpPr>
      <cdr:spPr>
        <a:xfrm xmlns:a="http://schemas.openxmlformats.org/drawingml/2006/main">
          <a:off x="700809" y="860930"/>
          <a:ext cx="763173" cy="5661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cs-CZ" sz="1000">
              <a:latin typeface="Arial" panose="020B0604020202020204" pitchFamily="34" charset="0"/>
              <a:cs typeface="Arial" panose="020B0604020202020204" pitchFamily="34" charset="0"/>
            </a:rPr>
            <a:t>celkem</a:t>
          </a:r>
          <a:br>
            <a:rPr lang="cs-CZ" sz="1000">
              <a:latin typeface="Arial" panose="020B0604020202020204" pitchFamily="34" charset="0"/>
              <a:cs typeface="Arial" panose="020B0604020202020204" pitchFamily="34" charset="0"/>
            </a:rPr>
          </a:br>
          <a:r>
            <a:rPr lang="cs-CZ" sz="1000" b="1">
              <a:latin typeface="Arial" panose="020B0604020202020204" pitchFamily="34" charset="0"/>
              <a:cs typeface="Arial" panose="020B0604020202020204" pitchFamily="34" charset="0"/>
            </a:rPr>
            <a:t>33 750</a:t>
          </a:r>
          <a:br>
            <a:rPr lang="cs-CZ" sz="1000" b="1">
              <a:latin typeface="Arial" panose="020B0604020202020204" pitchFamily="34" charset="0"/>
              <a:cs typeface="Arial" panose="020B0604020202020204" pitchFamily="34" charset="0"/>
            </a:rPr>
          </a:br>
          <a:r>
            <a:rPr lang="cs-CZ" sz="1000">
              <a:latin typeface="Arial" panose="020B0604020202020204" pitchFamily="34" charset="0"/>
              <a:cs typeface="Arial" panose="020B0604020202020204" pitchFamily="34" charset="0"/>
            </a:rPr>
            <a:t>osob</a:t>
          </a:r>
        </a:p>
      </cdr:txBody>
    </cdr:sp>
  </cdr:relSizeAnchor>
</c:userShapes>
</file>

<file path=word/drawings/drawing5.xml><?xml version="1.0" encoding="utf-8"?>
<c:userShapes xmlns:c="http://schemas.openxmlformats.org/drawingml/2006/chart">
  <cdr:relSizeAnchor xmlns:cdr="http://schemas.openxmlformats.org/drawingml/2006/chartDrawing">
    <cdr:from>
      <cdr:x>0.35273</cdr:x>
      <cdr:y>0.35844</cdr:y>
    </cdr:from>
    <cdr:to>
      <cdr:x>0.72951</cdr:x>
      <cdr:y>0.58266</cdr:y>
    </cdr:to>
    <cdr:sp macro="" textlink="">
      <cdr:nvSpPr>
        <cdr:cNvPr id="2" name="TextovéPole 1"/>
        <cdr:cNvSpPr txBox="1"/>
      </cdr:nvSpPr>
      <cdr:spPr>
        <a:xfrm xmlns:a="http://schemas.openxmlformats.org/drawingml/2006/main">
          <a:off x="819784" y="897910"/>
          <a:ext cx="875674" cy="56168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cs-CZ" sz="1000">
              <a:latin typeface="Arial" panose="020B0604020202020204" pitchFamily="34" charset="0"/>
              <a:cs typeface="Arial" panose="020B0604020202020204" pitchFamily="34" charset="0"/>
            </a:rPr>
            <a:t>celkem</a:t>
          </a:r>
          <a:br>
            <a:rPr lang="cs-CZ" sz="1000">
              <a:latin typeface="Arial" panose="020B0604020202020204" pitchFamily="34" charset="0"/>
              <a:cs typeface="Arial" panose="020B0604020202020204" pitchFamily="34" charset="0"/>
            </a:rPr>
          </a:br>
          <a:r>
            <a:rPr lang="cs-CZ" sz="1000" b="1">
              <a:latin typeface="Arial" panose="020B0604020202020204" pitchFamily="34" charset="0"/>
              <a:cs typeface="Arial" panose="020B0604020202020204" pitchFamily="34" charset="0"/>
            </a:rPr>
            <a:t>21 086</a:t>
          </a:r>
          <a:br>
            <a:rPr lang="cs-CZ" sz="1000" b="1">
              <a:latin typeface="Arial" panose="020B0604020202020204" pitchFamily="34" charset="0"/>
              <a:cs typeface="Arial" panose="020B0604020202020204" pitchFamily="34" charset="0"/>
            </a:rPr>
          </a:br>
          <a:r>
            <a:rPr lang="cs-CZ" sz="1000">
              <a:latin typeface="Arial" panose="020B0604020202020204" pitchFamily="34" charset="0"/>
              <a:cs typeface="Arial" panose="020B0604020202020204" pitchFamily="34" charset="0"/>
            </a:rPr>
            <a:t>osob</a:t>
          </a:r>
        </a:p>
      </cdr:txBody>
    </cdr:sp>
  </cdr:relSizeAnchor>
</c:userShapes>
</file>

<file path=word/theme/theme1.xml><?xml version="1.0" encoding="utf-8"?>
<a:theme xmlns:a="http://schemas.openxmlformats.org/drawingml/2006/main" name="CSU_LIDE">
  <a:themeElements>
    <a:clrScheme name="CSU_LIDE">
      <a:dk1>
        <a:sysClr val="windowText" lastClr="000000"/>
      </a:dk1>
      <a:lt1>
        <a:sysClr val="window" lastClr="FFFFFF"/>
      </a:lt1>
      <a:dk2>
        <a:srgbClr val="BC091B"/>
      </a:dk2>
      <a:lt2>
        <a:srgbClr val="EEECE1"/>
      </a:lt2>
      <a:accent1>
        <a:srgbClr val="BC091B"/>
      </a:accent1>
      <a:accent2>
        <a:srgbClr val="BC091B"/>
      </a:accent2>
      <a:accent3>
        <a:srgbClr val="9BBB59"/>
      </a:accent3>
      <a:accent4>
        <a:srgbClr val="BC091B"/>
      </a:accent4>
      <a:accent5>
        <a:srgbClr val="F5DADD"/>
      </a:accent5>
      <a:accent6>
        <a:srgbClr val="0071BC"/>
      </a:accent6>
      <a:hlink>
        <a:srgbClr val="0071BC"/>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8D59-4848-4424-BA26-0FCB1DA6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A5_publikace bar CZ_2020-11-10 LaS .dotx</Template>
  <TotalTime>2</TotalTime>
  <Pages>1</Pages>
  <Words>14765</Words>
  <Characters>87120</Characters>
  <Application>Microsoft Office Word</Application>
  <DocSecurity>0</DocSecurity>
  <Lines>726</Lines>
  <Paragraphs>203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CSU</Company>
  <LinksUpToDate>false</LinksUpToDate>
  <CharactersWithSpaces>101682</CharactersWithSpaces>
  <SharedDoc>false</SharedDoc>
  <HyperlinkBase/>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ČSÚ</dc:creator>
  <cp:keywords/>
  <dc:description/>
  <cp:lastModifiedBy>Audy Jana</cp:lastModifiedBy>
  <cp:revision>5</cp:revision>
  <cp:lastPrinted>2023-05-31T12:03:00Z</cp:lastPrinted>
  <dcterms:created xsi:type="dcterms:W3CDTF">2022-12-22T08:52:00Z</dcterms:created>
  <dcterms:modified xsi:type="dcterms:W3CDTF">2023-05-31T12:04:00Z</dcterms:modified>
  <cp:category/>
</cp:coreProperties>
</file>