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94" w:rsidRPr="00A74192" w:rsidRDefault="00ED3A94" w:rsidP="00D94859">
      <w:pPr>
        <w:rPr>
          <w:sz w:val="2"/>
          <w:szCs w:val="2"/>
        </w:rPr>
      </w:pPr>
    </w:p>
    <w:p w:rsidR="002E435E" w:rsidRPr="00A74192" w:rsidRDefault="002E435E" w:rsidP="00F47CD6">
      <w:pPr>
        <w:pStyle w:val="Nadpis1"/>
        <w:numPr>
          <w:ilvl w:val="0"/>
          <w:numId w:val="19"/>
        </w:numPr>
        <w:jc w:val="both"/>
      </w:pPr>
      <w:bookmarkStart w:id="0" w:name="_Toc469299936"/>
      <w:bookmarkStart w:id="1" w:name="_Toc469327805"/>
      <w:r w:rsidRPr="00A74192">
        <w:t>Státní rozpočet</w:t>
      </w:r>
      <w:bookmarkEnd w:id="0"/>
      <w:bookmarkEnd w:id="1"/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44"/>
        <w:gridCol w:w="275"/>
        <w:gridCol w:w="7375"/>
      </w:tblGrid>
      <w:tr w:rsidR="008A03DE" w:rsidRPr="00A90EFD" w:rsidTr="008A03DE">
        <w:tc>
          <w:tcPr>
            <w:tcW w:w="1054" w:type="pct"/>
          </w:tcPr>
          <w:p w:rsidR="008A03DE" w:rsidRPr="009613AA" w:rsidRDefault="008A03DE" w:rsidP="008A03DE">
            <w:pPr>
              <w:spacing w:line="240" w:lineRule="auto"/>
              <w:rPr>
                <w:rFonts w:cs="Arial"/>
                <w:color w:val="0D0D0D"/>
                <w:spacing w:val="-4"/>
                <w:sz w:val="16"/>
                <w:szCs w:val="16"/>
              </w:rPr>
            </w:pPr>
            <w:r w:rsidRPr="009613AA">
              <w:rPr>
                <w:rFonts w:cs="Arial"/>
                <w:color w:val="0D0D0D"/>
                <w:spacing w:val="-4"/>
                <w:sz w:val="16"/>
                <w:szCs w:val="16"/>
              </w:rPr>
              <w:t>Hospo</w:t>
            </w:r>
            <w:r>
              <w:rPr>
                <w:rFonts w:cs="Arial"/>
                <w:color w:val="0D0D0D"/>
                <w:spacing w:val="-4"/>
                <w:sz w:val="16"/>
                <w:szCs w:val="16"/>
              </w:rPr>
              <w:t>daření státního rozpočtu (SR) vytáhly</w:t>
            </w:r>
            <w:r w:rsidRPr="009613AA">
              <w:rPr>
                <w:rFonts w:cs="Arial"/>
                <w:color w:val="0D0D0D"/>
                <w:spacing w:val="-4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D0D0D"/>
                <w:spacing w:val="-4"/>
                <w:sz w:val="16"/>
                <w:szCs w:val="16"/>
              </w:rPr>
              <w:t xml:space="preserve">vloni </w:t>
            </w:r>
            <w:r w:rsidRPr="009613AA">
              <w:rPr>
                <w:rFonts w:cs="Arial"/>
                <w:color w:val="0D0D0D"/>
                <w:spacing w:val="-4"/>
                <w:sz w:val="16"/>
                <w:szCs w:val="16"/>
              </w:rPr>
              <w:t xml:space="preserve">k rekordnímu přebytku </w:t>
            </w:r>
            <w:r>
              <w:rPr>
                <w:rFonts w:cs="Arial"/>
                <w:color w:val="0D0D0D"/>
                <w:spacing w:val="-4"/>
                <w:sz w:val="16"/>
                <w:szCs w:val="16"/>
              </w:rPr>
              <w:t>dodatečné příjmy z EU (především vlivem silného dočerpávání v roce 2015) doprovázené efekty pokračujícího hospodářského růstu.</w:t>
            </w:r>
          </w:p>
        </w:tc>
        <w:tc>
          <w:tcPr>
            <w:tcW w:w="142" w:type="pct"/>
          </w:tcPr>
          <w:p w:rsidR="008A03DE" w:rsidRPr="004C7CC5" w:rsidRDefault="008A03DE" w:rsidP="008A03DE">
            <w:pPr>
              <w:pStyle w:val="Textpoznpodarou"/>
              <w:jc w:val="both"/>
              <w:rPr>
                <w:rFonts w:cs="Arial"/>
                <w:color w:val="0D0D0D"/>
              </w:rPr>
            </w:pPr>
          </w:p>
        </w:tc>
        <w:tc>
          <w:tcPr>
            <w:tcW w:w="3804" w:type="pct"/>
          </w:tcPr>
          <w:p w:rsidR="008A03DE" w:rsidRPr="00F75EEE" w:rsidRDefault="008A03DE" w:rsidP="008A03DE">
            <w:pPr>
              <w:pStyle w:val="Textpoznpodarou"/>
              <w:jc w:val="both"/>
              <w:rPr>
                <w:rFonts w:cs="Arial"/>
                <w:color w:val="0D0D0D"/>
                <w:spacing w:val="-4"/>
              </w:rPr>
            </w:pPr>
            <w:r w:rsidRPr="00F75EEE">
              <w:rPr>
                <w:rFonts w:cs="Arial"/>
                <w:color w:val="0D0D0D"/>
                <w:spacing w:val="-4"/>
              </w:rPr>
              <w:t xml:space="preserve">Hospodaření státního rozpočtu (SR) skončilo dle pokladního plnění </w:t>
            </w:r>
            <w:r>
              <w:rPr>
                <w:rFonts w:cs="Arial"/>
                <w:color w:val="0D0D0D"/>
                <w:spacing w:val="-4"/>
              </w:rPr>
              <w:t xml:space="preserve">v roce 2016 </w:t>
            </w:r>
            <w:r w:rsidR="000A68A7">
              <w:rPr>
                <w:rFonts w:cs="Arial"/>
                <w:color w:val="0D0D0D"/>
                <w:spacing w:val="-4"/>
              </w:rPr>
              <w:t>přebytkem</w:t>
            </w:r>
            <w:r w:rsidRPr="00F75EEE">
              <w:rPr>
                <w:rFonts w:cs="Arial"/>
                <w:color w:val="0D0D0D"/>
                <w:spacing w:val="-4"/>
              </w:rPr>
              <w:t xml:space="preserve"> ve výši </w:t>
            </w:r>
            <w:r w:rsidR="000A68A7">
              <w:rPr>
                <w:rFonts w:cs="Arial"/>
                <w:color w:val="0D0D0D"/>
                <w:spacing w:val="-4"/>
              </w:rPr>
              <w:t xml:space="preserve">61,8 mld. korun (v roce 2015 </w:t>
            </w:r>
            <w:r w:rsidRPr="00F75EEE">
              <w:rPr>
                <w:rFonts w:cs="Arial"/>
                <w:color w:val="0D0D0D"/>
                <w:spacing w:val="-4"/>
              </w:rPr>
              <w:t xml:space="preserve">činil </w:t>
            </w:r>
            <w:r w:rsidR="000A68A7">
              <w:rPr>
                <w:rFonts w:cs="Arial"/>
                <w:color w:val="0D0D0D"/>
                <w:spacing w:val="-4"/>
              </w:rPr>
              <w:t xml:space="preserve">deficit </w:t>
            </w:r>
            <w:r w:rsidRPr="00F75EEE">
              <w:rPr>
                <w:rFonts w:cs="Arial"/>
                <w:color w:val="0D0D0D"/>
                <w:spacing w:val="-4"/>
              </w:rPr>
              <w:t xml:space="preserve">62,8 mld.). Rozpočtový přebytek byl </w:t>
            </w:r>
            <w:r>
              <w:rPr>
                <w:rFonts w:cs="Arial"/>
                <w:color w:val="0D0D0D"/>
                <w:spacing w:val="-4"/>
              </w:rPr>
              <w:t xml:space="preserve">v </w:t>
            </w:r>
            <w:r w:rsidRPr="00F75EEE">
              <w:rPr>
                <w:rFonts w:cs="Arial"/>
                <w:color w:val="0D0D0D"/>
                <w:spacing w:val="-4"/>
              </w:rPr>
              <w:t>historii samostatné ČR napo</w:t>
            </w:r>
            <w:r w:rsidR="00494AAB">
              <w:rPr>
                <w:rFonts w:cs="Arial"/>
                <w:color w:val="0D0D0D"/>
                <w:spacing w:val="-4"/>
              </w:rPr>
              <w:t>sledy dosažen v období let 1993</w:t>
            </w:r>
            <w:r w:rsidR="00494AAB" w:rsidRPr="008B5159">
              <w:rPr>
                <w:rFonts w:cs="Arial"/>
                <w:color w:val="0D0D0D" w:themeColor="text1" w:themeTint="F2"/>
                <w:spacing w:val="-4"/>
              </w:rPr>
              <w:t>–</w:t>
            </w:r>
            <w:r w:rsidRPr="00F75EEE">
              <w:rPr>
                <w:rFonts w:cs="Arial"/>
                <w:color w:val="0D0D0D"/>
                <w:spacing w:val="-4"/>
              </w:rPr>
              <w:t xml:space="preserve">1995. </w:t>
            </w:r>
            <w:r>
              <w:rPr>
                <w:rFonts w:cs="Arial"/>
                <w:color w:val="0D0D0D"/>
                <w:spacing w:val="-4"/>
              </w:rPr>
              <w:t>V</w:t>
            </w:r>
            <w:r w:rsidRPr="00F75EEE">
              <w:rPr>
                <w:rFonts w:cs="Arial"/>
                <w:color w:val="0D0D0D"/>
                <w:spacing w:val="-4"/>
              </w:rPr>
              <w:t xml:space="preserve"> loňském výsledku se zásadně projevily </w:t>
            </w:r>
            <w:r w:rsidRPr="00F75EEE">
              <w:rPr>
                <w:rFonts w:cs="Arial"/>
                <w:color w:val="000000"/>
                <w:spacing w:val="-4"/>
              </w:rPr>
              <w:t>nepravidelnosti v čerpání evropských fondů na přelomu programových období EU</w:t>
            </w:r>
            <w:r>
              <w:rPr>
                <w:rFonts w:cs="Arial"/>
                <w:color w:val="000000"/>
                <w:spacing w:val="-4"/>
              </w:rPr>
              <w:t>. N</w:t>
            </w:r>
            <w:r w:rsidRPr="00F75EEE">
              <w:rPr>
                <w:rFonts w:cs="Arial"/>
                <w:color w:val="000000"/>
                <w:spacing w:val="-4"/>
              </w:rPr>
              <w:t xml:space="preserve">a příjmové straně (157,8 mld. korun) šlo z velké části o prostředky vázané ještě na </w:t>
            </w:r>
            <w:r>
              <w:rPr>
                <w:rFonts w:cs="Arial"/>
                <w:color w:val="000000"/>
                <w:spacing w:val="-4"/>
              </w:rPr>
              <w:t>dobíhající</w:t>
            </w:r>
            <w:r w:rsidRPr="00F75EEE">
              <w:rPr>
                <w:rFonts w:cs="Arial"/>
                <w:color w:val="000000"/>
                <w:spacing w:val="-4"/>
              </w:rPr>
              <w:t xml:space="preserve"> programové období</w:t>
            </w:r>
            <w:r w:rsidR="00494AAB">
              <w:rPr>
                <w:rFonts w:cs="Arial"/>
                <w:color w:val="000000"/>
                <w:spacing w:val="-4"/>
              </w:rPr>
              <w:t xml:space="preserve"> (2007</w:t>
            </w:r>
            <w:r w:rsidR="00494AAB" w:rsidRPr="008B5159">
              <w:rPr>
                <w:rFonts w:cs="Arial"/>
                <w:color w:val="0D0D0D" w:themeColor="text1" w:themeTint="F2"/>
                <w:spacing w:val="-4"/>
              </w:rPr>
              <w:t>–</w:t>
            </w:r>
            <w:r>
              <w:rPr>
                <w:rFonts w:cs="Arial"/>
                <w:color w:val="000000"/>
                <w:spacing w:val="-4"/>
              </w:rPr>
              <w:t>2013)</w:t>
            </w:r>
            <w:r w:rsidRPr="00F75EEE">
              <w:rPr>
                <w:rFonts w:cs="Arial"/>
                <w:color w:val="000000"/>
                <w:spacing w:val="-4"/>
              </w:rPr>
              <w:t xml:space="preserve">, zatímco v investičních výdajích SR (84,7 mld.) </w:t>
            </w:r>
            <w:r>
              <w:rPr>
                <w:rFonts w:cs="Arial"/>
                <w:color w:val="000000"/>
                <w:spacing w:val="-4"/>
              </w:rPr>
              <w:t>se</w:t>
            </w:r>
            <w:r w:rsidRPr="00F75EEE">
              <w:rPr>
                <w:rFonts w:cs="Arial"/>
                <w:color w:val="000000"/>
                <w:spacing w:val="-4"/>
              </w:rPr>
              <w:t xml:space="preserve"> projevovala nižší celková připravenost projektů </w:t>
            </w:r>
            <w:r>
              <w:rPr>
                <w:rFonts w:cs="Arial"/>
                <w:color w:val="000000"/>
                <w:spacing w:val="-4"/>
              </w:rPr>
              <w:t>na startu nového programové</w:t>
            </w:r>
            <w:r w:rsidRPr="00F75EEE">
              <w:rPr>
                <w:rFonts w:cs="Arial"/>
                <w:color w:val="000000"/>
                <w:spacing w:val="-4"/>
              </w:rPr>
              <w:t xml:space="preserve">ho období. V loňské bilanci SR se </w:t>
            </w:r>
            <w:r>
              <w:rPr>
                <w:rFonts w:cs="Arial"/>
                <w:color w:val="000000"/>
                <w:spacing w:val="-4"/>
              </w:rPr>
              <w:t>také</w:t>
            </w:r>
            <w:r w:rsidRPr="00F75EEE">
              <w:rPr>
                <w:rFonts w:cs="Arial"/>
                <w:color w:val="000000"/>
                <w:spacing w:val="-4"/>
              </w:rPr>
              <w:t xml:space="preserve"> odrazil pokračující růst ekonomiky, když veškeré daňové příjmy (</w:t>
            </w:r>
            <w:r>
              <w:rPr>
                <w:rFonts w:cs="Arial"/>
                <w:color w:val="000000"/>
                <w:spacing w:val="-4"/>
              </w:rPr>
              <w:t>bez</w:t>
            </w:r>
            <w:r w:rsidRPr="00F75EEE">
              <w:rPr>
                <w:rFonts w:cs="Arial"/>
                <w:color w:val="000000"/>
                <w:spacing w:val="-4"/>
              </w:rPr>
              <w:t xml:space="preserve"> pojistného) meziročně posílily o</w:t>
            </w:r>
            <w:r w:rsidRPr="00F75EEE">
              <w:rPr>
                <w:color w:val="0D0D0D"/>
                <w:spacing w:val="-4"/>
              </w:rPr>
              <w:t> </w:t>
            </w:r>
            <w:r>
              <w:rPr>
                <w:rFonts w:cs="Arial"/>
                <w:color w:val="000000"/>
                <w:spacing w:val="-4"/>
              </w:rPr>
              <w:t>7,5</w:t>
            </w:r>
            <w:r w:rsidRPr="00F75EEE">
              <w:rPr>
                <w:rFonts w:cs="Arial"/>
                <w:color w:val="000000"/>
                <w:spacing w:val="-4"/>
              </w:rPr>
              <w:t xml:space="preserve"> %</w:t>
            </w:r>
            <w:r w:rsidRPr="00F75EEE">
              <w:rPr>
                <w:rStyle w:val="Znakapoznpodarou"/>
                <w:color w:val="000000"/>
                <w:spacing w:val="-4"/>
              </w:rPr>
              <w:footnoteReference w:id="1"/>
            </w:r>
            <w:r w:rsidRPr="00F75EEE">
              <w:rPr>
                <w:rFonts w:cs="Arial"/>
                <w:color w:val="000000"/>
                <w:spacing w:val="-4"/>
              </w:rPr>
              <w:t xml:space="preserve"> a</w:t>
            </w:r>
            <w:r w:rsidRPr="00F75EEE">
              <w:rPr>
                <w:color w:val="0D0D0D"/>
                <w:spacing w:val="-4"/>
              </w:rPr>
              <w:t> </w:t>
            </w:r>
            <w:r>
              <w:rPr>
                <w:rFonts w:cs="Arial"/>
                <w:color w:val="000000"/>
                <w:spacing w:val="-4"/>
              </w:rPr>
              <w:t>proti rozpočtovému</w:t>
            </w:r>
            <w:r w:rsidRPr="00F75EEE">
              <w:rPr>
                <w:rFonts w:cs="Arial"/>
                <w:color w:val="000000"/>
                <w:spacing w:val="-4"/>
              </w:rPr>
              <w:t xml:space="preserve"> očeká</w:t>
            </w:r>
            <w:r>
              <w:rPr>
                <w:rFonts w:cs="Arial"/>
                <w:color w:val="000000"/>
                <w:spacing w:val="-4"/>
              </w:rPr>
              <w:t>vání (tj. schválenému rozpočtu) byly o 22,3</w:t>
            </w:r>
            <w:r w:rsidRPr="00F75EEE">
              <w:rPr>
                <w:rFonts w:cs="Arial"/>
                <w:color w:val="000000"/>
                <w:spacing w:val="-4"/>
              </w:rPr>
              <w:t xml:space="preserve"> mld. korun vyšší. </w:t>
            </w:r>
            <w:r w:rsidRPr="00F75EEE">
              <w:rPr>
                <w:rFonts w:cs="Arial"/>
                <w:color w:val="0D0D0D"/>
                <w:spacing w:val="-4"/>
              </w:rPr>
              <w:t>Saldo SR loni dosáhlo v</w:t>
            </w:r>
            <w:r w:rsidRPr="00F75EEE">
              <w:rPr>
                <w:color w:val="0D0D0D"/>
                <w:spacing w:val="-4"/>
              </w:rPr>
              <w:t> </w:t>
            </w:r>
            <w:r w:rsidRPr="00F75EEE">
              <w:rPr>
                <w:rFonts w:cs="Arial"/>
                <w:color w:val="0D0D0D"/>
                <w:spacing w:val="-4"/>
              </w:rPr>
              <w:t>relaci k</w:t>
            </w:r>
            <w:r w:rsidRPr="00F75EEE">
              <w:rPr>
                <w:color w:val="0D0D0D"/>
                <w:spacing w:val="-4"/>
              </w:rPr>
              <w:t> </w:t>
            </w:r>
            <w:r w:rsidRPr="00F75EEE">
              <w:rPr>
                <w:rFonts w:cs="Arial"/>
                <w:color w:val="000000"/>
                <w:spacing w:val="-4"/>
              </w:rPr>
              <w:t>nominálnímu HDP +1,3</w:t>
            </w:r>
            <w:r w:rsidRPr="00F75EEE">
              <w:rPr>
                <w:color w:val="0D0D0D"/>
                <w:spacing w:val="-4"/>
              </w:rPr>
              <w:t> </w:t>
            </w:r>
            <w:r w:rsidRPr="00F75EEE">
              <w:rPr>
                <w:rFonts w:cs="Arial"/>
                <w:color w:val="000000"/>
                <w:spacing w:val="-4"/>
              </w:rPr>
              <w:t>%</w:t>
            </w:r>
            <w:r w:rsidR="00494AAB">
              <w:rPr>
                <w:rFonts w:cs="Arial"/>
                <w:color w:val="000000"/>
                <w:spacing w:val="-4"/>
              </w:rPr>
              <w:t>,</w:t>
            </w:r>
            <w:r w:rsidRPr="00F75EEE">
              <w:rPr>
                <w:rFonts w:cs="Arial"/>
                <w:color w:val="000000"/>
                <w:spacing w:val="-4"/>
              </w:rPr>
              <w:t xml:space="preserve"> </w:t>
            </w:r>
            <w:r>
              <w:rPr>
                <w:rFonts w:cs="Arial"/>
                <w:color w:val="000000"/>
                <w:spacing w:val="-4"/>
              </w:rPr>
              <w:t>a b</w:t>
            </w:r>
            <w:r w:rsidR="000916B1">
              <w:rPr>
                <w:rFonts w:cs="Arial"/>
                <w:color w:val="000000"/>
                <w:spacing w:val="-4"/>
              </w:rPr>
              <w:t>ylo</w:t>
            </w:r>
            <w:r>
              <w:rPr>
                <w:rFonts w:cs="Arial"/>
                <w:color w:val="000000"/>
                <w:spacing w:val="-4"/>
              </w:rPr>
              <w:t xml:space="preserve"> téměř dvojnásobné v porovnání</w:t>
            </w:r>
            <w:r w:rsidR="000916B1">
              <w:rPr>
                <w:rFonts w:cs="Arial"/>
                <w:color w:val="000000"/>
                <w:spacing w:val="-4"/>
              </w:rPr>
              <w:t xml:space="preserve"> s dosud rekordním rokem</w:t>
            </w:r>
            <w:r w:rsidRPr="00F75EEE">
              <w:rPr>
                <w:rFonts w:cs="Arial"/>
                <w:color w:val="000000"/>
                <w:spacing w:val="-4"/>
              </w:rPr>
              <w:t xml:space="preserve"> 1994.</w:t>
            </w:r>
          </w:p>
          <w:p w:rsidR="008A03DE" w:rsidRPr="00F47CD6" w:rsidRDefault="008A03DE" w:rsidP="008A03DE">
            <w:pPr>
              <w:pStyle w:val="Textpoznpodarou"/>
              <w:jc w:val="both"/>
              <w:rPr>
                <w:rFonts w:cs="Arial"/>
                <w:color w:val="0D0D0D"/>
                <w:spacing w:val="-4"/>
                <w:sz w:val="16"/>
                <w:szCs w:val="16"/>
              </w:rPr>
            </w:pPr>
          </w:p>
        </w:tc>
      </w:tr>
      <w:tr w:rsidR="008A03DE" w:rsidRPr="00A90EFD" w:rsidTr="008A03DE">
        <w:tc>
          <w:tcPr>
            <w:tcW w:w="1054" w:type="pct"/>
          </w:tcPr>
          <w:p w:rsidR="008A03DE" w:rsidRPr="004C7CC5" w:rsidRDefault="008A03DE" w:rsidP="008B05E8">
            <w:pPr>
              <w:spacing w:line="240" w:lineRule="auto"/>
              <w:rPr>
                <w:rFonts w:cs="Arial"/>
                <w:bCs/>
                <w:iCs/>
                <w:color w:val="0D0D0D"/>
                <w:spacing w:val="-2"/>
                <w:szCs w:val="20"/>
              </w:rPr>
            </w:pPr>
            <w:r w:rsidRPr="00AC3A9F">
              <w:rPr>
                <w:rFonts w:cs="Arial"/>
                <w:bCs/>
                <w:iCs/>
                <w:color w:val="0D0D0D"/>
                <w:spacing w:val="-2"/>
                <w:sz w:val="16"/>
                <w:szCs w:val="16"/>
              </w:rPr>
              <w:t xml:space="preserve">V inkasu </w:t>
            </w:r>
            <w:r>
              <w:rPr>
                <w:rFonts w:cs="Arial"/>
                <w:bCs/>
                <w:iCs/>
                <w:color w:val="0D0D0D"/>
                <w:spacing w:val="-2"/>
                <w:sz w:val="16"/>
                <w:szCs w:val="16"/>
              </w:rPr>
              <w:t>DPH se projevovaly vysoký meziroční růst</w:t>
            </w:r>
            <w:r w:rsidRPr="00AC3A9F">
              <w:rPr>
                <w:rFonts w:cs="Arial"/>
                <w:bCs/>
                <w:iCs/>
                <w:color w:val="0D0D0D"/>
                <w:spacing w:val="-2"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iCs/>
                <w:color w:val="0D0D0D"/>
                <w:spacing w:val="-2"/>
                <w:sz w:val="16"/>
                <w:szCs w:val="16"/>
              </w:rPr>
              <w:t xml:space="preserve">celkových </w:t>
            </w:r>
            <w:r w:rsidRPr="00AC3A9F">
              <w:rPr>
                <w:rFonts w:cs="Arial"/>
                <w:bCs/>
                <w:iCs/>
                <w:color w:val="0D0D0D"/>
                <w:spacing w:val="-2"/>
                <w:sz w:val="16"/>
                <w:szCs w:val="16"/>
              </w:rPr>
              <w:t>výdajů na konečnou spotřebu</w:t>
            </w:r>
            <w:r>
              <w:rPr>
                <w:rFonts w:cs="Arial"/>
                <w:bCs/>
                <w:iCs/>
                <w:color w:val="0D0D0D"/>
                <w:spacing w:val="-2"/>
                <w:sz w:val="16"/>
                <w:szCs w:val="16"/>
              </w:rPr>
              <w:t>.</w:t>
            </w:r>
          </w:p>
        </w:tc>
        <w:tc>
          <w:tcPr>
            <w:tcW w:w="142" w:type="pct"/>
          </w:tcPr>
          <w:p w:rsidR="008A03DE" w:rsidRPr="004C7CC5" w:rsidRDefault="008A03DE" w:rsidP="008A03DE">
            <w:pPr>
              <w:pStyle w:val="Textpoznpodarou"/>
              <w:jc w:val="both"/>
              <w:rPr>
                <w:rFonts w:cs="Arial"/>
                <w:color w:val="0D0D0D"/>
              </w:rPr>
            </w:pPr>
          </w:p>
        </w:tc>
        <w:tc>
          <w:tcPr>
            <w:tcW w:w="3804" w:type="pct"/>
          </w:tcPr>
          <w:p w:rsidR="008A03DE" w:rsidRPr="00F75EEE" w:rsidRDefault="008A03DE" w:rsidP="008A03DE">
            <w:pPr>
              <w:pStyle w:val="Textpoznpodarou"/>
              <w:jc w:val="both"/>
              <w:rPr>
                <w:rFonts w:cs="Arial"/>
                <w:color w:val="0D0D0D"/>
                <w:spacing w:val="-4"/>
              </w:rPr>
            </w:pPr>
            <w:r w:rsidRPr="00F75EEE">
              <w:rPr>
                <w:rFonts w:cs="Arial"/>
                <w:color w:val="0D0D0D"/>
                <w:spacing w:val="-4"/>
              </w:rPr>
              <w:t xml:space="preserve">Celostátní výběr DPH loni posílil o 5,4 %. Přestože </w:t>
            </w:r>
            <w:r>
              <w:rPr>
                <w:rFonts w:cs="Arial"/>
                <w:color w:val="0D0D0D"/>
                <w:spacing w:val="-4"/>
              </w:rPr>
              <w:t xml:space="preserve">se </w:t>
            </w:r>
            <w:r w:rsidRPr="00F75EEE">
              <w:rPr>
                <w:rFonts w:cs="Arial"/>
                <w:color w:val="0D0D0D"/>
                <w:spacing w:val="-4"/>
              </w:rPr>
              <w:t xml:space="preserve">meziroční tempo výběru této váhově </w:t>
            </w:r>
            <w:r>
              <w:rPr>
                <w:rFonts w:cs="Arial"/>
                <w:color w:val="0D0D0D"/>
                <w:spacing w:val="-4"/>
              </w:rPr>
              <w:t xml:space="preserve">nejvýznamnější daně </w:t>
            </w:r>
            <w:r w:rsidRPr="00F75EEE">
              <w:rPr>
                <w:rFonts w:cs="Arial"/>
                <w:color w:val="0D0D0D"/>
                <w:spacing w:val="-4"/>
              </w:rPr>
              <w:t>proti předešlému roku téměř zdvojnásobilo, zůstal její loňský výběr</w:t>
            </w:r>
            <w:r>
              <w:rPr>
                <w:rFonts w:cs="Arial"/>
                <w:color w:val="0D0D0D"/>
                <w:spacing w:val="-4"/>
              </w:rPr>
              <w:t xml:space="preserve"> – na rozdíl od všech ostatních objemově významných daní – </w:t>
            </w:r>
            <w:r w:rsidRPr="00F75EEE">
              <w:rPr>
                <w:rFonts w:cs="Arial"/>
                <w:color w:val="0D0D0D"/>
                <w:spacing w:val="-4"/>
              </w:rPr>
              <w:t xml:space="preserve">mírně </w:t>
            </w:r>
            <w:r>
              <w:rPr>
                <w:rFonts w:cs="Arial"/>
                <w:color w:val="0D0D0D"/>
                <w:spacing w:val="-4"/>
              </w:rPr>
              <w:t>(o</w:t>
            </w:r>
            <w:r w:rsidRPr="00F75EEE">
              <w:rPr>
                <w:color w:val="0D0D0D"/>
                <w:spacing w:val="-4"/>
              </w:rPr>
              <w:t> </w:t>
            </w:r>
            <w:r>
              <w:rPr>
                <w:rFonts w:cs="Arial"/>
                <w:color w:val="0D0D0D"/>
                <w:spacing w:val="-4"/>
              </w:rPr>
              <w:t xml:space="preserve">0,8 %) </w:t>
            </w:r>
            <w:r w:rsidRPr="00F75EEE">
              <w:rPr>
                <w:rFonts w:cs="Arial"/>
                <w:color w:val="0D0D0D"/>
                <w:spacing w:val="-4"/>
              </w:rPr>
              <w:t xml:space="preserve">za rozpočtovým očekáváním. Vyšší inkaso reflektovalo nominální růst výdajů na konečnou </w:t>
            </w:r>
            <w:r w:rsidRPr="00452B83">
              <w:rPr>
                <w:rFonts w:cs="Arial"/>
                <w:color w:val="0D0D0D"/>
                <w:spacing w:val="-4"/>
              </w:rPr>
              <w:t>spotřebu (u</w:t>
            </w:r>
            <w:r w:rsidRPr="00452B83">
              <w:rPr>
                <w:rFonts w:cs="Arial"/>
                <w:color w:val="000000"/>
                <w:spacing w:val="-4"/>
              </w:rPr>
              <w:t> </w:t>
            </w:r>
            <w:r w:rsidRPr="00452B83">
              <w:rPr>
                <w:rFonts w:cs="Arial"/>
                <w:color w:val="0D0D0D"/>
                <w:spacing w:val="-4"/>
              </w:rPr>
              <w:t xml:space="preserve">domácností v roce 2016 o 3,5 %, u vládních institucí o 3,4 %). </w:t>
            </w:r>
          </w:p>
          <w:p w:rsidR="008A03DE" w:rsidRPr="00F47CD6" w:rsidRDefault="008A03DE" w:rsidP="008A03DE">
            <w:pPr>
              <w:pStyle w:val="Textpoznpodarou"/>
              <w:jc w:val="both"/>
              <w:rPr>
                <w:rFonts w:cs="Arial"/>
                <w:color w:val="0D0D0D"/>
                <w:spacing w:val="-4"/>
                <w:sz w:val="16"/>
                <w:szCs w:val="16"/>
              </w:rPr>
            </w:pPr>
          </w:p>
        </w:tc>
      </w:tr>
      <w:tr w:rsidR="008A03DE" w:rsidRPr="00A90EFD" w:rsidTr="008A03DE">
        <w:tc>
          <w:tcPr>
            <w:tcW w:w="1054" w:type="pct"/>
          </w:tcPr>
          <w:p w:rsidR="008A03DE" w:rsidRDefault="008A03DE" w:rsidP="008A03DE">
            <w:pPr>
              <w:spacing w:line="240" w:lineRule="auto"/>
              <w:rPr>
                <w:rFonts w:cs="Arial"/>
                <w:color w:val="0D0D0D"/>
                <w:spacing w:val="-4"/>
                <w:sz w:val="16"/>
                <w:szCs w:val="16"/>
              </w:rPr>
            </w:pPr>
            <w:r>
              <w:rPr>
                <w:rFonts w:cs="Arial"/>
                <w:color w:val="0D0D0D"/>
                <w:spacing w:val="-4"/>
                <w:sz w:val="16"/>
                <w:szCs w:val="16"/>
              </w:rPr>
              <w:t>K meziročně vyššímu inkasu spotřebních daní přispěly rovným dí</w:t>
            </w:r>
            <w:r w:rsidR="000117CA">
              <w:rPr>
                <w:rFonts w:cs="Arial"/>
                <w:color w:val="0D0D0D"/>
                <w:spacing w:val="-4"/>
                <w:sz w:val="16"/>
                <w:szCs w:val="16"/>
              </w:rPr>
              <w:t>lem daně z tabákových výrobků i </w:t>
            </w:r>
            <w:r>
              <w:rPr>
                <w:rFonts w:cs="Arial"/>
                <w:color w:val="0D0D0D"/>
                <w:spacing w:val="-4"/>
                <w:sz w:val="16"/>
                <w:szCs w:val="16"/>
              </w:rPr>
              <w:t>z minerálních olejů.</w:t>
            </w:r>
          </w:p>
          <w:p w:rsidR="008A03DE" w:rsidRPr="009E7272" w:rsidRDefault="008A03DE" w:rsidP="008A03DE">
            <w:pPr>
              <w:spacing w:line="240" w:lineRule="auto"/>
              <w:rPr>
                <w:rFonts w:cs="Arial"/>
                <w:color w:val="0D0D0D"/>
                <w:spacing w:val="-4"/>
                <w:sz w:val="16"/>
                <w:szCs w:val="16"/>
              </w:rPr>
            </w:pPr>
          </w:p>
        </w:tc>
        <w:tc>
          <w:tcPr>
            <w:tcW w:w="142" w:type="pct"/>
          </w:tcPr>
          <w:p w:rsidR="008A03DE" w:rsidRPr="00A90EFD" w:rsidRDefault="008A03DE" w:rsidP="008A03DE">
            <w:pPr>
              <w:pStyle w:val="Textpoznpodarou"/>
              <w:jc w:val="both"/>
              <w:rPr>
                <w:rFonts w:cs="Arial"/>
                <w:color w:val="0D0D0D"/>
              </w:rPr>
            </w:pPr>
          </w:p>
        </w:tc>
        <w:tc>
          <w:tcPr>
            <w:tcW w:w="3804" w:type="pct"/>
          </w:tcPr>
          <w:p w:rsidR="008A03DE" w:rsidRDefault="008A03DE" w:rsidP="008A03DE">
            <w:pPr>
              <w:pStyle w:val="Textpoznpodarou"/>
              <w:jc w:val="both"/>
              <w:rPr>
                <w:rFonts w:cs="Arial"/>
                <w:color w:val="0D0D0D"/>
                <w:spacing w:val="-4"/>
              </w:rPr>
            </w:pPr>
            <w:r>
              <w:rPr>
                <w:rFonts w:cs="Arial"/>
                <w:color w:val="0D0D0D"/>
                <w:spacing w:val="-4"/>
              </w:rPr>
              <w:t>Ze spotřebních daní plynuly SR příjmy meziročně o 5,2 % vyšší. Zasloužily se o to obdobným dílem jak silnější výběr daně z tabákových výrobků (+7 %, tažený</w:t>
            </w:r>
            <w:r w:rsidRPr="00952517">
              <w:rPr>
                <w:rFonts w:cs="Arial"/>
                <w:color w:val="0D0D0D"/>
                <w:spacing w:val="-4"/>
              </w:rPr>
              <w:t xml:space="preserve"> </w:t>
            </w:r>
            <w:r>
              <w:rPr>
                <w:rFonts w:cs="Arial"/>
                <w:color w:val="0D0D0D"/>
                <w:spacing w:val="-4"/>
              </w:rPr>
              <w:t>hlavně zvýšením saz</w:t>
            </w:r>
            <w:r w:rsidRPr="00952517">
              <w:rPr>
                <w:rFonts w:cs="Arial"/>
                <w:color w:val="0D0D0D"/>
                <w:spacing w:val="-4"/>
              </w:rPr>
              <w:t>b</w:t>
            </w:r>
            <w:r>
              <w:rPr>
                <w:rFonts w:cs="Arial"/>
                <w:color w:val="0D0D0D"/>
                <w:spacing w:val="-4"/>
              </w:rPr>
              <w:t>y</w:t>
            </w:r>
            <w:r w:rsidRPr="00952517">
              <w:rPr>
                <w:rFonts w:cs="Arial"/>
                <w:color w:val="0D0D0D"/>
                <w:spacing w:val="-4"/>
              </w:rPr>
              <w:t xml:space="preserve"> daně</w:t>
            </w:r>
            <w:r>
              <w:rPr>
                <w:rFonts w:cs="Arial"/>
                <w:color w:val="0D0D0D"/>
                <w:spacing w:val="-4"/>
              </w:rPr>
              <w:t>), tak i vyšší příjmy z daně</w:t>
            </w:r>
            <w:r w:rsidRPr="00952517">
              <w:rPr>
                <w:rFonts w:cs="Arial"/>
                <w:color w:val="0D0D0D"/>
                <w:spacing w:val="-4"/>
              </w:rPr>
              <w:t xml:space="preserve"> z mi</w:t>
            </w:r>
            <w:r>
              <w:rPr>
                <w:rFonts w:cs="Arial"/>
                <w:color w:val="0D0D0D"/>
                <w:spacing w:val="-4"/>
              </w:rPr>
              <w:t>nerálních olejů, jejíž inkaso meziročně rostlo o 4,7 %. Stála za tím rostoucí spotřeba motorového benzínu i nafty</w:t>
            </w:r>
            <w:r>
              <w:rPr>
                <w:rStyle w:val="Znakapoznpodarou"/>
                <w:color w:val="0D0D0D"/>
                <w:spacing w:val="-4"/>
              </w:rPr>
              <w:footnoteReference w:id="2"/>
            </w:r>
            <w:r>
              <w:rPr>
                <w:rFonts w:cs="Arial"/>
                <w:color w:val="0D0D0D"/>
                <w:spacing w:val="-4"/>
              </w:rPr>
              <w:t xml:space="preserve"> stimulovaná příznivými cenami PHM (zejm. v první polovině roku) i </w:t>
            </w:r>
            <w:r w:rsidRPr="00952517">
              <w:rPr>
                <w:rFonts w:cs="Arial"/>
                <w:color w:val="0D0D0D"/>
                <w:spacing w:val="-4"/>
              </w:rPr>
              <w:t>dlouhodobější</w:t>
            </w:r>
            <w:r>
              <w:rPr>
                <w:rFonts w:cs="Arial"/>
                <w:color w:val="0D0D0D"/>
                <w:spacing w:val="-4"/>
              </w:rPr>
              <w:t>m</w:t>
            </w:r>
            <w:r w:rsidRPr="00952517">
              <w:rPr>
                <w:rFonts w:cs="Arial"/>
                <w:color w:val="0D0D0D"/>
                <w:spacing w:val="-4"/>
              </w:rPr>
              <w:t xml:space="preserve"> růst</w:t>
            </w:r>
            <w:r>
              <w:rPr>
                <w:rFonts w:cs="Arial"/>
                <w:color w:val="0D0D0D"/>
                <w:spacing w:val="-4"/>
              </w:rPr>
              <w:t>em poptávky po dopravě v souvislosti</w:t>
            </w:r>
            <w:r w:rsidRPr="00952517">
              <w:rPr>
                <w:rFonts w:cs="Arial"/>
                <w:color w:val="0D0D0D"/>
                <w:spacing w:val="-4"/>
              </w:rPr>
              <w:t xml:space="preserve"> </w:t>
            </w:r>
            <w:r>
              <w:rPr>
                <w:rFonts w:cs="Arial"/>
                <w:color w:val="0D0D0D"/>
                <w:spacing w:val="-4"/>
              </w:rPr>
              <w:t xml:space="preserve">s pokračujícím </w:t>
            </w:r>
            <w:r w:rsidRPr="00952517">
              <w:rPr>
                <w:rFonts w:cs="Arial"/>
                <w:color w:val="0D0D0D"/>
                <w:spacing w:val="-4"/>
              </w:rPr>
              <w:t>hospodářským růstem.</w:t>
            </w:r>
          </w:p>
          <w:p w:rsidR="008A03DE" w:rsidRPr="00F47CD6" w:rsidRDefault="008A03DE" w:rsidP="008A03DE">
            <w:pPr>
              <w:pStyle w:val="Textpoznpodarou"/>
              <w:jc w:val="both"/>
              <w:rPr>
                <w:rFonts w:cs="Arial"/>
                <w:color w:val="0D0D0D"/>
                <w:spacing w:val="-4"/>
                <w:sz w:val="16"/>
                <w:szCs w:val="16"/>
              </w:rPr>
            </w:pPr>
          </w:p>
        </w:tc>
      </w:tr>
      <w:tr w:rsidR="008A03DE" w:rsidRPr="00A90EFD" w:rsidTr="008A03DE">
        <w:tc>
          <w:tcPr>
            <w:tcW w:w="1054" w:type="pct"/>
          </w:tcPr>
          <w:p w:rsidR="008A03DE" w:rsidRPr="00105ED0" w:rsidRDefault="008A03DE" w:rsidP="008A03DE">
            <w:pPr>
              <w:spacing w:line="240" w:lineRule="auto"/>
              <w:rPr>
                <w:rFonts w:cs="Arial"/>
                <w:bCs/>
                <w:iCs/>
                <w:color w:val="0D0D0D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/>
                <w:sz w:val="16"/>
                <w:szCs w:val="16"/>
              </w:rPr>
              <w:t xml:space="preserve">Inkaso daně z příjmů právnických osob rostlo nejrychleji od konjunkturního roku 2008, </w:t>
            </w:r>
            <w:r w:rsidRPr="00875898">
              <w:rPr>
                <w:rFonts w:cs="Arial"/>
                <w:spacing w:val="-4"/>
                <w:sz w:val="16"/>
                <w:szCs w:val="16"/>
              </w:rPr>
              <w:t>těžilo</w:t>
            </w:r>
            <w:r>
              <w:rPr>
                <w:rFonts w:cs="Arial"/>
                <w:spacing w:val="-4"/>
                <w:sz w:val="16"/>
                <w:szCs w:val="16"/>
              </w:rPr>
              <w:t xml:space="preserve"> hlavně ze</w:t>
            </w:r>
            <w:r w:rsidRPr="00875898">
              <w:rPr>
                <w:rFonts w:cs="Arial"/>
                <w:spacing w:val="-4"/>
                <w:sz w:val="16"/>
                <w:szCs w:val="16"/>
              </w:rPr>
              <w:t xml:space="preserve"> sílících zisků podniků </w:t>
            </w:r>
            <w:r>
              <w:rPr>
                <w:rFonts w:cs="Arial"/>
                <w:spacing w:val="-4"/>
                <w:sz w:val="16"/>
                <w:szCs w:val="16"/>
              </w:rPr>
              <w:t>v letech 2014 a</w:t>
            </w:r>
            <w:r w:rsidR="000117CA">
              <w:rPr>
                <w:rFonts w:cs="Arial"/>
                <w:color w:val="0D0D0D"/>
                <w:spacing w:val="-4"/>
                <w:sz w:val="16"/>
                <w:szCs w:val="16"/>
              </w:rPr>
              <w:t> </w:t>
            </w:r>
            <w:r>
              <w:rPr>
                <w:rFonts w:cs="Arial"/>
                <w:spacing w:val="-4"/>
                <w:sz w:val="16"/>
                <w:szCs w:val="16"/>
              </w:rPr>
              <w:t>2015.</w:t>
            </w:r>
          </w:p>
        </w:tc>
        <w:tc>
          <w:tcPr>
            <w:tcW w:w="142" w:type="pct"/>
          </w:tcPr>
          <w:p w:rsidR="008A03DE" w:rsidRPr="00A90EFD" w:rsidRDefault="008A03DE" w:rsidP="008A03DE">
            <w:pPr>
              <w:pStyle w:val="Textpoznpodarou"/>
              <w:jc w:val="both"/>
              <w:rPr>
                <w:rFonts w:cs="Arial"/>
                <w:color w:val="0D0D0D"/>
              </w:rPr>
            </w:pPr>
          </w:p>
        </w:tc>
        <w:tc>
          <w:tcPr>
            <w:tcW w:w="3804" w:type="pct"/>
          </w:tcPr>
          <w:p w:rsidR="008A03DE" w:rsidRPr="00A02216" w:rsidRDefault="008A03DE" w:rsidP="008A03DE">
            <w:pPr>
              <w:pStyle w:val="Textpoznpodarou"/>
              <w:jc w:val="both"/>
              <w:rPr>
                <w:rFonts w:cs="Arial"/>
                <w:color w:val="0D0D0D"/>
                <w:spacing w:val="-4"/>
              </w:rPr>
            </w:pPr>
            <w:r>
              <w:rPr>
                <w:rFonts w:cs="Arial"/>
                <w:color w:val="0D0D0D"/>
                <w:spacing w:val="-4"/>
              </w:rPr>
              <w:t xml:space="preserve">Celostátní výběr </w:t>
            </w:r>
            <w:proofErr w:type="spellStart"/>
            <w:r>
              <w:rPr>
                <w:rFonts w:cs="Arial"/>
                <w:color w:val="0D0D0D"/>
                <w:spacing w:val="-4"/>
              </w:rPr>
              <w:t>korporátních</w:t>
            </w:r>
            <w:proofErr w:type="spellEnd"/>
            <w:r>
              <w:rPr>
                <w:rFonts w:cs="Arial"/>
                <w:color w:val="0D0D0D"/>
                <w:spacing w:val="-4"/>
              </w:rPr>
              <w:t xml:space="preserve"> daní pokračoval ve svižném růstu. V roce 2016 ještě zrychlil na 11,7 % (z předloňských 11,4 %) a téměř o celou desetinu (14,5 mld. korun) překonal rozpočtová očekávání. Na rozdíl od ostatních daní nebyl za posledních pět let významně ovlivněn legislativními vlivy a zřetelněji tak odrážel příznivý vývoj míry zisku podniků po roce 2013. Navzdory tomu se loňský výběr daně (164,7 mld.) stále nacházel o desetinu pod svým předkrizovým maximem z roku 2008</w:t>
            </w:r>
            <w:r>
              <w:rPr>
                <w:rStyle w:val="Znakapoznpodarou"/>
                <w:color w:val="0D0D0D"/>
                <w:spacing w:val="-4"/>
              </w:rPr>
              <w:footnoteReference w:id="3"/>
            </w:r>
            <w:r>
              <w:rPr>
                <w:rFonts w:cs="Arial"/>
                <w:color w:val="0D0D0D"/>
                <w:spacing w:val="-4"/>
              </w:rPr>
              <w:t>.</w:t>
            </w:r>
          </w:p>
          <w:p w:rsidR="008A03DE" w:rsidRPr="00F47CD6" w:rsidRDefault="008A03DE" w:rsidP="008A03DE">
            <w:pPr>
              <w:pStyle w:val="Textpoznpodarou"/>
              <w:jc w:val="both"/>
              <w:rPr>
                <w:rFonts w:cs="Arial"/>
                <w:color w:val="0D0D0D"/>
                <w:spacing w:val="-4"/>
                <w:sz w:val="16"/>
                <w:szCs w:val="16"/>
              </w:rPr>
            </w:pPr>
          </w:p>
        </w:tc>
      </w:tr>
      <w:tr w:rsidR="008A03DE" w:rsidRPr="00A90EFD" w:rsidTr="008A03DE">
        <w:tc>
          <w:tcPr>
            <w:tcW w:w="1054" w:type="pct"/>
          </w:tcPr>
          <w:p w:rsidR="008A03DE" w:rsidRPr="00997D4E" w:rsidRDefault="008A03DE" w:rsidP="008A03DE">
            <w:pPr>
              <w:spacing w:line="240" w:lineRule="auto"/>
              <w:rPr>
                <w:rFonts w:cs="Arial"/>
                <w:bCs/>
                <w:iCs/>
                <w:color w:val="0D0D0D"/>
                <w:spacing w:val="-4"/>
                <w:sz w:val="16"/>
                <w:szCs w:val="16"/>
              </w:rPr>
            </w:pPr>
            <w:r w:rsidRPr="00997D4E">
              <w:rPr>
                <w:rFonts w:cs="Arial"/>
                <w:bCs/>
                <w:iCs/>
                <w:color w:val="0D0D0D"/>
                <w:spacing w:val="-4"/>
                <w:sz w:val="16"/>
                <w:szCs w:val="16"/>
              </w:rPr>
              <w:t>Inkaso DPFO ze závislé činnosti rostlo nejvíce od roku 2007 vlivem velmi dobré kondice pracovního trhu, zvýšil se i výběr daně od podnikajících fyzických osob…</w:t>
            </w:r>
          </w:p>
          <w:p w:rsidR="008A03DE" w:rsidRPr="00997D4E" w:rsidRDefault="008A03DE" w:rsidP="008A03DE">
            <w:pPr>
              <w:spacing w:line="240" w:lineRule="auto"/>
              <w:rPr>
                <w:rFonts w:cs="Arial"/>
                <w:bCs/>
                <w:iCs/>
                <w:color w:val="0D0D0D"/>
                <w:spacing w:val="-4"/>
                <w:sz w:val="16"/>
                <w:szCs w:val="16"/>
              </w:rPr>
            </w:pPr>
          </w:p>
          <w:p w:rsidR="008A03DE" w:rsidRPr="00B47686" w:rsidRDefault="008A03DE" w:rsidP="008A03DE">
            <w:pPr>
              <w:spacing w:line="240" w:lineRule="auto"/>
              <w:rPr>
                <w:rFonts w:cs="Arial"/>
                <w:bCs/>
                <w:iCs/>
                <w:color w:val="0D0D0D"/>
                <w:spacing w:val="-2"/>
                <w:sz w:val="16"/>
                <w:szCs w:val="16"/>
              </w:rPr>
            </w:pPr>
            <w:r w:rsidRPr="00997D4E">
              <w:rPr>
                <w:rFonts w:cs="Arial"/>
                <w:bCs/>
                <w:iCs/>
                <w:color w:val="0D0D0D"/>
                <w:spacing w:val="-4"/>
                <w:sz w:val="16"/>
                <w:szCs w:val="16"/>
              </w:rPr>
              <w:t>…naopak dynamika u DPFO z kapitálových výnosů byla střídmá</w:t>
            </w:r>
            <w:r>
              <w:rPr>
                <w:rFonts w:cs="Arial"/>
                <w:bCs/>
                <w:iCs/>
                <w:color w:val="0D0D0D"/>
                <w:spacing w:val="-4"/>
                <w:sz w:val="16"/>
                <w:szCs w:val="16"/>
              </w:rPr>
              <w:t xml:space="preserve"> a zůstala těsně za rozpočtovým</w:t>
            </w:r>
            <w:r w:rsidRPr="00997D4E">
              <w:rPr>
                <w:rFonts w:cs="Arial"/>
                <w:bCs/>
                <w:iCs/>
                <w:color w:val="0D0D0D"/>
                <w:spacing w:val="-4"/>
                <w:sz w:val="16"/>
                <w:szCs w:val="16"/>
              </w:rPr>
              <w:t xml:space="preserve"> očekáváním</w:t>
            </w:r>
            <w:r>
              <w:rPr>
                <w:rFonts w:cs="Arial"/>
                <w:bCs/>
                <w:iCs/>
                <w:color w:val="0D0D0D"/>
                <w:spacing w:val="-4"/>
                <w:sz w:val="16"/>
                <w:szCs w:val="16"/>
              </w:rPr>
              <w:t>.</w:t>
            </w:r>
          </w:p>
        </w:tc>
        <w:tc>
          <w:tcPr>
            <w:tcW w:w="142" w:type="pct"/>
          </w:tcPr>
          <w:p w:rsidR="008A03DE" w:rsidRPr="00807B25" w:rsidRDefault="008A03DE" w:rsidP="008A03DE">
            <w:pPr>
              <w:pStyle w:val="Textpoznpodarou"/>
              <w:jc w:val="both"/>
              <w:rPr>
                <w:rFonts w:cs="Arial"/>
                <w:color w:val="0D0D0D"/>
                <w:spacing w:val="-4"/>
              </w:rPr>
            </w:pPr>
          </w:p>
        </w:tc>
        <w:tc>
          <w:tcPr>
            <w:tcW w:w="3804" w:type="pct"/>
          </w:tcPr>
          <w:p w:rsidR="008A03DE" w:rsidRDefault="008A03DE" w:rsidP="008A03DE">
            <w:pPr>
              <w:pStyle w:val="Textpoznpodarou"/>
              <w:jc w:val="both"/>
              <w:rPr>
                <w:rFonts w:cs="Arial"/>
                <w:spacing w:val="-4"/>
              </w:rPr>
            </w:pPr>
            <w:r>
              <w:rPr>
                <w:rFonts w:cs="Arial"/>
                <w:spacing w:val="-4"/>
              </w:rPr>
              <w:t xml:space="preserve">Meziroční tempo celostátního výběru daní z příjmu fyzických osob (DPFO) se více než zdvojnásobilo (na 11,7 %), primárně vlivem daňových odvodů ze závislé činnosti. </w:t>
            </w:r>
            <w:r w:rsidRPr="009B3790">
              <w:rPr>
                <w:rFonts w:cs="Arial"/>
                <w:spacing w:val="-4"/>
              </w:rPr>
              <w:t>Přispěl k tomu</w:t>
            </w:r>
            <w:r>
              <w:rPr>
                <w:rFonts w:cs="Arial"/>
                <w:spacing w:val="-4"/>
              </w:rPr>
              <w:t xml:space="preserve"> rekordní počet pracujících podpořený i nadále pokračující redukcí počtu nezaměstnaných, jakož i sílící mzdová d</w:t>
            </w:r>
            <w:r w:rsidR="000916B1">
              <w:rPr>
                <w:rFonts w:cs="Arial"/>
                <w:spacing w:val="-4"/>
              </w:rPr>
              <w:t>ynamika ve většině odvětví</w:t>
            </w:r>
            <w:r>
              <w:rPr>
                <w:rStyle w:val="Znakapoznpodarou"/>
                <w:spacing w:val="-4"/>
              </w:rPr>
              <w:footnoteReference w:id="4"/>
            </w:r>
            <w:r w:rsidR="000916B1">
              <w:rPr>
                <w:rFonts w:cs="Arial"/>
                <w:spacing w:val="-4"/>
              </w:rPr>
              <w:t>.</w:t>
            </w:r>
            <w:r>
              <w:rPr>
                <w:rFonts w:cs="Arial"/>
                <w:spacing w:val="-4"/>
              </w:rPr>
              <w:t xml:space="preserve"> Citelně se vloni navýšil i výběr DPFO na základě přiznání (na téměř 7 mld., nejvyšší inkaso od roku 2010), což souviselo nejen se ziskovostí podnik</w:t>
            </w:r>
            <w:r w:rsidR="000916B1">
              <w:rPr>
                <w:rFonts w:cs="Arial"/>
                <w:spacing w:val="-4"/>
              </w:rPr>
              <w:t>ajících fyzických osob, nýbrž i</w:t>
            </w:r>
            <w:r w:rsidR="000916B1" w:rsidRPr="009B3790">
              <w:rPr>
                <w:rFonts w:cs="Arial"/>
                <w:spacing w:val="-4"/>
              </w:rPr>
              <w:t> </w:t>
            </w:r>
            <w:r>
              <w:rPr>
                <w:rFonts w:cs="Arial"/>
                <w:spacing w:val="-4"/>
              </w:rPr>
              <w:t>s omezením výše výdajových paušálů. Podobně jako v roce 2015 pokračoval i vloni dvojciferný růst výběru daně z nabytí nemovitých věcí poukazující na další oživení realitního trhu vlivem rostoucích disponibilních příjmů domácností i přetrvávajících nízkých úrokových sazeb.</w:t>
            </w:r>
          </w:p>
          <w:p w:rsidR="008A03DE" w:rsidRPr="00F47CD6" w:rsidRDefault="008A03DE" w:rsidP="008A03DE">
            <w:pPr>
              <w:pStyle w:val="Textpoznpodarou"/>
              <w:jc w:val="both"/>
              <w:rPr>
                <w:rFonts w:cs="Arial"/>
                <w:spacing w:val="-4"/>
                <w:sz w:val="16"/>
                <w:szCs w:val="16"/>
              </w:rPr>
            </w:pPr>
          </w:p>
        </w:tc>
      </w:tr>
      <w:tr w:rsidR="008A03DE" w:rsidRPr="00A90EFD" w:rsidTr="008A03DE">
        <w:tc>
          <w:tcPr>
            <w:tcW w:w="1054" w:type="pct"/>
          </w:tcPr>
          <w:p w:rsidR="008A03DE" w:rsidRPr="00E63C7F" w:rsidRDefault="008A03DE" w:rsidP="008A03DE">
            <w:pPr>
              <w:spacing w:line="240" w:lineRule="auto"/>
              <w:rPr>
                <w:rFonts w:cs="Arial"/>
                <w:bCs/>
                <w:iCs/>
                <w:color w:val="0D0D0D"/>
                <w:spacing w:val="-2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/>
                <w:spacing w:val="-2"/>
                <w:sz w:val="16"/>
                <w:szCs w:val="16"/>
              </w:rPr>
              <w:t>Rekordní hloubka poklesu celkových výdajů SR vlivem meziročního propadu investic, ale i střídmého růstu běžných výdajů.</w:t>
            </w:r>
          </w:p>
        </w:tc>
        <w:tc>
          <w:tcPr>
            <w:tcW w:w="142" w:type="pct"/>
          </w:tcPr>
          <w:p w:rsidR="008A03DE" w:rsidRPr="00F77F65" w:rsidRDefault="008A03DE" w:rsidP="008A03DE">
            <w:pPr>
              <w:pStyle w:val="Textpoznpodarou"/>
              <w:jc w:val="both"/>
              <w:rPr>
                <w:rFonts w:cs="Arial"/>
                <w:color w:val="0D0D0D"/>
                <w:spacing w:val="-4"/>
              </w:rPr>
            </w:pPr>
          </w:p>
        </w:tc>
        <w:tc>
          <w:tcPr>
            <w:tcW w:w="3804" w:type="pct"/>
          </w:tcPr>
          <w:p w:rsidR="001857D6" w:rsidRDefault="008A03DE" w:rsidP="008A03DE">
            <w:pPr>
              <w:pStyle w:val="Textpoznpodarou"/>
              <w:jc w:val="both"/>
              <w:rPr>
                <w:rFonts w:cs="Arial"/>
                <w:color w:val="0D0D0D"/>
                <w:spacing w:val="-4"/>
              </w:rPr>
            </w:pPr>
            <w:r>
              <w:rPr>
                <w:rFonts w:cs="Arial"/>
                <w:color w:val="0D0D0D"/>
                <w:spacing w:val="-4"/>
              </w:rPr>
              <w:t>Celkové výdaje SR se vloni snížily o 6,0 %. Jednalo se o nejhlubší meziroční pokles výdajů v éře samostatné ČR. Prudký, avšak rozpočtově očekávaný propad investic (o 52 % meziročně) nebyl kompenzován odpovídajícím růstem běžných výdajů – ty posílily o 1,2 % (nejméně za poslední čtyři roky), když výrazná většina dílčích výdajů (vč. důchodů či ostatních sociálních dávek) nenaplnila rozpočtová očekávání.</w:t>
            </w:r>
          </w:p>
          <w:p w:rsidR="008A03DE" w:rsidRPr="00F47CD6" w:rsidRDefault="008A03DE" w:rsidP="008A03DE">
            <w:pPr>
              <w:pStyle w:val="Textpoznpodarou"/>
              <w:jc w:val="both"/>
              <w:rPr>
                <w:rFonts w:cs="Arial"/>
                <w:color w:val="0D0D0D"/>
                <w:spacing w:val="-4"/>
                <w:sz w:val="16"/>
                <w:szCs w:val="16"/>
              </w:rPr>
            </w:pPr>
            <w:r>
              <w:rPr>
                <w:rFonts w:cs="Arial"/>
                <w:color w:val="0D0D0D"/>
                <w:spacing w:val="-4"/>
              </w:rPr>
              <w:t xml:space="preserve"> </w:t>
            </w:r>
          </w:p>
        </w:tc>
      </w:tr>
      <w:tr w:rsidR="008A03DE" w:rsidRPr="00A90EFD" w:rsidTr="008A03DE">
        <w:tc>
          <w:tcPr>
            <w:tcW w:w="1054" w:type="pct"/>
          </w:tcPr>
          <w:p w:rsidR="008A03DE" w:rsidRPr="00F745A4" w:rsidRDefault="008A03DE" w:rsidP="008A03DE">
            <w:pPr>
              <w:spacing w:line="240" w:lineRule="auto"/>
              <w:rPr>
                <w:rFonts w:cs="Arial"/>
                <w:bCs/>
                <w:iCs/>
                <w:color w:val="0D0D0D"/>
                <w:spacing w:val="-4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/>
                <w:spacing w:val="-4"/>
                <w:sz w:val="16"/>
                <w:szCs w:val="16"/>
              </w:rPr>
              <w:lastRenderedPageBreak/>
              <w:t>Podíl investic na všech výdajích SR vloni poklesl pod 7 %, při zohlednění mimořádného roku 2015 však plně zapadá do dlouhodobého vývoje.</w:t>
            </w:r>
          </w:p>
        </w:tc>
        <w:tc>
          <w:tcPr>
            <w:tcW w:w="142" w:type="pct"/>
          </w:tcPr>
          <w:p w:rsidR="008A03DE" w:rsidRPr="00782BA5" w:rsidRDefault="008A03DE" w:rsidP="008A03DE">
            <w:pPr>
              <w:pStyle w:val="Textpoznpodarou"/>
              <w:jc w:val="both"/>
              <w:rPr>
                <w:rFonts w:cs="Arial"/>
                <w:color w:val="000000"/>
                <w:spacing w:val="-4"/>
              </w:rPr>
            </w:pPr>
          </w:p>
        </w:tc>
        <w:tc>
          <w:tcPr>
            <w:tcW w:w="3804" w:type="pct"/>
          </w:tcPr>
          <w:p w:rsidR="008A03DE" w:rsidRPr="00BC6F32" w:rsidRDefault="008A03DE" w:rsidP="008A03DE">
            <w:pPr>
              <w:pStyle w:val="Textpoznpodarou"/>
              <w:jc w:val="both"/>
              <w:rPr>
                <w:rFonts w:cs="Arial"/>
                <w:color w:val="000000"/>
                <w:spacing w:val="-4"/>
              </w:rPr>
            </w:pPr>
            <w:r>
              <w:rPr>
                <w:rFonts w:cs="Arial"/>
                <w:color w:val="000000"/>
                <w:spacing w:val="-4"/>
              </w:rPr>
              <w:t>Prudký pokles kapitálových výdajů (o 91 mld. korun) souvisel s mimořádně vysokou základnou roku 2015 a také s očekávaným pomalejším čerpáním prostředků na společné projekty ČR a EU na startu nového programového období</w:t>
            </w:r>
            <w:r>
              <w:rPr>
                <w:rStyle w:val="Znakapoznpodarou"/>
                <w:color w:val="000000"/>
                <w:spacing w:val="-4"/>
              </w:rPr>
              <w:footnoteReference w:id="5"/>
            </w:r>
            <w:r>
              <w:rPr>
                <w:rFonts w:cs="Arial"/>
                <w:color w:val="000000"/>
                <w:spacing w:val="-4"/>
              </w:rPr>
              <w:t>. Mírné zrychlení toku investic na sklonku loňského roku zajistilo dosažení státním rozpočtem očekávané celoroční částky. Podíl investic na celkových rozpočtových výdajích loni klesl na rekordně nízkých 6,9 %. Pokud bychom však zohlednili i rok 2015, pak by obdobný podíl v tomto dvouletém období nijak nevybočoval z dlouhodobé úrovně</w:t>
            </w:r>
            <w:r>
              <w:rPr>
                <w:rStyle w:val="Znakapoznpodarou"/>
                <w:color w:val="000000"/>
                <w:spacing w:val="-4"/>
              </w:rPr>
              <w:footnoteReference w:id="6"/>
            </w:r>
            <w:r>
              <w:rPr>
                <w:rFonts w:cs="Arial"/>
                <w:color w:val="000000"/>
                <w:spacing w:val="-4"/>
              </w:rPr>
              <w:t xml:space="preserve">.  </w:t>
            </w:r>
          </w:p>
          <w:p w:rsidR="008A03DE" w:rsidRPr="00F47CD6" w:rsidRDefault="008A03DE" w:rsidP="008A03DE">
            <w:pPr>
              <w:pStyle w:val="Textpoznpodarou"/>
              <w:jc w:val="both"/>
              <w:rPr>
                <w:rFonts w:cs="Arial"/>
                <w:color w:val="000000"/>
                <w:spacing w:val="-4"/>
                <w:sz w:val="15"/>
                <w:szCs w:val="15"/>
              </w:rPr>
            </w:pPr>
          </w:p>
        </w:tc>
      </w:tr>
      <w:tr w:rsidR="008A03DE" w:rsidRPr="00A90EFD" w:rsidTr="008A03DE">
        <w:tc>
          <w:tcPr>
            <w:tcW w:w="1054" w:type="pct"/>
          </w:tcPr>
          <w:p w:rsidR="008A03DE" w:rsidRPr="006E7FAA" w:rsidRDefault="008A03DE" w:rsidP="008A03DE">
            <w:pPr>
              <w:spacing w:line="240" w:lineRule="auto"/>
              <w:rPr>
                <w:rFonts w:cs="Arial"/>
                <w:color w:val="0D0D0D"/>
                <w:spacing w:val="-2"/>
                <w:sz w:val="16"/>
                <w:szCs w:val="16"/>
              </w:rPr>
            </w:pPr>
            <w:r>
              <w:rPr>
                <w:rFonts w:cs="Arial"/>
                <w:color w:val="0D0D0D"/>
                <w:spacing w:val="-2"/>
                <w:sz w:val="16"/>
                <w:szCs w:val="16"/>
              </w:rPr>
              <w:t>Umírněný růst výdajů na důchody v kombinaci s dynamickým růstem výběru povinného pojistného vyústil v nejnižší deficit důchodového účtu za posledních osm let.</w:t>
            </w:r>
          </w:p>
        </w:tc>
        <w:tc>
          <w:tcPr>
            <w:tcW w:w="142" w:type="pct"/>
          </w:tcPr>
          <w:p w:rsidR="008A03DE" w:rsidRPr="00A90EFD" w:rsidRDefault="008A03DE" w:rsidP="008A03DE">
            <w:pPr>
              <w:pStyle w:val="Textpoznpodarou"/>
              <w:jc w:val="both"/>
              <w:rPr>
                <w:rFonts w:cs="Arial"/>
                <w:color w:val="0D0D0D"/>
              </w:rPr>
            </w:pPr>
          </w:p>
        </w:tc>
        <w:tc>
          <w:tcPr>
            <w:tcW w:w="3804" w:type="pct"/>
          </w:tcPr>
          <w:p w:rsidR="008A03DE" w:rsidRPr="009B3790" w:rsidRDefault="000117CA" w:rsidP="008A03DE">
            <w:pPr>
              <w:pStyle w:val="Textpoznpodarou"/>
              <w:jc w:val="both"/>
              <w:rPr>
                <w:rFonts w:cs="Arial"/>
                <w:color w:val="0D0D0D"/>
                <w:spacing w:val="-4"/>
              </w:rPr>
            </w:pPr>
            <w:r>
              <w:rPr>
                <w:rFonts w:cs="Arial"/>
                <w:color w:val="0D0D0D"/>
                <w:spacing w:val="-4"/>
              </w:rPr>
              <w:t>Plných 45 % běžných výdajů</w:t>
            </w:r>
            <w:r w:rsidR="008A03DE" w:rsidRPr="009B3790">
              <w:rPr>
                <w:rFonts w:cs="Arial"/>
                <w:color w:val="0D0D0D"/>
                <w:spacing w:val="-4"/>
              </w:rPr>
              <w:t xml:space="preserve"> směřovalo </w:t>
            </w:r>
            <w:r>
              <w:rPr>
                <w:rFonts w:cs="Arial"/>
                <w:color w:val="0D0D0D"/>
                <w:spacing w:val="-4"/>
              </w:rPr>
              <w:t xml:space="preserve">loni </w:t>
            </w:r>
            <w:r w:rsidR="008A03DE" w:rsidRPr="009B3790">
              <w:rPr>
                <w:rFonts w:cs="Arial"/>
                <w:color w:val="0D0D0D"/>
                <w:spacing w:val="-4"/>
              </w:rPr>
              <w:t>na sociální dávky, z nichž dominantní část tradičně tvořily výdaje na důchody. Ty i díky jednorázovému únorovému příspěvku (v</w:t>
            </w:r>
            <w:r w:rsidR="008A03DE" w:rsidRPr="009B3790">
              <w:rPr>
                <w:rFonts w:cs="Arial"/>
                <w:color w:val="000000"/>
                <w:spacing w:val="-4"/>
              </w:rPr>
              <w:t> </w:t>
            </w:r>
            <w:r w:rsidR="008A03DE" w:rsidRPr="009B3790">
              <w:rPr>
                <w:rFonts w:cs="Arial"/>
                <w:color w:val="0D0D0D"/>
                <w:spacing w:val="-4"/>
              </w:rPr>
              <w:t>úhrnné výši 3,5 mld. korun) meziročně posílily o 1,0 %. V roce 2015 však byla meziroční dynamika silnější (2,4 %), neboť reflektovala vyšší výdaje v souvislosti s návratem k tradičnímu valorizačnímu schématu důchodů</w:t>
            </w:r>
            <w:r w:rsidR="008A03DE" w:rsidRPr="009B3790">
              <w:rPr>
                <w:rStyle w:val="Znakapoznpodarou"/>
                <w:color w:val="0D0D0D"/>
                <w:spacing w:val="-4"/>
              </w:rPr>
              <w:footnoteReference w:id="7"/>
            </w:r>
            <w:r w:rsidR="008A03DE" w:rsidRPr="009B3790">
              <w:rPr>
                <w:rFonts w:cs="Arial"/>
                <w:color w:val="0D0D0D"/>
                <w:spacing w:val="-4"/>
              </w:rPr>
              <w:t xml:space="preserve">. </w:t>
            </w:r>
            <w:r w:rsidR="008A03DE">
              <w:rPr>
                <w:rFonts w:cs="Arial"/>
                <w:color w:val="0D0D0D"/>
                <w:spacing w:val="-4"/>
              </w:rPr>
              <w:t>V l</w:t>
            </w:r>
            <w:r w:rsidR="008A03DE" w:rsidRPr="009B3790">
              <w:rPr>
                <w:rFonts w:cs="Arial"/>
                <w:color w:val="0D0D0D"/>
                <w:spacing w:val="-4"/>
              </w:rPr>
              <w:t>oňské</w:t>
            </w:r>
            <w:r w:rsidR="008A03DE">
              <w:rPr>
                <w:rFonts w:cs="Arial"/>
                <w:color w:val="0D0D0D"/>
                <w:spacing w:val="-4"/>
              </w:rPr>
              <w:t>m tempu</w:t>
            </w:r>
            <w:r w:rsidR="008A03DE" w:rsidRPr="009B3790">
              <w:rPr>
                <w:rFonts w:cs="Arial"/>
                <w:color w:val="0D0D0D"/>
                <w:spacing w:val="-4"/>
              </w:rPr>
              <w:t xml:space="preserve"> </w:t>
            </w:r>
            <w:r w:rsidR="008A03DE">
              <w:rPr>
                <w:rFonts w:cs="Arial"/>
                <w:color w:val="0D0D0D"/>
                <w:spacing w:val="-4"/>
              </w:rPr>
              <w:t xml:space="preserve">objemu </w:t>
            </w:r>
            <w:r w:rsidR="008A03DE" w:rsidRPr="009B3790">
              <w:rPr>
                <w:rFonts w:cs="Arial"/>
                <w:color w:val="0D0D0D"/>
                <w:spacing w:val="-4"/>
              </w:rPr>
              <w:t>v</w:t>
            </w:r>
            <w:r w:rsidR="008A03DE">
              <w:rPr>
                <w:rFonts w:cs="Arial"/>
                <w:color w:val="0D0D0D"/>
                <w:spacing w:val="-4"/>
              </w:rPr>
              <w:t>ýdajů na důchody se projevilo i</w:t>
            </w:r>
            <w:r w:rsidR="008A03DE" w:rsidRPr="009B3790">
              <w:rPr>
                <w:rFonts w:cs="Arial"/>
                <w:color w:val="0D0D0D"/>
                <w:spacing w:val="-4"/>
              </w:rPr>
              <w:t xml:space="preserve"> mírné navýš</w:t>
            </w:r>
            <w:r w:rsidR="00EA78FE">
              <w:rPr>
                <w:rFonts w:cs="Arial"/>
                <w:color w:val="0D0D0D"/>
                <w:spacing w:val="-4"/>
              </w:rPr>
              <w:t>ení počtu jejich příjemců (+0,3</w:t>
            </w:r>
            <w:r w:rsidR="00EA78FE" w:rsidRPr="009B3790">
              <w:rPr>
                <w:rFonts w:cs="Arial"/>
                <w:color w:val="0D0D0D"/>
                <w:spacing w:val="-4"/>
              </w:rPr>
              <w:t> </w:t>
            </w:r>
            <w:r w:rsidR="008A03DE" w:rsidRPr="009B3790">
              <w:rPr>
                <w:rFonts w:cs="Arial"/>
                <w:color w:val="0D0D0D"/>
                <w:spacing w:val="-4"/>
              </w:rPr>
              <w:t>%). Dynamičtěji se navyšoval počet osob s trvale kráceným starobním důchodem, jejich podíl ze všech příjemců starobního d</w:t>
            </w:r>
            <w:r w:rsidR="00EA78FE">
              <w:rPr>
                <w:rFonts w:cs="Arial"/>
                <w:color w:val="0D0D0D"/>
                <w:spacing w:val="-4"/>
              </w:rPr>
              <w:t>ůchodu loni poprvé překročil 25</w:t>
            </w:r>
            <w:r w:rsidR="00EA78FE" w:rsidRPr="009B3790">
              <w:rPr>
                <w:rFonts w:cs="Arial"/>
                <w:color w:val="0D0D0D"/>
                <w:spacing w:val="-4"/>
              </w:rPr>
              <w:t> </w:t>
            </w:r>
            <w:r w:rsidR="008A03DE" w:rsidRPr="009B3790">
              <w:rPr>
                <w:rFonts w:cs="Arial"/>
                <w:color w:val="0D0D0D"/>
                <w:spacing w:val="-4"/>
              </w:rPr>
              <w:t xml:space="preserve">%. </w:t>
            </w:r>
            <w:r w:rsidR="008A03DE" w:rsidRPr="009B3790">
              <w:rPr>
                <w:rFonts w:cs="Arial"/>
                <w:color w:val="000000"/>
                <w:spacing w:val="-4"/>
              </w:rPr>
              <w:t>Deficit salda důchodového účtu (rozdíl mezi příjmy a výdaji na důchody ze SR) dosáhl 16,5 mld. korun a proti roku 2015 se zredukoval o více než polovinu.</w:t>
            </w:r>
          </w:p>
          <w:p w:rsidR="008A03DE" w:rsidRPr="00952517" w:rsidRDefault="008A03DE" w:rsidP="008A03DE">
            <w:pPr>
              <w:pStyle w:val="Textpoznpodarou"/>
              <w:jc w:val="both"/>
              <w:rPr>
                <w:rFonts w:cs="Arial"/>
                <w:color w:val="0D0D0D"/>
                <w:spacing w:val="-4"/>
                <w:sz w:val="15"/>
                <w:szCs w:val="15"/>
              </w:rPr>
            </w:pPr>
          </w:p>
        </w:tc>
      </w:tr>
      <w:tr w:rsidR="008A03DE" w:rsidRPr="00A90EFD" w:rsidTr="008A03DE">
        <w:tc>
          <w:tcPr>
            <w:tcW w:w="1054" w:type="pct"/>
          </w:tcPr>
          <w:p w:rsidR="008A03DE" w:rsidRDefault="008A03DE" w:rsidP="008A03DE">
            <w:pPr>
              <w:spacing w:line="240" w:lineRule="auto"/>
              <w:rPr>
                <w:rFonts w:cs="Arial"/>
                <w:bCs/>
                <w:iCs/>
                <w:color w:val="0D0D0D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/>
                <w:sz w:val="16"/>
                <w:szCs w:val="16"/>
              </w:rPr>
              <w:t>Výdaje na ostatní sociální dávky (bez důchodů) byly meziročně o 2,7 % vyšší, především</w:t>
            </w:r>
            <w:r w:rsidRPr="00335468">
              <w:rPr>
                <w:rFonts w:cs="Arial"/>
                <w:bCs/>
                <w:iCs/>
                <w:color w:val="0D0D0D"/>
                <w:sz w:val="16"/>
                <w:szCs w:val="16"/>
              </w:rPr>
              <w:t xml:space="preserve"> vlivem </w:t>
            </w:r>
            <w:r>
              <w:rPr>
                <w:rFonts w:cs="Arial"/>
                <w:bCs/>
                <w:iCs/>
                <w:color w:val="0D0D0D"/>
                <w:sz w:val="16"/>
                <w:szCs w:val="16"/>
              </w:rPr>
              <w:t xml:space="preserve">vyšších </w:t>
            </w:r>
            <w:r w:rsidRPr="00335468">
              <w:rPr>
                <w:rFonts w:cs="Arial"/>
                <w:bCs/>
                <w:iCs/>
                <w:color w:val="0D0D0D"/>
                <w:sz w:val="16"/>
                <w:szCs w:val="16"/>
              </w:rPr>
              <w:t>nemocenských dávek</w:t>
            </w:r>
            <w:r>
              <w:rPr>
                <w:rFonts w:cs="Arial"/>
                <w:bCs/>
                <w:iCs/>
                <w:color w:val="0D0D0D"/>
                <w:sz w:val="16"/>
                <w:szCs w:val="16"/>
              </w:rPr>
              <w:t>.</w:t>
            </w:r>
          </w:p>
          <w:p w:rsidR="008A03DE" w:rsidRDefault="008A03DE" w:rsidP="008A03DE">
            <w:pPr>
              <w:spacing w:line="240" w:lineRule="auto"/>
              <w:rPr>
                <w:rFonts w:cs="Arial"/>
                <w:bCs/>
                <w:iCs/>
                <w:color w:val="0D0D0D"/>
                <w:sz w:val="16"/>
                <w:szCs w:val="16"/>
              </w:rPr>
            </w:pPr>
          </w:p>
          <w:p w:rsidR="008A03DE" w:rsidRDefault="008A03DE" w:rsidP="008A03DE">
            <w:pPr>
              <w:spacing w:line="240" w:lineRule="auto"/>
              <w:rPr>
                <w:rFonts w:cs="Arial"/>
                <w:bCs/>
                <w:iCs/>
                <w:color w:val="0D0D0D"/>
                <w:sz w:val="16"/>
                <w:szCs w:val="16"/>
              </w:rPr>
            </w:pPr>
          </w:p>
          <w:p w:rsidR="008A03DE" w:rsidRDefault="008A03DE" w:rsidP="008A03DE">
            <w:pPr>
              <w:spacing w:line="240" w:lineRule="auto"/>
              <w:rPr>
                <w:rFonts w:cs="Arial"/>
                <w:bCs/>
                <w:iCs/>
                <w:color w:val="0D0D0D"/>
                <w:sz w:val="16"/>
                <w:szCs w:val="16"/>
              </w:rPr>
            </w:pPr>
          </w:p>
          <w:p w:rsidR="008A03DE" w:rsidRDefault="008A03DE" w:rsidP="008A03DE">
            <w:pPr>
              <w:spacing w:line="240" w:lineRule="auto"/>
              <w:rPr>
                <w:rFonts w:cs="Arial"/>
                <w:bCs/>
                <w:iCs/>
                <w:color w:val="0D0D0D"/>
                <w:sz w:val="16"/>
                <w:szCs w:val="16"/>
              </w:rPr>
            </w:pPr>
          </w:p>
          <w:p w:rsidR="008A03DE" w:rsidRPr="00EB0A9A" w:rsidRDefault="008A03DE" w:rsidP="008A03DE">
            <w:pPr>
              <w:spacing w:line="240" w:lineRule="auto"/>
              <w:rPr>
                <w:rFonts w:cs="Arial"/>
                <w:bCs/>
                <w:iCs/>
                <w:color w:val="0D0D0D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/>
                <w:sz w:val="16"/>
                <w:szCs w:val="16"/>
              </w:rPr>
              <w:t>Pokračující výraznější pokles dávek pomoci v hmotné nouzi dokládal zlepšující se finanční situaci domácností.</w:t>
            </w:r>
          </w:p>
        </w:tc>
        <w:tc>
          <w:tcPr>
            <w:tcW w:w="142" w:type="pct"/>
          </w:tcPr>
          <w:p w:rsidR="008A03DE" w:rsidRPr="00A90EFD" w:rsidRDefault="008A03DE" w:rsidP="008A03DE">
            <w:pPr>
              <w:pStyle w:val="Textpoznpodarou"/>
              <w:jc w:val="both"/>
              <w:rPr>
                <w:rFonts w:cs="Arial"/>
                <w:color w:val="0D0D0D"/>
              </w:rPr>
            </w:pPr>
          </w:p>
        </w:tc>
        <w:tc>
          <w:tcPr>
            <w:tcW w:w="3804" w:type="pct"/>
          </w:tcPr>
          <w:p w:rsidR="008A03DE" w:rsidRPr="006246AD" w:rsidRDefault="00EA78FE" w:rsidP="008A03DE">
            <w:pPr>
              <w:pStyle w:val="Textpoznpodarou"/>
              <w:jc w:val="both"/>
              <w:rPr>
                <w:rFonts w:cs="Arial"/>
                <w:color w:val="0D0D0D"/>
                <w:spacing w:val="-4"/>
              </w:rPr>
            </w:pPr>
            <w:r>
              <w:rPr>
                <w:rFonts w:cs="Arial"/>
                <w:color w:val="0D0D0D"/>
                <w:spacing w:val="-4"/>
              </w:rPr>
              <w:t>Na rozdíl od roku 2015</w:t>
            </w:r>
            <w:r w:rsidR="008A03DE">
              <w:rPr>
                <w:rFonts w:cs="Arial"/>
                <w:color w:val="0D0D0D"/>
                <w:spacing w:val="-4"/>
              </w:rPr>
              <w:t xml:space="preserve"> rostl loni objem ostatních sociálních dávek (bez důchodů) dynamičtěji než samotné výdaje na důchody. V pozadí stálo primárně vyšší čerpání dávek nemocenského pojištění (o 8,9 %) způsobené růstem pracovní neschopnosti (ve všech krajích) i intenzivnějším</w:t>
            </w:r>
            <w:r w:rsidR="008A03DE" w:rsidRPr="00335468">
              <w:rPr>
                <w:rFonts w:cs="Arial"/>
                <w:color w:val="0D0D0D"/>
                <w:spacing w:val="-4"/>
              </w:rPr>
              <w:t xml:space="preserve"> čerpání</w:t>
            </w:r>
            <w:r w:rsidR="008A03DE">
              <w:rPr>
                <w:rFonts w:cs="Arial"/>
                <w:color w:val="0D0D0D"/>
                <w:spacing w:val="-4"/>
              </w:rPr>
              <w:t>m</w:t>
            </w:r>
            <w:r w:rsidR="008A03DE" w:rsidRPr="00335468">
              <w:rPr>
                <w:rFonts w:cs="Arial"/>
                <w:color w:val="0D0D0D"/>
                <w:spacing w:val="-4"/>
              </w:rPr>
              <w:t xml:space="preserve"> peněžité pomoci v</w:t>
            </w:r>
            <w:r w:rsidR="008A03DE">
              <w:rPr>
                <w:rFonts w:cs="Arial"/>
                <w:color w:val="0D0D0D"/>
                <w:spacing w:val="-4"/>
              </w:rPr>
              <w:t> </w:t>
            </w:r>
            <w:r w:rsidR="008A03DE" w:rsidRPr="00335468">
              <w:rPr>
                <w:rFonts w:cs="Arial"/>
                <w:color w:val="0D0D0D"/>
                <w:spacing w:val="-4"/>
              </w:rPr>
              <w:t>mateřství</w:t>
            </w:r>
            <w:r w:rsidR="008A03DE">
              <w:rPr>
                <w:rFonts w:cs="Arial"/>
                <w:color w:val="0D0D0D"/>
                <w:spacing w:val="-4"/>
              </w:rPr>
              <w:t xml:space="preserve">. </w:t>
            </w:r>
            <w:r w:rsidR="008A03DE" w:rsidRPr="00335468">
              <w:rPr>
                <w:rFonts w:cs="Arial"/>
                <w:color w:val="0D0D0D"/>
                <w:spacing w:val="-4"/>
              </w:rPr>
              <w:t xml:space="preserve">Přestože výdaje </w:t>
            </w:r>
            <w:r w:rsidR="008A03DE">
              <w:rPr>
                <w:rFonts w:cs="Arial"/>
                <w:color w:val="0D0D0D"/>
                <w:spacing w:val="-4"/>
              </w:rPr>
              <w:t xml:space="preserve">na dávky nemocenského pojištění rostly již čtvrtý rok v řadě, byly loni stále nižší než objem vybraného pojistného (o 2,1 </w:t>
            </w:r>
            <w:proofErr w:type="spellStart"/>
            <w:r w:rsidR="008A03DE">
              <w:rPr>
                <w:rFonts w:cs="Arial"/>
                <w:color w:val="0D0D0D"/>
                <w:spacing w:val="-4"/>
              </w:rPr>
              <w:t>mld</w:t>
            </w:r>
            <w:proofErr w:type="spellEnd"/>
            <w:r w:rsidR="008A03DE">
              <w:rPr>
                <w:rFonts w:cs="Arial"/>
                <w:color w:val="0D0D0D"/>
                <w:spacing w:val="-4"/>
              </w:rPr>
              <w:t xml:space="preserve"> korun, v roce 2012 o 5,5 mld.). Mírně posílily (o 2 %) i výdaje na dávky sociální péče. Zasloužilo se o to plošné navýšení příspěvků na péči (od srpna o 10 %), neboť dávky pomoci v hmotné nouzi byly meziročně o osminu nižší (za dva roky dokonce o 18 %). Objemově významné dávky státní sociální podpory fakticky stagnovaly (již třetí rok v řadě, kolem 37,5 mld.), když nižší objem vyplacených přídavků na děti vykompenzovaly mírně vyšší příspěvky na bydlení, rodičovské příspěvky i dávky pěstounské péče. Navzdory viditelnému zlepšení situace na trhu práce i poklesu </w:t>
            </w:r>
            <w:r w:rsidR="000117CA">
              <w:rPr>
                <w:rFonts w:cs="Arial"/>
                <w:color w:val="0D0D0D"/>
                <w:spacing w:val="-4"/>
              </w:rPr>
              <w:t xml:space="preserve">počtu </w:t>
            </w:r>
            <w:r w:rsidR="008A03DE">
              <w:rPr>
                <w:rFonts w:cs="Arial"/>
                <w:color w:val="0D0D0D"/>
                <w:spacing w:val="-4"/>
              </w:rPr>
              <w:t>registrovaných uchazečů o práci (na konci prosince meziročně o 72 tis.) se loni objem podpor uchazečům redukoval jen o 0,7 % (stavy osob s nárokem na podporu současně klesly jen o 5,3 tis.).</w:t>
            </w:r>
          </w:p>
          <w:p w:rsidR="008A03DE" w:rsidRPr="007E721A" w:rsidRDefault="008A03DE" w:rsidP="008A03DE">
            <w:pPr>
              <w:pStyle w:val="Textpoznpodarou"/>
              <w:jc w:val="both"/>
              <w:rPr>
                <w:rFonts w:cs="Arial"/>
                <w:color w:val="0D0D0D"/>
                <w:spacing w:val="-4"/>
                <w:sz w:val="15"/>
                <w:szCs w:val="15"/>
              </w:rPr>
            </w:pPr>
          </w:p>
        </w:tc>
      </w:tr>
      <w:tr w:rsidR="008A03DE" w:rsidRPr="0097714E" w:rsidTr="008A03DE">
        <w:tc>
          <w:tcPr>
            <w:tcW w:w="1054" w:type="pct"/>
          </w:tcPr>
          <w:p w:rsidR="008A03DE" w:rsidRPr="00C372FE" w:rsidRDefault="008A03DE" w:rsidP="008A03DE">
            <w:pPr>
              <w:spacing w:line="240" w:lineRule="auto"/>
              <w:rPr>
                <w:rFonts w:cs="Arial"/>
                <w:bCs/>
                <w:iCs/>
                <w:color w:val="0D0D0D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/>
                <w:sz w:val="16"/>
                <w:szCs w:val="16"/>
              </w:rPr>
              <w:t>Nižší čerpání výdajů na neinvestiční nákupy a další redukce čistých výdajů na státní dluh.</w:t>
            </w:r>
          </w:p>
        </w:tc>
        <w:tc>
          <w:tcPr>
            <w:tcW w:w="142" w:type="pct"/>
          </w:tcPr>
          <w:p w:rsidR="008A03DE" w:rsidRPr="00A90EFD" w:rsidRDefault="008A03DE" w:rsidP="008A03DE">
            <w:pPr>
              <w:pStyle w:val="Textpoznpodarou"/>
              <w:jc w:val="both"/>
              <w:rPr>
                <w:rFonts w:cs="Arial"/>
                <w:color w:val="0D0D0D"/>
              </w:rPr>
            </w:pPr>
          </w:p>
        </w:tc>
        <w:tc>
          <w:tcPr>
            <w:tcW w:w="3804" w:type="pct"/>
          </w:tcPr>
          <w:p w:rsidR="008A03DE" w:rsidRPr="00C372FE" w:rsidRDefault="008A03DE" w:rsidP="008A03DE">
            <w:pPr>
              <w:pStyle w:val="Textpoznpodarou"/>
              <w:jc w:val="both"/>
              <w:rPr>
                <w:rFonts w:cs="Arial"/>
                <w:color w:val="0D0D0D"/>
                <w:spacing w:val="-4"/>
              </w:rPr>
            </w:pPr>
            <w:r w:rsidRPr="00C372FE">
              <w:rPr>
                <w:rFonts w:cs="Arial"/>
                <w:color w:val="0D0D0D"/>
                <w:spacing w:val="-4"/>
              </w:rPr>
              <w:t>Výdaj</w:t>
            </w:r>
            <w:r w:rsidR="008525F9">
              <w:rPr>
                <w:rFonts w:cs="Arial"/>
                <w:color w:val="0D0D0D"/>
                <w:spacing w:val="-4"/>
              </w:rPr>
              <w:t>e na platy státních zaměstnanců</w:t>
            </w:r>
            <w:r w:rsidRPr="00C372FE">
              <w:rPr>
                <w:rFonts w:cs="Arial"/>
                <w:color w:val="0D0D0D"/>
                <w:spacing w:val="-4"/>
              </w:rPr>
              <w:t xml:space="preserve"> podobně jako objemově významné neinvestiční transfery územním rozpočtům (hlavně na regionální školství)</w:t>
            </w:r>
            <w:r>
              <w:rPr>
                <w:rFonts w:cs="Arial"/>
                <w:color w:val="0D0D0D"/>
                <w:spacing w:val="-4"/>
              </w:rPr>
              <w:t xml:space="preserve"> se v roce 2016 </w:t>
            </w:r>
            <w:r w:rsidRPr="009B3790">
              <w:rPr>
                <w:rFonts w:cs="Arial"/>
                <w:color w:val="0D0D0D"/>
                <w:spacing w:val="-4"/>
              </w:rPr>
              <w:t>navýšily o 5 %, v obou</w:t>
            </w:r>
            <w:r>
              <w:rPr>
                <w:rFonts w:cs="Arial"/>
                <w:color w:val="0D0D0D"/>
                <w:spacing w:val="-4"/>
              </w:rPr>
              <w:t xml:space="preserve"> případech však šlo o nižší tempa než v předchozím roce. Rozpočtové úspory bylo dosaženo u neinvestičních nákupů a výdajů za státní dluh. Čisté výdaje za obsluhu dluhu loni poklesy již třetí rok v řadě (na 40,7 mld. korun). Projevuje se zde efekt zlepšující se bilance SR (a z ní plynoucí nižší výpůjční potřeby státu), jakož i příznivé podmínky na trzích s vládními dluhopisy. </w:t>
            </w:r>
          </w:p>
          <w:p w:rsidR="008A03DE" w:rsidRPr="00394756" w:rsidRDefault="008A03DE" w:rsidP="008A03DE">
            <w:pPr>
              <w:pStyle w:val="Textpoznpodarou"/>
              <w:jc w:val="both"/>
              <w:rPr>
                <w:rFonts w:cs="Arial"/>
                <w:color w:val="0D0D0D"/>
                <w:spacing w:val="-4"/>
                <w:sz w:val="14"/>
                <w:szCs w:val="14"/>
              </w:rPr>
            </w:pPr>
          </w:p>
        </w:tc>
      </w:tr>
      <w:tr w:rsidR="008A03DE" w:rsidRPr="00952517" w:rsidTr="008A03DE">
        <w:tc>
          <w:tcPr>
            <w:tcW w:w="1054" w:type="pct"/>
          </w:tcPr>
          <w:p w:rsidR="008A03DE" w:rsidRPr="00335468" w:rsidRDefault="008A03DE" w:rsidP="008A03DE">
            <w:pPr>
              <w:spacing w:line="240" w:lineRule="auto"/>
              <w:rPr>
                <w:rFonts w:cs="Arial"/>
                <w:bCs/>
                <w:iCs/>
                <w:color w:val="0D0D0D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/>
                <w:sz w:val="16"/>
                <w:szCs w:val="16"/>
              </w:rPr>
              <w:t>Celková výše státního dluhu se po třech letech stabilizace v roce 2016 snížila, zredukovala se jak vnitřní, tak i vnější zadluženost.</w:t>
            </w:r>
          </w:p>
        </w:tc>
        <w:tc>
          <w:tcPr>
            <w:tcW w:w="142" w:type="pct"/>
          </w:tcPr>
          <w:p w:rsidR="008A03DE" w:rsidRPr="00A90EFD" w:rsidRDefault="008A03DE" w:rsidP="008A03DE">
            <w:pPr>
              <w:pStyle w:val="Textpoznpodarou"/>
              <w:jc w:val="both"/>
              <w:rPr>
                <w:rFonts w:cs="Arial"/>
                <w:color w:val="0D0D0D"/>
              </w:rPr>
            </w:pPr>
          </w:p>
        </w:tc>
        <w:tc>
          <w:tcPr>
            <w:tcW w:w="3804" w:type="pct"/>
          </w:tcPr>
          <w:p w:rsidR="008A03DE" w:rsidRDefault="008A03DE" w:rsidP="008A03DE">
            <w:pPr>
              <w:pStyle w:val="Textpoznpodarou"/>
              <w:jc w:val="both"/>
              <w:rPr>
                <w:rFonts w:cs="Arial"/>
                <w:color w:val="0D0D0D"/>
                <w:spacing w:val="-4"/>
              </w:rPr>
            </w:pPr>
            <w:r w:rsidRPr="00FC144D">
              <w:rPr>
                <w:rFonts w:cs="Arial"/>
                <w:color w:val="0D0D0D"/>
                <w:spacing w:val="-4"/>
              </w:rPr>
              <w:t>Zatímco v průběhu 1. čtvrtletí se celková výše státního dluhu navýšila o 21,7 mld. korun, ve zbývající části roku se trend otočil. Za celý loňský rok se dluh snížil o 3,6 % (na 1613,4 mld. korun)</w:t>
            </w:r>
            <w:r>
              <w:rPr>
                <w:rFonts w:cs="Arial"/>
                <w:color w:val="0D0D0D"/>
                <w:spacing w:val="-4"/>
              </w:rPr>
              <w:t>, nejvíce od vzniku samostatné ČR.</w:t>
            </w:r>
            <w:r w:rsidRPr="00FC144D">
              <w:rPr>
                <w:rFonts w:cs="Arial"/>
                <w:color w:val="0D0D0D"/>
                <w:spacing w:val="-4"/>
              </w:rPr>
              <w:t xml:space="preserve"> Odrazila se zde redukce vnitřní zadluženosti (o 45,8 mld.), nižší však byla i korunová hodnota vnějšího dluhu</w:t>
            </w:r>
            <w:r>
              <w:rPr>
                <w:rFonts w:cs="Arial"/>
                <w:color w:val="0D0D0D"/>
                <w:spacing w:val="-4"/>
              </w:rPr>
              <w:t xml:space="preserve"> (o</w:t>
            </w:r>
            <w:r w:rsidRPr="00FC144D">
              <w:rPr>
                <w:rFonts w:cs="Arial"/>
                <w:color w:val="0D0D0D"/>
                <w:spacing w:val="-4"/>
              </w:rPr>
              <w:t> 13,8 mld.).</w:t>
            </w:r>
            <w:r>
              <w:rPr>
                <w:rFonts w:cs="Arial"/>
                <w:color w:val="0D0D0D"/>
                <w:spacing w:val="-4"/>
              </w:rPr>
              <w:t xml:space="preserve"> Vnější dluh tvořil na konci roku 16,7 % celkového dluhu, šlo o nejnižší podíl od počátku roku 2008. Sní</w:t>
            </w:r>
            <w:r w:rsidRPr="00FC144D">
              <w:rPr>
                <w:rFonts w:cs="Arial"/>
                <w:color w:val="0D0D0D"/>
                <w:spacing w:val="-4"/>
              </w:rPr>
              <w:t xml:space="preserve">žení </w:t>
            </w:r>
            <w:r>
              <w:rPr>
                <w:rFonts w:cs="Arial"/>
                <w:color w:val="0D0D0D"/>
                <w:spacing w:val="-4"/>
              </w:rPr>
              <w:t>celkového dluhu souviselo</w:t>
            </w:r>
            <w:r w:rsidRPr="00FC144D">
              <w:rPr>
                <w:rFonts w:cs="Arial"/>
                <w:color w:val="0D0D0D"/>
                <w:spacing w:val="-4"/>
              </w:rPr>
              <w:t xml:space="preserve"> </w:t>
            </w:r>
            <w:r>
              <w:rPr>
                <w:rFonts w:cs="Arial"/>
                <w:color w:val="0D0D0D"/>
                <w:spacing w:val="-4"/>
              </w:rPr>
              <w:t>s vyšším</w:t>
            </w:r>
            <w:r w:rsidRPr="00FC144D">
              <w:rPr>
                <w:rFonts w:cs="Arial"/>
                <w:color w:val="0D0D0D"/>
                <w:spacing w:val="-4"/>
              </w:rPr>
              <w:t xml:space="preserve"> </w:t>
            </w:r>
            <w:r>
              <w:rPr>
                <w:rFonts w:cs="Arial"/>
                <w:color w:val="0D0D0D"/>
                <w:spacing w:val="-4"/>
              </w:rPr>
              <w:t xml:space="preserve">objemem </w:t>
            </w:r>
            <w:r w:rsidRPr="00FC144D">
              <w:rPr>
                <w:rFonts w:cs="Arial"/>
                <w:color w:val="0D0D0D"/>
                <w:spacing w:val="-4"/>
              </w:rPr>
              <w:t xml:space="preserve">plánovaných splátek </w:t>
            </w:r>
            <w:r>
              <w:rPr>
                <w:rFonts w:cs="Arial"/>
                <w:color w:val="0D0D0D"/>
                <w:spacing w:val="-4"/>
              </w:rPr>
              <w:t>soustředěných</w:t>
            </w:r>
            <w:r w:rsidRPr="00FC144D">
              <w:rPr>
                <w:rFonts w:cs="Arial"/>
                <w:color w:val="0D0D0D"/>
                <w:spacing w:val="-4"/>
              </w:rPr>
              <w:t xml:space="preserve"> </w:t>
            </w:r>
            <w:r>
              <w:rPr>
                <w:rFonts w:cs="Arial"/>
                <w:color w:val="0D0D0D"/>
                <w:spacing w:val="-4"/>
              </w:rPr>
              <w:t>do druhé poloviny roku. Pozitivně se projevila rovněž</w:t>
            </w:r>
            <w:r w:rsidRPr="00FC144D">
              <w:rPr>
                <w:rFonts w:cs="Arial"/>
                <w:color w:val="0D0D0D"/>
                <w:spacing w:val="-4"/>
              </w:rPr>
              <w:t xml:space="preserve"> k</w:t>
            </w:r>
            <w:r>
              <w:rPr>
                <w:rFonts w:cs="Arial"/>
                <w:color w:val="0D0D0D"/>
                <w:spacing w:val="-4"/>
              </w:rPr>
              <w:t>lesající výpůjční potřeba státu</w:t>
            </w:r>
            <w:r w:rsidR="008525F9">
              <w:rPr>
                <w:rFonts w:cs="Arial"/>
                <w:color w:val="0D0D0D"/>
                <w:spacing w:val="-4"/>
              </w:rPr>
              <w:t>. Ten</w:t>
            </w:r>
            <w:r w:rsidRPr="00FC144D">
              <w:rPr>
                <w:rFonts w:cs="Arial"/>
                <w:color w:val="0D0D0D"/>
                <w:spacing w:val="-4"/>
              </w:rPr>
              <w:t xml:space="preserve"> se </w:t>
            </w:r>
            <w:r>
              <w:rPr>
                <w:rFonts w:cs="Arial"/>
                <w:color w:val="0D0D0D"/>
                <w:spacing w:val="-4"/>
              </w:rPr>
              <w:t xml:space="preserve">v roce 2016 </w:t>
            </w:r>
            <w:r w:rsidRPr="00FC144D">
              <w:rPr>
                <w:rFonts w:cs="Arial"/>
                <w:color w:val="0D0D0D"/>
                <w:spacing w:val="-4"/>
              </w:rPr>
              <w:t>snažil v</w:t>
            </w:r>
            <w:r>
              <w:rPr>
                <w:rFonts w:cs="Arial"/>
                <w:color w:val="0D0D0D"/>
                <w:spacing w:val="-4"/>
              </w:rPr>
              <w:t>yužít záporných úrokových sazeb – 57 %</w:t>
            </w:r>
            <w:r w:rsidRPr="00FC144D">
              <w:rPr>
                <w:rFonts w:cs="Arial"/>
                <w:color w:val="0D0D0D"/>
                <w:spacing w:val="-4"/>
              </w:rPr>
              <w:t xml:space="preserve"> </w:t>
            </w:r>
            <w:r>
              <w:rPr>
                <w:rFonts w:cs="Arial"/>
                <w:color w:val="0D0D0D"/>
                <w:spacing w:val="-4"/>
              </w:rPr>
              <w:t xml:space="preserve">hodnoty </w:t>
            </w:r>
            <w:r w:rsidRPr="00FC144D">
              <w:rPr>
                <w:rFonts w:cs="Arial"/>
                <w:color w:val="0D0D0D"/>
                <w:spacing w:val="-4"/>
              </w:rPr>
              <w:t>nově emitovaných dluhopisů tak mělo splatnost do pěti let</w:t>
            </w:r>
            <w:r>
              <w:rPr>
                <w:rFonts w:cs="Arial"/>
                <w:color w:val="0D0D0D"/>
                <w:spacing w:val="-4"/>
              </w:rPr>
              <w:t xml:space="preserve"> a</w:t>
            </w:r>
            <w:r w:rsidRPr="00FC144D">
              <w:rPr>
                <w:rFonts w:cs="Arial"/>
                <w:color w:val="0D0D0D"/>
                <w:spacing w:val="-4"/>
              </w:rPr>
              <w:t> </w:t>
            </w:r>
            <w:r>
              <w:rPr>
                <w:rFonts w:cs="Arial"/>
                <w:color w:val="0D0D0D"/>
                <w:spacing w:val="-4"/>
              </w:rPr>
              <w:t>objem prodejů státních dluhopisů se záporným výnosem dosáhl 145,7 mld. Nadále z</w:t>
            </w:r>
            <w:r w:rsidRPr="00FC144D">
              <w:rPr>
                <w:rFonts w:cs="Arial"/>
                <w:color w:val="0D0D0D"/>
                <w:spacing w:val="-4"/>
              </w:rPr>
              <w:t>rychloval růst objemu českých dluhopisů v držbě zahraničních investorů. Na konci prosince 2016 šlo již o 424 mld. korun, resp. 31,6 % hodnot</w:t>
            </w:r>
            <w:r>
              <w:rPr>
                <w:rFonts w:cs="Arial"/>
                <w:color w:val="0D0D0D"/>
                <w:spacing w:val="-4"/>
              </w:rPr>
              <w:t>y všech korunových dluhopisů (o</w:t>
            </w:r>
            <w:r w:rsidRPr="00FC144D">
              <w:rPr>
                <w:rFonts w:cs="Arial"/>
                <w:color w:val="0D0D0D"/>
                <w:spacing w:val="-4"/>
              </w:rPr>
              <w:t> dva roky dříve šlo o 14,5 %)</w:t>
            </w:r>
            <w:r>
              <w:rPr>
                <w:rStyle w:val="Znakapoznpodarou"/>
                <w:color w:val="0D0D0D"/>
                <w:spacing w:val="-4"/>
              </w:rPr>
              <w:footnoteReference w:id="8"/>
            </w:r>
            <w:r w:rsidRPr="00FC144D">
              <w:rPr>
                <w:rFonts w:cs="Arial"/>
                <w:color w:val="0D0D0D"/>
                <w:spacing w:val="-4"/>
              </w:rPr>
              <w:t>.</w:t>
            </w:r>
          </w:p>
          <w:p w:rsidR="008A03DE" w:rsidRPr="002B37E2" w:rsidRDefault="008A03DE" w:rsidP="008A03DE">
            <w:pPr>
              <w:pStyle w:val="Textpoznpodarou"/>
              <w:jc w:val="both"/>
              <w:rPr>
                <w:rFonts w:cs="Arial"/>
                <w:color w:val="0D0D0D"/>
                <w:spacing w:val="-4"/>
                <w:sz w:val="6"/>
                <w:szCs w:val="6"/>
              </w:rPr>
            </w:pPr>
          </w:p>
        </w:tc>
      </w:tr>
      <w:tr w:rsidR="008A03DE" w:rsidRPr="00A90EFD" w:rsidTr="008A03DE">
        <w:tc>
          <w:tcPr>
            <w:tcW w:w="1054" w:type="pct"/>
          </w:tcPr>
          <w:p w:rsidR="008A03DE" w:rsidRPr="00953F6B" w:rsidRDefault="008A03DE" w:rsidP="008A03DE">
            <w:pPr>
              <w:spacing w:line="240" w:lineRule="auto"/>
              <w:rPr>
                <w:rFonts w:cs="Arial"/>
                <w:bCs/>
                <w:iCs/>
                <w:color w:val="0D0D0D"/>
                <w:spacing w:val="-2"/>
                <w:sz w:val="16"/>
                <w:szCs w:val="16"/>
              </w:rPr>
            </w:pPr>
            <w:r w:rsidRPr="00953F6B">
              <w:rPr>
                <w:rFonts w:cs="Arial"/>
                <w:bCs/>
                <w:iCs/>
                <w:color w:val="0D0D0D"/>
                <w:spacing w:val="-2"/>
                <w:sz w:val="16"/>
                <w:szCs w:val="16"/>
              </w:rPr>
              <w:lastRenderedPageBreak/>
              <w:t xml:space="preserve">Hodnota dluhu celého sektoru vládních institucí se </w:t>
            </w:r>
            <w:proofErr w:type="spellStart"/>
            <w:r w:rsidRPr="00953F6B">
              <w:rPr>
                <w:rFonts w:cs="Arial"/>
                <w:bCs/>
                <w:iCs/>
                <w:color w:val="0D0D0D"/>
                <w:spacing w:val="-2"/>
                <w:sz w:val="16"/>
                <w:szCs w:val="16"/>
              </w:rPr>
              <w:t>mezikvartálně</w:t>
            </w:r>
            <w:proofErr w:type="spellEnd"/>
            <w:r w:rsidRPr="00953F6B">
              <w:rPr>
                <w:rFonts w:cs="Arial"/>
                <w:bCs/>
                <w:iCs/>
                <w:color w:val="0D0D0D"/>
                <w:spacing w:val="-2"/>
                <w:sz w:val="16"/>
                <w:szCs w:val="16"/>
              </w:rPr>
              <w:t xml:space="preserve"> snížila již podruhé v řadě, na konci 3. </w:t>
            </w:r>
            <w:r w:rsidR="00AC3D02">
              <w:rPr>
                <w:rFonts w:cs="Arial"/>
                <w:bCs/>
                <w:iCs/>
                <w:color w:val="0D0D0D"/>
                <w:spacing w:val="-2"/>
                <w:sz w:val="16"/>
                <w:szCs w:val="16"/>
              </w:rPr>
              <w:t>čtvrtletí činila 1813 mld. korun.</w:t>
            </w:r>
          </w:p>
          <w:p w:rsidR="008A03DE" w:rsidRPr="00953F6B" w:rsidRDefault="008A03DE" w:rsidP="008A03DE">
            <w:pPr>
              <w:spacing w:line="240" w:lineRule="auto"/>
              <w:rPr>
                <w:rFonts w:cs="Arial"/>
                <w:bCs/>
                <w:iCs/>
                <w:color w:val="0D0D0D"/>
                <w:spacing w:val="-2"/>
                <w:sz w:val="16"/>
                <w:szCs w:val="16"/>
              </w:rPr>
            </w:pPr>
          </w:p>
          <w:p w:rsidR="008A03DE" w:rsidRDefault="008A03DE" w:rsidP="008A03DE">
            <w:pPr>
              <w:spacing w:line="240" w:lineRule="auto"/>
              <w:rPr>
                <w:rFonts w:cs="Arial"/>
                <w:bCs/>
                <w:iCs/>
                <w:color w:val="0D0D0D"/>
                <w:spacing w:val="-2"/>
                <w:sz w:val="16"/>
                <w:szCs w:val="16"/>
              </w:rPr>
            </w:pPr>
          </w:p>
          <w:p w:rsidR="008A03DE" w:rsidRPr="00953F6B" w:rsidRDefault="00AC3D02" w:rsidP="008A03DE">
            <w:pPr>
              <w:spacing w:line="240" w:lineRule="auto"/>
              <w:rPr>
                <w:rFonts w:cs="Arial"/>
                <w:bCs/>
                <w:iCs/>
                <w:color w:val="0D0D0D"/>
                <w:spacing w:val="-2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/>
                <w:spacing w:val="-2"/>
                <w:sz w:val="16"/>
                <w:szCs w:val="16"/>
              </w:rPr>
              <w:t>V</w:t>
            </w:r>
            <w:r w:rsidR="008A03DE" w:rsidRPr="00953F6B">
              <w:rPr>
                <w:rFonts w:cs="Arial"/>
                <w:bCs/>
                <w:iCs/>
                <w:color w:val="0D0D0D"/>
                <w:spacing w:val="-2"/>
                <w:sz w:val="16"/>
                <w:szCs w:val="16"/>
              </w:rPr>
              <w:t xml:space="preserve">e vztahu </w:t>
            </w:r>
            <w:r>
              <w:rPr>
                <w:rFonts w:cs="Arial"/>
                <w:bCs/>
                <w:iCs/>
                <w:color w:val="0D0D0D"/>
                <w:spacing w:val="-2"/>
                <w:sz w:val="16"/>
                <w:szCs w:val="16"/>
              </w:rPr>
              <w:t xml:space="preserve">dluhu </w:t>
            </w:r>
            <w:r w:rsidR="008A03DE" w:rsidRPr="00953F6B">
              <w:rPr>
                <w:rFonts w:cs="Arial"/>
                <w:bCs/>
                <w:iCs/>
                <w:color w:val="0D0D0D"/>
                <w:spacing w:val="-2"/>
                <w:sz w:val="16"/>
                <w:szCs w:val="16"/>
              </w:rPr>
              <w:t>k HDP dosáhly výrazněji nižší zadluženosti než v ČR jen tři státy EU</w:t>
            </w:r>
            <w:r w:rsidR="008A03DE">
              <w:rPr>
                <w:rFonts w:cs="Arial"/>
                <w:bCs/>
                <w:iCs/>
                <w:color w:val="0D0D0D"/>
                <w:spacing w:val="-2"/>
                <w:sz w:val="16"/>
                <w:szCs w:val="16"/>
              </w:rPr>
              <w:t>.</w:t>
            </w:r>
          </w:p>
          <w:p w:rsidR="008A03DE" w:rsidRPr="00953F6B" w:rsidRDefault="008A03DE" w:rsidP="008A03DE">
            <w:pPr>
              <w:spacing w:line="240" w:lineRule="auto"/>
              <w:rPr>
                <w:rFonts w:cs="Arial"/>
                <w:bCs/>
                <w:iCs/>
                <w:color w:val="0D0D0D"/>
                <w:spacing w:val="-2"/>
                <w:sz w:val="16"/>
                <w:szCs w:val="16"/>
              </w:rPr>
            </w:pPr>
          </w:p>
          <w:p w:rsidR="008A03DE" w:rsidRDefault="008A03DE" w:rsidP="008A03DE">
            <w:pPr>
              <w:spacing w:line="240" w:lineRule="auto"/>
              <w:rPr>
                <w:rFonts w:cs="Arial"/>
                <w:bCs/>
                <w:iCs/>
                <w:color w:val="0D0D0D"/>
                <w:spacing w:val="-2"/>
                <w:sz w:val="16"/>
                <w:szCs w:val="16"/>
              </w:rPr>
            </w:pPr>
          </w:p>
          <w:p w:rsidR="008A03DE" w:rsidRPr="00953F6B" w:rsidRDefault="008A03DE" w:rsidP="008A03DE">
            <w:pPr>
              <w:spacing w:line="240" w:lineRule="auto"/>
              <w:rPr>
                <w:rFonts w:cs="Arial"/>
                <w:bCs/>
                <w:iCs/>
                <w:color w:val="0D0D0D"/>
                <w:spacing w:val="-2"/>
                <w:sz w:val="16"/>
                <w:szCs w:val="16"/>
              </w:rPr>
            </w:pPr>
          </w:p>
          <w:p w:rsidR="008A03DE" w:rsidRPr="00953F6B" w:rsidRDefault="008A03DE" w:rsidP="008A03DE">
            <w:pPr>
              <w:spacing w:line="240" w:lineRule="auto"/>
              <w:rPr>
                <w:rFonts w:cs="Arial"/>
                <w:bCs/>
                <w:iCs/>
                <w:color w:val="0D0D0D"/>
                <w:spacing w:val="-2"/>
                <w:sz w:val="16"/>
                <w:szCs w:val="16"/>
              </w:rPr>
            </w:pPr>
          </w:p>
          <w:p w:rsidR="008A03DE" w:rsidRPr="002B37E2" w:rsidRDefault="008A03DE" w:rsidP="008A03DE">
            <w:pPr>
              <w:spacing w:line="240" w:lineRule="auto"/>
              <w:rPr>
                <w:rFonts w:cs="Arial"/>
                <w:bCs/>
                <w:iCs/>
                <w:color w:val="0D0D0D"/>
                <w:sz w:val="16"/>
                <w:szCs w:val="16"/>
              </w:rPr>
            </w:pPr>
            <w:r w:rsidRPr="00953F6B">
              <w:rPr>
                <w:rFonts w:cs="Arial"/>
                <w:bCs/>
                <w:iCs/>
                <w:color w:val="0D0D0D"/>
                <w:spacing w:val="-2"/>
                <w:sz w:val="16"/>
                <w:szCs w:val="16"/>
              </w:rPr>
              <w:t xml:space="preserve">Meziročně příznivějšího salda hospodaření dosáhly za tři loňská čtvrtletí všechny </w:t>
            </w:r>
            <w:proofErr w:type="spellStart"/>
            <w:r w:rsidRPr="00953F6B">
              <w:rPr>
                <w:rFonts w:cs="Arial"/>
                <w:bCs/>
                <w:iCs/>
                <w:color w:val="0D0D0D"/>
                <w:spacing w:val="-2"/>
                <w:sz w:val="16"/>
                <w:szCs w:val="16"/>
              </w:rPr>
              <w:t>subsektory</w:t>
            </w:r>
            <w:proofErr w:type="spellEnd"/>
            <w:r w:rsidRPr="00953F6B">
              <w:rPr>
                <w:rFonts w:cs="Arial"/>
                <w:bCs/>
                <w:iCs/>
                <w:color w:val="0D0D0D"/>
                <w:spacing w:val="-2"/>
                <w:sz w:val="16"/>
                <w:szCs w:val="16"/>
              </w:rPr>
              <w:t xml:space="preserve"> vládních institucí</w:t>
            </w:r>
            <w:r>
              <w:rPr>
                <w:rFonts w:cs="Arial"/>
                <w:bCs/>
                <w:iCs/>
                <w:color w:val="0D0D0D"/>
                <w:spacing w:val="-2"/>
                <w:sz w:val="16"/>
                <w:szCs w:val="16"/>
              </w:rPr>
              <w:t>.</w:t>
            </w:r>
          </w:p>
        </w:tc>
        <w:tc>
          <w:tcPr>
            <w:tcW w:w="142" w:type="pct"/>
          </w:tcPr>
          <w:p w:rsidR="008A03DE" w:rsidRPr="004C7CC5" w:rsidRDefault="008A03DE" w:rsidP="008A03DE">
            <w:pPr>
              <w:pStyle w:val="Textpoznpodarou"/>
              <w:jc w:val="both"/>
              <w:rPr>
                <w:rFonts w:cs="Arial"/>
                <w:color w:val="0D0D0D"/>
              </w:rPr>
            </w:pPr>
          </w:p>
        </w:tc>
        <w:tc>
          <w:tcPr>
            <w:tcW w:w="3804" w:type="pct"/>
          </w:tcPr>
          <w:p w:rsidR="008A03DE" w:rsidRPr="006A3BC3" w:rsidRDefault="008A03DE" w:rsidP="008A03DE">
            <w:pPr>
              <w:pStyle w:val="Textpoznpodarou"/>
              <w:jc w:val="both"/>
              <w:rPr>
                <w:color w:val="0D0D0D"/>
                <w:spacing w:val="-4"/>
              </w:rPr>
            </w:pPr>
            <w:r w:rsidRPr="008E3582">
              <w:rPr>
                <w:color w:val="0D0D0D"/>
                <w:spacing w:val="-4"/>
              </w:rPr>
              <w:t>Konsolidovaný hrubý dluh celého sektoru vládních institucí</w:t>
            </w:r>
            <w:r w:rsidRPr="008E3582">
              <w:rPr>
                <w:rStyle w:val="Znakapoznpodarou"/>
                <w:color w:val="0D0D0D"/>
                <w:spacing w:val="-4"/>
              </w:rPr>
              <w:footnoteReference w:id="9"/>
            </w:r>
            <w:r>
              <w:rPr>
                <w:color w:val="0D0D0D"/>
                <w:spacing w:val="-4"/>
              </w:rPr>
              <w:t xml:space="preserve"> </w:t>
            </w:r>
            <w:r w:rsidRPr="008E3582">
              <w:rPr>
                <w:color w:val="0D0D0D"/>
                <w:spacing w:val="-4"/>
              </w:rPr>
              <w:t>dosáhl d</w:t>
            </w:r>
            <w:r>
              <w:rPr>
                <w:color w:val="0D0D0D"/>
                <w:spacing w:val="-4"/>
              </w:rPr>
              <w:t>le aktuálních dat ČSÚ na konci 3</w:t>
            </w:r>
            <w:r w:rsidRPr="008E3582">
              <w:rPr>
                <w:color w:val="0D0D0D"/>
                <w:spacing w:val="-4"/>
              </w:rPr>
              <w:t>. čtvrtletí 2016</w:t>
            </w:r>
            <w:r>
              <w:rPr>
                <w:color w:val="0D0D0D"/>
                <w:spacing w:val="-4"/>
              </w:rPr>
              <w:t xml:space="preserve"> výše 1 813</w:t>
            </w:r>
            <w:r w:rsidRPr="008E3582">
              <w:rPr>
                <w:color w:val="0D0D0D"/>
                <w:spacing w:val="-4"/>
              </w:rPr>
              <w:t xml:space="preserve"> mld. </w:t>
            </w:r>
            <w:r>
              <w:rPr>
                <w:color w:val="0D0D0D"/>
                <w:spacing w:val="-4"/>
              </w:rPr>
              <w:t>korun a ve vztahu k HDP činil 38,7</w:t>
            </w:r>
            <w:r w:rsidRPr="008E3582">
              <w:rPr>
                <w:color w:val="0D0D0D"/>
                <w:spacing w:val="-4"/>
              </w:rPr>
              <w:t> % (ve stejném o</w:t>
            </w:r>
            <w:r>
              <w:rPr>
                <w:color w:val="0D0D0D"/>
                <w:spacing w:val="-4"/>
              </w:rPr>
              <w:t>bdobí předchozího roku byl o 1,9</w:t>
            </w:r>
            <w:r w:rsidRPr="008E3582">
              <w:rPr>
                <w:color w:val="0D0D0D"/>
                <w:spacing w:val="-4"/>
              </w:rPr>
              <w:t xml:space="preserve"> </w:t>
            </w:r>
            <w:proofErr w:type="spellStart"/>
            <w:proofErr w:type="gramStart"/>
            <w:r w:rsidRPr="008E3582">
              <w:rPr>
                <w:color w:val="0D0D0D"/>
                <w:spacing w:val="-4"/>
              </w:rPr>
              <w:t>p.b</w:t>
            </w:r>
            <w:proofErr w:type="spellEnd"/>
            <w:r w:rsidRPr="008E3582">
              <w:rPr>
                <w:color w:val="0D0D0D"/>
                <w:spacing w:val="-4"/>
              </w:rPr>
              <w:t>. vyšší</w:t>
            </w:r>
            <w:proofErr w:type="gramEnd"/>
            <w:r w:rsidRPr="008E3582">
              <w:rPr>
                <w:color w:val="0D0D0D"/>
                <w:spacing w:val="-4"/>
              </w:rPr>
              <w:t xml:space="preserve">). </w:t>
            </w:r>
            <w:r>
              <w:rPr>
                <w:color w:val="0D0D0D"/>
                <w:spacing w:val="-4"/>
              </w:rPr>
              <w:t xml:space="preserve">Za meziročním snížením relativní úrovně dluhu stál loni svižný růst </w:t>
            </w:r>
            <w:r w:rsidRPr="001162E9">
              <w:rPr>
                <w:color w:val="0D0D0D"/>
                <w:spacing w:val="-4"/>
              </w:rPr>
              <w:t>nominálního HDP</w:t>
            </w:r>
            <w:r>
              <w:rPr>
                <w:color w:val="0D0D0D"/>
                <w:spacing w:val="-4"/>
              </w:rPr>
              <w:t>, z menší části ale i pokles absolutní výše dluhu (o 15,6 mld. korun). Česko bylo loni sedmou nejméně zadluženou zemí EU, výrazněji nižší relativní dluh vykázaly na konci 3. čtvrtletí jen Estonsko, Lucembursko a Bulharsko. Proti 3. čtvrtletí 2015 se zadluženost snížila v 17 st</w:t>
            </w:r>
            <w:r w:rsidR="00AC3D02">
              <w:rPr>
                <w:color w:val="0D0D0D"/>
                <w:spacing w:val="-4"/>
              </w:rPr>
              <w:t>átech EU (nejvýrazněji v Irsku z</w:t>
            </w:r>
            <w:r>
              <w:rPr>
                <w:color w:val="0D0D0D"/>
                <w:spacing w:val="-4"/>
              </w:rPr>
              <w:t xml:space="preserve"> 85,6 % na 77,1 % HDP). Ze sedmičky nejvíce zasažených států</w:t>
            </w:r>
            <w:r>
              <w:rPr>
                <w:rStyle w:val="Znakapoznpodarou"/>
                <w:color w:val="0D0D0D"/>
                <w:spacing w:val="-4"/>
              </w:rPr>
              <w:footnoteReference w:id="10"/>
            </w:r>
            <w:r>
              <w:rPr>
                <w:color w:val="0D0D0D"/>
                <w:spacing w:val="-4"/>
              </w:rPr>
              <w:t xml:space="preserve"> však svou zadluženost dokázala zredukovat jen Itálie (o 1,4 </w:t>
            </w:r>
            <w:proofErr w:type="spellStart"/>
            <w:proofErr w:type="gramStart"/>
            <w:r>
              <w:rPr>
                <w:color w:val="0D0D0D"/>
                <w:spacing w:val="-4"/>
              </w:rPr>
              <w:t>p.b</w:t>
            </w:r>
            <w:proofErr w:type="spellEnd"/>
            <w:r>
              <w:rPr>
                <w:color w:val="0D0D0D"/>
                <w:spacing w:val="-4"/>
              </w:rPr>
              <w:t>.).</w:t>
            </w:r>
            <w:proofErr w:type="gramEnd"/>
            <w:r>
              <w:rPr>
                <w:color w:val="0D0D0D"/>
                <w:spacing w:val="-4"/>
              </w:rPr>
              <w:t xml:space="preserve"> Z největších ekonomik Unie se v tomto směru nejvíce dařilo Německu, které i díky rozpočtovým přebytkům srazilo zadluženost pod 70% hranici (nejníže od 1. čtvrtletí 2009).</w:t>
            </w:r>
            <w:r w:rsidRPr="001162E9">
              <w:rPr>
                <w:color w:val="0D0D0D"/>
                <w:spacing w:val="-4"/>
              </w:rPr>
              <w:t xml:space="preserve"> Hospodaření vládních institucí </w:t>
            </w:r>
            <w:r>
              <w:rPr>
                <w:color w:val="0D0D0D"/>
                <w:spacing w:val="-4"/>
              </w:rPr>
              <w:t>v ČR skončilo za 1. až 3. čtvrtletí 2016 (v </w:t>
            </w:r>
            <w:proofErr w:type="spellStart"/>
            <w:r>
              <w:rPr>
                <w:color w:val="0D0D0D"/>
                <w:spacing w:val="-4"/>
              </w:rPr>
              <w:t>akr</w:t>
            </w:r>
            <w:r w:rsidRPr="001162E9">
              <w:rPr>
                <w:color w:val="0D0D0D"/>
                <w:spacing w:val="-4"/>
              </w:rPr>
              <w:t>ualizovaném</w:t>
            </w:r>
            <w:proofErr w:type="spellEnd"/>
            <w:r w:rsidRPr="001162E9">
              <w:rPr>
                <w:color w:val="0D0D0D"/>
                <w:spacing w:val="-4"/>
              </w:rPr>
              <w:t xml:space="preserve"> vyjádření)</w:t>
            </w:r>
            <w:r>
              <w:rPr>
                <w:rStyle w:val="Znakapoznpodarou"/>
                <w:color w:val="0D0D0D"/>
                <w:spacing w:val="-4"/>
              </w:rPr>
              <w:footnoteReference w:id="11"/>
            </w:r>
            <w:r>
              <w:rPr>
                <w:color w:val="0D0D0D"/>
                <w:spacing w:val="-4"/>
              </w:rPr>
              <w:t xml:space="preserve"> kladným saldem ve výši 41,3 mld. korun. K meziročně příznivějšímu výsledku (o 38,4 mld.) přispěly především místní vládní instituce, jejichž vysoký přebytek (51,8 mld.) souvisel z velké části s omezením investiční aktivity. Deficit ústředních vládních institucí se meziročně zredukoval o téměř polovinu (na 17 mld.), příznivější výsledek hospodaření vykázaly i zdravotní pojišťovny.</w:t>
            </w:r>
          </w:p>
        </w:tc>
      </w:tr>
    </w:tbl>
    <w:p w:rsidR="008A03DE" w:rsidRPr="00F86A3C" w:rsidRDefault="008A03DE" w:rsidP="008A03DE">
      <w:pPr>
        <w:pStyle w:val="Textpoznpodarou"/>
        <w:jc w:val="both"/>
        <w:rPr>
          <w:rFonts w:cs="Arial"/>
          <w:color w:val="000000"/>
          <w:spacing w:val="-2"/>
          <w:sz w:val="10"/>
          <w:szCs w:val="10"/>
        </w:rPr>
      </w:pPr>
    </w:p>
    <w:tbl>
      <w:tblPr>
        <w:tblW w:w="4986" w:type="pct"/>
        <w:tblCellMar>
          <w:left w:w="28" w:type="dxa"/>
          <w:right w:w="28" w:type="dxa"/>
        </w:tblCellMar>
        <w:tblLook w:val="04A0"/>
      </w:tblPr>
      <w:tblGrid>
        <w:gridCol w:w="595"/>
        <w:gridCol w:w="4296"/>
        <w:gridCol w:w="707"/>
        <w:gridCol w:w="4096"/>
      </w:tblGrid>
      <w:tr w:rsidR="008A03DE" w:rsidRPr="006F2BEE" w:rsidTr="008A03DE">
        <w:tc>
          <w:tcPr>
            <w:tcW w:w="305" w:type="pct"/>
          </w:tcPr>
          <w:p w:rsidR="008A03DE" w:rsidRDefault="008A03DE" w:rsidP="008A03DE">
            <w:pPr>
              <w:spacing w:line="240" w:lineRule="auto"/>
            </w:pPr>
            <w:r>
              <w:rPr>
                <w:sz w:val="14"/>
                <w:szCs w:val="14"/>
              </w:rPr>
              <w:br w:type="page"/>
            </w:r>
            <w:r>
              <w:t>Graf č. 19</w:t>
            </w:r>
          </w:p>
        </w:tc>
        <w:tc>
          <w:tcPr>
            <w:tcW w:w="2203" w:type="pct"/>
          </w:tcPr>
          <w:p w:rsidR="008A03DE" w:rsidRPr="00E43BFF" w:rsidRDefault="008A03DE" w:rsidP="008A03DE">
            <w:pPr>
              <w:spacing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Celostátní inkasa daňových příjmů </w:t>
            </w:r>
            <w:r>
              <w:rPr>
                <w:rFonts w:cs="Arial"/>
                <w:bCs/>
              </w:rPr>
              <w:t>(y/y</w:t>
            </w:r>
            <w:r w:rsidRPr="008A3A85">
              <w:rPr>
                <w:rFonts w:cs="Arial"/>
                <w:bCs/>
              </w:rPr>
              <w:t xml:space="preserve"> v %)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a saldo státního rozpočtu</w:t>
            </w:r>
            <w:r>
              <w:t xml:space="preserve"> </w:t>
            </w:r>
            <w:r>
              <w:rPr>
                <w:rFonts w:cs="Arial"/>
                <w:bCs/>
              </w:rPr>
              <w:t>(v mld. korun)</w:t>
            </w:r>
          </w:p>
        </w:tc>
        <w:tc>
          <w:tcPr>
            <w:tcW w:w="366" w:type="pct"/>
          </w:tcPr>
          <w:p w:rsidR="008A03DE" w:rsidRDefault="008A03DE" w:rsidP="008A03DE">
            <w:pPr>
              <w:spacing w:line="240" w:lineRule="auto"/>
            </w:pPr>
            <w:r>
              <w:t>Graf č. 20</w:t>
            </w:r>
          </w:p>
        </w:tc>
        <w:tc>
          <w:tcPr>
            <w:tcW w:w="2126" w:type="pct"/>
          </w:tcPr>
          <w:p w:rsidR="008A03DE" w:rsidRDefault="008A03DE" w:rsidP="008A03DE">
            <w:pPr>
              <w:spacing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Vybrané výdaje státního rozpočtu</w:t>
            </w:r>
          </w:p>
          <w:p w:rsidR="008A03DE" w:rsidRPr="006F2BEE" w:rsidRDefault="008A03DE" w:rsidP="008A03DE">
            <w:pPr>
              <w:spacing w:line="240" w:lineRule="auto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  <w:bCs/>
              </w:rPr>
              <w:t>(</w:t>
            </w:r>
            <w:r w:rsidRPr="00DB06E9">
              <w:rPr>
                <w:rFonts w:cs="Arial"/>
                <w:bCs/>
              </w:rPr>
              <w:t>v mld. korun</w:t>
            </w:r>
            <w:r>
              <w:rPr>
                <w:rFonts w:cs="Arial"/>
                <w:bCs/>
              </w:rPr>
              <w:t>)</w:t>
            </w:r>
          </w:p>
        </w:tc>
      </w:tr>
      <w:tr w:rsidR="008A03DE" w:rsidTr="008A03DE">
        <w:tc>
          <w:tcPr>
            <w:tcW w:w="2508" w:type="pct"/>
            <w:gridSpan w:val="2"/>
          </w:tcPr>
          <w:p w:rsidR="008A03DE" w:rsidRDefault="00906225" w:rsidP="008A03DE">
            <w:pPr>
              <w:pStyle w:val="Textpoznpodarou"/>
              <w:jc w:val="both"/>
            </w:pPr>
            <w:r>
              <w:rPr>
                <w:noProof/>
              </w:rPr>
              <w:drawing>
                <wp:inline distT="0" distB="0" distL="0" distR="0">
                  <wp:extent cx="3079750" cy="2179955"/>
                  <wp:effectExtent l="19050" t="0" r="6350" b="0"/>
                  <wp:docPr id="19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0" cy="2179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pct"/>
            <w:gridSpan w:val="2"/>
          </w:tcPr>
          <w:p w:rsidR="008A03DE" w:rsidRDefault="00906225" w:rsidP="008A03DE">
            <w:pPr>
              <w:pStyle w:val="Textpoznpodarou"/>
              <w:jc w:val="both"/>
            </w:pPr>
            <w:r>
              <w:rPr>
                <w:noProof/>
              </w:rPr>
              <w:drawing>
                <wp:inline distT="0" distB="0" distL="0" distR="0">
                  <wp:extent cx="3028315" cy="2179955"/>
                  <wp:effectExtent l="19050" t="0" r="635" b="0"/>
                  <wp:docPr id="20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315" cy="2179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03DE" w:rsidRPr="009E6613" w:rsidTr="008A03DE">
        <w:tc>
          <w:tcPr>
            <w:tcW w:w="5000" w:type="pct"/>
            <w:gridSpan w:val="4"/>
          </w:tcPr>
          <w:p w:rsidR="008A03DE" w:rsidRDefault="008A03DE" w:rsidP="008A03DE">
            <w:pPr>
              <w:pStyle w:val="Textpoznpodarou"/>
              <w:rPr>
                <w:sz w:val="18"/>
                <w:szCs w:val="18"/>
              </w:rPr>
            </w:pPr>
            <w:r w:rsidRPr="004C5813">
              <w:rPr>
                <w:sz w:val="18"/>
                <w:szCs w:val="18"/>
              </w:rPr>
              <w:t xml:space="preserve">*vč. dávek pěstounské </w:t>
            </w:r>
            <w:proofErr w:type="gramStart"/>
            <w:r w:rsidRPr="004C5813">
              <w:rPr>
                <w:sz w:val="18"/>
                <w:szCs w:val="18"/>
              </w:rPr>
              <w:t>péče</w:t>
            </w:r>
            <w:r>
              <w:rPr>
                <w:sz w:val="18"/>
                <w:szCs w:val="18"/>
              </w:rPr>
              <w:t xml:space="preserve">,  </w:t>
            </w:r>
            <w:r w:rsidRPr="001D7968">
              <w:rPr>
                <w:spacing w:val="-2"/>
                <w:sz w:val="18"/>
                <w:szCs w:val="18"/>
              </w:rPr>
              <w:t>**dávky</w:t>
            </w:r>
            <w:proofErr w:type="gramEnd"/>
            <w:r w:rsidRPr="001D7968">
              <w:rPr>
                <w:spacing w:val="-2"/>
                <w:sz w:val="18"/>
                <w:szCs w:val="18"/>
              </w:rPr>
              <w:t xml:space="preserve"> pomoci v hmot</w:t>
            </w:r>
            <w:r>
              <w:rPr>
                <w:spacing w:val="-2"/>
                <w:sz w:val="18"/>
                <w:szCs w:val="18"/>
              </w:rPr>
              <w:t>né</w:t>
            </w:r>
            <w:r w:rsidRPr="001D7968">
              <w:rPr>
                <w:spacing w:val="-2"/>
                <w:sz w:val="18"/>
                <w:szCs w:val="18"/>
              </w:rPr>
              <w:t xml:space="preserve"> nouzi, dávky osobám se zdravotním postižením, příspěvek na péči dle zákona o </w:t>
            </w:r>
            <w:proofErr w:type="spellStart"/>
            <w:r w:rsidRPr="001D7968">
              <w:rPr>
                <w:spacing w:val="-2"/>
                <w:sz w:val="18"/>
                <w:szCs w:val="18"/>
              </w:rPr>
              <w:t>soc</w:t>
            </w:r>
            <w:proofErr w:type="spellEnd"/>
            <w:r w:rsidRPr="001D7968">
              <w:rPr>
                <w:spacing w:val="-2"/>
                <w:sz w:val="18"/>
                <w:szCs w:val="18"/>
              </w:rPr>
              <w:t>. službách</w:t>
            </w:r>
            <w:r>
              <w:rPr>
                <w:sz w:val="18"/>
                <w:szCs w:val="18"/>
              </w:rPr>
              <w:t>,  *** ve výdajích jsou započteny i příjmy kapitoly Státní dluh</w:t>
            </w:r>
          </w:p>
          <w:p w:rsidR="008A03DE" w:rsidRPr="009E6613" w:rsidRDefault="008A03DE" w:rsidP="008A03DE">
            <w:pPr>
              <w:pStyle w:val="Textpoznpodaro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 bez úroků a ostatních</w:t>
            </w:r>
            <w:r w:rsidRPr="00573993">
              <w:rPr>
                <w:sz w:val="18"/>
                <w:szCs w:val="18"/>
              </w:rPr>
              <w:t xml:space="preserve"> finančních výdajů na státní </w:t>
            </w:r>
            <w:proofErr w:type="gramStart"/>
            <w:r w:rsidRPr="00573993">
              <w:rPr>
                <w:sz w:val="18"/>
                <w:szCs w:val="18"/>
              </w:rPr>
              <w:t>dluh</w:t>
            </w:r>
            <w:r>
              <w:rPr>
                <w:sz w:val="18"/>
                <w:szCs w:val="18"/>
              </w:rPr>
              <w:t xml:space="preserve">                                                                  </w:t>
            </w:r>
            <w:r>
              <w:rPr>
                <w:rFonts w:cs="Arial"/>
                <w:sz w:val="18"/>
                <w:szCs w:val="18"/>
              </w:rPr>
              <w:t>Zdroj</w:t>
            </w:r>
            <w:proofErr w:type="gramEnd"/>
            <w:r>
              <w:rPr>
                <w:rFonts w:cs="Arial"/>
                <w:sz w:val="18"/>
                <w:szCs w:val="18"/>
              </w:rPr>
              <w:t>: MF ČR, MPSV</w:t>
            </w:r>
          </w:p>
        </w:tc>
      </w:tr>
    </w:tbl>
    <w:p w:rsidR="008A03DE" w:rsidRPr="00F86A3C" w:rsidRDefault="008A03DE" w:rsidP="008A03DE">
      <w:pPr>
        <w:pStyle w:val="Textpoznpodarou"/>
        <w:jc w:val="both"/>
        <w:rPr>
          <w:rFonts w:cs="Arial"/>
          <w:color w:val="000000"/>
          <w:spacing w:val="-2"/>
          <w:sz w:val="10"/>
          <w:szCs w:val="10"/>
        </w:rPr>
      </w:pPr>
    </w:p>
    <w:tbl>
      <w:tblPr>
        <w:tblW w:w="4986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752"/>
        <w:gridCol w:w="4097"/>
        <w:gridCol w:w="710"/>
        <w:gridCol w:w="4108"/>
      </w:tblGrid>
      <w:tr w:rsidR="008A03DE" w:rsidTr="008A03DE">
        <w:tc>
          <w:tcPr>
            <w:tcW w:w="389" w:type="pct"/>
          </w:tcPr>
          <w:p w:rsidR="008A03DE" w:rsidRDefault="008A03DE" w:rsidP="008A03DE">
            <w:pPr>
              <w:spacing w:line="240" w:lineRule="auto"/>
            </w:pPr>
            <w:r>
              <w:t>Graf č. 21</w:t>
            </w:r>
          </w:p>
        </w:tc>
        <w:tc>
          <w:tcPr>
            <w:tcW w:w="2119" w:type="pct"/>
          </w:tcPr>
          <w:p w:rsidR="008A03DE" w:rsidRPr="00D90B56" w:rsidRDefault="008A03DE" w:rsidP="008A03DE">
            <w:pPr>
              <w:spacing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Státní dluh ČR podle způsobu financování </w:t>
            </w:r>
            <w:r>
              <w:rPr>
                <w:rFonts w:cs="Arial"/>
                <w:bCs/>
              </w:rPr>
              <w:t>(</w:t>
            </w:r>
            <w:r w:rsidRPr="00DB06E9">
              <w:rPr>
                <w:rFonts w:cs="Arial"/>
                <w:bCs/>
              </w:rPr>
              <w:t xml:space="preserve">v mld. </w:t>
            </w:r>
            <w:proofErr w:type="gramStart"/>
            <w:r w:rsidRPr="00DB06E9">
              <w:rPr>
                <w:rFonts w:cs="Arial"/>
                <w:bCs/>
              </w:rPr>
              <w:t>korun</w:t>
            </w:r>
            <w:r>
              <w:rPr>
                <w:rFonts w:cs="Arial"/>
                <w:bCs/>
              </w:rPr>
              <w:t xml:space="preserve"> </w:t>
            </w:r>
            <w:r w:rsidRPr="00DB06E9">
              <w:rPr>
                <w:rFonts w:cs="Arial"/>
                <w:bCs/>
              </w:rPr>
              <w:t>)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a podíl</w:t>
            </w:r>
            <w:proofErr w:type="gramEnd"/>
            <w:r>
              <w:rPr>
                <w:rFonts w:cs="Arial"/>
                <w:b/>
                <w:bCs/>
              </w:rPr>
              <w:t xml:space="preserve"> korunových dluhopisů v držbě nerezidentů </w:t>
            </w:r>
            <w:r w:rsidRPr="0001742D">
              <w:rPr>
                <w:rFonts w:cs="Arial"/>
                <w:bCs/>
              </w:rPr>
              <w:t>(v %)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367" w:type="pct"/>
          </w:tcPr>
          <w:p w:rsidR="008A03DE" w:rsidRDefault="008A03DE" w:rsidP="008A03DE">
            <w:pPr>
              <w:spacing w:line="240" w:lineRule="auto"/>
            </w:pPr>
            <w:r>
              <w:t>Graf č. 22</w:t>
            </w:r>
          </w:p>
        </w:tc>
        <w:tc>
          <w:tcPr>
            <w:tcW w:w="2125" w:type="pct"/>
          </w:tcPr>
          <w:p w:rsidR="008A03DE" w:rsidRDefault="008A03DE" w:rsidP="008A03DE">
            <w:pPr>
              <w:spacing w:line="240" w:lineRule="auto"/>
              <w:rPr>
                <w:rFonts w:cs="Arial"/>
                <w:bCs/>
                <w:spacing w:val="-2"/>
              </w:rPr>
            </w:pPr>
            <w:r>
              <w:rPr>
                <w:rFonts w:cs="Arial"/>
                <w:b/>
                <w:bCs/>
                <w:spacing w:val="-2"/>
              </w:rPr>
              <w:t xml:space="preserve">Počet příjemců důchodů </w:t>
            </w:r>
            <w:r w:rsidRPr="007179B8">
              <w:rPr>
                <w:rFonts w:cs="Arial"/>
                <w:bCs/>
                <w:spacing w:val="-2"/>
              </w:rPr>
              <w:t>(v tis. osob),</w:t>
            </w:r>
            <w:r>
              <w:rPr>
                <w:rFonts w:cs="Arial"/>
                <w:b/>
                <w:bCs/>
                <w:spacing w:val="-2"/>
              </w:rPr>
              <w:t xml:space="preserve"> příjmy </w:t>
            </w:r>
            <w:r w:rsidRPr="006F2BEE">
              <w:rPr>
                <w:rFonts w:cs="Arial"/>
                <w:b/>
                <w:bCs/>
                <w:spacing w:val="-2"/>
              </w:rPr>
              <w:t>a výdaje</w:t>
            </w:r>
            <w:r>
              <w:rPr>
                <w:rFonts w:cs="Arial"/>
                <w:b/>
                <w:bCs/>
                <w:spacing w:val="-2"/>
              </w:rPr>
              <w:t xml:space="preserve"> na důchody ze SR</w:t>
            </w:r>
            <w:r w:rsidRPr="006F2BEE">
              <w:rPr>
                <w:rFonts w:cs="Arial"/>
                <w:b/>
                <w:bCs/>
                <w:spacing w:val="-2"/>
              </w:rPr>
              <w:t xml:space="preserve"> </w:t>
            </w:r>
            <w:r w:rsidRPr="006F2BEE">
              <w:rPr>
                <w:rFonts w:cs="Arial"/>
                <w:bCs/>
                <w:spacing w:val="-2"/>
              </w:rPr>
              <w:t xml:space="preserve">(y/y, v %) </w:t>
            </w:r>
          </w:p>
          <w:p w:rsidR="008A03DE" w:rsidRPr="006F2BEE" w:rsidRDefault="008A03DE" w:rsidP="008A03DE">
            <w:pPr>
              <w:spacing w:line="240" w:lineRule="auto"/>
              <w:rPr>
                <w:rFonts w:cs="Arial"/>
                <w:b/>
                <w:bCs/>
                <w:spacing w:val="-2"/>
              </w:rPr>
            </w:pPr>
            <w:r w:rsidRPr="006F2BEE">
              <w:rPr>
                <w:rFonts w:cs="Arial"/>
                <w:b/>
                <w:bCs/>
                <w:spacing w:val="-2"/>
              </w:rPr>
              <w:t xml:space="preserve">a bilance </w:t>
            </w:r>
            <w:r>
              <w:rPr>
                <w:rFonts w:cs="Arial"/>
                <w:b/>
                <w:bCs/>
                <w:spacing w:val="-2"/>
              </w:rPr>
              <w:t>důchodového</w:t>
            </w:r>
            <w:r w:rsidRPr="006F2BEE">
              <w:rPr>
                <w:rFonts w:cs="Arial"/>
                <w:b/>
                <w:bCs/>
                <w:spacing w:val="-2"/>
              </w:rPr>
              <w:t xml:space="preserve"> účtu </w:t>
            </w:r>
            <w:r w:rsidRPr="006F2BEE">
              <w:rPr>
                <w:rFonts w:cs="Arial"/>
                <w:bCs/>
                <w:spacing w:val="-2"/>
              </w:rPr>
              <w:t>(v mld. korun)</w:t>
            </w:r>
            <w:r>
              <w:rPr>
                <w:rFonts w:cs="Arial"/>
                <w:bCs/>
              </w:rPr>
              <w:t xml:space="preserve"> </w:t>
            </w:r>
          </w:p>
        </w:tc>
      </w:tr>
      <w:tr w:rsidR="008A03DE" w:rsidTr="008A03DE">
        <w:tc>
          <w:tcPr>
            <w:tcW w:w="2508" w:type="pct"/>
            <w:gridSpan w:val="2"/>
          </w:tcPr>
          <w:p w:rsidR="008A03DE" w:rsidRDefault="00906225" w:rsidP="008A03DE">
            <w:pPr>
              <w:pStyle w:val="Textpoznpodarou"/>
              <w:jc w:val="both"/>
            </w:pPr>
            <w:r>
              <w:rPr>
                <w:noProof/>
              </w:rPr>
              <w:drawing>
                <wp:inline distT="0" distB="0" distL="0" distR="0">
                  <wp:extent cx="3042920" cy="2179955"/>
                  <wp:effectExtent l="19050" t="0" r="5080" b="0"/>
                  <wp:docPr id="21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920" cy="2179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pct"/>
            <w:gridSpan w:val="2"/>
          </w:tcPr>
          <w:p w:rsidR="008A03DE" w:rsidRDefault="00906225" w:rsidP="008A03DE">
            <w:pPr>
              <w:pStyle w:val="Textpoznpodarou"/>
              <w:jc w:val="both"/>
            </w:pPr>
            <w:r>
              <w:rPr>
                <w:noProof/>
              </w:rPr>
              <w:drawing>
                <wp:inline distT="0" distB="0" distL="0" distR="0">
                  <wp:extent cx="3021330" cy="2179955"/>
                  <wp:effectExtent l="19050" t="0" r="7620" b="0"/>
                  <wp:docPr id="22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330" cy="2179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03DE" w:rsidTr="008A03DE">
        <w:tc>
          <w:tcPr>
            <w:tcW w:w="5000" w:type="pct"/>
            <w:gridSpan w:val="4"/>
          </w:tcPr>
          <w:p w:rsidR="008A03DE" w:rsidRPr="00245006" w:rsidRDefault="008A03DE" w:rsidP="008A03D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</w:rPr>
              <w:t>Zdroj: MF, ČSSZ</w:t>
            </w:r>
          </w:p>
        </w:tc>
      </w:tr>
    </w:tbl>
    <w:p w:rsidR="008A03DE" w:rsidRPr="008A03DE" w:rsidRDefault="008A03DE" w:rsidP="008A03DE">
      <w:pPr>
        <w:pStyle w:val="Textpoznpodarou"/>
        <w:jc w:val="both"/>
        <w:rPr>
          <w:rFonts w:cs="Arial"/>
          <w:color w:val="000000"/>
          <w:sz w:val="2"/>
          <w:szCs w:val="2"/>
        </w:rPr>
      </w:pPr>
    </w:p>
    <w:sectPr w:rsidR="008A03DE" w:rsidRPr="008A03DE" w:rsidSect="00F47CD6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6" w:h="16838" w:code="9"/>
      <w:pgMar w:top="1134" w:right="1134" w:bottom="1418" w:left="1134" w:header="680" w:footer="680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9F2" w:rsidRDefault="00FD39F2" w:rsidP="00E71A58">
      <w:r>
        <w:separator/>
      </w:r>
    </w:p>
  </w:endnote>
  <w:endnote w:type="continuationSeparator" w:id="0">
    <w:p w:rsidR="00FD39F2" w:rsidRDefault="00FD39F2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2C" w:rsidRDefault="006E182C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48BD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2248BD" w:rsidRPr="005A21E0">
      <w:rPr>
        <w:rFonts w:ascii="Arial" w:hAnsi="Arial" w:cs="Arial"/>
        <w:sz w:val="16"/>
        <w:szCs w:val="16"/>
      </w:rPr>
      <w:fldChar w:fldCharType="separate"/>
    </w:r>
    <w:r w:rsidR="00F47CD6">
      <w:rPr>
        <w:rFonts w:ascii="Arial" w:hAnsi="Arial" w:cs="Arial"/>
        <w:noProof/>
        <w:sz w:val="16"/>
        <w:szCs w:val="16"/>
      </w:rPr>
      <w:t>22</w:t>
    </w:r>
    <w:r w:rsidR="002248BD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2017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2C" w:rsidRDefault="006E182C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3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6E182C" w:rsidRPr="00223E00" w:rsidRDefault="006E182C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2017</w:t>
    </w:r>
    <w:r>
      <w:rPr>
        <w:rFonts w:ascii="Arial" w:hAnsi="Arial" w:cs="Arial"/>
        <w:sz w:val="16"/>
        <w:szCs w:val="16"/>
      </w:rPr>
      <w:tab/>
    </w:r>
    <w:r w:rsidR="002248BD"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="002248BD" w:rsidRPr="00223E00">
      <w:rPr>
        <w:rFonts w:ascii="Arial" w:hAnsi="Arial" w:cs="Arial"/>
        <w:sz w:val="16"/>
        <w:szCs w:val="16"/>
      </w:rPr>
      <w:fldChar w:fldCharType="separate"/>
    </w:r>
    <w:r w:rsidR="00F47CD6">
      <w:rPr>
        <w:rFonts w:ascii="Arial" w:hAnsi="Arial" w:cs="Arial"/>
        <w:noProof/>
        <w:sz w:val="16"/>
        <w:szCs w:val="16"/>
      </w:rPr>
      <w:t>21</w:t>
    </w:r>
    <w:r w:rsidR="002248BD"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9F2" w:rsidRDefault="00FD39F2" w:rsidP="00E71A58">
      <w:r>
        <w:separator/>
      </w:r>
    </w:p>
  </w:footnote>
  <w:footnote w:type="continuationSeparator" w:id="0">
    <w:p w:rsidR="00FD39F2" w:rsidRDefault="00FD39F2" w:rsidP="00E71A58">
      <w:r>
        <w:continuationSeparator/>
      </w:r>
    </w:p>
  </w:footnote>
  <w:footnote w:id="1">
    <w:p w:rsidR="006E182C" w:rsidRPr="00344EC4" w:rsidRDefault="006E182C" w:rsidP="008A03DE">
      <w:pPr>
        <w:pStyle w:val="Textpoznpodarou"/>
        <w:jc w:val="both"/>
        <w:rPr>
          <w:sz w:val="16"/>
          <w:szCs w:val="16"/>
        </w:rPr>
      </w:pPr>
      <w:r w:rsidRPr="00344EC4">
        <w:rPr>
          <w:rStyle w:val="Znakapoznpodarou"/>
          <w:sz w:val="16"/>
          <w:szCs w:val="16"/>
        </w:rPr>
        <w:footnoteRef/>
      </w:r>
      <w:r w:rsidRPr="00344EC4">
        <w:rPr>
          <w:sz w:val="16"/>
          <w:szCs w:val="16"/>
        </w:rPr>
        <w:t xml:space="preserve"> Celostátní inkaso daňových příjmů (</w:t>
      </w:r>
      <w:r>
        <w:rPr>
          <w:sz w:val="16"/>
          <w:szCs w:val="16"/>
        </w:rPr>
        <w:t>tj. na úrovni všech veřejných rozpočtů</w:t>
      </w:r>
      <w:r w:rsidRPr="00344EC4">
        <w:rPr>
          <w:sz w:val="16"/>
          <w:szCs w:val="16"/>
        </w:rPr>
        <w:t xml:space="preserve">) </w:t>
      </w:r>
      <w:r>
        <w:rPr>
          <w:sz w:val="16"/>
          <w:szCs w:val="16"/>
        </w:rPr>
        <w:t>se proti roku 2015 navýšilo dokonce o 8,4</w:t>
      </w:r>
      <w:r w:rsidRPr="00344EC4">
        <w:rPr>
          <w:sz w:val="16"/>
          <w:szCs w:val="16"/>
        </w:rPr>
        <w:t xml:space="preserve"> %. Daňové </w:t>
      </w:r>
      <w:r w:rsidRPr="00344EC4">
        <w:rPr>
          <w:rFonts w:cs="Arial"/>
          <w:color w:val="000000"/>
          <w:spacing w:val="-2"/>
          <w:sz w:val="16"/>
          <w:szCs w:val="16"/>
        </w:rPr>
        <w:t xml:space="preserve">příjmy </w:t>
      </w:r>
      <w:r>
        <w:rPr>
          <w:rFonts w:cs="Arial"/>
          <w:color w:val="000000"/>
          <w:spacing w:val="-2"/>
          <w:sz w:val="16"/>
          <w:szCs w:val="16"/>
        </w:rPr>
        <w:t xml:space="preserve">samotného </w:t>
      </w:r>
      <w:r w:rsidRPr="00344EC4">
        <w:rPr>
          <w:rFonts w:cs="Arial"/>
          <w:color w:val="000000"/>
          <w:spacing w:val="-2"/>
          <w:sz w:val="16"/>
          <w:szCs w:val="16"/>
        </w:rPr>
        <w:t>SR byly vloni negativně ovlivněny změnou rozpo</w:t>
      </w:r>
      <w:r>
        <w:rPr>
          <w:rFonts w:cs="Arial"/>
          <w:color w:val="000000"/>
          <w:spacing w:val="-2"/>
          <w:sz w:val="16"/>
          <w:szCs w:val="16"/>
        </w:rPr>
        <w:t>čtového určení daní, když se snížil</w:t>
      </w:r>
      <w:r w:rsidRPr="00344EC4">
        <w:rPr>
          <w:rFonts w:cs="Arial"/>
          <w:color w:val="000000"/>
          <w:spacing w:val="-2"/>
          <w:sz w:val="16"/>
          <w:szCs w:val="16"/>
        </w:rPr>
        <w:t xml:space="preserve"> podíl SR na celostátním inkasu zhruba </w:t>
      </w:r>
      <w:r>
        <w:rPr>
          <w:rFonts w:cs="Arial"/>
          <w:color w:val="000000"/>
          <w:spacing w:val="-2"/>
          <w:sz w:val="16"/>
          <w:szCs w:val="16"/>
        </w:rPr>
        <w:t>o 1 </w:t>
      </w:r>
      <w:proofErr w:type="spellStart"/>
      <w:proofErr w:type="gramStart"/>
      <w:r>
        <w:rPr>
          <w:rFonts w:cs="Arial"/>
          <w:color w:val="000000"/>
          <w:spacing w:val="-2"/>
          <w:sz w:val="16"/>
          <w:szCs w:val="16"/>
        </w:rPr>
        <w:t>p.b</w:t>
      </w:r>
      <w:proofErr w:type="spellEnd"/>
      <w:r>
        <w:rPr>
          <w:rFonts w:cs="Arial"/>
          <w:color w:val="000000"/>
          <w:spacing w:val="-2"/>
          <w:sz w:val="16"/>
          <w:szCs w:val="16"/>
        </w:rPr>
        <w:t>., a to</w:t>
      </w:r>
      <w:proofErr w:type="gramEnd"/>
      <w:r>
        <w:rPr>
          <w:rFonts w:cs="Arial"/>
          <w:color w:val="000000"/>
          <w:spacing w:val="-2"/>
          <w:sz w:val="16"/>
          <w:szCs w:val="16"/>
        </w:rPr>
        <w:t xml:space="preserve"> jak u DPH, tak i</w:t>
      </w:r>
      <w:r w:rsidRPr="00344EC4">
        <w:rPr>
          <w:rFonts w:cs="Arial"/>
          <w:color w:val="000000"/>
          <w:spacing w:val="-2"/>
          <w:sz w:val="16"/>
          <w:szCs w:val="16"/>
        </w:rPr>
        <w:t> u daně z příjmu fyzických osob ze závislé činnosti.</w:t>
      </w:r>
    </w:p>
  </w:footnote>
  <w:footnote w:id="2">
    <w:p w:rsidR="006E182C" w:rsidRPr="00E531D0" w:rsidRDefault="006E182C" w:rsidP="008A03DE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16"/>
          <w:szCs w:val="16"/>
        </w:rPr>
      </w:pPr>
      <w:r w:rsidRPr="00E531D0">
        <w:rPr>
          <w:rStyle w:val="Znakapoznpodarou"/>
          <w:sz w:val="16"/>
          <w:szCs w:val="16"/>
        </w:rPr>
        <w:footnoteRef/>
      </w:r>
      <w:r w:rsidRPr="00E531D0">
        <w:rPr>
          <w:sz w:val="16"/>
          <w:szCs w:val="16"/>
        </w:rPr>
        <w:t xml:space="preserve"> Od ledna do listopadu se celková spotřeba motorové nafty zvýšila o 4</w:t>
      </w:r>
      <w:r>
        <w:rPr>
          <w:sz w:val="16"/>
          <w:szCs w:val="16"/>
        </w:rPr>
        <w:t>,0</w:t>
      </w:r>
      <w:r w:rsidRPr="00E531D0">
        <w:rPr>
          <w:sz w:val="16"/>
          <w:szCs w:val="16"/>
        </w:rPr>
        <w:t xml:space="preserve"> %, u motorového benzínu o 1,7 %. </w:t>
      </w:r>
      <w:r w:rsidRPr="00E531D0">
        <w:rPr>
          <w:rFonts w:cs="Arial"/>
          <w:sz w:val="16"/>
          <w:szCs w:val="16"/>
        </w:rPr>
        <w:t>Vlivem snížení podpory čistých a</w:t>
      </w:r>
      <w:r>
        <w:rPr>
          <w:rFonts w:cs="Arial"/>
          <w:sz w:val="16"/>
          <w:szCs w:val="16"/>
        </w:rPr>
        <w:t xml:space="preserve"> </w:t>
      </w:r>
      <w:r w:rsidRPr="00E531D0">
        <w:rPr>
          <w:rFonts w:cs="Arial"/>
          <w:sz w:val="16"/>
          <w:szCs w:val="16"/>
        </w:rPr>
        <w:t xml:space="preserve">vysokoprocentních </w:t>
      </w:r>
      <w:proofErr w:type="spellStart"/>
      <w:r w:rsidRPr="00E531D0">
        <w:rPr>
          <w:rFonts w:cs="Arial"/>
          <w:sz w:val="16"/>
          <w:szCs w:val="16"/>
        </w:rPr>
        <w:t>biopaliv</w:t>
      </w:r>
      <w:proofErr w:type="spellEnd"/>
      <w:r w:rsidRPr="00E531D0">
        <w:rPr>
          <w:rFonts w:cs="Arial"/>
          <w:sz w:val="16"/>
          <w:szCs w:val="16"/>
        </w:rPr>
        <w:t xml:space="preserve"> v dopravě (od roku 2016) lze předpokládat, že se část spotřeby přesunula k více zdaněným pohonným hmotám.</w:t>
      </w:r>
      <w:r>
        <w:rPr>
          <w:rFonts w:cs="Arial"/>
          <w:sz w:val="16"/>
          <w:szCs w:val="16"/>
        </w:rPr>
        <w:t xml:space="preserve"> Spotřebitelské ceny PHM se po jedenáct měsíců loňského roku nacházely nejníže od hluboké recese (2009).</w:t>
      </w:r>
    </w:p>
  </w:footnote>
  <w:footnote w:id="3">
    <w:p w:rsidR="006E182C" w:rsidRPr="00401D00" w:rsidRDefault="006E182C" w:rsidP="008A03DE">
      <w:pPr>
        <w:pStyle w:val="Textpoznpodarou"/>
        <w:jc w:val="both"/>
        <w:rPr>
          <w:sz w:val="16"/>
          <w:szCs w:val="16"/>
        </w:rPr>
      </w:pPr>
      <w:r w:rsidRPr="00401D00">
        <w:rPr>
          <w:rStyle w:val="Znakapoznpodarou"/>
          <w:sz w:val="16"/>
          <w:szCs w:val="16"/>
        </w:rPr>
        <w:footnoteRef/>
      </w:r>
      <w:r w:rsidRPr="00401D00">
        <w:rPr>
          <w:sz w:val="16"/>
          <w:szCs w:val="16"/>
        </w:rPr>
        <w:t xml:space="preserve"> Příčinou byl prudký meziroční pokles inkasa v krizovém roce 2009 (o více než třetinu)</w:t>
      </w:r>
      <w:r>
        <w:rPr>
          <w:sz w:val="16"/>
          <w:szCs w:val="16"/>
        </w:rPr>
        <w:t>, v menší míře působilo i snížení sazby daně z 21 % na 19 % v období let 2010 a 2011.</w:t>
      </w:r>
    </w:p>
  </w:footnote>
  <w:footnote w:id="4">
    <w:p w:rsidR="006E182C" w:rsidRPr="00870540" w:rsidRDefault="006E182C" w:rsidP="008A03DE">
      <w:pPr>
        <w:pStyle w:val="Textpoznpodarou"/>
        <w:rPr>
          <w:sz w:val="16"/>
          <w:szCs w:val="16"/>
        </w:rPr>
      </w:pPr>
      <w:r w:rsidRPr="00870540">
        <w:rPr>
          <w:rStyle w:val="Znakapoznpodarou"/>
          <w:sz w:val="16"/>
          <w:szCs w:val="16"/>
        </w:rPr>
        <w:footnoteRef/>
      </w:r>
      <w:r w:rsidRPr="00870540">
        <w:rPr>
          <w:sz w:val="16"/>
          <w:szCs w:val="16"/>
        </w:rPr>
        <w:t xml:space="preserve"> Na celostátní inkaso DPFO ze závislé činnosti negativně působily legisla</w:t>
      </w:r>
      <w:r>
        <w:rPr>
          <w:sz w:val="16"/>
          <w:szCs w:val="16"/>
        </w:rPr>
        <w:t xml:space="preserve">tivní úpravy – </w:t>
      </w:r>
      <w:r w:rsidRPr="00870540">
        <w:rPr>
          <w:sz w:val="16"/>
          <w:szCs w:val="16"/>
        </w:rPr>
        <w:t>v meziročním srovnání šlo především o další zvýšení daňového zvýhodnění na druhé a další dítě. V porovnání s efektem růstu ekonomiky se však jednalo o spíše okrajový vliv.</w:t>
      </w:r>
    </w:p>
  </w:footnote>
  <w:footnote w:id="5">
    <w:p w:rsidR="006E182C" w:rsidRPr="009E2F88" w:rsidRDefault="006E182C" w:rsidP="008A03DE">
      <w:pPr>
        <w:pStyle w:val="Textpoznpodarou"/>
        <w:rPr>
          <w:sz w:val="16"/>
          <w:szCs w:val="16"/>
        </w:rPr>
      </w:pPr>
      <w:r w:rsidRPr="009E2F88">
        <w:rPr>
          <w:rStyle w:val="Znakapoznpodarou"/>
          <w:sz w:val="16"/>
          <w:szCs w:val="16"/>
        </w:rPr>
        <w:footnoteRef/>
      </w:r>
      <w:r w:rsidRPr="009E2F88">
        <w:rPr>
          <w:sz w:val="16"/>
          <w:szCs w:val="16"/>
        </w:rPr>
        <w:t xml:space="preserve"> Na společné programy ČR a EU </w:t>
      </w:r>
      <w:r>
        <w:rPr>
          <w:sz w:val="16"/>
          <w:szCs w:val="16"/>
        </w:rPr>
        <w:t>(bez společné zemědělské politiky</w:t>
      </w:r>
      <w:r w:rsidRPr="009E2F88">
        <w:rPr>
          <w:sz w:val="16"/>
          <w:szCs w:val="16"/>
        </w:rPr>
        <w:t>) bylo dle předběžných údajů v roce 2016 vyčerpáno</w:t>
      </w:r>
      <w:r>
        <w:rPr>
          <w:sz w:val="16"/>
          <w:szCs w:val="16"/>
        </w:rPr>
        <w:t xml:space="preserve"> na běžných i</w:t>
      </w:r>
      <w:r w:rsidRPr="009E2F88">
        <w:rPr>
          <w:sz w:val="16"/>
          <w:szCs w:val="16"/>
        </w:rPr>
        <w:t> </w:t>
      </w:r>
      <w:r>
        <w:rPr>
          <w:sz w:val="16"/>
          <w:szCs w:val="16"/>
        </w:rPr>
        <w:t xml:space="preserve">kapitálových výdajích </w:t>
      </w:r>
      <w:r w:rsidRPr="009E2F88">
        <w:rPr>
          <w:sz w:val="16"/>
          <w:szCs w:val="16"/>
        </w:rPr>
        <w:t>54,3 mld. korun (rozpočtové očekává</w:t>
      </w:r>
      <w:r>
        <w:rPr>
          <w:sz w:val="16"/>
          <w:szCs w:val="16"/>
        </w:rPr>
        <w:t>ní</w:t>
      </w:r>
      <w:r w:rsidRPr="009E2F88">
        <w:rPr>
          <w:sz w:val="16"/>
          <w:szCs w:val="16"/>
        </w:rPr>
        <w:t xml:space="preserve"> činilo 70 mld.).</w:t>
      </w:r>
    </w:p>
  </w:footnote>
  <w:footnote w:id="6">
    <w:p w:rsidR="006E182C" w:rsidRPr="009D7CC5" w:rsidRDefault="006E182C" w:rsidP="008A03DE">
      <w:pPr>
        <w:pStyle w:val="Textpoznpodarou"/>
        <w:rPr>
          <w:sz w:val="16"/>
          <w:szCs w:val="16"/>
        </w:rPr>
      </w:pPr>
      <w:r w:rsidRPr="009D7CC5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V období let 2015</w:t>
      </w:r>
      <w:r w:rsidRPr="008525F9">
        <w:rPr>
          <w:rFonts w:cs="Arial"/>
          <w:color w:val="0D0D0D" w:themeColor="text1" w:themeTint="F2"/>
          <w:spacing w:val="-4"/>
          <w:sz w:val="16"/>
          <w:szCs w:val="16"/>
        </w:rPr>
        <w:t>–</w:t>
      </w:r>
      <w:r w:rsidRPr="009D7CC5">
        <w:rPr>
          <w:sz w:val="16"/>
          <w:szCs w:val="16"/>
        </w:rPr>
        <w:t xml:space="preserve">2016 činil </w:t>
      </w:r>
      <w:r>
        <w:rPr>
          <w:sz w:val="16"/>
          <w:szCs w:val="16"/>
        </w:rPr>
        <w:t>v průměru podíl investic na výdajích SR 10,2 %</w:t>
      </w:r>
      <w:r w:rsidRPr="009D7CC5">
        <w:rPr>
          <w:sz w:val="16"/>
          <w:szCs w:val="16"/>
        </w:rPr>
        <w:t xml:space="preserve"> podobně jak</w:t>
      </w:r>
      <w:r>
        <w:rPr>
          <w:sz w:val="16"/>
          <w:szCs w:val="16"/>
        </w:rPr>
        <w:t>o v předchozím desetiletí (2005</w:t>
      </w:r>
      <w:r w:rsidRPr="008525F9">
        <w:rPr>
          <w:rFonts w:cs="Arial"/>
          <w:color w:val="0D0D0D" w:themeColor="text1" w:themeTint="F2"/>
          <w:spacing w:val="-4"/>
          <w:sz w:val="16"/>
          <w:szCs w:val="16"/>
        </w:rPr>
        <w:t>–</w:t>
      </w:r>
      <w:r w:rsidRPr="009D7CC5">
        <w:rPr>
          <w:sz w:val="16"/>
          <w:szCs w:val="16"/>
        </w:rPr>
        <w:t xml:space="preserve">2014). </w:t>
      </w:r>
    </w:p>
  </w:footnote>
  <w:footnote w:id="7">
    <w:p w:rsidR="006E182C" w:rsidRPr="009675CE" w:rsidRDefault="006E182C" w:rsidP="008A03DE">
      <w:pPr>
        <w:pStyle w:val="Textpoznpodarou"/>
        <w:rPr>
          <w:rFonts w:cs="Arial"/>
          <w:sz w:val="16"/>
          <w:szCs w:val="16"/>
        </w:rPr>
      </w:pPr>
      <w:r w:rsidRPr="009675CE">
        <w:rPr>
          <w:rStyle w:val="Znakapoznpodarou"/>
          <w:rFonts w:cs="Arial"/>
          <w:sz w:val="16"/>
          <w:szCs w:val="16"/>
        </w:rPr>
        <w:footnoteRef/>
      </w:r>
      <w:r w:rsidRPr="009675CE">
        <w:rPr>
          <w:rFonts w:cs="Arial"/>
          <w:sz w:val="16"/>
          <w:szCs w:val="16"/>
        </w:rPr>
        <w:t xml:space="preserve"> Od ledna 2015 došlo k návratu k dřívější pl</w:t>
      </w:r>
      <w:r>
        <w:rPr>
          <w:rFonts w:cs="Arial"/>
          <w:sz w:val="16"/>
          <w:szCs w:val="16"/>
        </w:rPr>
        <w:t>né valorizaci důchodů. Ty při současném valorizačním schématu opět plně zohledňují nárůst</w:t>
      </w:r>
      <w:r w:rsidRPr="009675CE">
        <w:rPr>
          <w:rFonts w:cs="Arial"/>
          <w:sz w:val="16"/>
          <w:szCs w:val="16"/>
        </w:rPr>
        <w:t xml:space="preserve"> spotřebitelských cen a </w:t>
      </w:r>
      <w:r>
        <w:rPr>
          <w:rFonts w:cs="Arial"/>
          <w:sz w:val="16"/>
          <w:szCs w:val="16"/>
        </w:rPr>
        <w:t xml:space="preserve">dále </w:t>
      </w:r>
      <w:r w:rsidRPr="009675CE">
        <w:rPr>
          <w:rFonts w:cs="Arial"/>
          <w:sz w:val="16"/>
          <w:szCs w:val="16"/>
        </w:rPr>
        <w:t>1/3 nárůstu reálné mzdy.</w:t>
      </w:r>
    </w:p>
  </w:footnote>
  <w:footnote w:id="8">
    <w:p w:rsidR="006E182C" w:rsidRPr="00075762" w:rsidRDefault="006E182C" w:rsidP="008A03DE">
      <w:pPr>
        <w:pStyle w:val="Textpoznpodarou"/>
        <w:rPr>
          <w:sz w:val="16"/>
          <w:szCs w:val="16"/>
        </w:rPr>
      </w:pPr>
      <w:r w:rsidRPr="00075762">
        <w:rPr>
          <w:rStyle w:val="Znakapoznpodarou"/>
          <w:sz w:val="16"/>
          <w:szCs w:val="16"/>
        </w:rPr>
        <w:footnoteRef/>
      </w:r>
      <w:r w:rsidRPr="00075762">
        <w:rPr>
          <w:sz w:val="16"/>
          <w:szCs w:val="16"/>
        </w:rPr>
        <w:t xml:space="preserve"> Příliv spekulativního kapitálu v souvislosti s blížícím se ukončením kurzového závazku ČNB na počátku roku 2017 akceleroval. Na konci ledna vlastnili </w:t>
      </w:r>
      <w:proofErr w:type="spellStart"/>
      <w:r w:rsidRPr="00075762">
        <w:rPr>
          <w:sz w:val="16"/>
          <w:szCs w:val="16"/>
        </w:rPr>
        <w:t>nerezidenti</w:t>
      </w:r>
      <w:proofErr w:type="spellEnd"/>
      <w:r w:rsidRPr="00075762">
        <w:rPr>
          <w:sz w:val="16"/>
          <w:szCs w:val="16"/>
        </w:rPr>
        <w:t xml:space="preserve"> české dluhopisy </w:t>
      </w:r>
      <w:r>
        <w:rPr>
          <w:sz w:val="16"/>
          <w:szCs w:val="16"/>
        </w:rPr>
        <w:t xml:space="preserve">již </w:t>
      </w:r>
      <w:r w:rsidRPr="00075762">
        <w:rPr>
          <w:sz w:val="16"/>
          <w:szCs w:val="16"/>
        </w:rPr>
        <w:t xml:space="preserve">za </w:t>
      </w:r>
      <w:r>
        <w:rPr>
          <w:sz w:val="16"/>
          <w:szCs w:val="16"/>
        </w:rPr>
        <w:t xml:space="preserve">538,8 mld. korun, resp. 38,7 % </w:t>
      </w:r>
      <w:r w:rsidRPr="00075762">
        <w:rPr>
          <w:rFonts w:cs="Arial"/>
          <w:color w:val="0D0D0D"/>
          <w:spacing w:val="-4"/>
          <w:sz w:val="16"/>
          <w:szCs w:val="16"/>
        </w:rPr>
        <w:t>hodnoty všech korunových dluhopisů).</w:t>
      </w:r>
    </w:p>
  </w:footnote>
  <w:footnote w:id="9">
    <w:p w:rsidR="006E182C" w:rsidRPr="00AC3D02" w:rsidRDefault="00220838" w:rsidP="008A03DE">
      <w:pPr>
        <w:pStyle w:val="Textpoznpodarou"/>
        <w:jc w:val="both"/>
        <w:rPr>
          <w:rFonts w:cs="Arial"/>
          <w:color w:val="0D0D0D" w:themeColor="text1" w:themeTint="F2"/>
          <w:sz w:val="16"/>
          <w:szCs w:val="16"/>
        </w:rPr>
      </w:pPr>
      <w:r w:rsidRPr="00220838">
        <w:rPr>
          <w:rStyle w:val="Znakapoznpodarou"/>
          <w:color w:val="0D0D0D" w:themeColor="text1" w:themeTint="F2"/>
          <w:sz w:val="16"/>
        </w:rPr>
        <w:footnoteRef/>
      </w:r>
      <w:r w:rsidRPr="00220838">
        <w:rPr>
          <w:color w:val="0D0D0D" w:themeColor="text1" w:themeTint="F2"/>
          <w:sz w:val="16"/>
        </w:rPr>
        <w:t xml:space="preserve"> </w:t>
      </w:r>
      <w:r w:rsidRPr="00220838">
        <w:rPr>
          <w:color w:val="0D0D0D" w:themeColor="text1" w:themeTint="F2"/>
          <w:spacing w:val="-4"/>
          <w:sz w:val="16"/>
        </w:rPr>
        <w:t>Dluh sektoru vládních institucí zahrnuje vedle centrálních vládních institucí i hospodaření územně správních celků či zdravotních pojišťoven.</w:t>
      </w:r>
      <w:r w:rsidRPr="00220838">
        <w:rPr>
          <w:color w:val="0D0D0D" w:themeColor="text1" w:themeTint="F2"/>
          <w:sz w:val="16"/>
        </w:rPr>
        <w:t xml:space="preserve"> Předběžné údaje o dluhu a deficitu sektoru vládních institucí za celý rok 2016 zveřejní ČSÚ 4. dubna 2017 (</w:t>
      </w:r>
      <w:proofErr w:type="spellStart"/>
      <w:r w:rsidRPr="00220838">
        <w:rPr>
          <w:color w:val="0D0D0D" w:themeColor="text1" w:themeTint="F2"/>
          <w:sz w:val="16"/>
        </w:rPr>
        <w:t>Eurostat</w:t>
      </w:r>
      <w:proofErr w:type="spellEnd"/>
      <w:r w:rsidRPr="00220838">
        <w:rPr>
          <w:color w:val="0D0D0D" w:themeColor="text1" w:themeTint="F2"/>
          <w:sz w:val="16"/>
        </w:rPr>
        <w:t xml:space="preserve"> pak 24. dubna).</w:t>
      </w:r>
    </w:p>
  </w:footnote>
  <w:footnote w:id="10">
    <w:p w:rsidR="006E182C" w:rsidRPr="00AC3D02" w:rsidRDefault="00220838" w:rsidP="008A03DE">
      <w:pPr>
        <w:pStyle w:val="Textpoznpodarou"/>
        <w:rPr>
          <w:color w:val="0D0D0D" w:themeColor="text1" w:themeTint="F2"/>
          <w:sz w:val="16"/>
          <w:szCs w:val="16"/>
        </w:rPr>
      </w:pPr>
      <w:r w:rsidRPr="00220838">
        <w:rPr>
          <w:rStyle w:val="Znakapoznpodarou"/>
          <w:color w:val="0D0D0D" w:themeColor="text1" w:themeTint="F2"/>
          <w:sz w:val="16"/>
        </w:rPr>
        <w:footnoteRef/>
      </w:r>
      <w:r w:rsidRPr="00220838">
        <w:rPr>
          <w:color w:val="0D0D0D" w:themeColor="text1" w:themeTint="F2"/>
          <w:sz w:val="16"/>
        </w:rPr>
        <w:t xml:space="preserve"> Státy, jejichž dluh sektoru vládních institucí loni převyšoval 95 % HDP (Řecko, Portugalsko, Itálie, Kypr, Belgie, Španělsko a Francie).</w:t>
      </w:r>
    </w:p>
  </w:footnote>
  <w:footnote w:id="11">
    <w:p w:rsidR="006E182C" w:rsidRPr="00552EAB" w:rsidRDefault="00220838" w:rsidP="008A03DE">
      <w:pPr>
        <w:pStyle w:val="Textpoznpodarou"/>
        <w:jc w:val="both"/>
        <w:rPr>
          <w:sz w:val="16"/>
          <w:szCs w:val="16"/>
        </w:rPr>
      </w:pPr>
      <w:r w:rsidRPr="00220838">
        <w:rPr>
          <w:rStyle w:val="Znakapoznpodarou"/>
          <w:color w:val="0D0D0D" w:themeColor="text1" w:themeTint="F2"/>
          <w:sz w:val="16"/>
        </w:rPr>
        <w:footnoteRef/>
      </w:r>
      <w:r w:rsidRPr="00220838">
        <w:rPr>
          <w:color w:val="0D0D0D" w:themeColor="text1" w:themeTint="F2"/>
          <w:sz w:val="16"/>
        </w:rPr>
        <w:t xml:space="preserve"> Indikátory salda hospodaření a dluhu vládních institucí jsou založeny na </w:t>
      </w:r>
      <w:proofErr w:type="spellStart"/>
      <w:r w:rsidRPr="00220838">
        <w:rPr>
          <w:color w:val="0D0D0D" w:themeColor="text1" w:themeTint="F2"/>
          <w:sz w:val="16"/>
        </w:rPr>
        <w:t>akruálním</w:t>
      </w:r>
      <w:proofErr w:type="spellEnd"/>
      <w:r w:rsidRPr="00220838">
        <w:rPr>
          <w:color w:val="0D0D0D" w:themeColor="text1" w:themeTint="F2"/>
          <w:sz w:val="16"/>
        </w:rPr>
        <w:t xml:space="preserve"> principu. Dle něj jsou příjmy a výdaje přiřazeny období, se kterým věcně souvisí, tj. bez ohledu na období uskutečnění hotovostního toku (jak je tomu v případě pokladního plnění).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2C" w:rsidRPr="00C00831" w:rsidRDefault="006E182C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Vývoj ekonomiky České republiky v roce 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2C" w:rsidRPr="00D766EF" w:rsidRDefault="006E182C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Vývoj ekonomiky České republiky v roce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5BAB"/>
    <w:multiLevelType w:val="hybridMultilevel"/>
    <w:tmpl w:val="4150E6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B457C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714A0B"/>
    <w:multiLevelType w:val="hybridMultilevel"/>
    <w:tmpl w:val="11CE6D6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F62C9"/>
    <w:multiLevelType w:val="hybridMultilevel"/>
    <w:tmpl w:val="FFCA852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3A7708B"/>
    <w:multiLevelType w:val="hybridMultilevel"/>
    <w:tmpl w:val="9CF6FB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AD014E"/>
    <w:multiLevelType w:val="hybridMultilevel"/>
    <w:tmpl w:val="5A5AB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B18EA"/>
    <w:multiLevelType w:val="hybridMultilevel"/>
    <w:tmpl w:val="CFC2F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D3A31"/>
    <w:multiLevelType w:val="hybridMultilevel"/>
    <w:tmpl w:val="B376532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34B5E"/>
    <w:multiLevelType w:val="hybridMultilevel"/>
    <w:tmpl w:val="1180B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4D0FE2"/>
    <w:multiLevelType w:val="hybridMultilevel"/>
    <w:tmpl w:val="ECDE8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93E7F"/>
    <w:multiLevelType w:val="hybridMultilevel"/>
    <w:tmpl w:val="CEA2AC4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90D45"/>
    <w:multiLevelType w:val="hybridMultilevel"/>
    <w:tmpl w:val="7810A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C501C8"/>
    <w:multiLevelType w:val="hybridMultilevel"/>
    <w:tmpl w:val="0C043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805D16"/>
    <w:multiLevelType w:val="hybridMultilevel"/>
    <w:tmpl w:val="A1248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261EC"/>
    <w:multiLevelType w:val="hybridMultilevel"/>
    <w:tmpl w:val="BFC0B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6C940DA"/>
    <w:multiLevelType w:val="hybridMultilevel"/>
    <w:tmpl w:val="D2C67DD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BC47DB"/>
    <w:multiLevelType w:val="hybridMultilevel"/>
    <w:tmpl w:val="AA5065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16"/>
  </w:num>
  <w:num w:numId="5">
    <w:abstractNumId w:val="10"/>
  </w:num>
  <w:num w:numId="6">
    <w:abstractNumId w:val="13"/>
  </w:num>
  <w:num w:numId="7">
    <w:abstractNumId w:val="3"/>
  </w:num>
  <w:num w:numId="8">
    <w:abstractNumId w:val="8"/>
  </w:num>
  <w:num w:numId="9">
    <w:abstractNumId w:val="15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0"/>
  </w:num>
  <w:num w:numId="15">
    <w:abstractNumId w:val="14"/>
  </w:num>
  <w:num w:numId="16">
    <w:abstractNumId w:val="11"/>
  </w:num>
  <w:num w:numId="17">
    <w:abstractNumId w:val="4"/>
  </w:num>
  <w:num w:numId="18">
    <w:abstractNumId w:val="17"/>
  </w:num>
  <w:num w:numId="19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102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9B70BD"/>
    <w:rsid w:val="00000FA7"/>
    <w:rsid w:val="00001EFF"/>
    <w:rsid w:val="00003687"/>
    <w:rsid w:val="00003C43"/>
    <w:rsid w:val="00004EB0"/>
    <w:rsid w:val="00007498"/>
    <w:rsid w:val="0000767A"/>
    <w:rsid w:val="000101F5"/>
    <w:rsid w:val="000104B9"/>
    <w:rsid w:val="00010702"/>
    <w:rsid w:val="00010770"/>
    <w:rsid w:val="00011191"/>
    <w:rsid w:val="0001159B"/>
    <w:rsid w:val="000117CA"/>
    <w:rsid w:val="00012986"/>
    <w:rsid w:val="00014028"/>
    <w:rsid w:val="00015195"/>
    <w:rsid w:val="0001519F"/>
    <w:rsid w:val="0001572B"/>
    <w:rsid w:val="0001573E"/>
    <w:rsid w:val="000157DA"/>
    <w:rsid w:val="0001589D"/>
    <w:rsid w:val="00016033"/>
    <w:rsid w:val="000162DB"/>
    <w:rsid w:val="00017F05"/>
    <w:rsid w:val="000202C6"/>
    <w:rsid w:val="00020946"/>
    <w:rsid w:val="00022081"/>
    <w:rsid w:val="0002292C"/>
    <w:rsid w:val="00022B41"/>
    <w:rsid w:val="00023FB5"/>
    <w:rsid w:val="0002434F"/>
    <w:rsid w:val="00024887"/>
    <w:rsid w:val="00024CBA"/>
    <w:rsid w:val="00025501"/>
    <w:rsid w:val="00026998"/>
    <w:rsid w:val="00026B06"/>
    <w:rsid w:val="000304C4"/>
    <w:rsid w:val="0003066A"/>
    <w:rsid w:val="00030F14"/>
    <w:rsid w:val="000311C5"/>
    <w:rsid w:val="00032838"/>
    <w:rsid w:val="00032C12"/>
    <w:rsid w:val="00032E0C"/>
    <w:rsid w:val="00035CCF"/>
    <w:rsid w:val="00035FC6"/>
    <w:rsid w:val="0003705E"/>
    <w:rsid w:val="00037667"/>
    <w:rsid w:val="0004075D"/>
    <w:rsid w:val="000411E1"/>
    <w:rsid w:val="00041E9C"/>
    <w:rsid w:val="00043C68"/>
    <w:rsid w:val="00043E05"/>
    <w:rsid w:val="0004694F"/>
    <w:rsid w:val="000500DC"/>
    <w:rsid w:val="000509FD"/>
    <w:rsid w:val="00051ADE"/>
    <w:rsid w:val="00052052"/>
    <w:rsid w:val="00052172"/>
    <w:rsid w:val="000534FD"/>
    <w:rsid w:val="00053CBA"/>
    <w:rsid w:val="00054E43"/>
    <w:rsid w:val="00055059"/>
    <w:rsid w:val="000553E4"/>
    <w:rsid w:val="000567FA"/>
    <w:rsid w:val="00056B26"/>
    <w:rsid w:val="00057C16"/>
    <w:rsid w:val="00060F26"/>
    <w:rsid w:val="00062D43"/>
    <w:rsid w:val="00062EC5"/>
    <w:rsid w:val="00064256"/>
    <w:rsid w:val="000706A4"/>
    <w:rsid w:val="00070A0C"/>
    <w:rsid w:val="00071F80"/>
    <w:rsid w:val="00072118"/>
    <w:rsid w:val="00073173"/>
    <w:rsid w:val="000779AC"/>
    <w:rsid w:val="00080A41"/>
    <w:rsid w:val="00080AA8"/>
    <w:rsid w:val="00083803"/>
    <w:rsid w:val="00083D7F"/>
    <w:rsid w:val="00084393"/>
    <w:rsid w:val="0008716A"/>
    <w:rsid w:val="00087634"/>
    <w:rsid w:val="00091237"/>
    <w:rsid w:val="000916B1"/>
    <w:rsid w:val="0009191B"/>
    <w:rsid w:val="000920EC"/>
    <w:rsid w:val="00092208"/>
    <w:rsid w:val="00092505"/>
    <w:rsid w:val="000927EB"/>
    <w:rsid w:val="00092C9A"/>
    <w:rsid w:val="000973B6"/>
    <w:rsid w:val="00097BFC"/>
    <w:rsid w:val="00097D02"/>
    <w:rsid w:val="000A1183"/>
    <w:rsid w:val="000A2121"/>
    <w:rsid w:val="000A2484"/>
    <w:rsid w:val="000A36CE"/>
    <w:rsid w:val="000A59BF"/>
    <w:rsid w:val="000A66C2"/>
    <w:rsid w:val="000A68A7"/>
    <w:rsid w:val="000B1CFE"/>
    <w:rsid w:val="000B210A"/>
    <w:rsid w:val="000B249B"/>
    <w:rsid w:val="000B2ADE"/>
    <w:rsid w:val="000B3B01"/>
    <w:rsid w:val="000B3DB9"/>
    <w:rsid w:val="000B3F02"/>
    <w:rsid w:val="000B48A2"/>
    <w:rsid w:val="000B48E7"/>
    <w:rsid w:val="000B4F41"/>
    <w:rsid w:val="000B7663"/>
    <w:rsid w:val="000C1106"/>
    <w:rsid w:val="000C11D3"/>
    <w:rsid w:val="000C12F5"/>
    <w:rsid w:val="000C3408"/>
    <w:rsid w:val="000C54AF"/>
    <w:rsid w:val="000C5C0F"/>
    <w:rsid w:val="000C5D56"/>
    <w:rsid w:val="000C6498"/>
    <w:rsid w:val="000D0B22"/>
    <w:rsid w:val="000D0D51"/>
    <w:rsid w:val="000D14B3"/>
    <w:rsid w:val="000D1BFB"/>
    <w:rsid w:val="000D1F52"/>
    <w:rsid w:val="000D208B"/>
    <w:rsid w:val="000D263E"/>
    <w:rsid w:val="000D2B8D"/>
    <w:rsid w:val="000D2E41"/>
    <w:rsid w:val="000D342A"/>
    <w:rsid w:val="000D43CB"/>
    <w:rsid w:val="000D5E7A"/>
    <w:rsid w:val="000D5FAA"/>
    <w:rsid w:val="000D65A4"/>
    <w:rsid w:val="000D6AEF"/>
    <w:rsid w:val="000E025B"/>
    <w:rsid w:val="000E0ECB"/>
    <w:rsid w:val="000E153A"/>
    <w:rsid w:val="000E19A8"/>
    <w:rsid w:val="000E1EEA"/>
    <w:rsid w:val="000E4241"/>
    <w:rsid w:val="000E4A42"/>
    <w:rsid w:val="000E6476"/>
    <w:rsid w:val="000E78D2"/>
    <w:rsid w:val="000F3332"/>
    <w:rsid w:val="000F33EE"/>
    <w:rsid w:val="000F401E"/>
    <w:rsid w:val="000F5445"/>
    <w:rsid w:val="000F5673"/>
    <w:rsid w:val="000F67B2"/>
    <w:rsid w:val="000F6CFB"/>
    <w:rsid w:val="000F74B6"/>
    <w:rsid w:val="000F790F"/>
    <w:rsid w:val="000F7E1B"/>
    <w:rsid w:val="00100014"/>
    <w:rsid w:val="0010039A"/>
    <w:rsid w:val="00101E94"/>
    <w:rsid w:val="00101FB2"/>
    <w:rsid w:val="00102CB8"/>
    <w:rsid w:val="00102F02"/>
    <w:rsid w:val="0010385D"/>
    <w:rsid w:val="00103E41"/>
    <w:rsid w:val="001041B6"/>
    <w:rsid w:val="001070EA"/>
    <w:rsid w:val="0011002A"/>
    <w:rsid w:val="001107CE"/>
    <w:rsid w:val="0011110A"/>
    <w:rsid w:val="001118AF"/>
    <w:rsid w:val="00111CA5"/>
    <w:rsid w:val="0011256E"/>
    <w:rsid w:val="0011352E"/>
    <w:rsid w:val="00114FC0"/>
    <w:rsid w:val="00115496"/>
    <w:rsid w:val="00116DB9"/>
    <w:rsid w:val="00116F28"/>
    <w:rsid w:val="00121C39"/>
    <w:rsid w:val="00123255"/>
    <w:rsid w:val="00124D2D"/>
    <w:rsid w:val="00124DA1"/>
    <w:rsid w:val="00125326"/>
    <w:rsid w:val="00125CB5"/>
    <w:rsid w:val="00127535"/>
    <w:rsid w:val="001307BE"/>
    <w:rsid w:val="00130C8F"/>
    <w:rsid w:val="001314F2"/>
    <w:rsid w:val="001317DA"/>
    <w:rsid w:val="001323BA"/>
    <w:rsid w:val="0013254D"/>
    <w:rsid w:val="00133AAC"/>
    <w:rsid w:val="00133FBD"/>
    <w:rsid w:val="00136561"/>
    <w:rsid w:val="001400E1"/>
    <w:rsid w:val="001405FA"/>
    <w:rsid w:val="001413B3"/>
    <w:rsid w:val="001425C3"/>
    <w:rsid w:val="00142F16"/>
    <w:rsid w:val="00143E03"/>
    <w:rsid w:val="00143E93"/>
    <w:rsid w:val="00143FA3"/>
    <w:rsid w:val="0014428D"/>
    <w:rsid w:val="001500FC"/>
    <w:rsid w:val="00151AC0"/>
    <w:rsid w:val="00151B27"/>
    <w:rsid w:val="00152046"/>
    <w:rsid w:val="00152E53"/>
    <w:rsid w:val="00154147"/>
    <w:rsid w:val="001550F3"/>
    <w:rsid w:val="00155746"/>
    <w:rsid w:val="00156318"/>
    <w:rsid w:val="0015639A"/>
    <w:rsid w:val="0016081D"/>
    <w:rsid w:val="00160CF3"/>
    <w:rsid w:val="00160E61"/>
    <w:rsid w:val="00161300"/>
    <w:rsid w:val="001620FA"/>
    <w:rsid w:val="00162853"/>
    <w:rsid w:val="00163793"/>
    <w:rsid w:val="00167FB2"/>
    <w:rsid w:val="001707DE"/>
    <w:rsid w:val="00170B04"/>
    <w:rsid w:val="00170F47"/>
    <w:rsid w:val="001711F2"/>
    <w:rsid w:val="001714F2"/>
    <w:rsid w:val="00173642"/>
    <w:rsid w:val="00173AF4"/>
    <w:rsid w:val="00173CB0"/>
    <w:rsid w:val="00174CE8"/>
    <w:rsid w:val="00174E7D"/>
    <w:rsid w:val="001752CB"/>
    <w:rsid w:val="00175351"/>
    <w:rsid w:val="00175F60"/>
    <w:rsid w:val="00176050"/>
    <w:rsid w:val="001764D8"/>
    <w:rsid w:val="00176A8F"/>
    <w:rsid w:val="00180D58"/>
    <w:rsid w:val="00181938"/>
    <w:rsid w:val="00182981"/>
    <w:rsid w:val="00184CF9"/>
    <w:rsid w:val="00185010"/>
    <w:rsid w:val="001852EC"/>
    <w:rsid w:val="001857D6"/>
    <w:rsid w:val="00186447"/>
    <w:rsid w:val="001874CF"/>
    <w:rsid w:val="00190214"/>
    <w:rsid w:val="00190D9B"/>
    <w:rsid w:val="00191BAE"/>
    <w:rsid w:val="00193432"/>
    <w:rsid w:val="0019346C"/>
    <w:rsid w:val="00194AE3"/>
    <w:rsid w:val="00195335"/>
    <w:rsid w:val="00195444"/>
    <w:rsid w:val="0019579E"/>
    <w:rsid w:val="001A199D"/>
    <w:rsid w:val="001A2BDB"/>
    <w:rsid w:val="001A30F4"/>
    <w:rsid w:val="001A47AB"/>
    <w:rsid w:val="001A4C0D"/>
    <w:rsid w:val="001A552F"/>
    <w:rsid w:val="001A56F3"/>
    <w:rsid w:val="001A737B"/>
    <w:rsid w:val="001A750C"/>
    <w:rsid w:val="001B1D89"/>
    <w:rsid w:val="001B2143"/>
    <w:rsid w:val="001B3110"/>
    <w:rsid w:val="001B4198"/>
    <w:rsid w:val="001B44BC"/>
    <w:rsid w:val="001B5215"/>
    <w:rsid w:val="001B5888"/>
    <w:rsid w:val="001B618F"/>
    <w:rsid w:val="001B6277"/>
    <w:rsid w:val="001B6545"/>
    <w:rsid w:val="001B681B"/>
    <w:rsid w:val="001B6A49"/>
    <w:rsid w:val="001B7231"/>
    <w:rsid w:val="001B74FB"/>
    <w:rsid w:val="001B77A1"/>
    <w:rsid w:val="001C0422"/>
    <w:rsid w:val="001C0E0E"/>
    <w:rsid w:val="001C0EB9"/>
    <w:rsid w:val="001C1219"/>
    <w:rsid w:val="001C357A"/>
    <w:rsid w:val="001C3A37"/>
    <w:rsid w:val="001C4384"/>
    <w:rsid w:val="001C55F5"/>
    <w:rsid w:val="001C65FF"/>
    <w:rsid w:val="001D3787"/>
    <w:rsid w:val="001D47E5"/>
    <w:rsid w:val="001D584C"/>
    <w:rsid w:val="001D5E1B"/>
    <w:rsid w:val="001D66C1"/>
    <w:rsid w:val="001D7C6F"/>
    <w:rsid w:val="001E0024"/>
    <w:rsid w:val="001E0C65"/>
    <w:rsid w:val="001E23E3"/>
    <w:rsid w:val="001E29AF"/>
    <w:rsid w:val="001E387A"/>
    <w:rsid w:val="001E3DA4"/>
    <w:rsid w:val="001E5469"/>
    <w:rsid w:val="001E5830"/>
    <w:rsid w:val="001E684C"/>
    <w:rsid w:val="001E701C"/>
    <w:rsid w:val="001E7552"/>
    <w:rsid w:val="001E7C03"/>
    <w:rsid w:val="001F02AF"/>
    <w:rsid w:val="001F0649"/>
    <w:rsid w:val="001F28F4"/>
    <w:rsid w:val="001F2CC6"/>
    <w:rsid w:val="001F3055"/>
    <w:rsid w:val="001F31BC"/>
    <w:rsid w:val="001F378E"/>
    <w:rsid w:val="001F3C79"/>
    <w:rsid w:val="001F3E68"/>
    <w:rsid w:val="001F4597"/>
    <w:rsid w:val="001F56A9"/>
    <w:rsid w:val="001F5C6A"/>
    <w:rsid w:val="001F63A7"/>
    <w:rsid w:val="001F670A"/>
    <w:rsid w:val="00200D15"/>
    <w:rsid w:val="0020223B"/>
    <w:rsid w:val="0020294A"/>
    <w:rsid w:val="00203074"/>
    <w:rsid w:val="00203B46"/>
    <w:rsid w:val="002048E1"/>
    <w:rsid w:val="00207DB6"/>
    <w:rsid w:val="00210278"/>
    <w:rsid w:val="00210CC2"/>
    <w:rsid w:val="00210F5B"/>
    <w:rsid w:val="00210FFA"/>
    <w:rsid w:val="00211262"/>
    <w:rsid w:val="002115F5"/>
    <w:rsid w:val="00211AC9"/>
    <w:rsid w:val="002131D4"/>
    <w:rsid w:val="0021329E"/>
    <w:rsid w:val="0021355B"/>
    <w:rsid w:val="00215A2C"/>
    <w:rsid w:val="00217980"/>
    <w:rsid w:val="002179F9"/>
    <w:rsid w:val="002205F2"/>
    <w:rsid w:val="0022080E"/>
    <w:rsid w:val="00220838"/>
    <w:rsid w:val="00220B20"/>
    <w:rsid w:val="0022139E"/>
    <w:rsid w:val="0022272B"/>
    <w:rsid w:val="00222A99"/>
    <w:rsid w:val="00223678"/>
    <w:rsid w:val="002236F7"/>
    <w:rsid w:val="00223E00"/>
    <w:rsid w:val="002248BD"/>
    <w:rsid w:val="002252E0"/>
    <w:rsid w:val="002255F6"/>
    <w:rsid w:val="00226466"/>
    <w:rsid w:val="002266D0"/>
    <w:rsid w:val="00226887"/>
    <w:rsid w:val="00227991"/>
    <w:rsid w:val="00230DAD"/>
    <w:rsid w:val="0023229C"/>
    <w:rsid w:val="0023301B"/>
    <w:rsid w:val="002334DF"/>
    <w:rsid w:val="0023355C"/>
    <w:rsid w:val="00234280"/>
    <w:rsid w:val="00234DD5"/>
    <w:rsid w:val="00235000"/>
    <w:rsid w:val="002350E3"/>
    <w:rsid w:val="00235330"/>
    <w:rsid w:val="00236443"/>
    <w:rsid w:val="00240773"/>
    <w:rsid w:val="00240815"/>
    <w:rsid w:val="00240A5B"/>
    <w:rsid w:val="00240C76"/>
    <w:rsid w:val="002411EF"/>
    <w:rsid w:val="00241446"/>
    <w:rsid w:val="00242730"/>
    <w:rsid w:val="002436BA"/>
    <w:rsid w:val="002444ED"/>
    <w:rsid w:val="00244A15"/>
    <w:rsid w:val="00244D40"/>
    <w:rsid w:val="00246AE9"/>
    <w:rsid w:val="0024799E"/>
    <w:rsid w:val="00250C59"/>
    <w:rsid w:val="00250E0D"/>
    <w:rsid w:val="002518F6"/>
    <w:rsid w:val="00251D59"/>
    <w:rsid w:val="00252602"/>
    <w:rsid w:val="00252FDC"/>
    <w:rsid w:val="002532E2"/>
    <w:rsid w:val="002550D8"/>
    <w:rsid w:val="00257613"/>
    <w:rsid w:val="00261A0F"/>
    <w:rsid w:val="00261E5B"/>
    <w:rsid w:val="00262F34"/>
    <w:rsid w:val="00263470"/>
    <w:rsid w:val="00263733"/>
    <w:rsid w:val="00264676"/>
    <w:rsid w:val="00265536"/>
    <w:rsid w:val="00265E54"/>
    <w:rsid w:val="00266F3E"/>
    <w:rsid w:val="00270785"/>
    <w:rsid w:val="00272464"/>
    <w:rsid w:val="00272B0B"/>
    <w:rsid w:val="00272CC5"/>
    <w:rsid w:val="00273C60"/>
    <w:rsid w:val="00273DCD"/>
    <w:rsid w:val="00274291"/>
    <w:rsid w:val="00276C09"/>
    <w:rsid w:val="00276CFE"/>
    <w:rsid w:val="00277071"/>
    <w:rsid w:val="0027786C"/>
    <w:rsid w:val="00277BF7"/>
    <w:rsid w:val="00281416"/>
    <w:rsid w:val="00283C61"/>
    <w:rsid w:val="00285CD3"/>
    <w:rsid w:val="0028633E"/>
    <w:rsid w:val="0028686A"/>
    <w:rsid w:val="00286E66"/>
    <w:rsid w:val="002870B7"/>
    <w:rsid w:val="002919B5"/>
    <w:rsid w:val="00293441"/>
    <w:rsid w:val="00294238"/>
    <w:rsid w:val="0029493E"/>
    <w:rsid w:val="002962E0"/>
    <w:rsid w:val="00296C2E"/>
    <w:rsid w:val="002A1B05"/>
    <w:rsid w:val="002A267F"/>
    <w:rsid w:val="002A3354"/>
    <w:rsid w:val="002A35EA"/>
    <w:rsid w:val="002A37B6"/>
    <w:rsid w:val="002A3BD5"/>
    <w:rsid w:val="002A43A2"/>
    <w:rsid w:val="002A44ED"/>
    <w:rsid w:val="002A4612"/>
    <w:rsid w:val="002A4F70"/>
    <w:rsid w:val="002A5263"/>
    <w:rsid w:val="002A6821"/>
    <w:rsid w:val="002A74D2"/>
    <w:rsid w:val="002A7CDA"/>
    <w:rsid w:val="002A7F47"/>
    <w:rsid w:val="002B1544"/>
    <w:rsid w:val="002B1DC1"/>
    <w:rsid w:val="002B36C8"/>
    <w:rsid w:val="002B385B"/>
    <w:rsid w:val="002B71B4"/>
    <w:rsid w:val="002B7240"/>
    <w:rsid w:val="002C0FF4"/>
    <w:rsid w:val="002C125A"/>
    <w:rsid w:val="002C2668"/>
    <w:rsid w:val="002C43BD"/>
    <w:rsid w:val="002C493D"/>
    <w:rsid w:val="002C5261"/>
    <w:rsid w:val="002C6091"/>
    <w:rsid w:val="002D0562"/>
    <w:rsid w:val="002D1B5A"/>
    <w:rsid w:val="002D2500"/>
    <w:rsid w:val="002D338A"/>
    <w:rsid w:val="002D3F00"/>
    <w:rsid w:val="002D4D59"/>
    <w:rsid w:val="002D54BF"/>
    <w:rsid w:val="002D5C3D"/>
    <w:rsid w:val="002D5E94"/>
    <w:rsid w:val="002D632D"/>
    <w:rsid w:val="002D6FC7"/>
    <w:rsid w:val="002E02A1"/>
    <w:rsid w:val="002E0982"/>
    <w:rsid w:val="002E0DB9"/>
    <w:rsid w:val="002E2CE4"/>
    <w:rsid w:val="002E34F3"/>
    <w:rsid w:val="002E4217"/>
    <w:rsid w:val="002E435E"/>
    <w:rsid w:val="002E73F2"/>
    <w:rsid w:val="002F33FB"/>
    <w:rsid w:val="002F663A"/>
    <w:rsid w:val="002F68A4"/>
    <w:rsid w:val="002F7594"/>
    <w:rsid w:val="002F7902"/>
    <w:rsid w:val="003003E7"/>
    <w:rsid w:val="00300D6F"/>
    <w:rsid w:val="00301357"/>
    <w:rsid w:val="00301D04"/>
    <w:rsid w:val="003035D4"/>
    <w:rsid w:val="00303A3C"/>
    <w:rsid w:val="00303DCB"/>
    <w:rsid w:val="00304771"/>
    <w:rsid w:val="00305736"/>
    <w:rsid w:val="00305C33"/>
    <w:rsid w:val="00306C5B"/>
    <w:rsid w:val="00306E3B"/>
    <w:rsid w:val="00310ADB"/>
    <w:rsid w:val="003119B6"/>
    <w:rsid w:val="00312C3D"/>
    <w:rsid w:val="00314331"/>
    <w:rsid w:val="00317E31"/>
    <w:rsid w:val="00320214"/>
    <w:rsid w:val="003209D6"/>
    <w:rsid w:val="0032109A"/>
    <w:rsid w:val="0032214F"/>
    <w:rsid w:val="00322164"/>
    <w:rsid w:val="00323CF7"/>
    <w:rsid w:val="00323E61"/>
    <w:rsid w:val="0032513D"/>
    <w:rsid w:val="00326251"/>
    <w:rsid w:val="0032739C"/>
    <w:rsid w:val="00327DEE"/>
    <w:rsid w:val="003302DA"/>
    <w:rsid w:val="00330EB0"/>
    <w:rsid w:val="00331574"/>
    <w:rsid w:val="0033229B"/>
    <w:rsid w:val="003329F3"/>
    <w:rsid w:val="0033352E"/>
    <w:rsid w:val="00333690"/>
    <w:rsid w:val="00333D20"/>
    <w:rsid w:val="00333F53"/>
    <w:rsid w:val="003340EF"/>
    <w:rsid w:val="00334A49"/>
    <w:rsid w:val="0033536F"/>
    <w:rsid w:val="00335BB0"/>
    <w:rsid w:val="0033627B"/>
    <w:rsid w:val="003406BD"/>
    <w:rsid w:val="00343474"/>
    <w:rsid w:val="00343F84"/>
    <w:rsid w:val="00344135"/>
    <w:rsid w:val="003450E2"/>
    <w:rsid w:val="00351B63"/>
    <w:rsid w:val="003527C1"/>
    <w:rsid w:val="00352E57"/>
    <w:rsid w:val="003541B0"/>
    <w:rsid w:val="0035457E"/>
    <w:rsid w:val="00355885"/>
    <w:rsid w:val="0035605E"/>
    <w:rsid w:val="00356244"/>
    <w:rsid w:val="00357449"/>
    <w:rsid w:val="0036238B"/>
    <w:rsid w:val="003630B0"/>
    <w:rsid w:val="003649FC"/>
    <w:rsid w:val="003651A4"/>
    <w:rsid w:val="00365680"/>
    <w:rsid w:val="003657F3"/>
    <w:rsid w:val="00366D4D"/>
    <w:rsid w:val="00367038"/>
    <w:rsid w:val="00370963"/>
    <w:rsid w:val="0037144E"/>
    <w:rsid w:val="00372272"/>
    <w:rsid w:val="003736B5"/>
    <w:rsid w:val="00374F1E"/>
    <w:rsid w:val="003750CF"/>
    <w:rsid w:val="00375A22"/>
    <w:rsid w:val="00376DEC"/>
    <w:rsid w:val="00377200"/>
    <w:rsid w:val="00377666"/>
    <w:rsid w:val="0038034A"/>
    <w:rsid w:val="00380E04"/>
    <w:rsid w:val="00380E6C"/>
    <w:rsid w:val="00383227"/>
    <w:rsid w:val="003839C9"/>
    <w:rsid w:val="0038422D"/>
    <w:rsid w:val="00384D8F"/>
    <w:rsid w:val="003857A2"/>
    <w:rsid w:val="00385D98"/>
    <w:rsid w:val="00385EC5"/>
    <w:rsid w:val="0038658E"/>
    <w:rsid w:val="003875C2"/>
    <w:rsid w:val="0039066E"/>
    <w:rsid w:val="00391C95"/>
    <w:rsid w:val="00392110"/>
    <w:rsid w:val="00393D74"/>
    <w:rsid w:val="00394D49"/>
    <w:rsid w:val="00396DAC"/>
    <w:rsid w:val="003971D0"/>
    <w:rsid w:val="003A0214"/>
    <w:rsid w:val="003A027D"/>
    <w:rsid w:val="003A1D74"/>
    <w:rsid w:val="003A2B4D"/>
    <w:rsid w:val="003A2D2B"/>
    <w:rsid w:val="003A2DD4"/>
    <w:rsid w:val="003A3B1C"/>
    <w:rsid w:val="003A4088"/>
    <w:rsid w:val="003A478C"/>
    <w:rsid w:val="003A4F82"/>
    <w:rsid w:val="003A5525"/>
    <w:rsid w:val="003A6B38"/>
    <w:rsid w:val="003B2142"/>
    <w:rsid w:val="003B2580"/>
    <w:rsid w:val="003B2E63"/>
    <w:rsid w:val="003B3189"/>
    <w:rsid w:val="003B3A9D"/>
    <w:rsid w:val="003B3DDD"/>
    <w:rsid w:val="003B5031"/>
    <w:rsid w:val="003B5A32"/>
    <w:rsid w:val="003B6105"/>
    <w:rsid w:val="003C03CC"/>
    <w:rsid w:val="003C04C4"/>
    <w:rsid w:val="003C26F4"/>
    <w:rsid w:val="003C3686"/>
    <w:rsid w:val="003C4852"/>
    <w:rsid w:val="003C5BC7"/>
    <w:rsid w:val="003C601E"/>
    <w:rsid w:val="003C66C4"/>
    <w:rsid w:val="003D2C4E"/>
    <w:rsid w:val="003D3600"/>
    <w:rsid w:val="003D3825"/>
    <w:rsid w:val="003D3EC4"/>
    <w:rsid w:val="003D44E2"/>
    <w:rsid w:val="003D4760"/>
    <w:rsid w:val="003D49DC"/>
    <w:rsid w:val="003D4DD9"/>
    <w:rsid w:val="003D4FB5"/>
    <w:rsid w:val="003D5D7A"/>
    <w:rsid w:val="003D5E4B"/>
    <w:rsid w:val="003D653F"/>
    <w:rsid w:val="003E0663"/>
    <w:rsid w:val="003E133F"/>
    <w:rsid w:val="003E49F6"/>
    <w:rsid w:val="003E699C"/>
    <w:rsid w:val="003E69F3"/>
    <w:rsid w:val="003E7550"/>
    <w:rsid w:val="003E782E"/>
    <w:rsid w:val="003E7A0B"/>
    <w:rsid w:val="003E7B2B"/>
    <w:rsid w:val="003F116D"/>
    <w:rsid w:val="003F181F"/>
    <w:rsid w:val="003F1A48"/>
    <w:rsid w:val="003F1E23"/>
    <w:rsid w:val="003F22F6"/>
    <w:rsid w:val="003F2B0A"/>
    <w:rsid w:val="003F313C"/>
    <w:rsid w:val="003F32AB"/>
    <w:rsid w:val="003F341B"/>
    <w:rsid w:val="003F37FC"/>
    <w:rsid w:val="003F3A26"/>
    <w:rsid w:val="003F49A6"/>
    <w:rsid w:val="003F5047"/>
    <w:rsid w:val="003F5098"/>
    <w:rsid w:val="003F5568"/>
    <w:rsid w:val="003F5A95"/>
    <w:rsid w:val="003F6D19"/>
    <w:rsid w:val="004000D5"/>
    <w:rsid w:val="00400244"/>
    <w:rsid w:val="004005C1"/>
    <w:rsid w:val="00401716"/>
    <w:rsid w:val="004018F7"/>
    <w:rsid w:val="00401A09"/>
    <w:rsid w:val="0040273A"/>
    <w:rsid w:val="00402C25"/>
    <w:rsid w:val="004036FB"/>
    <w:rsid w:val="004050D7"/>
    <w:rsid w:val="004078BD"/>
    <w:rsid w:val="00410132"/>
    <w:rsid w:val="004104E4"/>
    <w:rsid w:val="00410A97"/>
    <w:rsid w:val="00410BCD"/>
    <w:rsid w:val="00410DE5"/>
    <w:rsid w:val="0041175D"/>
    <w:rsid w:val="004117CE"/>
    <w:rsid w:val="004123BE"/>
    <w:rsid w:val="00414CE5"/>
    <w:rsid w:val="00416673"/>
    <w:rsid w:val="0042160D"/>
    <w:rsid w:val="00423A3C"/>
    <w:rsid w:val="00423C04"/>
    <w:rsid w:val="0042681B"/>
    <w:rsid w:val="00427193"/>
    <w:rsid w:val="0043068A"/>
    <w:rsid w:val="004306E0"/>
    <w:rsid w:val="00431D54"/>
    <w:rsid w:val="00431F98"/>
    <w:rsid w:val="004329BE"/>
    <w:rsid w:val="00432C38"/>
    <w:rsid w:val="004342EC"/>
    <w:rsid w:val="00437C76"/>
    <w:rsid w:val="00437F4A"/>
    <w:rsid w:val="0044105C"/>
    <w:rsid w:val="00442197"/>
    <w:rsid w:val="00443E95"/>
    <w:rsid w:val="004441A0"/>
    <w:rsid w:val="00444268"/>
    <w:rsid w:val="00444326"/>
    <w:rsid w:val="004443BF"/>
    <w:rsid w:val="00444C19"/>
    <w:rsid w:val="00445218"/>
    <w:rsid w:val="00445CDD"/>
    <w:rsid w:val="00446892"/>
    <w:rsid w:val="00447E36"/>
    <w:rsid w:val="00450700"/>
    <w:rsid w:val="00450C30"/>
    <w:rsid w:val="004529C7"/>
    <w:rsid w:val="004540FF"/>
    <w:rsid w:val="004541F1"/>
    <w:rsid w:val="00455ECA"/>
    <w:rsid w:val="00457296"/>
    <w:rsid w:val="00457320"/>
    <w:rsid w:val="00460164"/>
    <w:rsid w:val="0046039A"/>
    <w:rsid w:val="00460A6B"/>
    <w:rsid w:val="00461977"/>
    <w:rsid w:val="00461A3F"/>
    <w:rsid w:val="004629FD"/>
    <w:rsid w:val="00462AD2"/>
    <w:rsid w:val="00463B4B"/>
    <w:rsid w:val="00463F4D"/>
    <w:rsid w:val="00464658"/>
    <w:rsid w:val="0046471F"/>
    <w:rsid w:val="00464BE8"/>
    <w:rsid w:val="00465019"/>
    <w:rsid w:val="00465FA4"/>
    <w:rsid w:val="0046613F"/>
    <w:rsid w:val="0046655D"/>
    <w:rsid w:val="00466808"/>
    <w:rsid w:val="00466AAE"/>
    <w:rsid w:val="0046765E"/>
    <w:rsid w:val="004676E2"/>
    <w:rsid w:val="00471EDD"/>
    <w:rsid w:val="00473E94"/>
    <w:rsid w:val="0047400C"/>
    <w:rsid w:val="004745D9"/>
    <w:rsid w:val="00474B94"/>
    <w:rsid w:val="004761D2"/>
    <w:rsid w:val="004762D8"/>
    <w:rsid w:val="004765B3"/>
    <w:rsid w:val="00476D29"/>
    <w:rsid w:val="00477241"/>
    <w:rsid w:val="0047728F"/>
    <w:rsid w:val="004774F5"/>
    <w:rsid w:val="00477EAF"/>
    <w:rsid w:val="00477EE0"/>
    <w:rsid w:val="00480AB8"/>
    <w:rsid w:val="0048139F"/>
    <w:rsid w:val="00481C00"/>
    <w:rsid w:val="00483053"/>
    <w:rsid w:val="00484874"/>
    <w:rsid w:val="00485230"/>
    <w:rsid w:val="00487127"/>
    <w:rsid w:val="004879E9"/>
    <w:rsid w:val="00487F81"/>
    <w:rsid w:val="00490247"/>
    <w:rsid w:val="0049104F"/>
    <w:rsid w:val="00491218"/>
    <w:rsid w:val="00491CFD"/>
    <w:rsid w:val="00492991"/>
    <w:rsid w:val="00493362"/>
    <w:rsid w:val="00494343"/>
    <w:rsid w:val="00494AAB"/>
    <w:rsid w:val="00496C2F"/>
    <w:rsid w:val="0049740D"/>
    <w:rsid w:val="004978D3"/>
    <w:rsid w:val="004A11F8"/>
    <w:rsid w:val="004A22BD"/>
    <w:rsid w:val="004A22FA"/>
    <w:rsid w:val="004A269A"/>
    <w:rsid w:val="004A26DB"/>
    <w:rsid w:val="004A30FB"/>
    <w:rsid w:val="004A35DD"/>
    <w:rsid w:val="004A37D3"/>
    <w:rsid w:val="004A3AD6"/>
    <w:rsid w:val="004A5865"/>
    <w:rsid w:val="004A7670"/>
    <w:rsid w:val="004A77DF"/>
    <w:rsid w:val="004B0295"/>
    <w:rsid w:val="004B0803"/>
    <w:rsid w:val="004B10A8"/>
    <w:rsid w:val="004B1F58"/>
    <w:rsid w:val="004B1F9D"/>
    <w:rsid w:val="004B22DA"/>
    <w:rsid w:val="004B3CB7"/>
    <w:rsid w:val="004B3D55"/>
    <w:rsid w:val="004B55B7"/>
    <w:rsid w:val="004B5836"/>
    <w:rsid w:val="004B5F05"/>
    <w:rsid w:val="004C00A6"/>
    <w:rsid w:val="004C0BBB"/>
    <w:rsid w:val="004C1AD6"/>
    <w:rsid w:val="004C1B86"/>
    <w:rsid w:val="004C3382"/>
    <w:rsid w:val="004C3867"/>
    <w:rsid w:val="004C4AB7"/>
    <w:rsid w:val="004C4B88"/>
    <w:rsid w:val="004C4CD0"/>
    <w:rsid w:val="004C57B5"/>
    <w:rsid w:val="004C5C25"/>
    <w:rsid w:val="004C6717"/>
    <w:rsid w:val="004C6CFF"/>
    <w:rsid w:val="004C70DC"/>
    <w:rsid w:val="004C7268"/>
    <w:rsid w:val="004D0211"/>
    <w:rsid w:val="004D1C9C"/>
    <w:rsid w:val="004D458D"/>
    <w:rsid w:val="004D4F13"/>
    <w:rsid w:val="004D504B"/>
    <w:rsid w:val="004D536E"/>
    <w:rsid w:val="004D70B1"/>
    <w:rsid w:val="004D76CC"/>
    <w:rsid w:val="004E1839"/>
    <w:rsid w:val="004E4A75"/>
    <w:rsid w:val="004E541A"/>
    <w:rsid w:val="004E5A5C"/>
    <w:rsid w:val="004E7007"/>
    <w:rsid w:val="004E76D6"/>
    <w:rsid w:val="004E7F57"/>
    <w:rsid w:val="004F06F5"/>
    <w:rsid w:val="004F191F"/>
    <w:rsid w:val="004F2A4D"/>
    <w:rsid w:val="004F2A73"/>
    <w:rsid w:val="004F33A0"/>
    <w:rsid w:val="004F4353"/>
    <w:rsid w:val="004F447D"/>
    <w:rsid w:val="004F4C28"/>
    <w:rsid w:val="004F4E82"/>
    <w:rsid w:val="004F5470"/>
    <w:rsid w:val="004F5CC5"/>
    <w:rsid w:val="004F6350"/>
    <w:rsid w:val="004F7170"/>
    <w:rsid w:val="005028E1"/>
    <w:rsid w:val="00505989"/>
    <w:rsid w:val="00506309"/>
    <w:rsid w:val="0050692E"/>
    <w:rsid w:val="00507040"/>
    <w:rsid w:val="005079F8"/>
    <w:rsid w:val="00510189"/>
    <w:rsid w:val="005108C0"/>
    <w:rsid w:val="00511873"/>
    <w:rsid w:val="00512603"/>
    <w:rsid w:val="0051367B"/>
    <w:rsid w:val="00513A89"/>
    <w:rsid w:val="00513B7E"/>
    <w:rsid w:val="005140DE"/>
    <w:rsid w:val="00514474"/>
    <w:rsid w:val="005147E9"/>
    <w:rsid w:val="0051593C"/>
    <w:rsid w:val="00517567"/>
    <w:rsid w:val="0051778E"/>
    <w:rsid w:val="005215EF"/>
    <w:rsid w:val="00524637"/>
    <w:rsid w:val="00524FDD"/>
    <w:rsid w:val="00525137"/>
    <w:rsid w:val="005251DD"/>
    <w:rsid w:val="00526DB6"/>
    <w:rsid w:val="0053017A"/>
    <w:rsid w:val="00530492"/>
    <w:rsid w:val="005308E4"/>
    <w:rsid w:val="00532854"/>
    <w:rsid w:val="005350F2"/>
    <w:rsid w:val="00535152"/>
    <w:rsid w:val="00535359"/>
    <w:rsid w:val="005357A2"/>
    <w:rsid w:val="005359E3"/>
    <w:rsid w:val="00535D87"/>
    <w:rsid w:val="00535EF0"/>
    <w:rsid w:val="005363DF"/>
    <w:rsid w:val="0053734B"/>
    <w:rsid w:val="005375B1"/>
    <w:rsid w:val="00537AFD"/>
    <w:rsid w:val="00537CB4"/>
    <w:rsid w:val="0054516B"/>
    <w:rsid w:val="0054559E"/>
    <w:rsid w:val="005459BD"/>
    <w:rsid w:val="005513D5"/>
    <w:rsid w:val="005523B9"/>
    <w:rsid w:val="005545E0"/>
    <w:rsid w:val="00554865"/>
    <w:rsid w:val="00554E57"/>
    <w:rsid w:val="00557E6A"/>
    <w:rsid w:val="00562749"/>
    <w:rsid w:val="00562DE9"/>
    <w:rsid w:val="005638A5"/>
    <w:rsid w:val="00566381"/>
    <w:rsid w:val="00566A03"/>
    <w:rsid w:val="00571932"/>
    <w:rsid w:val="00573C97"/>
    <w:rsid w:val="00574240"/>
    <w:rsid w:val="0057454C"/>
    <w:rsid w:val="005752EB"/>
    <w:rsid w:val="00575CDC"/>
    <w:rsid w:val="005765D5"/>
    <w:rsid w:val="00576A3E"/>
    <w:rsid w:val="0057703D"/>
    <w:rsid w:val="00581892"/>
    <w:rsid w:val="0058366F"/>
    <w:rsid w:val="00583D5B"/>
    <w:rsid w:val="00583FFD"/>
    <w:rsid w:val="00587CCD"/>
    <w:rsid w:val="005908AE"/>
    <w:rsid w:val="0059176E"/>
    <w:rsid w:val="00592854"/>
    <w:rsid w:val="00593152"/>
    <w:rsid w:val="005934CE"/>
    <w:rsid w:val="00593CA3"/>
    <w:rsid w:val="00594161"/>
    <w:rsid w:val="00594969"/>
    <w:rsid w:val="00594B91"/>
    <w:rsid w:val="00595035"/>
    <w:rsid w:val="00596C5E"/>
    <w:rsid w:val="005A2194"/>
    <w:rsid w:val="005A21E0"/>
    <w:rsid w:val="005A3210"/>
    <w:rsid w:val="005A33A1"/>
    <w:rsid w:val="005A3687"/>
    <w:rsid w:val="005A54EE"/>
    <w:rsid w:val="005A563B"/>
    <w:rsid w:val="005A5F82"/>
    <w:rsid w:val="005A6E85"/>
    <w:rsid w:val="005A7500"/>
    <w:rsid w:val="005A77E4"/>
    <w:rsid w:val="005B0262"/>
    <w:rsid w:val="005B0B8F"/>
    <w:rsid w:val="005B1BDB"/>
    <w:rsid w:val="005B22A7"/>
    <w:rsid w:val="005B2BAA"/>
    <w:rsid w:val="005B2D53"/>
    <w:rsid w:val="005B3247"/>
    <w:rsid w:val="005B3409"/>
    <w:rsid w:val="005B498A"/>
    <w:rsid w:val="005B7B12"/>
    <w:rsid w:val="005C16CB"/>
    <w:rsid w:val="005C21D6"/>
    <w:rsid w:val="005C3F9F"/>
    <w:rsid w:val="005C406F"/>
    <w:rsid w:val="005C4A23"/>
    <w:rsid w:val="005C562C"/>
    <w:rsid w:val="005C5812"/>
    <w:rsid w:val="005C6400"/>
    <w:rsid w:val="005C7F1E"/>
    <w:rsid w:val="005D073B"/>
    <w:rsid w:val="005D25B4"/>
    <w:rsid w:val="005D374F"/>
    <w:rsid w:val="005D5802"/>
    <w:rsid w:val="005D6CFC"/>
    <w:rsid w:val="005D73E2"/>
    <w:rsid w:val="005D757A"/>
    <w:rsid w:val="005D7C4B"/>
    <w:rsid w:val="005E1E4B"/>
    <w:rsid w:val="005E362D"/>
    <w:rsid w:val="005E3A0C"/>
    <w:rsid w:val="005E3FAC"/>
    <w:rsid w:val="005E4483"/>
    <w:rsid w:val="005E492C"/>
    <w:rsid w:val="005E4BAA"/>
    <w:rsid w:val="005E52EF"/>
    <w:rsid w:val="005E5B56"/>
    <w:rsid w:val="005E6088"/>
    <w:rsid w:val="005E61DF"/>
    <w:rsid w:val="005E6AB8"/>
    <w:rsid w:val="005E6B65"/>
    <w:rsid w:val="005E6B78"/>
    <w:rsid w:val="005E75B8"/>
    <w:rsid w:val="005F0976"/>
    <w:rsid w:val="005F26CE"/>
    <w:rsid w:val="005F38D3"/>
    <w:rsid w:val="005F4057"/>
    <w:rsid w:val="005F4088"/>
    <w:rsid w:val="005F42F4"/>
    <w:rsid w:val="005F4C83"/>
    <w:rsid w:val="005F5916"/>
    <w:rsid w:val="005F601D"/>
    <w:rsid w:val="005F6119"/>
    <w:rsid w:val="005F7940"/>
    <w:rsid w:val="0060107A"/>
    <w:rsid w:val="00601AFF"/>
    <w:rsid w:val="00602D1D"/>
    <w:rsid w:val="00604307"/>
    <w:rsid w:val="0060487F"/>
    <w:rsid w:val="00605814"/>
    <w:rsid w:val="00606B93"/>
    <w:rsid w:val="00607727"/>
    <w:rsid w:val="00607934"/>
    <w:rsid w:val="00610BD5"/>
    <w:rsid w:val="00611363"/>
    <w:rsid w:val="00611531"/>
    <w:rsid w:val="006118AA"/>
    <w:rsid w:val="00611C28"/>
    <w:rsid w:val="006139C7"/>
    <w:rsid w:val="006150EA"/>
    <w:rsid w:val="006153E3"/>
    <w:rsid w:val="006167AB"/>
    <w:rsid w:val="0061718A"/>
    <w:rsid w:val="00617D2D"/>
    <w:rsid w:val="00617D83"/>
    <w:rsid w:val="00620430"/>
    <w:rsid w:val="00620AC5"/>
    <w:rsid w:val="00621575"/>
    <w:rsid w:val="006215FC"/>
    <w:rsid w:val="00624093"/>
    <w:rsid w:val="00630F66"/>
    <w:rsid w:val="00631FC2"/>
    <w:rsid w:val="00632171"/>
    <w:rsid w:val="0063332A"/>
    <w:rsid w:val="006347F9"/>
    <w:rsid w:val="0063494E"/>
    <w:rsid w:val="00634C90"/>
    <w:rsid w:val="00635818"/>
    <w:rsid w:val="00635E79"/>
    <w:rsid w:val="00636E5E"/>
    <w:rsid w:val="006379E0"/>
    <w:rsid w:val="006404A7"/>
    <w:rsid w:val="006407F3"/>
    <w:rsid w:val="006408EC"/>
    <w:rsid w:val="0064129B"/>
    <w:rsid w:val="00641DF7"/>
    <w:rsid w:val="00643497"/>
    <w:rsid w:val="00643735"/>
    <w:rsid w:val="00643A80"/>
    <w:rsid w:val="00644DFC"/>
    <w:rsid w:val="006451E4"/>
    <w:rsid w:val="006454B4"/>
    <w:rsid w:val="00645A9C"/>
    <w:rsid w:val="006460B8"/>
    <w:rsid w:val="006504A0"/>
    <w:rsid w:val="006520C7"/>
    <w:rsid w:val="006520D5"/>
    <w:rsid w:val="00652CBB"/>
    <w:rsid w:val="006530B8"/>
    <w:rsid w:val="006535D6"/>
    <w:rsid w:val="00656716"/>
    <w:rsid w:val="006572ED"/>
    <w:rsid w:val="00657E87"/>
    <w:rsid w:val="00660457"/>
    <w:rsid w:val="00660CB4"/>
    <w:rsid w:val="00660E1E"/>
    <w:rsid w:val="006637B1"/>
    <w:rsid w:val="00663CFD"/>
    <w:rsid w:val="00664B64"/>
    <w:rsid w:val="00665D67"/>
    <w:rsid w:val="00665D77"/>
    <w:rsid w:val="006660CD"/>
    <w:rsid w:val="00666EC8"/>
    <w:rsid w:val="00666F4B"/>
    <w:rsid w:val="006676D0"/>
    <w:rsid w:val="0066796E"/>
    <w:rsid w:val="00670FAC"/>
    <w:rsid w:val="006710C9"/>
    <w:rsid w:val="006716A5"/>
    <w:rsid w:val="00675E37"/>
    <w:rsid w:val="006764ED"/>
    <w:rsid w:val="00676AFC"/>
    <w:rsid w:val="00676F11"/>
    <w:rsid w:val="00680079"/>
    <w:rsid w:val="00680ECC"/>
    <w:rsid w:val="00680F68"/>
    <w:rsid w:val="0068260E"/>
    <w:rsid w:val="0068373D"/>
    <w:rsid w:val="00683BFE"/>
    <w:rsid w:val="0068437D"/>
    <w:rsid w:val="006857DF"/>
    <w:rsid w:val="00685E66"/>
    <w:rsid w:val="00686B72"/>
    <w:rsid w:val="00686BF1"/>
    <w:rsid w:val="00687AE5"/>
    <w:rsid w:val="00690A09"/>
    <w:rsid w:val="00690A25"/>
    <w:rsid w:val="006936AD"/>
    <w:rsid w:val="00693EA1"/>
    <w:rsid w:val="00693FEA"/>
    <w:rsid w:val="00694930"/>
    <w:rsid w:val="00695170"/>
    <w:rsid w:val="00695BEF"/>
    <w:rsid w:val="006960D6"/>
    <w:rsid w:val="00696AA5"/>
    <w:rsid w:val="006977F6"/>
    <w:rsid w:val="00697A13"/>
    <w:rsid w:val="006A109C"/>
    <w:rsid w:val="006A18AE"/>
    <w:rsid w:val="006A2EE8"/>
    <w:rsid w:val="006A3CF3"/>
    <w:rsid w:val="006A568F"/>
    <w:rsid w:val="006A65EF"/>
    <w:rsid w:val="006A672B"/>
    <w:rsid w:val="006B1781"/>
    <w:rsid w:val="006B23A9"/>
    <w:rsid w:val="006B23D8"/>
    <w:rsid w:val="006B281D"/>
    <w:rsid w:val="006B3F8A"/>
    <w:rsid w:val="006B5CA3"/>
    <w:rsid w:val="006B6B3B"/>
    <w:rsid w:val="006B7248"/>
    <w:rsid w:val="006B7714"/>
    <w:rsid w:val="006B78D8"/>
    <w:rsid w:val="006C090F"/>
    <w:rsid w:val="006C0935"/>
    <w:rsid w:val="006C0BCE"/>
    <w:rsid w:val="006C113F"/>
    <w:rsid w:val="006C2AED"/>
    <w:rsid w:val="006C38DD"/>
    <w:rsid w:val="006C457F"/>
    <w:rsid w:val="006C53C7"/>
    <w:rsid w:val="006C5577"/>
    <w:rsid w:val="006C559A"/>
    <w:rsid w:val="006C58FA"/>
    <w:rsid w:val="006D004F"/>
    <w:rsid w:val="006D042D"/>
    <w:rsid w:val="006D06EF"/>
    <w:rsid w:val="006D142E"/>
    <w:rsid w:val="006D3B87"/>
    <w:rsid w:val="006D4497"/>
    <w:rsid w:val="006D4E6F"/>
    <w:rsid w:val="006D61F6"/>
    <w:rsid w:val="006D710C"/>
    <w:rsid w:val="006E0EB0"/>
    <w:rsid w:val="006E182C"/>
    <w:rsid w:val="006E1F4C"/>
    <w:rsid w:val="006E22C8"/>
    <w:rsid w:val="006E279A"/>
    <w:rsid w:val="006E2C28"/>
    <w:rsid w:val="006E2F3F"/>
    <w:rsid w:val="006E313B"/>
    <w:rsid w:val="006E442A"/>
    <w:rsid w:val="006E4434"/>
    <w:rsid w:val="006E59FC"/>
    <w:rsid w:val="006E5CFD"/>
    <w:rsid w:val="006E7E2C"/>
    <w:rsid w:val="006F1326"/>
    <w:rsid w:val="006F2280"/>
    <w:rsid w:val="006F2BEE"/>
    <w:rsid w:val="006F3708"/>
    <w:rsid w:val="006F376C"/>
    <w:rsid w:val="006F3E6B"/>
    <w:rsid w:val="006F4619"/>
    <w:rsid w:val="006F4A59"/>
    <w:rsid w:val="006F6968"/>
    <w:rsid w:val="00700232"/>
    <w:rsid w:val="00701382"/>
    <w:rsid w:val="007014C7"/>
    <w:rsid w:val="00702100"/>
    <w:rsid w:val="00702D6F"/>
    <w:rsid w:val="00703B6C"/>
    <w:rsid w:val="00703C6B"/>
    <w:rsid w:val="007047D5"/>
    <w:rsid w:val="00705D98"/>
    <w:rsid w:val="00707891"/>
    <w:rsid w:val="00707D43"/>
    <w:rsid w:val="00710F7C"/>
    <w:rsid w:val="00711EF1"/>
    <w:rsid w:val="0071229A"/>
    <w:rsid w:val="00712572"/>
    <w:rsid w:val="00713495"/>
    <w:rsid w:val="00713EEB"/>
    <w:rsid w:val="007159D2"/>
    <w:rsid w:val="00717726"/>
    <w:rsid w:val="0072050E"/>
    <w:rsid w:val="00720958"/>
    <w:rsid w:val="00720FA2"/>
    <w:rsid w:val="007211F5"/>
    <w:rsid w:val="00724666"/>
    <w:rsid w:val="00724E80"/>
    <w:rsid w:val="00725492"/>
    <w:rsid w:val="007256B7"/>
    <w:rsid w:val="00726043"/>
    <w:rsid w:val="0072704A"/>
    <w:rsid w:val="00730AE8"/>
    <w:rsid w:val="007315DA"/>
    <w:rsid w:val="00731963"/>
    <w:rsid w:val="00732706"/>
    <w:rsid w:val="00734321"/>
    <w:rsid w:val="0073532E"/>
    <w:rsid w:val="00735B01"/>
    <w:rsid w:val="00740310"/>
    <w:rsid w:val="00740652"/>
    <w:rsid w:val="00740F02"/>
    <w:rsid w:val="00740FEC"/>
    <w:rsid w:val="0074132E"/>
    <w:rsid w:val="00741493"/>
    <w:rsid w:val="007426B3"/>
    <w:rsid w:val="007426FD"/>
    <w:rsid w:val="007430AB"/>
    <w:rsid w:val="0074329D"/>
    <w:rsid w:val="00744376"/>
    <w:rsid w:val="007449EA"/>
    <w:rsid w:val="00744D00"/>
    <w:rsid w:val="00744D2B"/>
    <w:rsid w:val="00745273"/>
    <w:rsid w:val="00745F3C"/>
    <w:rsid w:val="00746DD9"/>
    <w:rsid w:val="0075057A"/>
    <w:rsid w:val="00751771"/>
    <w:rsid w:val="00751C1C"/>
    <w:rsid w:val="00752180"/>
    <w:rsid w:val="007521A1"/>
    <w:rsid w:val="00752BC3"/>
    <w:rsid w:val="0075315D"/>
    <w:rsid w:val="007538F9"/>
    <w:rsid w:val="00754253"/>
    <w:rsid w:val="007552BB"/>
    <w:rsid w:val="007558D3"/>
    <w:rsid w:val="007559D7"/>
    <w:rsid w:val="00755D3A"/>
    <w:rsid w:val="00760141"/>
    <w:rsid w:val="007609C6"/>
    <w:rsid w:val="007610A0"/>
    <w:rsid w:val="00762036"/>
    <w:rsid w:val="007620F2"/>
    <w:rsid w:val="00762EBA"/>
    <w:rsid w:val="0076359D"/>
    <w:rsid w:val="0077058D"/>
    <w:rsid w:val="00770931"/>
    <w:rsid w:val="00772536"/>
    <w:rsid w:val="00773613"/>
    <w:rsid w:val="00774782"/>
    <w:rsid w:val="00776476"/>
    <w:rsid w:val="00776527"/>
    <w:rsid w:val="007805E1"/>
    <w:rsid w:val="0078113E"/>
    <w:rsid w:val="00781834"/>
    <w:rsid w:val="007821DB"/>
    <w:rsid w:val="00782818"/>
    <w:rsid w:val="007838F1"/>
    <w:rsid w:val="00784C4A"/>
    <w:rsid w:val="00787432"/>
    <w:rsid w:val="00787507"/>
    <w:rsid w:val="007877B5"/>
    <w:rsid w:val="007879F2"/>
    <w:rsid w:val="00790393"/>
    <w:rsid w:val="00791804"/>
    <w:rsid w:val="00791CF8"/>
    <w:rsid w:val="00791EF9"/>
    <w:rsid w:val="00792262"/>
    <w:rsid w:val="00793387"/>
    <w:rsid w:val="00793BAE"/>
    <w:rsid w:val="00794870"/>
    <w:rsid w:val="00794E0A"/>
    <w:rsid w:val="00795B04"/>
    <w:rsid w:val="00796642"/>
    <w:rsid w:val="007A11D9"/>
    <w:rsid w:val="007A327B"/>
    <w:rsid w:val="007A4048"/>
    <w:rsid w:val="007A45B1"/>
    <w:rsid w:val="007A4606"/>
    <w:rsid w:val="007A4D58"/>
    <w:rsid w:val="007B0D67"/>
    <w:rsid w:val="007B1966"/>
    <w:rsid w:val="007B2257"/>
    <w:rsid w:val="007B2779"/>
    <w:rsid w:val="007B2AF7"/>
    <w:rsid w:val="007B3DCC"/>
    <w:rsid w:val="007B4518"/>
    <w:rsid w:val="007B5031"/>
    <w:rsid w:val="007B573F"/>
    <w:rsid w:val="007B72AC"/>
    <w:rsid w:val="007B78F8"/>
    <w:rsid w:val="007C0065"/>
    <w:rsid w:val="007C010B"/>
    <w:rsid w:val="007C32B6"/>
    <w:rsid w:val="007C3AE3"/>
    <w:rsid w:val="007C605B"/>
    <w:rsid w:val="007C6EBA"/>
    <w:rsid w:val="007D2A5A"/>
    <w:rsid w:val="007D2AD8"/>
    <w:rsid w:val="007D2C47"/>
    <w:rsid w:val="007D2C61"/>
    <w:rsid w:val="007D2F81"/>
    <w:rsid w:val="007D3167"/>
    <w:rsid w:val="007D3CF7"/>
    <w:rsid w:val="007D4128"/>
    <w:rsid w:val="007D4281"/>
    <w:rsid w:val="007D42F5"/>
    <w:rsid w:val="007D44C3"/>
    <w:rsid w:val="007D5947"/>
    <w:rsid w:val="007D65C1"/>
    <w:rsid w:val="007E030F"/>
    <w:rsid w:val="007E0D49"/>
    <w:rsid w:val="007E0E59"/>
    <w:rsid w:val="007E0F4B"/>
    <w:rsid w:val="007E12C1"/>
    <w:rsid w:val="007E1EF7"/>
    <w:rsid w:val="007E3715"/>
    <w:rsid w:val="007E5F3D"/>
    <w:rsid w:val="007E6588"/>
    <w:rsid w:val="007E7063"/>
    <w:rsid w:val="007E7E61"/>
    <w:rsid w:val="007F0316"/>
    <w:rsid w:val="007F0845"/>
    <w:rsid w:val="007F1092"/>
    <w:rsid w:val="007F16F9"/>
    <w:rsid w:val="007F2801"/>
    <w:rsid w:val="007F3E3E"/>
    <w:rsid w:val="007F42E0"/>
    <w:rsid w:val="007F500D"/>
    <w:rsid w:val="007F5F14"/>
    <w:rsid w:val="007F7B54"/>
    <w:rsid w:val="007F7C60"/>
    <w:rsid w:val="00800073"/>
    <w:rsid w:val="008005D7"/>
    <w:rsid w:val="00801FDD"/>
    <w:rsid w:val="008020C2"/>
    <w:rsid w:val="0080255C"/>
    <w:rsid w:val="00806088"/>
    <w:rsid w:val="00806D07"/>
    <w:rsid w:val="0081019B"/>
    <w:rsid w:val="0081187C"/>
    <w:rsid w:val="00811E24"/>
    <w:rsid w:val="00812386"/>
    <w:rsid w:val="00812E2B"/>
    <w:rsid w:val="00813A70"/>
    <w:rsid w:val="00813FE6"/>
    <w:rsid w:val="00815C6E"/>
    <w:rsid w:val="00815DD0"/>
    <w:rsid w:val="00815F10"/>
    <w:rsid w:val="0081645F"/>
    <w:rsid w:val="00817755"/>
    <w:rsid w:val="008178C2"/>
    <w:rsid w:val="008178CF"/>
    <w:rsid w:val="00817C98"/>
    <w:rsid w:val="00820C9F"/>
    <w:rsid w:val="00821AAE"/>
    <w:rsid w:val="00821FF6"/>
    <w:rsid w:val="00823AAF"/>
    <w:rsid w:val="00824081"/>
    <w:rsid w:val="0082409A"/>
    <w:rsid w:val="008252D7"/>
    <w:rsid w:val="00825C0F"/>
    <w:rsid w:val="00826376"/>
    <w:rsid w:val="00826ED1"/>
    <w:rsid w:val="00827181"/>
    <w:rsid w:val="0082733C"/>
    <w:rsid w:val="00827746"/>
    <w:rsid w:val="0083102D"/>
    <w:rsid w:val="0083143E"/>
    <w:rsid w:val="0083159D"/>
    <w:rsid w:val="008318FF"/>
    <w:rsid w:val="00832187"/>
    <w:rsid w:val="00832493"/>
    <w:rsid w:val="008329BD"/>
    <w:rsid w:val="008334C3"/>
    <w:rsid w:val="008336D8"/>
    <w:rsid w:val="008339C4"/>
    <w:rsid w:val="00834F0A"/>
    <w:rsid w:val="00834FAA"/>
    <w:rsid w:val="00835181"/>
    <w:rsid w:val="00835991"/>
    <w:rsid w:val="00836086"/>
    <w:rsid w:val="00840699"/>
    <w:rsid w:val="00841D9F"/>
    <w:rsid w:val="00842078"/>
    <w:rsid w:val="00842604"/>
    <w:rsid w:val="00843ECF"/>
    <w:rsid w:val="00845AB1"/>
    <w:rsid w:val="00846673"/>
    <w:rsid w:val="008508A9"/>
    <w:rsid w:val="0085188D"/>
    <w:rsid w:val="008525F9"/>
    <w:rsid w:val="0085281A"/>
    <w:rsid w:val="00853F33"/>
    <w:rsid w:val="008550EA"/>
    <w:rsid w:val="008559FE"/>
    <w:rsid w:val="00857339"/>
    <w:rsid w:val="00860706"/>
    <w:rsid w:val="00862A7A"/>
    <w:rsid w:val="00862FBD"/>
    <w:rsid w:val="00863104"/>
    <w:rsid w:val="008636CD"/>
    <w:rsid w:val="00863702"/>
    <w:rsid w:val="00863D9E"/>
    <w:rsid w:val="00863FDC"/>
    <w:rsid w:val="008642AF"/>
    <w:rsid w:val="00865286"/>
    <w:rsid w:val="00865729"/>
    <w:rsid w:val="00865ED4"/>
    <w:rsid w:val="008669A7"/>
    <w:rsid w:val="00867464"/>
    <w:rsid w:val="00867D15"/>
    <w:rsid w:val="00867E29"/>
    <w:rsid w:val="00870F2B"/>
    <w:rsid w:val="00873B2E"/>
    <w:rsid w:val="008746E6"/>
    <w:rsid w:val="0087515D"/>
    <w:rsid w:val="0087594C"/>
    <w:rsid w:val="00876086"/>
    <w:rsid w:val="008765FA"/>
    <w:rsid w:val="008768D6"/>
    <w:rsid w:val="008775D1"/>
    <w:rsid w:val="008777BB"/>
    <w:rsid w:val="00877D68"/>
    <w:rsid w:val="00877E5D"/>
    <w:rsid w:val="00880150"/>
    <w:rsid w:val="00880ABA"/>
    <w:rsid w:val="00883A67"/>
    <w:rsid w:val="00883D45"/>
    <w:rsid w:val="00884D69"/>
    <w:rsid w:val="0088503D"/>
    <w:rsid w:val="00885EC6"/>
    <w:rsid w:val="008869D2"/>
    <w:rsid w:val="00886A8F"/>
    <w:rsid w:val="0088733A"/>
    <w:rsid w:val="00891BE0"/>
    <w:rsid w:val="00893302"/>
    <w:rsid w:val="00893648"/>
    <w:rsid w:val="00893F3C"/>
    <w:rsid w:val="008945A1"/>
    <w:rsid w:val="00894A63"/>
    <w:rsid w:val="00895A54"/>
    <w:rsid w:val="00896776"/>
    <w:rsid w:val="00896916"/>
    <w:rsid w:val="00896BDE"/>
    <w:rsid w:val="0089763E"/>
    <w:rsid w:val="008A03DE"/>
    <w:rsid w:val="008A0861"/>
    <w:rsid w:val="008A0BB2"/>
    <w:rsid w:val="008A1AB3"/>
    <w:rsid w:val="008A1D5C"/>
    <w:rsid w:val="008A3292"/>
    <w:rsid w:val="008A3A85"/>
    <w:rsid w:val="008A43E9"/>
    <w:rsid w:val="008A4CB1"/>
    <w:rsid w:val="008A615E"/>
    <w:rsid w:val="008A632B"/>
    <w:rsid w:val="008A6BFE"/>
    <w:rsid w:val="008A73DA"/>
    <w:rsid w:val="008B00C2"/>
    <w:rsid w:val="008B05E8"/>
    <w:rsid w:val="008B07EF"/>
    <w:rsid w:val="008B16DE"/>
    <w:rsid w:val="008B190E"/>
    <w:rsid w:val="008B1A8A"/>
    <w:rsid w:val="008B1FC9"/>
    <w:rsid w:val="008B531F"/>
    <w:rsid w:val="008B54A3"/>
    <w:rsid w:val="008B634C"/>
    <w:rsid w:val="008B6B67"/>
    <w:rsid w:val="008B7306"/>
    <w:rsid w:val="008B775F"/>
    <w:rsid w:val="008B7C02"/>
    <w:rsid w:val="008B7D13"/>
    <w:rsid w:val="008B7F9E"/>
    <w:rsid w:val="008C034E"/>
    <w:rsid w:val="008C0E88"/>
    <w:rsid w:val="008C1399"/>
    <w:rsid w:val="008C1AA8"/>
    <w:rsid w:val="008C22A8"/>
    <w:rsid w:val="008C5B43"/>
    <w:rsid w:val="008C63FD"/>
    <w:rsid w:val="008C6CB8"/>
    <w:rsid w:val="008C6D92"/>
    <w:rsid w:val="008C777A"/>
    <w:rsid w:val="008C7815"/>
    <w:rsid w:val="008C7A07"/>
    <w:rsid w:val="008C7E90"/>
    <w:rsid w:val="008C7EB3"/>
    <w:rsid w:val="008D0171"/>
    <w:rsid w:val="008D13EA"/>
    <w:rsid w:val="008D2671"/>
    <w:rsid w:val="008D2A16"/>
    <w:rsid w:val="008D2ECF"/>
    <w:rsid w:val="008D347D"/>
    <w:rsid w:val="008D3F3D"/>
    <w:rsid w:val="008D4376"/>
    <w:rsid w:val="008E0367"/>
    <w:rsid w:val="008E308D"/>
    <w:rsid w:val="008E31FF"/>
    <w:rsid w:val="008E46A3"/>
    <w:rsid w:val="008E5DE6"/>
    <w:rsid w:val="008E6113"/>
    <w:rsid w:val="008E6AB3"/>
    <w:rsid w:val="008E6AD3"/>
    <w:rsid w:val="008E6EBD"/>
    <w:rsid w:val="008E71A6"/>
    <w:rsid w:val="008E77B6"/>
    <w:rsid w:val="008E7C55"/>
    <w:rsid w:val="008F032E"/>
    <w:rsid w:val="008F0F14"/>
    <w:rsid w:val="008F2097"/>
    <w:rsid w:val="008F2F44"/>
    <w:rsid w:val="008F4FCE"/>
    <w:rsid w:val="008F5301"/>
    <w:rsid w:val="008F6967"/>
    <w:rsid w:val="008F6A0C"/>
    <w:rsid w:val="008F6F38"/>
    <w:rsid w:val="008F7721"/>
    <w:rsid w:val="008F7D28"/>
    <w:rsid w:val="009003A8"/>
    <w:rsid w:val="009010A7"/>
    <w:rsid w:val="009010E3"/>
    <w:rsid w:val="00901703"/>
    <w:rsid w:val="00901AF3"/>
    <w:rsid w:val="00902CBE"/>
    <w:rsid w:val="00902D74"/>
    <w:rsid w:val="00902EFF"/>
    <w:rsid w:val="00903E06"/>
    <w:rsid w:val="009045D1"/>
    <w:rsid w:val="00904B9D"/>
    <w:rsid w:val="00905A11"/>
    <w:rsid w:val="00905FE8"/>
    <w:rsid w:val="00906225"/>
    <w:rsid w:val="009066E1"/>
    <w:rsid w:val="00906F67"/>
    <w:rsid w:val="00907A41"/>
    <w:rsid w:val="009102BD"/>
    <w:rsid w:val="00910F93"/>
    <w:rsid w:val="0091255A"/>
    <w:rsid w:val="00914426"/>
    <w:rsid w:val="0091675F"/>
    <w:rsid w:val="00917709"/>
    <w:rsid w:val="00917918"/>
    <w:rsid w:val="00920874"/>
    <w:rsid w:val="00921F14"/>
    <w:rsid w:val="00923750"/>
    <w:rsid w:val="009243A5"/>
    <w:rsid w:val="0092500F"/>
    <w:rsid w:val="009250D2"/>
    <w:rsid w:val="0092519D"/>
    <w:rsid w:val="0092540B"/>
    <w:rsid w:val="009256C5"/>
    <w:rsid w:val="00926283"/>
    <w:rsid w:val="009306BE"/>
    <w:rsid w:val="00934963"/>
    <w:rsid w:val="00937B11"/>
    <w:rsid w:val="00940F1F"/>
    <w:rsid w:val="00941250"/>
    <w:rsid w:val="00941339"/>
    <w:rsid w:val="0094396E"/>
    <w:rsid w:val="0094427A"/>
    <w:rsid w:val="00944380"/>
    <w:rsid w:val="009459C5"/>
    <w:rsid w:val="00945E5E"/>
    <w:rsid w:val="0094626C"/>
    <w:rsid w:val="0095013A"/>
    <w:rsid w:val="00953AEF"/>
    <w:rsid w:val="009551E2"/>
    <w:rsid w:val="00955783"/>
    <w:rsid w:val="009558A6"/>
    <w:rsid w:val="00955E5F"/>
    <w:rsid w:val="009560B0"/>
    <w:rsid w:val="00956F23"/>
    <w:rsid w:val="009576AC"/>
    <w:rsid w:val="00957871"/>
    <w:rsid w:val="00960077"/>
    <w:rsid w:val="00960769"/>
    <w:rsid w:val="00962D2E"/>
    <w:rsid w:val="00963724"/>
    <w:rsid w:val="00964498"/>
    <w:rsid w:val="0096504D"/>
    <w:rsid w:val="00965795"/>
    <w:rsid w:val="00965A2D"/>
    <w:rsid w:val="009663EB"/>
    <w:rsid w:val="0096650F"/>
    <w:rsid w:val="00967801"/>
    <w:rsid w:val="00967AD2"/>
    <w:rsid w:val="009700DB"/>
    <w:rsid w:val="00971DC6"/>
    <w:rsid w:val="00972263"/>
    <w:rsid w:val="00972502"/>
    <w:rsid w:val="00972D8D"/>
    <w:rsid w:val="00973AAE"/>
    <w:rsid w:val="0097476C"/>
    <w:rsid w:val="00974923"/>
    <w:rsid w:val="00974D48"/>
    <w:rsid w:val="00974D5F"/>
    <w:rsid w:val="00975017"/>
    <w:rsid w:val="009759DF"/>
    <w:rsid w:val="00980373"/>
    <w:rsid w:val="00980621"/>
    <w:rsid w:val="0098095B"/>
    <w:rsid w:val="00982072"/>
    <w:rsid w:val="009833FA"/>
    <w:rsid w:val="00983DBB"/>
    <w:rsid w:val="00983ECF"/>
    <w:rsid w:val="00986745"/>
    <w:rsid w:val="009867BC"/>
    <w:rsid w:val="00987109"/>
    <w:rsid w:val="00987309"/>
    <w:rsid w:val="0099012D"/>
    <w:rsid w:val="00990363"/>
    <w:rsid w:val="00993BE6"/>
    <w:rsid w:val="00993D9C"/>
    <w:rsid w:val="00993F56"/>
    <w:rsid w:val="009954FF"/>
    <w:rsid w:val="00995E2F"/>
    <w:rsid w:val="009961BC"/>
    <w:rsid w:val="00996355"/>
    <w:rsid w:val="0099788F"/>
    <w:rsid w:val="00997ADD"/>
    <w:rsid w:val="009A1374"/>
    <w:rsid w:val="009A2014"/>
    <w:rsid w:val="009A2030"/>
    <w:rsid w:val="009A3A87"/>
    <w:rsid w:val="009A4E12"/>
    <w:rsid w:val="009A5C68"/>
    <w:rsid w:val="009A5DE2"/>
    <w:rsid w:val="009A6EF7"/>
    <w:rsid w:val="009B04D0"/>
    <w:rsid w:val="009B052C"/>
    <w:rsid w:val="009B0975"/>
    <w:rsid w:val="009B0EF2"/>
    <w:rsid w:val="009B23A3"/>
    <w:rsid w:val="009B2C0E"/>
    <w:rsid w:val="009B4925"/>
    <w:rsid w:val="009B4B4B"/>
    <w:rsid w:val="009B4CE3"/>
    <w:rsid w:val="009B6FD3"/>
    <w:rsid w:val="009B70BD"/>
    <w:rsid w:val="009C07A5"/>
    <w:rsid w:val="009C24A3"/>
    <w:rsid w:val="009C3705"/>
    <w:rsid w:val="009C7388"/>
    <w:rsid w:val="009C74C2"/>
    <w:rsid w:val="009D0CFF"/>
    <w:rsid w:val="009D1551"/>
    <w:rsid w:val="009D2859"/>
    <w:rsid w:val="009D36EC"/>
    <w:rsid w:val="009D3CD0"/>
    <w:rsid w:val="009D4173"/>
    <w:rsid w:val="009D51CA"/>
    <w:rsid w:val="009D6095"/>
    <w:rsid w:val="009D6306"/>
    <w:rsid w:val="009E048A"/>
    <w:rsid w:val="009E1124"/>
    <w:rsid w:val="009E1FBA"/>
    <w:rsid w:val="009E2C54"/>
    <w:rsid w:val="009E3710"/>
    <w:rsid w:val="009E6F65"/>
    <w:rsid w:val="009E7340"/>
    <w:rsid w:val="009E7B1F"/>
    <w:rsid w:val="009F2A39"/>
    <w:rsid w:val="009F346F"/>
    <w:rsid w:val="009F371A"/>
    <w:rsid w:val="009F3F25"/>
    <w:rsid w:val="009F3FC3"/>
    <w:rsid w:val="009F41C4"/>
    <w:rsid w:val="009F5846"/>
    <w:rsid w:val="009F63D2"/>
    <w:rsid w:val="009F777A"/>
    <w:rsid w:val="009F7B52"/>
    <w:rsid w:val="009F7D77"/>
    <w:rsid w:val="00A004D2"/>
    <w:rsid w:val="00A015EA"/>
    <w:rsid w:val="00A05B91"/>
    <w:rsid w:val="00A10D66"/>
    <w:rsid w:val="00A12BA8"/>
    <w:rsid w:val="00A133F2"/>
    <w:rsid w:val="00A13993"/>
    <w:rsid w:val="00A1420C"/>
    <w:rsid w:val="00A1456C"/>
    <w:rsid w:val="00A14821"/>
    <w:rsid w:val="00A17754"/>
    <w:rsid w:val="00A2055B"/>
    <w:rsid w:val="00A20E22"/>
    <w:rsid w:val="00A2253C"/>
    <w:rsid w:val="00A23545"/>
    <w:rsid w:val="00A23A55"/>
    <w:rsid w:val="00A23E43"/>
    <w:rsid w:val="00A23EF0"/>
    <w:rsid w:val="00A24F8C"/>
    <w:rsid w:val="00A262BF"/>
    <w:rsid w:val="00A271AD"/>
    <w:rsid w:val="00A276D5"/>
    <w:rsid w:val="00A30336"/>
    <w:rsid w:val="00A30BB5"/>
    <w:rsid w:val="00A3128F"/>
    <w:rsid w:val="00A326D0"/>
    <w:rsid w:val="00A35287"/>
    <w:rsid w:val="00A378F8"/>
    <w:rsid w:val="00A40965"/>
    <w:rsid w:val="00A40B19"/>
    <w:rsid w:val="00A41D07"/>
    <w:rsid w:val="00A424F8"/>
    <w:rsid w:val="00A42883"/>
    <w:rsid w:val="00A437B7"/>
    <w:rsid w:val="00A43EA2"/>
    <w:rsid w:val="00A46C70"/>
    <w:rsid w:val="00A46D48"/>
    <w:rsid w:val="00A46DE0"/>
    <w:rsid w:val="00A4778A"/>
    <w:rsid w:val="00A47C94"/>
    <w:rsid w:val="00A504C0"/>
    <w:rsid w:val="00A5067F"/>
    <w:rsid w:val="00A517C1"/>
    <w:rsid w:val="00A518E0"/>
    <w:rsid w:val="00A5408A"/>
    <w:rsid w:val="00A55301"/>
    <w:rsid w:val="00A572FB"/>
    <w:rsid w:val="00A57B3C"/>
    <w:rsid w:val="00A57F1B"/>
    <w:rsid w:val="00A600D2"/>
    <w:rsid w:val="00A6128E"/>
    <w:rsid w:val="00A62CE1"/>
    <w:rsid w:val="00A631FA"/>
    <w:rsid w:val="00A64203"/>
    <w:rsid w:val="00A64348"/>
    <w:rsid w:val="00A644E1"/>
    <w:rsid w:val="00A711B0"/>
    <w:rsid w:val="00A71279"/>
    <w:rsid w:val="00A721FB"/>
    <w:rsid w:val="00A727BA"/>
    <w:rsid w:val="00A72D4B"/>
    <w:rsid w:val="00A732AE"/>
    <w:rsid w:val="00A74192"/>
    <w:rsid w:val="00A75837"/>
    <w:rsid w:val="00A75E40"/>
    <w:rsid w:val="00A76B12"/>
    <w:rsid w:val="00A76EF2"/>
    <w:rsid w:val="00A7727E"/>
    <w:rsid w:val="00A77EB2"/>
    <w:rsid w:val="00A81094"/>
    <w:rsid w:val="00A82B66"/>
    <w:rsid w:val="00A83B58"/>
    <w:rsid w:val="00A84FAF"/>
    <w:rsid w:val="00A851B6"/>
    <w:rsid w:val="00A85729"/>
    <w:rsid w:val="00A8574B"/>
    <w:rsid w:val="00A857C0"/>
    <w:rsid w:val="00A90343"/>
    <w:rsid w:val="00A91336"/>
    <w:rsid w:val="00A9221C"/>
    <w:rsid w:val="00A92277"/>
    <w:rsid w:val="00A92916"/>
    <w:rsid w:val="00A94628"/>
    <w:rsid w:val="00A94954"/>
    <w:rsid w:val="00A9497A"/>
    <w:rsid w:val="00A96463"/>
    <w:rsid w:val="00A97E3F"/>
    <w:rsid w:val="00AA09D3"/>
    <w:rsid w:val="00AA220F"/>
    <w:rsid w:val="00AA23FB"/>
    <w:rsid w:val="00AA34FE"/>
    <w:rsid w:val="00AA42AB"/>
    <w:rsid w:val="00AA559A"/>
    <w:rsid w:val="00AA57A4"/>
    <w:rsid w:val="00AA5F10"/>
    <w:rsid w:val="00AB0BB9"/>
    <w:rsid w:val="00AB104D"/>
    <w:rsid w:val="00AB1441"/>
    <w:rsid w:val="00AB2AF1"/>
    <w:rsid w:val="00AB440B"/>
    <w:rsid w:val="00AB47E3"/>
    <w:rsid w:val="00AB74C5"/>
    <w:rsid w:val="00AB7BEE"/>
    <w:rsid w:val="00AB7DF2"/>
    <w:rsid w:val="00AC1E3F"/>
    <w:rsid w:val="00AC219A"/>
    <w:rsid w:val="00AC3D02"/>
    <w:rsid w:val="00AC4F18"/>
    <w:rsid w:val="00AD0B46"/>
    <w:rsid w:val="00AD1094"/>
    <w:rsid w:val="00AD2565"/>
    <w:rsid w:val="00AD306C"/>
    <w:rsid w:val="00AD3424"/>
    <w:rsid w:val="00AD3E3F"/>
    <w:rsid w:val="00AD4FEF"/>
    <w:rsid w:val="00AD50D1"/>
    <w:rsid w:val="00AD59BB"/>
    <w:rsid w:val="00AD5D68"/>
    <w:rsid w:val="00AD6C73"/>
    <w:rsid w:val="00AD7D49"/>
    <w:rsid w:val="00AE06D0"/>
    <w:rsid w:val="00AE1B8A"/>
    <w:rsid w:val="00AE39DC"/>
    <w:rsid w:val="00AE3CDA"/>
    <w:rsid w:val="00AE481D"/>
    <w:rsid w:val="00AE6734"/>
    <w:rsid w:val="00AE7968"/>
    <w:rsid w:val="00AE7B2B"/>
    <w:rsid w:val="00AE7DFF"/>
    <w:rsid w:val="00AF128B"/>
    <w:rsid w:val="00AF1AEA"/>
    <w:rsid w:val="00AF2536"/>
    <w:rsid w:val="00AF2852"/>
    <w:rsid w:val="00AF3225"/>
    <w:rsid w:val="00AF4983"/>
    <w:rsid w:val="00AF518B"/>
    <w:rsid w:val="00AF5275"/>
    <w:rsid w:val="00AF5D62"/>
    <w:rsid w:val="00AF6367"/>
    <w:rsid w:val="00AF6A79"/>
    <w:rsid w:val="00AF724E"/>
    <w:rsid w:val="00AF73A9"/>
    <w:rsid w:val="00B01436"/>
    <w:rsid w:val="00B01C2C"/>
    <w:rsid w:val="00B0231C"/>
    <w:rsid w:val="00B07372"/>
    <w:rsid w:val="00B07C2A"/>
    <w:rsid w:val="00B128E5"/>
    <w:rsid w:val="00B13681"/>
    <w:rsid w:val="00B15DCD"/>
    <w:rsid w:val="00B17E71"/>
    <w:rsid w:val="00B17FDE"/>
    <w:rsid w:val="00B208FC"/>
    <w:rsid w:val="00B20C65"/>
    <w:rsid w:val="00B22E17"/>
    <w:rsid w:val="00B25567"/>
    <w:rsid w:val="00B266C5"/>
    <w:rsid w:val="00B27293"/>
    <w:rsid w:val="00B301BB"/>
    <w:rsid w:val="00B321E3"/>
    <w:rsid w:val="00B3229E"/>
    <w:rsid w:val="00B32DDB"/>
    <w:rsid w:val="00B3447A"/>
    <w:rsid w:val="00B3448C"/>
    <w:rsid w:val="00B34931"/>
    <w:rsid w:val="00B35174"/>
    <w:rsid w:val="00B35BEA"/>
    <w:rsid w:val="00B37915"/>
    <w:rsid w:val="00B3793D"/>
    <w:rsid w:val="00B41BE6"/>
    <w:rsid w:val="00B42831"/>
    <w:rsid w:val="00B428A4"/>
    <w:rsid w:val="00B457E7"/>
    <w:rsid w:val="00B45D1B"/>
    <w:rsid w:val="00B46D25"/>
    <w:rsid w:val="00B47430"/>
    <w:rsid w:val="00B47AC6"/>
    <w:rsid w:val="00B52D2D"/>
    <w:rsid w:val="00B534EF"/>
    <w:rsid w:val="00B55BA8"/>
    <w:rsid w:val="00B55F15"/>
    <w:rsid w:val="00B561A6"/>
    <w:rsid w:val="00B57CC4"/>
    <w:rsid w:val="00B60062"/>
    <w:rsid w:val="00B62960"/>
    <w:rsid w:val="00B63A11"/>
    <w:rsid w:val="00B63FD0"/>
    <w:rsid w:val="00B6553E"/>
    <w:rsid w:val="00B65C84"/>
    <w:rsid w:val="00B6608F"/>
    <w:rsid w:val="00B73180"/>
    <w:rsid w:val="00B74317"/>
    <w:rsid w:val="00B75700"/>
    <w:rsid w:val="00B760C1"/>
    <w:rsid w:val="00B76D1E"/>
    <w:rsid w:val="00B77BC8"/>
    <w:rsid w:val="00B800EB"/>
    <w:rsid w:val="00B822D2"/>
    <w:rsid w:val="00B823F1"/>
    <w:rsid w:val="00B83D46"/>
    <w:rsid w:val="00B848B8"/>
    <w:rsid w:val="00B84A41"/>
    <w:rsid w:val="00B84D57"/>
    <w:rsid w:val="00B8504B"/>
    <w:rsid w:val="00B853C2"/>
    <w:rsid w:val="00B85689"/>
    <w:rsid w:val="00B86748"/>
    <w:rsid w:val="00B907EA"/>
    <w:rsid w:val="00B91EC9"/>
    <w:rsid w:val="00B924CA"/>
    <w:rsid w:val="00B92A4B"/>
    <w:rsid w:val="00B93384"/>
    <w:rsid w:val="00B93616"/>
    <w:rsid w:val="00B94417"/>
    <w:rsid w:val="00B95566"/>
    <w:rsid w:val="00B95940"/>
    <w:rsid w:val="00B95EF8"/>
    <w:rsid w:val="00B95F50"/>
    <w:rsid w:val="00B96BD9"/>
    <w:rsid w:val="00B979A0"/>
    <w:rsid w:val="00BA0DED"/>
    <w:rsid w:val="00BA0F99"/>
    <w:rsid w:val="00BB0274"/>
    <w:rsid w:val="00BB0B13"/>
    <w:rsid w:val="00BB1CFD"/>
    <w:rsid w:val="00BB2C53"/>
    <w:rsid w:val="00BB32DA"/>
    <w:rsid w:val="00BB3A54"/>
    <w:rsid w:val="00BB4D26"/>
    <w:rsid w:val="00BB4E21"/>
    <w:rsid w:val="00BB7746"/>
    <w:rsid w:val="00BC22EB"/>
    <w:rsid w:val="00BC682B"/>
    <w:rsid w:val="00BC68BA"/>
    <w:rsid w:val="00BC6B04"/>
    <w:rsid w:val="00BC6D27"/>
    <w:rsid w:val="00BD059A"/>
    <w:rsid w:val="00BD186B"/>
    <w:rsid w:val="00BD1EAC"/>
    <w:rsid w:val="00BD254C"/>
    <w:rsid w:val="00BD3428"/>
    <w:rsid w:val="00BD366B"/>
    <w:rsid w:val="00BD5298"/>
    <w:rsid w:val="00BD534C"/>
    <w:rsid w:val="00BD55A9"/>
    <w:rsid w:val="00BD56BC"/>
    <w:rsid w:val="00BD5D91"/>
    <w:rsid w:val="00BD6445"/>
    <w:rsid w:val="00BD6615"/>
    <w:rsid w:val="00BD6D50"/>
    <w:rsid w:val="00BE0D79"/>
    <w:rsid w:val="00BE0DB0"/>
    <w:rsid w:val="00BE15B9"/>
    <w:rsid w:val="00BE2C15"/>
    <w:rsid w:val="00BE3381"/>
    <w:rsid w:val="00BE3F09"/>
    <w:rsid w:val="00BE670A"/>
    <w:rsid w:val="00BE6906"/>
    <w:rsid w:val="00BF18F4"/>
    <w:rsid w:val="00BF1A69"/>
    <w:rsid w:val="00BF3BC8"/>
    <w:rsid w:val="00BF3DF1"/>
    <w:rsid w:val="00BF4C31"/>
    <w:rsid w:val="00BF4E57"/>
    <w:rsid w:val="00BF53B8"/>
    <w:rsid w:val="00BF786A"/>
    <w:rsid w:val="00BF7CB8"/>
    <w:rsid w:val="00C00831"/>
    <w:rsid w:val="00C00F20"/>
    <w:rsid w:val="00C01354"/>
    <w:rsid w:val="00C01700"/>
    <w:rsid w:val="00C01B84"/>
    <w:rsid w:val="00C034E6"/>
    <w:rsid w:val="00C05715"/>
    <w:rsid w:val="00C05926"/>
    <w:rsid w:val="00C0784A"/>
    <w:rsid w:val="00C10B28"/>
    <w:rsid w:val="00C10D62"/>
    <w:rsid w:val="00C10FAE"/>
    <w:rsid w:val="00C1135D"/>
    <w:rsid w:val="00C11DAF"/>
    <w:rsid w:val="00C123B4"/>
    <w:rsid w:val="00C12A69"/>
    <w:rsid w:val="00C13150"/>
    <w:rsid w:val="00C13737"/>
    <w:rsid w:val="00C150BE"/>
    <w:rsid w:val="00C158B0"/>
    <w:rsid w:val="00C15A0C"/>
    <w:rsid w:val="00C15CEB"/>
    <w:rsid w:val="00C15DCB"/>
    <w:rsid w:val="00C16208"/>
    <w:rsid w:val="00C1711F"/>
    <w:rsid w:val="00C17E38"/>
    <w:rsid w:val="00C2038A"/>
    <w:rsid w:val="00C205BF"/>
    <w:rsid w:val="00C20744"/>
    <w:rsid w:val="00C20B1C"/>
    <w:rsid w:val="00C20C4D"/>
    <w:rsid w:val="00C21D46"/>
    <w:rsid w:val="00C21F94"/>
    <w:rsid w:val="00C222A1"/>
    <w:rsid w:val="00C22C59"/>
    <w:rsid w:val="00C23371"/>
    <w:rsid w:val="00C23CBD"/>
    <w:rsid w:val="00C23D22"/>
    <w:rsid w:val="00C2463B"/>
    <w:rsid w:val="00C24E77"/>
    <w:rsid w:val="00C2732D"/>
    <w:rsid w:val="00C273C6"/>
    <w:rsid w:val="00C27913"/>
    <w:rsid w:val="00C300C6"/>
    <w:rsid w:val="00C30828"/>
    <w:rsid w:val="00C30924"/>
    <w:rsid w:val="00C31DD8"/>
    <w:rsid w:val="00C3271C"/>
    <w:rsid w:val="00C34FDE"/>
    <w:rsid w:val="00C35C16"/>
    <w:rsid w:val="00C40E09"/>
    <w:rsid w:val="00C40F81"/>
    <w:rsid w:val="00C41463"/>
    <w:rsid w:val="00C41A72"/>
    <w:rsid w:val="00C42D45"/>
    <w:rsid w:val="00C4422D"/>
    <w:rsid w:val="00C476C5"/>
    <w:rsid w:val="00C503B0"/>
    <w:rsid w:val="00C511C2"/>
    <w:rsid w:val="00C527C6"/>
    <w:rsid w:val="00C53CDB"/>
    <w:rsid w:val="00C53D82"/>
    <w:rsid w:val="00C54748"/>
    <w:rsid w:val="00C574CF"/>
    <w:rsid w:val="00C575FB"/>
    <w:rsid w:val="00C60696"/>
    <w:rsid w:val="00C60943"/>
    <w:rsid w:val="00C60EEF"/>
    <w:rsid w:val="00C6121D"/>
    <w:rsid w:val="00C615F1"/>
    <w:rsid w:val="00C61627"/>
    <w:rsid w:val="00C63B1A"/>
    <w:rsid w:val="00C64E60"/>
    <w:rsid w:val="00C657A4"/>
    <w:rsid w:val="00C66589"/>
    <w:rsid w:val="00C6736C"/>
    <w:rsid w:val="00C70422"/>
    <w:rsid w:val="00C7179C"/>
    <w:rsid w:val="00C71A1D"/>
    <w:rsid w:val="00C71EC4"/>
    <w:rsid w:val="00C7410A"/>
    <w:rsid w:val="00C74791"/>
    <w:rsid w:val="00C7591E"/>
    <w:rsid w:val="00C75C7E"/>
    <w:rsid w:val="00C75C9B"/>
    <w:rsid w:val="00C76D8E"/>
    <w:rsid w:val="00C77833"/>
    <w:rsid w:val="00C80C9B"/>
    <w:rsid w:val="00C8335E"/>
    <w:rsid w:val="00C83F9C"/>
    <w:rsid w:val="00C84CE3"/>
    <w:rsid w:val="00C85614"/>
    <w:rsid w:val="00C86127"/>
    <w:rsid w:val="00C90CF4"/>
    <w:rsid w:val="00C91C19"/>
    <w:rsid w:val="00C929A0"/>
    <w:rsid w:val="00C93389"/>
    <w:rsid w:val="00C937DB"/>
    <w:rsid w:val="00C94519"/>
    <w:rsid w:val="00C94E11"/>
    <w:rsid w:val="00C94E83"/>
    <w:rsid w:val="00C9567E"/>
    <w:rsid w:val="00C97038"/>
    <w:rsid w:val="00CA02B2"/>
    <w:rsid w:val="00CA0883"/>
    <w:rsid w:val="00CA1085"/>
    <w:rsid w:val="00CA140F"/>
    <w:rsid w:val="00CA25C2"/>
    <w:rsid w:val="00CA37BB"/>
    <w:rsid w:val="00CA37CA"/>
    <w:rsid w:val="00CA5016"/>
    <w:rsid w:val="00CA5724"/>
    <w:rsid w:val="00CA6508"/>
    <w:rsid w:val="00CA6BA1"/>
    <w:rsid w:val="00CA6CD5"/>
    <w:rsid w:val="00CA6D0B"/>
    <w:rsid w:val="00CB1910"/>
    <w:rsid w:val="00CB2150"/>
    <w:rsid w:val="00CB28EE"/>
    <w:rsid w:val="00CB43A7"/>
    <w:rsid w:val="00CB4DF1"/>
    <w:rsid w:val="00CB5996"/>
    <w:rsid w:val="00CB6809"/>
    <w:rsid w:val="00CB7452"/>
    <w:rsid w:val="00CC0E10"/>
    <w:rsid w:val="00CC1DAF"/>
    <w:rsid w:val="00CC2642"/>
    <w:rsid w:val="00CC2967"/>
    <w:rsid w:val="00CC2A1E"/>
    <w:rsid w:val="00CC2A36"/>
    <w:rsid w:val="00CC2E15"/>
    <w:rsid w:val="00CC3440"/>
    <w:rsid w:val="00CC351B"/>
    <w:rsid w:val="00CC3908"/>
    <w:rsid w:val="00CC62AD"/>
    <w:rsid w:val="00CC6CA2"/>
    <w:rsid w:val="00CC7B80"/>
    <w:rsid w:val="00CD2B3C"/>
    <w:rsid w:val="00CD30F6"/>
    <w:rsid w:val="00CD4B29"/>
    <w:rsid w:val="00CD67CA"/>
    <w:rsid w:val="00CD6954"/>
    <w:rsid w:val="00CD6DA3"/>
    <w:rsid w:val="00CD6EF1"/>
    <w:rsid w:val="00CD7E35"/>
    <w:rsid w:val="00CE21C7"/>
    <w:rsid w:val="00CE2682"/>
    <w:rsid w:val="00CE2756"/>
    <w:rsid w:val="00CE442A"/>
    <w:rsid w:val="00CE57D8"/>
    <w:rsid w:val="00CE5F03"/>
    <w:rsid w:val="00CE617A"/>
    <w:rsid w:val="00CE6E3C"/>
    <w:rsid w:val="00CE797F"/>
    <w:rsid w:val="00CF107E"/>
    <w:rsid w:val="00CF15BF"/>
    <w:rsid w:val="00CF25D2"/>
    <w:rsid w:val="00CF28C2"/>
    <w:rsid w:val="00CF42BD"/>
    <w:rsid w:val="00CF51EC"/>
    <w:rsid w:val="00CF6A9D"/>
    <w:rsid w:val="00CF6CD7"/>
    <w:rsid w:val="00CF7276"/>
    <w:rsid w:val="00CF75EC"/>
    <w:rsid w:val="00D002DF"/>
    <w:rsid w:val="00D0037A"/>
    <w:rsid w:val="00D0061E"/>
    <w:rsid w:val="00D00DAF"/>
    <w:rsid w:val="00D017EC"/>
    <w:rsid w:val="00D01CDA"/>
    <w:rsid w:val="00D020FC"/>
    <w:rsid w:val="00D03866"/>
    <w:rsid w:val="00D040DD"/>
    <w:rsid w:val="00D04E1B"/>
    <w:rsid w:val="00D0547B"/>
    <w:rsid w:val="00D076DB"/>
    <w:rsid w:val="00D07EFF"/>
    <w:rsid w:val="00D1067C"/>
    <w:rsid w:val="00D11CBB"/>
    <w:rsid w:val="00D136D4"/>
    <w:rsid w:val="00D13830"/>
    <w:rsid w:val="00D13ECF"/>
    <w:rsid w:val="00D142E5"/>
    <w:rsid w:val="00D148CD"/>
    <w:rsid w:val="00D1611E"/>
    <w:rsid w:val="00D163CC"/>
    <w:rsid w:val="00D16E69"/>
    <w:rsid w:val="00D17F4A"/>
    <w:rsid w:val="00D205A9"/>
    <w:rsid w:val="00D217EE"/>
    <w:rsid w:val="00D24299"/>
    <w:rsid w:val="00D245BA"/>
    <w:rsid w:val="00D26923"/>
    <w:rsid w:val="00D27856"/>
    <w:rsid w:val="00D27D34"/>
    <w:rsid w:val="00D3006B"/>
    <w:rsid w:val="00D301CA"/>
    <w:rsid w:val="00D30740"/>
    <w:rsid w:val="00D31075"/>
    <w:rsid w:val="00D31445"/>
    <w:rsid w:val="00D31932"/>
    <w:rsid w:val="00D32AE0"/>
    <w:rsid w:val="00D360DA"/>
    <w:rsid w:val="00D37689"/>
    <w:rsid w:val="00D378CC"/>
    <w:rsid w:val="00D4042C"/>
    <w:rsid w:val="00D40B9E"/>
    <w:rsid w:val="00D41281"/>
    <w:rsid w:val="00D42312"/>
    <w:rsid w:val="00D433F5"/>
    <w:rsid w:val="00D43998"/>
    <w:rsid w:val="00D439C2"/>
    <w:rsid w:val="00D451E0"/>
    <w:rsid w:val="00D45A1D"/>
    <w:rsid w:val="00D4615E"/>
    <w:rsid w:val="00D4651F"/>
    <w:rsid w:val="00D478E2"/>
    <w:rsid w:val="00D5264C"/>
    <w:rsid w:val="00D547BA"/>
    <w:rsid w:val="00D55626"/>
    <w:rsid w:val="00D556BC"/>
    <w:rsid w:val="00D5626D"/>
    <w:rsid w:val="00D56631"/>
    <w:rsid w:val="00D60277"/>
    <w:rsid w:val="00D60336"/>
    <w:rsid w:val="00D61F88"/>
    <w:rsid w:val="00D62688"/>
    <w:rsid w:val="00D62901"/>
    <w:rsid w:val="00D6345E"/>
    <w:rsid w:val="00D6470C"/>
    <w:rsid w:val="00D64853"/>
    <w:rsid w:val="00D64CB5"/>
    <w:rsid w:val="00D66D48"/>
    <w:rsid w:val="00D7162F"/>
    <w:rsid w:val="00D72897"/>
    <w:rsid w:val="00D73256"/>
    <w:rsid w:val="00D73A30"/>
    <w:rsid w:val="00D74C65"/>
    <w:rsid w:val="00D74F21"/>
    <w:rsid w:val="00D758D0"/>
    <w:rsid w:val="00D75DC2"/>
    <w:rsid w:val="00D75DC3"/>
    <w:rsid w:val="00D766EF"/>
    <w:rsid w:val="00D76C03"/>
    <w:rsid w:val="00D77F8D"/>
    <w:rsid w:val="00D80E07"/>
    <w:rsid w:val="00D8119B"/>
    <w:rsid w:val="00D82462"/>
    <w:rsid w:val="00D831C6"/>
    <w:rsid w:val="00D83EF3"/>
    <w:rsid w:val="00D85886"/>
    <w:rsid w:val="00D868CE"/>
    <w:rsid w:val="00D86DAE"/>
    <w:rsid w:val="00D90116"/>
    <w:rsid w:val="00D90C1E"/>
    <w:rsid w:val="00D91BDF"/>
    <w:rsid w:val="00D91F2C"/>
    <w:rsid w:val="00D93F09"/>
    <w:rsid w:val="00D94859"/>
    <w:rsid w:val="00D954C2"/>
    <w:rsid w:val="00D97BB8"/>
    <w:rsid w:val="00DA1318"/>
    <w:rsid w:val="00DA1382"/>
    <w:rsid w:val="00DA28B7"/>
    <w:rsid w:val="00DA2FE8"/>
    <w:rsid w:val="00DA4AF6"/>
    <w:rsid w:val="00DB016E"/>
    <w:rsid w:val="00DB06E9"/>
    <w:rsid w:val="00DB0BF3"/>
    <w:rsid w:val="00DB19BD"/>
    <w:rsid w:val="00DB1D55"/>
    <w:rsid w:val="00DB378E"/>
    <w:rsid w:val="00DB3E9D"/>
    <w:rsid w:val="00DB47B9"/>
    <w:rsid w:val="00DB4FB8"/>
    <w:rsid w:val="00DB53CE"/>
    <w:rsid w:val="00DB549D"/>
    <w:rsid w:val="00DB5792"/>
    <w:rsid w:val="00DB6A88"/>
    <w:rsid w:val="00DB7BA4"/>
    <w:rsid w:val="00DC08D7"/>
    <w:rsid w:val="00DC226A"/>
    <w:rsid w:val="00DC257F"/>
    <w:rsid w:val="00DC2A9F"/>
    <w:rsid w:val="00DC2FA9"/>
    <w:rsid w:val="00DC350B"/>
    <w:rsid w:val="00DC3790"/>
    <w:rsid w:val="00DC408A"/>
    <w:rsid w:val="00DC436D"/>
    <w:rsid w:val="00DC519B"/>
    <w:rsid w:val="00DC5B3B"/>
    <w:rsid w:val="00DC6796"/>
    <w:rsid w:val="00DC6CC6"/>
    <w:rsid w:val="00DC78DF"/>
    <w:rsid w:val="00DC7D4C"/>
    <w:rsid w:val="00DD0821"/>
    <w:rsid w:val="00DD0E32"/>
    <w:rsid w:val="00DD1878"/>
    <w:rsid w:val="00DD2872"/>
    <w:rsid w:val="00DD2A62"/>
    <w:rsid w:val="00DD2BD0"/>
    <w:rsid w:val="00DD2BFE"/>
    <w:rsid w:val="00DD373E"/>
    <w:rsid w:val="00DD3867"/>
    <w:rsid w:val="00DD57AD"/>
    <w:rsid w:val="00DD7435"/>
    <w:rsid w:val="00DD7C6D"/>
    <w:rsid w:val="00DE009B"/>
    <w:rsid w:val="00DE08F8"/>
    <w:rsid w:val="00DE0C31"/>
    <w:rsid w:val="00DE2ED9"/>
    <w:rsid w:val="00DE319A"/>
    <w:rsid w:val="00DF0615"/>
    <w:rsid w:val="00DF0DC3"/>
    <w:rsid w:val="00DF21FD"/>
    <w:rsid w:val="00DF2873"/>
    <w:rsid w:val="00DF293C"/>
    <w:rsid w:val="00DF4C74"/>
    <w:rsid w:val="00DF5578"/>
    <w:rsid w:val="00DF6CF8"/>
    <w:rsid w:val="00DF78DD"/>
    <w:rsid w:val="00DF7FEC"/>
    <w:rsid w:val="00E01C0E"/>
    <w:rsid w:val="00E02086"/>
    <w:rsid w:val="00E023BE"/>
    <w:rsid w:val="00E02740"/>
    <w:rsid w:val="00E03B27"/>
    <w:rsid w:val="00E04694"/>
    <w:rsid w:val="00E049F6"/>
    <w:rsid w:val="00E04CA9"/>
    <w:rsid w:val="00E05B2B"/>
    <w:rsid w:val="00E05EAD"/>
    <w:rsid w:val="00E06A2A"/>
    <w:rsid w:val="00E07F05"/>
    <w:rsid w:val="00E127E1"/>
    <w:rsid w:val="00E12BCE"/>
    <w:rsid w:val="00E144D2"/>
    <w:rsid w:val="00E144D6"/>
    <w:rsid w:val="00E15346"/>
    <w:rsid w:val="00E15B7D"/>
    <w:rsid w:val="00E17C5F"/>
    <w:rsid w:val="00E2097E"/>
    <w:rsid w:val="00E215EA"/>
    <w:rsid w:val="00E21CAB"/>
    <w:rsid w:val="00E221FC"/>
    <w:rsid w:val="00E22E78"/>
    <w:rsid w:val="00E24619"/>
    <w:rsid w:val="00E25223"/>
    <w:rsid w:val="00E25999"/>
    <w:rsid w:val="00E263A8"/>
    <w:rsid w:val="00E30BEA"/>
    <w:rsid w:val="00E31764"/>
    <w:rsid w:val="00E3288A"/>
    <w:rsid w:val="00E32BC2"/>
    <w:rsid w:val="00E34985"/>
    <w:rsid w:val="00E34E4A"/>
    <w:rsid w:val="00E365B3"/>
    <w:rsid w:val="00E366BB"/>
    <w:rsid w:val="00E372FD"/>
    <w:rsid w:val="00E37C45"/>
    <w:rsid w:val="00E40AAA"/>
    <w:rsid w:val="00E41A59"/>
    <w:rsid w:val="00E42444"/>
    <w:rsid w:val="00E438CF"/>
    <w:rsid w:val="00E43B06"/>
    <w:rsid w:val="00E43C41"/>
    <w:rsid w:val="00E4500E"/>
    <w:rsid w:val="00E450CE"/>
    <w:rsid w:val="00E45A00"/>
    <w:rsid w:val="00E45CE7"/>
    <w:rsid w:val="00E4631F"/>
    <w:rsid w:val="00E46A4A"/>
    <w:rsid w:val="00E47CB8"/>
    <w:rsid w:val="00E522BB"/>
    <w:rsid w:val="00E52A3D"/>
    <w:rsid w:val="00E539E4"/>
    <w:rsid w:val="00E53C14"/>
    <w:rsid w:val="00E569C7"/>
    <w:rsid w:val="00E571F2"/>
    <w:rsid w:val="00E57429"/>
    <w:rsid w:val="00E60FCE"/>
    <w:rsid w:val="00E61EA8"/>
    <w:rsid w:val="00E63221"/>
    <w:rsid w:val="00E63EC6"/>
    <w:rsid w:val="00E64AE4"/>
    <w:rsid w:val="00E64CFF"/>
    <w:rsid w:val="00E64EA1"/>
    <w:rsid w:val="00E6582D"/>
    <w:rsid w:val="00E669C7"/>
    <w:rsid w:val="00E67611"/>
    <w:rsid w:val="00E70510"/>
    <w:rsid w:val="00E71262"/>
    <w:rsid w:val="00E71A58"/>
    <w:rsid w:val="00E737F6"/>
    <w:rsid w:val="00E7568F"/>
    <w:rsid w:val="00E764AE"/>
    <w:rsid w:val="00E7724B"/>
    <w:rsid w:val="00E80E31"/>
    <w:rsid w:val="00E83DAB"/>
    <w:rsid w:val="00E84F21"/>
    <w:rsid w:val="00E8618A"/>
    <w:rsid w:val="00E90A4B"/>
    <w:rsid w:val="00E90D67"/>
    <w:rsid w:val="00E90F73"/>
    <w:rsid w:val="00E910A7"/>
    <w:rsid w:val="00E91607"/>
    <w:rsid w:val="00E921C7"/>
    <w:rsid w:val="00E92995"/>
    <w:rsid w:val="00E9446C"/>
    <w:rsid w:val="00E94612"/>
    <w:rsid w:val="00E95797"/>
    <w:rsid w:val="00E9682F"/>
    <w:rsid w:val="00E96A8D"/>
    <w:rsid w:val="00E972BA"/>
    <w:rsid w:val="00E97FA2"/>
    <w:rsid w:val="00EA06CB"/>
    <w:rsid w:val="00EA0AF3"/>
    <w:rsid w:val="00EA0C68"/>
    <w:rsid w:val="00EA19E2"/>
    <w:rsid w:val="00EA3EBE"/>
    <w:rsid w:val="00EA3FAC"/>
    <w:rsid w:val="00EA4153"/>
    <w:rsid w:val="00EA421A"/>
    <w:rsid w:val="00EA5CD6"/>
    <w:rsid w:val="00EA76FD"/>
    <w:rsid w:val="00EA77CA"/>
    <w:rsid w:val="00EA78FE"/>
    <w:rsid w:val="00EB03D4"/>
    <w:rsid w:val="00EB0555"/>
    <w:rsid w:val="00EB20A0"/>
    <w:rsid w:val="00EB30B6"/>
    <w:rsid w:val="00EB4FA4"/>
    <w:rsid w:val="00EB5146"/>
    <w:rsid w:val="00EB522B"/>
    <w:rsid w:val="00EB55E9"/>
    <w:rsid w:val="00EB5641"/>
    <w:rsid w:val="00EB5CA9"/>
    <w:rsid w:val="00EB5ED4"/>
    <w:rsid w:val="00EB6537"/>
    <w:rsid w:val="00EB70E1"/>
    <w:rsid w:val="00EB7EB5"/>
    <w:rsid w:val="00EC0860"/>
    <w:rsid w:val="00EC0EC1"/>
    <w:rsid w:val="00EC424C"/>
    <w:rsid w:val="00EC454B"/>
    <w:rsid w:val="00EC4941"/>
    <w:rsid w:val="00EC6153"/>
    <w:rsid w:val="00EC7F92"/>
    <w:rsid w:val="00ED00A8"/>
    <w:rsid w:val="00ED0A79"/>
    <w:rsid w:val="00ED2989"/>
    <w:rsid w:val="00ED2CA5"/>
    <w:rsid w:val="00ED336F"/>
    <w:rsid w:val="00ED3A94"/>
    <w:rsid w:val="00ED40F0"/>
    <w:rsid w:val="00ED4AC0"/>
    <w:rsid w:val="00ED54D6"/>
    <w:rsid w:val="00ED5726"/>
    <w:rsid w:val="00EE0113"/>
    <w:rsid w:val="00EE0298"/>
    <w:rsid w:val="00EE0384"/>
    <w:rsid w:val="00EE043A"/>
    <w:rsid w:val="00EE0473"/>
    <w:rsid w:val="00EE1057"/>
    <w:rsid w:val="00EE10AA"/>
    <w:rsid w:val="00EE1637"/>
    <w:rsid w:val="00EE3547"/>
    <w:rsid w:val="00EE3B7A"/>
    <w:rsid w:val="00EE3E78"/>
    <w:rsid w:val="00EE4534"/>
    <w:rsid w:val="00EE495A"/>
    <w:rsid w:val="00EE5E02"/>
    <w:rsid w:val="00EE617D"/>
    <w:rsid w:val="00EE61BF"/>
    <w:rsid w:val="00EE6538"/>
    <w:rsid w:val="00EE6748"/>
    <w:rsid w:val="00EE6C6B"/>
    <w:rsid w:val="00EF0E75"/>
    <w:rsid w:val="00EF1F5A"/>
    <w:rsid w:val="00EF3486"/>
    <w:rsid w:val="00EF4685"/>
    <w:rsid w:val="00EF5397"/>
    <w:rsid w:val="00EF6BE3"/>
    <w:rsid w:val="00F00D0E"/>
    <w:rsid w:val="00F00D3C"/>
    <w:rsid w:val="00F04811"/>
    <w:rsid w:val="00F0488C"/>
    <w:rsid w:val="00F0496E"/>
    <w:rsid w:val="00F04D10"/>
    <w:rsid w:val="00F053EA"/>
    <w:rsid w:val="00F0625B"/>
    <w:rsid w:val="00F06944"/>
    <w:rsid w:val="00F06C6F"/>
    <w:rsid w:val="00F101FF"/>
    <w:rsid w:val="00F104DF"/>
    <w:rsid w:val="00F10A33"/>
    <w:rsid w:val="00F10B64"/>
    <w:rsid w:val="00F1186C"/>
    <w:rsid w:val="00F11AD5"/>
    <w:rsid w:val="00F126D0"/>
    <w:rsid w:val="00F12A83"/>
    <w:rsid w:val="00F14ACD"/>
    <w:rsid w:val="00F15309"/>
    <w:rsid w:val="00F15BEF"/>
    <w:rsid w:val="00F172BE"/>
    <w:rsid w:val="00F1776C"/>
    <w:rsid w:val="00F2037E"/>
    <w:rsid w:val="00F20D17"/>
    <w:rsid w:val="00F2103E"/>
    <w:rsid w:val="00F214FC"/>
    <w:rsid w:val="00F21C31"/>
    <w:rsid w:val="00F23825"/>
    <w:rsid w:val="00F2389A"/>
    <w:rsid w:val="00F23FFF"/>
    <w:rsid w:val="00F2441D"/>
    <w:rsid w:val="00F24FAA"/>
    <w:rsid w:val="00F25226"/>
    <w:rsid w:val="00F26197"/>
    <w:rsid w:val="00F273D4"/>
    <w:rsid w:val="00F307DD"/>
    <w:rsid w:val="00F30C2E"/>
    <w:rsid w:val="00F30CB4"/>
    <w:rsid w:val="00F318FC"/>
    <w:rsid w:val="00F31D53"/>
    <w:rsid w:val="00F31F76"/>
    <w:rsid w:val="00F325A3"/>
    <w:rsid w:val="00F3364D"/>
    <w:rsid w:val="00F353AE"/>
    <w:rsid w:val="00F35ACD"/>
    <w:rsid w:val="00F365BF"/>
    <w:rsid w:val="00F36BF8"/>
    <w:rsid w:val="00F375BA"/>
    <w:rsid w:val="00F37760"/>
    <w:rsid w:val="00F403D1"/>
    <w:rsid w:val="00F43921"/>
    <w:rsid w:val="00F44E1B"/>
    <w:rsid w:val="00F4524F"/>
    <w:rsid w:val="00F45530"/>
    <w:rsid w:val="00F4591F"/>
    <w:rsid w:val="00F47321"/>
    <w:rsid w:val="00F4736B"/>
    <w:rsid w:val="00F47997"/>
    <w:rsid w:val="00F47CD6"/>
    <w:rsid w:val="00F47D05"/>
    <w:rsid w:val="00F50030"/>
    <w:rsid w:val="00F502F5"/>
    <w:rsid w:val="00F50B9D"/>
    <w:rsid w:val="00F51FC9"/>
    <w:rsid w:val="00F52AE1"/>
    <w:rsid w:val="00F53243"/>
    <w:rsid w:val="00F541ED"/>
    <w:rsid w:val="00F54B31"/>
    <w:rsid w:val="00F54FD3"/>
    <w:rsid w:val="00F55605"/>
    <w:rsid w:val="00F57CD7"/>
    <w:rsid w:val="00F61BFE"/>
    <w:rsid w:val="00F62F02"/>
    <w:rsid w:val="00F6339F"/>
    <w:rsid w:val="00F63DDE"/>
    <w:rsid w:val="00F63FB7"/>
    <w:rsid w:val="00F64726"/>
    <w:rsid w:val="00F64F44"/>
    <w:rsid w:val="00F6561A"/>
    <w:rsid w:val="00F66243"/>
    <w:rsid w:val="00F67BDA"/>
    <w:rsid w:val="00F70309"/>
    <w:rsid w:val="00F7078A"/>
    <w:rsid w:val="00F70E45"/>
    <w:rsid w:val="00F727D5"/>
    <w:rsid w:val="00F72F44"/>
    <w:rsid w:val="00F73A0C"/>
    <w:rsid w:val="00F759DC"/>
    <w:rsid w:val="00F76563"/>
    <w:rsid w:val="00F7717C"/>
    <w:rsid w:val="00F771A5"/>
    <w:rsid w:val="00F80D1E"/>
    <w:rsid w:val="00F817A4"/>
    <w:rsid w:val="00F81C3A"/>
    <w:rsid w:val="00F835E1"/>
    <w:rsid w:val="00F835FC"/>
    <w:rsid w:val="00F8373A"/>
    <w:rsid w:val="00F83E21"/>
    <w:rsid w:val="00F83FA4"/>
    <w:rsid w:val="00F84E18"/>
    <w:rsid w:val="00F852E5"/>
    <w:rsid w:val="00F90350"/>
    <w:rsid w:val="00F9310A"/>
    <w:rsid w:val="00F94681"/>
    <w:rsid w:val="00F95117"/>
    <w:rsid w:val="00F97ED2"/>
    <w:rsid w:val="00FA05D7"/>
    <w:rsid w:val="00FA16BD"/>
    <w:rsid w:val="00FA1992"/>
    <w:rsid w:val="00FA1C6C"/>
    <w:rsid w:val="00FA2447"/>
    <w:rsid w:val="00FA2C2A"/>
    <w:rsid w:val="00FA309A"/>
    <w:rsid w:val="00FA6B3F"/>
    <w:rsid w:val="00FA7644"/>
    <w:rsid w:val="00FB0A9A"/>
    <w:rsid w:val="00FB16AD"/>
    <w:rsid w:val="00FB1F21"/>
    <w:rsid w:val="00FB483B"/>
    <w:rsid w:val="00FB56F1"/>
    <w:rsid w:val="00FB5FD4"/>
    <w:rsid w:val="00FB67F3"/>
    <w:rsid w:val="00FB6AF4"/>
    <w:rsid w:val="00FC0D8A"/>
    <w:rsid w:val="00FC0E5F"/>
    <w:rsid w:val="00FC135D"/>
    <w:rsid w:val="00FC26FB"/>
    <w:rsid w:val="00FC2CF4"/>
    <w:rsid w:val="00FC3C84"/>
    <w:rsid w:val="00FC4660"/>
    <w:rsid w:val="00FC56DE"/>
    <w:rsid w:val="00FC5E01"/>
    <w:rsid w:val="00FC6140"/>
    <w:rsid w:val="00FD1261"/>
    <w:rsid w:val="00FD1627"/>
    <w:rsid w:val="00FD1BBD"/>
    <w:rsid w:val="00FD38B2"/>
    <w:rsid w:val="00FD39F2"/>
    <w:rsid w:val="00FD43A0"/>
    <w:rsid w:val="00FD473D"/>
    <w:rsid w:val="00FD55BA"/>
    <w:rsid w:val="00FD61C8"/>
    <w:rsid w:val="00FD63CE"/>
    <w:rsid w:val="00FD7D49"/>
    <w:rsid w:val="00FE1251"/>
    <w:rsid w:val="00FE16E6"/>
    <w:rsid w:val="00FE2F78"/>
    <w:rsid w:val="00FE3510"/>
    <w:rsid w:val="00FE371D"/>
    <w:rsid w:val="00FE375F"/>
    <w:rsid w:val="00FE3D8B"/>
    <w:rsid w:val="00FE42D4"/>
    <w:rsid w:val="00FE4FCB"/>
    <w:rsid w:val="00FE688F"/>
    <w:rsid w:val="00FE705E"/>
    <w:rsid w:val="00FF02EB"/>
    <w:rsid w:val="00FF28E0"/>
    <w:rsid w:val="00FF2FB4"/>
    <w:rsid w:val="00FF30B3"/>
    <w:rsid w:val="00FF3DF3"/>
    <w:rsid w:val="00FF4027"/>
    <w:rsid w:val="00FF45A2"/>
    <w:rsid w:val="00FF55B1"/>
    <w:rsid w:val="00FF65DF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E492C"/>
    <w:pPr>
      <w:keepNext/>
      <w:keepLines/>
      <w:outlineLvl w:val="2"/>
    </w:pPr>
    <w:rPr>
      <w:rFonts w:eastAsia="MS Gothic"/>
      <w:b/>
      <w:bCs/>
      <w:color w:val="71818C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uiPriority w:val="99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99"/>
    <w:rsid w:val="005E492C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uiPriority w:val="99"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uiPriority w:val="99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uiPriority w:val="99"/>
    <w:rsid w:val="005E492C"/>
    <w:pPr>
      <w:shd w:val="clear" w:color="auto" w:fill="EAECEE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uiPriority w:val="99"/>
    <w:rsid w:val="005E492C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uiPriority w:val="99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uiPriority w:val="99"/>
    <w:locked/>
    <w:rsid w:val="005E492C"/>
    <w:rPr>
      <w:rFonts w:ascii="Arial" w:hAnsi="Arial"/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uiPriority w:val="99"/>
    <w:rsid w:val="005E492C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uiPriority w:val="99"/>
    <w:locked/>
    <w:rsid w:val="005E492C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uiPriority w:val="99"/>
    <w:rsid w:val="005E492C"/>
    <w:pPr>
      <w:spacing w:after="200"/>
    </w:pPr>
    <w:rPr>
      <w:sz w:val="24"/>
      <w:szCs w:val="20"/>
    </w:rPr>
  </w:style>
  <w:style w:type="paragraph" w:customStyle="1" w:styleId="TL-Identifikace-dole">
    <w:name w:val="TL - Identifikace - dole"/>
    <w:basedOn w:val="Normln"/>
    <w:link w:val="TL-Identifikace-doleChar"/>
    <w:uiPriority w:val="99"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uiPriority w:val="99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uiPriority w:val="99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99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5B22A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9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039A"/>
    <w:pPr>
      <w:ind w:left="708"/>
    </w:pPr>
  </w:style>
  <w:style w:type="table" w:styleId="Mkatabulky">
    <w:name w:val="Table Grid"/>
    <w:basedOn w:val="Normlntabulka"/>
    <w:uiPriority w:val="5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5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7D4281"/>
    <w:pPr>
      <w:jc w:val="both"/>
    </w:pPr>
    <w:rPr>
      <w:rFonts w:ascii="Arial" w:eastAsia="Times New Roman" w:hAnsi="Arial"/>
      <w:szCs w:val="24"/>
    </w:rPr>
  </w:style>
  <w:style w:type="character" w:customStyle="1" w:styleId="ssfpaarticletext">
    <w:name w:val="ssfpaarticletext"/>
    <w:basedOn w:val="Standardnpsmoodstavce"/>
    <w:rsid w:val="00EE0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2E54F-325C-42C7-94DA-CC7EFBD96D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0DDA9E-18C4-407E-9121-EAE705E2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</Template>
  <TotalTime>3</TotalTime>
  <Pages>3</Pages>
  <Words>1739</Words>
  <Characters>10263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11979</CharactersWithSpaces>
  <SharedDoc>false</SharedDoc>
  <HLinks>
    <vt:vector size="66" baseType="variant"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_Toc469327805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_Toc469327804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_Toc469327803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_Toc469327802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_Toc469327801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_Toc469327800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_Toc469327799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_Toc469327798</vt:lpwstr>
      </vt:variant>
      <vt:variant>
        <vt:i4>1835064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_Toc469327797</vt:lpwstr>
      </vt:variant>
      <vt:variant>
        <vt:i4>6553606</vt:i4>
      </vt:variant>
      <vt:variant>
        <vt:i4>3</vt:i4>
      </vt:variant>
      <vt:variant>
        <vt:i4>0</vt:i4>
      </vt:variant>
      <vt:variant>
        <vt:i4>5</vt:i4>
      </vt:variant>
      <vt:variant>
        <vt:lpwstr>mailto:jiri.kamenicky@czso.cz</vt:lpwstr>
      </vt:variant>
      <vt:variant>
        <vt:lpwstr/>
      </vt:variant>
      <vt:variant>
        <vt:i4>6553606</vt:i4>
      </vt:variant>
      <vt:variant>
        <vt:i4>0</vt:i4>
      </vt:variant>
      <vt:variant>
        <vt:i4>0</vt:i4>
      </vt:variant>
      <vt:variant>
        <vt:i4>5</vt:i4>
      </vt:variant>
      <vt:variant>
        <vt:lpwstr>mailto:jiri.kamenicky@czso.cz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Jašová</dc:creator>
  <cp:lastModifiedBy>kamenicky3604</cp:lastModifiedBy>
  <cp:revision>3</cp:revision>
  <cp:lastPrinted>2017-03-16T10:07:00Z</cp:lastPrinted>
  <dcterms:created xsi:type="dcterms:W3CDTF">2017-03-22T10:58:00Z</dcterms:created>
  <dcterms:modified xsi:type="dcterms:W3CDTF">2017-03-22T11:01:00Z</dcterms:modified>
</cp:coreProperties>
</file>