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BB1E2" w14:textId="77777777" w:rsidR="00F00535" w:rsidRDefault="00F00535" w:rsidP="00F00535">
      <w:pPr>
        <w:pStyle w:val="Nadpis11"/>
      </w:pPr>
      <w:bookmarkStart w:id="0" w:name="_Toc90395916"/>
      <w:bookmarkStart w:id="1" w:name="_GoBack"/>
      <w:bookmarkEnd w:id="1"/>
      <w:r w:rsidRPr="00787441">
        <w:rPr>
          <w:szCs w:val="32"/>
        </w:rPr>
        <w:t>8</w:t>
      </w:r>
      <w:r>
        <w:t>. St</w:t>
      </w:r>
      <w:r w:rsidRPr="009110F7">
        <w:t>átní rozpočet</w:t>
      </w:r>
      <w:bookmarkEnd w:id="0"/>
    </w:p>
    <w:tbl>
      <w:tblPr>
        <w:tblW w:w="9669" w:type="dxa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2"/>
        <w:gridCol w:w="217"/>
        <w:gridCol w:w="7720"/>
      </w:tblGrid>
      <w:tr w:rsidR="00F00535" w:rsidRPr="003C07E6" w14:paraId="33A2AE1D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26C3FFB3" w14:textId="77777777" w:rsidR="00F00535" w:rsidRPr="00D033C0" w:rsidRDefault="00F00535" w:rsidP="00B86EB1">
            <w:pPr>
              <w:pStyle w:val="Marginlie"/>
              <w:rPr>
                <w:spacing w:val="-3"/>
              </w:rPr>
            </w:pPr>
            <w:r w:rsidRPr="00D033C0">
              <w:rPr>
                <w:spacing w:val="-3"/>
              </w:rPr>
              <w:t>Schodek SR byl zásadně ovlivněn hospodařením v prvních pěti měsících roku, kdy dominoval vliv protipandemických restrikcí.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48352C46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3AF066C0" w14:textId="77777777" w:rsidR="00F00535" w:rsidRPr="009B277E" w:rsidRDefault="00F00535" w:rsidP="00B86EB1">
            <w:pPr>
              <w:spacing w:after="200"/>
              <w:rPr>
                <w:spacing w:val="-2"/>
              </w:rPr>
            </w:pPr>
            <w:r>
              <w:rPr>
                <w:spacing w:val="-2"/>
              </w:rPr>
              <w:t>Hospodaření</w:t>
            </w:r>
            <w:r w:rsidRPr="009B277E">
              <w:rPr>
                <w:spacing w:val="-2"/>
              </w:rPr>
              <w:t xml:space="preserve"> státní</w:t>
            </w:r>
            <w:r>
              <w:rPr>
                <w:spacing w:val="-2"/>
              </w:rPr>
              <w:t>ho</w:t>
            </w:r>
            <w:r w:rsidRPr="009B277E">
              <w:rPr>
                <w:spacing w:val="-2"/>
              </w:rPr>
              <w:t xml:space="preserve"> </w:t>
            </w:r>
            <w:r>
              <w:rPr>
                <w:spacing w:val="-2"/>
              </w:rPr>
              <w:t>rozpoč</w:t>
            </w:r>
            <w:r w:rsidRPr="009B277E">
              <w:rPr>
                <w:spacing w:val="-2"/>
              </w:rPr>
              <w:t>t</w:t>
            </w:r>
            <w:r>
              <w:rPr>
                <w:spacing w:val="-2"/>
              </w:rPr>
              <w:t>u</w:t>
            </w:r>
            <w:r w:rsidRPr="009B277E">
              <w:rPr>
                <w:spacing w:val="-2"/>
              </w:rPr>
              <w:t xml:space="preserve"> (SR)</w:t>
            </w:r>
            <w:r w:rsidRPr="009B277E">
              <w:rPr>
                <w:rStyle w:val="Znakapoznpodarou"/>
                <w:spacing w:val="-2"/>
              </w:rPr>
              <w:footnoteReference w:id="1"/>
            </w:r>
            <w:r>
              <w:rPr>
                <w:spacing w:val="-2"/>
              </w:rPr>
              <w:t xml:space="preserve"> skončilo za 1. až 3. čtvrtletí 2021 rekordním deficitem ve výši 326 mld. korun, jenž byl meziročně o 74 mld. vyšší. Výrazně se na něm podepsal hluboký rozpočtový schodek během prvních pěti měsíců letošního roku (255 mld. korun). Deficit v samotném 3. čtvrtletí, kdy již výkon ekonomiky nebyl výrazně tlumen protipandemickými restrikcemi, přesáhl jen mírně 60 mld. korun a byl srovnatelný se shodným loňským obdobím.</w:t>
            </w:r>
          </w:p>
        </w:tc>
      </w:tr>
      <w:tr w:rsidR="00F00535" w:rsidRPr="003C07E6" w14:paraId="10C1C290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02FE6AA0" w14:textId="77777777" w:rsidR="00F00535" w:rsidRDefault="00F00535" w:rsidP="00B86EB1">
            <w:pPr>
              <w:pStyle w:val="Marginlie"/>
            </w:pPr>
            <w:r>
              <w:t>Celkové příjmy SR vlivem snížené loňské základny meziročně vzrostly, úrovně z roku 2019 ale zatím nedosáhly.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754D38AA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2E83C8F9" w14:textId="77777777" w:rsidR="00F00535" w:rsidRPr="009B277E" w:rsidRDefault="00F00535" w:rsidP="00B86EB1">
            <w:pPr>
              <w:spacing w:after="200"/>
              <w:rPr>
                <w:spacing w:val="-2"/>
              </w:rPr>
            </w:pPr>
            <w:r>
              <w:rPr>
                <w:spacing w:val="-2"/>
              </w:rPr>
              <w:t xml:space="preserve">Celkové příjmy SR se letos za tři čtvrtletí </w:t>
            </w:r>
            <w:r w:rsidRPr="009B277E">
              <w:rPr>
                <w:spacing w:val="-2"/>
              </w:rPr>
              <w:t>meziročně mírně zvýšily</w:t>
            </w:r>
            <w:r>
              <w:rPr>
                <w:spacing w:val="-2"/>
              </w:rPr>
              <w:t xml:space="preserve"> o 2,0 % (resp. 21</w:t>
            </w:r>
            <w:r w:rsidRPr="009B277E">
              <w:rPr>
                <w:spacing w:val="-2"/>
              </w:rPr>
              <w:t> mld. korun).</w:t>
            </w:r>
            <w:r>
              <w:rPr>
                <w:spacing w:val="-2"/>
              </w:rPr>
              <w:t xml:space="preserve"> Zásadně k tomu přispěla nízká srovnávací základna, neboť zejména v loňském 2. čtvrtletí došlo k mimořádnému odkladu zákonných termínů splatnosti váhově významných daní i pojistného na sociální zabezpečení (SZ). Za 1. až 3. čtvrtletím roku 2019 tak celkové příjmy stále mírně zaostávaly (o 2,2 %). V letošních příjmech SR se negativně projevilo zejména snížení</w:t>
            </w:r>
            <w:r w:rsidRPr="009B277E">
              <w:rPr>
                <w:spacing w:val="-2"/>
              </w:rPr>
              <w:t xml:space="preserve"> daňového zatížení práce</w:t>
            </w:r>
            <w:r>
              <w:rPr>
                <w:spacing w:val="-2"/>
              </w:rPr>
              <w:t>, kapitálu i majetku a také změna</w:t>
            </w:r>
            <w:r w:rsidRPr="009B277E">
              <w:rPr>
                <w:spacing w:val="-2"/>
              </w:rPr>
              <w:t xml:space="preserve"> rozpočtového určení daní ve prospěch územních rozpočtů</w:t>
            </w:r>
            <w:r w:rsidRPr="009B277E">
              <w:rPr>
                <w:rStyle w:val="Znakapoznpodarou"/>
                <w:spacing w:val="-2"/>
              </w:rPr>
              <w:footnoteReference w:id="2"/>
            </w:r>
            <w:r>
              <w:rPr>
                <w:spacing w:val="-2"/>
              </w:rPr>
              <w:t xml:space="preserve">. </w:t>
            </w:r>
            <w:r w:rsidRPr="009B277E">
              <w:rPr>
                <w:spacing w:val="-2"/>
              </w:rPr>
              <w:t>Souhrnný celostátní výběr daní (bez pojistného</w:t>
            </w:r>
            <w:r>
              <w:rPr>
                <w:spacing w:val="-2"/>
              </w:rPr>
              <w:t xml:space="preserve"> na SZ</w:t>
            </w:r>
            <w:r w:rsidRPr="009B277E">
              <w:rPr>
                <w:spacing w:val="-2"/>
              </w:rPr>
              <w:t>) na úr</w:t>
            </w:r>
            <w:r>
              <w:rPr>
                <w:spacing w:val="-2"/>
              </w:rPr>
              <w:t>ovni všech veřejných rozpočtů sice</w:t>
            </w:r>
            <w:r w:rsidRPr="009B277E">
              <w:rPr>
                <w:spacing w:val="-2"/>
              </w:rPr>
              <w:t xml:space="preserve"> letos</w:t>
            </w:r>
            <w:r>
              <w:rPr>
                <w:spacing w:val="-2"/>
              </w:rPr>
              <w:t xml:space="preserve"> převýšil úroveň 1. až 3. čtvrtletí 2020 o rovná 2 %, oproti roku 2019 byl ale o 5,8 % nižší. Díky oživení soukromé spotřeby však v samotném 3. čtvrtletí za rokem 2019 zaostal již pouze o 0,7 % (obdobně jako letos v říjnu).</w:t>
            </w:r>
          </w:p>
        </w:tc>
      </w:tr>
      <w:tr w:rsidR="00F00535" w:rsidRPr="003C07E6" w14:paraId="69BFC720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7451DA70" w14:textId="77777777" w:rsidR="00F00535" w:rsidRDefault="00F00535" w:rsidP="00B86EB1">
            <w:pPr>
              <w:pStyle w:val="Marginlie"/>
            </w:pPr>
            <w:r>
              <w:t>Na rostoucí výběr DPH měla vliv široká škála protisměrně působících faktorů.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0335E983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464BEC94" w14:textId="77777777" w:rsidR="00F00535" w:rsidRPr="009B277E" w:rsidRDefault="00F00535" w:rsidP="00B86EB1">
            <w:pPr>
              <w:spacing w:after="200"/>
              <w:rPr>
                <w:spacing w:val="-2"/>
              </w:rPr>
            </w:pPr>
            <w:r>
              <w:rPr>
                <w:spacing w:val="-4"/>
              </w:rPr>
              <w:t xml:space="preserve">Z váhově dominantní daně – DPH – plynulo do SR v 1. až 3. čtvrtletí meziročně o 2,3 % (resp. 4,8 mld. korun) více. Na úrovni všech veřejných rozpočtů posílilo inkaso dokonce o 7,4 % (za dva roky o 5,3 %). Meziroční srovnání je však ovlivněno slabou loňskou základnou v důsledku citelného omezení provozoven obchodu a dalších služeb. Dílčí dopad na letošní </w:t>
            </w:r>
            <w:r>
              <w:rPr>
                <w:spacing w:val="-5"/>
              </w:rPr>
              <w:t>výběr DPH mělo i snížení</w:t>
            </w:r>
            <w:r w:rsidRPr="00F033DA">
              <w:rPr>
                <w:spacing w:val="-5"/>
              </w:rPr>
              <w:t xml:space="preserve"> saz</w:t>
            </w:r>
            <w:r>
              <w:rPr>
                <w:spacing w:val="-5"/>
              </w:rPr>
              <w:t>eb daně u některých služeb</w:t>
            </w:r>
            <w:r>
              <w:rPr>
                <w:rStyle w:val="Znakapoznpodarou"/>
                <w:spacing w:val="-5"/>
              </w:rPr>
              <w:footnoteReference w:id="3"/>
            </w:r>
            <w:r>
              <w:rPr>
                <w:spacing w:val="-5"/>
              </w:rPr>
              <w:t>, pozitivně v tomto ohledu naopak stále více působil cenový růst v ekonomice.</w:t>
            </w:r>
          </w:p>
        </w:tc>
      </w:tr>
      <w:tr w:rsidR="00F00535" w:rsidRPr="003C07E6" w14:paraId="1284F5B5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7D4713E7" w14:textId="77777777" w:rsidR="00F00535" w:rsidRDefault="00F00535" w:rsidP="00B86EB1">
            <w:pPr>
              <w:pStyle w:val="Marginlie"/>
            </w:pPr>
            <w:r>
              <w:t>Na propadu inkasa spotřebních daní se rovnoměrně podílel nižší výběr u minerálních olejů i tabákových výrobků. Ve 3. čtvrtletí ale došlo k oživení.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2AD379BC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0DF1DBAB" w14:textId="265F5BEF" w:rsidR="00F00535" w:rsidRPr="00D4578E" w:rsidRDefault="00F00535" w:rsidP="00FC1070">
            <w:pPr>
              <w:spacing w:after="200"/>
              <w:rPr>
                <w:spacing w:val="-4"/>
              </w:rPr>
            </w:pPr>
            <w:r w:rsidRPr="00460F0F">
              <w:rPr>
                <w:color w:val="0D0D0D" w:themeColor="text1" w:themeTint="F2"/>
                <w:spacing w:val="-5"/>
              </w:rPr>
              <w:t>Celkové příjmy SR ze spotřebních daní</w:t>
            </w:r>
            <w:r>
              <w:rPr>
                <w:spacing w:val="-4"/>
              </w:rPr>
              <w:t xml:space="preserve"> poklesly letos za tři čtvrtletí meziročně o 5,6 %. Podílelo se na tom shodně nižší inkaso daně z minerálních olejů (s poklesem o 6,1 %, za dva roky o 14,7 %) i z tabákových výrobků (–7,8 %, resp. –0,5 %). Projevily se slabší přepravní výkony v osobní dopravě, což naznačuje i nižší spotřeba některých ropných produktů</w:t>
            </w:r>
            <w:r>
              <w:rPr>
                <w:rStyle w:val="Znakapoznpodarou"/>
                <w:spacing w:val="-4"/>
              </w:rPr>
              <w:footnoteReference w:id="4"/>
            </w:r>
            <w:r>
              <w:rPr>
                <w:spacing w:val="-4"/>
              </w:rPr>
              <w:t xml:space="preserve">. Negativně působil i pokles sazby daně u motorové nafty (o 1 korunu), opačný vliv mělo 10% navýšení </w:t>
            </w:r>
            <w:r>
              <w:rPr>
                <w:color w:val="0D0D0D" w:themeColor="text1" w:themeTint="F2"/>
                <w:spacing w:val="-5"/>
              </w:rPr>
              <w:t>daňové sazby u tabákových výro</w:t>
            </w:r>
            <w:r w:rsidR="00FC1070">
              <w:rPr>
                <w:color w:val="0D0D0D" w:themeColor="text1" w:themeTint="F2"/>
                <w:spacing w:val="-5"/>
              </w:rPr>
              <w:t>bků. V samotném 3. čtvrtletí ale díky vyšší ekonomické aktivitě</w:t>
            </w:r>
            <w:r>
              <w:rPr>
                <w:color w:val="0D0D0D" w:themeColor="text1" w:themeTint="F2"/>
                <w:spacing w:val="-5"/>
              </w:rPr>
              <w:t xml:space="preserve"> inkaso obou výše uvedených daní meziročn</w:t>
            </w:r>
            <w:r w:rsidR="00FC1070">
              <w:rPr>
                <w:color w:val="0D0D0D" w:themeColor="text1" w:themeTint="F2"/>
                <w:spacing w:val="-5"/>
              </w:rPr>
              <w:t>ě mírně vzrostlo (shodně o 2 %)</w:t>
            </w:r>
            <w:r>
              <w:rPr>
                <w:color w:val="0D0D0D" w:themeColor="text1" w:themeTint="F2"/>
                <w:spacing w:val="-5"/>
              </w:rPr>
              <w:t xml:space="preserve">. </w:t>
            </w:r>
            <w:r>
              <w:rPr>
                <w:spacing w:val="-4"/>
              </w:rPr>
              <w:t>Navzdory letnímu oživení výběr obou váhově významných položek spotřební daně zatím letos – na rozdíl od DPH – za rozpočtovým očekáváním znatelně zaostával.</w:t>
            </w:r>
          </w:p>
        </w:tc>
      </w:tr>
      <w:tr w:rsidR="00F00535" w:rsidRPr="003C07E6" w14:paraId="47D363B4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11D2D847" w14:textId="77777777" w:rsidR="00F00535" w:rsidRDefault="00F00535" w:rsidP="00B86EB1">
            <w:pPr>
              <w:pStyle w:val="Marginlie"/>
            </w:pPr>
            <w:r>
              <w:t>Výběr většiny váhově méně významných spotřebních daní vzrostl.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60BFE61F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3CEC144B" w14:textId="77777777" w:rsidR="00F00535" w:rsidRPr="00460F0F" w:rsidRDefault="00F00535" w:rsidP="00B86EB1">
            <w:pPr>
              <w:spacing w:after="200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Inkaso ostatních, váhově méně významných spotřebních daní meziročně mírně rostlo, především vlivem nově zavedené daně z digitálních služeb, vyššího výběru energetických daní či daně z lihu (i</w:t>
            </w:r>
            <w:r w:rsidRPr="009B277E">
              <w:rPr>
                <w:spacing w:val="-2"/>
              </w:rPr>
              <w:t> </w:t>
            </w:r>
            <w:r>
              <w:rPr>
                <w:color w:val="0D0D0D" w:themeColor="text1" w:themeTint="F2"/>
                <w:spacing w:val="-5"/>
              </w:rPr>
              <w:t>díky zvýšené sazbě). Za tři čtvrtletí naopak klesl výběr u daně z piva (o 7,5 %), v samotném 3. čtvrtletí se však již dostal na loňskou úroveň, protože se projevilo i pozvolné oživení příjezdového cestovního ruchu.</w:t>
            </w:r>
          </w:p>
        </w:tc>
      </w:tr>
      <w:tr w:rsidR="00F00535" w:rsidRPr="003C07E6" w14:paraId="45884518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13A4BDCB" w14:textId="77777777" w:rsidR="00F00535" w:rsidRDefault="00F00535" w:rsidP="00B86EB1">
            <w:pPr>
              <w:pStyle w:val="Marginlie"/>
            </w:pPr>
            <w:r>
              <w:t>Inkaso daně z příjmů právnických osob po loňském propadu vzrostlo skoro o třetinu.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3211E093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72E13A58" w14:textId="77777777" w:rsidR="00F00535" w:rsidRPr="00460F0F" w:rsidRDefault="00F00535" w:rsidP="00B86EB1">
            <w:pPr>
              <w:spacing w:after="200"/>
              <w:rPr>
                <w:color w:val="0D0D0D" w:themeColor="text1" w:themeTint="F2"/>
                <w:spacing w:val="-5"/>
              </w:rPr>
            </w:pPr>
            <w:r w:rsidRPr="00A66749">
              <w:rPr>
                <w:spacing w:val="-5"/>
              </w:rPr>
              <w:t>N</w:t>
            </w:r>
            <w:r>
              <w:rPr>
                <w:spacing w:val="-5"/>
              </w:rPr>
              <w:t>a korporátní dani získal SR letos za tři čtvrtletí</w:t>
            </w:r>
            <w:r w:rsidRPr="00A66749">
              <w:rPr>
                <w:spacing w:val="-5"/>
              </w:rPr>
              <w:t xml:space="preserve"> meziročně o</w:t>
            </w:r>
            <w:r>
              <w:rPr>
                <w:spacing w:val="-5"/>
              </w:rPr>
              <w:t> 31 % (24 mld.</w:t>
            </w:r>
            <w:r w:rsidRPr="00A66749">
              <w:rPr>
                <w:spacing w:val="-5"/>
              </w:rPr>
              <w:t xml:space="preserve"> korun) více</w:t>
            </w:r>
            <w:r>
              <w:rPr>
                <w:spacing w:val="-5"/>
              </w:rPr>
              <w:t xml:space="preserve">. Společně s vyšším inkasem pojistného na SZ (+41 mld.) šlo o položky, které letos přispěly k růstu celkových příjmů SR nejvíce. Loňské inkaso korporátní daně se ovšem nacházelo na </w:t>
            </w:r>
            <w:r>
              <w:rPr>
                <w:spacing w:val="-5"/>
              </w:rPr>
              <w:lastRenderedPageBreak/>
              <w:t xml:space="preserve">pětiletém minimu (zejména vlivem prominutí </w:t>
            </w:r>
            <w:r w:rsidRPr="00A66749">
              <w:rPr>
                <w:spacing w:val="-5"/>
              </w:rPr>
              <w:t xml:space="preserve">červnové </w:t>
            </w:r>
            <w:r>
              <w:rPr>
                <w:spacing w:val="-5"/>
              </w:rPr>
              <w:t>zálohy na tuto daň i </w:t>
            </w:r>
            <w:r w:rsidRPr="00A66749">
              <w:rPr>
                <w:spacing w:val="-5"/>
              </w:rPr>
              <w:t>individuální</w:t>
            </w:r>
            <w:r>
              <w:rPr>
                <w:spacing w:val="-5"/>
              </w:rPr>
              <w:t>ch</w:t>
            </w:r>
            <w:r w:rsidRPr="00A66749">
              <w:rPr>
                <w:spacing w:val="-5"/>
              </w:rPr>
              <w:t xml:space="preserve"> žádost</w:t>
            </w:r>
            <w:r>
              <w:rPr>
                <w:spacing w:val="-5"/>
              </w:rPr>
              <w:t>í</w:t>
            </w:r>
            <w:r w:rsidRPr="00A66749">
              <w:rPr>
                <w:spacing w:val="-5"/>
              </w:rPr>
              <w:t xml:space="preserve"> firem o</w:t>
            </w:r>
            <w:r>
              <w:rPr>
                <w:spacing w:val="-5"/>
              </w:rPr>
              <w:t> úpravu záloh daně</w:t>
            </w:r>
            <w:r w:rsidRPr="00A66749">
              <w:rPr>
                <w:rStyle w:val="Znakapoznpodarou"/>
                <w:spacing w:val="-5"/>
              </w:rPr>
              <w:footnoteReference w:id="5"/>
            </w:r>
            <w:r>
              <w:rPr>
                <w:spacing w:val="-5"/>
              </w:rPr>
              <w:t>). I tak ale letos převýšil celostátní výběr korporátní daně</w:t>
            </w:r>
            <w:r w:rsidRPr="00A66749">
              <w:rPr>
                <w:spacing w:val="-5"/>
              </w:rPr>
              <w:t xml:space="preserve"> úroveň z</w:t>
            </w:r>
            <w:r>
              <w:rPr>
                <w:spacing w:val="-5"/>
              </w:rPr>
              <w:t> </w:t>
            </w:r>
            <w:r w:rsidRPr="00A66749">
              <w:rPr>
                <w:spacing w:val="-5"/>
              </w:rPr>
              <w:t>1.</w:t>
            </w:r>
            <w:r>
              <w:rPr>
                <w:spacing w:val="-5"/>
              </w:rPr>
              <w:t> až 3. čtvrtletí</w:t>
            </w:r>
            <w:r w:rsidRPr="00A66749">
              <w:rPr>
                <w:spacing w:val="-5"/>
              </w:rPr>
              <w:t xml:space="preserve"> 2019 o</w:t>
            </w:r>
            <w:r>
              <w:rPr>
                <w:spacing w:val="-5"/>
              </w:rPr>
              <w:t> desetinu. Dosavadní letošní inkaso již zároveň znatelně přesáhlo rozpočtem očekávanou celoroční výši.</w:t>
            </w:r>
          </w:p>
        </w:tc>
      </w:tr>
      <w:tr w:rsidR="00F00535" w:rsidRPr="003C07E6" w14:paraId="3BCB786B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17CF7EC4" w14:textId="77777777" w:rsidR="00F00535" w:rsidRDefault="00F00535" w:rsidP="00B86EB1">
            <w:pPr>
              <w:pStyle w:val="Marginlie"/>
            </w:pPr>
            <w:r>
              <w:lastRenderedPageBreak/>
              <w:t>Celostátní inkaso daně z příjmů fyzických osob ze závislé činnosti propadlo meziročně o třetinu a dosáhlo nejnižšího objemu za posledních sedm let.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0E3EDEE7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1CF9F227" w14:textId="77777777" w:rsidR="00F00535" w:rsidRPr="00A66749" w:rsidRDefault="00F00535" w:rsidP="00B86EB1">
            <w:pPr>
              <w:spacing w:after="200"/>
              <w:rPr>
                <w:spacing w:val="-5"/>
              </w:rPr>
            </w:pPr>
            <w:r>
              <w:rPr>
                <w:spacing w:val="-5"/>
              </w:rPr>
              <w:t>Přestože z daně z příjmů fyzických osob plynulo letos za tři čtvrtletí do SR meziročně o 29 % méně</w:t>
            </w:r>
            <w:r>
              <w:rPr>
                <w:rStyle w:val="Znakapoznpodarou"/>
                <w:spacing w:val="-5"/>
              </w:rPr>
              <w:footnoteReference w:id="6"/>
            </w:r>
            <w:r>
              <w:rPr>
                <w:spacing w:val="-5"/>
              </w:rPr>
              <w:t xml:space="preserve">, stále šlo o výsledek významně převyšující rozpočtové očekávání. Propad inkasa odrážel v prvé řadě </w:t>
            </w:r>
            <w:r>
              <w:rPr>
                <w:spacing w:val="-4"/>
              </w:rPr>
              <w:t>s</w:t>
            </w:r>
            <w:r w:rsidRPr="0095443E">
              <w:rPr>
                <w:spacing w:val="-4"/>
              </w:rPr>
              <w:t>nížení daňového zatížení práce</w:t>
            </w:r>
            <w:r w:rsidRPr="00285F04">
              <w:rPr>
                <w:vertAlign w:val="superscript"/>
              </w:rPr>
              <w:footnoteReference w:id="7"/>
            </w:r>
            <w:r>
              <w:rPr>
                <w:spacing w:val="-4"/>
              </w:rPr>
              <w:t>. Na výši inkasa stále působily také záchranné programy (kompenzační bonusy – zejména OSVČ), jejich negativní rozpočtový dopad byl ale letos ve srovnání s </w:t>
            </w:r>
            <w:r>
              <w:rPr>
                <w:spacing w:val="-5"/>
              </w:rPr>
              <w:t>1. až 3. čtvrtletím 2020</w:t>
            </w:r>
            <w:r>
              <w:rPr>
                <w:spacing w:val="-4"/>
              </w:rPr>
              <w:t xml:space="preserve"> slabší. Propad inkasa byl tlumen </w:t>
            </w:r>
            <w:r w:rsidRPr="00CF0E31">
              <w:rPr>
                <w:spacing w:val="-6"/>
              </w:rPr>
              <w:t>rostoucí zaměstnaností, dalším navyšováním minimální mzdy, jakož i</w:t>
            </w:r>
            <w:r>
              <w:rPr>
                <w:spacing w:val="-6"/>
              </w:rPr>
              <w:t xml:space="preserve"> jarní </w:t>
            </w:r>
            <w:r w:rsidRPr="00CF0E31">
              <w:rPr>
                <w:spacing w:val="-6"/>
              </w:rPr>
              <w:t>výplatou mimořádných odměn pracovníkům veřejného sektoru stojící</w:t>
            </w:r>
            <w:r>
              <w:rPr>
                <w:spacing w:val="-6"/>
              </w:rPr>
              <w:t>m</w:t>
            </w:r>
            <w:r w:rsidRPr="00CF0E31">
              <w:rPr>
                <w:spacing w:val="-6"/>
              </w:rPr>
              <w:t xml:space="preserve"> v první linii </w:t>
            </w:r>
            <w:r>
              <w:rPr>
                <w:spacing w:val="-6"/>
              </w:rPr>
              <w:t>boje</w:t>
            </w:r>
            <w:r w:rsidRPr="00CF0E31">
              <w:rPr>
                <w:spacing w:val="-6"/>
              </w:rPr>
              <w:t xml:space="preserve"> proti pandemii.</w:t>
            </w:r>
            <w:r>
              <w:rPr>
                <w:spacing w:val="-4"/>
              </w:rPr>
              <w:t xml:space="preserve"> </w:t>
            </w:r>
          </w:p>
        </w:tc>
      </w:tr>
      <w:tr w:rsidR="00F00535" w:rsidRPr="003C07E6" w14:paraId="4223DE22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07D767D5" w14:textId="77777777" w:rsidR="00F00535" w:rsidRDefault="00F00535" w:rsidP="00B86EB1">
            <w:pPr>
              <w:pStyle w:val="Marginlie"/>
            </w:pPr>
            <w:r>
              <w:t>Růst příjmů z rozpočtu EU se letos zastavil.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6DB70A60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22160754" w14:textId="77777777" w:rsidR="00F00535" w:rsidRDefault="00F00535" w:rsidP="00B86EB1">
            <w:pPr>
              <w:spacing w:after="200"/>
              <w:rPr>
                <w:spacing w:val="-5"/>
              </w:rPr>
            </w:pPr>
            <w:r w:rsidRPr="009B277E">
              <w:rPr>
                <w:spacing w:val="-2"/>
              </w:rPr>
              <w:t>Nedaňové a kap</w:t>
            </w:r>
            <w:r>
              <w:rPr>
                <w:spacing w:val="-2"/>
              </w:rPr>
              <w:t>itálové příjmy a transfery SR se letos za tři čtvrtletí o desetinu snížily a</w:t>
            </w:r>
            <w:r w:rsidRPr="009B277E">
              <w:rPr>
                <w:spacing w:val="-2"/>
              </w:rPr>
              <w:t> </w:t>
            </w:r>
            <w:r>
              <w:rPr>
                <w:spacing w:val="-2"/>
              </w:rPr>
              <w:t>zaznamenaly tak první meziroční pokles od roku 2017. V pozadí stály zejména příjmy z rozpočtu EU na krytí již státem předfinancovaných výdajů, jež se snížily o 12 mld. korun (na 89 mld.)</w:t>
            </w:r>
            <w:r>
              <w:rPr>
                <w:rStyle w:val="Znakapoznpodarou"/>
                <w:spacing w:val="-2"/>
              </w:rPr>
              <w:footnoteReference w:id="8"/>
            </w:r>
            <w:r>
              <w:rPr>
                <w:spacing w:val="-2"/>
              </w:rPr>
              <w:t>. Vliv mělo i to, že p</w:t>
            </w:r>
            <w:r w:rsidRPr="009B277E">
              <w:rPr>
                <w:spacing w:val="-2"/>
              </w:rPr>
              <w:t>lánovaný převod prostřed</w:t>
            </w:r>
            <w:r>
              <w:rPr>
                <w:spacing w:val="-2"/>
              </w:rPr>
              <w:t xml:space="preserve">ků privatizačního účtu do SR se letos dosud neuskutečnil (loni se jednalo 13 mld. korun). To bylo zčásti kompenzováno </w:t>
            </w:r>
            <w:r w:rsidRPr="00444DB0">
              <w:rPr>
                <w:spacing w:val="-2"/>
              </w:rPr>
              <w:t xml:space="preserve">mimořádnými letošními výnosy z aukce </w:t>
            </w:r>
            <w:r>
              <w:rPr>
                <w:spacing w:val="-2"/>
              </w:rPr>
              <w:t xml:space="preserve">rádiových </w:t>
            </w:r>
            <w:r w:rsidRPr="00444DB0">
              <w:rPr>
                <w:spacing w:val="-2"/>
              </w:rPr>
              <w:t>kmitočtů (+5,6 mld.).</w:t>
            </w:r>
          </w:p>
        </w:tc>
      </w:tr>
      <w:tr w:rsidR="00F00535" w:rsidRPr="00F704D2" w14:paraId="21B0E6F5" w14:textId="77777777" w:rsidTr="00B86EB1">
        <w:trPr>
          <w:trHeight w:val="170"/>
        </w:trPr>
        <w:tc>
          <w:tcPr>
            <w:tcW w:w="1732" w:type="dxa"/>
            <w:vMerge w:val="restart"/>
            <w:shd w:val="clear" w:color="auto" w:fill="auto"/>
            <w:tcMar>
              <w:left w:w="0" w:type="dxa"/>
            </w:tcMar>
          </w:tcPr>
          <w:p w14:paraId="750D962A" w14:textId="77777777" w:rsidR="00F00535" w:rsidRDefault="00F00535" w:rsidP="00B86EB1">
            <w:pPr>
              <w:pStyle w:val="Marginlie"/>
            </w:pPr>
          </w:p>
        </w:tc>
        <w:tc>
          <w:tcPr>
            <w:tcW w:w="217" w:type="dxa"/>
            <w:vMerge w:val="restart"/>
            <w:shd w:val="clear" w:color="auto" w:fill="auto"/>
            <w:tcMar>
              <w:left w:w="0" w:type="dxa"/>
            </w:tcMar>
          </w:tcPr>
          <w:p w14:paraId="2546C4F7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26FF0D60" w14:textId="77777777" w:rsidR="00F00535" w:rsidRPr="00A66749" w:rsidRDefault="00F00535" w:rsidP="00B86EB1">
            <w:pPr>
              <w:spacing w:after="0" w:line="240" w:lineRule="auto"/>
              <w:rPr>
                <w:rFonts w:cs="Arial"/>
                <w:bCs/>
                <w:spacing w:val="-4"/>
              </w:rPr>
            </w:pPr>
            <w:r w:rsidRPr="00A66749">
              <w:rPr>
                <w:rFonts w:cs="Arial"/>
                <w:b/>
                <w:bCs/>
                <w:color w:val="000000"/>
                <w:spacing w:val="-4"/>
                <w:szCs w:val="20"/>
              </w:rPr>
              <w:t>Graf č. 16  Příspěvek dílčích příjmů k</w:t>
            </w:r>
            <w:r>
              <w:rPr>
                <w:rFonts w:cs="Arial"/>
                <w:b/>
                <w:bCs/>
                <w:color w:val="000000"/>
                <w:spacing w:val="-4"/>
                <w:szCs w:val="20"/>
              </w:rPr>
              <w:t> </w:t>
            </w:r>
            <w:r w:rsidRPr="00A66749">
              <w:rPr>
                <w:rFonts w:cs="Arial"/>
                <w:b/>
                <w:bCs/>
                <w:color w:val="000000"/>
                <w:spacing w:val="-4"/>
                <w:szCs w:val="20"/>
              </w:rPr>
              <w:t xml:space="preserve">růstu </w:t>
            </w:r>
            <w:r w:rsidRPr="00A66749">
              <w:rPr>
                <w:rFonts w:cs="Arial"/>
                <w:b/>
                <w:bCs/>
                <w:spacing w:val="-4"/>
                <w:szCs w:val="20"/>
              </w:rPr>
              <w:t>celostátního</w:t>
            </w:r>
            <w:r w:rsidRPr="00A66749">
              <w:rPr>
                <w:rFonts w:cs="Arial"/>
                <w:b/>
                <w:bCs/>
                <w:spacing w:val="-4"/>
              </w:rPr>
              <w:t xml:space="preserve"> daňového inkasa* </w:t>
            </w:r>
            <w:r w:rsidRPr="00A66749">
              <w:rPr>
                <w:rFonts w:cs="Arial"/>
                <w:bCs/>
                <w:spacing w:val="-4"/>
              </w:rPr>
              <w:t>(</w:t>
            </w:r>
            <w:r w:rsidRPr="00A66749">
              <w:rPr>
                <w:spacing w:val="-4"/>
              </w:rPr>
              <w:t>meziročně</w:t>
            </w:r>
            <w:r w:rsidRPr="00A66749">
              <w:rPr>
                <w:bCs/>
                <w:spacing w:val="-4"/>
              </w:rPr>
              <w:t xml:space="preserve"> v p.</w:t>
            </w:r>
            <w:r>
              <w:rPr>
                <w:bCs/>
                <w:spacing w:val="-4"/>
              </w:rPr>
              <w:t> </w:t>
            </w:r>
            <w:r w:rsidRPr="00A66749">
              <w:rPr>
                <w:bCs/>
                <w:spacing w:val="-4"/>
              </w:rPr>
              <w:t xml:space="preserve">b.) </w:t>
            </w:r>
            <w:r w:rsidRPr="00A66749">
              <w:rPr>
                <w:rFonts w:cs="Arial"/>
                <w:b/>
                <w:bCs/>
                <w:spacing w:val="-4"/>
              </w:rPr>
              <w:t>a saldo státn</w:t>
            </w:r>
            <w:r>
              <w:rPr>
                <w:rFonts w:cs="Arial"/>
                <w:b/>
                <w:bCs/>
                <w:spacing w:val="-4"/>
              </w:rPr>
              <w:t>ího rozpočtu v rámci 1. </w:t>
            </w:r>
            <w:r w:rsidRPr="009E555E">
              <w:rPr>
                <w:rFonts w:cs="Arial"/>
                <w:b/>
                <w:bCs/>
                <w:spacing w:val="-2"/>
              </w:rPr>
              <w:t>až 3.</w:t>
            </w:r>
            <w:r>
              <w:rPr>
                <w:rFonts w:cs="Arial"/>
                <w:b/>
                <w:bCs/>
                <w:spacing w:val="-2"/>
              </w:rPr>
              <w:t> čtvrtlet</w:t>
            </w:r>
            <w:r w:rsidRPr="009E555E">
              <w:rPr>
                <w:rFonts w:cs="Arial"/>
                <w:b/>
                <w:bCs/>
                <w:spacing w:val="-2"/>
              </w:rPr>
              <w:t>í</w:t>
            </w:r>
            <w:r w:rsidRPr="00A66749">
              <w:rPr>
                <w:spacing w:val="-4"/>
              </w:rPr>
              <w:t xml:space="preserve"> </w:t>
            </w:r>
            <w:r w:rsidRPr="00A66749">
              <w:rPr>
                <w:rFonts w:cs="Arial"/>
                <w:bCs/>
                <w:spacing w:val="-4"/>
              </w:rPr>
              <w:t>(v mld. korun, pravá osa)</w:t>
            </w:r>
          </w:p>
        </w:tc>
      </w:tr>
      <w:tr w:rsidR="00F00535" w14:paraId="7543CE7B" w14:textId="77777777" w:rsidTr="00B86EB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732" w:type="dxa"/>
            <w:vMerge/>
            <w:shd w:val="clear" w:color="auto" w:fill="auto"/>
          </w:tcPr>
          <w:p w14:paraId="1A98F8A2" w14:textId="77777777" w:rsidR="00F00535" w:rsidRDefault="00F00535" w:rsidP="00B86EB1">
            <w:pPr>
              <w:pStyle w:val="Marginlie"/>
            </w:pPr>
          </w:p>
        </w:tc>
        <w:tc>
          <w:tcPr>
            <w:tcW w:w="217" w:type="dxa"/>
            <w:vMerge/>
            <w:shd w:val="clear" w:color="auto" w:fill="auto"/>
          </w:tcPr>
          <w:p w14:paraId="79871818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</w:tcPr>
          <w:p w14:paraId="4EB4483B" w14:textId="77777777" w:rsidR="00F00535" w:rsidRPr="0067514E" w:rsidRDefault="00F00535" w:rsidP="00B86EB1">
            <w:pPr>
              <w:spacing w:after="0"/>
              <w:rPr>
                <w:spacing w:val="-6"/>
              </w:rPr>
            </w:pPr>
            <w:r>
              <w:rPr>
                <w:noProof/>
              </w:rPr>
              <w:drawing>
                <wp:inline distT="0" distB="0" distL="0" distR="0" wp14:anchorId="279A8BCC" wp14:editId="6EF1DDD5">
                  <wp:extent cx="4735195" cy="3403600"/>
                  <wp:effectExtent l="0" t="0" r="8255" b="6350"/>
                  <wp:docPr id="7" name="Graf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00535" w:rsidRPr="007B3A78" w14:paraId="0168406F" w14:textId="77777777" w:rsidTr="00B86EB1">
        <w:trPr>
          <w:trHeight w:val="170"/>
        </w:trPr>
        <w:tc>
          <w:tcPr>
            <w:tcW w:w="1732" w:type="dxa"/>
            <w:vMerge/>
            <w:shd w:val="clear" w:color="auto" w:fill="auto"/>
            <w:tcMar>
              <w:left w:w="0" w:type="dxa"/>
            </w:tcMar>
          </w:tcPr>
          <w:p w14:paraId="455536B9" w14:textId="77777777" w:rsidR="00F00535" w:rsidRDefault="00F00535" w:rsidP="00B86EB1">
            <w:pPr>
              <w:pStyle w:val="Marginlie"/>
            </w:pPr>
          </w:p>
        </w:tc>
        <w:tc>
          <w:tcPr>
            <w:tcW w:w="217" w:type="dxa"/>
            <w:vMerge/>
            <w:shd w:val="clear" w:color="auto" w:fill="auto"/>
            <w:tcMar>
              <w:left w:w="0" w:type="dxa"/>
            </w:tcMar>
          </w:tcPr>
          <w:p w14:paraId="712142BA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2409CC83" w14:textId="77777777" w:rsidR="00F00535" w:rsidRDefault="00F00535" w:rsidP="00B86EB1">
            <w:pPr>
              <w:tabs>
                <w:tab w:val="right" w:pos="7683"/>
              </w:tabs>
              <w:spacing w:after="0" w:line="240" w:lineRule="auto"/>
              <w:jc w:val="lef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* Zahrnuje d</w:t>
            </w:r>
            <w:r w:rsidRPr="00A66749">
              <w:rPr>
                <w:spacing w:val="-2"/>
                <w:sz w:val="14"/>
                <w:szCs w:val="14"/>
              </w:rPr>
              <w:t>aňové příjmy bez pojistného na sociální zabezpečení.</w:t>
            </w:r>
            <w:r>
              <w:rPr>
                <w:spacing w:val="-2"/>
                <w:sz w:val="14"/>
                <w:szCs w:val="14"/>
              </w:rPr>
              <w:tab/>
            </w:r>
          </w:p>
          <w:p w14:paraId="26F789A5" w14:textId="77777777" w:rsidR="00F00535" w:rsidRPr="00A66749" w:rsidRDefault="00F00535" w:rsidP="00B86EB1">
            <w:pPr>
              <w:tabs>
                <w:tab w:val="right" w:pos="7683"/>
              </w:tabs>
              <w:spacing w:after="180" w:line="240" w:lineRule="auto"/>
              <w:jc w:val="left"/>
              <w:rPr>
                <w:spacing w:val="-2"/>
                <w:sz w:val="14"/>
                <w:szCs w:val="14"/>
              </w:rPr>
            </w:pPr>
            <w:r w:rsidRPr="00A66749">
              <w:rPr>
                <w:spacing w:val="-2"/>
                <w:sz w:val="14"/>
                <w:szCs w:val="14"/>
              </w:rPr>
              <w:t>Zdroj: MF ČR</w:t>
            </w:r>
          </w:p>
        </w:tc>
      </w:tr>
      <w:tr w:rsidR="00F00535" w:rsidRPr="008266F0" w14:paraId="16C51335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177C8C5D" w14:textId="77777777" w:rsidR="00F00535" w:rsidRPr="00A87E3B" w:rsidRDefault="00F00535" w:rsidP="00B86EB1">
            <w:pPr>
              <w:pStyle w:val="Marginlie"/>
              <w:rPr>
                <w:spacing w:val="-5"/>
              </w:rPr>
            </w:pPr>
            <w:r w:rsidRPr="00A87E3B">
              <w:rPr>
                <w:spacing w:val="-5"/>
              </w:rPr>
              <w:t xml:space="preserve">Nižší potřeba podpůrných </w:t>
            </w:r>
            <w:r w:rsidRPr="00A87E3B">
              <w:rPr>
                <w:spacing w:val="-4"/>
              </w:rPr>
              <w:t>programů a</w:t>
            </w:r>
            <w:r>
              <w:rPr>
                <w:spacing w:val="-4"/>
              </w:rPr>
              <w:t> </w:t>
            </w:r>
            <w:r w:rsidRPr="00A87E3B">
              <w:rPr>
                <w:spacing w:val="-4"/>
              </w:rPr>
              <w:t>opatření</w:t>
            </w:r>
            <w:r w:rsidRPr="00A87E3B">
              <w:rPr>
                <w:spacing w:val="-5"/>
              </w:rPr>
              <w:t xml:space="preserve"> </w:t>
            </w:r>
            <w:r>
              <w:t>díky</w:t>
            </w:r>
            <w:r w:rsidRPr="00A87E3B">
              <w:t xml:space="preserve"> </w:t>
            </w:r>
            <w:r>
              <w:t xml:space="preserve">zlepšené epidemické </w:t>
            </w:r>
            <w:r>
              <w:lastRenderedPageBreak/>
              <w:t>situaci</w:t>
            </w:r>
            <w:r w:rsidRPr="00A87E3B">
              <w:t xml:space="preserve"> se během léta odrazila v</w:t>
            </w:r>
            <w:r>
              <w:t> </w:t>
            </w:r>
            <w:r w:rsidRPr="00A87E3B">
              <w:t>citelném zvolnění růstu běžných výdajů</w:t>
            </w:r>
            <w:r>
              <w:t> </w:t>
            </w:r>
            <w:r w:rsidRPr="00A87E3B">
              <w:t>SR</w:t>
            </w:r>
            <w:r>
              <w:t>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20217B71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3F89711C" w14:textId="77777777" w:rsidR="00F00535" w:rsidRDefault="00F00535" w:rsidP="00B86EB1">
            <w:pPr>
              <w:spacing w:after="200"/>
              <w:rPr>
                <w:spacing w:val="-2"/>
              </w:rPr>
            </w:pPr>
            <w:r>
              <w:rPr>
                <w:spacing w:val="-2"/>
              </w:rPr>
              <w:t xml:space="preserve">Jestliže v 1. pololetí 2021 posílily celkové výdaje SR meziročně o 9,3 %, ve 3. čtvrtletí toto tempo zvolnilo na 2,7 %. To souviselo s výrazným rozvolněním protipandemických </w:t>
            </w:r>
            <w:r>
              <w:rPr>
                <w:spacing w:val="-2"/>
              </w:rPr>
              <w:lastRenderedPageBreak/>
              <w:t>opatření. Ze širokého spektra podpůrných programů a opatření</w:t>
            </w:r>
            <w:r w:rsidRPr="00456B08">
              <w:rPr>
                <w:rStyle w:val="Znakapoznpodarou"/>
                <w:spacing w:val="-5"/>
              </w:rPr>
              <w:footnoteReference w:id="9"/>
            </w:r>
            <w:r>
              <w:rPr>
                <w:spacing w:val="-2"/>
              </w:rPr>
              <w:t xml:space="preserve"> tak byly některé z nich na počátku léta fakticky pozastaveny, případně výrazně utlumeny (např. ošetřovné či program Antivirus). I tak narostly veškeré běžné výdaje SR v 1. až 3. čtvrtletí ve srovnání se shodným obdobím roku 2019 o 26 % (+267 mld. korun), z toho ve 3. čtvrtletí o 21 %.</w:t>
            </w:r>
          </w:p>
        </w:tc>
      </w:tr>
      <w:tr w:rsidR="00F00535" w:rsidRPr="008266F0" w14:paraId="2AD693F3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217E93C0" w14:textId="77777777" w:rsidR="00F00535" w:rsidRPr="00A87E3B" w:rsidRDefault="00F00535" w:rsidP="00B86EB1">
            <w:pPr>
              <w:pStyle w:val="Marginlie"/>
              <w:rPr>
                <w:spacing w:val="-3"/>
              </w:rPr>
            </w:pPr>
            <w:r w:rsidRPr="00A87E3B">
              <w:rPr>
                <w:spacing w:val="-3"/>
              </w:rPr>
              <w:lastRenderedPageBreak/>
              <w:t>Nárůst běžných výdajů SR za tři čtvrtletí byl z více než poloviny tažen transfery podnikatelským subjektům a</w:t>
            </w:r>
            <w:r>
              <w:rPr>
                <w:spacing w:val="-3"/>
              </w:rPr>
              <w:t> </w:t>
            </w:r>
            <w:r w:rsidRPr="00A87E3B">
              <w:rPr>
                <w:spacing w:val="-3"/>
              </w:rPr>
              <w:t>platbami za státní pojištěnce</w:t>
            </w:r>
            <w:r>
              <w:rPr>
                <w:spacing w:val="-3"/>
              </w:rPr>
              <w:t>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0FF6E8C5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0E4C9401" w14:textId="77777777" w:rsidR="00F00535" w:rsidRDefault="00F00535" w:rsidP="00B86EB1">
            <w:pPr>
              <w:spacing w:after="200"/>
              <w:rPr>
                <w:spacing w:val="-2"/>
              </w:rPr>
            </w:pPr>
            <w:r>
              <w:rPr>
                <w:spacing w:val="-2"/>
              </w:rPr>
              <w:t xml:space="preserve">K meziročnímu posílení běžných výdajů (za tři čtvrtletí o 101 mld. korun) přispěly letos ze třetiny </w:t>
            </w:r>
            <w:r w:rsidRPr="00456B08">
              <w:rPr>
                <w:color w:val="0D0D0D" w:themeColor="text1" w:themeTint="F2"/>
                <w:spacing w:val="-5"/>
              </w:rPr>
              <w:t>neinvestiční trans</w:t>
            </w:r>
            <w:r>
              <w:rPr>
                <w:color w:val="0D0D0D" w:themeColor="text1" w:themeTint="F2"/>
                <w:spacing w:val="-5"/>
              </w:rPr>
              <w:t>fery podnikatelským subjektům (růst o 45 %)</w:t>
            </w:r>
            <w:r>
              <w:rPr>
                <w:spacing w:val="-5"/>
              </w:rPr>
              <w:t xml:space="preserve"> soustřeďující rozhodující část </w:t>
            </w:r>
            <w:r w:rsidRPr="00456B08">
              <w:rPr>
                <w:spacing w:val="-5"/>
              </w:rPr>
              <w:t>podpůrných opatření (program Antivirus, podpora firem v nejvíce</w:t>
            </w:r>
            <w:r>
              <w:rPr>
                <w:spacing w:val="-5"/>
              </w:rPr>
              <w:t xml:space="preserve"> zasažených odvětvích, ošetřovné pro OSVČ). Čtvrtinou pak přispěly k růstu vyšší platby za státní pojištěnce (+37 %). Vyšší běžné transfery územním rozpočtům (+7 %, +13 mld.) souvisely s pokračujícím růstem platů v regionálním školství</w:t>
            </w:r>
            <w:r>
              <w:rPr>
                <w:rStyle w:val="Znakapoznpodarou"/>
                <w:spacing w:val="-5"/>
              </w:rPr>
              <w:footnoteReference w:id="10"/>
            </w:r>
            <w:r>
              <w:rPr>
                <w:spacing w:val="-5"/>
              </w:rPr>
              <w:t>, s navýšením prostředků na sociální služby a z menší části také s mimořádnými odměnami zaměstnancům v lůžkové péči. Tyto odměny se promítly i do transferů příspěvkovým organizacím. Ty však celkově vzrostly jen o 0,4 %, neboť loňské výdaje na oddlužení části nemocnic se letos neopakovaly. S pandemií souvisely i výdaje na neinvestiční nákupy</w:t>
            </w:r>
            <w:r>
              <w:rPr>
                <w:rStyle w:val="Znakapoznpodarou"/>
                <w:spacing w:val="-5"/>
              </w:rPr>
              <w:footnoteReference w:id="11"/>
            </w:r>
            <w:r>
              <w:rPr>
                <w:spacing w:val="-5"/>
              </w:rPr>
              <w:t>. Ty oproti rekordní loňské výši (51 mld. korun) letos klesly jen mírně (o 1,4 %), neboť nižší potřeba ochranných pomůcek a zdravotnického materiálu byla z velké části nahrazena vyššími výdaji za nákupy vakcín.</w:t>
            </w:r>
          </w:p>
        </w:tc>
      </w:tr>
      <w:tr w:rsidR="00F00535" w:rsidRPr="008266F0" w14:paraId="567D9F84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04F6A3DA" w14:textId="77777777" w:rsidR="00F00535" w:rsidRDefault="00F00535" w:rsidP="00B86EB1">
            <w:pPr>
              <w:pStyle w:val="Marginlie"/>
            </w:pPr>
            <w:r>
              <w:t>Za meziroční růst výdajů na sociální dávky zodpovídaly téměř výhradně výplaty důchodů.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04F89C1E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5089EE09" w14:textId="77777777" w:rsidR="00F00535" w:rsidRPr="004725AE" w:rsidRDefault="00F00535" w:rsidP="00B86EB1">
            <w:pPr>
              <w:spacing w:after="200"/>
              <w:rPr>
                <w:color w:val="0D0D0D" w:themeColor="text1" w:themeTint="F2"/>
                <w:spacing w:val="-5"/>
              </w:rPr>
            </w:pPr>
            <w:r>
              <w:rPr>
                <w:spacing w:val="-3"/>
              </w:rPr>
              <w:t>Prostředky na sociální dávky, které dlouhodobě představují</w:t>
            </w:r>
            <w:r w:rsidRPr="008E078C">
              <w:rPr>
                <w:spacing w:val="-3"/>
              </w:rPr>
              <w:t xml:space="preserve"> váhově dominantní výdaj SR</w:t>
            </w:r>
            <w:r w:rsidRPr="008E078C">
              <w:rPr>
                <w:rStyle w:val="Znakapoznpodarou"/>
                <w:spacing w:val="-3"/>
              </w:rPr>
              <w:footnoteReference w:id="12"/>
            </w:r>
            <w:r w:rsidRPr="008E078C">
              <w:rPr>
                <w:spacing w:val="-3"/>
              </w:rPr>
              <w:t xml:space="preserve">, </w:t>
            </w:r>
            <w:r>
              <w:rPr>
                <w:spacing w:val="-3"/>
              </w:rPr>
              <w:t>vzrostly v 1. až 3. čtvrtletí 2021 meziročně o 3,1 % (o rok dříve eskalovaly na 12,6</w:t>
            </w:r>
            <w:r>
              <w:rPr>
                <w:spacing w:val="-5"/>
              </w:rPr>
              <w:t> </w:t>
            </w:r>
            <w:r>
              <w:rPr>
                <w:spacing w:val="-3"/>
              </w:rPr>
              <w:t>%</w:t>
            </w:r>
            <w:r>
              <w:rPr>
                <w:rStyle w:val="Znakapoznpodarou"/>
                <w:spacing w:val="-3"/>
              </w:rPr>
              <w:footnoteReference w:id="13"/>
            </w:r>
            <w:r>
              <w:rPr>
                <w:spacing w:val="-3"/>
              </w:rPr>
              <w:t xml:space="preserve">). Na rozdíl od roku 2020 táhly letošní růst takřka výhradně vyšší výdaje na důchody (+5,5 %). Projevila se v nich pravidelná lednová valorizace, v opačném směru působil pokles počtu příjemců důchodů (o 0,8 %). </w:t>
            </w:r>
            <w:r w:rsidRPr="00AC6ABB">
              <w:rPr>
                <w:spacing w:val="-5"/>
              </w:rPr>
              <w:t>P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>říjmy důchodového pojištění se oproti slabší loňské základně</w:t>
            </w:r>
            <w:r w:rsidRPr="00AC6ABB">
              <w:rPr>
                <w:rStyle w:val="Znakapoznpodarou"/>
                <w:color w:val="0D0D0D" w:themeColor="text1" w:themeTint="F2"/>
                <w:spacing w:val="-5"/>
              </w:rPr>
              <w:footnoteReference w:id="14"/>
            </w:r>
            <w:r>
              <w:rPr>
                <w:rFonts w:cs="Arial"/>
                <w:color w:val="0D0D0D" w:themeColor="text1" w:themeTint="F2"/>
                <w:spacing w:val="-5"/>
              </w:rPr>
              <w:t xml:space="preserve"> navýšily o 11,7 %. S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>aldo důchodového účtu</w:t>
            </w:r>
            <w:r w:rsidRPr="00AC6ABB">
              <w:rPr>
                <w:rStyle w:val="Znakapoznpodarou"/>
                <w:color w:val="0D0D0D" w:themeColor="text1" w:themeTint="F2"/>
                <w:spacing w:val="-5"/>
              </w:rPr>
              <w:footnoteReference w:id="15"/>
            </w:r>
            <w:r>
              <w:rPr>
                <w:rFonts w:cs="Arial"/>
                <w:color w:val="0D0D0D" w:themeColor="text1" w:themeTint="F2"/>
                <w:spacing w:val="-5"/>
              </w:rPr>
              <w:t xml:space="preserve"> se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5"/>
              </w:rPr>
              <w:t>za tři čtvrtletí meziročně vylepšilo o více než 20 mld. korun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>. Ve 2.</w:t>
            </w:r>
            <w:r>
              <w:rPr>
                <w:rFonts w:cs="Arial"/>
                <w:color w:val="0D0D0D" w:themeColor="text1" w:themeTint="F2"/>
                <w:spacing w:val="-5"/>
              </w:rPr>
              <w:t xml:space="preserve"> i 3. čtvrtletí 2021 se 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>dí</w:t>
            </w:r>
            <w:r>
              <w:rPr>
                <w:rFonts w:cs="Arial"/>
                <w:color w:val="0D0D0D" w:themeColor="text1" w:themeTint="F2"/>
                <w:spacing w:val="-5"/>
              </w:rPr>
              <w:t>ky oživení ekonomické aktivity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5"/>
              </w:rPr>
              <w:t>dokonce tento účet vrátil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 xml:space="preserve"> do mírného přebytku (</w:t>
            </w:r>
            <w:r>
              <w:rPr>
                <w:rFonts w:cs="Arial"/>
                <w:color w:val="0D0D0D" w:themeColor="text1" w:themeTint="F2"/>
                <w:spacing w:val="-5"/>
              </w:rPr>
              <w:t>v úhrnu +4 mld.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 xml:space="preserve">), </w:t>
            </w:r>
            <w:r>
              <w:rPr>
                <w:rFonts w:cs="Arial"/>
                <w:color w:val="0D0D0D" w:themeColor="text1" w:themeTint="F2"/>
                <w:spacing w:val="-5"/>
              </w:rPr>
              <w:t xml:space="preserve">a to </w:t>
            </w:r>
            <w:r w:rsidRPr="00AC6ABB">
              <w:rPr>
                <w:rFonts w:cs="Arial"/>
                <w:color w:val="0D0D0D" w:themeColor="text1" w:themeTint="F2"/>
                <w:spacing w:val="-5"/>
              </w:rPr>
              <w:t>poprvé od konce roku 2019.</w:t>
            </w:r>
          </w:p>
        </w:tc>
      </w:tr>
      <w:tr w:rsidR="00F00535" w:rsidRPr="008266F0" w14:paraId="5A0AD8E9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2C5D7966" w14:textId="77777777" w:rsidR="00F00535" w:rsidRDefault="00F00535" w:rsidP="00B86EB1">
            <w:pPr>
              <w:pStyle w:val="Marginlie"/>
            </w:pPr>
            <w:r>
              <w:t>Jarní oživení ekonomické aktivity snížilo potřebu čerpání krizového ošetřovného, nižší byly i výdaje na nezaměstnané a též na většinu dávek státní sociální podpory.</w:t>
            </w:r>
          </w:p>
          <w:p w14:paraId="19070DDB" w14:textId="77777777" w:rsidR="00F00535" w:rsidRDefault="00F00535" w:rsidP="00B86EB1">
            <w:pPr>
              <w:pStyle w:val="Marginlie"/>
            </w:pPr>
          </w:p>
          <w:p w14:paraId="3EAB4F31" w14:textId="77777777" w:rsidR="00F00535" w:rsidRDefault="00F00535" w:rsidP="00B86EB1">
            <w:pPr>
              <w:pStyle w:val="Marginlie"/>
            </w:pPr>
          </w:p>
          <w:p w14:paraId="4D09F353" w14:textId="77777777" w:rsidR="00F00535" w:rsidRDefault="00F00535" w:rsidP="00B86EB1">
            <w:pPr>
              <w:pStyle w:val="Marginlie"/>
            </w:pPr>
          </w:p>
          <w:p w14:paraId="11C89FE8" w14:textId="77777777" w:rsidR="00F00535" w:rsidRDefault="00F00535" w:rsidP="00B86EB1">
            <w:pPr>
              <w:pStyle w:val="Marginlie"/>
            </w:pPr>
            <w:r>
              <w:t>Růst výdajů na dávky hmotné nouze ale pokračoval.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58AB3835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3B983A8C" w14:textId="77777777" w:rsidR="00F00535" w:rsidRPr="00C53C31" w:rsidRDefault="00F00535" w:rsidP="00B86EB1">
            <w:pPr>
              <w:spacing w:after="0"/>
              <w:rPr>
                <w:spacing w:val="-3"/>
              </w:rPr>
            </w:pPr>
            <w:r>
              <w:rPr>
                <w:color w:val="0D0D0D" w:themeColor="text1" w:themeTint="F2"/>
                <w:spacing w:val="-5"/>
              </w:rPr>
              <w:t xml:space="preserve">Na nedůchodové sociální dávky směřovalo </w:t>
            </w:r>
            <w:r>
              <w:rPr>
                <w:spacing w:val="-3"/>
              </w:rPr>
              <w:t>v 1. až 3. čtvrtletí meziročně o 4,1 % méně (ve dvouletém srovnání ovšem výdaje o více než čtvrtinu stouply). Projevilo se zejména nižší čerpání ošetřovného, které ve srovnání s rekordní loňskou úrovní o více než polovinu propadlo. Objemově významnější nemocenské dávky ale i letos dále pokračovaly v růstu (4,3</w:t>
            </w:r>
            <w:r>
              <w:rPr>
                <w:rFonts w:cs="Arial"/>
                <w:color w:val="0D0D0D" w:themeColor="text1" w:themeTint="F2"/>
                <w:spacing w:val="-5"/>
              </w:rPr>
              <w:t> </w:t>
            </w:r>
            <w:r>
              <w:rPr>
                <w:spacing w:val="-3"/>
              </w:rPr>
              <w:t>%). V srpnu i září 2021 se čerpání všech dávek nemocenského pojištění dočasně vrátilo k normálu. Růst objemu dávek státní sociální podpory se po loňském skokovém navýšení zastavil (</w:t>
            </w:r>
            <w:r>
              <w:rPr>
                <w:spacing w:val="-4"/>
              </w:rPr>
              <w:t>–</w:t>
            </w:r>
            <w:r>
              <w:rPr>
                <w:spacing w:val="-3"/>
              </w:rPr>
              <w:t>5,4 %), neboť klesly klíčové výdaje na rodičovské příspěvky při současném vyšším čerpání přídavku na dítě (vlivem legislativní úpravy od 1. 7. 2021)</w:t>
            </w:r>
            <w:r>
              <w:rPr>
                <w:rStyle w:val="Znakapoznpodarou"/>
                <w:spacing w:val="-3"/>
              </w:rPr>
              <w:footnoteReference w:id="16"/>
            </w:r>
            <w:r>
              <w:rPr>
                <w:spacing w:val="-3"/>
              </w:rPr>
              <w:t xml:space="preserve">. Zlepšení </w:t>
            </w:r>
            <w:r w:rsidRPr="008E078C">
              <w:rPr>
                <w:spacing w:val="-3"/>
              </w:rPr>
              <w:t>situace na trhu práce ve vaz</w:t>
            </w:r>
            <w:r>
              <w:rPr>
                <w:spacing w:val="-3"/>
              </w:rPr>
              <w:t xml:space="preserve">bě na ústup pandemie vyústilo do nižšího objemu </w:t>
            </w:r>
            <w:r w:rsidRPr="008E078C">
              <w:rPr>
                <w:spacing w:val="-3"/>
              </w:rPr>
              <w:t>vypla</w:t>
            </w:r>
            <w:r>
              <w:rPr>
                <w:spacing w:val="-3"/>
              </w:rPr>
              <w:t xml:space="preserve">cených podpor v nezaměstnanosti (o 2,8 %). </w:t>
            </w:r>
            <w:r w:rsidRPr="008E078C">
              <w:rPr>
                <w:spacing w:val="-3"/>
              </w:rPr>
              <w:t>Zhoršenou příjmovou situaci někt</w:t>
            </w:r>
            <w:r>
              <w:rPr>
                <w:spacing w:val="-3"/>
              </w:rPr>
              <w:t>erých domácností ale naznačuje</w:t>
            </w:r>
            <w:r w:rsidRPr="008E078C">
              <w:rPr>
                <w:spacing w:val="-3"/>
              </w:rPr>
              <w:t xml:space="preserve"> vyšší čerpání dávek hmotné</w:t>
            </w:r>
            <w:r>
              <w:rPr>
                <w:spacing w:val="-3"/>
              </w:rPr>
              <w:t xml:space="preserve"> nouze, patrné již šestý</w:t>
            </w:r>
            <w:r w:rsidRPr="008E078C">
              <w:rPr>
                <w:spacing w:val="-3"/>
              </w:rPr>
              <w:t xml:space="preserve"> kvartál v řadě. </w:t>
            </w:r>
            <w:r>
              <w:rPr>
                <w:spacing w:val="-3"/>
              </w:rPr>
              <w:t>Za tři letošní čtvrtletí na ně putovalo meziročně o 14,6 % více, k růstu zčásti přispěla i mimořádná pomoc osobám poškozeným živelní událostí (červnovým tornádem).</w:t>
            </w:r>
          </w:p>
        </w:tc>
      </w:tr>
      <w:tr w:rsidR="00F00535" w:rsidRPr="008266F0" w14:paraId="3A54BFE3" w14:textId="77777777" w:rsidTr="00B86EB1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6D304A7E" w14:textId="77777777" w:rsidR="00F00535" w:rsidRDefault="00F00535" w:rsidP="00B86EB1">
            <w:pPr>
              <w:pStyle w:val="Marginlie"/>
            </w:pPr>
            <w:r>
              <w:lastRenderedPageBreak/>
              <w:t>Investiční výdaje meziročně klesly a za rozpočtovým očekáváním zatím citelně zaostávaly.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70A6BA88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474EEFDD" w14:textId="77777777" w:rsidR="00F00535" w:rsidRPr="008E078C" w:rsidRDefault="00F00535" w:rsidP="00B86EB1">
            <w:pPr>
              <w:spacing w:after="210"/>
              <w:rPr>
                <w:spacing w:val="-3"/>
              </w:rPr>
            </w:pPr>
            <w:r w:rsidRPr="003060BC">
              <w:rPr>
                <w:color w:val="0D0D0D" w:themeColor="text1" w:themeTint="F2"/>
                <w:spacing w:val="-4"/>
              </w:rPr>
              <w:t xml:space="preserve">Kapitálové výdaje </w:t>
            </w:r>
            <w:r>
              <w:rPr>
                <w:color w:val="0D0D0D" w:themeColor="text1" w:themeTint="F2"/>
                <w:spacing w:val="-4"/>
              </w:rPr>
              <w:t>SR dosáhly téměř 10</w:t>
            </w:r>
            <w:r w:rsidRPr="003060BC">
              <w:rPr>
                <w:color w:val="0D0D0D" w:themeColor="text1" w:themeTint="F2"/>
                <w:spacing w:val="-4"/>
              </w:rPr>
              <w:t>0 mld. korun</w:t>
            </w:r>
            <w:r>
              <w:rPr>
                <w:color w:val="0D0D0D" w:themeColor="text1" w:themeTint="F2"/>
                <w:spacing w:val="-4"/>
              </w:rPr>
              <w:t xml:space="preserve">. </w:t>
            </w:r>
            <w:r>
              <w:rPr>
                <w:color w:val="0D0D0D" w:themeColor="text1" w:themeTint="F2"/>
                <w:spacing w:val="-5"/>
              </w:rPr>
              <w:t>Po třech letech silného meziročního růstu se letos snížily o 5,9 %. Schválený SR ovšem předpokládá pro celý letošní rok 7% růst. Za tři čtvrtletí tak čerpání investic dosáhlo jen 54 % celoroční rozpočtované částky</w:t>
            </w:r>
            <w:r>
              <w:rPr>
                <w:rStyle w:val="Znakapoznpodarou"/>
                <w:color w:val="0D0D0D" w:themeColor="text1" w:themeTint="F2"/>
                <w:spacing w:val="-5"/>
              </w:rPr>
              <w:footnoteReference w:id="17"/>
            </w:r>
            <w:r>
              <w:rPr>
                <w:color w:val="0D0D0D" w:themeColor="text1" w:themeTint="F2"/>
                <w:spacing w:val="-5"/>
              </w:rPr>
              <w:t>, tedy zhruba o 10 p. b. méně, než bylo v předchozích letech na konci září obvyklé. Meziročně se mírně snížily výdaje jak na společné programy ČR a EU (o 2,4 mld. korun na 52,0 mld.), tak na čistě národní projekty. Veškeré investice se na souhrnných výdajích SR podílely 7,1 %.</w:t>
            </w:r>
          </w:p>
        </w:tc>
      </w:tr>
      <w:tr w:rsidR="00F00535" w:rsidRPr="00F704D2" w14:paraId="6F09D279" w14:textId="77777777" w:rsidTr="00B86EB1">
        <w:trPr>
          <w:trHeight w:val="170"/>
        </w:trPr>
        <w:tc>
          <w:tcPr>
            <w:tcW w:w="1732" w:type="dxa"/>
            <w:vMerge w:val="restart"/>
            <w:shd w:val="clear" w:color="auto" w:fill="auto"/>
            <w:tcMar>
              <w:left w:w="0" w:type="dxa"/>
            </w:tcMar>
          </w:tcPr>
          <w:p w14:paraId="60522FB2" w14:textId="77777777" w:rsidR="00F00535" w:rsidRDefault="00F00535" w:rsidP="00B86EB1">
            <w:pPr>
              <w:pStyle w:val="Marginlie"/>
            </w:pPr>
          </w:p>
        </w:tc>
        <w:tc>
          <w:tcPr>
            <w:tcW w:w="217" w:type="dxa"/>
            <w:vMerge w:val="restart"/>
            <w:shd w:val="clear" w:color="auto" w:fill="auto"/>
            <w:tcMar>
              <w:left w:w="0" w:type="dxa"/>
            </w:tcMar>
          </w:tcPr>
          <w:p w14:paraId="4BFC9D66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352F34D0" w14:textId="77777777" w:rsidR="00F00535" w:rsidRPr="009E555E" w:rsidRDefault="00F00535" w:rsidP="00B86EB1">
            <w:pPr>
              <w:spacing w:after="20" w:line="240" w:lineRule="auto"/>
              <w:jc w:val="left"/>
              <w:rPr>
                <w:rFonts w:cs="Arial"/>
                <w:bCs/>
                <w:spacing w:val="-2"/>
              </w:rPr>
            </w:pPr>
            <w:r w:rsidRPr="009E555E">
              <w:rPr>
                <w:b/>
                <w:spacing w:val="-2"/>
              </w:rPr>
              <w:t xml:space="preserve">Graf č. 17  </w:t>
            </w:r>
            <w:r w:rsidRPr="009E555E">
              <w:rPr>
                <w:rFonts w:cs="Arial"/>
                <w:b/>
                <w:bCs/>
                <w:spacing w:val="-2"/>
              </w:rPr>
              <w:t>Vybrané výdaje státního rozpočtu v rámci 1</w:t>
            </w:r>
            <w:r>
              <w:rPr>
                <w:rFonts w:cs="Arial"/>
                <w:b/>
                <w:bCs/>
                <w:spacing w:val="-2"/>
              </w:rPr>
              <w:t>. </w:t>
            </w:r>
            <w:r w:rsidRPr="009E555E">
              <w:rPr>
                <w:rFonts w:cs="Arial"/>
                <w:b/>
                <w:bCs/>
                <w:spacing w:val="-2"/>
              </w:rPr>
              <w:t>až 3.</w:t>
            </w:r>
            <w:r>
              <w:rPr>
                <w:rFonts w:cs="Arial"/>
                <w:b/>
                <w:bCs/>
                <w:spacing w:val="-2"/>
              </w:rPr>
              <w:t> čtvrtlet</w:t>
            </w:r>
            <w:r w:rsidRPr="009E555E">
              <w:rPr>
                <w:rFonts w:cs="Arial"/>
                <w:b/>
                <w:bCs/>
                <w:spacing w:val="-2"/>
              </w:rPr>
              <w:t>í</w:t>
            </w:r>
            <w:r w:rsidRPr="009E555E">
              <w:rPr>
                <w:rFonts w:cs="Arial"/>
                <w:spacing w:val="-2"/>
              </w:rPr>
              <w:t xml:space="preserve"> (v mld. korun)</w:t>
            </w:r>
          </w:p>
        </w:tc>
      </w:tr>
      <w:tr w:rsidR="00F00535" w14:paraId="6072DDE0" w14:textId="77777777" w:rsidTr="00B86EB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732" w:type="dxa"/>
            <w:vMerge/>
            <w:shd w:val="clear" w:color="auto" w:fill="auto"/>
          </w:tcPr>
          <w:p w14:paraId="66DC4DA9" w14:textId="77777777" w:rsidR="00F00535" w:rsidRDefault="00F00535" w:rsidP="00B86EB1">
            <w:pPr>
              <w:pStyle w:val="Marginlie"/>
            </w:pPr>
          </w:p>
        </w:tc>
        <w:tc>
          <w:tcPr>
            <w:tcW w:w="217" w:type="dxa"/>
            <w:vMerge/>
            <w:shd w:val="clear" w:color="auto" w:fill="auto"/>
          </w:tcPr>
          <w:p w14:paraId="2C9C4734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</w:tcPr>
          <w:p w14:paraId="02646492" w14:textId="77777777" w:rsidR="00F00535" w:rsidRPr="0067514E" w:rsidRDefault="00F00535" w:rsidP="00B86EB1">
            <w:pPr>
              <w:spacing w:after="0"/>
              <w:rPr>
                <w:spacing w:val="-6"/>
              </w:rPr>
            </w:pPr>
            <w:r>
              <w:rPr>
                <w:noProof/>
              </w:rPr>
              <w:drawing>
                <wp:inline distT="0" distB="0" distL="0" distR="0" wp14:anchorId="4FD83495" wp14:editId="346609E0">
                  <wp:extent cx="4759876" cy="3401149"/>
                  <wp:effectExtent l="0" t="0" r="3175" b="8890"/>
                  <wp:docPr id="6" name="Graf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F00535" w:rsidRPr="00343AC1" w14:paraId="1DEAC47E" w14:textId="77777777" w:rsidTr="00B86EB1">
        <w:trPr>
          <w:trHeight w:val="170"/>
        </w:trPr>
        <w:tc>
          <w:tcPr>
            <w:tcW w:w="1732" w:type="dxa"/>
            <w:vMerge/>
            <w:shd w:val="clear" w:color="auto" w:fill="auto"/>
            <w:tcMar>
              <w:left w:w="0" w:type="dxa"/>
            </w:tcMar>
          </w:tcPr>
          <w:p w14:paraId="31B6B3FE" w14:textId="77777777" w:rsidR="00F00535" w:rsidRDefault="00F00535" w:rsidP="00B86EB1">
            <w:pPr>
              <w:pStyle w:val="Marginlie"/>
            </w:pPr>
          </w:p>
        </w:tc>
        <w:tc>
          <w:tcPr>
            <w:tcW w:w="217" w:type="dxa"/>
            <w:vMerge/>
            <w:shd w:val="clear" w:color="auto" w:fill="auto"/>
            <w:tcMar>
              <w:left w:w="0" w:type="dxa"/>
            </w:tcMar>
          </w:tcPr>
          <w:p w14:paraId="4923EB0B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01FCE1B0" w14:textId="77777777" w:rsidR="00F00535" w:rsidRPr="008F2BE2" w:rsidRDefault="00F00535" w:rsidP="00B86EB1">
            <w:pPr>
              <w:pStyle w:val="Textpoznpodarou"/>
              <w:rPr>
                <w:spacing w:val="-4"/>
                <w:sz w:val="14"/>
                <w:szCs w:val="14"/>
              </w:rPr>
            </w:pPr>
            <w:r w:rsidRPr="008F2BE2">
              <w:rPr>
                <w:spacing w:val="-4"/>
                <w:sz w:val="14"/>
                <w:szCs w:val="14"/>
              </w:rPr>
              <w:t>*Pokrývají výdaje na platy v organizačních složkách státu. Nezahrnují například mzdové výdaje na regionální školství.</w:t>
            </w:r>
          </w:p>
          <w:p w14:paraId="5D6AC480" w14:textId="77777777" w:rsidR="00F00535" w:rsidRDefault="00F00535" w:rsidP="00B86EB1">
            <w:pPr>
              <w:pStyle w:val="Textpoznpodarou"/>
              <w:tabs>
                <w:tab w:val="right" w:pos="7683"/>
              </w:tabs>
              <w:rPr>
                <w:spacing w:val="-6"/>
                <w:sz w:val="14"/>
                <w:szCs w:val="14"/>
              </w:rPr>
            </w:pPr>
            <w:r w:rsidRPr="008F2BE2">
              <w:rPr>
                <w:spacing w:val="-4"/>
                <w:sz w:val="14"/>
                <w:szCs w:val="14"/>
              </w:rPr>
              <w:t>**Zahrnuje i dávky pěstounské péče</w:t>
            </w:r>
            <w:r>
              <w:rPr>
                <w:spacing w:val="-4"/>
                <w:sz w:val="14"/>
                <w:szCs w:val="14"/>
              </w:rPr>
              <w:t xml:space="preserve"> a náhradní výživné</w:t>
            </w:r>
            <w:r w:rsidRPr="008F2BE2">
              <w:rPr>
                <w:spacing w:val="-4"/>
                <w:sz w:val="14"/>
                <w:szCs w:val="14"/>
              </w:rPr>
              <w:t>.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 w:rsidRPr="008F2BE2">
              <w:rPr>
                <w:spacing w:val="-4"/>
                <w:sz w:val="14"/>
                <w:szCs w:val="14"/>
              </w:rPr>
              <w:t>***Zahrnují dávky pomoci v hmotné nouzi, dávky osobám se zdravotním postižením, příspěvek na péči dle zákona o soc. službách.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 w:rsidRPr="008F2BE2">
              <w:rPr>
                <w:spacing w:val="-4"/>
                <w:sz w:val="14"/>
                <w:szCs w:val="14"/>
              </w:rPr>
              <w:t>****Obsahují zejména výdaje na nákup služeb, materiálu, energií či ostatních služeb (například výdaje na opravy a udržování).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 w:rsidRPr="0067514E">
              <w:rPr>
                <w:spacing w:val="-6"/>
                <w:sz w:val="14"/>
                <w:szCs w:val="14"/>
              </w:rPr>
              <w:t>*****Odpovídá saldu rozpočtové kapitoly Státní dluh.</w:t>
            </w:r>
          </w:p>
          <w:p w14:paraId="640138BE" w14:textId="77777777" w:rsidR="00F00535" w:rsidRPr="008F2BE2" w:rsidRDefault="00F00535" w:rsidP="00B86EB1">
            <w:pPr>
              <w:pStyle w:val="Textpoznpodarou"/>
              <w:tabs>
                <w:tab w:val="right" w:pos="7683"/>
              </w:tabs>
              <w:spacing w:after="200"/>
              <w:rPr>
                <w:spacing w:val="-4"/>
                <w:sz w:val="14"/>
                <w:szCs w:val="14"/>
              </w:rPr>
            </w:pPr>
            <w:r w:rsidRPr="0067514E">
              <w:rPr>
                <w:spacing w:val="-6"/>
                <w:sz w:val="14"/>
                <w:szCs w:val="14"/>
              </w:rPr>
              <w:t>Zdroj: MF ČR, MPSV</w:t>
            </w:r>
          </w:p>
        </w:tc>
      </w:tr>
      <w:tr w:rsidR="00F00535" w:rsidRPr="00343AC1" w14:paraId="54A87052" w14:textId="77777777" w:rsidTr="00B86EB1">
        <w:trPr>
          <w:trHeight w:val="170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5280C5BA" w14:textId="77777777" w:rsidR="00F00535" w:rsidRDefault="00F00535" w:rsidP="00B86EB1">
            <w:pPr>
              <w:pStyle w:val="Marginlie"/>
            </w:pPr>
            <w:r>
              <w:t>Dynamický růst státního dluhu pokračoval. V úhrnu za 1. až 3. čtvrtletí ale vzrostl méně než ve stejném období vloni.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312E5400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59595F43" w14:textId="554912F1" w:rsidR="00F00535" w:rsidRPr="0039757C" w:rsidRDefault="00F00535" w:rsidP="00FC1070">
            <w:pPr>
              <w:rPr>
                <w:spacing w:val="-4"/>
              </w:rPr>
            </w:pPr>
            <w:r w:rsidRPr="00794328">
              <w:rPr>
                <w:color w:val="0D0D0D" w:themeColor="text1" w:themeTint="F2"/>
                <w:spacing w:val="-4"/>
              </w:rPr>
              <w:t>Silně rostoucí</w:t>
            </w:r>
            <w:r>
              <w:rPr>
                <w:color w:val="0D0D0D" w:themeColor="text1" w:themeTint="F2"/>
                <w:spacing w:val="-4"/>
              </w:rPr>
              <w:t xml:space="preserve"> potřeba financování vázaná na </w:t>
            </w:r>
            <w:r w:rsidRPr="00794328">
              <w:rPr>
                <w:color w:val="0D0D0D" w:themeColor="text1" w:themeTint="F2"/>
                <w:spacing w:val="-4"/>
              </w:rPr>
              <w:t>nutnos</w:t>
            </w:r>
            <w:r>
              <w:rPr>
                <w:color w:val="0D0D0D" w:themeColor="text1" w:themeTint="F2"/>
                <w:spacing w:val="-4"/>
              </w:rPr>
              <w:t xml:space="preserve">t pokrytí krizového schodku SR vyústila během pandemického období v akceleraci </w:t>
            </w:r>
            <w:r w:rsidRPr="00794328">
              <w:rPr>
                <w:color w:val="0D0D0D" w:themeColor="text1" w:themeTint="F2"/>
                <w:spacing w:val="-4"/>
              </w:rPr>
              <w:t>státního dluhu</w:t>
            </w:r>
            <w:r>
              <w:rPr>
                <w:color w:val="0D0D0D" w:themeColor="text1" w:themeTint="F2"/>
                <w:spacing w:val="-4"/>
              </w:rPr>
              <w:t>. Ten činil letos na</w:t>
            </w:r>
            <w:r>
              <w:rPr>
                <w:spacing w:val="-4"/>
              </w:rPr>
              <w:t xml:space="preserve"> konci září 2 334 mld. korun a od počátku roku vystoupal o 284 mld., což ovšem bylo o třetinu méně než za shodné období vloni. Výpůjční operace oblasti státních dluhopisů</w:t>
            </w:r>
            <w:r>
              <w:rPr>
                <w:rStyle w:val="Znakapoznpodarou"/>
                <w:spacing w:val="-4"/>
              </w:rPr>
              <w:footnoteReference w:id="18"/>
            </w:r>
            <w:r>
              <w:rPr>
                <w:spacing w:val="-4"/>
              </w:rPr>
              <w:t xml:space="preserve"> byly tradičně soustředěny do prvních měsíců roku a umožnily tak plně pokrýt letos plánované splátky dluhu. Ve 2. i 3. čtvrtletí se stát orientoval již převážně na krátkodobé dluhové nástroje, jež pomohly předfinancovat významnou část očekávaného letošního schodku SR. Během 2. čtvrtletí celková výše dluhu stagnovala a za 3. kvartál se snížila o 82 mld. korun.. Korunová hodnota vnějšího dluhu se letos od ledna do září mírně snížila (o 2,5 %), takřka výhradně vlivem posílení české koruny k euru.</w:t>
            </w:r>
            <w:r w:rsidR="00FC1070">
              <w:rPr>
                <w:spacing w:val="-4"/>
              </w:rPr>
              <w:t xml:space="preserve"> Vnější dluh se na celkové zadluženosti podíl pouze 7 %.</w:t>
            </w:r>
          </w:p>
        </w:tc>
      </w:tr>
      <w:tr w:rsidR="00F00535" w:rsidRPr="00343AC1" w14:paraId="74BAB044" w14:textId="77777777" w:rsidTr="00B86EB1">
        <w:trPr>
          <w:trHeight w:val="170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5CE9D19B" w14:textId="77777777" w:rsidR="00F00535" w:rsidRDefault="00F00535" w:rsidP="00B86EB1">
            <w:pPr>
              <w:pStyle w:val="Marginlie"/>
            </w:pPr>
            <w:r>
              <w:t>Výdaje na obsluhu státního dluhu posílily.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111AFCA8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535B683C" w14:textId="77777777" w:rsidR="00F00535" w:rsidRPr="003B388E" w:rsidRDefault="00F00535" w:rsidP="00B86EB1">
            <w:pPr>
              <w:spacing w:after="0"/>
              <w:rPr>
                <w:spacing w:val="-4"/>
              </w:rPr>
            </w:pPr>
            <w:r>
              <w:rPr>
                <w:spacing w:val="-4"/>
              </w:rPr>
              <w:t>Čisté výdaje na obsluhu státního dluhu</w:t>
            </w:r>
            <w:r>
              <w:rPr>
                <w:rStyle w:val="Znakapoznpodarou"/>
                <w:spacing w:val="-4"/>
              </w:rPr>
              <w:footnoteReference w:id="19"/>
            </w:r>
            <w:r>
              <w:rPr>
                <w:spacing w:val="-4"/>
              </w:rPr>
              <w:t xml:space="preserve"> dosáhly v 1. až 3. čtvrtletí 34,6 mld. korun, meziročně skoro o 7,6 % více. To souviselo s nárůstem </w:t>
            </w:r>
            <w:r w:rsidRPr="00603665">
              <w:rPr>
                <w:spacing w:val="-5"/>
              </w:rPr>
              <w:t>celkové zadluženosti i</w:t>
            </w:r>
            <w:r>
              <w:rPr>
                <w:spacing w:val="-5"/>
              </w:rPr>
              <w:t> s trendem zvyšujících se</w:t>
            </w:r>
            <w:r w:rsidRPr="00603665">
              <w:rPr>
                <w:spacing w:val="-5"/>
              </w:rPr>
              <w:t xml:space="preserve"> výn</w:t>
            </w:r>
            <w:r>
              <w:rPr>
                <w:spacing w:val="-5"/>
              </w:rPr>
              <w:t>osů tuzemských státních dluhopisů patrným</w:t>
            </w:r>
            <w:r w:rsidRPr="00603665">
              <w:rPr>
                <w:spacing w:val="-5"/>
              </w:rPr>
              <w:t xml:space="preserve"> již na konci loňského roku.</w:t>
            </w:r>
          </w:p>
        </w:tc>
      </w:tr>
      <w:tr w:rsidR="00F00535" w:rsidRPr="00343AC1" w14:paraId="2EA14942" w14:textId="77777777" w:rsidTr="00B86EB1">
        <w:trPr>
          <w:trHeight w:val="170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3909252D" w14:textId="77777777" w:rsidR="00F00535" w:rsidRDefault="00F00535" w:rsidP="00B86EB1">
            <w:pPr>
              <w:pStyle w:val="Marginlie"/>
            </w:pPr>
            <w:r>
              <w:lastRenderedPageBreak/>
              <w:t>Schodek hospodaření sektoru vládních institucí (VI) v Česku se v 1. pololetí prohloubil na bezmála 200 mld. korun.</w:t>
            </w:r>
          </w:p>
          <w:p w14:paraId="2EE40E95" w14:textId="77777777" w:rsidR="00F00535" w:rsidRDefault="00F00535" w:rsidP="00B86EB1">
            <w:pPr>
              <w:pStyle w:val="Marginlie"/>
            </w:pPr>
          </w:p>
          <w:p w14:paraId="7E103ECB" w14:textId="77777777" w:rsidR="00F00535" w:rsidRDefault="00F00535" w:rsidP="00B86EB1">
            <w:pPr>
              <w:pStyle w:val="Marginlie"/>
            </w:pPr>
          </w:p>
          <w:p w14:paraId="5045FBB0" w14:textId="77777777" w:rsidR="00F00535" w:rsidRDefault="00F00535" w:rsidP="00B86EB1">
            <w:pPr>
              <w:pStyle w:val="Marginlie"/>
            </w:pPr>
          </w:p>
          <w:p w14:paraId="27D57837" w14:textId="77777777" w:rsidR="00F00535" w:rsidRDefault="00F00535" w:rsidP="00B86EB1">
            <w:pPr>
              <w:pStyle w:val="Marginlie"/>
            </w:pPr>
            <w:r>
              <w:t>Na vyšších příjmech VI se nejvíce podílely sociální příspěvky, na růstu výdajů pak sociální dávky včetně naturálních sociálních transferů.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43719153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76E0F198" w14:textId="77777777" w:rsidR="00F00535" w:rsidRDefault="00F00535" w:rsidP="00B86EB1">
            <w:pPr>
              <w:rPr>
                <w:spacing w:val="-4"/>
              </w:rPr>
            </w:pPr>
            <w:r w:rsidRPr="009D20C8">
              <w:rPr>
                <w:spacing w:val="-4"/>
              </w:rPr>
              <w:t>Sektor vládních institucí (VI) v ČR hospodařil v 1.</w:t>
            </w:r>
            <w:r>
              <w:rPr>
                <w:spacing w:val="-4"/>
              </w:rPr>
              <w:t> pololetí</w:t>
            </w:r>
            <w:r w:rsidRPr="009D20C8">
              <w:rPr>
                <w:spacing w:val="-4"/>
              </w:rPr>
              <w:t xml:space="preserve"> 2021</w:t>
            </w:r>
            <w:r w:rsidRPr="009D20C8">
              <w:rPr>
                <w:rStyle w:val="Znakapoznpodarou"/>
                <w:spacing w:val="-4"/>
              </w:rPr>
              <w:footnoteReference w:id="20"/>
            </w:r>
            <w:r>
              <w:rPr>
                <w:spacing w:val="-4"/>
              </w:rPr>
              <w:t xml:space="preserve"> se schodkem 199,7</w:t>
            </w:r>
            <w:r w:rsidRPr="009D20C8">
              <w:rPr>
                <w:spacing w:val="-4"/>
              </w:rPr>
              <w:t> mld. korun</w:t>
            </w:r>
            <w:r>
              <w:rPr>
                <w:spacing w:val="-4"/>
              </w:rPr>
              <w:t>, meziročně o 56,1 mld. hlubším. Růst celkových příjmů VI (6,0</w:t>
            </w:r>
            <w:r w:rsidRPr="009D20C8">
              <w:rPr>
                <w:spacing w:val="-4"/>
              </w:rPr>
              <w:t xml:space="preserve"> %) byl </w:t>
            </w:r>
            <w:r>
              <w:rPr>
                <w:spacing w:val="-4"/>
              </w:rPr>
              <w:t>zásadně ovlivněn p</w:t>
            </w:r>
            <w:r>
              <w:t xml:space="preserve">řijatými čistými sociálními příspěvky (+56,0 mld. korun), </w:t>
            </w:r>
            <w:r>
              <w:rPr>
                <w:spacing w:val="-4"/>
              </w:rPr>
              <w:t xml:space="preserve">neboť díky vládní stabilizační podpoře ekonomiky během pandemie nedošlo k významnějšímu poklesu zaměstnanosti. Meziročně mírně vzrostl příjem z daní z výroby a z dovozu, za úrovní z první půle roku 2019 ovšem stále lehce zaostával. Příjem z běžných daní z důchodů a jmění </w:t>
            </w:r>
            <w:r>
              <w:t xml:space="preserve">vlivem zrušení superhrubé mzdy meziročně klesl a zároveň dosáhl pětiletého minima. Meziroční </w:t>
            </w:r>
            <w:r>
              <w:rPr>
                <w:spacing w:val="-4"/>
              </w:rPr>
              <w:t>růst celkových výdajů VI byl letos za 1. pololetí navzdory svižnému tempu (9,7 %) mírnější než o rok dříve. Vlivem vysoké loňské základny zmírnil růst u sociálních dávek a</w:t>
            </w:r>
            <w:r w:rsidRPr="009D20C8">
              <w:rPr>
                <w:spacing w:val="-4"/>
              </w:rPr>
              <w:t> </w:t>
            </w:r>
            <w:r>
              <w:rPr>
                <w:spacing w:val="-4"/>
              </w:rPr>
              <w:t xml:space="preserve">naturálních sociálních transferů, přesto ale zůstal vysoký (9,0 %) a k posílení celkových výdajů přispěl nejvíce (+44,1 mld. korun). Významný byl i příspěvek vyplacených dotací (+36,9 mld., šlo hlavně o pomoc zasaženým podnikům během pandemie) a náhrad zaměstnancům (+33,9 mld., v nich se významně projevilo </w:t>
            </w:r>
            <w:r>
              <w:t>vyplacení odměn zdravotníkům a dalším složkám podílejícím se na řešení pandemie).</w:t>
            </w:r>
          </w:p>
        </w:tc>
      </w:tr>
      <w:tr w:rsidR="00F00535" w:rsidRPr="00343AC1" w14:paraId="2982B51D" w14:textId="77777777" w:rsidTr="00B86EB1">
        <w:trPr>
          <w:trHeight w:val="170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7C843852" w14:textId="77777777" w:rsidR="00F00535" w:rsidRDefault="00F00535" w:rsidP="00B86EB1">
            <w:pPr>
              <w:pStyle w:val="Marginlie"/>
            </w:pPr>
            <w:r>
              <w:t>Schodek hospodaření VI se ve 2. čtvrtletí mezikvartálně snížil na 5,8 % HDP.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7771AFB3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5F6E676D" w14:textId="77777777" w:rsidR="00F00535" w:rsidRDefault="00F00535" w:rsidP="00B86EB1">
            <w:pPr>
              <w:spacing w:after="200"/>
              <w:rPr>
                <w:spacing w:val="-4"/>
              </w:rPr>
            </w:pPr>
            <w:r w:rsidRPr="009D20C8">
              <w:rPr>
                <w:spacing w:val="-4"/>
              </w:rPr>
              <w:t>Sezónně očištěné saldo hospodaření</w:t>
            </w:r>
            <w:r>
              <w:rPr>
                <w:spacing w:val="-4"/>
              </w:rPr>
              <w:t> </w:t>
            </w:r>
            <w:r w:rsidRPr="009D20C8">
              <w:rPr>
                <w:spacing w:val="-4"/>
              </w:rPr>
              <w:t>VI činilo</w:t>
            </w:r>
            <w:r>
              <w:rPr>
                <w:spacing w:val="-4"/>
              </w:rPr>
              <w:t xml:space="preserve"> letos</w:t>
            </w:r>
            <w:r w:rsidRPr="009D20C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ve 2. čtvrtletí </w:t>
            </w:r>
            <w:r w:rsidRPr="00E65CA0">
              <w:rPr>
                <w:spacing w:val="-4"/>
              </w:rPr>
              <w:t>–</w:t>
            </w:r>
            <w:r>
              <w:rPr>
                <w:spacing w:val="-4"/>
              </w:rPr>
              <w:t>5,8 % HDP. To sice znamenalo oproti předchozímu kvartálu dílčí zlepšení (o 2,4 p. b.), ale ve srovnání s hlubokým schodkem z 2. loňského čtvrtletí (7,8 % HDP) nešlo zatím o zásadnější posun.</w:t>
            </w:r>
            <w:r w:rsidRPr="00E65CA0">
              <w:rPr>
                <w:spacing w:val="-4"/>
              </w:rPr>
              <w:t xml:space="preserve"> Nominální dluh</w:t>
            </w:r>
            <w:r>
              <w:rPr>
                <w:spacing w:val="-4"/>
              </w:rPr>
              <w:t> </w:t>
            </w:r>
            <w:r w:rsidRPr="00E65CA0">
              <w:rPr>
                <w:spacing w:val="-4"/>
              </w:rPr>
              <w:t xml:space="preserve">VI dosáhl letos na </w:t>
            </w:r>
            <w:r>
              <w:rPr>
                <w:spacing w:val="-4"/>
              </w:rPr>
              <w:t>konci 2. čtvrtletí</w:t>
            </w:r>
            <w:r w:rsidRPr="00E65CA0">
              <w:rPr>
                <w:spacing w:val="-4"/>
              </w:rPr>
              <w:t xml:space="preserve"> 2</w:t>
            </w:r>
            <w:r w:rsidRPr="009D20C8">
              <w:rPr>
                <w:spacing w:val="-4"/>
              </w:rPr>
              <w:t> </w:t>
            </w:r>
            <w:r>
              <w:rPr>
                <w:spacing w:val="-4"/>
              </w:rPr>
              <w:t>517,0 mld. korun,</w:t>
            </w:r>
            <w:r>
              <w:t xml:space="preserve"> meziročně o 252,2 mld. více. Jde sice o nejmírnější přírůstek za posledních pět kvartálů, ale stále mimořádně vysoký nárůst ve srovnání s předkrizovým obdobím. </w:t>
            </w:r>
            <w:r w:rsidRPr="00E65CA0">
              <w:rPr>
                <w:spacing w:val="-4"/>
              </w:rPr>
              <w:t>Míra zadlužení</w:t>
            </w:r>
            <w:r>
              <w:rPr>
                <w:spacing w:val="-4"/>
              </w:rPr>
              <w:t xml:space="preserve"> dosáhla 42,7 % HDP, o rok dříve činila 39,6 % HDP. Růst zadluženosti byl zčásti tlumen nominálním zvýšením HDP (příspěvek </w:t>
            </w:r>
            <w:r w:rsidRPr="00E65CA0">
              <w:rPr>
                <w:spacing w:val="-4"/>
              </w:rPr>
              <w:t>–</w:t>
            </w:r>
            <w:r>
              <w:rPr>
                <w:spacing w:val="-4"/>
              </w:rPr>
              <w:t>1,1 p. b.).</w:t>
            </w:r>
          </w:p>
        </w:tc>
      </w:tr>
      <w:tr w:rsidR="00F00535" w:rsidRPr="00E65CA0" w14:paraId="4DC2F37F" w14:textId="77777777" w:rsidTr="00B86EB1">
        <w:trPr>
          <w:trHeight w:val="170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166ADE52" w14:textId="77777777" w:rsidR="00F00535" w:rsidRDefault="00F00535" w:rsidP="00B86EB1">
            <w:pPr>
              <w:pStyle w:val="Marginlie"/>
            </w:pPr>
            <w:r>
              <w:t>Schodek hospodaření VI v Unii se během 1. pololetí 2021 mírně snižoval.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1CDFBFE4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4ED147F9" w14:textId="77777777" w:rsidR="00F00535" w:rsidRPr="00E65CA0" w:rsidRDefault="00F00535" w:rsidP="00B86EB1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>Schodek hospodaření sektoru vládních institucí v zemích EU (po sezónním očištění) se během první poloviny letošního roku mírně snižoval. Ve 2. čtvrtletí čítal 6,3 % HDP, na podobné úrovni se pohyboval i v letech 2009 a 2010. Oproti rekordnímu deficitu z 2. čtvrtletí loňského roku (12,0 % HDP) šlo o znatelný posun, související s postupným oživováním ekonomické aktivity. Podle dostupných údajů</w:t>
            </w:r>
            <w:r>
              <w:rPr>
                <w:rStyle w:val="Znakapoznpodarou"/>
                <w:spacing w:val="-4"/>
              </w:rPr>
              <w:footnoteReference w:id="21"/>
            </w:r>
            <w:r>
              <w:rPr>
                <w:spacing w:val="-4"/>
              </w:rPr>
              <w:t xml:space="preserve"> vykázaly letos ve 2. čtvrtletí nejvyšší deficit Francie (9,6 %), Španělsko (7,3 %) a také Lotyšsko (7,0 %), které jako jediný stát Unie zaznamenalo prohloubení schodku v meziročním pohledu. Naopak s mírným přebytkem hospodařil vládní sektor jen v Dánsku (0,4 % HDP), kde však v předkrizových letech 2017 až 2019 vykazoval významné přebytky. Z větších ekonomik EU citelněji utlumily proti loňsku své deficity Polsko (na 1,3 % HDP) či Nizozemsko (2,7 %). Relativně malého posunu však docílilo Německo, jehož schodek hospodaření se navíc během první části letošního roku prohluboval (4. čtvrtletí 2020: 4,5 % HDP, 2. čtvrtletí 2021: 6,0 % HDP).</w:t>
            </w:r>
          </w:p>
        </w:tc>
      </w:tr>
      <w:tr w:rsidR="00F00535" w:rsidRPr="000D151F" w14:paraId="7A9E0F5F" w14:textId="77777777" w:rsidTr="00B86EB1">
        <w:trPr>
          <w:trHeight w:val="170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4B043962" w14:textId="77777777" w:rsidR="00F00535" w:rsidRDefault="00F00535" w:rsidP="00B86EB1">
            <w:pPr>
              <w:pStyle w:val="Marginlie"/>
            </w:pPr>
            <w:r>
              <w:t>Mezikvartální růst míry zadlužení VI v Unii se ve 2. čtvrtletí zastavil.</w:t>
            </w:r>
          </w:p>
          <w:p w14:paraId="7C1A542B" w14:textId="77777777" w:rsidR="00F00535" w:rsidRDefault="00F00535" w:rsidP="00B86EB1">
            <w:pPr>
              <w:pStyle w:val="Marginlie"/>
            </w:pPr>
          </w:p>
          <w:p w14:paraId="191BE139" w14:textId="77777777" w:rsidR="00F00535" w:rsidRDefault="00F00535" w:rsidP="00B86EB1">
            <w:pPr>
              <w:pStyle w:val="Marginlie"/>
            </w:pPr>
          </w:p>
          <w:p w14:paraId="5D9BF4E3" w14:textId="77777777" w:rsidR="00F00535" w:rsidRDefault="00F00535" w:rsidP="00B86EB1">
            <w:pPr>
              <w:pStyle w:val="Marginlie"/>
            </w:pPr>
          </w:p>
          <w:p w14:paraId="430E969C" w14:textId="77777777" w:rsidR="00F00535" w:rsidRDefault="00F00535" w:rsidP="00B86EB1">
            <w:pPr>
              <w:pStyle w:val="Marginlie"/>
            </w:pPr>
          </w:p>
          <w:p w14:paraId="21B4B8F6" w14:textId="77777777" w:rsidR="00F00535" w:rsidRDefault="00F00535" w:rsidP="00B86EB1">
            <w:pPr>
              <w:pStyle w:val="Marginlie"/>
            </w:pPr>
            <w:r>
              <w:t>Nejvýraznější nárůst zadlužení během pandemického období vykázaly státy s větší rolí cestovního ruchu.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2D288A7D" w14:textId="77777777" w:rsidR="00F00535" w:rsidRDefault="00F00535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07559E14" w14:textId="77777777" w:rsidR="00F00535" w:rsidRDefault="00F00535" w:rsidP="00B86EB1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>Míra zadlužení VI v EU dosáhla letos na konci 2. čtvrtletí 90,9 % HDP a poprvé od sklonku roku 2019 se v mezikvartálním pohledu snížila (o 1,5 p. b.). Oproti konci roku 2019 se zadlužení zvýšilo ve všech státech Unie, nejvíce v zemích jižního křídla eurozóny, které s výjimkou Malty patřily v tomto ohledu k nejpostiženějším ještě před vzplanutím pandemie. Nejvyšší zadluženost v EU si stále drželo Řecko, kde došlo v tomto období k prohloubení dluhu ze 181 % na 207 % HDP. Ze středně zadlužených ekonomik zaznamenaly analogicky nejméně příznivý vývoj státy s významnou rolí cestovního ruchu v ekonomice (Rakousko, Slovinsko a Chorvatsko). V Česku se za poslední rok a půl míra zadlužení navýšila o 12,7 p. b., tedy srovnatelně jako na Slovensku, v Maďarsku či Polsku, ale o něco méně než v EU (13,7 p. b.). Jen minimální zhoršení naopak vykázalo Irsko (o 1,9 p. b.) a společně s dalšími dvanácti státy Unie drželo míru zadlužení pod 60 % HDP.</w:t>
            </w:r>
          </w:p>
        </w:tc>
      </w:tr>
    </w:tbl>
    <w:p w14:paraId="1CC0B2DD" w14:textId="77777777" w:rsidR="00F00535" w:rsidRPr="00E42054" w:rsidRDefault="00F00535" w:rsidP="00F00535">
      <w:pPr>
        <w:pStyle w:val="Nadpis11"/>
        <w:rPr>
          <w:b w:val="0"/>
          <w:sz w:val="2"/>
          <w:szCs w:val="2"/>
        </w:rPr>
      </w:pPr>
    </w:p>
    <w:p w14:paraId="39E9959F" w14:textId="7916E8DF" w:rsidR="000663F0" w:rsidRPr="00E42054" w:rsidRDefault="000663F0" w:rsidP="00AB3BA7">
      <w:pPr>
        <w:pStyle w:val="Nadpis11"/>
        <w:rPr>
          <w:b w:val="0"/>
          <w:sz w:val="2"/>
          <w:szCs w:val="2"/>
        </w:rPr>
      </w:pPr>
    </w:p>
    <w:sectPr w:rsidR="000663F0" w:rsidRPr="00E42054" w:rsidSect="000C6B9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737" w:gutter="0"/>
      <w:pgNumType w:start="3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5233" w16cex:dateUtc="2021-12-12T09:49:00Z"/>
  <w16cex:commentExtensible w16cex:durableId="25605965" w16cex:dateUtc="2021-12-12T10:20:00Z"/>
  <w16cex:commentExtensible w16cex:durableId="256059E5" w16cex:dateUtc="2021-12-12T10:22:00Z"/>
  <w16cex:commentExtensible w16cex:durableId="255E05D5" w16cex:dateUtc="2021-12-10T15:59:00Z"/>
  <w16cex:commentExtensible w16cex:durableId="2560964B" w16cex:dateUtc="2021-12-12T14:39:00Z"/>
  <w16cex:commentExtensible w16cex:durableId="255E068F" w16cex:dateUtc="2021-12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02D9A" w16cid:durableId="25605233"/>
  <w16cid:commentId w16cid:paraId="47A2534C" w16cid:durableId="25605965"/>
  <w16cid:commentId w16cid:paraId="39626918" w16cid:durableId="256059E5"/>
  <w16cid:commentId w16cid:paraId="0F66996F" w16cid:durableId="255E05D5"/>
  <w16cid:commentId w16cid:paraId="6E18F763" w16cid:durableId="2560964B"/>
  <w16cid:commentId w16cid:paraId="3AE6BE9D" w16cid:durableId="255E0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A9BC" w14:textId="77777777" w:rsidR="009112E3" w:rsidRDefault="009112E3" w:rsidP="00E71A58">
      <w:r>
        <w:separator/>
      </w:r>
    </w:p>
  </w:endnote>
  <w:endnote w:type="continuationSeparator" w:id="0">
    <w:p w14:paraId="6D76B327" w14:textId="77777777" w:rsidR="009112E3" w:rsidRDefault="009112E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7E46AE8C" w:rsidR="009112E3" w:rsidRPr="00932443" w:rsidRDefault="009112E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0C6B97">
      <w:rPr>
        <w:szCs w:val="16"/>
      </w:rPr>
      <w:t>32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2955D0B3" w:rsidR="009112E3" w:rsidRPr="00932443" w:rsidRDefault="009112E3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0C6B97">
      <w:rPr>
        <w:rStyle w:val="ZpatChar"/>
        <w:szCs w:val="16"/>
      </w:rPr>
      <w:t>33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0601" w14:textId="77777777" w:rsidR="009112E3" w:rsidRDefault="009112E3" w:rsidP="00A21B4D">
      <w:pPr>
        <w:spacing w:after="0"/>
      </w:pPr>
      <w:r>
        <w:separator/>
      </w:r>
    </w:p>
  </w:footnote>
  <w:footnote w:type="continuationSeparator" w:id="0">
    <w:p w14:paraId="5EDF8C8E" w14:textId="77777777" w:rsidR="009112E3" w:rsidRDefault="009112E3" w:rsidP="00E71A58">
      <w:r>
        <w:continuationSeparator/>
      </w:r>
    </w:p>
  </w:footnote>
  <w:footnote w:id="1">
    <w:p w14:paraId="4995B6BC" w14:textId="77777777" w:rsidR="009112E3" w:rsidRPr="004A27B5" w:rsidRDefault="009112E3" w:rsidP="00F00535">
      <w:pPr>
        <w:pStyle w:val="Textpoznpodarou"/>
        <w:jc w:val="both"/>
        <w:rPr>
          <w:spacing w:val="-3"/>
          <w:sz w:val="16"/>
          <w:szCs w:val="16"/>
        </w:rPr>
      </w:pPr>
      <w:r w:rsidRPr="004A27B5">
        <w:rPr>
          <w:rStyle w:val="Znakapoznpodarou"/>
          <w:spacing w:val="-3"/>
          <w:sz w:val="16"/>
          <w:szCs w:val="16"/>
        </w:rPr>
        <w:footnoteRef/>
      </w:r>
      <w:r w:rsidRPr="004A27B5">
        <w:rPr>
          <w:spacing w:val="-3"/>
          <w:sz w:val="16"/>
          <w:szCs w:val="16"/>
        </w:rPr>
        <w:t xml:space="preserve"> </w:t>
      </w:r>
      <w:r w:rsidRPr="004A27B5">
        <w:rPr>
          <w:color w:val="0D0D0D" w:themeColor="text1" w:themeTint="F2"/>
          <w:spacing w:val="-3"/>
          <w:sz w:val="16"/>
          <w:szCs w:val="16"/>
        </w:rPr>
        <w:t xml:space="preserve">Pokud není uvedeno jinak, vycházejí všechny údaje týkající se státního rozpočtu </w:t>
      </w:r>
      <w:r w:rsidRPr="004A27B5">
        <w:rPr>
          <w:rFonts w:cs="Arial"/>
          <w:color w:val="0D0D0D" w:themeColor="text1" w:themeTint="F2"/>
          <w:spacing w:val="-3"/>
          <w:sz w:val="16"/>
          <w:szCs w:val="16"/>
        </w:rPr>
        <w:t>z dat Ministerstva financí o pokladním plnění.</w:t>
      </w:r>
    </w:p>
  </w:footnote>
  <w:footnote w:id="2">
    <w:p w14:paraId="0F901467" w14:textId="77777777" w:rsidR="009112E3" w:rsidRPr="004A27B5" w:rsidRDefault="009112E3" w:rsidP="00F00535">
      <w:pPr>
        <w:pStyle w:val="Textpoznpodarou"/>
        <w:rPr>
          <w:spacing w:val="-2"/>
          <w:sz w:val="16"/>
          <w:szCs w:val="16"/>
        </w:rPr>
      </w:pPr>
      <w:r w:rsidRPr="004A27B5">
        <w:rPr>
          <w:rStyle w:val="Znakapoznpodarou"/>
          <w:spacing w:val="-2"/>
          <w:sz w:val="16"/>
          <w:szCs w:val="16"/>
        </w:rPr>
        <w:footnoteRef/>
      </w:r>
      <w:r w:rsidRPr="004A27B5">
        <w:rPr>
          <w:spacing w:val="-2"/>
          <w:sz w:val="16"/>
          <w:szCs w:val="16"/>
        </w:rPr>
        <w:t xml:space="preserve"> Na sdílených daní</w:t>
      </w:r>
      <w:r>
        <w:rPr>
          <w:spacing w:val="-2"/>
          <w:sz w:val="16"/>
          <w:szCs w:val="16"/>
        </w:rPr>
        <w:t>ch</w:t>
      </w:r>
      <w:r w:rsidRPr="004A27B5">
        <w:rPr>
          <w:spacing w:val="-2"/>
          <w:sz w:val="16"/>
          <w:szCs w:val="16"/>
        </w:rPr>
        <w:t xml:space="preserve"> (DPH, da</w:t>
      </w:r>
      <w:r>
        <w:rPr>
          <w:spacing w:val="-2"/>
          <w:sz w:val="16"/>
          <w:szCs w:val="16"/>
        </w:rPr>
        <w:t>ň</w:t>
      </w:r>
      <w:r w:rsidRPr="004A27B5">
        <w:rPr>
          <w:spacing w:val="-2"/>
          <w:sz w:val="16"/>
          <w:szCs w:val="16"/>
        </w:rPr>
        <w:t xml:space="preserve"> z</w:t>
      </w:r>
      <w:r>
        <w:rPr>
          <w:spacing w:val="-2"/>
          <w:sz w:val="16"/>
          <w:szCs w:val="16"/>
        </w:rPr>
        <w:t> </w:t>
      </w:r>
      <w:r w:rsidRPr="004A27B5">
        <w:rPr>
          <w:spacing w:val="-2"/>
          <w:sz w:val="16"/>
          <w:szCs w:val="16"/>
        </w:rPr>
        <w:t>příjm</w:t>
      </w:r>
      <w:r>
        <w:rPr>
          <w:spacing w:val="-2"/>
          <w:sz w:val="16"/>
          <w:szCs w:val="16"/>
        </w:rPr>
        <w:t>ů fyzických i právnických osob</w:t>
      </w:r>
      <w:r w:rsidRPr="004A27B5">
        <w:rPr>
          <w:spacing w:val="-2"/>
          <w:sz w:val="16"/>
          <w:szCs w:val="16"/>
        </w:rPr>
        <w:t xml:space="preserve">) tak </w:t>
      </w:r>
      <w:r>
        <w:rPr>
          <w:spacing w:val="-2"/>
          <w:sz w:val="16"/>
          <w:szCs w:val="16"/>
        </w:rPr>
        <w:t>letos v 1. až 3. čtvrtletí inkasoval SR</w:t>
      </w:r>
      <w:r w:rsidRPr="004A27B5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 xml:space="preserve">meziročně </w:t>
      </w:r>
      <w:r w:rsidRPr="004A27B5">
        <w:rPr>
          <w:spacing w:val="-2"/>
          <w:sz w:val="16"/>
          <w:szCs w:val="16"/>
        </w:rPr>
        <w:t>o</w:t>
      </w:r>
      <w:r>
        <w:rPr>
          <w:spacing w:val="-2"/>
          <w:sz w:val="16"/>
          <w:szCs w:val="16"/>
        </w:rPr>
        <w:t> 19,5 mld.</w:t>
      </w:r>
      <w:r w:rsidRPr="004A27B5">
        <w:rPr>
          <w:spacing w:val="-2"/>
          <w:sz w:val="16"/>
          <w:szCs w:val="16"/>
        </w:rPr>
        <w:t xml:space="preserve"> korun méně.</w:t>
      </w:r>
      <w:r>
        <w:rPr>
          <w:spacing w:val="-2"/>
          <w:sz w:val="16"/>
          <w:szCs w:val="16"/>
        </w:rPr>
        <w:t xml:space="preserve"> Zhruba polovina z této částky připadala na nižší příjmy z DPH.</w:t>
      </w:r>
    </w:p>
  </w:footnote>
  <w:footnote w:id="3">
    <w:p w14:paraId="256B7F8C" w14:textId="77777777" w:rsidR="009112E3" w:rsidRPr="00277984" w:rsidRDefault="009112E3" w:rsidP="00F00535">
      <w:pPr>
        <w:pStyle w:val="Textpoznpodarou"/>
        <w:rPr>
          <w:sz w:val="16"/>
          <w:szCs w:val="16"/>
        </w:rPr>
      </w:pPr>
      <w:r w:rsidRPr="00277984">
        <w:rPr>
          <w:rStyle w:val="Znakapoznpodarou"/>
          <w:sz w:val="16"/>
          <w:szCs w:val="16"/>
        </w:rPr>
        <w:footnoteRef/>
      </w:r>
      <w:r w:rsidRPr="00277984">
        <w:rPr>
          <w:sz w:val="16"/>
          <w:szCs w:val="16"/>
        </w:rPr>
        <w:t xml:space="preserve"> Nižší sazba </w:t>
      </w:r>
      <w:r>
        <w:rPr>
          <w:sz w:val="16"/>
          <w:szCs w:val="16"/>
        </w:rPr>
        <w:t xml:space="preserve">(z 15 % na 10 %) </w:t>
      </w:r>
      <w:r w:rsidRPr="00277984">
        <w:rPr>
          <w:sz w:val="16"/>
          <w:szCs w:val="16"/>
        </w:rPr>
        <w:t>na stravovací a</w:t>
      </w:r>
      <w:r>
        <w:rPr>
          <w:sz w:val="16"/>
          <w:szCs w:val="16"/>
        </w:rPr>
        <w:t> ubytovací</w:t>
      </w:r>
      <w:r w:rsidRPr="00277984">
        <w:rPr>
          <w:sz w:val="16"/>
          <w:szCs w:val="16"/>
        </w:rPr>
        <w:t xml:space="preserve"> služby</w:t>
      </w:r>
      <w:r>
        <w:rPr>
          <w:sz w:val="16"/>
          <w:szCs w:val="16"/>
        </w:rPr>
        <w:t xml:space="preserve">, kulturní a sportovní akce, dále také např. na vodné, stočné, pitnou vodu či točené pivo </w:t>
      </w:r>
      <w:r w:rsidRPr="00277984">
        <w:rPr>
          <w:sz w:val="16"/>
          <w:szCs w:val="16"/>
        </w:rPr>
        <w:t>byla zavedena loni od května a</w:t>
      </w:r>
      <w:r>
        <w:rPr>
          <w:sz w:val="16"/>
          <w:szCs w:val="16"/>
        </w:rPr>
        <w:t> </w:t>
      </w:r>
      <w:r w:rsidRPr="00277984">
        <w:rPr>
          <w:sz w:val="16"/>
          <w:szCs w:val="16"/>
        </w:rPr>
        <w:t xml:space="preserve">července. Letošní inkaso DPH </w:t>
      </w:r>
      <w:r>
        <w:rPr>
          <w:sz w:val="16"/>
          <w:szCs w:val="16"/>
        </w:rPr>
        <w:t>bylo mírně tlumeno i dočasným</w:t>
      </w:r>
      <w:r w:rsidRPr="00277984">
        <w:rPr>
          <w:sz w:val="16"/>
          <w:szCs w:val="16"/>
        </w:rPr>
        <w:t xml:space="preserve"> prominutí</w:t>
      </w:r>
      <w:r>
        <w:rPr>
          <w:sz w:val="16"/>
          <w:szCs w:val="16"/>
        </w:rPr>
        <w:t>m</w:t>
      </w:r>
      <w:r w:rsidRPr="00277984">
        <w:rPr>
          <w:sz w:val="16"/>
          <w:szCs w:val="16"/>
        </w:rPr>
        <w:t xml:space="preserve"> daně u</w:t>
      </w:r>
      <w:r>
        <w:rPr>
          <w:sz w:val="16"/>
          <w:szCs w:val="16"/>
        </w:rPr>
        <w:t> </w:t>
      </w:r>
      <w:r w:rsidRPr="00277984">
        <w:rPr>
          <w:sz w:val="16"/>
          <w:szCs w:val="16"/>
        </w:rPr>
        <w:t>ochranných pomůcek (</w:t>
      </w:r>
      <w:r>
        <w:rPr>
          <w:sz w:val="16"/>
          <w:szCs w:val="16"/>
        </w:rPr>
        <w:t>např. respirátorů) a u testů i </w:t>
      </w:r>
      <w:r w:rsidRPr="00277984">
        <w:rPr>
          <w:sz w:val="16"/>
          <w:szCs w:val="16"/>
        </w:rPr>
        <w:t xml:space="preserve">vakcín souvisejících s epidemií </w:t>
      </w:r>
      <w:r>
        <w:rPr>
          <w:sz w:val="16"/>
          <w:szCs w:val="16"/>
        </w:rPr>
        <w:t>c</w:t>
      </w:r>
      <w:r w:rsidRPr="00277984">
        <w:rPr>
          <w:sz w:val="16"/>
          <w:szCs w:val="16"/>
        </w:rPr>
        <w:t>ovid</w:t>
      </w:r>
      <w:r>
        <w:rPr>
          <w:sz w:val="16"/>
          <w:szCs w:val="16"/>
        </w:rPr>
        <w:t>u</w:t>
      </w:r>
      <w:r w:rsidRPr="00277984">
        <w:rPr>
          <w:sz w:val="16"/>
          <w:szCs w:val="16"/>
        </w:rPr>
        <w:t>-19.</w:t>
      </w:r>
    </w:p>
  </w:footnote>
  <w:footnote w:id="4">
    <w:p w14:paraId="2808E651" w14:textId="77777777" w:rsidR="009112E3" w:rsidRPr="00C108C4" w:rsidRDefault="009112E3" w:rsidP="00F00535">
      <w:pPr>
        <w:pStyle w:val="Textpoznpodarou"/>
        <w:rPr>
          <w:sz w:val="16"/>
          <w:szCs w:val="16"/>
        </w:rPr>
      </w:pPr>
      <w:r w:rsidRPr="00C108C4">
        <w:rPr>
          <w:rStyle w:val="Znakapoznpodarou"/>
          <w:sz w:val="16"/>
          <w:szCs w:val="16"/>
        </w:rPr>
        <w:footnoteRef/>
      </w:r>
      <w:r w:rsidRPr="00C108C4">
        <w:rPr>
          <w:sz w:val="16"/>
          <w:szCs w:val="16"/>
        </w:rPr>
        <w:t xml:space="preserve"> Dle údajů ČSÚ klesla letos od ledna do srpna meziročně spotřeba motorového benz</w:t>
      </w:r>
      <w:r>
        <w:rPr>
          <w:sz w:val="16"/>
          <w:szCs w:val="16"/>
        </w:rPr>
        <w:t>i</w:t>
      </w:r>
      <w:r w:rsidRPr="00C108C4">
        <w:rPr>
          <w:sz w:val="16"/>
          <w:szCs w:val="16"/>
        </w:rPr>
        <w:t>nu o</w:t>
      </w:r>
      <w:r>
        <w:rPr>
          <w:sz w:val="16"/>
          <w:szCs w:val="16"/>
        </w:rPr>
        <w:t> </w:t>
      </w:r>
      <w:r w:rsidRPr="00C108C4">
        <w:rPr>
          <w:sz w:val="16"/>
          <w:szCs w:val="16"/>
        </w:rPr>
        <w:t>2</w:t>
      </w:r>
      <w:r>
        <w:rPr>
          <w:sz w:val="16"/>
          <w:szCs w:val="16"/>
        </w:rPr>
        <w:t> %</w:t>
      </w:r>
      <w:r w:rsidRPr="00C108C4">
        <w:rPr>
          <w:sz w:val="16"/>
          <w:szCs w:val="16"/>
        </w:rPr>
        <w:t>, leteckého petroleje o</w:t>
      </w:r>
      <w:r>
        <w:rPr>
          <w:sz w:val="16"/>
          <w:szCs w:val="16"/>
        </w:rPr>
        <w:t> </w:t>
      </w:r>
      <w:r w:rsidRPr="00C108C4">
        <w:rPr>
          <w:sz w:val="16"/>
          <w:szCs w:val="16"/>
        </w:rPr>
        <w:t>17</w:t>
      </w:r>
      <w:r>
        <w:rPr>
          <w:sz w:val="16"/>
          <w:szCs w:val="16"/>
        </w:rPr>
        <w:t> %</w:t>
      </w:r>
      <w:r w:rsidRPr="00C108C4">
        <w:rPr>
          <w:sz w:val="16"/>
          <w:szCs w:val="16"/>
        </w:rPr>
        <w:t>. Naopak spotřeba motorové nafty vzrostla o</w:t>
      </w:r>
      <w:r>
        <w:rPr>
          <w:sz w:val="16"/>
          <w:szCs w:val="16"/>
        </w:rPr>
        <w:t> </w:t>
      </w:r>
      <w:r w:rsidRPr="00C108C4">
        <w:rPr>
          <w:sz w:val="16"/>
          <w:szCs w:val="16"/>
        </w:rPr>
        <w:t>6</w:t>
      </w:r>
      <w:r>
        <w:rPr>
          <w:sz w:val="16"/>
          <w:szCs w:val="16"/>
        </w:rPr>
        <w:t> %</w:t>
      </w:r>
      <w:r w:rsidRPr="00C108C4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C108C4">
        <w:rPr>
          <w:sz w:val="16"/>
          <w:szCs w:val="16"/>
        </w:rPr>
        <w:t xml:space="preserve">téměř se navrátila na úroveň </w:t>
      </w:r>
      <w:r>
        <w:rPr>
          <w:sz w:val="16"/>
          <w:szCs w:val="16"/>
        </w:rPr>
        <w:t>z </w:t>
      </w:r>
      <w:r w:rsidRPr="00C108C4">
        <w:rPr>
          <w:sz w:val="16"/>
          <w:szCs w:val="16"/>
        </w:rPr>
        <w:t>roku 2019.</w:t>
      </w:r>
    </w:p>
  </w:footnote>
  <w:footnote w:id="5">
    <w:p w14:paraId="78787DB3" w14:textId="77777777" w:rsidR="009112E3" w:rsidRPr="004A27B5" w:rsidRDefault="009112E3" w:rsidP="00F00535">
      <w:pPr>
        <w:pStyle w:val="Textpoznpodarou"/>
        <w:rPr>
          <w:spacing w:val="-2"/>
          <w:sz w:val="16"/>
          <w:szCs w:val="16"/>
        </w:rPr>
      </w:pPr>
      <w:r w:rsidRPr="004A27B5">
        <w:rPr>
          <w:rStyle w:val="Znakapoznpodarou"/>
          <w:spacing w:val="-2"/>
          <w:sz w:val="16"/>
          <w:szCs w:val="16"/>
        </w:rPr>
        <w:footnoteRef/>
      </w:r>
      <w:r w:rsidRPr="004A27B5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Individuální žádosti o snížení záloh daně měly ale významný dopad i v letošním roce. Podle odhadů MF</w:t>
      </w:r>
      <w:r w:rsidRPr="004A27B5">
        <w:rPr>
          <w:spacing w:val="-2"/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>edly v</w:t>
      </w:r>
      <w:r w:rsidRPr="004A27B5">
        <w:rPr>
          <w:spacing w:val="-2"/>
          <w:sz w:val="16"/>
          <w:szCs w:val="16"/>
        </w:rPr>
        <w:t> 1</w:t>
      </w:r>
      <w:r>
        <w:rPr>
          <w:spacing w:val="-2"/>
          <w:sz w:val="16"/>
          <w:szCs w:val="16"/>
        </w:rPr>
        <w:t>. až 3. čtvrtletí 2021</w:t>
      </w:r>
      <w:r w:rsidRPr="004A27B5">
        <w:rPr>
          <w:spacing w:val="-2"/>
          <w:sz w:val="16"/>
          <w:szCs w:val="16"/>
        </w:rPr>
        <w:t xml:space="preserve"> k poklesu příjmů korporátní daně do</w:t>
      </w:r>
      <w:r>
        <w:rPr>
          <w:spacing w:val="-2"/>
          <w:sz w:val="16"/>
          <w:szCs w:val="16"/>
        </w:rPr>
        <w:t> </w:t>
      </w:r>
      <w:r w:rsidRPr="004A27B5">
        <w:rPr>
          <w:spacing w:val="-2"/>
          <w:sz w:val="16"/>
          <w:szCs w:val="16"/>
        </w:rPr>
        <w:t>SR o</w:t>
      </w:r>
      <w:r>
        <w:rPr>
          <w:spacing w:val="-2"/>
          <w:sz w:val="16"/>
          <w:szCs w:val="16"/>
        </w:rPr>
        <w:t> 11,7 mld. korun, na úrovni veřejných rozpočtů pak o 18,1 mld.</w:t>
      </w:r>
    </w:p>
  </w:footnote>
  <w:footnote w:id="6">
    <w:p w14:paraId="417B38C8" w14:textId="77777777" w:rsidR="009112E3" w:rsidRPr="00513587" w:rsidRDefault="009112E3" w:rsidP="00F00535">
      <w:pPr>
        <w:pStyle w:val="Textpoznpodarou"/>
        <w:rPr>
          <w:sz w:val="16"/>
          <w:szCs w:val="16"/>
        </w:rPr>
      </w:pPr>
      <w:r w:rsidRPr="00513587">
        <w:rPr>
          <w:rStyle w:val="Znakapoznpodarou"/>
          <w:sz w:val="16"/>
          <w:szCs w:val="16"/>
        </w:rPr>
        <w:footnoteRef/>
      </w:r>
      <w:r w:rsidRPr="00513587">
        <w:rPr>
          <w:sz w:val="16"/>
          <w:szCs w:val="16"/>
        </w:rPr>
        <w:t xml:space="preserve"> </w:t>
      </w:r>
      <w:r w:rsidRPr="00513587">
        <w:rPr>
          <w:spacing w:val="-4"/>
          <w:sz w:val="16"/>
          <w:szCs w:val="16"/>
        </w:rPr>
        <w:t>Celostátní inkaso daně z příjmů fyzických osob ze závislé činnosti se snížilo o</w:t>
      </w:r>
      <w:r>
        <w:rPr>
          <w:spacing w:val="-4"/>
          <w:sz w:val="16"/>
          <w:szCs w:val="16"/>
        </w:rPr>
        <w:t> </w:t>
      </w:r>
      <w:r w:rsidRPr="00513587">
        <w:rPr>
          <w:spacing w:val="-4"/>
          <w:sz w:val="16"/>
          <w:szCs w:val="16"/>
        </w:rPr>
        <w:t>celou třetinu a</w:t>
      </w:r>
      <w:r>
        <w:rPr>
          <w:spacing w:val="-4"/>
          <w:sz w:val="16"/>
          <w:szCs w:val="16"/>
        </w:rPr>
        <w:t> </w:t>
      </w:r>
      <w:r w:rsidRPr="00513587">
        <w:rPr>
          <w:spacing w:val="-4"/>
          <w:sz w:val="16"/>
          <w:szCs w:val="16"/>
        </w:rPr>
        <w:t>jeho objem za tři letošní čtvrtletí (96,5</w:t>
      </w:r>
      <w:r>
        <w:rPr>
          <w:spacing w:val="-4"/>
          <w:sz w:val="16"/>
          <w:szCs w:val="16"/>
        </w:rPr>
        <w:t> mld</w:t>
      </w:r>
      <w:r w:rsidRPr="00513587">
        <w:rPr>
          <w:spacing w:val="-4"/>
          <w:sz w:val="16"/>
          <w:szCs w:val="16"/>
        </w:rPr>
        <w:t>. korun) byl nejnižší za posledních sedm let.</w:t>
      </w:r>
    </w:p>
  </w:footnote>
  <w:footnote w:id="7">
    <w:p w14:paraId="2F3E3B21" w14:textId="77777777" w:rsidR="009112E3" w:rsidRPr="00F7045A" w:rsidRDefault="009112E3" w:rsidP="00F00535">
      <w:pPr>
        <w:pStyle w:val="Textpoznpodarou"/>
        <w:rPr>
          <w:spacing w:val="-4"/>
          <w:sz w:val="16"/>
          <w:szCs w:val="16"/>
        </w:rPr>
      </w:pPr>
      <w:r w:rsidRPr="00F7045A">
        <w:rPr>
          <w:rStyle w:val="Znakapoznpodarou"/>
          <w:spacing w:val="-4"/>
          <w:sz w:val="16"/>
          <w:szCs w:val="16"/>
        </w:rPr>
        <w:footnoteRef/>
      </w:r>
      <w:r w:rsidRPr="00F7045A">
        <w:rPr>
          <w:spacing w:val="-4"/>
          <w:sz w:val="16"/>
          <w:szCs w:val="16"/>
        </w:rPr>
        <w:t xml:space="preserve"> Po zrušení superhrubé mzdy byla od 1. ledna 2021 zavedena základní daňová sazba 15 % (a doplňková 23 %) a navýšena roční daňová sleva na poplatníka (+3 tis. korun). Dle propočtu MF činil dopad těchto opatření na dosavadní letošní inkaso daně na úrovni SR 40</w:t>
      </w:r>
      <w:r>
        <w:rPr>
          <w:spacing w:val="-4"/>
          <w:sz w:val="16"/>
          <w:szCs w:val="16"/>
        </w:rPr>
        <w:t> mld</w:t>
      </w:r>
      <w:r w:rsidRPr="00F7045A">
        <w:rPr>
          <w:spacing w:val="-4"/>
          <w:sz w:val="16"/>
          <w:szCs w:val="16"/>
        </w:rPr>
        <w:t>. korun.</w:t>
      </w:r>
    </w:p>
  </w:footnote>
  <w:footnote w:id="8">
    <w:p w14:paraId="016F3F1A" w14:textId="77777777" w:rsidR="009112E3" w:rsidRPr="00F7045A" w:rsidRDefault="009112E3" w:rsidP="00F00535">
      <w:pPr>
        <w:pStyle w:val="Textpoznpodarou"/>
        <w:rPr>
          <w:spacing w:val="-2"/>
          <w:sz w:val="16"/>
          <w:szCs w:val="16"/>
        </w:rPr>
      </w:pPr>
      <w:r w:rsidRPr="00F7045A">
        <w:rPr>
          <w:rStyle w:val="Znakapoznpodarou"/>
          <w:spacing w:val="-2"/>
          <w:sz w:val="16"/>
          <w:szCs w:val="16"/>
        </w:rPr>
        <w:footnoteRef/>
      </w:r>
      <w:r w:rsidRPr="00F7045A">
        <w:rPr>
          <w:spacing w:val="-2"/>
          <w:sz w:val="16"/>
          <w:szCs w:val="16"/>
        </w:rPr>
        <w:t xml:space="preserve"> Meziroční pokles byl ovlivněn i</w:t>
      </w:r>
      <w:r>
        <w:rPr>
          <w:spacing w:val="-2"/>
          <w:sz w:val="16"/>
          <w:szCs w:val="16"/>
        </w:rPr>
        <w:t> </w:t>
      </w:r>
      <w:r w:rsidRPr="00F7045A">
        <w:rPr>
          <w:spacing w:val="-2"/>
          <w:sz w:val="16"/>
          <w:szCs w:val="16"/>
        </w:rPr>
        <w:t>tím, že loni SR přijal ještě dobíhající platby vázané na programové období 2007 až 2013 (4,2</w:t>
      </w:r>
      <w:r>
        <w:rPr>
          <w:spacing w:val="-2"/>
          <w:sz w:val="16"/>
          <w:szCs w:val="16"/>
        </w:rPr>
        <w:t> mld</w:t>
      </w:r>
      <w:r w:rsidRPr="00F7045A">
        <w:rPr>
          <w:spacing w:val="-2"/>
          <w:sz w:val="16"/>
          <w:szCs w:val="16"/>
        </w:rPr>
        <w:t>. korun). Z plateb vztahujících se k sou</w:t>
      </w:r>
      <w:r>
        <w:rPr>
          <w:spacing w:val="-2"/>
          <w:sz w:val="16"/>
          <w:szCs w:val="16"/>
        </w:rPr>
        <w:t>časnému programovému období získ</w:t>
      </w:r>
      <w:r w:rsidRPr="00F7045A">
        <w:rPr>
          <w:spacing w:val="-2"/>
          <w:sz w:val="16"/>
          <w:szCs w:val="16"/>
        </w:rPr>
        <w:t>al letos SR nejvíce prostředků na přímé platby zemědělců (22</w:t>
      </w:r>
      <w:r>
        <w:rPr>
          <w:spacing w:val="-2"/>
          <w:sz w:val="16"/>
          <w:szCs w:val="16"/>
        </w:rPr>
        <w:t> mld</w:t>
      </w:r>
      <w:r w:rsidRPr="00F7045A">
        <w:rPr>
          <w:spacing w:val="-2"/>
          <w:sz w:val="16"/>
          <w:szCs w:val="16"/>
        </w:rPr>
        <w:t>. korun), dále na Integrovaný regionální operační program (13</w:t>
      </w:r>
      <w:r>
        <w:rPr>
          <w:spacing w:val="-2"/>
          <w:sz w:val="16"/>
          <w:szCs w:val="16"/>
        </w:rPr>
        <w:t> mld</w:t>
      </w:r>
      <w:r w:rsidRPr="00F7045A">
        <w:rPr>
          <w:spacing w:val="-2"/>
          <w:sz w:val="16"/>
          <w:szCs w:val="16"/>
        </w:rPr>
        <w:t>.), OP</w:t>
      </w:r>
      <w:r>
        <w:rPr>
          <w:spacing w:val="-2"/>
          <w:sz w:val="16"/>
          <w:szCs w:val="16"/>
        </w:rPr>
        <w:t> </w:t>
      </w:r>
      <w:r w:rsidRPr="00F7045A">
        <w:rPr>
          <w:spacing w:val="-2"/>
          <w:sz w:val="16"/>
          <w:szCs w:val="16"/>
        </w:rPr>
        <w:t>Doprava (10</w:t>
      </w:r>
      <w:r>
        <w:rPr>
          <w:spacing w:val="-2"/>
          <w:sz w:val="16"/>
          <w:szCs w:val="16"/>
        </w:rPr>
        <w:t> mld</w:t>
      </w:r>
      <w:r w:rsidRPr="00F7045A">
        <w:rPr>
          <w:spacing w:val="-2"/>
          <w:sz w:val="16"/>
          <w:szCs w:val="16"/>
        </w:rPr>
        <w:t xml:space="preserve">.) </w:t>
      </w:r>
      <w:r>
        <w:rPr>
          <w:spacing w:val="-2"/>
          <w:sz w:val="16"/>
          <w:szCs w:val="16"/>
        </w:rPr>
        <w:t>a </w:t>
      </w:r>
      <w:r w:rsidRPr="00F7045A">
        <w:rPr>
          <w:spacing w:val="-2"/>
          <w:sz w:val="16"/>
          <w:szCs w:val="16"/>
        </w:rPr>
        <w:t>OP</w:t>
      </w:r>
      <w:r>
        <w:rPr>
          <w:spacing w:val="-2"/>
          <w:sz w:val="16"/>
          <w:szCs w:val="16"/>
        </w:rPr>
        <w:t> Podnikání a inovace (9 mld.). N</w:t>
      </w:r>
      <w:r w:rsidRPr="00F7045A">
        <w:rPr>
          <w:spacing w:val="-2"/>
          <w:sz w:val="16"/>
          <w:szCs w:val="16"/>
        </w:rPr>
        <w:t xml:space="preserve">a Program rozvoje </w:t>
      </w:r>
      <w:r>
        <w:rPr>
          <w:spacing w:val="-2"/>
          <w:sz w:val="16"/>
          <w:szCs w:val="16"/>
        </w:rPr>
        <w:t>venkova putovalo 8 mld. a obdobná výše pak rovněž</w:t>
      </w:r>
      <w:r w:rsidRPr="00F7045A">
        <w:rPr>
          <w:spacing w:val="-2"/>
          <w:sz w:val="16"/>
          <w:szCs w:val="16"/>
        </w:rPr>
        <w:t xml:space="preserve"> na OP</w:t>
      </w:r>
      <w:r>
        <w:rPr>
          <w:spacing w:val="-2"/>
          <w:sz w:val="16"/>
          <w:szCs w:val="16"/>
        </w:rPr>
        <w:t> </w:t>
      </w:r>
      <w:r w:rsidRPr="00F7045A">
        <w:rPr>
          <w:spacing w:val="-2"/>
          <w:sz w:val="16"/>
          <w:szCs w:val="16"/>
        </w:rPr>
        <w:t>Výzkum, vývoj, vzdělávání či OP</w:t>
      </w:r>
      <w:r>
        <w:rPr>
          <w:spacing w:val="-2"/>
          <w:sz w:val="16"/>
          <w:szCs w:val="16"/>
        </w:rPr>
        <w:t> </w:t>
      </w:r>
      <w:r w:rsidRPr="00F7045A">
        <w:rPr>
          <w:spacing w:val="-2"/>
          <w:sz w:val="16"/>
          <w:szCs w:val="16"/>
        </w:rPr>
        <w:t>Životní prostředí.</w:t>
      </w:r>
    </w:p>
  </w:footnote>
  <w:footnote w:id="9">
    <w:p w14:paraId="23D48151" w14:textId="77777777" w:rsidR="009112E3" w:rsidRDefault="009112E3" w:rsidP="00F00535">
      <w:pPr>
        <w:pStyle w:val="Textpoznpodarou"/>
        <w:jc w:val="both"/>
        <w:rPr>
          <w:color w:val="0D0D0D" w:themeColor="text1" w:themeTint="F2"/>
          <w:spacing w:val="-4"/>
          <w:sz w:val="16"/>
          <w:szCs w:val="16"/>
        </w:rPr>
      </w:pPr>
      <w:r w:rsidRPr="00813E8A">
        <w:rPr>
          <w:rStyle w:val="Znakapoznpodarou"/>
          <w:spacing w:val="-4"/>
          <w:sz w:val="16"/>
          <w:szCs w:val="16"/>
        </w:rPr>
        <w:footnoteRef/>
      </w:r>
      <w:r>
        <w:rPr>
          <w:spacing w:val="-4"/>
          <w:sz w:val="16"/>
          <w:szCs w:val="16"/>
        </w:rPr>
        <w:t xml:space="preserve"> Šlo</w:t>
      </w:r>
      <w:r>
        <w:rPr>
          <w:color w:val="0D0D0D" w:themeColor="text1" w:themeTint="F2"/>
          <w:spacing w:val="-4"/>
          <w:sz w:val="16"/>
          <w:szCs w:val="16"/>
        </w:rPr>
        <w:t xml:space="preserve"> zejména</w:t>
      </w:r>
      <w:r w:rsidRPr="00813E8A">
        <w:rPr>
          <w:color w:val="0D0D0D" w:themeColor="text1" w:themeTint="F2"/>
          <w:spacing w:val="-4"/>
          <w:sz w:val="16"/>
          <w:szCs w:val="16"/>
        </w:rPr>
        <w:t xml:space="preserve"> </w:t>
      </w:r>
      <w:r>
        <w:rPr>
          <w:color w:val="0D0D0D" w:themeColor="text1" w:themeTint="F2"/>
          <w:spacing w:val="-4"/>
          <w:sz w:val="16"/>
          <w:szCs w:val="16"/>
        </w:rPr>
        <w:t>o </w:t>
      </w:r>
      <w:r w:rsidRPr="00813E8A">
        <w:rPr>
          <w:color w:val="0D0D0D" w:themeColor="text1" w:themeTint="F2"/>
          <w:spacing w:val="-4"/>
          <w:sz w:val="16"/>
          <w:szCs w:val="16"/>
        </w:rPr>
        <w:t>náhradu části mezd a</w:t>
      </w:r>
      <w:r>
        <w:rPr>
          <w:color w:val="0D0D0D" w:themeColor="text1" w:themeTint="F2"/>
          <w:spacing w:val="-4"/>
          <w:sz w:val="16"/>
          <w:szCs w:val="16"/>
        </w:rPr>
        <w:t> </w:t>
      </w:r>
      <w:r w:rsidRPr="00813E8A">
        <w:rPr>
          <w:color w:val="0D0D0D" w:themeColor="text1" w:themeTint="F2"/>
          <w:spacing w:val="-4"/>
          <w:sz w:val="16"/>
          <w:szCs w:val="16"/>
        </w:rPr>
        <w:t>povinných odvodů v rámci programu Antivirus A, A+ a</w:t>
      </w:r>
      <w:r>
        <w:rPr>
          <w:color w:val="0D0D0D" w:themeColor="text1" w:themeTint="F2"/>
          <w:spacing w:val="-4"/>
          <w:sz w:val="16"/>
          <w:szCs w:val="16"/>
        </w:rPr>
        <w:t> </w:t>
      </w:r>
      <w:r w:rsidRPr="00813E8A">
        <w:rPr>
          <w:color w:val="0D0D0D" w:themeColor="text1" w:themeTint="F2"/>
          <w:spacing w:val="-4"/>
          <w:sz w:val="16"/>
          <w:szCs w:val="16"/>
        </w:rPr>
        <w:t>B</w:t>
      </w:r>
      <w:r>
        <w:rPr>
          <w:color w:val="0D0D0D" w:themeColor="text1" w:themeTint="F2"/>
          <w:spacing w:val="-4"/>
          <w:sz w:val="16"/>
          <w:szCs w:val="16"/>
        </w:rPr>
        <w:t xml:space="preserve"> (v 1. až 3. čtvrtletí 2021 vyplaceno ze SR 25,6</w:t>
      </w:r>
      <w:r w:rsidRPr="00813E8A">
        <w:rPr>
          <w:color w:val="0D0D0D" w:themeColor="text1" w:themeTint="F2"/>
          <w:spacing w:val="-4"/>
          <w:sz w:val="16"/>
          <w:szCs w:val="16"/>
        </w:rPr>
        <w:t> mld.</w:t>
      </w:r>
      <w:r>
        <w:rPr>
          <w:color w:val="0D0D0D" w:themeColor="text1" w:themeTint="F2"/>
          <w:spacing w:val="-4"/>
          <w:sz w:val="16"/>
          <w:szCs w:val="16"/>
        </w:rPr>
        <w:t xml:space="preserve"> korun</w:t>
      </w:r>
      <w:r w:rsidRPr="00813E8A">
        <w:rPr>
          <w:color w:val="0D0D0D" w:themeColor="text1" w:themeTint="F2"/>
          <w:spacing w:val="-4"/>
          <w:sz w:val="16"/>
          <w:szCs w:val="16"/>
        </w:rPr>
        <w:t xml:space="preserve">), speciální programy na přímou podporu zasažených sektorů ekonomiky, např. v oblasti pohostinství, cestovního ruchu, kultury, vzdělávání, sportu, </w:t>
      </w:r>
      <w:r>
        <w:rPr>
          <w:color w:val="0D0D0D" w:themeColor="text1" w:themeTint="F2"/>
          <w:spacing w:val="-4"/>
          <w:sz w:val="16"/>
          <w:szCs w:val="16"/>
        </w:rPr>
        <w:t xml:space="preserve">dopravy, </w:t>
      </w:r>
      <w:r w:rsidRPr="00813E8A">
        <w:rPr>
          <w:color w:val="0D0D0D" w:themeColor="text1" w:themeTint="F2"/>
          <w:spacing w:val="-4"/>
          <w:sz w:val="16"/>
          <w:szCs w:val="16"/>
        </w:rPr>
        <w:t>zemědělství a</w:t>
      </w:r>
      <w:r>
        <w:rPr>
          <w:color w:val="0D0D0D" w:themeColor="text1" w:themeTint="F2"/>
          <w:spacing w:val="-4"/>
          <w:sz w:val="16"/>
          <w:szCs w:val="16"/>
        </w:rPr>
        <w:t> </w:t>
      </w:r>
      <w:r w:rsidRPr="00813E8A">
        <w:rPr>
          <w:color w:val="0D0D0D" w:themeColor="text1" w:themeTint="F2"/>
          <w:spacing w:val="-4"/>
          <w:sz w:val="16"/>
          <w:szCs w:val="16"/>
        </w:rPr>
        <w:t>potravinářství (v</w:t>
      </w:r>
      <w:r>
        <w:rPr>
          <w:color w:val="0D0D0D" w:themeColor="text1" w:themeTint="F2"/>
          <w:spacing w:val="-4"/>
          <w:sz w:val="16"/>
          <w:szCs w:val="16"/>
        </w:rPr>
        <w:t>četně novějších programů</w:t>
      </w:r>
      <w:r w:rsidRPr="00813E8A">
        <w:rPr>
          <w:color w:val="0D0D0D" w:themeColor="text1" w:themeTint="F2"/>
          <w:spacing w:val="-4"/>
          <w:sz w:val="16"/>
          <w:szCs w:val="16"/>
        </w:rPr>
        <w:t xml:space="preserve"> CO</w:t>
      </w:r>
      <w:r>
        <w:rPr>
          <w:color w:val="0D0D0D" w:themeColor="text1" w:themeTint="F2"/>
          <w:spacing w:val="-4"/>
          <w:sz w:val="16"/>
          <w:szCs w:val="16"/>
        </w:rPr>
        <w:t xml:space="preserve">VID 2021, </w:t>
      </w:r>
      <w:r w:rsidRPr="00813E8A">
        <w:rPr>
          <w:color w:val="0D0D0D" w:themeColor="text1" w:themeTint="F2"/>
          <w:spacing w:val="-4"/>
          <w:sz w:val="16"/>
          <w:szCs w:val="16"/>
        </w:rPr>
        <w:t>CO</w:t>
      </w:r>
      <w:r>
        <w:rPr>
          <w:color w:val="0D0D0D" w:themeColor="text1" w:themeTint="F2"/>
          <w:spacing w:val="-4"/>
          <w:sz w:val="16"/>
          <w:szCs w:val="16"/>
        </w:rPr>
        <w:t xml:space="preserve">VID Nájemné, </w:t>
      </w:r>
      <w:r w:rsidRPr="00813E8A">
        <w:rPr>
          <w:color w:val="0D0D0D" w:themeColor="text1" w:themeTint="F2"/>
          <w:spacing w:val="-4"/>
          <w:sz w:val="16"/>
          <w:szCs w:val="16"/>
        </w:rPr>
        <w:t>CO</w:t>
      </w:r>
      <w:r>
        <w:rPr>
          <w:color w:val="0D0D0D" w:themeColor="text1" w:themeTint="F2"/>
          <w:spacing w:val="-4"/>
          <w:sz w:val="16"/>
          <w:szCs w:val="16"/>
        </w:rPr>
        <w:t>VID</w:t>
      </w:r>
      <w:r w:rsidRPr="009263AE">
        <w:rPr>
          <w:color w:val="0D0D0D" w:themeColor="text1" w:themeTint="F2"/>
          <w:spacing w:val="-4"/>
          <w:sz w:val="16"/>
          <w:szCs w:val="16"/>
        </w:rPr>
        <w:t xml:space="preserve"> Nepokryté náklady</w:t>
      </w:r>
      <w:r>
        <w:rPr>
          <w:color w:val="0D0D0D" w:themeColor="text1" w:themeTint="F2"/>
          <w:spacing w:val="-4"/>
          <w:sz w:val="16"/>
          <w:szCs w:val="16"/>
        </w:rPr>
        <w:t>) v celkové výši 33,7 mld. D</w:t>
      </w:r>
      <w:r w:rsidRPr="00813E8A">
        <w:rPr>
          <w:color w:val="0D0D0D" w:themeColor="text1" w:themeTint="F2"/>
          <w:spacing w:val="-4"/>
          <w:sz w:val="16"/>
          <w:szCs w:val="16"/>
        </w:rPr>
        <w:t xml:space="preserve">ále </w:t>
      </w:r>
      <w:r>
        <w:rPr>
          <w:color w:val="0D0D0D" w:themeColor="text1" w:themeTint="F2"/>
          <w:spacing w:val="-4"/>
          <w:sz w:val="16"/>
          <w:szCs w:val="16"/>
        </w:rPr>
        <w:t xml:space="preserve">to byly </w:t>
      </w:r>
      <w:r w:rsidRPr="00813E8A">
        <w:rPr>
          <w:color w:val="0D0D0D" w:themeColor="text1" w:themeTint="F2"/>
          <w:spacing w:val="-4"/>
          <w:sz w:val="16"/>
          <w:szCs w:val="16"/>
        </w:rPr>
        <w:t>vyšší vý</w:t>
      </w:r>
      <w:r>
        <w:rPr>
          <w:color w:val="0D0D0D" w:themeColor="text1" w:themeTint="F2"/>
          <w:spacing w:val="-4"/>
          <w:sz w:val="16"/>
          <w:szCs w:val="16"/>
        </w:rPr>
        <w:t>daje ve zdravotnictví, zejména posílené</w:t>
      </w:r>
      <w:r w:rsidRPr="00813E8A">
        <w:rPr>
          <w:color w:val="0D0D0D" w:themeColor="text1" w:themeTint="F2"/>
          <w:spacing w:val="-4"/>
          <w:sz w:val="16"/>
          <w:szCs w:val="16"/>
        </w:rPr>
        <w:t xml:space="preserve"> platby státu za tzv.</w:t>
      </w:r>
      <w:r>
        <w:rPr>
          <w:color w:val="0D0D0D" w:themeColor="text1" w:themeTint="F2"/>
          <w:spacing w:val="-4"/>
          <w:sz w:val="16"/>
          <w:szCs w:val="16"/>
        </w:rPr>
        <w:t> státního pojištěnce (37,6 mld.</w:t>
      </w:r>
      <w:r w:rsidRPr="00813E8A">
        <w:rPr>
          <w:color w:val="0D0D0D" w:themeColor="text1" w:themeTint="F2"/>
          <w:spacing w:val="-4"/>
          <w:sz w:val="16"/>
          <w:szCs w:val="16"/>
        </w:rPr>
        <w:t>)</w:t>
      </w:r>
      <w:r>
        <w:rPr>
          <w:color w:val="0D0D0D" w:themeColor="text1" w:themeTint="F2"/>
          <w:spacing w:val="-4"/>
          <w:sz w:val="16"/>
          <w:szCs w:val="16"/>
        </w:rPr>
        <w:t>, z</w:t>
      </w:r>
      <w:r w:rsidRPr="009263AE">
        <w:rPr>
          <w:color w:val="0D0D0D" w:themeColor="text1" w:themeTint="F2"/>
          <w:spacing w:val="-4"/>
          <w:sz w:val="16"/>
          <w:szCs w:val="16"/>
        </w:rPr>
        <w:t>výšené osobní náklady pracovníků ve zdravotnictví a</w:t>
      </w:r>
      <w:r>
        <w:rPr>
          <w:color w:val="0D0D0D" w:themeColor="text1" w:themeTint="F2"/>
          <w:spacing w:val="-4"/>
          <w:sz w:val="16"/>
          <w:szCs w:val="16"/>
        </w:rPr>
        <w:t> </w:t>
      </w:r>
      <w:r w:rsidRPr="009263AE">
        <w:rPr>
          <w:color w:val="0D0D0D" w:themeColor="text1" w:themeTint="F2"/>
          <w:spacing w:val="-4"/>
          <w:sz w:val="16"/>
          <w:szCs w:val="16"/>
        </w:rPr>
        <w:t>sociálních službách</w:t>
      </w:r>
      <w:r>
        <w:rPr>
          <w:color w:val="0D0D0D" w:themeColor="text1" w:themeTint="F2"/>
          <w:spacing w:val="-4"/>
          <w:sz w:val="16"/>
          <w:szCs w:val="16"/>
        </w:rPr>
        <w:t xml:space="preserve"> (16,5 mld.),</w:t>
      </w:r>
      <w:r w:rsidRPr="00813E8A">
        <w:rPr>
          <w:color w:val="0D0D0D" w:themeColor="text1" w:themeTint="F2"/>
          <w:spacing w:val="-4"/>
          <w:sz w:val="16"/>
          <w:szCs w:val="16"/>
        </w:rPr>
        <w:t xml:space="preserve"> n</w:t>
      </w:r>
      <w:r>
        <w:rPr>
          <w:color w:val="0D0D0D" w:themeColor="text1" w:themeTint="F2"/>
          <w:spacing w:val="-4"/>
          <w:sz w:val="16"/>
          <w:szCs w:val="16"/>
        </w:rPr>
        <w:t>ákupy ochranných prostředků, včetně vakcín (6,3 mld.) a konečně i zvýšené výdaje na některé sociální dávky – ošetřovné,</w:t>
      </w:r>
      <w:r w:rsidRPr="002B0A36">
        <w:t xml:space="preserve"> </w:t>
      </w:r>
      <w:r>
        <w:rPr>
          <w:color w:val="0D0D0D" w:themeColor="text1" w:themeTint="F2"/>
          <w:spacing w:val="-4"/>
          <w:sz w:val="16"/>
          <w:szCs w:val="16"/>
        </w:rPr>
        <w:t>m</w:t>
      </w:r>
      <w:r w:rsidRPr="002B0A36">
        <w:rPr>
          <w:color w:val="0D0D0D" w:themeColor="text1" w:themeTint="F2"/>
          <w:spacing w:val="-4"/>
          <w:sz w:val="16"/>
          <w:szCs w:val="16"/>
        </w:rPr>
        <w:t>imořádný příspě</w:t>
      </w:r>
      <w:r>
        <w:rPr>
          <w:color w:val="0D0D0D" w:themeColor="text1" w:themeTint="F2"/>
          <w:spacing w:val="-4"/>
          <w:sz w:val="16"/>
          <w:szCs w:val="16"/>
        </w:rPr>
        <w:t xml:space="preserve">vek pro zaměstnance v karanténě či </w:t>
      </w:r>
      <w:r w:rsidRPr="002B0A36">
        <w:rPr>
          <w:color w:val="0D0D0D" w:themeColor="text1" w:themeTint="F2"/>
          <w:spacing w:val="-4"/>
          <w:sz w:val="16"/>
          <w:szCs w:val="16"/>
        </w:rPr>
        <w:t>izolaci</w:t>
      </w:r>
      <w:r>
        <w:rPr>
          <w:color w:val="0D0D0D" w:themeColor="text1" w:themeTint="F2"/>
          <w:spacing w:val="-4"/>
          <w:sz w:val="16"/>
          <w:szCs w:val="16"/>
        </w:rPr>
        <w:t xml:space="preserve"> (5,5 mld.).</w:t>
      </w:r>
    </w:p>
    <w:p w14:paraId="2A71D519" w14:textId="77777777" w:rsidR="009112E3" w:rsidRPr="00813E8A" w:rsidRDefault="009112E3" w:rsidP="00F00535">
      <w:pPr>
        <w:pStyle w:val="Textpoznpodarou"/>
        <w:jc w:val="both"/>
        <w:rPr>
          <w:color w:val="0D0D0D" w:themeColor="text1" w:themeTint="F2"/>
          <w:spacing w:val="-4"/>
          <w:sz w:val="16"/>
          <w:szCs w:val="16"/>
        </w:rPr>
      </w:pPr>
      <w:r>
        <w:rPr>
          <w:color w:val="0D0D0D" w:themeColor="text1" w:themeTint="F2"/>
          <w:spacing w:val="-4"/>
          <w:sz w:val="16"/>
          <w:szCs w:val="16"/>
        </w:rPr>
        <w:t>Většina z výše uvedených výdajů ve srovnání s 1. až 3. čtvrtletím 2020 významně narostla. Výjimkou byly ošetřovné, nákupy ochranných pomůcek a oddlužení nemocnic. Drtivá většina uvedených podpor byla letos čerpána v 1. pololetí, v samotném 3. čtvrtletí pokračovaly ve svižném tempu jen platby za státní pojištěnce a ke zrychlení došlo u výdajů na ochranné pomůcky.</w:t>
      </w:r>
    </w:p>
  </w:footnote>
  <w:footnote w:id="10">
    <w:p w14:paraId="6C08E8CC" w14:textId="77777777" w:rsidR="009112E3" w:rsidRPr="00813E8A" w:rsidRDefault="009112E3" w:rsidP="00F00535">
      <w:pPr>
        <w:pStyle w:val="Textpoznpodarou"/>
        <w:rPr>
          <w:spacing w:val="-2"/>
          <w:sz w:val="16"/>
          <w:szCs w:val="16"/>
        </w:rPr>
      </w:pPr>
      <w:r w:rsidRPr="00813E8A">
        <w:rPr>
          <w:rStyle w:val="Znakapoznpodarou"/>
          <w:spacing w:val="-2"/>
          <w:sz w:val="16"/>
          <w:szCs w:val="16"/>
        </w:rPr>
        <w:footnoteRef/>
      </w:r>
      <w:r w:rsidRPr="00813E8A">
        <w:rPr>
          <w:spacing w:val="-2"/>
          <w:sz w:val="16"/>
          <w:szCs w:val="16"/>
        </w:rPr>
        <w:t xml:space="preserve"> Odráží schválený </w:t>
      </w:r>
      <w:r>
        <w:rPr>
          <w:spacing w:val="-2"/>
          <w:sz w:val="16"/>
          <w:szCs w:val="16"/>
        </w:rPr>
        <w:t xml:space="preserve">letošní </w:t>
      </w:r>
      <w:r w:rsidRPr="00813E8A">
        <w:rPr>
          <w:spacing w:val="-2"/>
          <w:sz w:val="16"/>
          <w:szCs w:val="16"/>
        </w:rPr>
        <w:t>meziroční nárůst u</w:t>
      </w:r>
      <w:r>
        <w:rPr>
          <w:spacing w:val="-2"/>
          <w:sz w:val="16"/>
          <w:szCs w:val="16"/>
        </w:rPr>
        <w:t> </w:t>
      </w:r>
      <w:r w:rsidRPr="00813E8A">
        <w:rPr>
          <w:spacing w:val="-2"/>
          <w:sz w:val="16"/>
          <w:szCs w:val="16"/>
        </w:rPr>
        <w:t>pedagogických i</w:t>
      </w:r>
      <w:r>
        <w:rPr>
          <w:spacing w:val="-2"/>
          <w:sz w:val="16"/>
          <w:szCs w:val="16"/>
        </w:rPr>
        <w:t> </w:t>
      </w:r>
      <w:r w:rsidRPr="00813E8A">
        <w:rPr>
          <w:spacing w:val="-2"/>
          <w:sz w:val="16"/>
          <w:szCs w:val="16"/>
        </w:rPr>
        <w:t>nepedagogických pracovníků (o</w:t>
      </w:r>
      <w:r>
        <w:rPr>
          <w:spacing w:val="-2"/>
          <w:sz w:val="16"/>
          <w:szCs w:val="16"/>
        </w:rPr>
        <w:t> </w:t>
      </w:r>
      <w:r w:rsidRPr="00813E8A">
        <w:rPr>
          <w:spacing w:val="-2"/>
          <w:sz w:val="16"/>
          <w:szCs w:val="16"/>
        </w:rPr>
        <w:t>9</w:t>
      </w:r>
      <w:r>
        <w:rPr>
          <w:spacing w:val="-2"/>
          <w:sz w:val="16"/>
          <w:szCs w:val="16"/>
        </w:rPr>
        <w:t> %</w:t>
      </w:r>
      <w:r w:rsidRPr="00813E8A">
        <w:rPr>
          <w:spacing w:val="-2"/>
          <w:sz w:val="16"/>
          <w:szCs w:val="16"/>
        </w:rPr>
        <w:t>, resp. 4,3</w:t>
      </w:r>
      <w:r>
        <w:rPr>
          <w:spacing w:val="-2"/>
          <w:sz w:val="16"/>
          <w:szCs w:val="16"/>
        </w:rPr>
        <w:t> %</w:t>
      </w:r>
      <w:r w:rsidRPr="00813E8A">
        <w:rPr>
          <w:spacing w:val="-2"/>
          <w:sz w:val="16"/>
          <w:szCs w:val="16"/>
        </w:rPr>
        <w:t>).</w:t>
      </w:r>
    </w:p>
  </w:footnote>
  <w:footnote w:id="11">
    <w:p w14:paraId="2CD7D1F5" w14:textId="77777777" w:rsidR="009112E3" w:rsidRPr="00D671AC" w:rsidRDefault="009112E3" w:rsidP="00F00535">
      <w:pPr>
        <w:pStyle w:val="Textpoznpodarou"/>
        <w:rPr>
          <w:sz w:val="16"/>
          <w:szCs w:val="16"/>
        </w:rPr>
      </w:pPr>
      <w:r w:rsidRPr="00813E8A"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V těchto výdajích nejsou zahrnuty výdaje na obsluhu státního dluhu a též v posledních letech okrajovou položku výdajů na realizaci záruk.</w:t>
      </w:r>
    </w:p>
  </w:footnote>
  <w:footnote w:id="12">
    <w:p w14:paraId="6E9E7F30" w14:textId="77777777" w:rsidR="009112E3" w:rsidRPr="00FA3B92" w:rsidRDefault="009112E3" w:rsidP="00F00535">
      <w:pPr>
        <w:pStyle w:val="Textpoznpodarou"/>
        <w:rPr>
          <w:sz w:val="16"/>
          <w:szCs w:val="16"/>
        </w:rPr>
      </w:pPr>
      <w:r w:rsidRPr="00FA3B92">
        <w:rPr>
          <w:rStyle w:val="Znakapoznpodarou"/>
          <w:sz w:val="16"/>
          <w:szCs w:val="16"/>
        </w:rPr>
        <w:footnoteRef/>
      </w:r>
      <w:r w:rsidRPr="00FA3B92">
        <w:rPr>
          <w:sz w:val="16"/>
          <w:szCs w:val="16"/>
        </w:rPr>
        <w:t xml:space="preserve"> </w:t>
      </w:r>
      <w:r w:rsidRPr="00FA3B92">
        <w:rPr>
          <w:spacing w:val="-5"/>
          <w:sz w:val="16"/>
          <w:szCs w:val="16"/>
        </w:rPr>
        <w:t>Podíl sociálníc</w:t>
      </w:r>
      <w:r>
        <w:rPr>
          <w:spacing w:val="-5"/>
          <w:sz w:val="16"/>
          <w:szCs w:val="16"/>
        </w:rPr>
        <w:t xml:space="preserve">h dávek na všech výdajích SR </w:t>
      </w:r>
      <w:r w:rsidRPr="00FA3B92">
        <w:rPr>
          <w:spacing w:val="-5"/>
          <w:sz w:val="16"/>
          <w:szCs w:val="16"/>
        </w:rPr>
        <w:t>v rámci 1</w:t>
      </w:r>
      <w:r>
        <w:rPr>
          <w:spacing w:val="-5"/>
          <w:sz w:val="16"/>
          <w:szCs w:val="16"/>
        </w:rPr>
        <w:t>. až 3. čtvrtletí klesal popáté v řadě (na letošních 37,1 %, minimum za posledních 10 let).</w:t>
      </w:r>
    </w:p>
  </w:footnote>
  <w:footnote w:id="13">
    <w:p w14:paraId="518256D0" w14:textId="77777777" w:rsidR="009112E3" w:rsidRPr="00502763" w:rsidRDefault="009112E3" w:rsidP="00F00535">
      <w:pPr>
        <w:pStyle w:val="Textpoznpodarou"/>
        <w:rPr>
          <w:sz w:val="16"/>
          <w:szCs w:val="16"/>
        </w:rPr>
      </w:pPr>
      <w:r w:rsidRPr="00502763">
        <w:rPr>
          <w:rStyle w:val="Znakapoznpodarou"/>
          <w:sz w:val="16"/>
          <w:szCs w:val="16"/>
        </w:rPr>
        <w:footnoteRef/>
      </w:r>
      <w:r w:rsidRPr="00502763">
        <w:rPr>
          <w:sz w:val="16"/>
          <w:szCs w:val="16"/>
        </w:rPr>
        <w:t xml:space="preserve"> Ve vysokém loňském růstu se projevilo zejména zavedení krizového ošetřovného (souvisejí</w:t>
      </w:r>
      <w:r>
        <w:rPr>
          <w:sz w:val="16"/>
          <w:szCs w:val="16"/>
        </w:rPr>
        <w:t>cího</w:t>
      </w:r>
      <w:r w:rsidRPr="00502763">
        <w:rPr>
          <w:sz w:val="16"/>
          <w:szCs w:val="16"/>
        </w:rPr>
        <w:t xml:space="preserve"> s domácí péč</w:t>
      </w:r>
      <w:r>
        <w:rPr>
          <w:sz w:val="16"/>
          <w:szCs w:val="16"/>
        </w:rPr>
        <w:t>í</w:t>
      </w:r>
      <w:r w:rsidRPr="00502763">
        <w:rPr>
          <w:sz w:val="16"/>
          <w:szCs w:val="16"/>
        </w:rPr>
        <w:t xml:space="preserve"> o</w:t>
      </w:r>
      <w:r>
        <w:rPr>
          <w:sz w:val="16"/>
          <w:szCs w:val="16"/>
        </w:rPr>
        <w:t> </w:t>
      </w:r>
      <w:r w:rsidRPr="00502763">
        <w:rPr>
          <w:sz w:val="16"/>
          <w:szCs w:val="16"/>
        </w:rPr>
        <w:t xml:space="preserve">děti z důvodu nuceného uzavření škol či </w:t>
      </w:r>
      <w:r>
        <w:rPr>
          <w:sz w:val="16"/>
          <w:szCs w:val="16"/>
        </w:rPr>
        <w:t xml:space="preserve">kvůli </w:t>
      </w:r>
      <w:r w:rsidRPr="00502763">
        <w:rPr>
          <w:sz w:val="16"/>
          <w:szCs w:val="16"/>
        </w:rPr>
        <w:t>karantén</w:t>
      </w:r>
      <w:r>
        <w:rPr>
          <w:sz w:val="16"/>
          <w:szCs w:val="16"/>
        </w:rPr>
        <w:t>ě</w:t>
      </w:r>
      <w:r w:rsidRPr="00502763">
        <w:rPr>
          <w:sz w:val="16"/>
          <w:szCs w:val="16"/>
        </w:rPr>
        <w:t>), n</w:t>
      </w:r>
      <w:r>
        <w:rPr>
          <w:sz w:val="16"/>
          <w:szCs w:val="16"/>
        </w:rPr>
        <w:t>avýšení rodičovského příspěvku a vyšší tempo valorizace důchodů.</w:t>
      </w:r>
    </w:p>
  </w:footnote>
  <w:footnote w:id="14">
    <w:p w14:paraId="10494581" w14:textId="77777777" w:rsidR="009112E3" w:rsidRPr="00813E8A" w:rsidRDefault="009112E3" w:rsidP="00F00535">
      <w:pPr>
        <w:pStyle w:val="Textpoznpodarou"/>
        <w:rPr>
          <w:spacing w:val="-4"/>
          <w:sz w:val="16"/>
          <w:szCs w:val="16"/>
        </w:rPr>
      </w:pPr>
      <w:r w:rsidRPr="00813E8A">
        <w:rPr>
          <w:rStyle w:val="Znakapoznpodarou"/>
          <w:spacing w:val="-4"/>
          <w:sz w:val="16"/>
          <w:szCs w:val="16"/>
        </w:rPr>
        <w:footnoteRef/>
      </w:r>
      <w:r w:rsidRPr="00813E8A">
        <w:rPr>
          <w:spacing w:val="-4"/>
          <w:sz w:val="16"/>
          <w:szCs w:val="16"/>
        </w:rPr>
        <w:t xml:space="preserve"> Objem vybraného pojistného </w:t>
      </w:r>
      <w:r>
        <w:rPr>
          <w:spacing w:val="-4"/>
          <w:sz w:val="16"/>
          <w:szCs w:val="16"/>
        </w:rPr>
        <w:t>byl ve 2. i 3. čtvrtletí 2020</w:t>
      </w:r>
      <w:r w:rsidRPr="00813E8A">
        <w:rPr>
          <w:spacing w:val="-4"/>
          <w:sz w:val="16"/>
          <w:szCs w:val="16"/>
        </w:rPr>
        <w:t xml:space="preserve"> negativně poznamenán zrušením minimálních záloh pro osoby samostatně výdělečně činné a</w:t>
      </w:r>
      <w:r>
        <w:rPr>
          <w:spacing w:val="-4"/>
          <w:sz w:val="16"/>
          <w:szCs w:val="16"/>
        </w:rPr>
        <w:t> </w:t>
      </w:r>
      <w:r w:rsidRPr="00813E8A">
        <w:rPr>
          <w:spacing w:val="-4"/>
          <w:sz w:val="16"/>
          <w:szCs w:val="16"/>
        </w:rPr>
        <w:t>též prominutím pojistného placeného zaměstnavatelem (program Antivirus</w:t>
      </w:r>
      <w:r>
        <w:rPr>
          <w:spacing w:val="-4"/>
          <w:sz w:val="16"/>
          <w:szCs w:val="16"/>
        </w:rPr>
        <w:t> </w:t>
      </w:r>
      <w:r w:rsidRPr="00813E8A">
        <w:rPr>
          <w:spacing w:val="-4"/>
          <w:sz w:val="16"/>
          <w:szCs w:val="16"/>
        </w:rPr>
        <w:t>C).</w:t>
      </w:r>
    </w:p>
  </w:footnote>
  <w:footnote w:id="15">
    <w:p w14:paraId="65FC1477" w14:textId="77777777" w:rsidR="009112E3" w:rsidRPr="00EC2E06" w:rsidRDefault="009112E3" w:rsidP="00F00535">
      <w:pPr>
        <w:pStyle w:val="Textpoznpodarou"/>
        <w:jc w:val="both"/>
        <w:rPr>
          <w:spacing w:val="-4"/>
        </w:rPr>
      </w:pPr>
      <w:r w:rsidRPr="00EC2E06">
        <w:rPr>
          <w:rStyle w:val="Znakapoznpodarou"/>
          <w:spacing w:val="-4"/>
          <w:sz w:val="16"/>
          <w:szCs w:val="16"/>
        </w:rPr>
        <w:footnoteRef/>
      </w:r>
      <w:r w:rsidRPr="00EC2E06">
        <w:rPr>
          <w:spacing w:val="-4"/>
          <w:sz w:val="16"/>
          <w:szCs w:val="16"/>
        </w:rPr>
        <w:t xml:space="preserve"> Je vyjádřeno </w:t>
      </w:r>
      <w:r w:rsidRPr="00EC2E06">
        <w:rPr>
          <w:rFonts w:cs="Arial"/>
          <w:color w:val="000000" w:themeColor="text1"/>
          <w:spacing w:val="-4"/>
          <w:sz w:val="16"/>
          <w:szCs w:val="16"/>
        </w:rPr>
        <w:t xml:space="preserve">rozdílem mezi příjmy a výdaji na důchody ze SR. Ve výdajích nejsou zahrnuty náklady na správu systému důchodového </w:t>
      </w:r>
      <w:r w:rsidRPr="00EC2E06">
        <w:rPr>
          <w:rFonts w:cs="Arial"/>
          <w:color w:val="0D0D0D" w:themeColor="text1" w:themeTint="F2"/>
          <w:spacing w:val="-4"/>
          <w:sz w:val="16"/>
          <w:szCs w:val="16"/>
        </w:rPr>
        <w:t>pojištění.</w:t>
      </w:r>
    </w:p>
  </w:footnote>
  <w:footnote w:id="16">
    <w:p w14:paraId="12AA18B0" w14:textId="77777777" w:rsidR="009112E3" w:rsidRPr="00F73096" w:rsidRDefault="009112E3" w:rsidP="00F00535">
      <w:pPr>
        <w:pStyle w:val="Textpoznpodarou"/>
        <w:rPr>
          <w:spacing w:val="-2"/>
          <w:sz w:val="16"/>
          <w:szCs w:val="16"/>
        </w:rPr>
      </w:pPr>
      <w:r w:rsidRPr="00F73096">
        <w:rPr>
          <w:rStyle w:val="Znakapoznpodarou"/>
          <w:spacing w:val="-2"/>
          <w:sz w:val="16"/>
          <w:szCs w:val="16"/>
        </w:rPr>
        <w:footnoteRef/>
      </w:r>
      <w:r w:rsidRPr="00F73096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Od 1. července 2021 došlo ke</w:t>
      </w:r>
      <w:r w:rsidRPr="00F73096">
        <w:rPr>
          <w:spacing w:val="-2"/>
          <w:sz w:val="16"/>
          <w:szCs w:val="16"/>
        </w:rPr>
        <w:t xml:space="preserve"> zvýšení hranice rozhodného příjmu pro čerpání (z</w:t>
      </w:r>
      <w:r>
        <w:rPr>
          <w:spacing w:val="-2"/>
          <w:sz w:val="16"/>
          <w:szCs w:val="16"/>
        </w:rPr>
        <w:t> </w:t>
      </w:r>
      <w:r w:rsidRPr="00F73096">
        <w:rPr>
          <w:spacing w:val="-2"/>
          <w:sz w:val="16"/>
          <w:szCs w:val="16"/>
        </w:rPr>
        <w:t>2,7</w:t>
      </w:r>
      <w:r>
        <w:rPr>
          <w:spacing w:val="-2"/>
          <w:sz w:val="16"/>
          <w:szCs w:val="16"/>
        </w:rPr>
        <w:t>-</w:t>
      </w:r>
      <w:r w:rsidRPr="00F73096">
        <w:rPr>
          <w:spacing w:val="-2"/>
          <w:sz w:val="16"/>
          <w:szCs w:val="16"/>
        </w:rPr>
        <w:t xml:space="preserve"> na 3,4násobek životního minima rodiny) i</w:t>
      </w:r>
      <w:r>
        <w:rPr>
          <w:spacing w:val="-2"/>
          <w:sz w:val="16"/>
          <w:szCs w:val="16"/>
        </w:rPr>
        <w:t> k </w:t>
      </w:r>
      <w:r w:rsidRPr="00F73096">
        <w:rPr>
          <w:spacing w:val="-2"/>
          <w:sz w:val="16"/>
          <w:szCs w:val="16"/>
        </w:rPr>
        <w:t>valorizaci výš</w:t>
      </w:r>
      <w:r>
        <w:rPr>
          <w:spacing w:val="-2"/>
          <w:sz w:val="16"/>
          <w:szCs w:val="16"/>
        </w:rPr>
        <w:t>e</w:t>
      </w:r>
      <w:r w:rsidRPr="00F73096">
        <w:rPr>
          <w:spacing w:val="-2"/>
          <w:sz w:val="16"/>
          <w:szCs w:val="16"/>
        </w:rPr>
        <w:t xml:space="preserve"> přídavku (o</w:t>
      </w:r>
      <w:r>
        <w:rPr>
          <w:spacing w:val="-2"/>
          <w:sz w:val="16"/>
          <w:szCs w:val="16"/>
        </w:rPr>
        <w:t> 26 %)</w:t>
      </w:r>
      <w:r w:rsidRPr="00C20E4A">
        <w:rPr>
          <w:spacing w:val="-3"/>
          <w:sz w:val="16"/>
          <w:szCs w:val="16"/>
        </w:rPr>
        <w:t>.</w:t>
      </w:r>
    </w:p>
  </w:footnote>
  <w:footnote w:id="17">
    <w:p w14:paraId="2281CA4B" w14:textId="77777777" w:rsidR="009112E3" w:rsidRPr="00194107" w:rsidRDefault="009112E3" w:rsidP="00F00535">
      <w:pPr>
        <w:pStyle w:val="Textpoznpodarou"/>
        <w:rPr>
          <w:sz w:val="16"/>
          <w:szCs w:val="16"/>
        </w:rPr>
      </w:pPr>
      <w:r w:rsidRPr="00194107">
        <w:rPr>
          <w:rStyle w:val="Znakapoznpodarou"/>
          <w:sz w:val="16"/>
          <w:szCs w:val="16"/>
        </w:rPr>
        <w:footnoteRef/>
      </w:r>
      <w:r w:rsidRPr="00194107">
        <w:rPr>
          <w:sz w:val="16"/>
          <w:szCs w:val="16"/>
        </w:rPr>
        <w:t xml:space="preserve"> Díky mírné akceleraci čerpání investic dosáhlo jejich rozpočtové plnění letos na konci října 62</w:t>
      </w:r>
      <w:r>
        <w:rPr>
          <w:sz w:val="16"/>
          <w:szCs w:val="16"/>
        </w:rPr>
        <w:t> %</w:t>
      </w:r>
      <w:r w:rsidRPr="00194107">
        <w:rPr>
          <w:sz w:val="16"/>
          <w:szCs w:val="16"/>
        </w:rPr>
        <w:t>.</w:t>
      </w:r>
      <w:r>
        <w:rPr>
          <w:sz w:val="16"/>
          <w:szCs w:val="16"/>
        </w:rPr>
        <w:t xml:space="preserve"> I tak šlo o druhé nejnižší říjnové plnění od roku 2007.</w:t>
      </w:r>
    </w:p>
  </w:footnote>
  <w:footnote w:id="18">
    <w:p w14:paraId="683A551E" w14:textId="77777777" w:rsidR="009112E3" w:rsidRPr="00445896" w:rsidRDefault="009112E3" w:rsidP="00F00535">
      <w:pPr>
        <w:pStyle w:val="Textpoznpodarou"/>
        <w:rPr>
          <w:spacing w:val="-3"/>
          <w:sz w:val="16"/>
          <w:szCs w:val="16"/>
        </w:rPr>
      </w:pPr>
      <w:r w:rsidRPr="00445896">
        <w:rPr>
          <w:rStyle w:val="Znakapoznpodarou"/>
          <w:spacing w:val="-3"/>
          <w:sz w:val="16"/>
          <w:szCs w:val="16"/>
        </w:rPr>
        <w:footnoteRef/>
      </w:r>
      <w:r w:rsidRPr="00445896">
        <w:rPr>
          <w:spacing w:val="-3"/>
          <w:sz w:val="16"/>
          <w:szCs w:val="16"/>
        </w:rPr>
        <w:t xml:space="preserve"> V 1. čtvrtletí 2021 byly na domácím finančním trhu vydány středně</w:t>
      </w:r>
      <w:r>
        <w:rPr>
          <w:spacing w:val="-3"/>
          <w:sz w:val="16"/>
          <w:szCs w:val="16"/>
        </w:rPr>
        <w:t>-</w:t>
      </w:r>
      <w:r w:rsidRPr="00445896">
        <w:rPr>
          <w:spacing w:val="-3"/>
          <w:sz w:val="16"/>
          <w:szCs w:val="16"/>
        </w:rPr>
        <w:t xml:space="preserve"> a</w:t>
      </w:r>
      <w:r>
        <w:rPr>
          <w:spacing w:val="-3"/>
          <w:sz w:val="16"/>
          <w:szCs w:val="16"/>
        </w:rPr>
        <w:t> </w:t>
      </w:r>
      <w:r w:rsidRPr="00445896">
        <w:rPr>
          <w:spacing w:val="-3"/>
          <w:sz w:val="16"/>
          <w:szCs w:val="16"/>
        </w:rPr>
        <w:t>dlouhodobé státní dluhopisy za 231,8 mld. korun, od ledna do září pak v úhrnu za 485,7</w:t>
      </w:r>
      <w:r>
        <w:rPr>
          <w:spacing w:val="-3"/>
          <w:sz w:val="16"/>
          <w:szCs w:val="16"/>
        </w:rPr>
        <w:t> mld</w:t>
      </w:r>
      <w:r w:rsidRPr="00445896">
        <w:rPr>
          <w:spacing w:val="-3"/>
          <w:sz w:val="16"/>
          <w:szCs w:val="16"/>
        </w:rPr>
        <w:t>. Dluhopisy nejvíce poptávaly domácí banky a ostatní finanční instituce v tuzemsku, které tak na konci září držely již 66 % z celkových domácích státních dluhopisů. Na nerezidenty připadalo 30 %, meziročně o 4 p. b.</w:t>
      </w:r>
      <w:r>
        <w:rPr>
          <w:spacing w:val="-3"/>
          <w:sz w:val="16"/>
          <w:szCs w:val="16"/>
        </w:rPr>
        <w:t>,</w:t>
      </w:r>
      <w:r w:rsidRPr="00445896">
        <w:rPr>
          <w:spacing w:val="-3"/>
          <w:sz w:val="16"/>
          <w:szCs w:val="16"/>
        </w:rPr>
        <w:t xml:space="preserve"> a za dva roky dokonce o 11 p. b. méně. Z dalších dosud letos uplatněných dluhových nástrojů nelze opomenout úvěry od Evropské komise (52,3 mld. korun) na pomoc ke zmírnění rizik nezaměstnanosti vlivem rozšíření pandemie covidu-19. Vzrostla i role krátkodobých zápůjček i úvěrů k posílení likvidity státní pokladny.</w:t>
      </w:r>
    </w:p>
  </w:footnote>
  <w:footnote w:id="19">
    <w:p w14:paraId="20E050BE" w14:textId="77777777" w:rsidR="009112E3" w:rsidRPr="007D08A9" w:rsidRDefault="009112E3" w:rsidP="00F00535">
      <w:pPr>
        <w:pStyle w:val="Textpoznpodarou"/>
        <w:rPr>
          <w:sz w:val="16"/>
          <w:szCs w:val="16"/>
        </w:rPr>
      </w:pPr>
      <w:r w:rsidRPr="007D08A9">
        <w:rPr>
          <w:rStyle w:val="Znakapoznpodarou"/>
          <w:sz w:val="16"/>
          <w:szCs w:val="16"/>
        </w:rPr>
        <w:footnoteRef/>
      </w:r>
      <w:r w:rsidRPr="007D08A9">
        <w:rPr>
          <w:sz w:val="16"/>
          <w:szCs w:val="16"/>
        </w:rPr>
        <w:t xml:space="preserve"> Odpovídá saldu rozpočtové kapitoly Státní dluh.</w:t>
      </w:r>
    </w:p>
  </w:footnote>
  <w:footnote w:id="20">
    <w:p w14:paraId="588651A1" w14:textId="77777777" w:rsidR="009112E3" w:rsidRDefault="009112E3" w:rsidP="00F00535">
      <w:pPr>
        <w:pStyle w:val="Textpoznpodarou"/>
      </w:pPr>
      <w:r w:rsidRPr="008C2F4A">
        <w:rPr>
          <w:rStyle w:val="Znakapoznpodarou"/>
          <w:sz w:val="16"/>
          <w:szCs w:val="16"/>
        </w:rPr>
        <w:footnoteRef/>
      </w:r>
      <w:r w:rsidRPr="008C2F4A">
        <w:rPr>
          <w:sz w:val="16"/>
          <w:szCs w:val="16"/>
        </w:rPr>
        <w:t xml:space="preserve"> </w:t>
      </w:r>
      <w:r>
        <w:rPr>
          <w:sz w:val="16"/>
          <w:szCs w:val="16"/>
        </w:rPr>
        <w:t>Údaje o hospodaření vládních institucí v ČR za 3. čtvrtletí 2021 zveřejní ČSÚ 10. ledna 2022, Eurostat za své členské státy následně 21. ledna. Podrobnější zhodnocení vývoje v tuzemsku za 1. i 2. čtvrtletí je obsaženo v publikaci Analýza sektorových účtů:</w:t>
      </w:r>
    </w:p>
    <w:p w14:paraId="33F667B4" w14:textId="77777777" w:rsidR="009112E3" w:rsidRPr="0034013F" w:rsidRDefault="000C6B97" w:rsidP="00F00535">
      <w:pPr>
        <w:pStyle w:val="Textpoznpodarou"/>
        <w:rPr>
          <w:sz w:val="16"/>
          <w:szCs w:val="16"/>
        </w:rPr>
      </w:pPr>
      <w:hyperlink r:id="rId1" w:history="1">
        <w:r w:rsidR="009112E3" w:rsidRPr="0034013F">
          <w:rPr>
            <w:rStyle w:val="Hypertextovodkaz"/>
            <w:sz w:val="16"/>
            <w:szCs w:val="16"/>
          </w:rPr>
          <w:t>https://www.czso.cz/csu/czso/cri/analyza-ctvrtletnich-sektorovych-uctu-1-ctvrtleti-2021</w:t>
        </w:r>
      </w:hyperlink>
    </w:p>
    <w:p w14:paraId="0EF5328B" w14:textId="77777777" w:rsidR="009112E3" w:rsidRPr="00240B44" w:rsidRDefault="000C6B97" w:rsidP="00F00535">
      <w:pPr>
        <w:pStyle w:val="Textpoznpodarou"/>
      </w:pPr>
      <w:hyperlink r:id="rId2" w:history="1">
        <w:r w:rsidR="009112E3" w:rsidRPr="00240B44">
          <w:rPr>
            <w:rStyle w:val="Hypertextovodkaz"/>
            <w:sz w:val="16"/>
            <w:szCs w:val="16"/>
          </w:rPr>
          <w:t>https://www.czso.cz/csu/czso/cri/analyza-ctvrtletnich-sektorovych-uctu-2-ctvrtleti-2021</w:t>
        </w:r>
      </w:hyperlink>
    </w:p>
  </w:footnote>
  <w:footnote w:id="21">
    <w:p w14:paraId="6FA0C347" w14:textId="77777777" w:rsidR="009112E3" w:rsidRPr="00CB5D70" w:rsidRDefault="009112E3" w:rsidP="00F00535">
      <w:pPr>
        <w:pStyle w:val="Textpoznpodarou"/>
        <w:rPr>
          <w:spacing w:val="-2"/>
          <w:sz w:val="16"/>
          <w:szCs w:val="16"/>
        </w:rPr>
      </w:pPr>
      <w:r w:rsidRPr="00CB5D70">
        <w:rPr>
          <w:rStyle w:val="Znakapoznpodarou"/>
          <w:spacing w:val="-2"/>
          <w:sz w:val="16"/>
          <w:szCs w:val="16"/>
        </w:rPr>
        <w:footnoteRef/>
      </w:r>
      <w:r w:rsidRPr="00CB5D70">
        <w:rPr>
          <w:spacing w:val="-2"/>
          <w:sz w:val="16"/>
          <w:szCs w:val="16"/>
        </w:rPr>
        <w:t xml:space="preserve"> Bez Itálie, Řecka, Chorvatska a</w:t>
      </w:r>
      <w:r>
        <w:rPr>
          <w:spacing w:val="-2"/>
          <w:sz w:val="16"/>
          <w:szCs w:val="16"/>
        </w:rPr>
        <w:t> </w:t>
      </w:r>
      <w:r w:rsidRPr="00CB5D70">
        <w:rPr>
          <w:spacing w:val="-2"/>
          <w:sz w:val="16"/>
          <w:szCs w:val="16"/>
        </w:rPr>
        <w:t>Kypru. Na základě údajů bez sezónního očištění lze soudit, že hlubokých deficitů (kolem 10</w:t>
      </w:r>
      <w:r>
        <w:rPr>
          <w:spacing w:val="-2"/>
          <w:sz w:val="16"/>
          <w:szCs w:val="16"/>
        </w:rPr>
        <w:t> %</w:t>
      </w:r>
      <w:r w:rsidRPr="00CB5D70">
        <w:rPr>
          <w:spacing w:val="-2"/>
          <w:sz w:val="16"/>
          <w:szCs w:val="16"/>
        </w:rPr>
        <w:t xml:space="preserve"> HDP) dosahovaly ve 2.</w:t>
      </w:r>
      <w:r>
        <w:rPr>
          <w:spacing w:val="-2"/>
          <w:sz w:val="16"/>
          <w:szCs w:val="16"/>
        </w:rPr>
        <w:t> čtvrtlet</w:t>
      </w:r>
      <w:r w:rsidRPr="00CB5D70">
        <w:rPr>
          <w:spacing w:val="-2"/>
          <w:sz w:val="16"/>
          <w:szCs w:val="16"/>
        </w:rPr>
        <w:t>í všechny tyto státy vyjma Chorvatska</w:t>
      </w:r>
      <w:r>
        <w:rPr>
          <w:spacing w:val="-2"/>
          <w:sz w:val="16"/>
          <w:szCs w:val="16"/>
        </w:rPr>
        <w:t xml:space="preserve">, </w:t>
      </w:r>
      <w:r w:rsidRPr="00CB5D70">
        <w:rPr>
          <w:spacing w:val="-2"/>
          <w:sz w:val="16"/>
          <w:szCs w:val="16"/>
        </w:rPr>
        <w:t>kde se schodek hospodaření pohyboval blízko průměru všech zemí 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9112E3" w:rsidRDefault="009112E3" w:rsidP="00937AE2">
    <w:pPr>
      <w:pStyle w:val="Zhlav"/>
    </w:pPr>
    <w:r>
      <w:t>Vývoj ekonomiky České republiky</w:t>
    </w:r>
  </w:p>
  <w:p w14:paraId="3E881AB3" w14:textId="77777777" w:rsidR="009112E3" w:rsidRPr="006F5416" w:rsidRDefault="009112E3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9112E3" w:rsidRDefault="009112E3" w:rsidP="00937AE2">
    <w:pPr>
      <w:pStyle w:val="Zhlav"/>
    </w:pPr>
    <w:r>
      <w:t>Vývoj ekonomiky České republiky</w:t>
    </w:r>
  </w:p>
  <w:p w14:paraId="57266714" w14:textId="77777777" w:rsidR="009112E3" w:rsidRPr="006F5416" w:rsidRDefault="009112E3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B97"/>
    <w:rsid w:val="000C6C90"/>
    <w:rsid w:val="000C72B7"/>
    <w:rsid w:val="000D0A26"/>
    <w:rsid w:val="000D13CB"/>
    <w:rsid w:val="000D2196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36C1A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0ECA"/>
    <w:rsid w:val="00151707"/>
    <w:rsid w:val="00152C86"/>
    <w:rsid w:val="00152F4F"/>
    <w:rsid w:val="0015329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158D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2732"/>
    <w:rsid w:val="001C31A2"/>
    <w:rsid w:val="001C351D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1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25352"/>
    <w:rsid w:val="00426C99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7C1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11E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A76"/>
    <w:rsid w:val="00F57D57"/>
    <w:rsid w:val="00F6178B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D7D3B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36" Type="http://schemas.microsoft.com/office/2016/09/relationships/commentsIds" Target="commentsId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zso.cz/csu/czso/cri/analyza-ctvrtletnich-sektorovych-uctu-2-ctvrtleti-2021" TargetMode="External"/><Relationship Id="rId1" Type="http://schemas.openxmlformats.org/officeDocument/2006/relationships/hyperlink" Target="https://www.czso.cz/csu/czso/cri/analyza-ctvrtletnich-sektorovych-uctu-1-ctvrtleti-20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1-3.%20&#269;tvrtlet&#237;%202021\St&#225;tn&#237;%20rozpo&#269;et\Grafy-st&#225;tn&#237;%20rozpo&#269;et-1-3ql.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1-3.%20&#269;tvrtlet&#237;%202021\St&#225;tn&#237;%20rozpo&#269;et\Grafy-st&#225;tn&#237;%20rozpo&#269;et-1-3ql.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941807701508628E-2"/>
          <c:y val="1.7107238390107405E-2"/>
          <c:w val="0.83150016153928996"/>
          <c:h val="0.81082663967425594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'G1-Státní rozpočet-příjmy-2020'!$A$30</c:f>
              <c:strCache>
                <c:ptCount val="1"/>
                <c:pt idx="0">
                  <c:v>Ostatní daně a poplatky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12700">
              <a:noFill/>
              <a:prstDash val="solid"/>
            </a:ln>
          </c:spPr>
          <c:invertIfNegative val="0"/>
          <c:cat>
            <c:numRef>
              <c:f>'G1-Státní rozpočet-příjmy-2020'!$E$28:$R$28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'G1-Státní rozpočet-příjmy-2020'!$E$30:$R$30</c:f>
              <c:numCache>
                <c:formatCode>0.0</c:formatCode>
                <c:ptCount val="14"/>
                <c:pt idx="0">
                  <c:v>0.39922458302144437</c:v>
                </c:pt>
                <c:pt idx="1">
                  <c:v>-0.52138580751874397</c:v>
                </c:pt>
                <c:pt idx="2">
                  <c:v>0.38494174134398501</c:v>
                </c:pt>
                <c:pt idx="3">
                  <c:v>0.75782132576051031</c:v>
                </c:pt>
                <c:pt idx="4">
                  <c:v>0.2043100893839277</c:v>
                </c:pt>
                <c:pt idx="5">
                  <c:v>-0.31949620849206267</c:v>
                </c:pt>
                <c:pt idx="6">
                  <c:v>3.5798749491447207E-2</c:v>
                </c:pt>
                <c:pt idx="7">
                  <c:v>0.40823718281484184</c:v>
                </c:pt>
                <c:pt idx="8">
                  <c:v>0.44161079131733477</c:v>
                </c:pt>
                <c:pt idx="9">
                  <c:v>0.24214568841864642</c:v>
                </c:pt>
                <c:pt idx="10">
                  <c:v>0.18312368925754779</c:v>
                </c:pt>
                <c:pt idx="11">
                  <c:v>0.47861875769007395</c:v>
                </c:pt>
                <c:pt idx="12">
                  <c:v>-0.73226399824171062</c:v>
                </c:pt>
                <c:pt idx="13">
                  <c:v>-0.37376211363820977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76-4952-913B-A5B99EB8BC53}"/>
            </c:ext>
          </c:extLst>
        </c:ser>
        <c:ser>
          <c:idx val="3"/>
          <c:order val="2"/>
          <c:tx>
            <c:strRef>
              <c:f>'G1-Státní rozpočet-příjmy-2020'!$A$31</c:f>
              <c:strCache>
                <c:ptCount val="1"/>
                <c:pt idx="0">
                  <c:v>Daně z příjmů fyzických osob</c:v>
                </c:pt>
              </c:strCache>
            </c:strRef>
          </c:tx>
          <c:spPr>
            <a:solidFill>
              <a:srgbClr val="EA6C75"/>
            </a:solidFill>
            <a:ln w="19050">
              <a:noFill/>
              <a:prstDash val="sysDot"/>
            </a:ln>
          </c:spPr>
          <c:invertIfNegative val="0"/>
          <c:cat>
            <c:numRef>
              <c:f>'G1-Státní rozpočet-příjmy-2020'!$E$28:$R$28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'G1-Státní rozpočet-příjmy-2020'!$E$31:$R$31</c:f>
              <c:numCache>
                <c:formatCode>0.0</c:formatCode>
                <c:ptCount val="14"/>
                <c:pt idx="0">
                  <c:v>-0.89057791597090308</c:v>
                </c:pt>
                <c:pt idx="1">
                  <c:v>-2.3911831862066482</c:v>
                </c:pt>
                <c:pt idx="2">
                  <c:v>0.45944659450733688</c:v>
                </c:pt>
                <c:pt idx="3">
                  <c:v>0.27425503773438153</c:v>
                </c:pt>
                <c:pt idx="4">
                  <c:v>0.56588323147489383</c:v>
                </c:pt>
                <c:pt idx="5">
                  <c:v>0.76653574247405754</c:v>
                </c:pt>
                <c:pt idx="6">
                  <c:v>1.1680102450225207</c:v>
                </c:pt>
                <c:pt idx="7">
                  <c:v>0.24848817893269873</c:v>
                </c:pt>
                <c:pt idx="8">
                  <c:v>2.4022988925870408</c:v>
                </c:pt>
                <c:pt idx="9">
                  <c:v>2.1715995496398643</c:v>
                </c:pt>
                <c:pt idx="10">
                  <c:v>2.8466827137894803</c:v>
                </c:pt>
                <c:pt idx="11">
                  <c:v>2.8423893336720409</c:v>
                </c:pt>
                <c:pt idx="12">
                  <c:v>-2.1733753383441989</c:v>
                </c:pt>
                <c:pt idx="13">
                  <c:v>-5.6366495979282298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76-4952-913B-A5B99EB8BC53}"/>
            </c:ext>
          </c:extLst>
        </c:ser>
        <c:ser>
          <c:idx val="4"/>
          <c:order val="3"/>
          <c:tx>
            <c:strRef>
              <c:f>'G1-Státní rozpočet-příjmy-2020'!$A$32</c:f>
              <c:strCache>
                <c:ptCount val="1"/>
                <c:pt idx="0">
                  <c:v>Daně z příjmů právnických osob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19050">
              <a:noFill/>
            </a:ln>
          </c:spPr>
          <c:invertIfNegative val="0"/>
          <c:cat>
            <c:numRef>
              <c:f>'G1-Státní rozpočet-příjmy-2020'!$E$28:$R$28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'G1-Státní rozpočet-příjmy-2020'!$E$32:$R$32</c:f>
              <c:numCache>
                <c:formatCode>0.0</c:formatCode>
                <c:ptCount val="14"/>
                <c:pt idx="0">
                  <c:v>4.0018425749985633</c:v>
                </c:pt>
                <c:pt idx="1">
                  <c:v>-9.4748386400819857</c:v>
                </c:pt>
                <c:pt idx="2">
                  <c:v>1.069972474595916</c:v>
                </c:pt>
                <c:pt idx="3">
                  <c:v>-1.1806582120905686</c:v>
                </c:pt>
                <c:pt idx="4">
                  <c:v>1.5944142400339956</c:v>
                </c:pt>
                <c:pt idx="5">
                  <c:v>-1.1178646244413311</c:v>
                </c:pt>
                <c:pt idx="6">
                  <c:v>1.5408961448419181</c:v>
                </c:pt>
                <c:pt idx="7">
                  <c:v>2.0070199067641155</c:v>
                </c:pt>
                <c:pt idx="8">
                  <c:v>2.4996667023494781</c:v>
                </c:pt>
                <c:pt idx="9">
                  <c:v>4.1642889091102551E-2</c:v>
                </c:pt>
                <c:pt idx="10">
                  <c:v>0.43384885916488058</c:v>
                </c:pt>
                <c:pt idx="11">
                  <c:v>1.5935221228717706</c:v>
                </c:pt>
                <c:pt idx="12">
                  <c:v>-3.6005022371045294</c:v>
                </c:pt>
                <c:pt idx="13">
                  <c:v>5.880339378057065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76-4952-913B-A5B99EB8BC53}"/>
            </c:ext>
          </c:extLst>
        </c:ser>
        <c:ser>
          <c:idx val="2"/>
          <c:order val="4"/>
          <c:tx>
            <c:strRef>
              <c:f>'G1-Státní rozpočet-příjmy-2020'!$A$33</c:f>
              <c:strCache>
                <c:ptCount val="1"/>
                <c:pt idx="0">
                  <c:v>Spotřební daň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cat>
            <c:numRef>
              <c:f>'G1-Státní rozpočet-příjmy-2020'!$E$28:$R$28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'G1-Státní rozpočet-příjmy-2020'!$E$33:$R$33</c:f>
              <c:numCache>
                <c:formatCode>0.0</c:formatCode>
                <c:ptCount val="14"/>
                <c:pt idx="0">
                  <c:v>0.59883687453215706</c:v>
                </c:pt>
                <c:pt idx="1">
                  <c:v>-0.6130777943582455</c:v>
                </c:pt>
                <c:pt idx="2">
                  <c:v>1.3452265154494103</c:v>
                </c:pt>
                <c:pt idx="3">
                  <c:v>1.2409554189683412</c:v>
                </c:pt>
                <c:pt idx="4">
                  <c:v>-0.30205929247646662</c:v>
                </c:pt>
                <c:pt idx="5">
                  <c:v>-0.71956664060677211</c:v>
                </c:pt>
                <c:pt idx="6">
                  <c:v>0.39847610863053251</c:v>
                </c:pt>
                <c:pt idx="7">
                  <c:v>0.80107028313269024</c:v>
                </c:pt>
                <c:pt idx="8">
                  <c:v>1.2070250899860806</c:v>
                </c:pt>
                <c:pt idx="9">
                  <c:v>0.53056125360519379</c:v>
                </c:pt>
                <c:pt idx="10">
                  <c:v>0.26232721716946206</c:v>
                </c:pt>
                <c:pt idx="11">
                  <c:v>-3.9196048823818809E-2</c:v>
                </c:pt>
                <c:pt idx="12">
                  <c:v>-0.40403836868730125</c:v>
                </c:pt>
                <c:pt idx="13">
                  <c:v>-0.91040078196716079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76-4952-913B-A5B99EB8BC53}"/>
            </c:ext>
          </c:extLst>
        </c:ser>
        <c:ser>
          <c:idx val="5"/>
          <c:order val="5"/>
          <c:tx>
            <c:strRef>
              <c:f>'G1-Státní rozpočet-příjmy-2020'!$A$34</c:f>
              <c:strCache>
                <c:ptCount val="1"/>
                <c:pt idx="0">
                  <c:v>DPH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</c:spPr>
          <c:invertIfNegative val="0"/>
          <c:cat>
            <c:numRef>
              <c:f>'G1-Státní rozpočet-příjmy-2020'!$E$28:$R$28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'G1-Státní rozpočet-příjmy-2020'!$E$34:$R$34</c:f>
              <c:numCache>
                <c:formatCode>0.0</c:formatCode>
                <c:ptCount val="14"/>
                <c:pt idx="0">
                  <c:v>2.6467822114738673</c:v>
                </c:pt>
                <c:pt idx="1">
                  <c:v>-0.12764962873734884</c:v>
                </c:pt>
                <c:pt idx="2">
                  <c:v>3.1416213083880091</c:v>
                </c:pt>
                <c:pt idx="3">
                  <c:v>0.64965377732825347</c:v>
                </c:pt>
                <c:pt idx="4">
                  <c:v>-0.30588282782426646</c:v>
                </c:pt>
                <c:pt idx="5">
                  <c:v>4.1746137739640945</c:v>
                </c:pt>
                <c:pt idx="6">
                  <c:v>2.047216704890801</c:v>
                </c:pt>
                <c:pt idx="7">
                  <c:v>4.5179668896857914E-2</c:v>
                </c:pt>
                <c:pt idx="8">
                  <c:v>2.2948585507802108</c:v>
                </c:pt>
                <c:pt idx="9">
                  <c:v>4.0193099619044652</c:v>
                </c:pt>
                <c:pt idx="10">
                  <c:v>2.9158679139220882</c:v>
                </c:pt>
                <c:pt idx="11">
                  <c:v>1.9070905134623097</c:v>
                </c:pt>
                <c:pt idx="12">
                  <c:v>-0.75630542506162757</c:v>
                </c:pt>
                <c:pt idx="13">
                  <c:v>3.0684785155068579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76-4952-913B-A5B99EB8B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94467712"/>
        <c:axId val="194473984"/>
      </c:barChart>
      <c:lineChart>
        <c:grouping val="standard"/>
        <c:varyColors val="0"/>
        <c:ser>
          <c:idx val="0"/>
          <c:order val="0"/>
          <c:tx>
            <c:strRef>
              <c:f>'G1-Státní rozpočet-příjmy-2020'!$A$29</c:f>
              <c:strCache>
                <c:ptCount val="1"/>
                <c:pt idx="0">
                  <c:v>Celkové daňové příjmy (bez pojistného na SZ)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numRef>
              <c:f>'G1-Státní rozpočet-příjmy-2020'!$E$28:$R$28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'G1-Státní rozpočet-příjmy-2020'!$E$29:$R$29</c:f>
              <c:numCache>
                <c:formatCode>0.0</c:formatCode>
                <c:ptCount val="14"/>
                <c:pt idx="0">
                  <c:v>6.7561083280551344</c:v>
                </c:pt>
                <c:pt idx="1">
                  <c:v>-13.128135056902977</c:v>
                </c:pt>
                <c:pt idx="2">
                  <c:v>6.4012086342846573</c:v>
                </c:pt>
                <c:pt idx="3">
                  <c:v>1.742027347700926</c:v>
                </c:pt>
                <c:pt idx="4">
                  <c:v>1.756665440592073</c:v>
                </c:pt>
                <c:pt idx="5">
                  <c:v>2.7842220428979942</c:v>
                </c:pt>
                <c:pt idx="6">
                  <c:v>5.1903979528772197</c:v>
                </c:pt>
                <c:pt idx="7">
                  <c:v>3.5099952205412137</c:v>
                </c:pt>
                <c:pt idx="8">
                  <c:v>8.8454600270201382</c:v>
                </c:pt>
                <c:pt idx="9">
                  <c:v>7.0052593426592722</c:v>
                </c:pt>
                <c:pt idx="10">
                  <c:v>6.6418503933034572</c:v>
                </c:pt>
                <c:pt idx="11">
                  <c:v>6.7824246788723741</c:v>
                </c:pt>
                <c:pt idx="12">
                  <c:v>-7.666485367439364</c:v>
                </c:pt>
                <c:pt idx="13">
                  <c:v>2.0280054000303238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076-4952-913B-A5B99EB8B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467712"/>
        <c:axId val="194473984"/>
      </c:lineChart>
      <c:lineChart>
        <c:grouping val="standard"/>
        <c:varyColors val="0"/>
        <c:ser>
          <c:idx val="6"/>
          <c:order val="6"/>
          <c:tx>
            <c:strRef>
              <c:f>'G1-Státní rozpočet-příjmy-2020'!$A$35</c:f>
              <c:strCache>
                <c:ptCount val="1"/>
                <c:pt idx="0">
                  <c:v>Saldo státního rozpočtu (pravá osa)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numRef>
              <c:f>'G1-Státní rozpočet-příjmy-2020'!$E$28:$R$28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'G1-Státní rozpočet-příjmy-2020'!$E$35:$R$35</c:f>
              <c:numCache>
                <c:formatCode>0.0</c:formatCode>
                <c:ptCount val="14"/>
                <c:pt idx="0">
                  <c:v>10.473000000000001</c:v>
                </c:pt>
                <c:pt idx="1">
                  <c:v>-87.296000000000006</c:v>
                </c:pt>
                <c:pt idx="2">
                  <c:v>-99.555000000000007</c:v>
                </c:pt>
                <c:pt idx="3">
                  <c:v>-105.13800000000001</c:v>
                </c:pt>
                <c:pt idx="4">
                  <c:v>-71.412000000000006</c:v>
                </c:pt>
                <c:pt idx="5">
                  <c:v>-38.241</c:v>
                </c:pt>
                <c:pt idx="6">
                  <c:v>-34.39</c:v>
                </c:pt>
                <c:pt idx="7">
                  <c:v>-2.77</c:v>
                </c:pt>
                <c:pt idx="8">
                  <c:v>82.27</c:v>
                </c:pt>
                <c:pt idx="9">
                  <c:v>17.399999999999999</c:v>
                </c:pt>
                <c:pt idx="10">
                  <c:v>16.77</c:v>
                </c:pt>
                <c:pt idx="11">
                  <c:v>-20.99</c:v>
                </c:pt>
                <c:pt idx="12">
                  <c:v>-252.66738666548986</c:v>
                </c:pt>
                <c:pt idx="13">
                  <c:v>-326.27150374008011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076-4952-913B-A5B99EB8B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9204576"/>
        <c:axId val="556140592"/>
      </c:lineChart>
      <c:catAx>
        <c:axId val="19446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6350">
            <a:solidFill>
              <a:schemeClr val="tx1"/>
            </a:solidFill>
          </a:ln>
        </c:spPr>
        <c:crossAx val="194473984"/>
        <c:crosses val="autoZero"/>
        <c:auto val="1"/>
        <c:lblAlgn val="ctr"/>
        <c:lblOffset val="0"/>
        <c:noMultiLvlLbl val="0"/>
      </c:catAx>
      <c:valAx>
        <c:axId val="194473984"/>
        <c:scaling>
          <c:orientation val="minMax"/>
          <c:max val="12"/>
          <c:min val="-18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celkových daňových příjmů (v p. b.)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crossAx val="194467712"/>
        <c:crosses val="autoZero"/>
        <c:crossBetween val="between"/>
        <c:majorUnit val="3"/>
      </c:valAx>
      <c:valAx>
        <c:axId val="556140592"/>
        <c:scaling>
          <c:orientation val="minMax"/>
          <c:max val="240"/>
          <c:min val="-36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Saldo státního rozpočtu (v mld. korun)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539204576"/>
        <c:crosses val="max"/>
        <c:crossBetween val="between"/>
        <c:majorUnit val="60"/>
      </c:valAx>
      <c:catAx>
        <c:axId val="539204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6140592"/>
        <c:crosses val="autoZero"/>
        <c:auto val="1"/>
        <c:lblAlgn val="ctr"/>
        <c:lblOffset val="100"/>
        <c:noMultiLvlLbl val="0"/>
      </c:catAx>
      <c:spPr>
        <a:ln w="6350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8691468402703727E-2"/>
          <c:y val="0.87210051713383807"/>
          <c:w val="0.95851508447487288"/>
          <c:h val="0.12059881571378753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5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233554716266127E-2"/>
          <c:y val="1.7112323287741892E-2"/>
          <c:w val="0.82968371809808084"/>
          <c:h val="0.76067747074773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'SR-výdaje-celorok-2021'!$B$34</c:f>
              <c:strCache>
                <c:ptCount val="1"/>
                <c:pt idx="0">
                  <c:v>Běžné výdaje celkem (pravá osa)</c:v>
                </c:pt>
              </c:strCache>
            </c:strRef>
          </c:tx>
          <c:spPr>
            <a:solidFill>
              <a:srgbClr val="D3D3D3"/>
            </a:solidFill>
            <a:ln>
              <a:noFill/>
            </a:ln>
          </c:spPr>
          <c:invertIfNegative val="0"/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'SR-výdaje-celorok-2021'!$B$38:$B$51</c:f>
              <c:numCache>
                <c:formatCode>0.0</c:formatCode>
                <c:ptCount val="14"/>
                <c:pt idx="0">
                  <c:v>707.04</c:v>
                </c:pt>
                <c:pt idx="1">
                  <c:v>734.05</c:v>
                </c:pt>
                <c:pt idx="2">
                  <c:v>754.15</c:v>
                </c:pt>
                <c:pt idx="3">
                  <c:v>764.93</c:v>
                </c:pt>
                <c:pt idx="4">
                  <c:v>755.57</c:v>
                </c:pt>
                <c:pt idx="5">
                  <c:v>786.27</c:v>
                </c:pt>
                <c:pt idx="6">
                  <c:v>801.1</c:v>
                </c:pt>
                <c:pt idx="7">
                  <c:v>822.78</c:v>
                </c:pt>
                <c:pt idx="8">
                  <c:v>831.33</c:v>
                </c:pt>
                <c:pt idx="9">
                  <c:v>881.38</c:v>
                </c:pt>
                <c:pt idx="10">
                  <c:v>946.49</c:v>
                </c:pt>
                <c:pt idx="11">
                  <c:v>1039.0999999999999</c:v>
                </c:pt>
                <c:pt idx="12">
                  <c:v>1205.0999999999999</c:v>
                </c:pt>
                <c:pt idx="13">
                  <c:v>1305.7096706126699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B-4FDC-9A3A-FADF109208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72836608"/>
        <c:axId val="72835072"/>
      </c:barChart>
      <c:lineChart>
        <c:grouping val="standard"/>
        <c:varyColors val="0"/>
        <c:ser>
          <c:idx val="1"/>
          <c:order val="1"/>
          <c:tx>
            <c:strRef>
              <c:f>'SR-výdaje-celorok-2021'!$C$34</c:f>
              <c:strCache>
                <c:ptCount val="1"/>
                <c:pt idx="0">
                  <c:v>Platy státních zaměstnanců*</c:v>
                </c:pt>
              </c:strCache>
            </c:strRef>
          </c:tx>
          <c:spPr>
            <a:ln w="15875">
              <a:solidFill>
                <a:srgbClr val="996633"/>
              </a:solidFill>
            </a:ln>
          </c:spPr>
          <c:marker>
            <c:symbol val="none"/>
          </c:marker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'SR-výdaje-celorok-2021'!$C$38:$C$51</c:f>
              <c:numCache>
                <c:formatCode>0.0</c:formatCode>
                <c:ptCount val="14"/>
                <c:pt idx="0">
                  <c:v>61.44</c:v>
                </c:pt>
                <c:pt idx="1">
                  <c:v>63.79</c:v>
                </c:pt>
                <c:pt idx="2">
                  <c:v>63.5</c:v>
                </c:pt>
                <c:pt idx="3">
                  <c:v>57.88</c:v>
                </c:pt>
                <c:pt idx="4">
                  <c:v>58.77</c:v>
                </c:pt>
                <c:pt idx="5">
                  <c:v>60.04</c:v>
                </c:pt>
                <c:pt idx="6">
                  <c:v>61.89</c:v>
                </c:pt>
                <c:pt idx="7">
                  <c:v>67.66</c:v>
                </c:pt>
                <c:pt idx="8">
                  <c:v>70.25</c:v>
                </c:pt>
                <c:pt idx="9">
                  <c:v>76.150000000000006</c:v>
                </c:pt>
                <c:pt idx="10">
                  <c:v>86.54</c:v>
                </c:pt>
                <c:pt idx="11">
                  <c:v>93.2</c:v>
                </c:pt>
                <c:pt idx="12">
                  <c:v>97.9</c:v>
                </c:pt>
                <c:pt idx="13">
                  <c:v>99.809643274669995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BAB-4FDC-9A3A-FADF10920804}"/>
            </c:ext>
          </c:extLst>
        </c:ser>
        <c:ser>
          <c:idx val="6"/>
          <c:order val="2"/>
          <c:tx>
            <c:strRef>
              <c:f>'SR-výdaje-celorok-2021'!$D$34</c:f>
              <c:strCache>
                <c:ptCount val="1"/>
                <c:pt idx="0">
                  <c:v>Podpora v nezaměstnanosti</c:v>
                </c:pt>
              </c:strCache>
            </c:strRef>
          </c:tx>
          <c:spPr>
            <a:ln w="15875">
              <a:solidFill>
                <a:srgbClr val="48AEE7"/>
              </a:solidFill>
            </a:ln>
          </c:spPr>
          <c:marker>
            <c:symbol val="none"/>
          </c:marker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'SR-výdaje-celorok-2021'!$D$38:$D$51</c:f>
              <c:numCache>
                <c:formatCode>0.0</c:formatCode>
                <c:ptCount val="14"/>
                <c:pt idx="0">
                  <c:v>5.29</c:v>
                </c:pt>
                <c:pt idx="1">
                  <c:v>11.41</c:v>
                </c:pt>
                <c:pt idx="2">
                  <c:v>10.65</c:v>
                </c:pt>
                <c:pt idx="3">
                  <c:v>8.36</c:v>
                </c:pt>
                <c:pt idx="4">
                  <c:v>6.78</c:v>
                </c:pt>
                <c:pt idx="5">
                  <c:v>7.53</c:v>
                </c:pt>
                <c:pt idx="6">
                  <c:v>7.33</c:v>
                </c:pt>
                <c:pt idx="7">
                  <c:v>6.46</c:v>
                </c:pt>
                <c:pt idx="8">
                  <c:v>6.39</c:v>
                </c:pt>
                <c:pt idx="9">
                  <c:v>6.11</c:v>
                </c:pt>
                <c:pt idx="10">
                  <c:v>5.77</c:v>
                </c:pt>
                <c:pt idx="11">
                  <c:v>6.19</c:v>
                </c:pt>
                <c:pt idx="12">
                  <c:v>7.9929069492</c:v>
                </c:pt>
                <c:pt idx="13">
                  <c:v>7.7669446242499998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BAB-4FDC-9A3A-FADF10920804}"/>
            </c:ext>
          </c:extLst>
        </c:ser>
        <c:ser>
          <c:idx val="7"/>
          <c:order val="3"/>
          <c:tx>
            <c:strRef>
              <c:f>'SR-výdaje-celorok-2021'!$E$34</c:f>
              <c:strCache>
                <c:ptCount val="1"/>
                <c:pt idx="0">
                  <c:v>Státní sociální podpora**</c:v>
                </c:pt>
              </c:strCache>
            </c:strRef>
          </c:tx>
          <c:spPr>
            <a:ln w="15875">
              <a:solidFill>
                <a:srgbClr val="00B050"/>
              </a:solidFill>
            </a:ln>
          </c:spPr>
          <c:marker>
            <c:symbol val="none"/>
          </c:marker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'SR-výdaje-celorok-2021'!$E$38:$E$51</c:f>
              <c:numCache>
                <c:formatCode>0.0</c:formatCode>
                <c:ptCount val="14"/>
                <c:pt idx="0">
                  <c:v>31.98</c:v>
                </c:pt>
                <c:pt idx="1">
                  <c:v>30.95</c:v>
                </c:pt>
                <c:pt idx="2">
                  <c:v>30.85</c:v>
                </c:pt>
                <c:pt idx="3">
                  <c:v>27.32</c:v>
                </c:pt>
                <c:pt idx="4">
                  <c:v>26.77</c:v>
                </c:pt>
                <c:pt idx="5">
                  <c:v>28.04</c:v>
                </c:pt>
                <c:pt idx="6">
                  <c:v>28.22</c:v>
                </c:pt>
                <c:pt idx="7">
                  <c:v>28.27</c:v>
                </c:pt>
                <c:pt idx="8">
                  <c:v>28.38</c:v>
                </c:pt>
                <c:pt idx="9">
                  <c:v>28.02</c:v>
                </c:pt>
                <c:pt idx="10">
                  <c:v>29.32</c:v>
                </c:pt>
                <c:pt idx="11">
                  <c:v>28.28</c:v>
                </c:pt>
                <c:pt idx="12">
                  <c:v>38.692716178420007</c:v>
                </c:pt>
                <c:pt idx="13">
                  <c:v>36.590789498880007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BAB-4FDC-9A3A-FADF10920804}"/>
            </c:ext>
          </c:extLst>
        </c:ser>
        <c:ser>
          <c:idx val="2"/>
          <c:order val="4"/>
          <c:tx>
            <c:strRef>
              <c:f>'SR-výdaje-celorok-2021'!$F$34</c:f>
              <c:strCache>
                <c:ptCount val="1"/>
                <c:pt idx="0">
                  <c:v>Dávky nemocenského pojištění</c:v>
                </c:pt>
              </c:strCache>
            </c:strRef>
          </c:tx>
          <c:spPr>
            <a:ln w="15875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'SR-výdaje-celorok-2021'!$F$38:$F$51</c:f>
              <c:numCache>
                <c:formatCode>0.0</c:formatCode>
                <c:ptCount val="14"/>
                <c:pt idx="0">
                  <c:v>24.12</c:v>
                </c:pt>
                <c:pt idx="1">
                  <c:v>20.07</c:v>
                </c:pt>
                <c:pt idx="2">
                  <c:v>16.8</c:v>
                </c:pt>
                <c:pt idx="3">
                  <c:v>16.82</c:v>
                </c:pt>
                <c:pt idx="4">
                  <c:v>14.84</c:v>
                </c:pt>
                <c:pt idx="5">
                  <c:v>15.44</c:v>
                </c:pt>
                <c:pt idx="6">
                  <c:v>16.649999999999999</c:v>
                </c:pt>
                <c:pt idx="7">
                  <c:v>18.23</c:v>
                </c:pt>
                <c:pt idx="8">
                  <c:v>19.88</c:v>
                </c:pt>
                <c:pt idx="9">
                  <c:v>21.43</c:v>
                </c:pt>
                <c:pt idx="10">
                  <c:v>25.48</c:v>
                </c:pt>
                <c:pt idx="11">
                  <c:v>29.3</c:v>
                </c:pt>
                <c:pt idx="12">
                  <c:v>43.2</c:v>
                </c:pt>
                <c:pt idx="13">
                  <c:v>39.6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BAB-4FDC-9A3A-FADF10920804}"/>
            </c:ext>
          </c:extLst>
        </c:ser>
        <c:ser>
          <c:idx val="3"/>
          <c:order val="5"/>
          <c:tx>
            <c:strRef>
              <c:f>'SR-výdaje-celorok-2021'!$G$34</c:f>
              <c:strCache>
                <c:ptCount val="1"/>
                <c:pt idx="0">
                  <c:v>Dávky sociální péče***</c:v>
                </c:pt>
              </c:strCache>
            </c:strRef>
          </c:tx>
          <c:spPr>
            <a:ln w="15875"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'SR-výdaje-celorok-2021'!$G$38:$G$51</c:f>
              <c:numCache>
                <c:formatCode>0.0</c:formatCode>
                <c:ptCount val="14"/>
                <c:pt idx="0">
                  <c:v>18.600000000000001</c:v>
                </c:pt>
                <c:pt idx="1">
                  <c:v>18.899999999999999</c:v>
                </c:pt>
                <c:pt idx="2">
                  <c:v>19.600000000000001</c:v>
                </c:pt>
                <c:pt idx="3">
                  <c:v>19.100000000000001</c:v>
                </c:pt>
                <c:pt idx="4">
                  <c:v>20.309999999999999</c:v>
                </c:pt>
                <c:pt idx="5">
                  <c:v>23.73</c:v>
                </c:pt>
                <c:pt idx="6">
                  <c:v>25.18</c:v>
                </c:pt>
                <c:pt idx="7">
                  <c:v>25.26</c:v>
                </c:pt>
                <c:pt idx="8">
                  <c:v>25.4</c:v>
                </c:pt>
                <c:pt idx="9">
                  <c:v>25.96</c:v>
                </c:pt>
                <c:pt idx="10">
                  <c:v>25.547999999999998</c:v>
                </c:pt>
                <c:pt idx="11">
                  <c:v>27.04</c:v>
                </c:pt>
                <c:pt idx="12">
                  <c:v>30.3</c:v>
                </c:pt>
                <c:pt idx="13">
                  <c:v>30.5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BAB-4FDC-9A3A-FADF10920804}"/>
            </c:ext>
          </c:extLst>
        </c:ser>
        <c:ser>
          <c:idx val="4"/>
          <c:order val="6"/>
          <c:tx>
            <c:strRef>
              <c:f>'SR-výdaje-celorok-2021'!$H$34</c:f>
              <c:strCache>
                <c:ptCount val="1"/>
                <c:pt idx="0">
                  <c:v>Neinvestič. nákupy a souvis. výdaje****</c:v>
                </c:pt>
              </c:strCache>
            </c:strRef>
          </c:tx>
          <c:spPr>
            <a:ln w="15875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'SR-výdaje-celorok-2021'!$H$38:$H$51</c:f>
              <c:numCache>
                <c:formatCode>0.0</c:formatCode>
                <c:ptCount val="14"/>
                <c:pt idx="0">
                  <c:v>46.384999999999998</c:v>
                </c:pt>
                <c:pt idx="1">
                  <c:v>46.423000000000002</c:v>
                </c:pt>
                <c:pt idx="2">
                  <c:v>43.066999999999993</c:v>
                </c:pt>
                <c:pt idx="3">
                  <c:v>38.64</c:v>
                </c:pt>
                <c:pt idx="4">
                  <c:v>34.989999999999995</c:v>
                </c:pt>
                <c:pt idx="5">
                  <c:v>33.93</c:v>
                </c:pt>
                <c:pt idx="6">
                  <c:v>33.94</c:v>
                </c:pt>
                <c:pt idx="7">
                  <c:v>38.31</c:v>
                </c:pt>
                <c:pt idx="8">
                  <c:v>36.659999999999997</c:v>
                </c:pt>
                <c:pt idx="9">
                  <c:v>41.17</c:v>
                </c:pt>
                <c:pt idx="10">
                  <c:v>42.379999999999995</c:v>
                </c:pt>
                <c:pt idx="11">
                  <c:v>43.46</c:v>
                </c:pt>
                <c:pt idx="12">
                  <c:v>50.548159175919999</c:v>
                </c:pt>
                <c:pt idx="13">
                  <c:v>49.840184942049994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BAB-4FDC-9A3A-FADF10920804}"/>
            </c:ext>
          </c:extLst>
        </c:ser>
        <c:ser>
          <c:idx val="5"/>
          <c:order val="7"/>
          <c:tx>
            <c:strRef>
              <c:f>'SR-výdaje-celorok-2021'!$I$34</c:f>
              <c:strCache>
                <c:ptCount val="1"/>
                <c:pt idx="0">
                  <c:v>Státní dluh (čisté výdaje)*****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'SR-výdaje-celorok-2021'!$I$38:$I$51</c:f>
              <c:numCache>
                <c:formatCode>0.0</c:formatCode>
                <c:ptCount val="14"/>
                <c:pt idx="0">
                  <c:v>24.46</c:v>
                </c:pt>
                <c:pt idx="1">
                  <c:v>33.33</c:v>
                </c:pt>
                <c:pt idx="2">
                  <c:v>24.92</c:v>
                </c:pt>
                <c:pt idx="3">
                  <c:v>35.89</c:v>
                </c:pt>
                <c:pt idx="4">
                  <c:v>35.86</c:v>
                </c:pt>
                <c:pt idx="5">
                  <c:v>44.55</c:v>
                </c:pt>
                <c:pt idx="6">
                  <c:v>43.16</c:v>
                </c:pt>
                <c:pt idx="7">
                  <c:v>41.03</c:v>
                </c:pt>
                <c:pt idx="8">
                  <c:v>38.1</c:v>
                </c:pt>
                <c:pt idx="9">
                  <c:v>33.849999999999994</c:v>
                </c:pt>
                <c:pt idx="10">
                  <c:v>32.616999999999997</c:v>
                </c:pt>
                <c:pt idx="11">
                  <c:v>33.350999999999999</c:v>
                </c:pt>
                <c:pt idx="12">
                  <c:v>32.136847667730002</c:v>
                </c:pt>
                <c:pt idx="13">
                  <c:v>34.590381461650004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BAB-4FDC-9A3A-FADF10920804}"/>
            </c:ext>
          </c:extLst>
        </c:ser>
        <c:ser>
          <c:idx val="8"/>
          <c:order val="8"/>
          <c:tx>
            <c:strRef>
              <c:f>'SR-výdaje-celorok-2021'!$J$34</c:f>
              <c:strCache>
                <c:ptCount val="1"/>
                <c:pt idx="0">
                  <c:v>Kapitálové výdaje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numRef>
              <c:f>'SR-výdaje-celorok-2021'!$A$38:$A$51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'SR-výdaje-celorok-2021'!$J$38:$J$51</c:f>
              <c:numCache>
                <c:formatCode>0.0</c:formatCode>
                <c:ptCount val="14"/>
                <c:pt idx="0">
                  <c:v>76.95</c:v>
                </c:pt>
                <c:pt idx="1">
                  <c:v>80.024000000000001</c:v>
                </c:pt>
                <c:pt idx="2">
                  <c:v>91.36</c:v>
                </c:pt>
                <c:pt idx="3">
                  <c:v>82.07</c:v>
                </c:pt>
                <c:pt idx="4">
                  <c:v>72.98</c:v>
                </c:pt>
                <c:pt idx="5">
                  <c:v>58.39</c:v>
                </c:pt>
                <c:pt idx="6">
                  <c:v>59.67</c:v>
                </c:pt>
                <c:pt idx="7">
                  <c:v>88.53</c:v>
                </c:pt>
                <c:pt idx="8">
                  <c:v>51.6</c:v>
                </c:pt>
                <c:pt idx="9">
                  <c:v>41.37</c:v>
                </c:pt>
                <c:pt idx="10">
                  <c:v>60.93</c:v>
                </c:pt>
                <c:pt idx="11">
                  <c:v>85.1</c:v>
                </c:pt>
                <c:pt idx="12">
                  <c:v>105.9</c:v>
                </c:pt>
                <c:pt idx="13">
                  <c:v>99.612614301080001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BAB-4FDC-9A3A-FADF109208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827648"/>
        <c:axId val="72829184"/>
      </c:lineChart>
      <c:catAx>
        <c:axId val="728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crossAx val="72829184"/>
        <c:crosses val="autoZero"/>
        <c:auto val="1"/>
        <c:lblAlgn val="ctr"/>
        <c:lblOffset val="20"/>
        <c:noMultiLvlLbl val="0"/>
      </c:catAx>
      <c:valAx>
        <c:axId val="72829184"/>
        <c:scaling>
          <c:orientation val="minMax"/>
          <c:max val="132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Ostatní výdaje (v mld. korun)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crossAx val="72827648"/>
        <c:crosses val="autoZero"/>
        <c:crossBetween val="between"/>
        <c:majorUnit val="10"/>
      </c:valAx>
      <c:valAx>
        <c:axId val="72835072"/>
        <c:scaling>
          <c:orientation val="minMax"/>
          <c:max val="132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Běžné výdaje celkem (v mld. korun)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72836608"/>
        <c:crosses val="max"/>
        <c:crossBetween val="between"/>
        <c:majorUnit val="100"/>
        <c:minorUnit val="10"/>
      </c:valAx>
      <c:catAx>
        <c:axId val="72836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2835072"/>
        <c:crosses val="autoZero"/>
        <c:auto val="1"/>
        <c:lblAlgn val="ctr"/>
        <c:lblOffset val="100"/>
        <c:noMultiLvlLbl val="0"/>
      </c:catAx>
      <c:spPr>
        <a:ln w="6350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726525648987495E-2"/>
          <c:y val="0.8268164670233501"/>
          <c:w val="0.92556087595559211"/>
          <c:h val="0.15879396132773915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EF88-955A-41CE-A7F1-4AA9F27C5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2F0C1-D94C-4DA6-8517-98B8903D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64</TotalTime>
  <Pages>5</Pages>
  <Words>2430</Words>
  <Characters>14338</Characters>
  <Application>Microsoft Office Word</Application>
  <DocSecurity>0</DocSecurity>
  <Lines>119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16735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5</cp:revision>
  <cp:lastPrinted>2019-04-08T10:52:00Z</cp:lastPrinted>
  <dcterms:created xsi:type="dcterms:W3CDTF">2021-12-15T07:16:00Z</dcterms:created>
  <dcterms:modified xsi:type="dcterms:W3CDTF">2021-12-15T09:45:00Z</dcterms:modified>
</cp:coreProperties>
</file>