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F4" w:rsidRDefault="00933775" w:rsidP="006C49F4">
      <w:pPr>
        <w:pStyle w:val="datum"/>
        <w:spacing w:line="276" w:lineRule="auto"/>
        <w:rPr>
          <w:color w:val="BD1B16"/>
        </w:rPr>
      </w:pPr>
      <w:r>
        <w:t>28</w:t>
      </w:r>
      <w:r w:rsidR="006C49F4">
        <w:t xml:space="preserve">. </w:t>
      </w:r>
      <w:r>
        <w:t>1</w:t>
      </w:r>
      <w:r w:rsidR="006C49F4">
        <w:t>. 201</w:t>
      </w:r>
      <w:r>
        <w:t>6</w:t>
      </w:r>
    </w:p>
    <w:p w:rsidR="006C49F4" w:rsidRDefault="006C49F4" w:rsidP="006C49F4">
      <w:pPr>
        <w:pStyle w:val="Nadpis1"/>
        <w:numPr>
          <w:ilvl w:val="0"/>
          <w:numId w:val="1"/>
        </w:numPr>
        <w:suppressAutoHyphens/>
        <w:spacing w:before="280" w:after="280" w:line="360" w:lineRule="exact"/>
        <w:jc w:val="both"/>
        <w:rPr>
          <w:rFonts w:cs="Arial"/>
          <w:szCs w:val="18"/>
        </w:rPr>
      </w:pPr>
      <w:r>
        <w:rPr>
          <w:caps w:val="0"/>
          <w:color w:val="BD1B16"/>
        </w:rPr>
        <w:t>Postavení českého trhu práce v rámci EU</w:t>
      </w:r>
    </w:p>
    <w:p w:rsidR="006C49F4" w:rsidRDefault="005C2C37" w:rsidP="005C2C37">
      <w:pPr>
        <w:spacing w:after="280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Pravidelná analýza </w:t>
      </w:r>
      <w:r w:rsidR="006C49F4" w:rsidRPr="009D58D2">
        <w:rPr>
          <w:rFonts w:cs="Arial"/>
          <w:b/>
          <w:szCs w:val="18"/>
        </w:rPr>
        <w:t xml:space="preserve">se zaměřuje na mezinárodní </w:t>
      </w:r>
      <w:r w:rsidR="004724F2">
        <w:rPr>
          <w:rFonts w:cs="Arial"/>
          <w:b/>
          <w:szCs w:val="18"/>
        </w:rPr>
        <w:t>po</w:t>
      </w:r>
      <w:r w:rsidR="006C49F4" w:rsidRPr="009D58D2">
        <w:rPr>
          <w:rFonts w:cs="Arial"/>
          <w:b/>
          <w:szCs w:val="18"/>
        </w:rPr>
        <w:t>rovnání</w:t>
      </w:r>
      <w:r>
        <w:rPr>
          <w:rFonts w:cs="Arial"/>
          <w:b/>
          <w:szCs w:val="18"/>
        </w:rPr>
        <w:t xml:space="preserve"> vybraných</w:t>
      </w:r>
      <w:r w:rsidR="006C49F4" w:rsidRPr="009D58D2">
        <w:rPr>
          <w:rFonts w:cs="Arial"/>
          <w:b/>
          <w:szCs w:val="18"/>
        </w:rPr>
        <w:t xml:space="preserve"> indikátorů</w:t>
      </w:r>
      <w:r>
        <w:rPr>
          <w:rFonts w:cs="Arial"/>
          <w:b/>
          <w:szCs w:val="18"/>
        </w:rPr>
        <w:t xml:space="preserve"> trhu práce</w:t>
      </w:r>
      <w:r w:rsidR="00347437">
        <w:rPr>
          <w:rFonts w:cs="Arial"/>
          <w:b/>
          <w:szCs w:val="18"/>
        </w:rPr>
        <w:t xml:space="preserve"> v členských zemích EU</w:t>
      </w:r>
      <w:r w:rsidR="006C49F4" w:rsidRPr="009D58D2">
        <w:rPr>
          <w:rFonts w:cs="Arial"/>
          <w:b/>
          <w:szCs w:val="18"/>
        </w:rPr>
        <w:t xml:space="preserve">. </w:t>
      </w:r>
      <w:r w:rsidR="004724F2">
        <w:rPr>
          <w:rFonts w:cs="Arial"/>
          <w:b/>
          <w:szCs w:val="18"/>
        </w:rPr>
        <w:t>Téměř ve všech zemích</w:t>
      </w:r>
      <w:r w:rsidR="00BB7C3A">
        <w:rPr>
          <w:rFonts w:cs="Arial"/>
          <w:b/>
          <w:szCs w:val="18"/>
        </w:rPr>
        <w:t xml:space="preserve"> </w:t>
      </w:r>
      <w:r w:rsidR="004724F2">
        <w:rPr>
          <w:rFonts w:cs="Arial"/>
          <w:b/>
          <w:szCs w:val="18"/>
        </w:rPr>
        <w:t xml:space="preserve">EU28 </w:t>
      </w:r>
      <w:r w:rsidR="00595202">
        <w:rPr>
          <w:rFonts w:cs="Arial"/>
          <w:b/>
          <w:szCs w:val="18"/>
        </w:rPr>
        <w:t xml:space="preserve">se </w:t>
      </w:r>
      <w:r w:rsidR="009D5BCA">
        <w:rPr>
          <w:rFonts w:cs="Arial"/>
          <w:b/>
          <w:szCs w:val="18"/>
        </w:rPr>
        <w:t>ve 3. </w:t>
      </w:r>
      <w:r w:rsidR="00087B70">
        <w:rPr>
          <w:rFonts w:cs="Arial"/>
          <w:b/>
          <w:szCs w:val="18"/>
        </w:rPr>
        <w:t xml:space="preserve">čtvrtletí roku 2015 míra zaměstnanosti </w:t>
      </w:r>
      <w:r w:rsidR="007D4C69">
        <w:rPr>
          <w:rFonts w:cs="Arial"/>
          <w:b/>
          <w:szCs w:val="18"/>
        </w:rPr>
        <w:t xml:space="preserve">20-64letých zvýšila a </w:t>
      </w:r>
      <w:r w:rsidR="00087B70">
        <w:rPr>
          <w:rFonts w:cs="Arial"/>
          <w:b/>
          <w:szCs w:val="18"/>
        </w:rPr>
        <w:t>opět</w:t>
      </w:r>
      <w:r w:rsidR="007D4C69">
        <w:rPr>
          <w:rFonts w:cs="Arial"/>
          <w:b/>
          <w:szCs w:val="18"/>
        </w:rPr>
        <w:t xml:space="preserve"> se</w:t>
      </w:r>
      <w:r w:rsidR="00087B70">
        <w:rPr>
          <w:rFonts w:cs="Arial"/>
          <w:b/>
          <w:szCs w:val="18"/>
        </w:rPr>
        <w:t xml:space="preserve"> přiblížila stanovenému cíli, ke kterému </w:t>
      </w:r>
      <w:r w:rsidR="004724F2">
        <w:rPr>
          <w:rFonts w:cs="Arial"/>
          <w:b/>
          <w:szCs w:val="18"/>
        </w:rPr>
        <w:t>členským zemím EU</w:t>
      </w:r>
      <w:r w:rsidR="00087B70">
        <w:rPr>
          <w:rFonts w:cs="Arial"/>
          <w:b/>
          <w:szCs w:val="18"/>
        </w:rPr>
        <w:t xml:space="preserve"> chybí v průměru 4,5 procentního bodu. </w:t>
      </w:r>
      <w:r>
        <w:rPr>
          <w:rFonts w:cs="Arial"/>
          <w:b/>
          <w:szCs w:val="18"/>
        </w:rPr>
        <w:t>Česká republika</w:t>
      </w:r>
      <w:r w:rsidR="007D4C69">
        <w:rPr>
          <w:rFonts w:cs="Arial"/>
          <w:b/>
          <w:szCs w:val="18"/>
        </w:rPr>
        <w:t xml:space="preserve"> přitom</w:t>
      </w:r>
      <w:r>
        <w:rPr>
          <w:rFonts w:cs="Arial"/>
          <w:b/>
          <w:szCs w:val="18"/>
        </w:rPr>
        <w:t xml:space="preserve"> patří mezi země s nejvyšší zaměstnaností. Tomu odpovídá i skutečnost, že naopak míra nezaměstnanosti je v ČR druhá nejnižší.</w:t>
      </w:r>
    </w:p>
    <w:p w:rsidR="00BE2FD6" w:rsidRDefault="00BE2FD6" w:rsidP="006C49F4">
      <w:pPr>
        <w:rPr>
          <w:b/>
        </w:rPr>
      </w:pPr>
      <w:r w:rsidRPr="00BE2FD6">
        <w:rPr>
          <w:b/>
        </w:rPr>
        <w:t>Míra zaměstnanosti ve věku 20-64 let</w:t>
      </w:r>
      <w:r w:rsidR="00CD685F">
        <w:rPr>
          <w:b/>
        </w:rPr>
        <w:t xml:space="preserve"> je v České republice </w:t>
      </w:r>
      <w:r w:rsidR="00933775">
        <w:rPr>
          <w:b/>
        </w:rPr>
        <w:t xml:space="preserve">stále </w:t>
      </w:r>
      <w:r w:rsidR="00CD685F">
        <w:rPr>
          <w:b/>
        </w:rPr>
        <w:t>sedmá nejvyšší v</w:t>
      </w:r>
      <w:r w:rsidR="004724F2">
        <w:rPr>
          <w:b/>
        </w:rPr>
        <w:t> </w:t>
      </w:r>
      <w:r w:rsidR="00CD685F">
        <w:rPr>
          <w:b/>
        </w:rPr>
        <w:t>EU</w:t>
      </w:r>
    </w:p>
    <w:p w:rsidR="004724F2" w:rsidRDefault="004724F2" w:rsidP="006C49F4">
      <w:pPr>
        <w:rPr>
          <w:b/>
        </w:rPr>
      </w:pPr>
    </w:p>
    <w:p w:rsidR="006C49F4" w:rsidRDefault="00EF17F6" w:rsidP="006C49F4">
      <w:r>
        <w:t xml:space="preserve">Podle strategie Evropa 2020 </w:t>
      </w:r>
      <w:r w:rsidR="00D14C54">
        <w:t xml:space="preserve">je cílem </w:t>
      </w:r>
      <w:r>
        <w:t>dosáhnout m</w:t>
      </w:r>
      <w:r w:rsidR="00D14C54">
        <w:t>íry</w:t>
      </w:r>
      <w:r w:rsidR="006C49F4">
        <w:t xml:space="preserve"> zaměstnanost</w:t>
      </w:r>
      <w:r w:rsidR="009D5BCA">
        <w:t>i 20-64</w:t>
      </w:r>
      <w:r w:rsidR="007D4C69">
        <w:t>letých v zemích</w:t>
      </w:r>
      <w:r w:rsidR="004724F2">
        <w:t xml:space="preserve"> EU28 v průměru </w:t>
      </w:r>
      <w:r w:rsidR="00D14C54">
        <w:t>75</w:t>
      </w:r>
      <w:r w:rsidR="00C472F8">
        <w:t xml:space="preserve"> </w:t>
      </w:r>
      <w:r w:rsidR="00D14C54">
        <w:t>%. V</w:t>
      </w:r>
      <w:r w:rsidR="00601BEF">
        <w:t>e</w:t>
      </w:r>
      <w:r w:rsidR="006C49F4">
        <w:t xml:space="preserve"> </w:t>
      </w:r>
      <w:r w:rsidR="004D467B">
        <w:t>3</w:t>
      </w:r>
      <w:r w:rsidR="006C49F4">
        <w:t>.</w:t>
      </w:r>
      <w:r w:rsidR="001F3A63">
        <w:t> </w:t>
      </w:r>
      <w:r w:rsidR="006C49F4">
        <w:t>čtvrtletí 201</w:t>
      </w:r>
      <w:r w:rsidR="00BF5150">
        <w:t>5</w:t>
      </w:r>
      <w:r w:rsidR="006C49F4">
        <w:t xml:space="preserve"> v zemích EU28 </w:t>
      </w:r>
      <w:r w:rsidR="004D467B">
        <w:t>dosahovala</w:t>
      </w:r>
      <w:r w:rsidR="00D14C54">
        <w:t xml:space="preserve"> </w:t>
      </w:r>
      <w:r w:rsidR="004D467B">
        <w:t xml:space="preserve">již </w:t>
      </w:r>
      <w:r w:rsidR="00D14C54">
        <w:t>70</w:t>
      </w:r>
      <w:r w:rsidR="004D467B">
        <w:t>,5</w:t>
      </w:r>
      <w:r w:rsidR="00D14C54">
        <w:t xml:space="preserve"> procent</w:t>
      </w:r>
      <w:r w:rsidR="00684BED">
        <w:t>. Míra zaměstnanosti mužů (</w:t>
      </w:r>
      <w:r w:rsidR="006C49F4">
        <w:t>7</w:t>
      </w:r>
      <w:r w:rsidR="004D467B">
        <w:t>6</w:t>
      </w:r>
      <w:r w:rsidR="008610D9">
        <w:t>,</w:t>
      </w:r>
      <w:r w:rsidR="004D467B">
        <w:t>5</w:t>
      </w:r>
      <w:r w:rsidR="00C472F8">
        <w:t xml:space="preserve"> </w:t>
      </w:r>
      <w:r w:rsidR="00684BED">
        <w:t>%)</w:t>
      </w:r>
      <w:r w:rsidR="006C49F4">
        <w:t xml:space="preserve"> </w:t>
      </w:r>
      <w:r w:rsidR="004724F2">
        <w:t xml:space="preserve">přitom </w:t>
      </w:r>
      <w:r w:rsidR="00D14C54">
        <w:t xml:space="preserve">stále </w:t>
      </w:r>
      <w:r w:rsidR="004724F2">
        <w:t xml:space="preserve">výrazně </w:t>
      </w:r>
      <w:r w:rsidR="006C49F4">
        <w:t>přev</w:t>
      </w:r>
      <w:r w:rsidR="00677C25">
        <w:t xml:space="preserve">yšovala míru zaměstnanosti </w:t>
      </w:r>
      <w:r w:rsidR="004D467B">
        <w:t>žen (64,5</w:t>
      </w:r>
      <w:r w:rsidR="009D5BCA">
        <w:t> </w:t>
      </w:r>
      <w:r w:rsidR="004724F2">
        <w:t>%)</w:t>
      </w:r>
      <w:r w:rsidR="00677C25">
        <w:t xml:space="preserve">. </w:t>
      </w:r>
    </w:p>
    <w:p w:rsidR="008B5F76" w:rsidRDefault="008B5F76" w:rsidP="006C49F4"/>
    <w:p w:rsidR="001917CC" w:rsidRDefault="006C49F4" w:rsidP="006C49F4">
      <w:r>
        <w:t xml:space="preserve">Tabulka seřazená od nejvyšších hodnot k nejnižším potvrzuje, že </w:t>
      </w:r>
      <w:r w:rsidR="00271012">
        <w:t xml:space="preserve">si vysokou </w:t>
      </w:r>
      <w:r w:rsidR="00D14C54">
        <w:t>míru zaměstnanosti stále udržují zejména severské státy</w:t>
      </w:r>
      <w:r>
        <w:t xml:space="preserve"> </w:t>
      </w:r>
      <w:r w:rsidR="00D14C54">
        <w:t>včetně baltských zemí,</w:t>
      </w:r>
      <w:r>
        <w:t xml:space="preserve"> </w:t>
      </w:r>
      <w:r w:rsidR="00D14C54">
        <w:t>některé země západní Evropy a naše republika.</w:t>
      </w:r>
      <w:r>
        <w:t xml:space="preserve"> </w:t>
      </w:r>
      <w:r w:rsidR="004724F2">
        <w:t>Nejvyšší míry</w:t>
      </w:r>
      <w:r w:rsidR="00271012">
        <w:t xml:space="preserve"> zaměstnanosti </w:t>
      </w:r>
      <w:r w:rsidR="00B5604A">
        <w:t>dlouhodobě dosahuje Švédsko (</w:t>
      </w:r>
      <w:r w:rsidR="00463B1E">
        <w:t>81</w:t>
      </w:r>
      <w:r>
        <w:t>,</w:t>
      </w:r>
      <w:r w:rsidR="00463B1E">
        <w:t>4</w:t>
      </w:r>
      <w:r w:rsidR="004724F2">
        <w:t>)</w:t>
      </w:r>
      <w:r w:rsidR="00B5604A">
        <w:t xml:space="preserve">. </w:t>
      </w:r>
      <w:r w:rsidR="00525851">
        <w:t>Výrazně si polepšilo Estonsko, které se dostalo z šestého na dr</w:t>
      </w:r>
      <w:r w:rsidR="004724F2">
        <w:t>uhé místo</w:t>
      </w:r>
      <w:r w:rsidR="00525851">
        <w:t xml:space="preserve">. </w:t>
      </w:r>
      <w:r w:rsidR="00B5604A">
        <w:t>Naopak nejnižší mír</w:t>
      </w:r>
      <w:r w:rsidR="00463B1E">
        <w:t>a zaměstnanosti je v Řecku (ve 3. čtvrtletí 2015 pouze 55,9</w:t>
      </w:r>
      <w:r w:rsidR="00C472F8">
        <w:t xml:space="preserve"> </w:t>
      </w:r>
      <w:r w:rsidR="00B5604A">
        <w:t xml:space="preserve">%), ve kterém je dokonce míra zaměstnanosti žen hluboko pod 50 procenty. </w:t>
      </w:r>
    </w:p>
    <w:p w:rsidR="008B5F76" w:rsidRDefault="008B5F76" w:rsidP="006C49F4"/>
    <w:p w:rsidR="006E0268" w:rsidRDefault="006C49F4" w:rsidP="006C49F4">
      <w:r>
        <w:t>V</w:t>
      </w:r>
      <w:r w:rsidR="001A2A5A">
        <w:t>e</w:t>
      </w:r>
      <w:r>
        <w:t> </w:t>
      </w:r>
      <w:r w:rsidR="00463B1E">
        <w:t>3</w:t>
      </w:r>
      <w:r>
        <w:t>. čtvrtletí 201</w:t>
      </w:r>
      <w:r w:rsidR="00BF5150">
        <w:t>5</w:t>
      </w:r>
      <w:r>
        <w:t xml:space="preserve"> cílovou úroveň 75 % </w:t>
      </w:r>
      <w:r w:rsidR="00B5604A">
        <w:t xml:space="preserve">již </w:t>
      </w:r>
      <w:r w:rsidR="00463B1E">
        <w:t>dosáhlo</w:t>
      </w:r>
      <w:r>
        <w:t xml:space="preserve"> celkem </w:t>
      </w:r>
      <w:r w:rsidR="00463B1E">
        <w:t>osm</w:t>
      </w:r>
      <w:r>
        <w:t xml:space="preserve"> států</w:t>
      </w:r>
      <w:r w:rsidR="00463B1E">
        <w:t xml:space="preserve"> včetně České republiky</w:t>
      </w:r>
      <w:r>
        <w:t xml:space="preserve"> (Švédsko, </w:t>
      </w:r>
      <w:r w:rsidR="00463B1E">
        <w:t xml:space="preserve">Estonsko, </w:t>
      </w:r>
      <w:r>
        <w:t xml:space="preserve">Německo, </w:t>
      </w:r>
      <w:r w:rsidR="001533F3">
        <w:t xml:space="preserve">Spojené království, </w:t>
      </w:r>
      <w:r w:rsidR="001A2A5A">
        <w:t xml:space="preserve">Dánsko, </w:t>
      </w:r>
      <w:r w:rsidR="001F3A63">
        <w:t>Nizozemsko</w:t>
      </w:r>
      <w:r w:rsidR="00463B1E">
        <w:t>, Česká republika a Rakousko</w:t>
      </w:r>
      <w:r>
        <w:t xml:space="preserve">). </w:t>
      </w:r>
      <w:r w:rsidR="006E0268">
        <w:t>Na druhé straně je míra zaměstnanosti dosud velmi nízká v jižních státech unie. Kromě Řecka se to týká hlavně</w:t>
      </w:r>
      <w:r w:rsidR="00595202">
        <w:t xml:space="preserve"> Itálie, Chorvatska a Španělska</w:t>
      </w:r>
      <w:r w:rsidR="006E0268">
        <w:t>, kde nepracuje více než třetina populace v</w:t>
      </w:r>
      <w:r w:rsidR="005528C2">
        <w:t xml:space="preserve"> tomto </w:t>
      </w:r>
      <w:r w:rsidR="006E0268">
        <w:t>produktivním věku.</w:t>
      </w:r>
    </w:p>
    <w:p w:rsidR="008B5F76" w:rsidRDefault="008B5F76" w:rsidP="006C49F4"/>
    <w:p w:rsidR="006E0268" w:rsidRDefault="00744F9E" w:rsidP="006C49F4">
      <w:r>
        <w:t>Ve všech členských zemí</w:t>
      </w:r>
      <w:r w:rsidR="0026665F">
        <w:t>ch</w:t>
      </w:r>
      <w:r>
        <w:t xml:space="preserve"> je míra zaměstnanosti mužů </w:t>
      </w:r>
      <w:r w:rsidR="00EC278A">
        <w:t xml:space="preserve">více či méně </w:t>
      </w:r>
      <w:r>
        <w:t>vyš</w:t>
      </w:r>
      <w:r w:rsidR="00595202">
        <w:t>ší než míra zaměstnanosti žen.</w:t>
      </w:r>
      <w:r w:rsidR="00CC421F">
        <w:t xml:space="preserve"> </w:t>
      </w:r>
      <w:r w:rsidR="00E20DC1">
        <w:t>Nejvyšší míra</w:t>
      </w:r>
      <w:r>
        <w:t xml:space="preserve"> zaměstnanosti mužů byla v</w:t>
      </w:r>
      <w:r w:rsidR="008B5F76">
        <w:t>e</w:t>
      </w:r>
      <w:r w:rsidR="00CC421F">
        <w:t xml:space="preserve"> 3</w:t>
      </w:r>
      <w:r>
        <w:t>.</w:t>
      </w:r>
      <w:r w:rsidR="00CC421F">
        <w:t xml:space="preserve"> čtvrtletí</w:t>
      </w:r>
      <w:r w:rsidR="00587AD9">
        <w:t xml:space="preserve"> roku</w:t>
      </w:r>
      <w:r w:rsidR="00CC421F">
        <w:t xml:space="preserve"> 2015</w:t>
      </w:r>
      <w:r w:rsidR="00FC5021">
        <w:t xml:space="preserve"> </w:t>
      </w:r>
      <w:r>
        <w:t>v</w:t>
      </w:r>
      <w:r w:rsidR="00EF4C84">
        <w:t> Estonsku (83,5</w:t>
      </w:r>
      <w:r w:rsidR="00C472F8">
        <w:t xml:space="preserve"> </w:t>
      </w:r>
      <w:r w:rsidR="00EF4C84">
        <w:t>%), poté v</w:t>
      </w:r>
      <w:r>
        <w:t> České republice (83</w:t>
      </w:r>
      <w:r w:rsidR="00EF4C84">
        <w:t>,4</w:t>
      </w:r>
      <w:r w:rsidR="00C472F8">
        <w:t xml:space="preserve"> </w:t>
      </w:r>
      <w:r>
        <w:t>%)</w:t>
      </w:r>
      <w:r w:rsidR="00EF4C84">
        <w:t xml:space="preserve"> a Švédsku (83,</w:t>
      </w:r>
      <w:r w:rsidR="00E504C3">
        <w:t>3</w:t>
      </w:r>
      <w:r w:rsidR="00C472F8">
        <w:t xml:space="preserve"> </w:t>
      </w:r>
      <w:r w:rsidR="00EF4C84">
        <w:t>%). Míru zaměstnanosti žen suveré</w:t>
      </w:r>
      <w:r w:rsidR="001852C5">
        <w:t>nně vede Švédsko s 79,4%</w:t>
      </w:r>
      <w:r w:rsidR="00EF4C84">
        <w:t xml:space="preserve">. V ČR zaměstnanost žen </w:t>
      </w:r>
      <w:r w:rsidR="00FC5021">
        <w:t>dosáhla více než 66%</w:t>
      </w:r>
      <w:r w:rsidR="00EF4C84">
        <w:t xml:space="preserve">, </w:t>
      </w:r>
      <w:r w:rsidR="00FC5021">
        <w:t>stále</w:t>
      </w:r>
      <w:r w:rsidR="00EF4C84">
        <w:t xml:space="preserve"> je ale</w:t>
      </w:r>
      <w:r w:rsidR="00FC5021">
        <w:t xml:space="preserve"> rozdíl </w:t>
      </w:r>
      <w:r w:rsidR="00587AD9">
        <w:t xml:space="preserve">mezi </w:t>
      </w:r>
      <w:r w:rsidR="00FC5021">
        <w:t>m</w:t>
      </w:r>
      <w:r w:rsidR="008B5F76">
        <w:t>uži a ženami v této míře jeden z</w:t>
      </w:r>
      <w:r w:rsidR="00FC5021">
        <w:t> nejvyšších v EU.</w:t>
      </w:r>
    </w:p>
    <w:p w:rsidR="00E504C3" w:rsidRDefault="00E504C3" w:rsidP="006C49F4"/>
    <w:p w:rsidR="006C49F4" w:rsidRDefault="006C49F4" w:rsidP="006C49F4">
      <w:r w:rsidRPr="00315A47">
        <w:t>V</w:t>
      </w:r>
      <w:r w:rsidR="008B5F76">
        <w:t>e</w:t>
      </w:r>
      <w:r w:rsidRPr="00315A47">
        <w:t xml:space="preserve"> </w:t>
      </w:r>
      <w:r w:rsidR="005970C2">
        <w:t>3</w:t>
      </w:r>
      <w:r w:rsidRPr="00315A47">
        <w:t>. čtvrtletí 201</w:t>
      </w:r>
      <w:r w:rsidR="001533F3">
        <w:t>5</w:t>
      </w:r>
      <w:r w:rsidRPr="00315A47">
        <w:t xml:space="preserve"> se</w:t>
      </w:r>
      <w:r w:rsidR="00FC5021">
        <w:t xml:space="preserve"> Česká republika</w:t>
      </w:r>
      <w:r w:rsidR="00D71E3E">
        <w:t xml:space="preserve"> </w:t>
      </w:r>
      <w:r w:rsidR="005970C2">
        <w:t xml:space="preserve">opět </w:t>
      </w:r>
      <w:r w:rsidR="005528C2">
        <w:t>za</w:t>
      </w:r>
      <w:r>
        <w:t xml:space="preserve">řadila na </w:t>
      </w:r>
      <w:r w:rsidR="00A33D03">
        <w:t>sedmé</w:t>
      </w:r>
      <w:r>
        <w:t xml:space="preserve"> místo </w:t>
      </w:r>
      <w:r w:rsidR="004A05AF">
        <w:t>mezi země</w:t>
      </w:r>
      <w:r w:rsidR="005528C2">
        <w:t xml:space="preserve"> EU28, když m</w:t>
      </w:r>
      <w:r>
        <w:t>íra</w:t>
      </w:r>
      <w:r w:rsidR="005528C2">
        <w:t xml:space="preserve"> naší zaměstnanosti</w:t>
      </w:r>
      <w:r>
        <w:t xml:space="preserve"> (7</w:t>
      </w:r>
      <w:r w:rsidR="005970C2">
        <w:t>5</w:t>
      </w:r>
      <w:r>
        <w:t>,</w:t>
      </w:r>
      <w:r w:rsidR="005970C2">
        <w:t>1</w:t>
      </w:r>
      <w:r w:rsidR="00C472F8">
        <w:t xml:space="preserve"> </w:t>
      </w:r>
      <w:r w:rsidR="005528C2">
        <w:t>%)</w:t>
      </w:r>
      <w:r w:rsidR="00FC5021">
        <w:t xml:space="preserve"> převyšovala </w:t>
      </w:r>
      <w:r>
        <w:t>průměr EU28</w:t>
      </w:r>
      <w:r w:rsidR="009A59A7">
        <w:t xml:space="preserve"> </w:t>
      </w:r>
      <w:r>
        <w:t xml:space="preserve">o </w:t>
      </w:r>
      <w:r w:rsidR="00315A47">
        <w:t>4,</w:t>
      </w:r>
      <w:r w:rsidR="005970C2">
        <w:t>6</w:t>
      </w:r>
      <w:r>
        <w:t xml:space="preserve"> procentní</w:t>
      </w:r>
      <w:r w:rsidR="00315A47">
        <w:t>ho</w:t>
      </w:r>
      <w:r>
        <w:t xml:space="preserve"> bod</w:t>
      </w:r>
      <w:r w:rsidR="00315A47">
        <w:t>u</w:t>
      </w:r>
      <w:r w:rsidR="004A3E39">
        <w:t>. Ze </w:t>
      </w:r>
      <w:r>
        <w:t>sousedních států</w:t>
      </w:r>
      <w:r w:rsidR="00C80844">
        <w:t xml:space="preserve"> mělo</w:t>
      </w:r>
      <w:r>
        <w:t xml:space="preserve"> </w:t>
      </w:r>
      <w:r w:rsidR="00C80844">
        <w:t>v</w:t>
      </w:r>
      <w:r w:rsidR="008B5F76">
        <w:t>e</w:t>
      </w:r>
      <w:r w:rsidR="00C80844">
        <w:t> </w:t>
      </w:r>
      <w:r w:rsidR="005970C2">
        <w:t>třetím</w:t>
      </w:r>
      <w:r w:rsidR="00C80844">
        <w:t xml:space="preserve"> čtvrtletí 201</w:t>
      </w:r>
      <w:r w:rsidR="001533F3">
        <w:t>5</w:t>
      </w:r>
      <w:r w:rsidR="00C80844">
        <w:t xml:space="preserve"> </w:t>
      </w:r>
      <w:r>
        <w:t>vyšší mír</w:t>
      </w:r>
      <w:r w:rsidR="00C80844">
        <w:t>u</w:t>
      </w:r>
      <w:r>
        <w:t xml:space="preserve"> zaměstnanosti </w:t>
      </w:r>
      <w:r w:rsidR="008C1BD4">
        <w:t xml:space="preserve">pouze </w:t>
      </w:r>
      <w:r>
        <w:t>Německ</w:t>
      </w:r>
      <w:r w:rsidR="00C80844">
        <w:t>o</w:t>
      </w:r>
      <w:r>
        <w:t xml:space="preserve"> (7</w:t>
      </w:r>
      <w:r w:rsidR="005528C2">
        <w:t>8</w:t>
      </w:r>
      <w:r>
        <w:t>,</w:t>
      </w:r>
      <w:r w:rsidR="005528C2">
        <w:t>2</w:t>
      </w:r>
      <w:r w:rsidR="00D348FA">
        <w:t> </w:t>
      </w:r>
      <w:r w:rsidR="007D4C69">
        <w:t xml:space="preserve">%), </w:t>
      </w:r>
      <w:r w:rsidR="005528C2">
        <w:t>Rakousko dosáhlo srovnatelné úrovně s ČR</w:t>
      </w:r>
      <w:r w:rsidR="005970C2">
        <w:t xml:space="preserve">. </w:t>
      </w:r>
      <w:r w:rsidR="005528C2">
        <w:t>Naproti tomu v</w:t>
      </w:r>
      <w:r w:rsidR="00A33D03">
        <w:t xml:space="preserve"> </w:t>
      </w:r>
      <w:r>
        <w:t>Polsku a na Slovensku byla celková zaměstnanost nižší</w:t>
      </w:r>
      <w:r w:rsidR="005970C2">
        <w:t xml:space="preserve"> </w:t>
      </w:r>
      <w:r w:rsidR="005528C2">
        <w:t>zhruba</w:t>
      </w:r>
      <w:r w:rsidR="0084584C">
        <w:t xml:space="preserve"> </w:t>
      </w:r>
      <w:r w:rsidR="005528C2">
        <w:t>o</w:t>
      </w:r>
      <w:r w:rsidR="00FC5021">
        <w:t xml:space="preserve"> 7 procentních bodů</w:t>
      </w:r>
      <w:r>
        <w:t xml:space="preserve">. </w:t>
      </w:r>
    </w:p>
    <w:p w:rsidR="005F2255" w:rsidRDefault="005F2255" w:rsidP="006C49F4">
      <w:pPr>
        <w:rPr>
          <w:rFonts w:eastAsia="Times New Roman" w:cs="Arial"/>
          <w:b/>
          <w:bCs/>
          <w:szCs w:val="20"/>
        </w:rPr>
      </w:pPr>
    </w:p>
    <w:p w:rsidR="006C49F4" w:rsidRDefault="006C49F4" w:rsidP="004A3E39">
      <w:pPr>
        <w:keepNext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lastRenderedPageBreak/>
        <w:t xml:space="preserve">Tabulka 1 </w:t>
      </w:r>
      <w:r w:rsidRPr="0047611B">
        <w:rPr>
          <w:rFonts w:eastAsia="Times New Roman" w:cs="Arial"/>
          <w:b/>
          <w:bCs/>
          <w:sz w:val="18"/>
          <w:szCs w:val="18"/>
        </w:rPr>
        <w:t>Míra zaměstnanosti 20-64letých v 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1097"/>
        <w:gridCol w:w="1098"/>
        <w:gridCol w:w="1099"/>
        <w:gridCol w:w="1098"/>
        <w:gridCol w:w="1098"/>
        <w:gridCol w:w="1099"/>
      </w:tblGrid>
      <w:tr w:rsidR="00D01F63" w:rsidRPr="00D01F63" w:rsidTr="00D61CE3">
        <w:trPr>
          <w:trHeight w:val="255"/>
          <w:jc w:val="center"/>
        </w:trPr>
        <w:tc>
          <w:tcPr>
            <w:tcW w:w="20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294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61CE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  <w:r w:rsidR="00D01F63" w:rsidRPr="00D01F63">
              <w:rPr>
                <w:rFonts w:eastAsia="Times New Roman" w:cs="Arial"/>
                <w:sz w:val="16"/>
                <w:szCs w:val="16"/>
                <w:lang w:eastAsia="cs-CZ"/>
              </w:rPr>
              <w:t>. čtvrtletí 2015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01F63" w:rsidRPr="00D01F63" w:rsidRDefault="00A44A24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D61CE3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="00D61CE3">
              <w:rPr>
                <w:rFonts w:eastAsia="Times New Roman" w:cs="Arial"/>
                <w:sz w:val="16"/>
                <w:szCs w:val="16"/>
                <w:lang w:eastAsia="cs-CZ"/>
              </w:rPr>
              <w:br/>
              <w:t>3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.Q 2015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D61CE3"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.Q 2014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4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1F63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81,4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83,5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2,8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78,2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77,0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80,7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75,1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83,4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66,6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1,9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79,4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3,3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Pr="008E5C95" w:rsidRDefault="00B91FE2" w:rsidP="008E5C9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8E5C95">
              <w:rPr>
                <w:rFonts w:ascii="Arial CE" w:hAnsi="Arial CE" w:cs="Arial CE"/>
                <w:b/>
                <w:sz w:val="16"/>
                <w:szCs w:val="16"/>
              </w:rPr>
              <w:t>70,5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Pr="008E5C95" w:rsidRDefault="00B91FE2" w:rsidP="008E5C9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8E5C95">
              <w:rPr>
                <w:rFonts w:ascii="Arial CE" w:hAnsi="Arial CE" w:cs="Arial CE"/>
                <w:b/>
                <w:sz w:val="16"/>
                <w:szCs w:val="16"/>
              </w:rPr>
              <w:t>76,5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Pr="008E5C95" w:rsidRDefault="00B91FE2" w:rsidP="008E5C9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8E5C95">
              <w:rPr>
                <w:rFonts w:ascii="Arial CE" w:hAnsi="Arial CE" w:cs="Arial CE"/>
                <w:b/>
                <w:sz w:val="16"/>
                <w:szCs w:val="16"/>
              </w:rPr>
              <w:t>64,5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Pr="008E5C95" w:rsidRDefault="00B91FE2" w:rsidP="008E5C9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8E5C95">
              <w:rPr>
                <w:rFonts w:ascii="Arial CE" w:hAnsi="Arial CE" w:cs="Arial CE"/>
                <w:b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Pr="008E5C95" w:rsidRDefault="00B91FE2" w:rsidP="008E5C9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8E5C95">
              <w:rPr>
                <w:rFonts w:ascii="Arial CE" w:hAnsi="Arial CE" w:cs="Arial CE"/>
                <w:b/>
                <w:sz w:val="16"/>
                <w:szCs w:val="16"/>
              </w:rPr>
              <w:t>0,8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Pr="008E5C95" w:rsidRDefault="00B91FE2" w:rsidP="008E5C95">
            <w:pPr>
              <w:ind w:firstLineChars="100" w:firstLine="161"/>
              <w:jc w:val="right"/>
              <w:rPr>
                <w:rFonts w:ascii="Arial CE" w:hAnsi="Arial CE" w:cs="Arial CE"/>
                <w:b/>
                <w:sz w:val="16"/>
                <w:szCs w:val="16"/>
              </w:rPr>
            </w:pPr>
            <w:r w:rsidRPr="008E5C95">
              <w:rPr>
                <w:rFonts w:ascii="Arial CE" w:hAnsi="Arial CE" w:cs="Arial CE"/>
                <w:b/>
                <w:sz w:val="16"/>
                <w:szCs w:val="16"/>
              </w:rPr>
              <w:t>0,8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Pr="008E5C95" w:rsidRDefault="00B91FE2" w:rsidP="008E5C9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8E5C95">
              <w:rPr>
                <w:rFonts w:ascii="Arial CE" w:hAnsi="Arial CE" w:cs="Arial CE"/>
                <w:bCs/>
                <w:sz w:val="16"/>
                <w:szCs w:val="16"/>
              </w:rPr>
              <w:t>70,2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Pr="008E5C95" w:rsidRDefault="00B91FE2" w:rsidP="008E5C9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8E5C95">
              <w:rPr>
                <w:rFonts w:ascii="Arial CE" w:hAnsi="Arial CE" w:cs="Arial CE"/>
                <w:bCs/>
                <w:sz w:val="16"/>
                <w:szCs w:val="16"/>
              </w:rPr>
              <w:t>74,8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Pr="008E5C95" w:rsidRDefault="00B91FE2" w:rsidP="008E5C9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8E5C95">
              <w:rPr>
                <w:rFonts w:ascii="Arial CE" w:hAnsi="Arial CE" w:cs="Arial CE"/>
                <w:bCs/>
                <w:sz w:val="16"/>
                <w:szCs w:val="16"/>
              </w:rPr>
              <w:t>65,4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Pr="008E5C95" w:rsidRDefault="00B91FE2" w:rsidP="008E5C9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8E5C95">
              <w:rPr>
                <w:rFonts w:ascii="Arial CE" w:hAnsi="Arial CE" w:cs="Arial CE"/>
                <w:bCs/>
                <w:sz w:val="16"/>
                <w:szCs w:val="16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Pr="008E5C95" w:rsidRDefault="00B91FE2" w:rsidP="008E5C9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8E5C95">
              <w:rPr>
                <w:rFonts w:ascii="Arial CE" w:hAnsi="Arial CE" w:cs="Arial CE"/>
                <w:bCs/>
                <w:sz w:val="16"/>
                <w:szCs w:val="16"/>
              </w:rPr>
              <w:t>2,4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Pr="008E5C95" w:rsidRDefault="00B91FE2" w:rsidP="008E5C95">
            <w:pPr>
              <w:ind w:firstLineChars="100" w:firstLine="160"/>
              <w:jc w:val="right"/>
              <w:rPr>
                <w:rFonts w:ascii="Arial CE" w:hAnsi="Arial CE" w:cs="Arial CE"/>
                <w:bCs/>
                <w:sz w:val="16"/>
                <w:szCs w:val="16"/>
              </w:rPr>
            </w:pPr>
            <w:r w:rsidRPr="008E5C95">
              <w:rPr>
                <w:rFonts w:ascii="Arial CE" w:hAnsi="Arial CE" w:cs="Arial CE"/>
                <w:bCs/>
                <w:sz w:val="16"/>
                <w:szCs w:val="16"/>
              </w:rPr>
              <w:t>1,6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66,2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82,4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69,1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1,3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61,3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75,4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60,5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76,7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58,7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68,5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56,6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1,9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57,0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Itále</w:t>
            </w:r>
            <w:proofErr w:type="spellEnd"/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50,4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</w:tr>
      <w:tr w:rsidR="00B91FE2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FE2" w:rsidRDefault="00B91FE2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65,2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46,8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FE2" w:rsidRDefault="00B91FE2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1,8</w:t>
            </w: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D01F63" w:rsidRPr="00D01F63" w:rsidTr="00D61CE3">
        <w:trPr>
          <w:trHeight w:val="25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F63" w:rsidRPr="00556DA8" w:rsidRDefault="00D01F63" w:rsidP="00D01F63">
            <w:pPr>
              <w:spacing w:line="240" w:lineRule="auto"/>
              <w:jc w:val="lef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556DA8">
              <w:rPr>
                <w:rFonts w:eastAsia="Times New Roman" w:cs="Arial"/>
                <w:i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3" w:rsidRPr="00D01F63" w:rsidRDefault="00D01F63" w:rsidP="00D01F63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6C49F4" w:rsidRPr="00F27D16" w:rsidRDefault="006C49F4" w:rsidP="00D01F63">
      <w:pPr>
        <w:jc w:val="left"/>
        <w:rPr>
          <w:sz w:val="16"/>
          <w:szCs w:val="16"/>
        </w:rPr>
      </w:pPr>
    </w:p>
    <w:p w:rsidR="006C49F4" w:rsidRDefault="00C63CD2" w:rsidP="006C49F4">
      <w:pPr>
        <w:pStyle w:val="Nadpis3"/>
        <w:numPr>
          <w:ilvl w:val="2"/>
          <w:numId w:val="1"/>
        </w:numPr>
        <w:suppressAutoHyphens/>
        <w:spacing w:before="0"/>
      </w:pPr>
      <w:r>
        <w:t>Podíl vysokoškols</w:t>
      </w:r>
      <w:r w:rsidR="005528C2">
        <w:t>ky vzdělaných osob roste</w:t>
      </w:r>
    </w:p>
    <w:p w:rsidR="00D348FA" w:rsidRPr="00D348FA" w:rsidRDefault="00D348FA" w:rsidP="00D348FA"/>
    <w:p w:rsidR="0023284A" w:rsidRDefault="00BE119A" w:rsidP="0023284A">
      <w:pPr>
        <w:numPr>
          <w:ilvl w:val="0"/>
          <w:numId w:val="1"/>
        </w:numPr>
        <w:ind w:left="0" w:firstLine="0"/>
      </w:pPr>
      <w:r>
        <w:t>Důležitým indikátorem z pohledu trhu práce je podíl vysokoškolsky vzdělaných osob. Podíl vysokoškolsky vzdělaných</w:t>
      </w:r>
      <w:r w:rsidR="00FE3477">
        <w:t xml:space="preserve"> </w:t>
      </w:r>
      <w:r>
        <w:t>osob</w:t>
      </w:r>
      <w:r w:rsidR="00FE3477">
        <w:t xml:space="preserve"> ve věku 30</w:t>
      </w:r>
      <w:r w:rsidR="002F1EDB">
        <w:t xml:space="preserve"> </w:t>
      </w:r>
      <w:r w:rsidR="00FE3477">
        <w:t>-</w:t>
      </w:r>
      <w:r w:rsidR="002F1EDB">
        <w:t xml:space="preserve"> </w:t>
      </w:r>
      <w:r w:rsidR="00FE3477">
        <w:t xml:space="preserve">34 let </w:t>
      </w:r>
      <w:r>
        <w:t>se</w:t>
      </w:r>
      <w:r w:rsidR="00FE3477">
        <w:t xml:space="preserve"> </w:t>
      </w:r>
      <w:r>
        <w:t>v</w:t>
      </w:r>
      <w:r w:rsidR="00FE3477">
        <w:t> </w:t>
      </w:r>
      <w:r>
        <w:t>EU</w:t>
      </w:r>
      <w:r w:rsidR="0023284A">
        <w:t xml:space="preserve"> v průměru</w:t>
      </w:r>
      <w:r w:rsidR="004A3E39">
        <w:t xml:space="preserve"> zvyšuje a blíží se tak k </w:t>
      </w:r>
      <w:r>
        <w:t>požadované hranici stanovené strategií Evropa 2020 (40</w:t>
      </w:r>
      <w:r w:rsidR="00C472F8">
        <w:t xml:space="preserve"> </w:t>
      </w:r>
      <w:r w:rsidR="001852C5">
        <w:t>%</w:t>
      </w:r>
      <w:r>
        <w:t xml:space="preserve">). </w:t>
      </w:r>
      <w:r w:rsidR="005528C2">
        <w:t>Stanovenou úroveň vzdělání</w:t>
      </w:r>
      <w:r w:rsidR="00D348FA">
        <w:t xml:space="preserve"> splňuje již 17 </w:t>
      </w:r>
      <w:r w:rsidR="007B3E9F">
        <w:t xml:space="preserve">zemí EU. </w:t>
      </w:r>
      <w:r w:rsidR="005528C2">
        <w:t>Ve 3. čtvrtletí 2015 dosáhl</w:t>
      </w:r>
      <w:r>
        <w:t xml:space="preserve"> podíl vysokoškolsky vzdělaných osob </w:t>
      </w:r>
      <w:r w:rsidR="00FE3477">
        <w:t xml:space="preserve">v EU28 </w:t>
      </w:r>
      <w:r>
        <w:t>průměr</w:t>
      </w:r>
      <w:r w:rsidR="00FE3477">
        <w:t>ně</w:t>
      </w:r>
      <w:r>
        <w:t xml:space="preserve"> 38,6</w:t>
      </w:r>
      <w:r w:rsidR="00C472F8">
        <w:t xml:space="preserve"> </w:t>
      </w:r>
      <w:r w:rsidR="0023284A">
        <w:t xml:space="preserve">%. </w:t>
      </w:r>
    </w:p>
    <w:p w:rsidR="00D348FA" w:rsidRDefault="00D348FA" w:rsidP="0023284A">
      <w:pPr>
        <w:numPr>
          <w:ilvl w:val="0"/>
          <w:numId w:val="1"/>
        </w:numPr>
        <w:ind w:left="0" w:firstLine="0"/>
      </w:pPr>
    </w:p>
    <w:p w:rsidR="00BE119A" w:rsidRDefault="0023284A" w:rsidP="0023284A">
      <w:pPr>
        <w:numPr>
          <w:ilvl w:val="0"/>
          <w:numId w:val="1"/>
        </w:numPr>
        <w:ind w:left="0" w:firstLine="0"/>
      </w:pPr>
      <w:r>
        <w:t xml:space="preserve">Tato věková skupina se vyznačuje podstatně vyšším počtem absolventek </w:t>
      </w:r>
      <w:r w:rsidR="00A82330">
        <w:t>terciárního</w:t>
      </w:r>
      <w:r>
        <w:t xml:space="preserve"> studia než počtem vysokoškolsky vzdělaných mužů. Podíl vysokoškolaček dosáhl ve 3. čtvrtletí </w:t>
      </w:r>
      <w:r w:rsidR="00D348FA">
        <w:t xml:space="preserve">v unijním </w:t>
      </w:r>
      <w:r w:rsidR="00D348FA">
        <w:lastRenderedPageBreak/>
        <w:t>průměru 43,5 %, zatím</w:t>
      </w:r>
      <w:r>
        <w:t xml:space="preserve">co mezi muži byl tento podíl nižší o </w:t>
      </w:r>
      <w:r w:rsidR="00BE119A">
        <w:t>9,</w:t>
      </w:r>
      <w:r w:rsidR="004D3A0C">
        <w:t>6</w:t>
      </w:r>
      <w:r>
        <w:t xml:space="preserve"> p. b</w:t>
      </w:r>
      <w:r w:rsidR="00BE119A">
        <w:t>.</w:t>
      </w:r>
      <w:r>
        <w:t xml:space="preserve"> Přitom rozdíl mezi muži a ženami se zvyšuje, když meziročně u mužů vzrostl o 0,3 p. b. a u žen dokonce o </w:t>
      </w:r>
      <w:r w:rsidR="00B96515">
        <w:t>1 p</w:t>
      </w:r>
      <w:r w:rsidR="00763591">
        <w:t>rocentní</w:t>
      </w:r>
      <w:r w:rsidR="00B96515">
        <w:t xml:space="preserve"> b</w:t>
      </w:r>
      <w:r w:rsidR="00763591">
        <w:t>od</w:t>
      </w:r>
      <w:r w:rsidR="00B96515">
        <w:t xml:space="preserve">. </w:t>
      </w:r>
    </w:p>
    <w:p w:rsidR="008B5F76" w:rsidRPr="00BE119A" w:rsidRDefault="008B5F76" w:rsidP="00BE119A">
      <w:pPr>
        <w:numPr>
          <w:ilvl w:val="0"/>
          <w:numId w:val="1"/>
        </w:numPr>
        <w:ind w:left="0" w:firstLine="0"/>
      </w:pPr>
    </w:p>
    <w:p w:rsidR="006C49F4" w:rsidRPr="00495AED" w:rsidRDefault="00B8116A" w:rsidP="004C484E">
      <w:pPr>
        <w:jc w:val="left"/>
        <w:rPr>
          <w:szCs w:val="20"/>
        </w:rPr>
      </w:pPr>
      <w:r w:rsidRPr="00495AED">
        <w:rPr>
          <w:rFonts w:eastAsia="Times New Roman" w:cs="Arial"/>
          <w:b/>
          <w:bCs/>
          <w:szCs w:val="20"/>
        </w:rPr>
        <w:t>Tabulka 2</w:t>
      </w:r>
      <w:r w:rsidR="00595DB6">
        <w:rPr>
          <w:rFonts w:eastAsia="Times New Roman" w:cs="Arial"/>
          <w:b/>
          <w:bCs/>
          <w:szCs w:val="20"/>
        </w:rPr>
        <w:t xml:space="preserve"> Pod</w:t>
      </w:r>
      <w:r w:rsidR="00B96515">
        <w:rPr>
          <w:rFonts w:eastAsia="Times New Roman" w:cs="Arial"/>
          <w:b/>
          <w:bCs/>
          <w:szCs w:val="20"/>
        </w:rPr>
        <w:t>íl vysokoškolsky vzdělaných osob</w:t>
      </w:r>
      <w:r w:rsidR="00595DB6">
        <w:rPr>
          <w:rFonts w:eastAsia="Times New Roman" w:cs="Arial"/>
          <w:b/>
          <w:bCs/>
          <w:szCs w:val="20"/>
        </w:rPr>
        <w:t xml:space="preserve"> ve věku 30-34 let</w:t>
      </w:r>
      <w:r w:rsidR="006C49F4" w:rsidRPr="00495AED">
        <w:rPr>
          <w:rFonts w:eastAsia="Times New Roman" w:cs="Arial"/>
          <w:b/>
          <w:bCs/>
          <w:szCs w:val="20"/>
        </w:rPr>
        <w:t xml:space="preserve"> (v %)</w:t>
      </w:r>
    </w:p>
    <w:tbl>
      <w:tblPr>
        <w:tblW w:w="840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920"/>
        <w:gridCol w:w="2160"/>
        <w:gridCol w:w="2160"/>
        <w:gridCol w:w="2160"/>
      </w:tblGrid>
      <w:tr w:rsidR="00A82330" w:rsidRPr="004047E0" w:rsidTr="00A83D23">
        <w:trPr>
          <w:trHeight w:val="551"/>
          <w:jc w:val="center"/>
        </w:trPr>
        <w:tc>
          <w:tcPr>
            <w:tcW w:w="2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330" w:rsidRPr="004047E0" w:rsidRDefault="00A82330" w:rsidP="00495AED">
            <w:pPr>
              <w:spacing w:line="240" w:lineRule="auto"/>
              <w:ind w:firstLineChars="100" w:firstLine="16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330" w:rsidRDefault="00A82330" w:rsidP="00495AE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vertAlign w:val="superscript"/>
                <w:lang w:eastAsia="cs-CZ"/>
              </w:rPr>
            </w:pPr>
            <w:r w:rsidRPr="00981AE0">
              <w:rPr>
                <w:rFonts w:eastAsia="Times New Roman" w:cs="Arial"/>
                <w:sz w:val="16"/>
                <w:szCs w:val="16"/>
                <w:lang w:eastAsia="cs-CZ"/>
              </w:rPr>
              <w:t>Vysokoškolské vzdělání (ISCED 5-8)</w:t>
            </w:r>
            <w:r w:rsidRPr="00981AE0">
              <w:rPr>
                <w:rFonts w:eastAsia="Times New Roman" w:cs="Arial"/>
                <w:sz w:val="16"/>
                <w:szCs w:val="16"/>
                <w:vertAlign w:val="superscript"/>
                <w:lang w:eastAsia="cs-CZ"/>
              </w:rPr>
              <w:t>1</w:t>
            </w:r>
          </w:p>
          <w:p w:rsidR="00A82330" w:rsidRPr="00981AE0" w:rsidRDefault="00A82330" w:rsidP="00495AE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.Q 2015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82330" w:rsidRPr="004047E0" w:rsidRDefault="00A82330" w:rsidP="00495AE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330" w:rsidRPr="004047E0" w:rsidRDefault="00A82330" w:rsidP="00495AE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2330" w:rsidRPr="004047E0" w:rsidRDefault="00A82330" w:rsidP="00495AE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82330" w:rsidRPr="004047E0" w:rsidRDefault="00A82330" w:rsidP="00495AED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71,2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53,6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61,2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56,5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56,4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52,8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35,9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61,2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50,8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59,5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49,6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54,1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49,6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56,8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51,2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52,7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49,7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46,0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47,4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40,2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38,6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33,9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43,5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40,1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41,5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32,3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38,8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37,8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29,9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24,1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36,1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34,5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32,9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27,9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Default="00A82330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82330" w:rsidRDefault="00A82330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30,8</w:t>
            </w: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Pr="004047E0" w:rsidRDefault="00A82330" w:rsidP="004047E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330" w:rsidRPr="004047E0" w:rsidRDefault="00A82330" w:rsidP="004047E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330" w:rsidRPr="004047E0" w:rsidRDefault="00A82330" w:rsidP="004047E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330" w:rsidRPr="004047E0" w:rsidRDefault="00A82330" w:rsidP="004047E0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A82330" w:rsidRPr="004047E0" w:rsidTr="00A83D23">
        <w:trPr>
          <w:trHeight w:val="255"/>
          <w:jc w:val="center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330" w:rsidRPr="004047E0" w:rsidRDefault="00A82330" w:rsidP="004047E0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30" w:rsidRPr="004047E0" w:rsidRDefault="00A82330" w:rsidP="004047E0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30" w:rsidRPr="004047E0" w:rsidRDefault="00A82330" w:rsidP="004047E0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30" w:rsidRPr="004047E0" w:rsidRDefault="00A82330" w:rsidP="004047E0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</w:tr>
    </w:tbl>
    <w:p w:rsidR="00595DB6" w:rsidRDefault="00595DB6" w:rsidP="00595DB6">
      <w:pPr>
        <w:pStyle w:val="Poznmky"/>
      </w:pPr>
      <w:r>
        <w:rPr>
          <w:rStyle w:val="Znakapoznpodarou"/>
        </w:rPr>
        <w:footnoteRef/>
      </w:r>
      <w:r>
        <w:t xml:space="preserve"> </w:t>
      </w:r>
      <w:r w:rsidRPr="006B1D06">
        <w:t>Od 1. ledna 2014 byla zavedena nová klasifikace vzdělání ISCED 2011 (nahrazuje klasifikaci ISCED 97)</w:t>
      </w:r>
    </w:p>
    <w:p w:rsidR="00595DB6" w:rsidRDefault="00595DB6" w:rsidP="005F58AB">
      <w:pPr>
        <w:tabs>
          <w:tab w:val="left" w:pos="1545"/>
        </w:tabs>
      </w:pPr>
    </w:p>
    <w:p w:rsidR="008A6A3E" w:rsidRDefault="001226A8" w:rsidP="005F58AB">
      <w:pPr>
        <w:tabs>
          <w:tab w:val="left" w:pos="1545"/>
        </w:tabs>
      </w:pPr>
      <w:r>
        <w:lastRenderedPageBreak/>
        <w:t>Česká rep</w:t>
      </w:r>
      <w:r w:rsidR="0023284A">
        <w:t>ublika se podle výsledků VŠPS za</w:t>
      </w:r>
      <w:r>
        <w:t xml:space="preserve"> 3. čtvrtletí 2015 </w:t>
      </w:r>
      <w:r w:rsidR="00665B58">
        <w:t xml:space="preserve">stále řadí </w:t>
      </w:r>
      <w:r>
        <w:t>s dosaženým podílem 29,9</w:t>
      </w:r>
      <w:r w:rsidR="00C472F8">
        <w:t xml:space="preserve"> </w:t>
      </w:r>
      <w:r>
        <w:t>%</w:t>
      </w:r>
      <w:r w:rsidR="00665B58">
        <w:t xml:space="preserve"> </w:t>
      </w:r>
      <w:r w:rsidR="008A6A3E">
        <w:t>mezi země s nejnižším zastoupením</w:t>
      </w:r>
      <w:r>
        <w:t xml:space="preserve"> vysokoškolsky vzdělaných osob ve věku 30</w:t>
      </w:r>
      <w:r w:rsidR="002F1EDB">
        <w:t xml:space="preserve"> </w:t>
      </w:r>
      <w:r>
        <w:t>-</w:t>
      </w:r>
      <w:r w:rsidR="002F1EDB">
        <w:t xml:space="preserve"> </w:t>
      </w:r>
      <w:r>
        <w:t>34 let.</w:t>
      </w:r>
      <w:r w:rsidR="00FE43C2">
        <w:t xml:space="preserve"> </w:t>
      </w:r>
    </w:p>
    <w:p w:rsidR="00D348FA" w:rsidRDefault="00A82330" w:rsidP="00D348FA">
      <w:pPr>
        <w:tabs>
          <w:tab w:val="left" w:pos="1545"/>
        </w:tabs>
      </w:pPr>
      <w:r>
        <w:t xml:space="preserve">Tento podíl v ČR vzrostl meziročně o 1,6 p. b., což je podstatně více než v jiných členských zemích. </w:t>
      </w:r>
      <w:r w:rsidR="008A6A3E">
        <w:t>Zvlášť se zvýšil podíl žen s </w:t>
      </w:r>
      <w:r>
        <w:t>terciár</w:t>
      </w:r>
      <w:r w:rsidR="008A6A3E">
        <w:t xml:space="preserve">ním </w:t>
      </w:r>
      <w:proofErr w:type="gramStart"/>
      <w:r w:rsidR="008A6A3E">
        <w:t>vzdělání</w:t>
      </w:r>
      <w:proofErr w:type="gramEnd"/>
      <w:r w:rsidR="008A6A3E">
        <w:t xml:space="preserve"> (2,9 p. b.), zatím co podíl mužů s touto úrovní formálního vzdělání vzrostl pouze o 0,4 p. b.</w:t>
      </w:r>
      <w:r w:rsidR="00D348FA">
        <w:t xml:space="preserve"> </w:t>
      </w:r>
    </w:p>
    <w:p w:rsidR="00D348FA" w:rsidRDefault="00D348FA" w:rsidP="00D348FA">
      <w:pPr>
        <w:tabs>
          <w:tab w:val="left" w:pos="1545"/>
        </w:tabs>
      </w:pPr>
    </w:p>
    <w:p w:rsidR="008A6A3E" w:rsidRDefault="007B3E9F" w:rsidP="00D348FA">
      <w:pPr>
        <w:tabs>
          <w:tab w:val="left" w:pos="1545"/>
        </w:tabs>
      </w:pPr>
      <w:r>
        <w:t>Nižší podíl vysokoškolsky vzdělaných osob než v České republice</w:t>
      </w:r>
      <w:r w:rsidR="008A6A3E">
        <w:t xml:space="preserve"> má ze sousedních zemí pouze Slovensko </w:t>
      </w:r>
      <w:r w:rsidR="008A6A3E">
        <w:rPr>
          <w:sz w:val="22"/>
        </w:rPr>
        <w:t>(</w:t>
      </w:r>
      <w:r>
        <w:t>28,</w:t>
      </w:r>
      <w:r w:rsidR="00665B58">
        <w:t>5</w:t>
      </w:r>
      <w:r w:rsidR="008A6A3E">
        <w:t xml:space="preserve"> </w:t>
      </w:r>
      <w:r>
        <w:t>%)</w:t>
      </w:r>
      <w:r w:rsidR="008A6A3E">
        <w:t xml:space="preserve">, ale údaj za ČR se významně nelišil od údaje za Německo (32,2 %). Vyšší hodnoty než ČR dosahuje Rakousko (38,9 %) a zvláště Polsko (44,5 %). </w:t>
      </w:r>
    </w:p>
    <w:p w:rsidR="008B5F76" w:rsidRDefault="008B5F76" w:rsidP="006C49F4">
      <w:pPr>
        <w:rPr>
          <w:b/>
        </w:rPr>
      </w:pPr>
    </w:p>
    <w:p w:rsidR="00D64386" w:rsidRDefault="00D64386" w:rsidP="008B5F76">
      <w:pPr>
        <w:keepNext/>
        <w:rPr>
          <w:b/>
        </w:rPr>
      </w:pPr>
      <w:r>
        <w:rPr>
          <w:b/>
        </w:rPr>
        <w:t>Nezaměstnanost</w:t>
      </w:r>
      <w:r w:rsidR="00906CA7">
        <w:rPr>
          <w:b/>
        </w:rPr>
        <w:t xml:space="preserve"> ve věku 15-64 let je v naší republice stále jedna z</w:t>
      </w:r>
      <w:r w:rsidR="00D348FA">
        <w:rPr>
          <w:b/>
        </w:rPr>
        <w:t> </w:t>
      </w:r>
      <w:r w:rsidR="00906CA7">
        <w:rPr>
          <w:b/>
        </w:rPr>
        <w:t>nejnižších</w:t>
      </w:r>
    </w:p>
    <w:p w:rsidR="00D348FA" w:rsidRDefault="00D348FA" w:rsidP="008B5F76">
      <w:pPr>
        <w:keepNext/>
        <w:rPr>
          <w:b/>
        </w:rPr>
      </w:pPr>
    </w:p>
    <w:p w:rsidR="00D64386" w:rsidRDefault="00296369" w:rsidP="00D64386">
      <w:pPr>
        <w:numPr>
          <w:ilvl w:val="0"/>
          <w:numId w:val="1"/>
        </w:numPr>
        <w:ind w:left="0" w:firstLine="0"/>
      </w:pPr>
      <w:r>
        <w:t>S vyšší zaměstnaností klesá</w:t>
      </w:r>
      <w:r w:rsidR="00D64386">
        <w:t xml:space="preserve"> i míra nezaměstnanosti, a to</w:t>
      </w:r>
      <w:r w:rsidR="00C472F8">
        <w:t xml:space="preserve"> téměř ve všech členských zemích</w:t>
      </w:r>
      <w:r w:rsidR="00D64386">
        <w:t xml:space="preserve"> EU. Průměrně míra ne</w:t>
      </w:r>
      <w:r w:rsidR="002E39AA">
        <w:t>zaměstnanosti za státy EU28 ve 3</w:t>
      </w:r>
      <w:r w:rsidR="00750DBA">
        <w:t>. čtvrtletí</w:t>
      </w:r>
      <w:r w:rsidR="007653DD">
        <w:t xml:space="preserve"> činila 9,1</w:t>
      </w:r>
      <w:r w:rsidR="00D64386">
        <w:t xml:space="preserve"> %. V Německu byla míra nezaměstnanosti v daném obdob</w:t>
      </w:r>
      <w:r w:rsidR="007653DD">
        <w:t>í vůbec nejnižší, dosahovala 4,5</w:t>
      </w:r>
      <w:r w:rsidR="00D64386">
        <w:t> %</w:t>
      </w:r>
      <w:r w:rsidR="006A1B47">
        <w:t>, u žen dokonce 4,0 %</w:t>
      </w:r>
      <w:r w:rsidR="00D64386">
        <w:t>. Česká republika se vyznačuje relativně</w:t>
      </w:r>
      <w:r w:rsidR="001340B0">
        <w:t xml:space="preserve"> velmi</w:t>
      </w:r>
      <w:r w:rsidR="00D64386">
        <w:t xml:space="preserve"> nízkou úrovní ne</w:t>
      </w:r>
      <w:r w:rsidR="007653DD">
        <w:t>zaměstnanosti</w:t>
      </w:r>
      <w:r w:rsidR="001340B0">
        <w:t xml:space="preserve"> (4,9 %)</w:t>
      </w:r>
      <w:r w:rsidR="007653DD">
        <w:t>, se kterou se ve 3</w:t>
      </w:r>
      <w:r w:rsidR="00D64386">
        <w:t xml:space="preserve">. čtvrtletí </w:t>
      </w:r>
      <w:r w:rsidR="007653DD">
        <w:t xml:space="preserve">opět </w:t>
      </w:r>
      <w:r w:rsidR="00D64386">
        <w:t>zařadila</w:t>
      </w:r>
      <w:r w:rsidR="007653DD">
        <w:t xml:space="preserve"> hned</w:t>
      </w:r>
      <w:r w:rsidR="00D64386">
        <w:t xml:space="preserve"> za N</w:t>
      </w:r>
      <w:r w:rsidR="007653DD">
        <w:t xml:space="preserve">ěmecko </w:t>
      </w:r>
      <w:r w:rsidR="006A1B47">
        <w:t>na druhé mí</w:t>
      </w:r>
      <w:r w:rsidR="001340B0">
        <w:t>sto</w:t>
      </w:r>
      <w:r w:rsidR="006A1B47">
        <w:t xml:space="preserve">. </w:t>
      </w:r>
      <w:r w:rsidR="007653DD">
        <w:t>Ve 3</w:t>
      </w:r>
      <w:r w:rsidR="00D64386">
        <w:t>. čtvrtletí 2015 byla ob</w:t>
      </w:r>
      <w:r w:rsidR="007653DD">
        <w:t>ecná míra nezaměstnanosti</w:t>
      </w:r>
      <w:r w:rsidR="006A1B47">
        <w:t xml:space="preserve"> mužů</w:t>
      </w:r>
      <w:r w:rsidR="007653DD">
        <w:t xml:space="preserve"> v</w:t>
      </w:r>
      <w:r w:rsidR="001340B0">
        <w:t> </w:t>
      </w:r>
      <w:r w:rsidR="007653DD">
        <w:t>ČR</w:t>
      </w:r>
      <w:r w:rsidR="001340B0">
        <w:t xml:space="preserve"> vůbec</w:t>
      </w:r>
      <w:r w:rsidR="006A1B47">
        <w:t xml:space="preserve"> nejnižší</w:t>
      </w:r>
      <w:r w:rsidR="007653DD">
        <w:t xml:space="preserve"> </w:t>
      </w:r>
      <w:r w:rsidR="00C472F8">
        <w:t xml:space="preserve">s </w:t>
      </w:r>
      <w:r w:rsidR="007653DD">
        <w:t>4,</w:t>
      </w:r>
      <w:r w:rsidR="006A1B47">
        <w:t>0</w:t>
      </w:r>
      <w:r w:rsidR="00C472F8">
        <w:t xml:space="preserve"> </w:t>
      </w:r>
      <w:r w:rsidR="006A1B47">
        <w:t>%</w:t>
      </w:r>
      <w:r w:rsidR="00D64386">
        <w:t xml:space="preserve">. </w:t>
      </w:r>
      <w:r w:rsidR="001340B0">
        <w:t>V porovnání s ostatními</w:t>
      </w:r>
      <w:r w:rsidR="00D64386">
        <w:t xml:space="preserve"> sousedními státy byla míra nezaměstnanosti výrazně vyšší na Slovensku (11,3 %)</w:t>
      </w:r>
      <w:r w:rsidR="001340B0">
        <w:t xml:space="preserve"> a také v Polsku</w:t>
      </w:r>
      <w:r w:rsidR="007653DD">
        <w:t xml:space="preserve"> (7,1</w:t>
      </w:r>
      <w:r w:rsidR="00D64386">
        <w:t xml:space="preserve"> %). </w:t>
      </w:r>
      <w:r w:rsidR="001340B0">
        <w:t>Rakousko dosahuje také jedné z nejnižších hodnot mezi členskými zeměmi s 5,7 %.</w:t>
      </w:r>
    </w:p>
    <w:p w:rsidR="008B5F76" w:rsidRDefault="008B5F76" w:rsidP="00F74404">
      <w:pPr>
        <w:jc w:val="left"/>
        <w:rPr>
          <w:rFonts w:eastAsia="Times New Roman" w:cs="Arial"/>
          <w:b/>
          <w:bCs/>
          <w:szCs w:val="20"/>
        </w:rPr>
      </w:pPr>
    </w:p>
    <w:p w:rsidR="00F74404" w:rsidRDefault="0047611B" w:rsidP="00F74404">
      <w:pPr>
        <w:jc w:val="left"/>
        <w:rPr>
          <w:rFonts w:eastAsia="Times New Roman" w:cs="Arial"/>
          <w:b/>
          <w:bCs/>
          <w:szCs w:val="20"/>
        </w:rPr>
      </w:pPr>
      <w:r w:rsidRPr="00495AED">
        <w:rPr>
          <w:rFonts w:eastAsia="Times New Roman" w:cs="Arial"/>
          <w:b/>
          <w:bCs/>
          <w:szCs w:val="20"/>
        </w:rPr>
        <w:t>Tabulka 3</w:t>
      </w:r>
      <w:r w:rsidR="00906CA7">
        <w:rPr>
          <w:rFonts w:eastAsia="Times New Roman" w:cs="Arial"/>
          <w:b/>
          <w:bCs/>
          <w:szCs w:val="20"/>
        </w:rPr>
        <w:t xml:space="preserve"> Míra nezaměstnanosti 15-6</w:t>
      </w:r>
      <w:r w:rsidR="00F74404" w:rsidRPr="00495AED">
        <w:rPr>
          <w:rFonts w:eastAsia="Times New Roman" w:cs="Arial"/>
          <w:b/>
          <w:bCs/>
          <w:szCs w:val="20"/>
        </w:rPr>
        <w:t>4letých v členských zemích EU (v %)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/>
      </w:tblPr>
      <w:tblGrid>
        <w:gridCol w:w="1988"/>
        <w:gridCol w:w="1110"/>
        <w:gridCol w:w="1110"/>
        <w:gridCol w:w="1109"/>
        <w:gridCol w:w="1109"/>
        <w:gridCol w:w="1109"/>
        <w:gridCol w:w="1109"/>
      </w:tblGrid>
      <w:tr w:rsidR="00906CA7" w:rsidRPr="004047E0" w:rsidTr="004724F2">
        <w:trPr>
          <w:trHeight w:val="551"/>
          <w:jc w:val="center"/>
        </w:trPr>
        <w:tc>
          <w:tcPr>
            <w:tcW w:w="19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ind w:firstLineChars="100" w:firstLine="16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32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981A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3.čtvrtletí</w:t>
            </w: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 xml:space="preserve"> 2015</w:t>
            </w:r>
          </w:p>
        </w:tc>
        <w:tc>
          <w:tcPr>
            <w:tcW w:w="3327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Rozdíl v p.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t xml:space="preserve"> b.</w:t>
            </w:r>
            <w:r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3.Q 2015 - 3</w:t>
            </w: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.Q 2014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4,9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6,1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-1,3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-0,4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1,5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-0,5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1,2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EU28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8,9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-0,9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-1,9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9,8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11,3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12,7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0,4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15,6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14,5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16,8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</w:tr>
      <w:tr w:rsidR="00DC4F36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F36" w:rsidRDefault="00DC4F3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-1,0</w:t>
            </w: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righ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906CA7" w:rsidRPr="004047E0" w:rsidTr="004724F2">
        <w:trPr>
          <w:trHeight w:val="255"/>
          <w:jc w:val="center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</w:pPr>
            <w:r w:rsidRPr="004047E0">
              <w:rPr>
                <w:rFonts w:eastAsia="Times New Roman" w:cs="Arial"/>
                <w:i/>
                <w:iCs/>
                <w:sz w:val="16"/>
                <w:szCs w:val="16"/>
                <w:lang w:eastAsia="cs-CZ"/>
              </w:rPr>
              <w:t>Zdroj: Eurostat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i/>
                <w:iCs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CA7" w:rsidRPr="004047E0" w:rsidRDefault="00906CA7" w:rsidP="004724F2">
            <w:pPr>
              <w:spacing w:line="240" w:lineRule="auto"/>
              <w:jc w:val="left"/>
              <w:rPr>
                <w:rFonts w:ascii="Arial CE" w:eastAsia="Times New Roman" w:hAnsi="Arial CE"/>
                <w:szCs w:val="20"/>
                <w:lang w:eastAsia="cs-CZ"/>
              </w:rPr>
            </w:pPr>
          </w:p>
        </w:tc>
      </w:tr>
    </w:tbl>
    <w:p w:rsidR="00906CA7" w:rsidRPr="00495AED" w:rsidRDefault="00906CA7" w:rsidP="00F74404">
      <w:pPr>
        <w:jc w:val="left"/>
        <w:rPr>
          <w:szCs w:val="20"/>
        </w:rPr>
      </w:pPr>
    </w:p>
    <w:p w:rsidR="00750DBA" w:rsidRDefault="00750DBA" w:rsidP="00750DBA">
      <w:pPr>
        <w:tabs>
          <w:tab w:val="left" w:pos="1545"/>
        </w:tabs>
      </w:pPr>
      <w:r>
        <w:t>Míra nezaměstnanosti se nadále udržuje na vysokých hodnotách zejména v jižních státech Evropy. Státy s nejnižší zaměstnaností (zejména Řecko a Španělsko) se umístily zároveň</w:t>
      </w:r>
      <w:r>
        <w:br/>
        <w:t>na předních místech žebříčků zemí s nejvyšší mírou nezaměstnanosti. Jejich míra nezaměstnanosti se mezi čtvrtletími i meziročně sice snížila, ale i tak je vysoká a lze kon</w:t>
      </w:r>
      <w:r w:rsidR="00582699">
        <w:t>statovat, že u Řecka</w:t>
      </w:r>
      <w:r>
        <w:t xml:space="preserve"> z osob ve věku 15-64 let, které by chtěly pracovat, byla téměř čtvrtina nezaměstnaná.</w:t>
      </w:r>
    </w:p>
    <w:p w:rsidR="00750DBA" w:rsidRPr="00750DBA" w:rsidRDefault="00750DBA" w:rsidP="006C49F4">
      <w:pPr>
        <w:rPr>
          <w:rFonts w:eastAsia="Times New Roman" w:cs="Arial"/>
          <w:bCs/>
          <w:szCs w:val="20"/>
        </w:rPr>
      </w:pPr>
    </w:p>
    <w:p w:rsidR="00A9335F" w:rsidRDefault="00742BF1" w:rsidP="006C49F4">
      <w:pPr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Podíl osob nezaměstnaných 1 rok a déle</w:t>
      </w:r>
      <w:r w:rsidR="00CD685F">
        <w:rPr>
          <w:rFonts w:eastAsia="Times New Roman" w:cs="Arial"/>
          <w:b/>
          <w:bCs/>
          <w:szCs w:val="20"/>
        </w:rPr>
        <w:t xml:space="preserve"> se v ČR pohybuje na úrovni průměru EU</w:t>
      </w:r>
    </w:p>
    <w:p w:rsidR="00EF753F" w:rsidRDefault="00EF753F" w:rsidP="006C49F4"/>
    <w:p w:rsidR="006C49F4" w:rsidRPr="00F27D16" w:rsidRDefault="006C49F4" w:rsidP="006C49F4">
      <w:r>
        <w:t>Při</w:t>
      </w:r>
      <w:r w:rsidR="001340B0">
        <w:t xml:space="preserve"> celkovém</w:t>
      </w:r>
      <w:r>
        <w:t xml:space="preserve"> </w:t>
      </w:r>
      <w:r w:rsidR="003B2C6D">
        <w:t>poklesu nezaměstnanosti</w:t>
      </w:r>
      <w:r>
        <w:t xml:space="preserve"> </w:t>
      </w:r>
      <w:r w:rsidR="00794CFA">
        <w:t xml:space="preserve">se </w:t>
      </w:r>
      <w:r>
        <w:t xml:space="preserve">podíl dlouhodobě nezaměstnaných (1 rok a déle) </w:t>
      </w:r>
      <w:r w:rsidR="00794CFA">
        <w:t>n</w:t>
      </w:r>
      <w:r w:rsidR="004A3E39">
        <w:t>a </w:t>
      </w:r>
      <w:r>
        <w:t>celkové nezaměstnanosti</w:t>
      </w:r>
      <w:r w:rsidR="00794CFA">
        <w:t xml:space="preserve"> - v průměru za EU28 meziročně</w:t>
      </w:r>
      <w:r w:rsidR="00337592">
        <w:t xml:space="preserve"> </w:t>
      </w:r>
      <w:r w:rsidR="00715483">
        <w:t>snížil o 1</w:t>
      </w:r>
      <w:r w:rsidR="00794CFA">
        <w:t xml:space="preserve">,7 p. </w:t>
      </w:r>
      <w:r>
        <w:t xml:space="preserve">b. </w:t>
      </w:r>
      <w:proofErr w:type="gramStart"/>
      <w:r>
        <w:t>na</w:t>
      </w:r>
      <w:proofErr w:type="gramEnd"/>
      <w:r>
        <w:t xml:space="preserve"> </w:t>
      </w:r>
      <w:r w:rsidR="00EF4DBF">
        <w:t>4</w:t>
      </w:r>
      <w:r w:rsidR="00715483">
        <w:t>8</w:t>
      </w:r>
      <w:r>
        <w:t>,</w:t>
      </w:r>
      <w:r w:rsidR="00715483">
        <w:t>2</w:t>
      </w:r>
      <w:r>
        <w:t xml:space="preserve"> %. V České republice se podíl dlouhodobě nezaměstnaných meziročně </w:t>
      </w:r>
      <w:r w:rsidR="00F91C28">
        <w:t>naopak</w:t>
      </w:r>
      <w:r w:rsidR="00EF4DBF">
        <w:t xml:space="preserve"> zvýšil, </w:t>
      </w:r>
      <w:r w:rsidR="00CC5B92">
        <w:t xml:space="preserve">a to </w:t>
      </w:r>
      <w:r w:rsidR="00EF4DBF">
        <w:t xml:space="preserve">o </w:t>
      </w:r>
      <w:r w:rsidR="00715483">
        <w:t>4</w:t>
      </w:r>
      <w:r w:rsidR="00CC5B92">
        <w:t>,</w:t>
      </w:r>
      <w:r w:rsidR="00F91C28">
        <w:t>6</w:t>
      </w:r>
      <w:r w:rsidRPr="009D58D2">
        <w:t xml:space="preserve"> procentní</w:t>
      </w:r>
      <w:r w:rsidR="00CC5B92">
        <w:t>ch</w:t>
      </w:r>
      <w:r w:rsidRPr="009D58D2">
        <w:t xml:space="preserve"> bod</w:t>
      </w:r>
      <w:r w:rsidR="00CC5B92">
        <w:t>ů</w:t>
      </w:r>
      <w:r w:rsidRPr="009D58D2">
        <w:t>.</w:t>
      </w:r>
      <w:r w:rsidR="00794CFA">
        <w:t xml:space="preserve"> Zvýšení tohoto podílu je však v podstatné míře kompenzováno velkým snížením celkové nezaměstnanosti</w:t>
      </w:r>
      <w:r w:rsidR="00F040EB">
        <w:t>.</w:t>
      </w:r>
      <w:r>
        <w:t xml:space="preserve"> </w:t>
      </w:r>
      <w:r w:rsidR="00715483">
        <w:t>Ve 3. čtvrtletí 2015 s</w:t>
      </w:r>
      <w:r>
        <w:t xml:space="preserve">e </w:t>
      </w:r>
      <w:r w:rsidR="001340B0">
        <w:t xml:space="preserve">tak </w:t>
      </w:r>
      <w:r>
        <w:t>sledovaný ukazatel</w:t>
      </w:r>
      <w:r w:rsidR="00715483">
        <w:t xml:space="preserve"> za Českou republiku dostal nad úroveň</w:t>
      </w:r>
      <w:r>
        <w:t xml:space="preserve"> EU28 (rozdíl </w:t>
      </w:r>
      <w:r w:rsidR="00715483">
        <w:t>0</w:t>
      </w:r>
      <w:r>
        <w:t>,</w:t>
      </w:r>
      <w:r w:rsidR="00715483">
        <w:t>4</w:t>
      </w:r>
      <w:r>
        <w:t xml:space="preserve"> p. b.). </w:t>
      </w:r>
      <w:r w:rsidR="00F040EB">
        <w:t>Dlouhodobá nezaměstnanost je velkým problémem zejména v</w:t>
      </w:r>
      <w:r w:rsidR="00715483">
        <w:t> </w:t>
      </w:r>
      <w:r w:rsidR="00F040EB">
        <w:t>Řecku</w:t>
      </w:r>
      <w:r w:rsidR="00715483">
        <w:t>, Chorvatsku</w:t>
      </w:r>
      <w:r w:rsidR="00F040EB">
        <w:t xml:space="preserve"> a na Slovensku. Nejnižší podíl </w:t>
      </w:r>
      <w:r w:rsidR="007D4C69">
        <w:t xml:space="preserve">dlouhodobě </w:t>
      </w:r>
      <w:r w:rsidR="00F040EB">
        <w:t>nezaměstnaných je naopak v severských státech, které se</w:t>
      </w:r>
      <w:r w:rsidR="007D4C69">
        <w:t xml:space="preserve"> přitom</w:t>
      </w:r>
      <w:r w:rsidR="00F040EB">
        <w:t xml:space="preserve"> vyznačují nízkou celkovou nezaměstnaností. </w:t>
      </w:r>
    </w:p>
    <w:p w:rsidR="008B5F76" w:rsidRDefault="008B5F76" w:rsidP="006C49F4">
      <w:pPr>
        <w:jc w:val="left"/>
        <w:rPr>
          <w:rFonts w:eastAsia="Times New Roman" w:cs="Arial"/>
          <w:b/>
          <w:bCs/>
          <w:szCs w:val="20"/>
        </w:rPr>
      </w:pPr>
    </w:p>
    <w:p w:rsidR="006C49F4" w:rsidRPr="00495AED" w:rsidRDefault="00577D18" w:rsidP="006C49F4">
      <w:pPr>
        <w:jc w:val="left"/>
        <w:rPr>
          <w:rFonts w:eastAsia="Times New Roman" w:cs="Arial"/>
          <w:b/>
          <w:bCs/>
          <w:szCs w:val="20"/>
        </w:rPr>
      </w:pPr>
      <w:r w:rsidRPr="00495AED">
        <w:rPr>
          <w:rFonts w:eastAsia="Times New Roman" w:cs="Arial"/>
          <w:b/>
          <w:bCs/>
          <w:szCs w:val="20"/>
        </w:rPr>
        <w:t>Tab</w:t>
      </w:r>
      <w:r w:rsidR="00AE18FD" w:rsidRPr="00495AED">
        <w:rPr>
          <w:rFonts w:eastAsia="Times New Roman" w:cs="Arial"/>
          <w:b/>
          <w:bCs/>
          <w:szCs w:val="20"/>
        </w:rPr>
        <w:t>ulka</w:t>
      </w:r>
      <w:r w:rsidR="008436A1" w:rsidRPr="00495AED">
        <w:rPr>
          <w:rFonts w:eastAsia="Times New Roman" w:cs="Arial"/>
          <w:b/>
          <w:bCs/>
          <w:szCs w:val="20"/>
        </w:rPr>
        <w:t xml:space="preserve"> </w:t>
      </w:r>
      <w:r w:rsidRPr="00495AED">
        <w:rPr>
          <w:rFonts w:eastAsia="Times New Roman" w:cs="Arial"/>
          <w:b/>
          <w:bCs/>
          <w:szCs w:val="20"/>
        </w:rPr>
        <w:t>4</w:t>
      </w:r>
      <w:r w:rsidR="006C49F4" w:rsidRPr="00495AED">
        <w:rPr>
          <w:rFonts w:eastAsia="Times New Roman" w:cs="Arial"/>
          <w:b/>
          <w:bCs/>
          <w:szCs w:val="20"/>
        </w:rPr>
        <w:t xml:space="preserve"> Podíl osob nezaměstnaných 1 rok a déle na celkovém počtu nezaměstnaných ve věku 15-64 let (v %)</w:t>
      </w:r>
    </w:p>
    <w:tbl>
      <w:tblPr>
        <w:tblW w:w="8601" w:type="dxa"/>
        <w:jc w:val="center"/>
        <w:tblCellMar>
          <w:left w:w="70" w:type="dxa"/>
          <w:right w:w="70" w:type="dxa"/>
        </w:tblCellMar>
        <w:tblLook w:val="04A0"/>
      </w:tblPr>
      <w:tblGrid>
        <w:gridCol w:w="2047"/>
        <w:gridCol w:w="1135"/>
        <w:gridCol w:w="1070"/>
        <w:gridCol w:w="1074"/>
        <w:gridCol w:w="1121"/>
        <w:gridCol w:w="1170"/>
        <w:gridCol w:w="984"/>
      </w:tblGrid>
      <w:tr w:rsidR="009B08A0" w:rsidRPr="009B08A0" w:rsidTr="00B03086">
        <w:trPr>
          <w:trHeight w:val="255"/>
          <w:jc w:val="center"/>
        </w:trPr>
        <w:tc>
          <w:tcPr>
            <w:tcW w:w="20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ind w:firstLineChars="100" w:firstLine="160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Země</w:t>
            </w:r>
          </w:p>
        </w:tc>
        <w:tc>
          <w:tcPr>
            <w:tcW w:w="3279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B03086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  <w:r w:rsidR="009B08A0" w:rsidRPr="009B08A0">
              <w:rPr>
                <w:rFonts w:eastAsia="Times New Roman" w:cs="Arial"/>
                <w:sz w:val="16"/>
                <w:szCs w:val="16"/>
                <w:lang w:eastAsia="cs-CZ"/>
              </w:rPr>
              <w:t>. čtvrtletí 2015</w:t>
            </w:r>
          </w:p>
        </w:tc>
        <w:tc>
          <w:tcPr>
            <w:tcW w:w="327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Rozdíl v 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p.</w:t>
            </w:r>
            <w:r w:rsidR="00A44A24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A44A24" w:rsidRPr="009B08A0">
              <w:rPr>
                <w:rFonts w:eastAsia="Times New Roman" w:cs="Arial"/>
                <w:sz w:val="16"/>
                <w:szCs w:val="16"/>
                <w:lang w:eastAsia="cs-CZ"/>
              </w:rPr>
              <w:t>b.</w:t>
            </w:r>
            <w:r w:rsidR="00B03086">
              <w:rPr>
                <w:rFonts w:eastAsia="Times New Roman" w:cs="Arial"/>
                <w:sz w:val="16"/>
                <w:szCs w:val="16"/>
                <w:lang w:eastAsia="cs-CZ"/>
              </w:rPr>
              <w:br/>
              <w:t xml:space="preserve"> 3</w:t>
            </w: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.Q 2015</w:t>
            </w:r>
            <w:r w:rsidR="00A44A24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-</w:t>
            </w:r>
            <w:r w:rsidR="00A44A24">
              <w:rPr>
                <w:rFonts w:eastAsia="Times New Roman" w:cs="Arial"/>
                <w:sz w:val="16"/>
                <w:szCs w:val="16"/>
                <w:lang w:eastAsia="cs-CZ"/>
              </w:rPr>
              <w:t xml:space="preserve"> </w:t>
            </w:r>
            <w:r w:rsidR="00B03086"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.Q 2014</w:t>
            </w:r>
          </w:p>
        </w:tc>
      </w:tr>
      <w:tr w:rsidR="009B08A0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9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3275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</w:tr>
      <w:tr w:rsidR="00262984" w:rsidRPr="009B08A0" w:rsidTr="00B03086">
        <w:trPr>
          <w:trHeight w:val="255"/>
          <w:jc w:val="center"/>
        </w:trPr>
        <w:tc>
          <w:tcPr>
            <w:tcW w:w="204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muži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08A0" w:rsidRPr="009B08A0" w:rsidRDefault="009B08A0" w:rsidP="009B08A0">
            <w:pPr>
              <w:spacing w:line="240" w:lineRule="auto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9B08A0">
              <w:rPr>
                <w:rFonts w:eastAsia="Times New Roman" w:cs="Arial"/>
                <w:sz w:val="16"/>
                <w:szCs w:val="16"/>
                <w:lang w:eastAsia="cs-CZ"/>
              </w:rPr>
              <w:t>ženy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Řecko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73,6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72,4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74,7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-0,8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Chorvatsko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71,9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63,2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10,4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67,1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70,3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-2,0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Bulharsko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62,8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64,5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60,6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Itálie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59,3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-4,7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58,9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-3,8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54,6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56,5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Irsko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55,6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61,3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46,0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Španělsko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51,8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49,9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2,7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Lotyšsko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50,5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52,9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7,8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8,0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6,9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Česká republika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48,6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48,8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48,4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4,5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1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EU28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48,2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49,0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1"/>
              <w:jc w:val="right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-1,5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Maďarsko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48,8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-1,7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Rumunsko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5,3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Francie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46,1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43,4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-0,2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Malta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57,1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5,6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: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Kypr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42,1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-5,0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Litva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47,8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39,1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-3,5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-5,8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Nizozemsko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44,9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41,2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3,3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Německo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43,1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45,2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40,2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0,1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37,7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36,3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-7,0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36,2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39,5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33,5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-7,2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-6,1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Rakousko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32,7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23,5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-1,8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Spojené království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-5,7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-6,6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-4,7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28,1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34,4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21,2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6,1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-1,2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Lucembursko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26,8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31,2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22,5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-2,6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Dánsko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25,6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-0,3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-1,5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1,0</w:t>
            </w:r>
          </w:p>
        </w:tc>
      </w:tr>
      <w:tr w:rsidR="00B03086" w:rsidRPr="00262984" w:rsidTr="004724F2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3086" w:rsidRDefault="00B03086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Švédsko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22,5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24,7</w:t>
            </w: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20,0</w:t>
            </w:r>
          </w:p>
        </w:tc>
        <w:tc>
          <w:tcPr>
            <w:tcW w:w="112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3,4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86" w:rsidRDefault="00B03086">
            <w:pPr>
              <w:ind w:firstLineChars="100" w:firstLine="160"/>
              <w:jc w:val="right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>2,5</w:t>
            </w:r>
          </w:p>
        </w:tc>
      </w:tr>
      <w:tr w:rsidR="00AB5363" w:rsidRPr="00AB5363" w:rsidTr="00B03086">
        <w:trPr>
          <w:trHeight w:val="255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left"/>
              <w:rPr>
                <w:rFonts w:eastAsia="Times New Roman" w:cs="Arial"/>
                <w:sz w:val="8"/>
                <w:szCs w:val="8"/>
                <w:lang w:eastAsia="cs-CZ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63" w:rsidRPr="00AB5363" w:rsidRDefault="00AB5363" w:rsidP="00AB5363">
            <w:pPr>
              <w:spacing w:line="240" w:lineRule="auto"/>
              <w:ind w:firstLineChars="100" w:firstLine="80"/>
              <w:jc w:val="right"/>
              <w:rPr>
                <w:rFonts w:ascii="Arial CE" w:eastAsia="Times New Roman" w:hAnsi="Arial CE" w:cs="Arial CE"/>
                <w:sz w:val="8"/>
                <w:szCs w:val="8"/>
                <w:lang w:eastAsia="cs-CZ"/>
              </w:rPr>
            </w:pPr>
          </w:p>
        </w:tc>
      </w:tr>
    </w:tbl>
    <w:p w:rsidR="006C49F4" w:rsidRPr="008B5F76" w:rsidRDefault="006C49F4" w:rsidP="006C49F4">
      <w:pPr>
        <w:rPr>
          <w:sz w:val="16"/>
          <w:szCs w:val="16"/>
        </w:rPr>
      </w:pPr>
      <w:r w:rsidRPr="00556DA8">
        <w:rPr>
          <w:rFonts w:eastAsia="Times New Roman" w:cs="Arial"/>
          <w:i/>
          <w:iCs/>
          <w:sz w:val="16"/>
          <w:szCs w:val="16"/>
        </w:rPr>
        <w:t>Zdroj: Eurostat</w:t>
      </w:r>
      <w:r w:rsidR="00E103D9" w:rsidRPr="00556DA8">
        <w:rPr>
          <w:sz w:val="16"/>
          <w:szCs w:val="16"/>
        </w:rPr>
        <w:t xml:space="preserve">                                                                                      </w:t>
      </w:r>
      <w:r w:rsidR="00556DA8">
        <w:rPr>
          <w:sz w:val="16"/>
          <w:szCs w:val="16"/>
        </w:rPr>
        <w:t xml:space="preserve">                                         </w:t>
      </w:r>
      <w:r w:rsidR="00E103D9" w:rsidRPr="00556DA8">
        <w:rPr>
          <w:sz w:val="16"/>
          <w:szCs w:val="16"/>
        </w:rPr>
        <w:t xml:space="preserve">  </w:t>
      </w:r>
      <w:r w:rsidR="00AE18FD" w:rsidRPr="00E103D9">
        <w:rPr>
          <w:rFonts w:eastAsia="Times New Roman" w:cs="Arial"/>
          <w:i/>
          <w:iCs/>
          <w:sz w:val="16"/>
          <w:szCs w:val="16"/>
        </w:rPr>
        <w:t>: - údaj není k dispozici</w:t>
      </w:r>
    </w:p>
    <w:p w:rsidR="00AE18FD" w:rsidRDefault="00AE18FD" w:rsidP="006C49F4">
      <w:pPr>
        <w:rPr>
          <w:b/>
        </w:rPr>
      </w:pPr>
    </w:p>
    <w:p w:rsidR="006C49F4" w:rsidRDefault="006C49F4" w:rsidP="006C49F4">
      <w:pPr>
        <w:rPr>
          <w:rFonts w:cs="Arial"/>
        </w:rPr>
      </w:pPr>
      <w:r>
        <w:rPr>
          <w:b/>
        </w:rPr>
        <w:t>Kontakt</w:t>
      </w:r>
    </w:p>
    <w:p w:rsidR="006C49F4" w:rsidRDefault="009B08A0" w:rsidP="006C49F4">
      <w:pPr>
        <w:rPr>
          <w:rFonts w:cs="Arial"/>
        </w:rPr>
      </w:pPr>
      <w:r>
        <w:rPr>
          <w:rFonts w:cs="Arial"/>
        </w:rPr>
        <w:t>Ilona Nováková</w:t>
      </w:r>
    </w:p>
    <w:p w:rsidR="006C49F4" w:rsidRDefault="006C49F4" w:rsidP="006C49F4">
      <w:r>
        <w:rPr>
          <w:rFonts w:cs="Arial"/>
        </w:rPr>
        <w:t>Oddělení pracovních sil, migrace a rovných příležitostí</w:t>
      </w:r>
    </w:p>
    <w:p w:rsidR="006C49F4" w:rsidRDefault="006C49F4" w:rsidP="006C49F4">
      <w:r>
        <w:t xml:space="preserve">Tel.: </w:t>
      </w:r>
      <w:r w:rsidR="009B08A0">
        <w:rPr>
          <w:rFonts w:cs="Arial"/>
        </w:rPr>
        <w:t>274 054 380</w:t>
      </w:r>
    </w:p>
    <w:p w:rsidR="008F73B4" w:rsidRPr="006C49F4" w:rsidRDefault="006C49F4" w:rsidP="006C49F4">
      <w:r>
        <w:t xml:space="preserve">E-mail: </w:t>
      </w:r>
      <w:proofErr w:type="spellStart"/>
      <w:r w:rsidR="009B08A0">
        <w:rPr>
          <w:rFonts w:cs="Arial"/>
        </w:rPr>
        <w:t>ilona.novakova</w:t>
      </w:r>
      <w:proofErr w:type="spellEnd"/>
      <w:r w:rsidRPr="008E2BC7">
        <w:rPr>
          <w:rFonts w:cs="Arial"/>
          <w:lang w:val="de-DE"/>
        </w:rPr>
        <w:t>@czso.cz</w:t>
      </w:r>
    </w:p>
    <w:sectPr w:rsidR="008F73B4" w:rsidRPr="006C49F4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1EC" w:rsidRDefault="00BB31EC" w:rsidP="00BA6370">
      <w:r>
        <w:separator/>
      </w:r>
    </w:p>
  </w:endnote>
  <w:endnote w:type="continuationSeparator" w:id="0">
    <w:p w:rsidR="00BB31EC" w:rsidRDefault="00BB31E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69" w:rsidRDefault="00843F20">
    <w:pPr>
      <w:pStyle w:val="Zpat"/>
    </w:pPr>
    <w:r>
      <w:rPr>
        <w:noProof/>
        <w:lang w:eastAsia="cs-CZ"/>
      </w:rPr>
      <w:pict>
        <v:line id="Přímá spojnice 2" o:spid="_x0000_s2054" style="position:absolute;left:0;text-align:left;flip:y;z-index: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3" type="#_x0000_t202" style="position:absolute;left:0;text-align:left;margin-left:99.2pt;margin-top:773.95pt;width:426.5pt;height:39pt;z-index:1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7D4C69" w:rsidRPr="001404AB" w:rsidRDefault="007D4C69" w:rsidP="005C734A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7D4C69" w:rsidRPr="00A81EB3" w:rsidRDefault="007D4C69" w:rsidP="005C734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>
                  <w:rPr>
                    <w:rFonts w:cs="Arial"/>
                    <w:sz w:val="15"/>
                    <w:szCs w:val="15"/>
                  </w:rPr>
                  <w:t>: 274 052 304</w:t>
                </w:r>
                <w:r w:rsidRPr="001404AB">
                  <w:rPr>
                    <w:rFonts w:cs="Arial"/>
                    <w:sz w:val="15"/>
                    <w:szCs w:val="15"/>
                  </w:rPr>
                  <w:t>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43F20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43F20" w:rsidRPr="004E479E">
                  <w:rPr>
                    <w:rFonts w:cs="Arial"/>
                    <w:szCs w:val="15"/>
                  </w:rPr>
                  <w:fldChar w:fldCharType="separate"/>
                </w:r>
                <w:r w:rsidR="004A3E39">
                  <w:rPr>
                    <w:rFonts w:cs="Arial"/>
                    <w:noProof/>
                    <w:szCs w:val="15"/>
                  </w:rPr>
                  <w:t>1</w:t>
                </w:r>
                <w:r w:rsidR="00843F20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1EC" w:rsidRDefault="00BB31EC" w:rsidP="00BA6370">
      <w:r>
        <w:separator/>
      </w:r>
    </w:p>
  </w:footnote>
  <w:footnote w:type="continuationSeparator" w:id="0">
    <w:p w:rsidR="00BB31EC" w:rsidRDefault="00BB31EC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C69" w:rsidRDefault="00843F20">
    <w:pPr>
      <w:pStyle w:val="Zhlav"/>
    </w:pPr>
    <w:r>
      <w:rPr>
        <w:noProof/>
        <w:lang w:eastAsia="cs-CZ"/>
      </w:rPr>
      <w:pict>
        <v:group id="_x0000_s2055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6" style="position:absolute;left:1219;top:896;width:676;height:154" fillcolor="#0071bc" stroked="f"/>
          <v:rect id="_x0000_s2057" style="position:absolute;left:571;top:1126;width:1324;height:154" fillcolor="#0071bc" stroked="f"/>
          <v:rect id="_x0000_s2058" style="position:absolute;left:1292;top:1356;width:603;height:153" fillcolor="#0071bc" stroked="f"/>
          <v:shape id="_x0000_s2059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60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61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62" style="position:absolute;left:1963;top:1925;width:8575;height:568" fillcolor="#0071bc" stroked="f"/>
          <v:shape id="_x0000_s2063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4" style="position:absolute;left:2394;top:2129;width:187;height:186" coordsize="373,374" path="m,l97,,276,229,276,r97,l373,374r-97,l97,146r,228l,374,,xe" stroked="f">
            <v:path arrowok="t"/>
          </v:shape>
          <v:shape id="_x0000_s2065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6" style="position:absolute;left:2820;top:2129;width:106;height:186" coordsize="213,374" path="m97,292r116,l213,374,,374,,,97,r,292xe" stroked="f">
            <v:path arrowok="t"/>
          </v:shape>
          <v:shape id="_x0000_s2067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8" style="position:absolute;left:3099;top:2129;width:170;height:186" coordsize="340,374" path="m320,292r,82l,374,177,82,30,82,30,,340,,163,292r157,xe" stroked="f">
            <v:path arrowok="t"/>
          </v:shape>
          <v:shape id="_x0000_s2069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70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583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073"/>
    <w:rsid w:val="0000142A"/>
    <w:rsid w:val="00002417"/>
    <w:rsid w:val="0000744E"/>
    <w:rsid w:val="00013212"/>
    <w:rsid w:val="0001572F"/>
    <w:rsid w:val="0004482A"/>
    <w:rsid w:val="0005042A"/>
    <w:rsid w:val="000521B6"/>
    <w:rsid w:val="00063179"/>
    <w:rsid w:val="00064FBD"/>
    <w:rsid w:val="000761E6"/>
    <w:rsid w:val="00076327"/>
    <w:rsid w:val="00083F88"/>
    <w:rsid w:val="000861DB"/>
    <w:rsid w:val="00087B70"/>
    <w:rsid w:val="000900EF"/>
    <w:rsid w:val="00091139"/>
    <w:rsid w:val="000917AA"/>
    <w:rsid w:val="00091CEB"/>
    <w:rsid w:val="00094016"/>
    <w:rsid w:val="0009799C"/>
    <w:rsid w:val="000B1699"/>
    <w:rsid w:val="000C1528"/>
    <w:rsid w:val="000C2AA2"/>
    <w:rsid w:val="000C7509"/>
    <w:rsid w:val="000E54E3"/>
    <w:rsid w:val="000E736E"/>
    <w:rsid w:val="000F479D"/>
    <w:rsid w:val="000F726C"/>
    <w:rsid w:val="00104EA0"/>
    <w:rsid w:val="001123EF"/>
    <w:rsid w:val="00116A63"/>
    <w:rsid w:val="001172C5"/>
    <w:rsid w:val="00117A68"/>
    <w:rsid w:val="001226A8"/>
    <w:rsid w:val="00125FC3"/>
    <w:rsid w:val="00132376"/>
    <w:rsid w:val="001330CD"/>
    <w:rsid w:val="001340B0"/>
    <w:rsid w:val="00134E08"/>
    <w:rsid w:val="001416A6"/>
    <w:rsid w:val="0014209C"/>
    <w:rsid w:val="001443E1"/>
    <w:rsid w:val="001528A8"/>
    <w:rsid w:val="0015316B"/>
    <w:rsid w:val="001533F3"/>
    <w:rsid w:val="00157549"/>
    <w:rsid w:val="00160D98"/>
    <w:rsid w:val="0017231D"/>
    <w:rsid w:val="00174F35"/>
    <w:rsid w:val="00180AB9"/>
    <w:rsid w:val="001810DC"/>
    <w:rsid w:val="001817BB"/>
    <w:rsid w:val="001835FB"/>
    <w:rsid w:val="001852C5"/>
    <w:rsid w:val="0018547A"/>
    <w:rsid w:val="00187ED2"/>
    <w:rsid w:val="001917CC"/>
    <w:rsid w:val="00192DC0"/>
    <w:rsid w:val="00194DB2"/>
    <w:rsid w:val="001965EC"/>
    <w:rsid w:val="001A1589"/>
    <w:rsid w:val="001A2A5A"/>
    <w:rsid w:val="001A532E"/>
    <w:rsid w:val="001B607F"/>
    <w:rsid w:val="001B79FC"/>
    <w:rsid w:val="001C1249"/>
    <w:rsid w:val="001C5ADC"/>
    <w:rsid w:val="001C67AA"/>
    <w:rsid w:val="001D70AD"/>
    <w:rsid w:val="001D770C"/>
    <w:rsid w:val="001D78C5"/>
    <w:rsid w:val="001E166F"/>
    <w:rsid w:val="001E1EEB"/>
    <w:rsid w:val="001E3DCB"/>
    <w:rsid w:val="001E453B"/>
    <w:rsid w:val="001F3A63"/>
    <w:rsid w:val="002036A8"/>
    <w:rsid w:val="002070FB"/>
    <w:rsid w:val="0021022B"/>
    <w:rsid w:val="00210589"/>
    <w:rsid w:val="00222765"/>
    <w:rsid w:val="00222F90"/>
    <w:rsid w:val="00225483"/>
    <w:rsid w:val="0022636B"/>
    <w:rsid w:val="002309C1"/>
    <w:rsid w:val="0023284A"/>
    <w:rsid w:val="00232FC2"/>
    <w:rsid w:val="00233E9A"/>
    <w:rsid w:val="002366E1"/>
    <w:rsid w:val="002406FA"/>
    <w:rsid w:val="00261CC4"/>
    <w:rsid w:val="00261F39"/>
    <w:rsid w:val="00262984"/>
    <w:rsid w:val="002639BA"/>
    <w:rsid w:val="0026665F"/>
    <w:rsid w:val="00271012"/>
    <w:rsid w:val="00272702"/>
    <w:rsid w:val="002746BA"/>
    <w:rsid w:val="00274EF5"/>
    <w:rsid w:val="00282A25"/>
    <w:rsid w:val="00290290"/>
    <w:rsid w:val="00291964"/>
    <w:rsid w:val="0029585E"/>
    <w:rsid w:val="00295FE5"/>
    <w:rsid w:val="00296369"/>
    <w:rsid w:val="002A10CA"/>
    <w:rsid w:val="002A11A1"/>
    <w:rsid w:val="002B10EC"/>
    <w:rsid w:val="002B2E47"/>
    <w:rsid w:val="002B5869"/>
    <w:rsid w:val="002B69ED"/>
    <w:rsid w:val="002C5BC2"/>
    <w:rsid w:val="002E2381"/>
    <w:rsid w:val="002E39AA"/>
    <w:rsid w:val="002E5B39"/>
    <w:rsid w:val="002E7D49"/>
    <w:rsid w:val="002F0D22"/>
    <w:rsid w:val="002F1644"/>
    <w:rsid w:val="002F1EDB"/>
    <w:rsid w:val="002F413C"/>
    <w:rsid w:val="002F50E1"/>
    <w:rsid w:val="00303535"/>
    <w:rsid w:val="00304728"/>
    <w:rsid w:val="00307C33"/>
    <w:rsid w:val="00311C1A"/>
    <w:rsid w:val="003120A3"/>
    <w:rsid w:val="003156B5"/>
    <w:rsid w:val="00315A47"/>
    <w:rsid w:val="00316FF5"/>
    <w:rsid w:val="0033547E"/>
    <w:rsid w:val="00335A22"/>
    <w:rsid w:val="00337592"/>
    <w:rsid w:val="003463B8"/>
    <w:rsid w:val="00347437"/>
    <w:rsid w:val="00357523"/>
    <w:rsid w:val="00362C2E"/>
    <w:rsid w:val="003768CE"/>
    <w:rsid w:val="0038282A"/>
    <w:rsid w:val="0038473F"/>
    <w:rsid w:val="00393363"/>
    <w:rsid w:val="00393847"/>
    <w:rsid w:val="003952D4"/>
    <w:rsid w:val="00397580"/>
    <w:rsid w:val="003B2C6D"/>
    <w:rsid w:val="003C20FA"/>
    <w:rsid w:val="003C67B2"/>
    <w:rsid w:val="003D0499"/>
    <w:rsid w:val="003D5A98"/>
    <w:rsid w:val="003E0953"/>
    <w:rsid w:val="003E43AB"/>
    <w:rsid w:val="003E7666"/>
    <w:rsid w:val="003F247A"/>
    <w:rsid w:val="003F3DCF"/>
    <w:rsid w:val="003F526A"/>
    <w:rsid w:val="003F758F"/>
    <w:rsid w:val="0040411A"/>
    <w:rsid w:val="004047E0"/>
    <w:rsid w:val="00405244"/>
    <w:rsid w:val="00405DFB"/>
    <w:rsid w:val="00411B61"/>
    <w:rsid w:val="00414EB0"/>
    <w:rsid w:val="004223F8"/>
    <w:rsid w:val="00422EBE"/>
    <w:rsid w:val="004234A2"/>
    <w:rsid w:val="00427C16"/>
    <w:rsid w:val="004314A9"/>
    <w:rsid w:val="00432BAE"/>
    <w:rsid w:val="00435973"/>
    <w:rsid w:val="004369C7"/>
    <w:rsid w:val="00442C49"/>
    <w:rsid w:val="00443548"/>
    <w:rsid w:val="00454545"/>
    <w:rsid w:val="0045547F"/>
    <w:rsid w:val="00463B1E"/>
    <w:rsid w:val="00465D63"/>
    <w:rsid w:val="004724F2"/>
    <w:rsid w:val="00472E38"/>
    <w:rsid w:val="0047611B"/>
    <w:rsid w:val="00483566"/>
    <w:rsid w:val="004837A4"/>
    <w:rsid w:val="00484959"/>
    <w:rsid w:val="004878A3"/>
    <w:rsid w:val="00493A49"/>
    <w:rsid w:val="00495AED"/>
    <w:rsid w:val="004966AC"/>
    <w:rsid w:val="004A05AF"/>
    <w:rsid w:val="004A127B"/>
    <w:rsid w:val="004A3A92"/>
    <w:rsid w:val="004A3E39"/>
    <w:rsid w:val="004B06FC"/>
    <w:rsid w:val="004C484E"/>
    <w:rsid w:val="004C634B"/>
    <w:rsid w:val="004D2A8D"/>
    <w:rsid w:val="004D3A0C"/>
    <w:rsid w:val="004D467B"/>
    <w:rsid w:val="004D5FFB"/>
    <w:rsid w:val="004D656F"/>
    <w:rsid w:val="004E41E3"/>
    <w:rsid w:val="004E479E"/>
    <w:rsid w:val="004F59AC"/>
    <w:rsid w:val="004F78E6"/>
    <w:rsid w:val="0050108D"/>
    <w:rsid w:val="00501A1F"/>
    <w:rsid w:val="00506862"/>
    <w:rsid w:val="005107D5"/>
    <w:rsid w:val="00512D99"/>
    <w:rsid w:val="005179CB"/>
    <w:rsid w:val="00523ABF"/>
    <w:rsid w:val="00525851"/>
    <w:rsid w:val="00527724"/>
    <w:rsid w:val="0053149C"/>
    <w:rsid w:val="005341FC"/>
    <w:rsid w:val="00534B46"/>
    <w:rsid w:val="00546C25"/>
    <w:rsid w:val="00546CA0"/>
    <w:rsid w:val="00547BCD"/>
    <w:rsid w:val="005528C2"/>
    <w:rsid w:val="00553960"/>
    <w:rsid w:val="005552EA"/>
    <w:rsid w:val="00556DA8"/>
    <w:rsid w:val="00563856"/>
    <w:rsid w:val="005641DA"/>
    <w:rsid w:val="00564476"/>
    <w:rsid w:val="00566AE2"/>
    <w:rsid w:val="0057666D"/>
    <w:rsid w:val="00577D18"/>
    <w:rsid w:val="00582699"/>
    <w:rsid w:val="005846FE"/>
    <w:rsid w:val="00587155"/>
    <w:rsid w:val="0058773B"/>
    <w:rsid w:val="00587AD9"/>
    <w:rsid w:val="00595202"/>
    <w:rsid w:val="00595DB6"/>
    <w:rsid w:val="005970C2"/>
    <w:rsid w:val="00597DA3"/>
    <w:rsid w:val="005B0729"/>
    <w:rsid w:val="005B21C1"/>
    <w:rsid w:val="005C071F"/>
    <w:rsid w:val="005C2C37"/>
    <w:rsid w:val="005C363E"/>
    <w:rsid w:val="005C445E"/>
    <w:rsid w:val="005C734A"/>
    <w:rsid w:val="005D0B61"/>
    <w:rsid w:val="005E0082"/>
    <w:rsid w:val="005E14BC"/>
    <w:rsid w:val="005E6647"/>
    <w:rsid w:val="005E6747"/>
    <w:rsid w:val="005F0E29"/>
    <w:rsid w:val="005F2255"/>
    <w:rsid w:val="005F58AB"/>
    <w:rsid w:val="005F79FB"/>
    <w:rsid w:val="00601BEF"/>
    <w:rsid w:val="006043EB"/>
    <w:rsid w:val="00625F8B"/>
    <w:rsid w:val="00627AAB"/>
    <w:rsid w:val="0063589C"/>
    <w:rsid w:val="00637E67"/>
    <w:rsid w:val="006533BD"/>
    <w:rsid w:val="00657620"/>
    <w:rsid w:val="00657987"/>
    <w:rsid w:val="006602F9"/>
    <w:rsid w:val="00664658"/>
    <w:rsid w:val="00665317"/>
    <w:rsid w:val="00665622"/>
    <w:rsid w:val="00665B58"/>
    <w:rsid w:val="0067006E"/>
    <w:rsid w:val="00674991"/>
    <w:rsid w:val="00677C25"/>
    <w:rsid w:val="00681080"/>
    <w:rsid w:val="00684BED"/>
    <w:rsid w:val="006A1B47"/>
    <w:rsid w:val="006A3ABC"/>
    <w:rsid w:val="006B18B9"/>
    <w:rsid w:val="006B1D06"/>
    <w:rsid w:val="006B50BC"/>
    <w:rsid w:val="006C1771"/>
    <w:rsid w:val="006C49F4"/>
    <w:rsid w:val="006C4D80"/>
    <w:rsid w:val="006D2459"/>
    <w:rsid w:val="006D4C33"/>
    <w:rsid w:val="006D7F3F"/>
    <w:rsid w:val="006E0007"/>
    <w:rsid w:val="006E024F"/>
    <w:rsid w:val="006E0268"/>
    <w:rsid w:val="006E3FBE"/>
    <w:rsid w:val="006E4E81"/>
    <w:rsid w:val="00700551"/>
    <w:rsid w:val="00702D54"/>
    <w:rsid w:val="00704A72"/>
    <w:rsid w:val="00705F43"/>
    <w:rsid w:val="00706132"/>
    <w:rsid w:val="00706298"/>
    <w:rsid w:val="00707F7D"/>
    <w:rsid w:val="00713969"/>
    <w:rsid w:val="00715483"/>
    <w:rsid w:val="00717EC5"/>
    <w:rsid w:val="00730630"/>
    <w:rsid w:val="00736841"/>
    <w:rsid w:val="00741CA0"/>
    <w:rsid w:val="00742BF1"/>
    <w:rsid w:val="00744F9E"/>
    <w:rsid w:val="007468D4"/>
    <w:rsid w:val="00750DBA"/>
    <w:rsid w:val="0075396A"/>
    <w:rsid w:val="00763591"/>
    <w:rsid w:val="0076380E"/>
    <w:rsid w:val="00763AA8"/>
    <w:rsid w:val="007653DD"/>
    <w:rsid w:val="00767DF3"/>
    <w:rsid w:val="0077500B"/>
    <w:rsid w:val="00790CFC"/>
    <w:rsid w:val="00794CFA"/>
    <w:rsid w:val="007A072A"/>
    <w:rsid w:val="007A5786"/>
    <w:rsid w:val="007B3E9F"/>
    <w:rsid w:val="007C451F"/>
    <w:rsid w:val="007C5403"/>
    <w:rsid w:val="007C57A0"/>
    <w:rsid w:val="007C60E9"/>
    <w:rsid w:val="007C7374"/>
    <w:rsid w:val="007C7F6F"/>
    <w:rsid w:val="007D0327"/>
    <w:rsid w:val="007D0C51"/>
    <w:rsid w:val="007D4C69"/>
    <w:rsid w:val="007D77C6"/>
    <w:rsid w:val="007D7A62"/>
    <w:rsid w:val="007E08ED"/>
    <w:rsid w:val="007F0EF8"/>
    <w:rsid w:val="007F6804"/>
    <w:rsid w:val="008066B3"/>
    <w:rsid w:val="008100CE"/>
    <w:rsid w:val="0081283C"/>
    <w:rsid w:val="00812E5E"/>
    <w:rsid w:val="008210F6"/>
    <w:rsid w:val="00822E27"/>
    <w:rsid w:val="00825586"/>
    <w:rsid w:val="00826170"/>
    <w:rsid w:val="00837EC0"/>
    <w:rsid w:val="008436A1"/>
    <w:rsid w:val="00843DD5"/>
    <w:rsid w:val="00843F20"/>
    <w:rsid w:val="0084584C"/>
    <w:rsid w:val="00847A7C"/>
    <w:rsid w:val="0085224A"/>
    <w:rsid w:val="008528EA"/>
    <w:rsid w:val="00854B30"/>
    <w:rsid w:val="00855438"/>
    <w:rsid w:val="008602EF"/>
    <w:rsid w:val="008610D9"/>
    <w:rsid w:val="00861D0E"/>
    <w:rsid w:val="00870B9F"/>
    <w:rsid w:val="00871B04"/>
    <w:rsid w:val="00871F1D"/>
    <w:rsid w:val="008752CD"/>
    <w:rsid w:val="00876D84"/>
    <w:rsid w:val="00881879"/>
    <w:rsid w:val="008940E6"/>
    <w:rsid w:val="00896A8B"/>
    <w:rsid w:val="008A6A3E"/>
    <w:rsid w:val="008A7FA9"/>
    <w:rsid w:val="008B58DE"/>
    <w:rsid w:val="008B5F76"/>
    <w:rsid w:val="008C1BD4"/>
    <w:rsid w:val="008C2026"/>
    <w:rsid w:val="008C31CD"/>
    <w:rsid w:val="008C384C"/>
    <w:rsid w:val="008C5FBF"/>
    <w:rsid w:val="008D4A8F"/>
    <w:rsid w:val="008E2BC7"/>
    <w:rsid w:val="008E5C95"/>
    <w:rsid w:val="008F20F7"/>
    <w:rsid w:val="008F6143"/>
    <w:rsid w:val="008F73B4"/>
    <w:rsid w:val="00904A54"/>
    <w:rsid w:val="009068E3"/>
    <w:rsid w:val="00906CA7"/>
    <w:rsid w:val="0091284E"/>
    <w:rsid w:val="00921F8C"/>
    <w:rsid w:val="00924006"/>
    <w:rsid w:val="009301FE"/>
    <w:rsid w:val="00930869"/>
    <w:rsid w:val="009330BE"/>
    <w:rsid w:val="00933775"/>
    <w:rsid w:val="00936470"/>
    <w:rsid w:val="00940628"/>
    <w:rsid w:val="009423B5"/>
    <w:rsid w:val="009440FA"/>
    <w:rsid w:val="00954026"/>
    <w:rsid w:val="00961433"/>
    <w:rsid w:val="00964C5E"/>
    <w:rsid w:val="009676DD"/>
    <w:rsid w:val="00970ACC"/>
    <w:rsid w:val="00981AE0"/>
    <w:rsid w:val="00981F64"/>
    <w:rsid w:val="009A0536"/>
    <w:rsid w:val="009A27B3"/>
    <w:rsid w:val="009A36F5"/>
    <w:rsid w:val="009A4BD7"/>
    <w:rsid w:val="009A59A7"/>
    <w:rsid w:val="009B08A0"/>
    <w:rsid w:val="009B2363"/>
    <w:rsid w:val="009B55B1"/>
    <w:rsid w:val="009C2A2D"/>
    <w:rsid w:val="009D05C4"/>
    <w:rsid w:val="009D11DB"/>
    <w:rsid w:val="009D2F07"/>
    <w:rsid w:val="009D53FB"/>
    <w:rsid w:val="009D58D2"/>
    <w:rsid w:val="009D5BCA"/>
    <w:rsid w:val="009E147F"/>
    <w:rsid w:val="009F0DE4"/>
    <w:rsid w:val="009F0E27"/>
    <w:rsid w:val="009F1958"/>
    <w:rsid w:val="009F421B"/>
    <w:rsid w:val="009F48F3"/>
    <w:rsid w:val="009F5E2C"/>
    <w:rsid w:val="009F6477"/>
    <w:rsid w:val="009F799A"/>
    <w:rsid w:val="00A01ADC"/>
    <w:rsid w:val="00A0427B"/>
    <w:rsid w:val="00A04964"/>
    <w:rsid w:val="00A172E0"/>
    <w:rsid w:val="00A25DC0"/>
    <w:rsid w:val="00A33D03"/>
    <w:rsid w:val="00A42073"/>
    <w:rsid w:val="00A4343D"/>
    <w:rsid w:val="00A44A24"/>
    <w:rsid w:val="00A46909"/>
    <w:rsid w:val="00A473A6"/>
    <w:rsid w:val="00A543D6"/>
    <w:rsid w:val="00A55BE4"/>
    <w:rsid w:val="00A604C3"/>
    <w:rsid w:val="00A62B48"/>
    <w:rsid w:val="00A64010"/>
    <w:rsid w:val="00A64EF5"/>
    <w:rsid w:val="00A66F4A"/>
    <w:rsid w:val="00A81EB3"/>
    <w:rsid w:val="00A82330"/>
    <w:rsid w:val="00A83D23"/>
    <w:rsid w:val="00A83D4B"/>
    <w:rsid w:val="00A9335F"/>
    <w:rsid w:val="00A94634"/>
    <w:rsid w:val="00A97530"/>
    <w:rsid w:val="00AA12A9"/>
    <w:rsid w:val="00AB0281"/>
    <w:rsid w:val="00AB5363"/>
    <w:rsid w:val="00AC18BD"/>
    <w:rsid w:val="00AC4D38"/>
    <w:rsid w:val="00AD344F"/>
    <w:rsid w:val="00AD377F"/>
    <w:rsid w:val="00AD4FD2"/>
    <w:rsid w:val="00AE18FD"/>
    <w:rsid w:val="00AF18E7"/>
    <w:rsid w:val="00AF3D7F"/>
    <w:rsid w:val="00B008B0"/>
    <w:rsid w:val="00B00C1D"/>
    <w:rsid w:val="00B03086"/>
    <w:rsid w:val="00B04ED5"/>
    <w:rsid w:val="00B15E8A"/>
    <w:rsid w:val="00B15FB9"/>
    <w:rsid w:val="00B21E2E"/>
    <w:rsid w:val="00B35A9B"/>
    <w:rsid w:val="00B37AAD"/>
    <w:rsid w:val="00B37BD2"/>
    <w:rsid w:val="00B445F8"/>
    <w:rsid w:val="00B502F8"/>
    <w:rsid w:val="00B5604A"/>
    <w:rsid w:val="00B57CF9"/>
    <w:rsid w:val="00B62047"/>
    <w:rsid w:val="00B6314F"/>
    <w:rsid w:val="00B715F8"/>
    <w:rsid w:val="00B73FE6"/>
    <w:rsid w:val="00B75587"/>
    <w:rsid w:val="00B80050"/>
    <w:rsid w:val="00B804E6"/>
    <w:rsid w:val="00B8116A"/>
    <w:rsid w:val="00B872B0"/>
    <w:rsid w:val="00B87E8A"/>
    <w:rsid w:val="00B91B9F"/>
    <w:rsid w:val="00B91FE2"/>
    <w:rsid w:val="00B96515"/>
    <w:rsid w:val="00B97043"/>
    <w:rsid w:val="00BA49E2"/>
    <w:rsid w:val="00BA6370"/>
    <w:rsid w:val="00BB31EC"/>
    <w:rsid w:val="00BB7C3A"/>
    <w:rsid w:val="00BC5812"/>
    <w:rsid w:val="00BC6C63"/>
    <w:rsid w:val="00BC712C"/>
    <w:rsid w:val="00BD5637"/>
    <w:rsid w:val="00BD65C7"/>
    <w:rsid w:val="00BE119A"/>
    <w:rsid w:val="00BE2FD6"/>
    <w:rsid w:val="00BF5150"/>
    <w:rsid w:val="00C024C5"/>
    <w:rsid w:val="00C114EB"/>
    <w:rsid w:val="00C13C27"/>
    <w:rsid w:val="00C14F12"/>
    <w:rsid w:val="00C1683A"/>
    <w:rsid w:val="00C2573C"/>
    <w:rsid w:val="00C26567"/>
    <w:rsid w:val="00C3414C"/>
    <w:rsid w:val="00C4160D"/>
    <w:rsid w:val="00C45361"/>
    <w:rsid w:val="00C466A1"/>
    <w:rsid w:val="00C472F8"/>
    <w:rsid w:val="00C520EF"/>
    <w:rsid w:val="00C56334"/>
    <w:rsid w:val="00C63CD2"/>
    <w:rsid w:val="00C6507B"/>
    <w:rsid w:val="00C66FC1"/>
    <w:rsid w:val="00C67D47"/>
    <w:rsid w:val="00C70B56"/>
    <w:rsid w:val="00C738D4"/>
    <w:rsid w:val="00C80844"/>
    <w:rsid w:val="00C8406E"/>
    <w:rsid w:val="00C916CE"/>
    <w:rsid w:val="00C95787"/>
    <w:rsid w:val="00CA124B"/>
    <w:rsid w:val="00CA798A"/>
    <w:rsid w:val="00CB1E01"/>
    <w:rsid w:val="00CB2709"/>
    <w:rsid w:val="00CB6F89"/>
    <w:rsid w:val="00CC0046"/>
    <w:rsid w:val="00CC1C57"/>
    <w:rsid w:val="00CC2A6E"/>
    <w:rsid w:val="00CC421F"/>
    <w:rsid w:val="00CC5B92"/>
    <w:rsid w:val="00CD59C6"/>
    <w:rsid w:val="00CD685F"/>
    <w:rsid w:val="00CE0673"/>
    <w:rsid w:val="00CE43AE"/>
    <w:rsid w:val="00CE740C"/>
    <w:rsid w:val="00CF24D7"/>
    <w:rsid w:val="00CF545B"/>
    <w:rsid w:val="00CF65FB"/>
    <w:rsid w:val="00D01F63"/>
    <w:rsid w:val="00D03405"/>
    <w:rsid w:val="00D057F7"/>
    <w:rsid w:val="00D06D98"/>
    <w:rsid w:val="00D14316"/>
    <w:rsid w:val="00D148C5"/>
    <w:rsid w:val="00D14C54"/>
    <w:rsid w:val="00D2322E"/>
    <w:rsid w:val="00D27D7D"/>
    <w:rsid w:val="00D31417"/>
    <w:rsid w:val="00D3232B"/>
    <w:rsid w:val="00D32B26"/>
    <w:rsid w:val="00D33FD7"/>
    <w:rsid w:val="00D348FA"/>
    <w:rsid w:val="00D41DCA"/>
    <w:rsid w:val="00D46A1E"/>
    <w:rsid w:val="00D51215"/>
    <w:rsid w:val="00D523E4"/>
    <w:rsid w:val="00D61CE3"/>
    <w:rsid w:val="00D628F8"/>
    <w:rsid w:val="00D64386"/>
    <w:rsid w:val="00D646AE"/>
    <w:rsid w:val="00D67581"/>
    <w:rsid w:val="00D71E3E"/>
    <w:rsid w:val="00D74BC1"/>
    <w:rsid w:val="00D92643"/>
    <w:rsid w:val="00DA67C0"/>
    <w:rsid w:val="00DB46EE"/>
    <w:rsid w:val="00DB5A7A"/>
    <w:rsid w:val="00DC4F36"/>
    <w:rsid w:val="00DC59E3"/>
    <w:rsid w:val="00DC78CD"/>
    <w:rsid w:val="00DE7B56"/>
    <w:rsid w:val="00DF01C7"/>
    <w:rsid w:val="00DF28D3"/>
    <w:rsid w:val="00DF47FE"/>
    <w:rsid w:val="00DF5C8B"/>
    <w:rsid w:val="00DF73A1"/>
    <w:rsid w:val="00E05ADE"/>
    <w:rsid w:val="00E076F2"/>
    <w:rsid w:val="00E103D9"/>
    <w:rsid w:val="00E106ED"/>
    <w:rsid w:val="00E1085F"/>
    <w:rsid w:val="00E13D88"/>
    <w:rsid w:val="00E159D2"/>
    <w:rsid w:val="00E20DC1"/>
    <w:rsid w:val="00E23D65"/>
    <w:rsid w:val="00E321EC"/>
    <w:rsid w:val="00E332B3"/>
    <w:rsid w:val="00E3794B"/>
    <w:rsid w:val="00E41F21"/>
    <w:rsid w:val="00E504C3"/>
    <w:rsid w:val="00E52D09"/>
    <w:rsid w:val="00E54770"/>
    <w:rsid w:val="00E55AB6"/>
    <w:rsid w:val="00E565D3"/>
    <w:rsid w:val="00E6622E"/>
    <w:rsid w:val="00E71384"/>
    <w:rsid w:val="00E73AF7"/>
    <w:rsid w:val="00E756CB"/>
    <w:rsid w:val="00E80F06"/>
    <w:rsid w:val="00E86679"/>
    <w:rsid w:val="00E91DEF"/>
    <w:rsid w:val="00E92176"/>
    <w:rsid w:val="00EA5985"/>
    <w:rsid w:val="00EA5E1A"/>
    <w:rsid w:val="00EB50BC"/>
    <w:rsid w:val="00EC278A"/>
    <w:rsid w:val="00ED070A"/>
    <w:rsid w:val="00ED71F6"/>
    <w:rsid w:val="00ED7A6A"/>
    <w:rsid w:val="00ED7CBC"/>
    <w:rsid w:val="00ED7CFA"/>
    <w:rsid w:val="00EE596B"/>
    <w:rsid w:val="00EE5A4D"/>
    <w:rsid w:val="00EF17F6"/>
    <w:rsid w:val="00EF22FF"/>
    <w:rsid w:val="00EF4C84"/>
    <w:rsid w:val="00EF4DBF"/>
    <w:rsid w:val="00EF6165"/>
    <w:rsid w:val="00EF67EC"/>
    <w:rsid w:val="00EF753F"/>
    <w:rsid w:val="00F004FC"/>
    <w:rsid w:val="00F034C1"/>
    <w:rsid w:val="00F040EB"/>
    <w:rsid w:val="00F05785"/>
    <w:rsid w:val="00F11B08"/>
    <w:rsid w:val="00F14747"/>
    <w:rsid w:val="00F15C86"/>
    <w:rsid w:val="00F2122E"/>
    <w:rsid w:val="00F27D16"/>
    <w:rsid w:val="00F36477"/>
    <w:rsid w:val="00F41E18"/>
    <w:rsid w:val="00F44D4E"/>
    <w:rsid w:val="00F460A6"/>
    <w:rsid w:val="00F47570"/>
    <w:rsid w:val="00F51006"/>
    <w:rsid w:val="00F5114D"/>
    <w:rsid w:val="00F531ED"/>
    <w:rsid w:val="00F5477A"/>
    <w:rsid w:val="00F65F1D"/>
    <w:rsid w:val="00F74404"/>
    <w:rsid w:val="00F748E9"/>
    <w:rsid w:val="00F77AAC"/>
    <w:rsid w:val="00F80714"/>
    <w:rsid w:val="00F82D27"/>
    <w:rsid w:val="00F86919"/>
    <w:rsid w:val="00F91C28"/>
    <w:rsid w:val="00F92BD7"/>
    <w:rsid w:val="00F95D3F"/>
    <w:rsid w:val="00FA083C"/>
    <w:rsid w:val="00FA6142"/>
    <w:rsid w:val="00FA6F15"/>
    <w:rsid w:val="00FB27D0"/>
    <w:rsid w:val="00FB4530"/>
    <w:rsid w:val="00FB687C"/>
    <w:rsid w:val="00FC5021"/>
    <w:rsid w:val="00FD130C"/>
    <w:rsid w:val="00FD1F2F"/>
    <w:rsid w:val="00FD31E4"/>
    <w:rsid w:val="00FD605D"/>
    <w:rsid w:val="00FD66FC"/>
    <w:rsid w:val="00FE3477"/>
    <w:rsid w:val="00FE43C2"/>
    <w:rsid w:val="00FF07B3"/>
    <w:rsid w:val="00FF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0F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A4343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717EC5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4343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8F73B4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3Char">
    <w:name w:val="Nadpis 3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rsid w:val="000E736E"/>
    <w:pPr>
      <w:spacing w:line="240" w:lineRule="auto"/>
      <w:jc w:val="center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0E736E"/>
    <w:rPr>
      <w:rFonts w:ascii="Times New Roman" w:eastAsia="Times New Roman" w:hAnsi="Times New Roman"/>
      <w:sz w:val="28"/>
      <w:szCs w:val="24"/>
    </w:rPr>
  </w:style>
  <w:style w:type="paragraph" w:styleId="Normlnweb">
    <w:name w:val="Normal (Web)"/>
    <w:basedOn w:val="Normln"/>
    <w:uiPriority w:val="99"/>
    <w:semiHidden/>
    <w:unhideWhenUsed/>
    <w:rsid w:val="00981F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47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477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364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AVKO7~1\LOCALS~1\Temp\Anal&#253;za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5120-BAF3-443A-AEF8-5BB7D3FE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</Template>
  <TotalTime>2737</TotalTime>
  <Pages>6</Pages>
  <Words>1638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11287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savko7307</dc:creator>
  <cp:lastModifiedBy>Operator</cp:lastModifiedBy>
  <cp:revision>47</cp:revision>
  <cp:lastPrinted>2015-10-20T08:40:00Z</cp:lastPrinted>
  <dcterms:created xsi:type="dcterms:W3CDTF">2016-01-11T10:09:00Z</dcterms:created>
  <dcterms:modified xsi:type="dcterms:W3CDTF">2016-01-27T11:31:00Z</dcterms:modified>
</cp:coreProperties>
</file>