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8F72" w14:textId="37314ADD" w:rsidR="00605D96" w:rsidRPr="00995C95" w:rsidRDefault="00605D96" w:rsidP="00605D96">
      <w:pPr>
        <w:pStyle w:val="Nadpis1"/>
        <w:rPr>
          <w:lang w:val="en-GB"/>
        </w:rPr>
      </w:pPr>
      <w:bookmarkStart w:id="0" w:name="_Toc227235018"/>
      <w:r w:rsidRPr="00995C95">
        <w:rPr>
          <w:lang w:val="en-GB"/>
        </w:rPr>
        <w:t>4</w:t>
      </w:r>
      <w:bookmarkStart w:id="1" w:name="_Toc19090679"/>
      <w:bookmarkStart w:id="2" w:name="_Toc74643856"/>
      <w:bookmarkStart w:id="3" w:name="_Toc42852411"/>
      <w:bookmarkStart w:id="4" w:name="_Toc74643857"/>
      <w:bookmarkEnd w:id="1"/>
      <w:r w:rsidRPr="00995C95">
        <w:rPr>
          <w:lang w:val="en-GB"/>
        </w:rPr>
        <w:t>. </w:t>
      </w:r>
      <w:r w:rsidR="00F16122" w:rsidRPr="00995C95">
        <w:rPr>
          <w:lang w:val="en-GB"/>
        </w:rPr>
        <w:t>External Relations</w:t>
      </w:r>
      <w:bookmarkEnd w:id="0"/>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605D96" w:rsidRPr="00995C95" w14:paraId="17C4FF81" w14:textId="77777777" w:rsidTr="008B207B">
        <w:trPr>
          <w:trHeight w:val="145"/>
        </w:trPr>
        <w:tc>
          <w:tcPr>
            <w:tcW w:w="1748" w:type="dxa"/>
            <w:hideMark/>
          </w:tcPr>
          <w:p w14:paraId="2BBEFEA7" w14:textId="2734C11F" w:rsidR="00605D96" w:rsidRPr="00995C95" w:rsidRDefault="0056516B" w:rsidP="008B207B">
            <w:pPr>
              <w:pStyle w:val="Marginlie"/>
              <w:rPr>
                <w:lang w:eastAsia="en-US"/>
              </w:rPr>
            </w:pPr>
            <w:r w:rsidRPr="00995C95">
              <w:rPr>
                <w:lang w:eastAsia="en-US"/>
              </w:rPr>
              <w:t>Exports of goods increased last year, but their year-on-year dynamics weakened during the year.</w:t>
            </w:r>
          </w:p>
        </w:tc>
        <w:tc>
          <w:tcPr>
            <w:tcW w:w="252" w:type="dxa"/>
          </w:tcPr>
          <w:p w14:paraId="593C186B" w14:textId="77777777" w:rsidR="00605D96" w:rsidRPr="00995C95" w:rsidRDefault="00605D96" w:rsidP="008B207B">
            <w:pPr>
              <w:pStyle w:val="Textpoznpodarou"/>
              <w:jc w:val="both"/>
              <w:rPr>
                <w:spacing w:val="-4"/>
                <w:lang w:eastAsia="en-US"/>
              </w:rPr>
            </w:pPr>
          </w:p>
        </w:tc>
        <w:tc>
          <w:tcPr>
            <w:tcW w:w="7677" w:type="dxa"/>
            <w:gridSpan w:val="3"/>
            <w:hideMark/>
          </w:tcPr>
          <w:p w14:paraId="7181B335" w14:textId="64501792" w:rsidR="00605D96" w:rsidRPr="00995C95" w:rsidRDefault="002B7440" w:rsidP="008B207B">
            <w:pPr>
              <w:spacing w:after="180"/>
              <w:rPr>
                <w:spacing w:val="-4"/>
                <w:lang w:eastAsia="en-US"/>
              </w:rPr>
            </w:pPr>
            <w:r w:rsidRPr="00995C95">
              <w:rPr>
                <w:spacing w:val="-4"/>
                <w:lang w:eastAsia="en-US"/>
              </w:rPr>
              <w:t>The value of exports of goods</w:t>
            </w:r>
            <w:r w:rsidRPr="00995C95">
              <w:rPr>
                <w:rStyle w:val="Znakapoznpodarou"/>
                <w:spacing w:val="-4"/>
                <w:lang w:eastAsia="en-US"/>
              </w:rPr>
              <w:footnoteReference w:id="1"/>
            </w:r>
            <w:r w:rsidRPr="00995C95">
              <w:rPr>
                <w:spacing w:val="-4"/>
                <w:lang w:eastAsia="en-US"/>
              </w:rPr>
              <w:t xml:space="preserve"> totalled 4,789.5 bn CZK in 2025 and increased by 126.4 bn CZK (2.7%) compared to the previous year. Nominal growth of exports was more moderate than in 2024, mainly due to price developments</w:t>
            </w:r>
            <w:r w:rsidRPr="00995C95">
              <w:rPr>
                <w:rStyle w:val="Znakapoznpodarou"/>
                <w:spacing w:val="-4"/>
                <w:lang w:eastAsia="en-US"/>
              </w:rPr>
              <w:footnoteReference w:id="2"/>
            </w:r>
            <w:r w:rsidRPr="00995C95">
              <w:rPr>
                <w:spacing w:val="-4"/>
                <w:lang w:eastAsia="en-US"/>
              </w:rPr>
              <w:t>. Global international trade was affected by the introduction of tariffs between the United States and the rest of the world last year. Exports received a strong impetus especially at the beginning of the year</w:t>
            </w:r>
            <w:r w:rsidRPr="00995C95">
              <w:rPr>
                <w:rStyle w:val="Znakapoznpodarou"/>
                <w:spacing w:val="-4"/>
                <w:lang w:eastAsia="en-US"/>
              </w:rPr>
              <w:footnoteReference w:id="3"/>
            </w:r>
            <w:r w:rsidRPr="00995C95">
              <w:rPr>
                <w:spacing w:val="-4"/>
                <w:lang w:eastAsia="en-US"/>
              </w:rPr>
              <w:t>, and the year-on-year pace weakened during last year. In Q4 alone, the value of exports increased by 1.7 bn CZK (0.1%), year-on-year, and reached 1,191.1 bn CZK. According to seasonally adjusted data, the value of exports increased by 1.5%, quarter-on-quarter, in Q4.</w:t>
            </w:r>
          </w:p>
        </w:tc>
      </w:tr>
      <w:tr w:rsidR="00605D96" w:rsidRPr="00995C95" w14:paraId="7B959E1A" w14:textId="77777777" w:rsidTr="008B207B">
        <w:trPr>
          <w:trHeight w:val="126"/>
        </w:trPr>
        <w:tc>
          <w:tcPr>
            <w:tcW w:w="1748" w:type="dxa"/>
            <w:vMerge w:val="restart"/>
          </w:tcPr>
          <w:p w14:paraId="7B8AA617" w14:textId="77777777" w:rsidR="00605D96" w:rsidRPr="00995C95" w:rsidRDefault="00605D96" w:rsidP="008B207B">
            <w:pPr>
              <w:pStyle w:val="Marginlie"/>
              <w:rPr>
                <w:lang w:eastAsia="en-US"/>
              </w:rPr>
            </w:pPr>
          </w:p>
        </w:tc>
        <w:tc>
          <w:tcPr>
            <w:tcW w:w="252" w:type="dxa"/>
            <w:vMerge w:val="restart"/>
          </w:tcPr>
          <w:p w14:paraId="1112C355" w14:textId="77777777" w:rsidR="00605D96" w:rsidRPr="00995C95" w:rsidRDefault="00605D96" w:rsidP="008B207B">
            <w:pPr>
              <w:pStyle w:val="Textpoznpodarou"/>
              <w:jc w:val="both"/>
              <w:rPr>
                <w:spacing w:val="-4"/>
                <w:lang w:eastAsia="en-US"/>
              </w:rPr>
            </w:pPr>
          </w:p>
        </w:tc>
        <w:tc>
          <w:tcPr>
            <w:tcW w:w="7677" w:type="dxa"/>
            <w:gridSpan w:val="3"/>
          </w:tcPr>
          <w:p w14:paraId="17DC5AD7" w14:textId="61174A5B" w:rsidR="00605D96" w:rsidRPr="00995C95" w:rsidRDefault="00B03033" w:rsidP="008B207B">
            <w:pPr>
              <w:spacing w:after="0"/>
              <w:rPr>
                <w:spacing w:val="-4"/>
                <w:lang w:eastAsia="en-US"/>
              </w:rPr>
            </w:pPr>
            <w:r w:rsidRPr="00995C95">
              <w:rPr>
                <w:rFonts w:cs="Arial"/>
                <w:b/>
                <w:bCs/>
                <w:color w:val="000000"/>
                <w:szCs w:val="20"/>
                <w:lang w:eastAsia="en-US"/>
              </w:rPr>
              <w:t xml:space="preserve">Chart 9 </w:t>
            </w:r>
            <w:r w:rsidRPr="00995C95">
              <w:rPr>
                <w:b/>
                <w:bCs/>
                <w:spacing w:val="-4"/>
                <w:lang w:eastAsia="en-US"/>
              </w:rPr>
              <w:t xml:space="preserve">Export and import of goods </w:t>
            </w:r>
            <w:r w:rsidRPr="00995C95">
              <w:rPr>
                <w:spacing w:val="-4"/>
                <w:lang w:eastAsia="en-US"/>
              </w:rPr>
              <w:t>(y-o-y change, in %)</w:t>
            </w:r>
            <w:r w:rsidRPr="00995C95">
              <w:rPr>
                <w:b/>
                <w:bCs/>
                <w:spacing w:val="-4"/>
                <w:lang w:eastAsia="en-US"/>
              </w:rPr>
              <w:t xml:space="preserve"> and balance of international trade with goods </w:t>
            </w:r>
            <w:r w:rsidRPr="00995C95">
              <w:rPr>
                <w:spacing w:val="-4"/>
                <w:lang w:eastAsia="en-US"/>
              </w:rPr>
              <w:t>(in bn CZK, right axis</w:t>
            </w:r>
            <w:r w:rsidRPr="00995C95">
              <w:rPr>
                <w:rFonts w:cs="Arial"/>
                <w:bCs/>
                <w:color w:val="000000"/>
                <w:szCs w:val="20"/>
                <w:lang w:eastAsia="en-US"/>
              </w:rPr>
              <w:t>)</w:t>
            </w:r>
          </w:p>
        </w:tc>
      </w:tr>
      <w:tr w:rsidR="00605D96" w:rsidRPr="00995C95" w14:paraId="49AD35D1" w14:textId="77777777" w:rsidTr="00A0156B">
        <w:tblPrEx>
          <w:tblCellMar>
            <w:left w:w="70" w:type="dxa"/>
            <w:right w:w="70" w:type="dxa"/>
          </w:tblCellMar>
        </w:tblPrEx>
        <w:trPr>
          <w:trHeight w:val="125"/>
        </w:trPr>
        <w:tc>
          <w:tcPr>
            <w:tcW w:w="1748" w:type="dxa"/>
            <w:vMerge/>
          </w:tcPr>
          <w:p w14:paraId="35DF4DE5" w14:textId="77777777" w:rsidR="00605D96" w:rsidRPr="00995C95" w:rsidRDefault="00605D96" w:rsidP="008B207B">
            <w:pPr>
              <w:pStyle w:val="Marginlie"/>
              <w:rPr>
                <w:lang w:eastAsia="en-US"/>
              </w:rPr>
            </w:pPr>
          </w:p>
        </w:tc>
        <w:tc>
          <w:tcPr>
            <w:tcW w:w="252" w:type="dxa"/>
            <w:vMerge/>
          </w:tcPr>
          <w:p w14:paraId="52BC2D2C" w14:textId="77777777" w:rsidR="00605D96" w:rsidRPr="00995C95" w:rsidRDefault="00605D96" w:rsidP="008B207B">
            <w:pPr>
              <w:pStyle w:val="Textpoznpodarou"/>
              <w:jc w:val="both"/>
              <w:rPr>
                <w:spacing w:val="-4"/>
                <w:lang w:eastAsia="en-US"/>
              </w:rPr>
            </w:pPr>
          </w:p>
        </w:tc>
        <w:tc>
          <w:tcPr>
            <w:tcW w:w="7677" w:type="dxa"/>
            <w:gridSpan w:val="3"/>
          </w:tcPr>
          <w:p w14:paraId="181DC8CE" w14:textId="300149C0" w:rsidR="00605D96" w:rsidRPr="00995C95" w:rsidRDefault="00A0156B" w:rsidP="008B207B">
            <w:pPr>
              <w:spacing w:after="0"/>
              <w:rPr>
                <w:spacing w:val="-4"/>
                <w:lang w:eastAsia="en-US"/>
              </w:rPr>
            </w:pPr>
            <w:r>
              <w:rPr>
                <w:noProof/>
              </w:rPr>
              <w:drawing>
                <wp:inline distT="0" distB="0" distL="0" distR="0" wp14:anchorId="3C772484" wp14:editId="4E888045">
                  <wp:extent cx="4773175" cy="3534275"/>
                  <wp:effectExtent l="0" t="0" r="8890" b="0"/>
                  <wp:docPr id="1891375532" name="Graf 1">
                    <a:extLst xmlns:a="http://schemas.openxmlformats.org/drawingml/2006/main">
                      <a:ext uri="{FF2B5EF4-FFF2-40B4-BE49-F238E27FC236}">
                        <a16:creationId xmlns:a16="http://schemas.microsoft.com/office/drawing/2014/main" id="{8E34A376-5955-451A-B8E8-536A257FF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05D96" w:rsidRPr="00995C95" w14:paraId="5D849FDE" w14:textId="77777777" w:rsidTr="008B207B">
        <w:trPr>
          <w:trHeight w:val="125"/>
        </w:trPr>
        <w:tc>
          <w:tcPr>
            <w:tcW w:w="1748" w:type="dxa"/>
            <w:vMerge/>
          </w:tcPr>
          <w:p w14:paraId="14F6687F" w14:textId="77777777" w:rsidR="00605D96" w:rsidRPr="00995C95" w:rsidRDefault="00605D96" w:rsidP="008B207B">
            <w:pPr>
              <w:pStyle w:val="Marginlie"/>
              <w:rPr>
                <w:lang w:eastAsia="en-US"/>
              </w:rPr>
            </w:pPr>
          </w:p>
        </w:tc>
        <w:tc>
          <w:tcPr>
            <w:tcW w:w="252" w:type="dxa"/>
            <w:vMerge/>
          </w:tcPr>
          <w:p w14:paraId="4C13943F" w14:textId="77777777" w:rsidR="00605D96" w:rsidRPr="00995C95" w:rsidRDefault="00605D96" w:rsidP="008B207B">
            <w:pPr>
              <w:pStyle w:val="Textpoznpodarou"/>
              <w:jc w:val="both"/>
              <w:rPr>
                <w:spacing w:val="-4"/>
                <w:lang w:eastAsia="en-US"/>
              </w:rPr>
            </w:pPr>
          </w:p>
        </w:tc>
        <w:tc>
          <w:tcPr>
            <w:tcW w:w="7677" w:type="dxa"/>
            <w:gridSpan w:val="3"/>
          </w:tcPr>
          <w:p w14:paraId="262B1300" w14:textId="5D79A279" w:rsidR="00512F82" w:rsidRPr="00995C95" w:rsidRDefault="00512F82" w:rsidP="00D43F40">
            <w:pPr>
              <w:spacing w:after="180"/>
              <w:rPr>
                <w:spacing w:val="-4"/>
                <w:lang w:eastAsia="en-US"/>
              </w:rPr>
            </w:pPr>
            <w:r w:rsidRPr="00995C95">
              <w:rPr>
                <w:sz w:val="16"/>
                <w:szCs w:val="16"/>
                <w:lang w:eastAsia="en-US"/>
              </w:rPr>
              <w:t>Source: CZSO</w:t>
            </w:r>
          </w:p>
        </w:tc>
      </w:tr>
      <w:tr w:rsidR="00605D96" w:rsidRPr="00995C95" w14:paraId="2D3A14DE" w14:textId="77777777" w:rsidTr="008B207B">
        <w:trPr>
          <w:trHeight w:val="145"/>
        </w:trPr>
        <w:tc>
          <w:tcPr>
            <w:tcW w:w="1748" w:type="dxa"/>
          </w:tcPr>
          <w:p w14:paraId="43F602AE" w14:textId="1D557AEF" w:rsidR="00605D96" w:rsidRPr="00995C95" w:rsidRDefault="008A3D77" w:rsidP="008B207B">
            <w:pPr>
              <w:pStyle w:val="Marginlie"/>
              <w:rPr>
                <w:lang w:eastAsia="en-US"/>
              </w:rPr>
            </w:pPr>
            <w:r w:rsidRPr="00995C95">
              <w:rPr>
                <w:lang w:eastAsia="en-US"/>
              </w:rPr>
              <w:t>The growth of exports to some non-EU countries has slowed down.</w:t>
            </w:r>
          </w:p>
        </w:tc>
        <w:tc>
          <w:tcPr>
            <w:tcW w:w="252" w:type="dxa"/>
          </w:tcPr>
          <w:p w14:paraId="4FD1B0CA" w14:textId="77777777" w:rsidR="00605D96" w:rsidRPr="00995C95" w:rsidRDefault="00605D96" w:rsidP="008B207B">
            <w:pPr>
              <w:pStyle w:val="Textpoznpodarou"/>
              <w:jc w:val="both"/>
              <w:rPr>
                <w:spacing w:val="-4"/>
                <w:lang w:eastAsia="en-US"/>
              </w:rPr>
            </w:pPr>
          </w:p>
        </w:tc>
        <w:tc>
          <w:tcPr>
            <w:tcW w:w="7677" w:type="dxa"/>
            <w:gridSpan w:val="3"/>
          </w:tcPr>
          <w:p w14:paraId="3A781E95" w14:textId="5F55EE40" w:rsidR="00605D96" w:rsidRPr="00995C95" w:rsidRDefault="000B2870" w:rsidP="008B207B">
            <w:pPr>
              <w:spacing w:after="180"/>
              <w:rPr>
                <w:spacing w:val="-4"/>
                <w:lang w:eastAsia="en-US"/>
              </w:rPr>
            </w:pPr>
            <w:r w:rsidRPr="00995C95">
              <w:rPr>
                <w:spacing w:val="-4"/>
                <w:lang w:eastAsia="en-US"/>
              </w:rPr>
              <w:t xml:space="preserve">The value of exports of goods to the EU (+77.7 bn CZK, 2.1%) and outside the EU (+48.3 million, 4.7%) increased last year. However, a significant growth slowdown compared to the previous year was evident for non-EU exports. The main contribution to this moderation last year was due to the development of exports to the United States of America, Great Britain and Singapore. Massive exports from year 2024 were followed by stagnation </w:t>
            </w:r>
            <w:r w:rsidR="00B104EC" w:rsidRPr="00995C95">
              <w:rPr>
                <w:spacing w:val="-4"/>
                <w:lang w:eastAsia="en-US"/>
              </w:rPr>
              <w:t>here last year</w:t>
            </w:r>
            <w:r w:rsidR="00B104EC" w:rsidRPr="00995C95">
              <w:rPr>
                <w:rStyle w:val="Znakapoznpodarou"/>
                <w:spacing w:val="-4"/>
                <w:lang w:eastAsia="en-US"/>
              </w:rPr>
              <w:footnoteReference w:id="4"/>
            </w:r>
            <w:r w:rsidR="00B104EC" w:rsidRPr="00995C95">
              <w:rPr>
                <w:spacing w:val="-4"/>
                <w:lang w:eastAsia="en-US"/>
              </w:rPr>
              <w:t xml:space="preserve">. Exports increased the most to Germany (+34.8 bn CZK, 2.5%), Slovakia (+13.6 bn CZK, 3.2%) and France (+13.4 bn, 6.0%) last year. Significant increases were also recorded for exports to Turkey (+7.7 bn, 10.0%), Ukraine (+7.6 bn CZK, 16.9%), Denmark (+7.0 bn, 18.8%), Austria (+6.9 bn, 3.9%), Sweden (+6.2 bn, 9.0%), Belgium (+6.3 bn, 6.1%) and </w:t>
            </w:r>
            <w:r w:rsidR="00B104EC" w:rsidRPr="00995C95">
              <w:rPr>
                <w:spacing w:val="-4"/>
                <w:lang w:eastAsia="en-US"/>
              </w:rPr>
              <w:lastRenderedPageBreak/>
              <w:t>Switzerland (+5.6 bn, 7.2%). There was also a significant percentage increase of exports in the Philippines (+1.1 bn CZK, 73.4%) and South Korea (+4.8 bn, 38.0%) last year. The recorded decreases were generally moderate last year, with exports to the Netherlands (−4.8 bn CZK, −3.2%), Hungary (−3.6 bn, −2.5%) and Russia (−3.4 bn, −23.3%) declining the most last year. Exports to the EU (+2.6 bn CZK, 0.3%) and outside the EU (−1.0 bn, −0.4%) stagnated, year-on-year, in Q4 alone. The favourable development of exports to France, Slovakia, Switzerland or Sweden (see Table 2) was offset by export decreases to Poland, the United States of America, Germany and Great Britain.</w:t>
            </w:r>
          </w:p>
        </w:tc>
      </w:tr>
      <w:tr w:rsidR="00605D96" w:rsidRPr="00995C95" w14:paraId="5225B47A" w14:textId="77777777" w:rsidTr="008B207B">
        <w:trPr>
          <w:trHeight w:val="170"/>
        </w:trPr>
        <w:tc>
          <w:tcPr>
            <w:tcW w:w="4811" w:type="dxa"/>
            <w:gridSpan w:val="3"/>
            <w:hideMark/>
          </w:tcPr>
          <w:p w14:paraId="22814948" w14:textId="62EAF25F" w:rsidR="00605D96" w:rsidRPr="00995C95" w:rsidRDefault="00605D96" w:rsidP="00F241FB">
            <w:pPr>
              <w:spacing w:after="0"/>
              <w:rPr>
                <w:spacing w:val="-4"/>
                <w:lang w:eastAsia="en-US"/>
              </w:rPr>
            </w:pPr>
            <w:r w:rsidRPr="00995C95">
              <w:rPr>
                <w:rFonts w:cs="Arial"/>
                <w:b/>
                <w:bCs/>
                <w:color w:val="000000"/>
                <w:sz w:val="18"/>
                <w:szCs w:val="18"/>
                <w:lang w:eastAsia="en-US"/>
              </w:rPr>
              <w:lastRenderedPageBreak/>
              <w:t xml:space="preserve">Tabulka č. 1 </w:t>
            </w:r>
            <w:r w:rsidR="00F241FB" w:rsidRPr="00995C95">
              <w:rPr>
                <w:rFonts w:cs="Arial"/>
                <w:b/>
                <w:bCs/>
                <w:color w:val="000000"/>
                <w:sz w:val="18"/>
                <w:szCs w:val="18"/>
                <w:lang w:eastAsia="en-US"/>
              </w:rPr>
              <w:t xml:space="preserve">Sections of CPA classification with impact on goods exports in Q4 2025 </w:t>
            </w:r>
            <w:r w:rsidR="00F241FB" w:rsidRPr="00995C95">
              <w:rPr>
                <w:rFonts w:cs="Arial"/>
                <w:bCs/>
                <w:color w:val="000000"/>
                <w:sz w:val="18"/>
                <w:szCs w:val="18"/>
                <w:lang w:eastAsia="en-US"/>
              </w:rPr>
              <w:t>(year-on-year)</w:t>
            </w:r>
          </w:p>
        </w:tc>
        <w:tc>
          <w:tcPr>
            <w:tcW w:w="57" w:type="dxa"/>
          </w:tcPr>
          <w:p w14:paraId="54E521E0" w14:textId="77777777" w:rsidR="00605D96" w:rsidRPr="00995C95" w:rsidRDefault="00605D96" w:rsidP="008B207B">
            <w:pPr>
              <w:spacing w:after="0"/>
              <w:rPr>
                <w:spacing w:val="-4"/>
                <w:lang w:eastAsia="en-US"/>
              </w:rPr>
            </w:pPr>
          </w:p>
        </w:tc>
        <w:tc>
          <w:tcPr>
            <w:tcW w:w="4809" w:type="dxa"/>
            <w:hideMark/>
          </w:tcPr>
          <w:p w14:paraId="75517C97" w14:textId="1B209217"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2 </w:t>
            </w:r>
            <w:r w:rsidR="00F241FB" w:rsidRPr="00995C95">
              <w:rPr>
                <w:rFonts w:cs="Arial"/>
                <w:b/>
                <w:bCs/>
                <w:color w:val="000000"/>
                <w:sz w:val="18"/>
                <w:szCs w:val="18"/>
                <w:lang w:eastAsia="en-US"/>
              </w:rPr>
              <w:t xml:space="preserve">Countries with largest impact on exports of goods in Q4 2025 </w:t>
            </w:r>
            <w:r w:rsidR="00F241FB" w:rsidRPr="00995C95">
              <w:rPr>
                <w:rFonts w:cs="Arial"/>
                <w:bCs/>
                <w:color w:val="000000"/>
                <w:sz w:val="18"/>
                <w:szCs w:val="18"/>
                <w:lang w:eastAsia="en-US"/>
              </w:rPr>
              <w:t>(year-on-year)</w:t>
            </w:r>
          </w:p>
        </w:tc>
      </w:tr>
      <w:tr w:rsidR="00605D96" w:rsidRPr="00995C95" w14:paraId="5C069F6E"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995C95" w14:paraId="01E38AE2" w14:textId="77777777" w:rsidTr="008B207B">
              <w:trPr>
                <w:trHeight w:val="255"/>
              </w:trPr>
              <w:tc>
                <w:tcPr>
                  <w:tcW w:w="3417" w:type="dxa"/>
                  <w:tcBorders>
                    <w:top w:val="nil"/>
                    <w:left w:val="nil"/>
                    <w:bottom w:val="nil"/>
                    <w:right w:val="nil"/>
                  </w:tcBorders>
                  <w:noWrap/>
                  <w:vAlign w:val="bottom"/>
                  <w:hideMark/>
                </w:tcPr>
                <w:p w14:paraId="0B897D79" w14:textId="77777777" w:rsidR="00605D96" w:rsidRPr="00995C95" w:rsidRDefault="00605D96" w:rsidP="008B207B">
                  <w:pPr>
                    <w:spacing w:after="0" w:line="240" w:lineRule="auto"/>
                    <w:jc w:val="left"/>
                    <w:rPr>
                      <w:rFonts w:ascii="Times New Roman" w:hAnsi="Times New Roman"/>
                      <w:sz w:val="24"/>
                      <w:szCs w:val="20"/>
                    </w:rPr>
                  </w:pPr>
                </w:p>
              </w:tc>
              <w:tc>
                <w:tcPr>
                  <w:tcW w:w="700" w:type="dxa"/>
                  <w:tcBorders>
                    <w:top w:val="nil"/>
                    <w:left w:val="nil"/>
                    <w:bottom w:val="nil"/>
                    <w:right w:val="nil"/>
                  </w:tcBorders>
                  <w:noWrap/>
                  <w:vAlign w:val="bottom"/>
                  <w:hideMark/>
                </w:tcPr>
                <w:p w14:paraId="349F3392" w14:textId="2935ECA8" w:rsidR="00605D96" w:rsidRPr="00995C95" w:rsidRDefault="00F241FB"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nil"/>
                    <w:right w:val="nil"/>
                  </w:tcBorders>
                  <w:noWrap/>
                  <w:vAlign w:val="bottom"/>
                  <w:hideMark/>
                </w:tcPr>
                <w:p w14:paraId="5A8A2CBF"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6276F2FC" w14:textId="77777777" w:rsidTr="008B207B">
              <w:trPr>
                <w:trHeight w:val="255"/>
              </w:trPr>
              <w:tc>
                <w:tcPr>
                  <w:tcW w:w="3417" w:type="dxa"/>
                  <w:tcBorders>
                    <w:top w:val="single" w:sz="4" w:space="0" w:color="auto"/>
                    <w:left w:val="nil"/>
                    <w:bottom w:val="nil"/>
                    <w:right w:val="nil"/>
                  </w:tcBorders>
                  <w:vAlign w:val="bottom"/>
                  <w:hideMark/>
                </w:tcPr>
                <w:p w14:paraId="1153BE5F" w14:textId="2ACA9474"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 xml:space="preserve">Machinery and equipment, n.c.e </w:t>
                  </w:r>
                </w:p>
              </w:tc>
              <w:tc>
                <w:tcPr>
                  <w:tcW w:w="700" w:type="dxa"/>
                  <w:tcBorders>
                    <w:top w:val="single" w:sz="4" w:space="0" w:color="auto"/>
                    <w:left w:val="nil"/>
                    <w:bottom w:val="nil"/>
                    <w:right w:val="nil"/>
                  </w:tcBorders>
                  <w:noWrap/>
                  <w:vAlign w:val="bottom"/>
                  <w:hideMark/>
                </w:tcPr>
                <w:p w14:paraId="54BAF3D1" w14:textId="2132931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2</w:t>
                  </w:r>
                </w:p>
              </w:tc>
              <w:tc>
                <w:tcPr>
                  <w:tcW w:w="700" w:type="dxa"/>
                  <w:tcBorders>
                    <w:top w:val="single" w:sz="4" w:space="0" w:color="auto"/>
                    <w:left w:val="nil"/>
                    <w:bottom w:val="nil"/>
                    <w:right w:val="nil"/>
                  </w:tcBorders>
                  <w:noWrap/>
                  <w:vAlign w:val="bottom"/>
                  <w:hideMark/>
                </w:tcPr>
                <w:p w14:paraId="23287756" w14:textId="465742A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9</w:t>
                  </w:r>
                </w:p>
              </w:tc>
            </w:tr>
            <w:tr w:rsidR="00605D96" w:rsidRPr="00995C95" w14:paraId="23AC15C1" w14:textId="77777777" w:rsidTr="008B207B">
              <w:trPr>
                <w:trHeight w:val="255"/>
              </w:trPr>
              <w:tc>
                <w:tcPr>
                  <w:tcW w:w="3417" w:type="dxa"/>
                  <w:tcBorders>
                    <w:top w:val="nil"/>
                    <w:left w:val="nil"/>
                    <w:bottom w:val="nil"/>
                    <w:right w:val="nil"/>
                  </w:tcBorders>
                  <w:vAlign w:val="bottom"/>
                  <w:hideMark/>
                </w:tcPr>
                <w:p w14:paraId="08549819" w14:textId="17E1D43A"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305BB5CC" w14:textId="74B17B3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495A2E39" w14:textId="1EDAE6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6</w:t>
                  </w:r>
                </w:p>
              </w:tc>
            </w:tr>
            <w:tr w:rsidR="00605D96" w:rsidRPr="00995C95" w14:paraId="0DCE7762" w14:textId="77777777" w:rsidTr="008B207B">
              <w:trPr>
                <w:trHeight w:val="255"/>
              </w:trPr>
              <w:tc>
                <w:tcPr>
                  <w:tcW w:w="3417" w:type="dxa"/>
                  <w:tcBorders>
                    <w:top w:val="nil"/>
                    <w:left w:val="nil"/>
                    <w:bottom w:val="nil"/>
                    <w:right w:val="nil"/>
                  </w:tcBorders>
                  <w:vAlign w:val="bottom"/>
                  <w:hideMark/>
                </w:tcPr>
                <w:p w14:paraId="1BCB46D0" w14:textId="541362D9" w:rsidR="00605D96" w:rsidRPr="00995C95" w:rsidRDefault="00634573" w:rsidP="008B207B">
                  <w:pPr>
                    <w:spacing w:after="0" w:line="240" w:lineRule="auto"/>
                    <w:jc w:val="left"/>
                    <w:rPr>
                      <w:rFonts w:cs="Arial"/>
                      <w:color w:val="000000"/>
                      <w:sz w:val="16"/>
                      <w:szCs w:val="16"/>
                    </w:rPr>
                  </w:pPr>
                  <w:r w:rsidRPr="00995C95">
                    <w:rPr>
                      <w:sz w:val="16"/>
                      <w:szCs w:val="16"/>
                    </w:rPr>
                    <w:t>Crude petroleum and natural gas</w:t>
                  </w:r>
                </w:p>
              </w:tc>
              <w:tc>
                <w:tcPr>
                  <w:tcW w:w="700" w:type="dxa"/>
                  <w:tcBorders>
                    <w:top w:val="nil"/>
                    <w:left w:val="nil"/>
                    <w:bottom w:val="nil"/>
                    <w:right w:val="nil"/>
                  </w:tcBorders>
                  <w:noWrap/>
                  <w:vAlign w:val="bottom"/>
                  <w:hideMark/>
                </w:tcPr>
                <w:p w14:paraId="606847CB" w14:textId="0217393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1B97135C" w14:textId="173F10E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+943</w:t>
                  </w:r>
                  <w:r w:rsidR="008E6F8B" w:rsidRPr="00995C95">
                    <w:rPr>
                      <w:rFonts w:cs="Arial"/>
                      <w:color w:val="000000"/>
                      <w:sz w:val="16"/>
                      <w:szCs w:val="16"/>
                    </w:rPr>
                    <w:t>.</w:t>
                  </w:r>
                  <w:r w:rsidRPr="00995C95">
                    <w:rPr>
                      <w:rFonts w:cs="Arial"/>
                      <w:color w:val="000000"/>
                      <w:sz w:val="16"/>
                      <w:szCs w:val="16"/>
                    </w:rPr>
                    <w:t>7</w:t>
                  </w:r>
                </w:p>
              </w:tc>
            </w:tr>
            <w:tr w:rsidR="00605D96" w:rsidRPr="00995C95" w14:paraId="2B202369" w14:textId="77777777" w:rsidTr="008B207B">
              <w:trPr>
                <w:trHeight w:val="255"/>
              </w:trPr>
              <w:tc>
                <w:tcPr>
                  <w:tcW w:w="3417" w:type="dxa"/>
                  <w:tcBorders>
                    <w:top w:val="nil"/>
                    <w:left w:val="nil"/>
                    <w:bottom w:val="nil"/>
                    <w:right w:val="nil"/>
                  </w:tcBorders>
                  <w:vAlign w:val="bottom"/>
                  <w:hideMark/>
                </w:tcPr>
                <w:p w14:paraId="44C69E9A" w14:textId="57FF0590"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Basic pharmaceutical products</w:t>
                  </w:r>
                </w:p>
              </w:tc>
              <w:tc>
                <w:tcPr>
                  <w:tcW w:w="700" w:type="dxa"/>
                  <w:tcBorders>
                    <w:top w:val="nil"/>
                    <w:left w:val="nil"/>
                    <w:bottom w:val="nil"/>
                    <w:right w:val="nil"/>
                  </w:tcBorders>
                  <w:noWrap/>
                  <w:vAlign w:val="bottom"/>
                  <w:hideMark/>
                </w:tcPr>
                <w:p w14:paraId="12BF5609" w14:textId="5076E1F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515453D0" w14:textId="271797B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+10</w:t>
                  </w:r>
                  <w:r w:rsidR="008E6F8B" w:rsidRPr="00995C95">
                    <w:rPr>
                      <w:rFonts w:cs="Arial"/>
                      <w:color w:val="000000"/>
                      <w:sz w:val="16"/>
                      <w:szCs w:val="16"/>
                    </w:rPr>
                    <w:t>.</w:t>
                  </w:r>
                  <w:r w:rsidRPr="00995C95">
                    <w:rPr>
                      <w:rFonts w:cs="Arial"/>
                      <w:color w:val="000000"/>
                      <w:sz w:val="16"/>
                      <w:szCs w:val="16"/>
                    </w:rPr>
                    <w:t>4</w:t>
                  </w:r>
                </w:p>
              </w:tc>
            </w:tr>
            <w:tr w:rsidR="00605D96" w:rsidRPr="00995C95" w14:paraId="14710B83" w14:textId="77777777" w:rsidTr="008B207B">
              <w:trPr>
                <w:trHeight w:val="255"/>
              </w:trPr>
              <w:tc>
                <w:tcPr>
                  <w:tcW w:w="3417" w:type="dxa"/>
                  <w:tcBorders>
                    <w:top w:val="nil"/>
                    <w:left w:val="nil"/>
                    <w:bottom w:val="nil"/>
                    <w:right w:val="nil"/>
                  </w:tcBorders>
                  <w:vAlign w:val="bottom"/>
                  <w:hideMark/>
                </w:tcPr>
                <w:p w14:paraId="0AFB4C9D" w14:textId="071513B5"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Other transport equipment</w:t>
                  </w:r>
                </w:p>
              </w:tc>
              <w:tc>
                <w:tcPr>
                  <w:tcW w:w="700" w:type="dxa"/>
                  <w:tcBorders>
                    <w:top w:val="nil"/>
                    <w:left w:val="nil"/>
                    <w:bottom w:val="nil"/>
                    <w:right w:val="nil"/>
                  </w:tcBorders>
                  <w:noWrap/>
                  <w:vAlign w:val="bottom"/>
                  <w:hideMark/>
                </w:tcPr>
                <w:p w14:paraId="65B6D1DD" w14:textId="188EDB1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319DF948" w14:textId="2F62BD1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r>
            <w:tr w:rsidR="00605D96" w:rsidRPr="00995C95" w14:paraId="3000E177" w14:textId="77777777" w:rsidTr="008B207B">
              <w:trPr>
                <w:trHeight w:val="255"/>
              </w:trPr>
              <w:tc>
                <w:tcPr>
                  <w:tcW w:w="3417" w:type="dxa"/>
                  <w:tcBorders>
                    <w:top w:val="nil"/>
                    <w:left w:val="nil"/>
                    <w:bottom w:val="nil"/>
                    <w:right w:val="nil"/>
                  </w:tcBorders>
                  <w:vAlign w:val="bottom"/>
                  <w:hideMark/>
                </w:tcPr>
                <w:p w14:paraId="4FD35796" w14:textId="34F3C657"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Basic metals</w:t>
                  </w:r>
                </w:p>
              </w:tc>
              <w:tc>
                <w:tcPr>
                  <w:tcW w:w="700" w:type="dxa"/>
                  <w:tcBorders>
                    <w:top w:val="nil"/>
                    <w:left w:val="nil"/>
                    <w:bottom w:val="nil"/>
                    <w:right w:val="nil"/>
                  </w:tcBorders>
                  <w:noWrap/>
                  <w:vAlign w:val="bottom"/>
                  <w:hideMark/>
                </w:tcPr>
                <w:p w14:paraId="79D3FBC4" w14:textId="04C1298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c>
                <w:tcPr>
                  <w:tcW w:w="700" w:type="dxa"/>
                  <w:tcBorders>
                    <w:top w:val="nil"/>
                    <w:left w:val="nil"/>
                    <w:bottom w:val="nil"/>
                    <w:right w:val="nil"/>
                  </w:tcBorders>
                  <w:noWrap/>
                  <w:vAlign w:val="bottom"/>
                  <w:hideMark/>
                </w:tcPr>
                <w:p w14:paraId="546E8C15" w14:textId="6494347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6</w:t>
                  </w:r>
                </w:p>
              </w:tc>
            </w:tr>
            <w:tr w:rsidR="00605D96" w:rsidRPr="00995C95" w14:paraId="26981130" w14:textId="77777777" w:rsidTr="008B207B">
              <w:trPr>
                <w:trHeight w:val="255"/>
              </w:trPr>
              <w:tc>
                <w:tcPr>
                  <w:tcW w:w="3417" w:type="dxa"/>
                  <w:tcBorders>
                    <w:top w:val="nil"/>
                    <w:left w:val="nil"/>
                    <w:bottom w:val="nil"/>
                    <w:right w:val="nil"/>
                  </w:tcBorders>
                  <w:vAlign w:val="bottom"/>
                  <w:hideMark/>
                </w:tcPr>
                <w:p w14:paraId="2CD651EC" w14:textId="2956E678"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Food products</w:t>
                  </w:r>
                </w:p>
              </w:tc>
              <w:tc>
                <w:tcPr>
                  <w:tcW w:w="700" w:type="dxa"/>
                  <w:tcBorders>
                    <w:top w:val="nil"/>
                    <w:left w:val="nil"/>
                    <w:bottom w:val="nil"/>
                    <w:right w:val="nil"/>
                  </w:tcBorders>
                  <w:noWrap/>
                  <w:vAlign w:val="bottom"/>
                  <w:hideMark/>
                </w:tcPr>
                <w:p w14:paraId="35118D59" w14:textId="73CAA71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7D685529" w14:textId="1B41707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2</w:t>
                  </w:r>
                </w:p>
              </w:tc>
            </w:tr>
            <w:tr w:rsidR="00605D96" w:rsidRPr="00995C95" w14:paraId="4CCE2AEC" w14:textId="77777777" w:rsidTr="008B207B">
              <w:trPr>
                <w:trHeight w:val="255"/>
              </w:trPr>
              <w:tc>
                <w:tcPr>
                  <w:tcW w:w="3417" w:type="dxa"/>
                  <w:tcBorders>
                    <w:top w:val="nil"/>
                    <w:left w:val="nil"/>
                    <w:bottom w:val="nil"/>
                    <w:right w:val="nil"/>
                  </w:tcBorders>
                  <w:vAlign w:val="bottom"/>
                  <w:hideMark/>
                </w:tcPr>
                <w:p w14:paraId="32D82BB1" w14:textId="721EECC4"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Computers, electron. and opt. appliances and equipment</w:t>
                  </w:r>
                </w:p>
              </w:tc>
              <w:tc>
                <w:tcPr>
                  <w:tcW w:w="700" w:type="dxa"/>
                  <w:tcBorders>
                    <w:top w:val="nil"/>
                    <w:left w:val="nil"/>
                    <w:bottom w:val="nil"/>
                    <w:right w:val="nil"/>
                  </w:tcBorders>
                  <w:noWrap/>
                  <w:vAlign w:val="bottom"/>
                  <w:hideMark/>
                </w:tcPr>
                <w:p w14:paraId="2A10E331" w14:textId="22DA535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64E8A9FD" w14:textId="3224515D"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r>
            <w:tr w:rsidR="00605D96" w:rsidRPr="00995C95" w14:paraId="7F413938" w14:textId="77777777" w:rsidTr="008B207B">
              <w:trPr>
                <w:trHeight w:val="255"/>
              </w:trPr>
              <w:tc>
                <w:tcPr>
                  <w:tcW w:w="3417" w:type="dxa"/>
                  <w:tcBorders>
                    <w:top w:val="nil"/>
                    <w:left w:val="nil"/>
                    <w:bottom w:val="nil"/>
                    <w:right w:val="nil"/>
                  </w:tcBorders>
                  <w:vAlign w:val="bottom"/>
                  <w:hideMark/>
                </w:tcPr>
                <w:p w14:paraId="1C517BAD" w14:textId="7264F2F2"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Furniture</w:t>
                  </w:r>
                </w:p>
              </w:tc>
              <w:tc>
                <w:tcPr>
                  <w:tcW w:w="700" w:type="dxa"/>
                  <w:tcBorders>
                    <w:top w:val="nil"/>
                    <w:left w:val="nil"/>
                    <w:bottom w:val="nil"/>
                    <w:right w:val="nil"/>
                  </w:tcBorders>
                  <w:noWrap/>
                  <w:vAlign w:val="bottom"/>
                  <w:hideMark/>
                </w:tcPr>
                <w:p w14:paraId="7D024A73" w14:textId="6445FFE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5BEF1D3B" w14:textId="0B6265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−12</w:t>
                  </w:r>
                  <w:r w:rsidR="008E6F8B" w:rsidRPr="00995C95">
                    <w:rPr>
                      <w:rFonts w:cs="Arial"/>
                      <w:color w:val="000000"/>
                      <w:sz w:val="16"/>
                      <w:szCs w:val="16"/>
                    </w:rPr>
                    <w:t>.</w:t>
                  </w:r>
                  <w:r w:rsidRPr="00995C95">
                    <w:rPr>
                      <w:rFonts w:cs="Arial"/>
                      <w:color w:val="000000"/>
                      <w:sz w:val="16"/>
                      <w:szCs w:val="16"/>
                    </w:rPr>
                    <w:t>8</w:t>
                  </w:r>
                </w:p>
              </w:tc>
            </w:tr>
            <w:tr w:rsidR="00605D96" w:rsidRPr="00995C95" w14:paraId="61FB44AE" w14:textId="77777777" w:rsidTr="008B207B">
              <w:trPr>
                <w:trHeight w:val="255"/>
              </w:trPr>
              <w:tc>
                <w:tcPr>
                  <w:tcW w:w="3417" w:type="dxa"/>
                  <w:tcBorders>
                    <w:top w:val="nil"/>
                    <w:left w:val="nil"/>
                    <w:bottom w:val="nil"/>
                    <w:right w:val="nil"/>
                  </w:tcBorders>
                  <w:vAlign w:val="bottom"/>
                  <w:hideMark/>
                </w:tcPr>
                <w:p w14:paraId="043D22EB" w14:textId="4C45BE4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634573" w:rsidRPr="00995C95">
                    <w:rPr>
                      <w:rFonts w:cs="Arial"/>
                      <w:color w:val="000000"/>
                      <w:sz w:val="16"/>
                      <w:szCs w:val="16"/>
                    </w:rPr>
                    <w:t>ther non-metal mineral products</w:t>
                  </w:r>
                </w:p>
              </w:tc>
              <w:tc>
                <w:tcPr>
                  <w:tcW w:w="700" w:type="dxa"/>
                  <w:tcBorders>
                    <w:top w:val="nil"/>
                    <w:left w:val="nil"/>
                    <w:bottom w:val="nil"/>
                    <w:right w:val="nil"/>
                  </w:tcBorders>
                  <w:noWrap/>
                  <w:vAlign w:val="bottom"/>
                  <w:hideMark/>
                </w:tcPr>
                <w:p w14:paraId="3871315E" w14:textId="0D8F862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697FAC20" w14:textId="0FDF533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6</w:t>
                  </w:r>
                </w:p>
              </w:tc>
            </w:tr>
            <w:tr w:rsidR="00605D96" w:rsidRPr="00995C95" w14:paraId="667FC939" w14:textId="77777777" w:rsidTr="008B207B">
              <w:trPr>
                <w:trHeight w:val="255"/>
              </w:trPr>
              <w:tc>
                <w:tcPr>
                  <w:tcW w:w="3417" w:type="dxa"/>
                  <w:tcBorders>
                    <w:top w:val="nil"/>
                    <w:left w:val="nil"/>
                    <w:bottom w:val="nil"/>
                    <w:right w:val="nil"/>
                  </w:tcBorders>
                  <w:vAlign w:val="bottom"/>
                  <w:hideMark/>
                </w:tcPr>
                <w:p w14:paraId="7F86A71E" w14:textId="6ABBE9BE"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6BC616EB" w14:textId="4E4C2E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296A1A4D" w14:textId="551E64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9</w:t>
                  </w:r>
                </w:p>
              </w:tc>
            </w:tr>
            <w:tr w:rsidR="00605D96" w:rsidRPr="00995C95" w14:paraId="062B3786" w14:textId="77777777" w:rsidTr="008B207B">
              <w:trPr>
                <w:trHeight w:val="255"/>
              </w:trPr>
              <w:tc>
                <w:tcPr>
                  <w:tcW w:w="3417" w:type="dxa"/>
                  <w:tcBorders>
                    <w:top w:val="nil"/>
                    <w:left w:val="nil"/>
                    <w:bottom w:val="nil"/>
                    <w:right w:val="nil"/>
                  </w:tcBorders>
                  <w:vAlign w:val="bottom"/>
                  <w:hideMark/>
                </w:tcPr>
                <w:p w14:paraId="4F5773F6" w14:textId="38B2C9C4"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Pap</w:t>
                  </w:r>
                  <w:r w:rsidR="00634573" w:rsidRPr="00995C95">
                    <w:rPr>
                      <w:rFonts w:cs="Arial"/>
                      <w:color w:val="000000"/>
                      <w:sz w:val="16"/>
                      <w:szCs w:val="16"/>
                    </w:rPr>
                    <w:t>er and paper products</w:t>
                  </w:r>
                </w:p>
              </w:tc>
              <w:tc>
                <w:tcPr>
                  <w:tcW w:w="700" w:type="dxa"/>
                  <w:tcBorders>
                    <w:top w:val="nil"/>
                    <w:left w:val="nil"/>
                    <w:bottom w:val="nil"/>
                    <w:right w:val="nil"/>
                  </w:tcBorders>
                  <w:noWrap/>
                  <w:vAlign w:val="bottom"/>
                  <w:hideMark/>
                </w:tcPr>
                <w:p w14:paraId="69087F8E" w14:textId="78E8252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0612469A" w14:textId="7F7FA61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5</w:t>
                  </w:r>
                </w:p>
              </w:tc>
            </w:tr>
            <w:tr w:rsidR="00605D96" w:rsidRPr="00995C95" w14:paraId="4930EE34" w14:textId="77777777" w:rsidTr="008B207B">
              <w:trPr>
                <w:trHeight w:val="255"/>
              </w:trPr>
              <w:tc>
                <w:tcPr>
                  <w:tcW w:w="3417" w:type="dxa"/>
                  <w:tcBorders>
                    <w:top w:val="nil"/>
                    <w:left w:val="nil"/>
                    <w:bottom w:val="nil"/>
                    <w:right w:val="nil"/>
                  </w:tcBorders>
                  <w:vAlign w:val="bottom"/>
                  <w:hideMark/>
                </w:tcPr>
                <w:p w14:paraId="42FDBE49" w14:textId="141D04BE"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Ele</w:t>
                  </w:r>
                  <w:r w:rsidR="00634573" w:rsidRPr="00995C95">
                    <w:rPr>
                      <w:rFonts w:cs="Arial"/>
                      <w:color w:val="000000"/>
                      <w:sz w:val="16"/>
                      <w:szCs w:val="16"/>
                    </w:rPr>
                    <w:t>ctricity, gas, steam and air-conditioning</w:t>
                  </w:r>
                </w:p>
              </w:tc>
              <w:tc>
                <w:tcPr>
                  <w:tcW w:w="700" w:type="dxa"/>
                  <w:tcBorders>
                    <w:top w:val="nil"/>
                    <w:left w:val="nil"/>
                    <w:bottom w:val="nil"/>
                    <w:right w:val="nil"/>
                  </w:tcBorders>
                  <w:noWrap/>
                  <w:vAlign w:val="bottom"/>
                  <w:hideMark/>
                </w:tcPr>
                <w:p w14:paraId="1B79CF9D" w14:textId="57F93D2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B1E6C63" w14:textId="710B901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−20</w:t>
                  </w:r>
                  <w:r w:rsidR="008E6F8B" w:rsidRPr="00995C95">
                    <w:rPr>
                      <w:rFonts w:cs="Arial"/>
                      <w:color w:val="000000"/>
                      <w:sz w:val="16"/>
                      <w:szCs w:val="16"/>
                    </w:rPr>
                    <w:t>.</w:t>
                  </w:r>
                  <w:r w:rsidRPr="00995C95">
                    <w:rPr>
                      <w:rFonts w:cs="Arial"/>
                      <w:color w:val="000000"/>
                      <w:sz w:val="16"/>
                      <w:szCs w:val="16"/>
                    </w:rPr>
                    <w:t>9</w:t>
                  </w:r>
                </w:p>
              </w:tc>
            </w:tr>
            <w:tr w:rsidR="00605D96" w:rsidRPr="00995C95" w14:paraId="15027F8F" w14:textId="77777777" w:rsidTr="008B207B">
              <w:trPr>
                <w:trHeight w:val="255"/>
              </w:trPr>
              <w:tc>
                <w:tcPr>
                  <w:tcW w:w="3417" w:type="dxa"/>
                  <w:tcBorders>
                    <w:top w:val="nil"/>
                    <w:left w:val="nil"/>
                    <w:bottom w:val="nil"/>
                    <w:right w:val="nil"/>
                  </w:tcBorders>
                  <w:vAlign w:val="bottom"/>
                  <w:hideMark/>
                </w:tcPr>
                <w:p w14:paraId="752F0B5E" w14:textId="25B72BDA" w:rsidR="00605D96" w:rsidRPr="00995C95" w:rsidRDefault="00634573" w:rsidP="008B207B">
                  <w:pPr>
                    <w:spacing w:after="0" w:line="240" w:lineRule="auto"/>
                    <w:jc w:val="left"/>
                    <w:rPr>
                      <w:rFonts w:cs="Arial"/>
                      <w:color w:val="000000"/>
                      <w:sz w:val="16"/>
                      <w:szCs w:val="16"/>
                    </w:rPr>
                  </w:pPr>
                  <w:r w:rsidRPr="00995C95">
                    <w:rPr>
                      <w:sz w:val="16"/>
                      <w:szCs w:val="16"/>
                    </w:rPr>
                    <w:t>Chemicals and chemical products</w:t>
                  </w:r>
                </w:p>
              </w:tc>
              <w:tc>
                <w:tcPr>
                  <w:tcW w:w="700" w:type="dxa"/>
                  <w:tcBorders>
                    <w:top w:val="nil"/>
                    <w:left w:val="nil"/>
                    <w:bottom w:val="nil"/>
                    <w:right w:val="nil"/>
                  </w:tcBorders>
                  <w:noWrap/>
                  <w:vAlign w:val="bottom"/>
                  <w:hideMark/>
                </w:tcPr>
                <w:p w14:paraId="28D4041E" w14:textId="40BB11A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8AECD2F" w14:textId="15392CA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3</w:t>
                  </w:r>
                </w:p>
              </w:tc>
            </w:tr>
            <w:tr w:rsidR="00605D96" w:rsidRPr="00995C95" w14:paraId="7D65DD6A" w14:textId="77777777" w:rsidTr="008B207B">
              <w:trPr>
                <w:trHeight w:val="255"/>
              </w:trPr>
              <w:tc>
                <w:tcPr>
                  <w:tcW w:w="3417" w:type="dxa"/>
                  <w:tcBorders>
                    <w:top w:val="nil"/>
                    <w:left w:val="nil"/>
                    <w:bottom w:val="nil"/>
                    <w:right w:val="nil"/>
                  </w:tcBorders>
                  <w:vAlign w:val="bottom"/>
                  <w:hideMark/>
                </w:tcPr>
                <w:p w14:paraId="1BE4519D" w14:textId="08910A2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Ele</w:t>
                  </w:r>
                  <w:r w:rsidR="00634573" w:rsidRPr="00995C95">
                    <w:rPr>
                      <w:rFonts w:cs="Arial"/>
                      <w:color w:val="000000"/>
                      <w:sz w:val="16"/>
                      <w:szCs w:val="16"/>
                    </w:rPr>
                    <w:t>ctrical equipment</w:t>
                  </w:r>
                </w:p>
              </w:tc>
              <w:tc>
                <w:tcPr>
                  <w:tcW w:w="700" w:type="dxa"/>
                  <w:tcBorders>
                    <w:top w:val="nil"/>
                    <w:left w:val="nil"/>
                    <w:bottom w:val="nil"/>
                    <w:right w:val="nil"/>
                  </w:tcBorders>
                  <w:noWrap/>
                  <w:vAlign w:val="bottom"/>
                  <w:hideMark/>
                </w:tcPr>
                <w:p w14:paraId="211BC483" w14:textId="25B2312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414E8C36" w14:textId="62B4C23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4</w:t>
                  </w:r>
                </w:p>
              </w:tc>
            </w:tr>
          </w:tbl>
          <w:p w14:paraId="47EC17A1" w14:textId="77777777" w:rsidR="00605D96" w:rsidRPr="00995C95" w:rsidRDefault="00605D96" w:rsidP="008B207B">
            <w:pPr>
              <w:spacing w:after="0"/>
              <w:rPr>
                <w:spacing w:val="-4"/>
                <w:lang w:eastAsia="en-US"/>
              </w:rPr>
            </w:pPr>
          </w:p>
        </w:tc>
        <w:tc>
          <w:tcPr>
            <w:tcW w:w="57" w:type="dxa"/>
          </w:tcPr>
          <w:p w14:paraId="47535986" w14:textId="77777777" w:rsidR="00605D96" w:rsidRPr="00995C95" w:rsidRDefault="00605D96" w:rsidP="008B207B">
            <w:pPr>
              <w:spacing w:after="0"/>
              <w:rPr>
                <w:spacing w:val="-4"/>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995C95" w14:paraId="0A60E0F1" w14:textId="77777777" w:rsidTr="008B207B">
              <w:trPr>
                <w:trHeight w:val="255"/>
              </w:trPr>
              <w:tc>
                <w:tcPr>
                  <w:tcW w:w="3362" w:type="dxa"/>
                  <w:tcBorders>
                    <w:top w:val="nil"/>
                    <w:left w:val="nil"/>
                    <w:bottom w:val="nil"/>
                    <w:right w:val="nil"/>
                  </w:tcBorders>
                  <w:noWrap/>
                  <w:vAlign w:val="bottom"/>
                  <w:hideMark/>
                </w:tcPr>
                <w:p w14:paraId="639E41F2" w14:textId="77777777" w:rsidR="00605D96" w:rsidRPr="00995C95" w:rsidRDefault="00605D96" w:rsidP="008B207B">
                  <w:pPr>
                    <w:spacing w:after="0" w:line="240" w:lineRule="auto"/>
                    <w:jc w:val="left"/>
                    <w:rPr>
                      <w:rFonts w:cs="Arial"/>
                      <w:sz w:val="22"/>
                      <w:szCs w:val="22"/>
                    </w:rPr>
                  </w:pPr>
                </w:p>
              </w:tc>
              <w:tc>
                <w:tcPr>
                  <w:tcW w:w="700" w:type="dxa"/>
                  <w:tcBorders>
                    <w:top w:val="nil"/>
                    <w:left w:val="nil"/>
                    <w:bottom w:val="nil"/>
                    <w:right w:val="nil"/>
                  </w:tcBorders>
                  <w:noWrap/>
                  <w:vAlign w:val="bottom"/>
                  <w:hideMark/>
                </w:tcPr>
                <w:p w14:paraId="4954B9B4" w14:textId="572C2B75" w:rsidR="00605D96" w:rsidRPr="00995C95" w:rsidRDefault="00F241FB"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nil"/>
                    <w:right w:val="nil"/>
                  </w:tcBorders>
                  <w:noWrap/>
                  <w:vAlign w:val="bottom"/>
                  <w:hideMark/>
                </w:tcPr>
                <w:p w14:paraId="52651198"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43F892EE" w14:textId="77777777" w:rsidTr="008B207B">
              <w:trPr>
                <w:trHeight w:val="255"/>
              </w:trPr>
              <w:tc>
                <w:tcPr>
                  <w:tcW w:w="3362" w:type="dxa"/>
                  <w:tcBorders>
                    <w:top w:val="single" w:sz="4" w:space="0" w:color="auto"/>
                    <w:left w:val="nil"/>
                    <w:bottom w:val="nil"/>
                    <w:right w:val="nil"/>
                  </w:tcBorders>
                  <w:noWrap/>
                  <w:vAlign w:val="bottom"/>
                  <w:hideMark/>
                </w:tcPr>
                <w:p w14:paraId="41A24688" w14:textId="1286247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Franc</w:t>
                  </w:r>
                  <w:r w:rsidR="00F241FB" w:rsidRPr="00995C95">
                    <w:rPr>
                      <w:rFonts w:cs="Arial"/>
                      <w:color w:val="000000"/>
                      <w:sz w:val="16"/>
                      <w:szCs w:val="16"/>
                    </w:rPr>
                    <w:t>e</w:t>
                  </w:r>
                </w:p>
              </w:tc>
              <w:tc>
                <w:tcPr>
                  <w:tcW w:w="700" w:type="dxa"/>
                  <w:tcBorders>
                    <w:top w:val="single" w:sz="4" w:space="0" w:color="auto"/>
                    <w:left w:val="nil"/>
                    <w:bottom w:val="nil"/>
                    <w:right w:val="nil"/>
                  </w:tcBorders>
                  <w:noWrap/>
                  <w:vAlign w:val="bottom"/>
                  <w:hideMark/>
                </w:tcPr>
                <w:p w14:paraId="0978A61A" w14:textId="303E3F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4</w:t>
                  </w:r>
                </w:p>
              </w:tc>
              <w:tc>
                <w:tcPr>
                  <w:tcW w:w="700" w:type="dxa"/>
                  <w:tcBorders>
                    <w:top w:val="single" w:sz="4" w:space="0" w:color="auto"/>
                    <w:left w:val="nil"/>
                    <w:bottom w:val="nil"/>
                    <w:right w:val="nil"/>
                  </w:tcBorders>
                  <w:noWrap/>
                  <w:vAlign w:val="bottom"/>
                  <w:hideMark/>
                </w:tcPr>
                <w:p w14:paraId="7488ECFD" w14:textId="28527A7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+11</w:t>
                  </w:r>
                  <w:r w:rsidR="008E6F8B" w:rsidRPr="00995C95">
                    <w:rPr>
                      <w:rFonts w:cs="Arial"/>
                      <w:color w:val="000000"/>
                      <w:sz w:val="16"/>
                      <w:szCs w:val="16"/>
                    </w:rPr>
                    <w:t>.</w:t>
                  </w:r>
                  <w:r w:rsidRPr="00995C95">
                    <w:rPr>
                      <w:rFonts w:cs="Arial"/>
                      <w:color w:val="000000"/>
                      <w:sz w:val="16"/>
                      <w:szCs w:val="16"/>
                    </w:rPr>
                    <w:t>8</w:t>
                  </w:r>
                </w:p>
              </w:tc>
            </w:tr>
            <w:tr w:rsidR="00605D96" w:rsidRPr="00995C95" w14:paraId="15BE891E" w14:textId="77777777" w:rsidTr="008B207B">
              <w:trPr>
                <w:trHeight w:val="255"/>
              </w:trPr>
              <w:tc>
                <w:tcPr>
                  <w:tcW w:w="3362" w:type="dxa"/>
                  <w:tcBorders>
                    <w:top w:val="nil"/>
                    <w:left w:val="nil"/>
                    <w:bottom w:val="nil"/>
                    <w:right w:val="nil"/>
                  </w:tcBorders>
                  <w:noWrap/>
                  <w:vAlign w:val="bottom"/>
                  <w:hideMark/>
                </w:tcPr>
                <w:p w14:paraId="32299964" w14:textId="2097468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F241FB" w:rsidRPr="00995C95">
                    <w:rPr>
                      <w:rFonts w:cs="Arial"/>
                      <w:color w:val="000000"/>
                      <w:sz w:val="16"/>
                      <w:szCs w:val="16"/>
                    </w:rPr>
                    <w:t>akia</w:t>
                  </w:r>
                </w:p>
              </w:tc>
              <w:tc>
                <w:tcPr>
                  <w:tcW w:w="700" w:type="dxa"/>
                  <w:tcBorders>
                    <w:top w:val="nil"/>
                    <w:left w:val="nil"/>
                    <w:bottom w:val="nil"/>
                    <w:right w:val="nil"/>
                  </w:tcBorders>
                  <w:noWrap/>
                  <w:vAlign w:val="bottom"/>
                  <w:hideMark/>
                </w:tcPr>
                <w:p w14:paraId="00EE5E82" w14:textId="41D2C8B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53AC5826" w14:textId="066D14B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7</w:t>
                  </w:r>
                </w:p>
              </w:tc>
            </w:tr>
            <w:tr w:rsidR="00605D96" w:rsidRPr="00995C95" w14:paraId="236E8484" w14:textId="77777777" w:rsidTr="008B207B">
              <w:trPr>
                <w:trHeight w:val="255"/>
              </w:trPr>
              <w:tc>
                <w:tcPr>
                  <w:tcW w:w="3362" w:type="dxa"/>
                  <w:tcBorders>
                    <w:top w:val="nil"/>
                    <w:left w:val="nil"/>
                    <w:bottom w:val="nil"/>
                    <w:right w:val="nil"/>
                  </w:tcBorders>
                  <w:noWrap/>
                  <w:vAlign w:val="bottom"/>
                  <w:hideMark/>
                </w:tcPr>
                <w:p w14:paraId="499F04A3" w14:textId="74B26682"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Switzerland</w:t>
                  </w:r>
                </w:p>
              </w:tc>
              <w:tc>
                <w:tcPr>
                  <w:tcW w:w="700" w:type="dxa"/>
                  <w:tcBorders>
                    <w:top w:val="nil"/>
                    <w:left w:val="nil"/>
                    <w:bottom w:val="nil"/>
                    <w:right w:val="nil"/>
                  </w:tcBorders>
                  <w:noWrap/>
                  <w:vAlign w:val="bottom"/>
                  <w:hideMark/>
                </w:tcPr>
                <w:p w14:paraId="7481B8A7" w14:textId="165D0B5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F95DDE6" w14:textId="7311374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r w:rsidR="008E6F8B" w:rsidRPr="00995C95">
                    <w:rPr>
                      <w:rFonts w:cs="Arial"/>
                      <w:color w:val="000000"/>
                      <w:sz w:val="16"/>
                      <w:szCs w:val="16"/>
                    </w:rPr>
                    <w:t>.</w:t>
                  </w:r>
                  <w:r w:rsidRPr="00995C95">
                    <w:rPr>
                      <w:rFonts w:cs="Arial"/>
                      <w:color w:val="000000"/>
                      <w:sz w:val="16"/>
                      <w:szCs w:val="16"/>
                    </w:rPr>
                    <w:t>1</w:t>
                  </w:r>
                </w:p>
              </w:tc>
            </w:tr>
            <w:tr w:rsidR="00605D96" w:rsidRPr="00995C95" w14:paraId="75695668" w14:textId="77777777" w:rsidTr="008B207B">
              <w:trPr>
                <w:trHeight w:val="255"/>
              </w:trPr>
              <w:tc>
                <w:tcPr>
                  <w:tcW w:w="3362" w:type="dxa"/>
                  <w:tcBorders>
                    <w:top w:val="nil"/>
                    <w:left w:val="nil"/>
                    <w:bottom w:val="nil"/>
                    <w:right w:val="nil"/>
                  </w:tcBorders>
                  <w:noWrap/>
                  <w:vAlign w:val="bottom"/>
                  <w:hideMark/>
                </w:tcPr>
                <w:p w14:paraId="61DE8C20" w14:textId="7FF4D1A8"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Sweden</w:t>
                  </w:r>
                </w:p>
              </w:tc>
              <w:tc>
                <w:tcPr>
                  <w:tcW w:w="700" w:type="dxa"/>
                  <w:tcBorders>
                    <w:top w:val="nil"/>
                    <w:left w:val="nil"/>
                    <w:bottom w:val="nil"/>
                    <w:right w:val="nil"/>
                  </w:tcBorders>
                  <w:noWrap/>
                  <w:vAlign w:val="bottom"/>
                  <w:hideMark/>
                </w:tcPr>
                <w:p w14:paraId="31B28F1A" w14:textId="5A7974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A28AC5E" w14:textId="62E5090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+12</w:t>
                  </w:r>
                  <w:r w:rsidR="008E6F8B" w:rsidRPr="00995C95">
                    <w:rPr>
                      <w:rFonts w:cs="Arial"/>
                      <w:color w:val="000000"/>
                      <w:sz w:val="16"/>
                      <w:szCs w:val="16"/>
                    </w:rPr>
                    <w:t>.</w:t>
                  </w:r>
                  <w:r w:rsidRPr="00995C95">
                    <w:rPr>
                      <w:rFonts w:cs="Arial"/>
                      <w:color w:val="000000"/>
                      <w:sz w:val="16"/>
                      <w:szCs w:val="16"/>
                    </w:rPr>
                    <w:t>5</w:t>
                  </w:r>
                </w:p>
              </w:tc>
            </w:tr>
            <w:tr w:rsidR="00605D96" w:rsidRPr="00995C95" w14:paraId="0392CCC3" w14:textId="77777777" w:rsidTr="008B207B">
              <w:trPr>
                <w:trHeight w:val="255"/>
              </w:trPr>
              <w:tc>
                <w:tcPr>
                  <w:tcW w:w="3362" w:type="dxa"/>
                  <w:tcBorders>
                    <w:top w:val="nil"/>
                    <w:left w:val="nil"/>
                    <w:bottom w:val="nil"/>
                    <w:right w:val="nil"/>
                  </w:tcBorders>
                  <w:noWrap/>
                  <w:vAlign w:val="bottom"/>
                  <w:hideMark/>
                </w:tcPr>
                <w:p w14:paraId="6524BFD3" w14:textId="718E65BF"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Austria</w:t>
                  </w:r>
                </w:p>
              </w:tc>
              <w:tc>
                <w:tcPr>
                  <w:tcW w:w="700" w:type="dxa"/>
                  <w:tcBorders>
                    <w:top w:val="nil"/>
                    <w:left w:val="nil"/>
                    <w:bottom w:val="nil"/>
                    <w:right w:val="nil"/>
                  </w:tcBorders>
                  <w:noWrap/>
                  <w:vAlign w:val="bottom"/>
                  <w:hideMark/>
                </w:tcPr>
                <w:p w14:paraId="4DDFFF28" w14:textId="65347ED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254C84E3" w14:textId="5962103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1</w:t>
                  </w:r>
                </w:p>
              </w:tc>
            </w:tr>
            <w:tr w:rsidR="00605D96" w:rsidRPr="00995C95" w14:paraId="74112112" w14:textId="77777777" w:rsidTr="008B207B">
              <w:trPr>
                <w:trHeight w:val="255"/>
              </w:trPr>
              <w:tc>
                <w:tcPr>
                  <w:tcW w:w="3362" w:type="dxa"/>
                  <w:tcBorders>
                    <w:top w:val="nil"/>
                    <w:left w:val="nil"/>
                    <w:bottom w:val="nil"/>
                    <w:right w:val="nil"/>
                  </w:tcBorders>
                  <w:noWrap/>
                  <w:vAlign w:val="bottom"/>
                  <w:hideMark/>
                </w:tcPr>
                <w:p w14:paraId="31C61594" w14:textId="3798834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w:t>
                  </w:r>
                  <w:r w:rsidR="00F241FB" w:rsidRPr="00995C95">
                    <w:rPr>
                      <w:rFonts w:cs="Arial"/>
                      <w:color w:val="000000"/>
                      <w:sz w:val="16"/>
                      <w:szCs w:val="16"/>
                    </w:rPr>
                    <w:t>rway</w:t>
                  </w:r>
                </w:p>
              </w:tc>
              <w:tc>
                <w:tcPr>
                  <w:tcW w:w="700" w:type="dxa"/>
                  <w:tcBorders>
                    <w:top w:val="nil"/>
                    <w:left w:val="nil"/>
                    <w:bottom w:val="nil"/>
                    <w:right w:val="nil"/>
                  </w:tcBorders>
                  <w:noWrap/>
                  <w:vAlign w:val="bottom"/>
                  <w:hideMark/>
                </w:tcPr>
                <w:p w14:paraId="1736A636" w14:textId="77CE7BA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2693181F" w14:textId="7148680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+26</w:t>
                  </w:r>
                  <w:r w:rsidR="008E6F8B" w:rsidRPr="00995C95">
                    <w:rPr>
                      <w:rFonts w:cs="Arial"/>
                      <w:color w:val="000000"/>
                      <w:sz w:val="16"/>
                      <w:szCs w:val="16"/>
                    </w:rPr>
                    <w:t>.</w:t>
                  </w:r>
                  <w:r w:rsidRPr="00995C95">
                    <w:rPr>
                      <w:rFonts w:cs="Arial"/>
                      <w:color w:val="000000"/>
                      <w:sz w:val="16"/>
                      <w:szCs w:val="16"/>
                    </w:rPr>
                    <w:t>6</w:t>
                  </w:r>
                </w:p>
              </w:tc>
            </w:tr>
            <w:tr w:rsidR="00605D96" w:rsidRPr="00995C95" w14:paraId="13166A71" w14:textId="77777777" w:rsidTr="008B207B">
              <w:trPr>
                <w:trHeight w:val="255"/>
              </w:trPr>
              <w:tc>
                <w:tcPr>
                  <w:tcW w:w="3362" w:type="dxa"/>
                  <w:tcBorders>
                    <w:top w:val="nil"/>
                    <w:left w:val="nil"/>
                    <w:bottom w:val="nil"/>
                    <w:right w:val="nil"/>
                  </w:tcBorders>
                  <w:noWrap/>
                  <w:vAlign w:val="bottom"/>
                  <w:hideMark/>
                </w:tcPr>
                <w:p w14:paraId="502E9823" w14:textId="2413845F" w:rsidR="00605D96" w:rsidRPr="00995C95" w:rsidRDefault="00F241FB" w:rsidP="008B207B">
                  <w:pPr>
                    <w:spacing w:after="0" w:line="240" w:lineRule="auto"/>
                    <w:jc w:val="left"/>
                    <w:rPr>
                      <w:rFonts w:cs="Arial"/>
                      <w:color w:val="000000"/>
                      <w:sz w:val="16"/>
                      <w:szCs w:val="16"/>
                    </w:rPr>
                  </w:pPr>
                  <w:r w:rsidRPr="00995C95">
                    <w:rPr>
                      <w:rFonts w:cs="Arial"/>
                      <w:color w:val="000000"/>
                      <w:sz w:val="16"/>
                      <w:szCs w:val="16"/>
                    </w:rPr>
                    <w:t>South Korea</w:t>
                  </w:r>
                </w:p>
              </w:tc>
              <w:tc>
                <w:tcPr>
                  <w:tcW w:w="700" w:type="dxa"/>
                  <w:tcBorders>
                    <w:top w:val="nil"/>
                    <w:left w:val="nil"/>
                    <w:bottom w:val="nil"/>
                    <w:right w:val="nil"/>
                  </w:tcBorders>
                  <w:noWrap/>
                  <w:vAlign w:val="bottom"/>
                  <w:hideMark/>
                </w:tcPr>
                <w:p w14:paraId="268F666F" w14:textId="775F5C7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c>
                <w:tcPr>
                  <w:tcW w:w="700" w:type="dxa"/>
                  <w:tcBorders>
                    <w:top w:val="nil"/>
                    <w:left w:val="nil"/>
                    <w:bottom w:val="nil"/>
                    <w:right w:val="nil"/>
                  </w:tcBorders>
                  <w:noWrap/>
                  <w:vAlign w:val="bottom"/>
                  <w:hideMark/>
                </w:tcPr>
                <w:p w14:paraId="6659837E" w14:textId="68F9E8A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+29</w:t>
                  </w:r>
                  <w:r w:rsidR="008E6F8B" w:rsidRPr="00995C95">
                    <w:rPr>
                      <w:rFonts w:cs="Arial"/>
                      <w:color w:val="000000"/>
                      <w:sz w:val="16"/>
                      <w:szCs w:val="16"/>
                    </w:rPr>
                    <w:t>.</w:t>
                  </w:r>
                  <w:r w:rsidRPr="00995C95">
                    <w:rPr>
                      <w:rFonts w:cs="Arial"/>
                      <w:color w:val="000000"/>
                      <w:sz w:val="16"/>
                      <w:szCs w:val="16"/>
                    </w:rPr>
                    <w:t>6</w:t>
                  </w:r>
                </w:p>
              </w:tc>
            </w:tr>
            <w:tr w:rsidR="00605D96" w:rsidRPr="00995C95" w14:paraId="46B6735D" w14:textId="77777777" w:rsidTr="008B207B">
              <w:trPr>
                <w:trHeight w:val="255"/>
              </w:trPr>
              <w:tc>
                <w:tcPr>
                  <w:tcW w:w="3362" w:type="dxa"/>
                  <w:tcBorders>
                    <w:top w:val="nil"/>
                    <w:left w:val="nil"/>
                    <w:bottom w:val="nil"/>
                    <w:right w:val="nil"/>
                  </w:tcBorders>
                  <w:noWrap/>
                  <w:vAlign w:val="bottom"/>
                  <w:hideMark/>
                </w:tcPr>
                <w:p w14:paraId="5DFE3994" w14:textId="1F91300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Singap</w:t>
                  </w:r>
                  <w:r w:rsidR="00F241FB" w:rsidRPr="00995C95">
                    <w:rPr>
                      <w:rFonts w:cs="Arial"/>
                      <w:color w:val="000000"/>
                      <w:sz w:val="16"/>
                      <w:szCs w:val="16"/>
                    </w:rPr>
                    <w:t>ore</w:t>
                  </w:r>
                </w:p>
              </w:tc>
              <w:tc>
                <w:tcPr>
                  <w:tcW w:w="700" w:type="dxa"/>
                  <w:tcBorders>
                    <w:top w:val="nil"/>
                    <w:left w:val="nil"/>
                    <w:bottom w:val="nil"/>
                    <w:right w:val="nil"/>
                  </w:tcBorders>
                  <w:noWrap/>
                  <w:vAlign w:val="bottom"/>
                  <w:hideMark/>
                </w:tcPr>
                <w:p w14:paraId="7CF3DC5F" w14:textId="53B62C1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325A2126" w14:textId="36301A0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+30</w:t>
                  </w:r>
                  <w:r w:rsidR="008E6F8B" w:rsidRPr="00995C95">
                    <w:rPr>
                      <w:rFonts w:cs="Arial"/>
                      <w:color w:val="000000"/>
                      <w:sz w:val="16"/>
                      <w:szCs w:val="16"/>
                    </w:rPr>
                    <w:t>.</w:t>
                  </w:r>
                  <w:r w:rsidRPr="00995C95">
                    <w:rPr>
                      <w:rFonts w:cs="Arial"/>
                      <w:color w:val="000000"/>
                      <w:sz w:val="16"/>
                      <w:szCs w:val="16"/>
                    </w:rPr>
                    <w:t>0</w:t>
                  </w:r>
                </w:p>
              </w:tc>
            </w:tr>
            <w:tr w:rsidR="00605D96" w:rsidRPr="00995C95" w14:paraId="5105539C" w14:textId="77777777" w:rsidTr="008B207B">
              <w:trPr>
                <w:trHeight w:val="255"/>
              </w:trPr>
              <w:tc>
                <w:tcPr>
                  <w:tcW w:w="3362" w:type="dxa"/>
                  <w:tcBorders>
                    <w:top w:val="nil"/>
                    <w:left w:val="nil"/>
                    <w:bottom w:val="nil"/>
                    <w:right w:val="nil"/>
                  </w:tcBorders>
                  <w:noWrap/>
                  <w:vAlign w:val="bottom"/>
                  <w:hideMark/>
                </w:tcPr>
                <w:p w14:paraId="60749857" w14:textId="32E65C2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Belg</w:t>
                  </w:r>
                  <w:r w:rsidR="00F241FB" w:rsidRPr="00995C95">
                    <w:rPr>
                      <w:rFonts w:cs="Arial"/>
                      <w:color w:val="000000"/>
                      <w:sz w:val="16"/>
                      <w:szCs w:val="16"/>
                    </w:rPr>
                    <w:t>ium</w:t>
                  </w:r>
                </w:p>
              </w:tc>
              <w:tc>
                <w:tcPr>
                  <w:tcW w:w="700" w:type="dxa"/>
                  <w:tcBorders>
                    <w:top w:val="nil"/>
                    <w:left w:val="nil"/>
                    <w:bottom w:val="nil"/>
                    <w:right w:val="nil"/>
                  </w:tcBorders>
                  <w:noWrap/>
                  <w:vAlign w:val="bottom"/>
                  <w:hideMark/>
                </w:tcPr>
                <w:p w14:paraId="74052E79" w14:textId="43C436D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05D4D53E" w14:textId="0F46821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0</w:t>
                  </w:r>
                </w:p>
              </w:tc>
            </w:tr>
            <w:tr w:rsidR="00605D96" w:rsidRPr="00995C95" w14:paraId="5F6FFD9C" w14:textId="77777777" w:rsidTr="008B207B">
              <w:trPr>
                <w:trHeight w:val="255"/>
              </w:trPr>
              <w:tc>
                <w:tcPr>
                  <w:tcW w:w="3362" w:type="dxa"/>
                  <w:tcBorders>
                    <w:top w:val="nil"/>
                    <w:left w:val="nil"/>
                    <w:bottom w:val="nil"/>
                    <w:right w:val="nil"/>
                  </w:tcBorders>
                  <w:noWrap/>
                  <w:vAlign w:val="bottom"/>
                  <w:hideMark/>
                </w:tcPr>
                <w:p w14:paraId="54656854" w14:textId="722861F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w:t>
                  </w:r>
                  <w:r w:rsidR="00F241FB" w:rsidRPr="00995C95">
                    <w:rPr>
                      <w:rFonts w:cs="Arial"/>
                      <w:color w:val="000000"/>
                      <w:sz w:val="16"/>
                      <w:szCs w:val="16"/>
                    </w:rPr>
                    <w:t>s</w:t>
                  </w:r>
                  <w:r w:rsidRPr="00995C95">
                    <w:rPr>
                      <w:rFonts w:cs="Arial"/>
                      <w:color w:val="000000"/>
                      <w:sz w:val="16"/>
                      <w:szCs w:val="16"/>
                    </w:rPr>
                    <w:t>rael</w:t>
                  </w:r>
                </w:p>
              </w:tc>
              <w:tc>
                <w:tcPr>
                  <w:tcW w:w="700" w:type="dxa"/>
                  <w:tcBorders>
                    <w:top w:val="nil"/>
                    <w:left w:val="nil"/>
                    <w:bottom w:val="nil"/>
                    <w:right w:val="nil"/>
                  </w:tcBorders>
                  <w:noWrap/>
                  <w:vAlign w:val="bottom"/>
                  <w:hideMark/>
                </w:tcPr>
                <w:p w14:paraId="5160447E" w14:textId="0A1059E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753077C7" w14:textId="0B2A4D6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4</w:t>
                  </w:r>
                </w:p>
              </w:tc>
            </w:tr>
            <w:tr w:rsidR="00605D96" w:rsidRPr="00995C95" w14:paraId="7DB7625B" w14:textId="77777777" w:rsidTr="008B207B">
              <w:trPr>
                <w:trHeight w:val="255"/>
              </w:trPr>
              <w:tc>
                <w:tcPr>
                  <w:tcW w:w="3362" w:type="dxa"/>
                  <w:tcBorders>
                    <w:top w:val="nil"/>
                    <w:left w:val="nil"/>
                    <w:bottom w:val="nil"/>
                    <w:right w:val="nil"/>
                  </w:tcBorders>
                  <w:noWrap/>
                  <w:vAlign w:val="bottom"/>
                  <w:hideMark/>
                </w:tcPr>
                <w:p w14:paraId="66612E4C" w14:textId="3E9D0C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w:t>
                  </w:r>
                  <w:r w:rsidR="00F241FB" w:rsidRPr="00995C95">
                    <w:rPr>
                      <w:rFonts w:cs="Arial"/>
                      <w:color w:val="000000"/>
                      <w:sz w:val="16"/>
                      <w:szCs w:val="16"/>
                    </w:rPr>
                    <w:t>etherlands</w:t>
                  </w:r>
                </w:p>
              </w:tc>
              <w:tc>
                <w:tcPr>
                  <w:tcW w:w="700" w:type="dxa"/>
                  <w:tcBorders>
                    <w:top w:val="nil"/>
                    <w:left w:val="nil"/>
                    <w:bottom w:val="nil"/>
                    <w:right w:val="nil"/>
                  </w:tcBorders>
                  <w:noWrap/>
                  <w:vAlign w:val="bottom"/>
                  <w:hideMark/>
                </w:tcPr>
                <w:p w14:paraId="393A17A4" w14:textId="6210D48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04A9B5FD" w14:textId="69F190A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9</w:t>
                  </w:r>
                </w:p>
              </w:tc>
            </w:tr>
            <w:tr w:rsidR="00605D96" w:rsidRPr="00995C95" w14:paraId="1D7812D8" w14:textId="77777777" w:rsidTr="008B207B">
              <w:trPr>
                <w:trHeight w:val="255"/>
              </w:trPr>
              <w:tc>
                <w:tcPr>
                  <w:tcW w:w="3362" w:type="dxa"/>
                  <w:tcBorders>
                    <w:top w:val="nil"/>
                    <w:left w:val="nil"/>
                    <w:bottom w:val="nil"/>
                    <w:right w:val="nil"/>
                  </w:tcBorders>
                  <w:noWrap/>
                  <w:vAlign w:val="bottom"/>
                  <w:hideMark/>
                </w:tcPr>
                <w:p w14:paraId="7F4526C7" w14:textId="067DB657"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Great Britain</w:t>
                  </w:r>
                </w:p>
              </w:tc>
              <w:tc>
                <w:tcPr>
                  <w:tcW w:w="700" w:type="dxa"/>
                  <w:tcBorders>
                    <w:top w:val="nil"/>
                    <w:left w:val="nil"/>
                    <w:bottom w:val="nil"/>
                    <w:right w:val="nil"/>
                  </w:tcBorders>
                  <w:noWrap/>
                  <w:vAlign w:val="bottom"/>
                  <w:hideMark/>
                </w:tcPr>
                <w:p w14:paraId="1AEDABE3" w14:textId="73FCE94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3</w:t>
                  </w:r>
                </w:p>
              </w:tc>
              <w:tc>
                <w:tcPr>
                  <w:tcW w:w="700" w:type="dxa"/>
                  <w:tcBorders>
                    <w:top w:val="nil"/>
                    <w:left w:val="nil"/>
                    <w:bottom w:val="nil"/>
                    <w:right w:val="nil"/>
                  </w:tcBorders>
                  <w:noWrap/>
                  <w:vAlign w:val="bottom"/>
                  <w:hideMark/>
                </w:tcPr>
                <w:p w14:paraId="2AE7E63A" w14:textId="68AFE06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8E6F8B" w:rsidRPr="00995C95">
                    <w:rPr>
                      <w:rFonts w:cs="Arial"/>
                      <w:color w:val="000000"/>
                      <w:sz w:val="16"/>
                      <w:szCs w:val="16"/>
                    </w:rPr>
                    <w:t>.</w:t>
                  </w:r>
                  <w:r w:rsidRPr="00995C95">
                    <w:rPr>
                      <w:rFonts w:cs="Arial"/>
                      <w:color w:val="000000"/>
                      <w:sz w:val="16"/>
                      <w:szCs w:val="16"/>
                    </w:rPr>
                    <w:t>5</w:t>
                  </w:r>
                </w:p>
              </w:tc>
            </w:tr>
            <w:tr w:rsidR="00605D96" w:rsidRPr="00995C95" w14:paraId="52223F08" w14:textId="77777777" w:rsidTr="008B207B">
              <w:trPr>
                <w:trHeight w:val="255"/>
              </w:trPr>
              <w:tc>
                <w:tcPr>
                  <w:tcW w:w="3362" w:type="dxa"/>
                  <w:tcBorders>
                    <w:top w:val="nil"/>
                    <w:left w:val="nil"/>
                    <w:bottom w:val="nil"/>
                    <w:right w:val="nil"/>
                  </w:tcBorders>
                  <w:noWrap/>
                  <w:vAlign w:val="bottom"/>
                  <w:hideMark/>
                </w:tcPr>
                <w:p w14:paraId="22779ECB" w14:textId="20B68593"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Germany</w:t>
                  </w:r>
                </w:p>
              </w:tc>
              <w:tc>
                <w:tcPr>
                  <w:tcW w:w="700" w:type="dxa"/>
                  <w:tcBorders>
                    <w:top w:val="nil"/>
                    <w:left w:val="nil"/>
                    <w:bottom w:val="nil"/>
                    <w:right w:val="nil"/>
                  </w:tcBorders>
                  <w:noWrap/>
                  <w:vAlign w:val="bottom"/>
                  <w:hideMark/>
                </w:tcPr>
                <w:p w14:paraId="62139FAB" w14:textId="033D23A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25E15FBB" w14:textId="7C9A2C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r>
            <w:tr w:rsidR="00605D96" w:rsidRPr="00995C95" w14:paraId="76335155" w14:textId="77777777" w:rsidTr="008B207B">
              <w:trPr>
                <w:trHeight w:val="255"/>
              </w:trPr>
              <w:tc>
                <w:tcPr>
                  <w:tcW w:w="3362" w:type="dxa"/>
                  <w:tcBorders>
                    <w:top w:val="nil"/>
                    <w:left w:val="nil"/>
                    <w:bottom w:val="nil"/>
                    <w:right w:val="nil"/>
                  </w:tcBorders>
                  <w:noWrap/>
                  <w:vAlign w:val="bottom"/>
                  <w:hideMark/>
                </w:tcPr>
                <w:p w14:paraId="06D8F54B" w14:textId="2DD1640F"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United States of America</w:t>
                  </w:r>
                </w:p>
              </w:tc>
              <w:tc>
                <w:tcPr>
                  <w:tcW w:w="700" w:type="dxa"/>
                  <w:tcBorders>
                    <w:top w:val="nil"/>
                    <w:left w:val="nil"/>
                    <w:bottom w:val="nil"/>
                    <w:right w:val="nil"/>
                  </w:tcBorders>
                  <w:noWrap/>
                  <w:vAlign w:val="bottom"/>
                  <w:hideMark/>
                </w:tcPr>
                <w:p w14:paraId="4C46FA7D" w14:textId="5AEA193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5A0468BF" w14:textId="6F0021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7</w:t>
                  </w:r>
                </w:p>
              </w:tc>
            </w:tr>
            <w:tr w:rsidR="00605D96" w:rsidRPr="00995C95" w14:paraId="73062F45" w14:textId="77777777" w:rsidTr="008B207B">
              <w:trPr>
                <w:trHeight w:val="255"/>
              </w:trPr>
              <w:tc>
                <w:tcPr>
                  <w:tcW w:w="3362" w:type="dxa"/>
                  <w:tcBorders>
                    <w:top w:val="nil"/>
                    <w:left w:val="nil"/>
                    <w:bottom w:val="nil"/>
                    <w:right w:val="nil"/>
                  </w:tcBorders>
                  <w:noWrap/>
                  <w:vAlign w:val="bottom"/>
                  <w:hideMark/>
                </w:tcPr>
                <w:p w14:paraId="29C423F0" w14:textId="597F42C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w:t>
                  </w:r>
                  <w:r w:rsidR="00634573" w:rsidRPr="00995C95">
                    <w:rPr>
                      <w:rFonts w:cs="Arial"/>
                      <w:color w:val="000000"/>
                      <w:sz w:val="16"/>
                      <w:szCs w:val="16"/>
                    </w:rPr>
                    <w:t>land</w:t>
                  </w:r>
                </w:p>
              </w:tc>
              <w:tc>
                <w:tcPr>
                  <w:tcW w:w="700" w:type="dxa"/>
                  <w:tcBorders>
                    <w:top w:val="nil"/>
                    <w:left w:val="nil"/>
                    <w:bottom w:val="nil"/>
                    <w:right w:val="nil"/>
                  </w:tcBorders>
                  <w:noWrap/>
                  <w:vAlign w:val="bottom"/>
                  <w:hideMark/>
                </w:tcPr>
                <w:p w14:paraId="64A383FA" w14:textId="1F6629E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700B0D32" w14:textId="2E2EF33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w:t>
                  </w:r>
                  <w:r w:rsidR="008E6F8B" w:rsidRPr="00995C95">
                    <w:rPr>
                      <w:rFonts w:cs="Arial"/>
                      <w:color w:val="000000"/>
                      <w:sz w:val="16"/>
                      <w:szCs w:val="16"/>
                    </w:rPr>
                    <w:t>.</w:t>
                  </w:r>
                  <w:r w:rsidRPr="00995C95">
                    <w:rPr>
                      <w:rFonts w:cs="Arial"/>
                      <w:color w:val="000000"/>
                      <w:sz w:val="16"/>
                      <w:szCs w:val="16"/>
                    </w:rPr>
                    <w:t>3</w:t>
                  </w:r>
                </w:p>
              </w:tc>
            </w:tr>
          </w:tbl>
          <w:p w14:paraId="4F5070DD" w14:textId="77777777" w:rsidR="00605D96" w:rsidRPr="00995C95" w:rsidRDefault="00605D96" w:rsidP="008B207B">
            <w:pPr>
              <w:spacing w:after="0"/>
              <w:rPr>
                <w:spacing w:val="-4"/>
                <w:lang w:eastAsia="en-US"/>
              </w:rPr>
            </w:pPr>
          </w:p>
        </w:tc>
      </w:tr>
      <w:tr w:rsidR="00605D96" w:rsidRPr="00995C95" w14:paraId="0286DA06" w14:textId="77777777" w:rsidTr="008B207B">
        <w:trPr>
          <w:trHeight w:val="170"/>
        </w:trPr>
        <w:tc>
          <w:tcPr>
            <w:tcW w:w="4811" w:type="dxa"/>
            <w:gridSpan w:val="3"/>
            <w:hideMark/>
          </w:tcPr>
          <w:p w14:paraId="051F344D" w14:textId="12631669" w:rsidR="00605D96" w:rsidRPr="00995C95" w:rsidRDefault="00F01008"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192632AF" w14:textId="77777777" w:rsidR="00605D96" w:rsidRPr="00995C95" w:rsidRDefault="00605D96" w:rsidP="008B207B">
            <w:pPr>
              <w:spacing w:after="0"/>
              <w:rPr>
                <w:spacing w:val="-4"/>
                <w:lang w:eastAsia="en-US"/>
              </w:rPr>
            </w:pPr>
          </w:p>
        </w:tc>
        <w:tc>
          <w:tcPr>
            <w:tcW w:w="4809" w:type="dxa"/>
            <w:hideMark/>
          </w:tcPr>
          <w:p w14:paraId="69732CB4" w14:textId="32B5B989" w:rsidR="00605D96" w:rsidRPr="00995C95" w:rsidRDefault="00F01008"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388F7C53" w14:textId="77777777" w:rsidTr="008B207B">
        <w:trPr>
          <w:trHeight w:val="145"/>
        </w:trPr>
        <w:tc>
          <w:tcPr>
            <w:tcW w:w="1748" w:type="dxa"/>
          </w:tcPr>
          <w:p w14:paraId="1FB0D33E" w14:textId="77777777" w:rsidR="00995D56" w:rsidRPr="00995C95" w:rsidRDefault="00995D56" w:rsidP="00995D56">
            <w:pPr>
              <w:pStyle w:val="Marginlie"/>
              <w:rPr>
                <w:lang w:eastAsia="en-US"/>
              </w:rPr>
            </w:pPr>
            <w:r w:rsidRPr="00995C95">
              <w:rPr>
                <w:lang w:eastAsia="en-US"/>
              </w:rPr>
              <w:t>Motor vehicles were a key contributor to last year's increase of exports.</w:t>
            </w:r>
          </w:p>
          <w:p w14:paraId="0A66C97C" w14:textId="32847CB4" w:rsidR="00605D96" w:rsidRPr="00995C95" w:rsidRDefault="00605D96" w:rsidP="008B207B">
            <w:pPr>
              <w:pStyle w:val="Marginlie"/>
              <w:rPr>
                <w:lang w:eastAsia="en-US"/>
              </w:rPr>
            </w:pPr>
          </w:p>
        </w:tc>
        <w:tc>
          <w:tcPr>
            <w:tcW w:w="252" w:type="dxa"/>
          </w:tcPr>
          <w:p w14:paraId="244C6175" w14:textId="77777777" w:rsidR="00605D96" w:rsidRPr="00995C95" w:rsidRDefault="00605D96" w:rsidP="008B207B">
            <w:pPr>
              <w:pStyle w:val="Textpoznpodarou"/>
              <w:jc w:val="both"/>
              <w:rPr>
                <w:spacing w:val="-4"/>
                <w:lang w:eastAsia="en-US"/>
              </w:rPr>
            </w:pPr>
          </w:p>
        </w:tc>
        <w:tc>
          <w:tcPr>
            <w:tcW w:w="7677" w:type="dxa"/>
            <w:gridSpan w:val="3"/>
          </w:tcPr>
          <w:p w14:paraId="214393F2" w14:textId="42A5DEBC" w:rsidR="00605D96" w:rsidRPr="00995C95" w:rsidRDefault="00FA11B5" w:rsidP="008B207B">
            <w:pPr>
              <w:spacing w:after="180"/>
              <w:rPr>
                <w:spacing w:val="-4"/>
                <w:lang w:eastAsia="en-US"/>
              </w:rPr>
            </w:pPr>
            <w:r w:rsidRPr="00995C95">
              <w:rPr>
                <w:spacing w:val="-4"/>
                <w:lang w:eastAsia="en-US"/>
              </w:rPr>
              <w:t>Exports of motor vehicles (+57.8 bn CZK, 4.4%) clearly contributed the most to the increase of the value of exports in 2025. Other areas of domestic production followed with a distance – machinery and equipment (+17.2 bn CZK, 3.4%), which partially recovered from the decline in the previous year, and other transport equipment (+13.1 bn CZK, 15.9%) and food products (+11.8 bn, 6.2%) significantly growing in recent years. The exports increase of basic pharmaceutical products (+8.0 bn, 11.3%), electricity, gas, steam and air-conditioned air (+7.8 bn CZK, 16.2%), rubber and plastic products (+6.6 bn, 3.0%), computers, electronic and optical appliances (+6.0 bn, 1.4%) and coke and refined petroleum products (+5.5 bn, 13.0%) was also significant. The decrease of the value of exports was concentrated mainly in the area of chemical substances and preparations last year (−10.7 bn CZK, −4.8%). In Q4, the year-on-year dynamics of exports across various items was only very modest, including the usual export leaders, such as weakly growing motor vehicles (see Table 1). On the contrary, exports of machinery and equipment, which have been subdued in recent years, recorded a relatively strong quarter. Exports of crude oil and natural gas also contributed more significantly to the total year-on-year growth of exports. By contrast, the decline of exports of electrical equipment from the previous quarter deepened, the decrease lasted for chemical substances and preparations, and exports of electricity, gas, steam and air-condition</w:t>
            </w:r>
            <w:r w:rsidR="00072597" w:rsidRPr="00995C95">
              <w:rPr>
                <w:spacing w:val="-4"/>
                <w:lang w:eastAsia="en-US"/>
              </w:rPr>
              <w:t xml:space="preserve">ing </w:t>
            </w:r>
            <w:r w:rsidRPr="00995C95">
              <w:rPr>
                <w:spacing w:val="-4"/>
                <w:lang w:eastAsia="en-US"/>
              </w:rPr>
              <w:t>decreased significantly.</w:t>
            </w:r>
          </w:p>
        </w:tc>
      </w:tr>
      <w:tr w:rsidR="00605D96" w:rsidRPr="00995C95" w14:paraId="7BB77D4E" w14:textId="77777777" w:rsidTr="008B207B">
        <w:trPr>
          <w:trHeight w:val="145"/>
        </w:trPr>
        <w:tc>
          <w:tcPr>
            <w:tcW w:w="1748" w:type="dxa"/>
            <w:hideMark/>
          </w:tcPr>
          <w:p w14:paraId="73A15055" w14:textId="67272719" w:rsidR="00605D96" w:rsidRPr="00995C95" w:rsidRDefault="003C7792" w:rsidP="008B207B">
            <w:pPr>
              <w:pStyle w:val="Marginlie"/>
              <w:rPr>
                <w:lang w:eastAsia="en-US"/>
              </w:rPr>
            </w:pPr>
            <w:r w:rsidRPr="00995C95">
              <w:rPr>
                <w:lang w:eastAsia="en-US"/>
              </w:rPr>
              <w:t>Imports grew slightly last year.</w:t>
            </w:r>
          </w:p>
        </w:tc>
        <w:tc>
          <w:tcPr>
            <w:tcW w:w="252" w:type="dxa"/>
          </w:tcPr>
          <w:p w14:paraId="0E93BCAD" w14:textId="77777777" w:rsidR="00605D96" w:rsidRPr="00995C95" w:rsidRDefault="00605D96" w:rsidP="008B207B">
            <w:pPr>
              <w:pStyle w:val="Textpoznpodarou"/>
              <w:jc w:val="both"/>
              <w:rPr>
                <w:spacing w:val="-4"/>
                <w:lang w:eastAsia="en-US"/>
              </w:rPr>
            </w:pPr>
          </w:p>
        </w:tc>
        <w:tc>
          <w:tcPr>
            <w:tcW w:w="7677" w:type="dxa"/>
            <w:gridSpan w:val="3"/>
            <w:hideMark/>
          </w:tcPr>
          <w:p w14:paraId="54B9EC9F" w14:textId="5616B52B" w:rsidR="00605D96" w:rsidRPr="00995C95" w:rsidRDefault="00444B1D" w:rsidP="008B207B">
            <w:pPr>
              <w:rPr>
                <w:spacing w:val="-4"/>
                <w:lang w:eastAsia="en-US"/>
              </w:rPr>
            </w:pPr>
            <w:r w:rsidRPr="00995C95">
              <w:rPr>
                <w:spacing w:val="-4"/>
                <w:lang w:eastAsia="en-US"/>
              </w:rPr>
              <w:t>Imports of goods amounted to 4,576.7 bn CZK in 2025 and increased by 134.0 bn CZK (3.0%). Nominal growth strengthened compared to 2024, although price developments were downward</w:t>
            </w:r>
            <w:r w:rsidRPr="00995C95">
              <w:rPr>
                <w:rStyle w:val="Znakapoznpodarou"/>
                <w:spacing w:val="-4"/>
                <w:lang w:eastAsia="en-US"/>
              </w:rPr>
              <w:footnoteReference w:id="5"/>
            </w:r>
            <w:r w:rsidRPr="00995C95">
              <w:rPr>
                <w:spacing w:val="-4"/>
                <w:lang w:eastAsia="en-US"/>
              </w:rPr>
              <w:t xml:space="preserve">. The year-on-year dynamics were strongest at the beginning of the year and gradually weakened also in the case of imports. The value of imports decreased by 10.8 bn </w:t>
            </w:r>
            <w:r w:rsidRPr="00995C95">
              <w:rPr>
                <w:spacing w:val="-4"/>
                <w:lang w:eastAsia="en-US"/>
              </w:rPr>
              <w:lastRenderedPageBreak/>
              <w:t>CZK (−0.9%) to 1,138.7 bn CZK in Q4. On a quarter-on-quarter basis, imports increased by 1.3% in Q4.</w:t>
            </w:r>
          </w:p>
        </w:tc>
      </w:tr>
      <w:tr w:rsidR="00605D96" w:rsidRPr="00995C95" w14:paraId="1A52275D" w14:textId="77777777" w:rsidTr="008B207B">
        <w:trPr>
          <w:trHeight w:val="145"/>
        </w:trPr>
        <w:tc>
          <w:tcPr>
            <w:tcW w:w="1748" w:type="dxa"/>
          </w:tcPr>
          <w:p w14:paraId="494F089B" w14:textId="4C38B939" w:rsidR="00605D96" w:rsidRPr="00995C95" w:rsidRDefault="0098378C" w:rsidP="008B207B">
            <w:pPr>
              <w:pStyle w:val="Marginlie"/>
              <w:rPr>
                <w:lang w:eastAsia="en-US"/>
              </w:rPr>
            </w:pPr>
            <w:r w:rsidRPr="00995C95">
              <w:rPr>
                <w:lang w:eastAsia="en-US"/>
              </w:rPr>
              <w:lastRenderedPageBreak/>
              <w:t>Imports from both the EU and non-EU countries grew.</w:t>
            </w:r>
          </w:p>
        </w:tc>
        <w:tc>
          <w:tcPr>
            <w:tcW w:w="252" w:type="dxa"/>
          </w:tcPr>
          <w:p w14:paraId="7809F21B" w14:textId="77777777" w:rsidR="00605D96" w:rsidRPr="00995C95" w:rsidRDefault="00605D96" w:rsidP="008B207B">
            <w:pPr>
              <w:pStyle w:val="Textpoznpodarou"/>
              <w:jc w:val="both"/>
              <w:rPr>
                <w:spacing w:val="-4"/>
                <w:lang w:eastAsia="en-US"/>
              </w:rPr>
            </w:pPr>
          </w:p>
        </w:tc>
        <w:tc>
          <w:tcPr>
            <w:tcW w:w="7677" w:type="dxa"/>
            <w:gridSpan w:val="3"/>
          </w:tcPr>
          <w:p w14:paraId="3099E0CF" w14:textId="3C0EB3B7" w:rsidR="00605D96" w:rsidRPr="00995C95" w:rsidRDefault="00297ECA" w:rsidP="00297ECA">
            <w:pPr>
              <w:spacing w:after="180"/>
              <w:rPr>
                <w:spacing w:val="-4"/>
                <w:lang w:eastAsia="en-US"/>
              </w:rPr>
            </w:pPr>
            <w:r w:rsidRPr="00995C95">
              <w:rPr>
                <w:spacing w:val="-4"/>
                <w:lang w:eastAsia="en-US"/>
              </w:rPr>
              <w:t>Imports from EU countries increased by 62.6 b</w:t>
            </w:r>
            <w:r w:rsidR="005C4E8C" w:rsidRPr="00995C95">
              <w:rPr>
                <w:spacing w:val="-4"/>
                <w:lang w:eastAsia="en-US"/>
              </w:rPr>
              <w:t>n CZK</w:t>
            </w:r>
            <w:r w:rsidRPr="00995C95">
              <w:rPr>
                <w:spacing w:val="-4"/>
                <w:lang w:eastAsia="en-US"/>
              </w:rPr>
              <w:t xml:space="preserve"> (2.3%) last year. In the case of imports outside the EU, the increase was relatively stronger (+48.5 b</w:t>
            </w:r>
            <w:r w:rsidR="000352CE" w:rsidRPr="00995C95">
              <w:rPr>
                <w:spacing w:val="-4"/>
                <w:lang w:eastAsia="en-US"/>
              </w:rPr>
              <w:t>n</w:t>
            </w:r>
            <w:r w:rsidRPr="00995C95">
              <w:rPr>
                <w:spacing w:val="-4"/>
                <w:lang w:eastAsia="en-US"/>
              </w:rPr>
              <w:t>, 3.0%). The largest increase was recorded in imports from Norway</w:t>
            </w:r>
            <w:r w:rsidR="000352CE" w:rsidRPr="00995C95">
              <w:rPr>
                <w:spacing w:val="-4"/>
                <w:lang w:eastAsia="en-US"/>
              </w:rPr>
              <w:t xml:space="preserve"> last year</w:t>
            </w:r>
            <w:r w:rsidRPr="00995C95">
              <w:rPr>
                <w:spacing w:val="-4"/>
                <w:lang w:eastAsia="en-US"/>
              </w:rPr>
              <w:t xml:space="preserve"> (+24.2 b</w:t>
            </w:r>
            <w:r w:rsidR="000352CE" w:rsidRPr="00995C95">
              <w:rPr>
                <w:spacing w:val="-4"/>
                <w:lang w:eastAsia="en-US"/>
              </w:rPr>
              <w:t>n CZK</w:t>
            </w:r>
            <w:r w:rsidRPr="00995C95">
              <w:rPr>
                <w:spacing w:val="-4"/>
                <w:lang w:eastAsia="en-US"/>
              </w:rPr>
              <w:t>, 44.0%) and China (+19.6 b</w:t>
            </w:r>
            <w:r w:rsidR="00292D62" w:rsidRPr="00995C95">
              <w:rPr>
                <w:spacing w:val="-4"/>
                <w:lang w:eastAsia="en-US"/>
              </w:rPr>
              <w:t>n</w:t>
            </w:r>
            <w:r w:rsidRPr="00995C95">
              <w:rPr>
                <w:spacing w:val="-4"/>
                <w:lang w:eastAsia="en-US"/>
              </w:rPr>
              <w:t xml:space="preserve">, 3.6%). Significant increases were recorded </w:t>
            </w:r>
            <w:r w:rsidR="009C6EF9" w:rsidRPr="00995C95">
              <w:rPr>
                <w:spacing w:val="-4"/>
                <w:lang w:eastAsia="en-US"/>
              </w:rPr>
              <w:t xml:space="preserve">for </w:t>
            </w:r>
            <w:r w:rsidRPr="00995C95">
              <w:rPr>
                <w:spacing w:val="-4"/>
                <w:lang w:eastAsia="en-US"/>
              </w:rPr>
              <w:t>imports from Germany (+11.4 b</w:t>
            </w:r>
            <w:r w:rsidR="009C6EF9" w:rsidRPr="00995C95">
              <w:rPr>
                <w:spacing w:val="-4"/>
                <w:lang w:eastAsia="en-US"/>
              </w:rPr>
              <w:t>n CZK</w:t>
            </w:r>
            <w:r w:rsidRPr="00995C95">
              <w:rPr>
                <w:spacing w:val="-4"/>
                <w:lang w:eastAsia="en-US"/>
              </w:rPr>
              <w:t>, 1.1%), Austria (+9.1 b</w:t>
            </w:r>
            <w:r w:rsidR="009C6EF9" w:rsidRPr="00995C95">
              <w:rPr>
                <w:spacing w:val="-4"/>
                <w:lang w:eastAsia="en-US"/>
              </w:rPr>
              <w:t>n</w:t>
            </w:r>
            <w:r w:rsidRPr="00995C95">
              <w:rPr>
                <w:spacing w:val="-4"/>
                <w:lang w:eastAsia="en-US"/>
              </w:rPr>
              <w:t>, 7.5%), Turkey (+8.9 b</w:t>
            </w:r>
            <w:r w:rsidR="009C6EF9" w:rsidRPr="00995C95">
              <w:rPr>
                <w:spacing w:val="-4"/>
                <w:lang w:eastAsia="en-US"/>
              </w:rPr>
              <w:t>n</w:t>
            </w:r>
            <w:r w:rsidRPr="00995C95">
              <w:rPr>
                <w:spacing w:val="-4"/>
                <w:lang w:eastAsia="en-US"/>
              </w:rPr>
              <w:t>, 16.0%), Hungary (+6.1 b</w:t>
            </w:r>
            <w:r w:rsidR="009C6EF9" w:rsidRPr="00995C95">
              <w:rPr>
                <w:spacing w:val="-4"/>
                <w:lang w:eastAsia="en-US"/>
              </w:rPr>
              <w:t>n</w:t>
            </w:r>
            <w:r w:rsidRPr="00995C95">
              <w:rPr>
                <w:spacing w:val="-4"/>
                <w:lang w:eastAsia="en-US"/>
              </w:rPr>
              <w:t>, 6.1%) and Switzerland (+5.6 b</w:t>
            </w:r>
            <w:r w:rsidR="009C6EF9" w:rsidRPr="00995C95">
              <w:rPr>
                <w:spacing w:val="-4"/>
                <w:lang w:eastAsia="en-US"/>
              </w:rPr>
              <w:t>n</w:t>
            </w:r>
            <w:r w:rsidRPr="00995C95">
              <w:rPr>
                <w:spacing w:val="-4"/>
                <w:lang w:eastAsia="en-US"/>
              </w:rPr>
              <w:t>, 11.8%). Strong percentage increases were recorded for imports from Singapore (+5.1 b</w:t>
            </w:r>
            <w:r w:rsidR="009C6EF9" w:rsidRPr="00995C95">
              <w:rPr>
                <w:spacing w:val="-4"/>
                <w:lang w:eastAsia="en-US"/>
              </w:rPr>
              <w:t>n</w:t>
            </w:r>
            <w:r w:rsidRPr="00995C95">
              <w:rPr>
                <w:spacing w:val="-4"/>
                <w:lang w:eastAsia="en-US"/>
              </w:rPr>
              <w:t>, 102.2%) and the United Arab Emirates (+1.4 b</w:t>
            </w:r>
            <w:r w:rsidR="009C6EF9" w:rsidRPr="00995C95">
              <w:rPr>
                <w:spacing w:val="-4"/>
                <w:lang w:eastAsia="en-US"/>
              </w:rPr>
              <w:t>n</w:t>
            </w:r>
            <w:r w:rsidRPr="00995C95">
              <w:rPr>
                <w:spacing w:val="-4"/>
                <w:lang w:eastAsia="en-US"/>
              </w:rPr>
              <w:t xml:space="preserve">, 32.6%). Only a minority of countries recorded a decrease </w:t>
            </w:r>
            <w:r w:rsidR="00B83446" w:rsidRPr="00995C95">
              <w:rPr>
                <w:spacing w:val="-4"/>
                <w:lang w:eastAsia="en-US"/>
              </w:rPr>
              <w:t>of</w:t>
            </w:r>
            <w:r w:rsidRPr="00995C95">
              <w:rPr>
                <w:spacing w:val="-4"/>
                <w:lang w:eastAsia="en-US"/>
              </w:rPr>
              <w:t xml:space="preserve"> imports, only imports from Russia (−53.0 b</w:t>
            </w:r>
            <w:r w:rsidR="00CE10DA" w:rsidRPr="00995C95">
              <w:rPr>
                <w:spacing w:val="-4"/>
                <w:lang w:eastAsia="en-US"/>
              </w:rPr>
              <w:t>n CZK</w:t>
            </w:r>
            <w:r w:rsidRPr="00995C95">
              <w:rPr>
                <w:spacing w:val="-4"/>
                <w:lang w:eastAsia="en-US"/>
              </w:rPr>
              <w:t>, −67.5%) and Taiwan (−8.0 b</w:t>
            </w:r>
            <w:r w:rsidR="00CE10DA" w:rsidRPr="00995C95">
              <w:rPr>
                <w:spacing w:val="-4"/>
                <w:lang w:eastAsia="en-US"/>
              </w:rPr>
              <w:t>n</w:t>
            </w:r>
            <w:r w:rsidRPr="00995C95">
              <w:rPr>
                <w:spacing w:val="-4"/>
                <w:lang w:eastAsia="en-US"/>
              </w:rPr>
              <w:t xml:space="preserve">, −17.8%) </w:t>
            </w:r>
            <w:r w:rsidR="00CE10DA" w:rsidRPr="00995C95">
              <w:rPr>
                <w:spacing w:val="-4"/>
                <w:lang w:eastAsia="en-US"/>
              </w:rPr>
              <w:t>featured a</w:t>
            </w:r>
            <w:r w:rsidRPr="00995C95">
              <w:rPr>
                <w:spacing w:val="-4"/>
                <w:lang w:eastAsia="en-US"/>
              </w:rPr>
              <w:t xml:space="preserve"> significant dec</w:t>
            </w:r>
            <w:r w:rsidR="00CE10DA" w:rsidRPr="00995C95">
              <w:rPr>
                <w:spacing w:val="-4"/>
                <w:lang w:eastAsia="en-US"/>
              </w:rPr>
              <w:t>rease</w:t>
            </w:r>
            <w:r w:rsidRPr="00995C95">
              <w:rPr>
                <w:spacing w:val="-4"/>
                <w:lang w:eastAsia="en-US"/>
              </w:rPr>
              <w:t>. Non-EU countries (−8.6 b</w:t>
            </w:r>
            <w:r w:rsidR="00CE10DA" w:rsidRPr="00995C95">
              <w:rPr>
                <w:spacing w:val="-4"/>
                <w:lang w:eastAsia="en-US"/>
              </w:rPr>
              <w:t>n</w:t>
            </w:r>
            <w:r w:rsidRPr="00995C95">
              <w:rPr>
                <w:spacing w:val="-4"/>
                <w:lang w:eastAsia="en-US"/>
              </w:rPr>
              <w:t xml:space="preserve">, −2.0%) accounted for a greater share of the </w:t>
            </w:r>
            <w:r w:rsidR="00CE10DA" w:rsidRPr="00995C95">
              <w:rPr>
                <w:spacing w:val="-4"/>
                <w:lang w:eastAsia="en-US"/>
              </w:rPr>
              <w:t xml:space="preserve">total reduction of </w:t>
            </w:r>
            <w:r w:rsidRPr="00995C95">
              <w:rPr>
                <w:spacing w:val="-4"/>
                <w:lang w:eastAsia="en-US"/>
              </w:rPr>
              <w:t xml:space="preserve">imports in Q4 </w:t>
            </w:r>
            <w:r w:rsidR="00CE10DA" w:rsidRPr="00995C95">
              <w:rPr>
                <w:spacing w:val="-4"/>
                <w:lang w:eastAsia="en-US"/>
              </w:rPr>
              <w:t xml:space="preserve">compared to </w:t>
            </w:r>
            <w:r w:rsidRPr="00995C95">
              <w:rPr>
                <w:spacing w:val="-4"/>
                <w:lang w:eastAsia="en-US"/>
              </w:rPr>
              <w:t>imports from the EU (−5.7 b</w:t>
            </w:r>
            <w:r w:rsidR="00CE10DA" w:rsidRPr="00995C95">
              <w:rPr>
                <w:spacing w:val="-4"/>
                <w:lang w:eastAsia="en-US"/>
              </w:rPr>
              <w:t>n CZK</w:t>
            </w:r>
            <w:r w:rsidRPr="00995C95">
              <w:rPr>
                <w:spacing w:val="-4"/>
                <w:lang w:eastAsia="en-US"/>
              </w:rPr>
              <w:t xml:space="preserve">, −0.8%). The year-on-year decline </w:t>
            </w:r>
            <w:r w:rsidR="00CE10DA" w:rsidRPr="00995C95">
              <w:rPr>
                <w:spacing w:val="-4"/>
                <w:lang w:eastAsia="en-US"/>
              </w:rPr>
              <w:t>of</w:t>
            </w:r>
            <w:r w:rsidRPr="00995C95">
              <w:rPr>
                <w:spacing w:val="-4"/>
                <w:lang w:eastAsia="en-US"/>
              </w:rPr>
              <w:t xml:space="preserve"> imports was mainly due to developments in Russia and China (see Table 4), and significant decreases were also recorded </w:t>
            </w:r>
            <w:r w:rsidR="00CE10DA" w:rsidRPr="00995C95">
              <w:rPr>
                <w:spacing w:val="-4"/>
                <w:lang w:eastAsia="en-US"/>
              </w:rPr>
              <w:t xml:space="preserve">for </w:t>
            </w:r>
            <w:r w:rsidRPr="00995C95">
              <w:rPr>
                <w:spacing w:val="-4"/>
                <w:lang w:eastAsia="en-US"/>
              </w:rPr>
              <w:t xml:space="preserve">imports from Slovakia, Poland and Germany. On the </w:t>
            </w:r>
            <w:r w:rsidR="00137BBA" w:rsidRPr="00995C95">
              <w:rPr>
                <w:spacing w:val="-4"/>
                <w:lang w:eastAsia="en-US"/>
              </w:rPr>
              <w:t>contrary</w:t>
            </w:r>
            <w:r w:rsidRPr="00995C95">
              <w:rPr>
                <w:spacing w:val="-4"/>
                <w:lang w:eastAsia="en-US"/>
              </w:rPr>
              <w:t>, imports from Norway, Hungary and Taiwan grew</w:t>
            </w:r>
            <w:r w:rsidR="00137BBA" w:rsidRPr="00995C95">
              <w:rPr>
                <w:spacing w:val="-4"/>
                <w:lang w:eastAsia="en-US"/>
              </w:rPr>
              <w:t>.</w:t>
            </w:r>
          </w:p>
        </w:tc>
      </w:tr>
      <w:tr w:rsidR="00605D96" w:rsidRPr="00995C95" w14:paraId="5C8CF342" w14:textId="77777777" w:rsidTr="008B207B">
        <w:trPr>
          <w:trHeight w:val="145"/>
        </w:trPr>
        <w:tc>
          <w:tcPr>
            <w:tcW w:w="1748" w:type="dxa"/>
          </w:tcPr>
          <w:p w14:paraId="5CBCDD2C" w14:textId="677F3FC1" w:rsidR="00605D96" w:rsidRPr="00995C95" w:rsidRDefault="009E5127" w:rsidP="009E5127">
            <w:pPr>
              <w:pStyle w:val="Marginlie"/>
              <w:rPr>
                <w:lang w:eastAsia="en-US"/>
              </w:rPr>
            </w:pPr>
            <w:r w:rsidRPr="00995C95">
              <w:rPr>
                <w:lang w:eastAsia="en-US"/>
              </w:rPr>
              <w:t>Imports of metal</w:t>
            </w:r>
            <w:r w:rsidR="00B83446" w:rsidRPr="00995C95">
              <w:rPr>
                <w:lang w:eastAsia="en-US"/>
              </w:rPr>
              <w:t>working</w:t>
            </w:r>
            <w:r w:rsidRPr="00995C95">
              <w:rPr>
                <w:lang w:eastAsia="en-US"/>
              </w:rPr>
              <w:t xml:space="preserve"> products grew significantly last year.</w:t>
            </w:r>
          </w:p>
        </w:tc>
        <w:tc>
          <w:tcPr>
            <w:tcW w:w="252" w:type="dxa"/>
          </w:tcPr>
          <w:p w14:paraId="547DB846" w14:textId="77777777" w:rsidR="00605D96" w:rsidRPr="00995C95" w:rsidRDefault="00605D96" w:rsidP="008B207B">
            <w:pPr>
              <w:pStyle w:val="Textpoznpodarou"/>
              <w:jc w:val="both"/>
              <w:rPr>
                <w:spacing w:val="-4"/>
                <w:lang w:eastAsia="en-US"/>
              </w:rPr>
            </w:pPr>
          </w:p>
        </w:tc>
        <w:tc>
          <w:tcPr>
            <w:tcW w:w="7677" w:type="dxa"/>
            <w:gridSpan w:val="3"/>
          </w:tcPr>
          <w:p w14:paraId="761346B8" w14:textId="49903395" w:rsidR="00605D96" w:rsidRPr="00995C95" w:rsidRDefault="00CC64C1" w:rsidP="00137BBA">
            <w:pPr>
              <w:spacing w:after="180"/>
              <w:rPr>
                <w:spacing w:val="-4"/>
                <w:lang w:eastAsia="en-US"/>
              </w:rPr>
            </w:pPr>
            <w:r w:rsidRPr="00995C95">
              <w:rPr>
                <w:spacing w:val="-4"/>
                <w:szCs w:val="20"/>
                <w:lang w:eastAsia="en-US"/>
              </w:rPr>
              <w:t>Last year, imports of metal products</w:t>
            </w:r>
            <w:r w:rsidR="006C398B" w:rsidRPr="00995C95">
              <w:rPr>
                <w:rStyle w:val="Znakapoznpodarou"/>
                <w:spacing w:val="-4"/>
                <w:szCs w:val="20"/>
                <w:lang w:eastAsia="en-US"/>
              </w:rPr>
              <w:footnoteReference w:id="6"/>
            </w:r>
            <w:r w:rsidRPr="00995C95">
              <w:rPr>
                <w:spacing w:val="-4"/>
                <w:szCs w:val="20"/>
                <w:lang w:eastAsia="en-US"/>
              </w:rPr>
              <w:t xml:space="preserve"> (+40.1 b</w:t>
            </w:r>
            <w:r w:rsidR="006C398B" w:rsidRPr="00995C95">
              <w:rPr>
                <w:spacing w:val="-4"/>
                <w:szCs w:val="20"/>
                <w:lang w:eastAsia="en-US"/>
              </w:rPr>
              <w:t>n CZK</w:t>
            </w:r>
            <w:r w:rsidRPr="00995C95">
              <w:rPr>
                <w:spacing w:val="-4"/>
                <w:szCs w:val="20"/>
                <w:lang w:eastAsia="en-US"/>
              </w:rPr>
              <w:t>, 18.4%) and electrical equipment</w:t>
            </w:r>
            <w:r w:rsidR="004111A5" w:rsidRPr="00995C95">
              <w:rPr>
                <w:rStyle w:val="Znakapoznpodarou"/>
                <w:spacing w:val="-4"/>
                <w:lang w:eastAsia="en-US"/>
              </w:rPr>
              <w:footnoteReference w:id="7"/>
            </w:r>
            <w:r w:rsidRPr="00995C95">
              <w:rPr>
                <w:spacing w:val="-4"/>
                <w:szCs w:val="20"/>
                <w:lang w:eastAsia="en-US"/>
              </w:rPr>
              <w:t xml:space="preserve"> (+31.4 b</w:t>
            </w:r>
            <w:r w:rsidR="006C398B" w:rsidRPr="00995C95">
              <w:rPr>
                <w:spacing w:val="-4"/>
                <w:szCs w:val="20"/>
                <w:lang w:eastAsia="en-US"/>
              </w:rPr>
              <w:t>n</w:t>
            </w:r>
            <w:r w:rsidRPr="00995C95">
              <w:rPr>
                <w:spacing w:val="-4"/>
                <w:szCs w:val="20"/>
                <w:lang w:eastAsia="en-US"/>
              </w:rPr>
              <w:t>, 7.2%)</w:t>
            </w:r>
            <w:r w:rsidR="004111A5" w:rsidRPr="00995C95">
              <w:rPr>
                <w:spacing w:val="-4"/>
                <w:szCs w:val="20"/>
                <w:lang w:eastAsia="en-US"/>
              </w:rPr>
              <w:t xml:space="preserve"> increased the most</w:t>
            </w:r>
            <w:r w:rsidRPr="00995C95">
              <w:rPr>
                <w:spacing w:val="-4"/>
                <w:szCs w:val="20"/>
                <w:lang w:eastAsia="en-US"/>
              </w:rPr>
              <w:t xml:space="preserve">. A significant increase was also recorded </w:t>
            </w:r>
            <w:r w:rsidR="004111A5" w:rsidRPr="00995C95">
              <w:rPr>
                <w:spacing w:val="-4"/>
                <w:szCs w:val="20"/>
                <w:lang w:eastAsia="en-US"/>
              </w:rPr>
              <w:t xml:space="preserve">for </w:t>
            </w:r>
            <w:r w:rsidRPr="00995C95">
              <w:rPr>
                <w:spacing w:val="-4"/>
                <w:szCs w:val="20"/>
                <w:lang w:eastAsia="en-US"/>
              </w:rPr>
              <w:t>imports of motor vehicles (+16.7 b</w:t>
            </w:r>
            <w:r w:rsidR="004111A5" w:rsidRPr="00995C95">
              <w:rPr>
                <w:spacing w:val="-4"/>
                <w:szCs w:val="20"/>
                <w:lang w:eastAsia="en-US"/>
              </w:rPr>
              <w:t>n CZK</w:t>
            </w:r>
            <w:r w:rsidRPr="00995C95">
              <w:rPr>
                <w:spacing w:val="-4"/>
                <w:szCs w:val="20"/>
                <w:lang w:eastAsia="en-US"/>
              </w:rPr>
              <w:t>, 2.5%), food products (+15.3 b</w:t>
            </w:r>
            <w:r w:rsidR="004111A5" w:rsidRPr="00995C95">
              <w:rPr>
                <w:spacing w:val="-4"/>
                <w:szCs w:val="20"/>
                <w:lang w:eastAsia="en-US"/>
              </w:rPr>
              <w:t>n</w:t>
            </w:r>
            <w:r w:rsidRPr="00995C95">
              <w:rPr>
                <w:spacing w:val="-4"/>
                <w:szCs w:val="20"/>
                <w:lang w:eastAsia="en-US"/>
              </w:rPr>
              <w:t>, 6.2%), electricity, gas, steam and condition</w:t>
            </w:r>
            <w:r w:rsidR="002F5C7F" w:rsidRPr="00995C95">
              <w:rPr>
                <w:spacing w:val="-4"/>
                <w:szCs w:val="20"/>
                <w:lang w:eastAsia="en-US"/>
              </w:rPr>
              <w:t xml:space="preserve">ing </w:t>
            </w:r>
            <w:r w:rsidRPr="00995C95">
              <w:rPr>
                <w:spacing w:val="-4"/>
                <w:szCs w:val="20"/>
                <w:lang w:eastAsia="en-US"/>
              </w:rPr>
              <w:t>(+10.7 b</w:t>
            </w:r>
            <w:r w:rsidR="00884EC7" w:rsidRPr="00995C95">
              <w:rPr>
                <w:spacing w:val="-4"/>
                <w:szCs w:val="20"/>
                <w:lang w:eastAsia="en-US"/>
              </w:rPr>
              <w:t>n</w:t>
            </w:r>
            <w:r w:rsidRPr="00995C95">
              <w:rPr>
                <w:spacing w:val="-4"/>
                <w:szCs w:val="20"/>
                <w:lang w:eastAsia="en-US"/>
              </w:rPr>
              <w:t>, 54.8%), other products of the manufacturing industry (+9.2 b</w:t>
            </w:r>
            <w:r w:rsidR="00884EC7" w:rsidRPr="00995C95">
              <w:rPr>
                <w:spacing w:val="-4"/>
                <w:szCs w:val="20"/>
                <w:lang w:eastAsia="en-US"/>
              </w:rPr>
              <w:t>n</w:t>
            </w:r>
            <w:r w:rsidRPr="00995C95">
              <w:rPr>
                <w:spacing w:val="-4"/>
                <w:szCs w:val="20"/>
                <w:lang w:eastAsia="en-US"/>
              </w:rPr>
              <w:t>, 9.6%) and other transport</w:t>
            </w:r>
            <w:r w:rsidR="00884EC7" w:rsidRPr="00995C95">
              <w:rPr>
                <w:spacing w:val="-4"/>
                <w:szCs w:val="20"/>
                <w:lang w:eastAsia="en-US"/>
              </w:rPr>
              <w:t xml:space="preserve"> equipment</w:t>
            </w:r>
            <w:r w:rsidRPr="00995C95">
              <w:rPr>
                <w:spacing w:val="-4"/>
                <w:szCs w:val="20"/>
                <w:lang w:eastAsia="en-US"/>
              </w:rPr>
              <w:t xml:space="preserve"> (+9.1 b</w:t>
            </w:r>
            <w:r w:rsidR="00884EC7" w:rsidRPr="00995C95">
              <w:rPr>
                <w:spacing w:val="-4"/>
                <w:szCs w:val="20"/>
                <w:lang w:eastAsia="en-US"/>
              </w:rPr>
              <w:t>n</w:t>
            </w:r>
            <w:r w:rsidRPr="00995C95">
              <w:rPr>
                <w:spacing w:val="-4"/>
                <w:szCs w:val="20"/>
                <w:lang w:eastAsia="en-US"/>
              </w:rPr>
              <w:t>, 14.5%). In particular, the value of imports of coke and refined petroleum products decreased significantly (−7.5 b</w:t>
            </w:r>
            <w:r w:rsidR="00C13B37" w:rsidRPr="00995C95">
              <w:rPr>
                <w:spacing w:val="-4"/>
                <w:szCs w:val="20"/>
                <w:lang w:eastAsia="en-US"/>
              </w:rPr>
              <w:t>n CZK</w:t>
            </w:r>
            <w:r w:rsidRPr="00995C95">
              <w:rPr>
                <w:spacing w:val="-4"/>
                <w:szCs w:val="20"/>
                <w:lang w:eastAsia="en-US"/>
              </w:rPr>
              <w:t xml:space="preserve">, −7.5%). The </w:t>
            </w:r>
            <w:r w:rsidR="00C13B37" w:rsidRPr="00995C95">
              <w:rPr>
                <w:spacing w:val="-4"/>
                <w:szCs w:val="20"/>
                <w:lang w:eastAsia="en-US"/>
              </w:rPr>
              <w:t xml:space="preserve">total </w:t>
            </w:r>
            <w:r w:rsidRPr="00995C95">
              <w:rPr>
                <w:spacing w:val="-4"/>
                <w:szCs w:val="20"/>
                <w:lang w:eastAsia="en-US"/>
              </w:rPr>
              <w:t xml:space="preserve">year-on-year decrease </w:t>
            </w:r>
            <w:r w:rsidR="00C13B37" w:rsidRPr="00995C95">
              <w:rPr>
                <w:spacing w:val="-4"/>
                <w:szCs w:val="20"/>
                <w:lang w:eastAsia="en-US"/>
              </w:rPr>
              <w:t xml:space="preserve">of </w:t>
            </w:r>
            <w:r w:rsidRPr="00995C95">
              <w:rPr>
                <w:spacing w:val="-4"/>
                <w:szCs w:val="20"/>
                <w:lang w:eastAsia="en-US"/>
              </w:rPr>
              <w:t xml:space="preserve">imports of goods in Q4 was mainly influenced by a decline </w:t>
            </w:r>
            <w:r w:rsidR="002F5C7F" w:rsidRPr="00995C95">
              <w:rPr>
                <w:spacing w:val="-4"/>
                <w:szCs w:val="20"/>
                <w:lang w:eastAsia="en-US"/>
              </w:rPr>
              <w:t>of</w:t>
            </w:r>
            <w:r w:rsidRPr="00995C95">
              <w:rPr>
                <w:spacing w:val="-4"/>
                <w:szCs w:val="20"/>
                <w:lang w:eastAsia="en-US"/>
              </w:rPr>
              <w:t xml:space="preserve"> imports of crude oil and natural gas (see Table 3). Imports of chemical</w:t>
            </w:r>
            <w:r w:rsidR="00916567" w:rsidRPr="00995C95">
              <w:rPr>
                <w:spacing w:val="-4"/>
                <w:szCs w:val="20"/>
                <w:lang w:eastAsia="en-US"/>
              </w:rPr>
              <w:t xml:space="preserve"> substances and products</w:t>
            </w:r>
            <w:r w:rsidRPr="00995C95">
              <w:rPr>
                <w:spacing w:val="-4"/>
                <w:szCs w:val="20"/>
                <w:lang w:eastAsia="en-US"/>
              </w:rPr>
              <w:t xml:space="preserve">, machinery and equipment, electrical equipment or coke, and refined petroleum products were also lower. On the </w:t>
            </w:r>
            <w:r w:rsidR="00916567" w:rsidRPr="00995C95">
              <w:rPr>
                <w:spacing w:val="-4"/>
                <w:szCs w:val="20"/>
                <w:lang w:eastAsia="en-US"/>
              </w:rPr>
              <w:t>contrary</w:t>
            </w:r>
            <w:r w:rsidRPr="00995C95">
              <w:rPr>
                <w:spacing w:val="-4"/>
                <w:szCs w:val="20"/>
                <w:lang w:eastAsia="en-US"/>
              </w:rPr>
              <w:t xml:space="preserve">, imports of other </w:t>
            </w:r>
            <w:r w:rsidR="00550D51" w:rsidRPr="00995C95">
              <w:rPr>
                <w:spacing w:val="-4"/>
                <w:szCs w:val="20"/>
                <w:lang w:eastAsia="en-US"/>
              </w:rPr>
              <w:t xml:space="preserve">transport equipment </w:t>
            </w:r>
            <w:r w:rsidRPr="00995C95">
              <w:rPr>
                <w:spacing w:val="-4"/>
                <w:szCs w:val="20"/>
                <w:lang w:eastAsia="en-US"/>
              </w:rPr>
              <w:t>or other products of the manufacturing industry increased.</w:t>
            </w:r>
            <w:r w:rsidR="004111A5" w:rsidRPr="00995C95">
              <w:rPr>
                <w:spacing w:val="-4"/>
                <w:szCs w:val="20"/>
                <w:lang w:eastAsia="en-US"/>
              </w:rPr>
              <w:t xml:space="preserve"> </w:t>
            </w:r>
          </w:p>
        </w:tc>
      </w:tr>
      <w:tr w:rsidR="00605D96" w:rsidRPr="00995C95" w14:paraId="720F81CD" w14:textId="77777777" w:rsidTr="008B207B">
        <w:trPr>
          <w:trHeight w:val="170"/>
        </w:trPr>
        <w:tc>
          <w:tcPr>
            <w:tcW w:w="4811" w:type="dxa"/>
            <w:gridSpan w:val="3"/>
            <w:hideMark/>
          </w:tcPr>
          <w:p w14:paraId="265D12E7" w14:textId="41485EFE" w:rsidR="00605D96" w:rsidRPr="00995C95" w:rsidRDefault="00605D96" w:rsidP="008B207B">
            <w:pPr>
              <w:spacing w:after="0"/>
              <w:jc w:val="left"/>
              <w:rPr>
                <w:spacing w:val="-4"/>
                <w:lang w:eastAsia="en-US"/>
              </w:rPr>
            </w:pPr>
            <w:r w:rsidRPr="00995C95">
              <w:rPr>
                <w:rFonts w:cs="Arial"/>
                <w:b/>
                <w:bCs/>
                <w:color w:val="000000"/>
                <w:sz w:val="18"/>
                <w:szCs w:val="18"/>
                <w:lang w:eastAsia="en-US"/>
              </w:rPr>
              <w:t xml:space="preserve">Tabulka č. 3 </w:t>
            </w:r>
            <w:r w:rsidR="00634573" w:rsidRPr="00995C95">
              <w:rPr>
                <w:rFonts w:cs="Arial"/>
                <w:b/>
                <w:bCs/>
                <w:color w:val="000000"/>
                <w:sz w:val="18"/>
                <w:szCs w:val="18"/>
                <w:lang w:eastAsia="en-US"/>
              </w:rPr>
              <w:t xml:space="preserve">Sections of CPA classification with highest impact on goods imports development in Q4 2025 </w:t>
            </w:r>
            <w:r w:rsidR="00634573" w:rsidRPr="00995C95">
              <w:rPr>
                <w:rFonts w:cs="Arial"/>
                <w:bCs/>
                <w:color w:val="000000"/>
                <w:sz w:val="18"/>
                <w:szCs w:val="18"/>
                <w:lang w:eastAsia="en-US"/>
              </w:rPr>
              <w:t>(year-on-year)</w:t>
            </w:r>
          </w:p>
        </w:tc>
        <w:tc>
          <w:tcPr>
            <w:tcW w:w="57" w:type="dxa"/>
          </w:tcPr>
          <w:p w14:paraId="5BAAFF48" w14:textId="77777777" w:rsidR="00605D96" w:rsidRPr="00995C95" w:rsidRDefault="00605D96" w:rsidP="008B207B">
            <w:pPr>
              <w:spacing w:after="0"/>
              <w:rPr>
                <w:spacing w:val="-4"/>
                <w:lang w:eastAsia="en-US"/>
              </w:rPr>
            </w:pPr>
          </w:p>
        </w:tc>
        <w:tc>
          <w:tcPr>
            <w:tcW w:w="4809" w:type="dxa"/>
            <w:hideMark/>
          </w:tcPr>
          <w:p w14:paraId="4A10656A" w14:textId="5A424B34"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4 </w:t>
            </w:r>
            <w:r w:rsidR="00634573" w:rsidRPr="00995C95">
              <w:rPr>
                <w:rFonts w:cs="Arial"/>
                <w:b/>
                <w:bCs/>
                <w:color w:val="000000"/>
                <w:sz w:val="18"/>
                <w:szCs w:val="18"/>
                <w:lang w:eastAsia="en-US"/>
              </w:rPr>
              <w:t xml:space="preserve">Countries with largest impact on imports of goods in Q4 2025 </w:t>
            </w:r>
            <w:r w:rsidR="00634573" w:rsidRPr="00995C95">
              <w:rPr>
                <w:rFonts w:cs="Arial"/>
                <w:bCs/>
                <w:color w:val="000000"/>
                <w:sz w:val="18"/>
                <w:szCs w:val="18"/>
                <w:lang w:eastAsia="en-US"/>
              </w:rPr>
              <w:t>(year-on-year)</w:t>
            </w:r>
          </w:p>
        </w:tc>
      </w:tr>
      <w:tr w:rsidR="00605D96" w:rsidRPr="00995C95" w14:paraId="34C52A63" w14:textId="77777777" w:rsidTr="008B207B">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605D96" w:rsidRPr="00995C95" w14:paraId="235778FD" w14:textId="77777777" w:rsidTr="008B207B">
              <w:trPr>
                <w:trHeight w:val="252"/>
              </w:trPr>
              <w:tc>
                <w:tcPr>
                  <w:tcW w:w="3417" w:type="dxa"/>
                  <w:tcBorders>
                    <w:top w:val="nil"/>
                    <w:left w:val="nil"/>
                    <w:bottom w:val="single" w:sz="4" w:space="0" w:color="auto"/>
                    <w:right w:val="nil"/>
                  </w:tcBorders>
                  <w:noWrap/>
                  <w:vAlign w:val="bottom"/>
                  <w:hideMark/>
                </w:tcPr>
                <w:p w14:paraId="57F37DB2" w14:textId="777777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 </w:t>
                  </w:r>
                </w:p>
              </w:tc>
              <w:tc>
                <w:tcPr>
                  <w:tcW w:w="700" w:type="dxa"/>
                  <w:tcBorders>
                    <w:top w:val="nil"/>
                    <w:left w:val="nil"/>
                    <w:bottom w:val="single" w:sz="4" w:space="0" w:color="auto"/>
                    <w:right w:val="nil"/>
                  </w:tcBorders>
                  <w:noWrap/>
                  <w:vAlign w:val="bottom"/>
                  <w:hideMark/>
                </w:tcPr>
                <w:p w14:paraId="332A08FB" w14:textId="4FBC42FB" w:rsidR="00605D96" w:rsidRPr="00995C95" w:rsidRDefault="00634573"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single" w:sz="4" w:space="0" w:color="auto"/>
                    <w:right w:val="nil"/>
                  </w:tcBorders>
                  <w:noWrap/>
                  <w:vAlign w:val="bottom"/>
                  <w:hideMark/>
                </w:tcPr>
                <w:p w14:paraId="6EA74D9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7264C08F" w14:textId="77777777" w:rsidTr="008B207B">
              <w:trPr>
                <w:trHeight w:val="252"/>
              </w:trPr>
              <w:tc>
                <w:tcPr>
                  <w:tcW w:w="3417" w:type="dxa"/>
                  <w:tcBorders>
                    <w:top w:val="nil"/>
                    <w:left w:val="nil"/>
                    <w:bottom w:val="nil"/>
                    <w:right w:val="nil"/>
                  </w:tcBorders>
                  <w:noWrap/>
                  <w:vAlign w:val="bottom"/>
                  <w:hideMark/>
                </w:tcPr>
                <w:p w14:paraId="6DC93622" w14:textId="64035AB9" w:rsidR="00605D96" w:rsidRPr="00995C95" w:rsidRDefault="00634573" w:rsidP="008B207B">
                  <w:pPr>
                    <w:spacing w:after="0" w:line="240" w:lineRule="auto"/>
                    <w:jc w:val="left"/>
                    <w:rPr>
                      <w:rFonts w:cs="Arial"/>
                      <w:color w:val="000000"/>
                      <w:sz w:val="16"/>
                      <w:szCs w:val="16"/>
                    </w:rPr>
                  </w:pPr>
                  <w:r w:rsidRPr="00995C95">
                    <w:rPr>
                      <w:sz w:val="16"/>
                      <w:szCs w:val="16"/>
                    </w:rPr>
                    <w:t>Other transport equipment</w:t>
                  </w:r>
                </w:p>
              </w:tc>
              <w:tc>
                <w:tcPr>
                  <w:tcW w:w="700" w:type="dxa"/>
                  <w:tcBorders>
                    <w:top w:val="nil"/>
                    <w:left w:val="nil"/>
                    <w:bottom w:val="nil"/>
                    <w:right w:val="nil"/>
                  </w:tcBorders>
                  <w:noWrap/>
                  <w:vAlign w:val="bottom"/>
                  <w:hideMark/>
                </w:tcPr>
                <w:p w14:paraId="5B2EA758" w14:textId="7F59F03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27D6B18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+24,9</w:t>
                  </w:r>
                </w:p>
              </w:tc>
            </w:tr>
            <w:tr w:rsidR="00605D96" w:rsidRPr="00995C95" w14:paraId="5C4E46A6" w14:textId="77777777" w:rsidTr="008B207B">
              <w:trPr>
                <w:trHeight w:val="252"/>
              </w:trPr>
              <w:tc>
                <w:tcPr>
                  <w:tcW w:w="3417" w:type="dxa"/>
                  <w:tcBorders>
                    <w:top w:val="nil"/>
                    <w:left w:val="nil"/>
                    <w:bottom w:val="nil"/>
                    <w:right w:val="nil"/>
                  </w:tcBorders>
                  <w:noWrap/>
                  <w:vAlign w:val="bottom"/>
                  <w:hideMark/>
                </w:tcPr>
                <w:p w14:paraId="1E3C2337" w14:textId="057E97C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8E6F8B" w:rsidRPr="00995C95">
                    <w:rPr>
                      <w:rFonts w:cs="Arial"/>
                      <w:color w:val="000000"/>
                      <w:sz w:val="16"/>
                      <w:szCs w:val="16"/>
                    </w:rPr>
                    <w:t>ther manufacturing products</w:t>
                  </w:r>
                </w:p>
              </w:tc>
              <w:tc>
                <w:tcPr>
                  <w:tcW w:w="700" w:type="dxa"/>
                  <w:tcBorders>
                    <w:top w:val="nil"/>
                    <w:left w:val="nil"/>
                    <w:bottom w:val="nil"/>
                    <w:right w:val="nil"/>
                  </w:tcBorders>
                  <w:noWrap/>
                  <w:vAlign w:val="bottom"/>
                  <w:hideMark/>
                </w:tcPr>
                <w:p w14:paraId="041FB2CD" w14:textId="075211F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4F1B105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+5,7</w:t>
                  </w:r>
                </w:p>
              </w:tc>
            </w:tr>
            <w:tr w:rsidR="00605D96" w:rsidRPr="00995C95" w14:paraId="65C220FC" w14:textId="77777777" w:rsidTr="008B207B">
              <w:trPr>
                <w:trHeight w:val="252"/>
              </w:trPr>
              <w:tc>
                <w:tcPr>
                  <w:tcW w:w="3417" w:type="dxa"/>
                  <w:tcBorders>
                    <w:top w:val="nil"/>
                    <w:left w:val="nil"/>
                    <w:bottom w:val="nil"/>
                    <w:right w:val="nil"/>
                  </w:tcBorders>
                  <w:noWrap/>
                  <w:vAlign w:val="bottom"/>
                  <w:hideMark/>
                </w:tcPr>
                <w:p w14:paraId="41F929DE" w14:textId="029BB6A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0EC80224" w14:textId="37B3A17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4</w:t>
                  </w:r>
                </w:p>
              </w:tc>
              <w:tc>
                <w:tcPr>
                  <w:tcW w:w="700" w:type="dxa"/>
                  <w:tcBorders>
                    <w:top w:val="nil"/>
                    <w:left w:val="nil"/>
                    <w:bottom w:val="nil"/>
                    <w:right w:val="nil"/>
                  </w:tcBorders>
                  <w:noWrap/>
                  <w:vAlign w:val="bottom"/>
                  <w:hideMark/>
                </w:tcPr>
                <w:p w14:paraId="2A06E66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r>
            <w:tr w:rsidR="00605D96" w:rsidRPr="00995C95" w14:paraId="64AC6CAC" w14:textId="77777777" w:rsidTr="008B207B">
              <w:trPr>
                <w:trHeight w:val="252"/>
              </w:trPr>
              <w:tc>
                <w:tcPr>
                  <w:tcW w:w="3417" w:type="dxa"/>
                  <w:tcBorders>
                    <w:top w:val="nil"/>
                    <w:left w:val="nil"/>
                    <w:bottom w:val="nil"/>
                    <w:right w:val="nil"/>
                  </w:tcBorders>
                  <w:noWrap/>
                  <w:vAlign w:val="bottom"/>
                  <w:hideMark/>
                </w:tcPr>
                <w:p w14:paraId="63785164" w14:textId="6653D4D5"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Basic pharmaceutical products</w:t>
                  </w:r>
                </w:p>
              </w:tc>
              <w:tc>
                <w:tcPr>
                  <w:tcW w:w="700" w:type="dxa"/>
                  <w:tcBorders>
                    <w:top w:val="nil"/>
                    <w:left w:val="nil"/>
                    <w:bottom w:val="nil"/>
                    <w:right w:val="nil"/>
                  </w:tcBorders>
                  <w:noWrap/>
                  <w:vAlign w:val="bottom"/>
                  <w:hideMark/>
                </w:tcPr>
                <w:p w14:paraId="19D74E1C" w14:textId="731FA76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73DC476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+3,1</w:t>
                  </w:r>
                </w:p>
              </w:tc>
            </w:tr>
            <w:tr w:rsidR="00605D96" w:rsidRPr="00995C95" w14:paraId="76E46E32" w14:textId="77777777" w:rsidTr="008B207B">
              <w:trPr>
                <w:trHeight w:val="252"/>
              </w:trPr>
              <w:tc>
                <w:tcPr>
                  <w:tcW w:w="3417" w:type="dxa"/>
                  <w:tcBorders>
                    <w:top w:val="nil"/>
                    <w:left w:val="nil"/>
                    <w:bottom w:val="nil"/>
                    <w:right w:val="nil"/>
                  </w:tcBorders>
                  <w:noWrap/>
                  <w:vAlign w:val="bottom"/>
                  <w:hideMark/>
                </w:tcPr>
                <w:p w14:paraId="45D1E11E" w14:textId="663BF82C"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1FB6258D" w14:textId="11EE31C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0</w:t>
                  </w:r>
                </w:p>
              </w:tc>
              <w:tc>
                <w:tcPr>
                  <w:tcW w:w="700" w:type="dxa"/>
                  <w:tcBorders>
                    <w:top w:val="nil"/>
                    <w:left w:val="nil"/>
                    <w:bottom w:val="nil"/>
                    <w:right w:val="nil"/>
                  </w:tcBorders>
                  <w:noWrap/>
                  <w:vAlign w:val="bottom"/>
                  <w:hideMark/>
                </w:tcPr>
                <w:p w14:paraId="29CB4A0C"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+0,6</w:t>
                  </w:r>
                </w:p>
              </w:tc>
            </w:tr>
            <w:tr w:rsidR="00605D96" w:rsidRPr="00995C95" w14:paraId="7DD6822E" w14:textId="77777777" w:rsidTr="008B207B">
              <w:trPr>
                <w:trHeight w:val="252"/>
              </w:trPr>
              <w:tc>
                <w:tcPr>
                  <w:tcW w:w="3417" w:type="dxa"/>
                  <w:tcBorders>
                    <w:top w:val="nil"/>
                    <w:left w:val="nil"/>
                    <w:bottom w:val="nil"/>
                    <w:right w:val="nil"/>
                  </w:tcBorders>
                  <w:noWrap/>
                  <w:vAlign w:val="bottom"/>
                  <w:hideMark/>
                </w:tcPr>
                <w:p w14:paraId="34646B14" w14:textId="6FACCCBD"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Wood and wood products excl. furniture</w:t>
                  </w:r>
                </w:p>
              </w:tc>
              <w:tc>
                <w:tcPr>
                  <w:tcW w:w="700" w:type="dxa"/>
                  <w:tcBorders>
                    <w:top w:val="nil"/>
                    <w:left w:val="nil"/>
                    <w:bottom w:val="nil"/>
                    <w:right w:val="nil"/>
                  </w:tcBorders>
                  <w:noWrap/>
                  <w:vAlign w:val="bottom"/>
                  <w:hideMark/>
                </w:tcPr>
                <w:p w14:paraId="0B6C9BEF" w14:textId="2FC9876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0A6E61B"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+13,7</w:t>
                  </w:r>
                </w:p>
              </w:tc>
            </w:tr>
            <w:tr w:rsidR="00605D96" w:rsidRPr="00995C95" w14:paraId="0293B8CF" w14:textId="77777777" w:rsidTr="008B207B">
              <w:trPr>
                <w:trHeight w:val="252"/>
              </w:trPr>
              <w:tc>
                <w:tcPr>
                  <w:tcW w:w="3417" w:type="dxa"/>
                  <w:tcBorders>
                    <w:top w:val="nil"/>
                    <w:left w:val="nil"/>
                    <w:bottom w:val="nil"/>
                    <w:right w:val="nil"/>
                  </w:tcBorders>
                  <w:noWrap/>
                  <w:vAlign w:val="bottom"/>
                  <w:hideMark/>
                </w:tcPr>
                <w:p w14:paraId="294D1FE4" w14:textId="05903A21" w:rsidR="00605D96" w:rsidRPr="00995C95" w:rsidRDefault="008E6F8B" w:rsidP="008B207B">
                  <w:pPr>
                    <w:spacing w:after="0" w:line="240" w:lineRule="auto"/>
                    <w:jc w:val="left"/>
                    <w:rPr>
                      <w:rFonts w:cs="Arial"/>
                      <w:color w:val="000000"/>
                      <w:sz w:val="16"/>
                      <w:szCs w:val="16"/>
                    </w:rPr>
                  </w:pPr>
                  <w:r w:rsidRPr="00995C95">
                    <w:rPr>
                      <w:sz w:val="16"/>
                      <w:szCs w:val="16"/>
                    </w:rPr>
                    <w:t>Hard coal, brown coal and lignite</w:t>
                  </w:r>
                </w:p>
              </w:tc>
              <w:tc>
                <w:tcPr>
                  <w:tcW w:w="700" w:type="dxa"/>
                  <w:tcBorders>
                    <w:top w:val="nil"/>
                    <w:left w:val="nil"/>
                    <w:bottom w:val="nil"/>
                    <w:right w:val="nil"/>
                  </w:tcBorders>
                  <w:noWrap/>
                  <w:vAlign w:val="bottom"/>
                  <w:hideMark/>
                </w:tcPr>
                <w:p w14:paraId="0ECD2700" w14:textId="0FD3965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6F5DF52D"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−28,0</w:t>
                  </w:r>
                </w:p>
              </w:tc>
            </w:tr>
            <w:tr w:rsidR="00605D96" w:rsidRPr="00995C95" w14:paraId="4F5B5CF9" w14:textId="77777777" w:rsidTr="008B207B">
              <w:trPr>
                <w:trHeight w:val="252"/>
              </w:trPr>
              <w:tc>
                <w:tcPr>
                  <w:tcW w:w="3417" w:type="dxa"/>
                  <w:tcBorders>
                    <w:top w:val="nil"/>
                    <w:left w:val="nil"/>
                    <w:bottom w:val="nil"/>
                    <w:right w:val="nil"/>
                  </w:tcBorders>
                  <w:noWrap/>
                  <w:vAlign w:val="bottom"/>
                  <w:hideMark/>
                </w:tcPr>
                <w:p w14:paraId="7825A19B" w14:textId="6ED1428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Pap</w:t>
                  </w:r>
                  <w:r w:rsidR="008E6F8B" w:rsidRPr="00995C95">
                    <w:rPr>
                      <w:rFonts w:cs="Arial"/>
                      <w:color w:val="000000"/>
                      <w:sz w:val="16"/>
                      <w:szCs w:val="16"/>
                    </w:rPr>
                    <w:t>er and paper products</w:t>
                  </w:r>
                </w:p>
              </w:tc>
              <w:tc>
                <w:tcPr>
                  <w:tcW w:w="700" w:type="dxa"/>
                  <w:tcBorders>
                    <w:top w:val="nil"/>
                    <w:left w:val="nil"/>
                    <w:bottom w:val="nil"/>
                    <w:right w:val="nil"/>
                  </w:tcBorders>
                  <w:noWrap/>
                  <w:vAlign w:val="bottom"/>
                  <w:hideMark/>
                </w:tcPr>
                <w:p w14:paraId="56B5B14B" w14:textId="2D87CE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135F701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−5,1</w:t>
                  </w:r>
                </w:p>
              </w:tc>
            </w:tr>
            <w:tr w:rsidR="00605D96" w:rsidRPr="00995C95" w14:paraId="37099667" w14:textId="77777777" w:rsidTr="008B207B">
              <w:trPr>
                <w:trHeight w:val="252"/>
              </w:trPr>
              <w:tc>
                <w:tcPr>
                  <w:tcW w:w="3417" w:type="dxa"/>
                  <w:tcBorders>
                    <w:top w:val="nil"/>
                    <w:left w:val="nil"/>
                    <w:bottom w:val="nil"/>
                    <w:right w:val="nil"/>
                  </w:tcBorders>
                  <w:noWrap/>
                  <w:vAlign w:val="bottom"/>
                  <w:hideMark/>
                </w:tcPr>
                <w:p w14:paraId="7F0A8EA6" w14:textId="09E5F7EF"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Rubber and plastic products</w:t>
                  </w:r>
                </w:p>
              </w:tc>
              <w:tc>
                <w:tcPr>
                  <w:tcW w:w="700" w:type="dxa"/>
                  <w:tcBorders>
                    <w:top w:val="nil"/>
                    <w:left w:val="nil"/>
                    <w:bottom w:val="nil"/>
                    <w:right w:val="nil"/>
                  </w:tcBorders>
                  <w:noWrap/>
                  <w:vAlign w:val="bottom"/>
                  <w:hideMark/>
                </w:tcPr>
                <w:p w14:paraId="530F8079" w14:textId="5FA1D2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14C079B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p>
              </w:tc>
            </w:tr>
            <w:tr w:rsidR="00605D96" w:rsidRPr="00995C95" w14:paraId="73F10F7B" w14:textId="77777777" w:rsidTr="008B207B">
              <w:trPr>
                <w:trHeight w:val="252"/>
              </w:trPr>
              <w:tc>
                <w:tcPr>
                  <w:tcW w:w="3417" w:type="dxa"/>
                  <w:tcBorders>
                    <w:top w:val="nil"/>
                    <w:left w:val="nil"/>
                    <w:bottom w:val="nil"/>
                    <w:right w:val="nil"/>
                  </w:tcBorders>
                  <w:noWrap/>
                  <w:vAlign w:val="bottom"/>
                  <w:hideMark/>
                </w:tcPr>
                <w:p w14:paraId="05DBC71C" w14:textId="0EC4CBA2"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Leather and associated products</w:t>
                  </w:r>
                </w:p>
              </w:tc>
              <w:tc>
                <w:tcPr>
                  <w:tcW w:w="700" w:type="dxa"/>
                  <w:tcBorders>
                    <w:top w:val="nil"/>
                    <w:left w:val="nil"/>
                    <w:bottom w:val="nil"/>
                    <w:right w:val="nil"/>
                  </w:tcBorders>
                  <w:noWrap/>
                  <w:vAlign w:val="bottom"/>
                  <w:hideMark/>
                </w:tcPr>
                <w:p w14:paraId="5B7240E8" w14:textId="0A6E5C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8E6F8B" w:rsidRPr="00995C95">
                    <w:rPr>
                      <w:rFonts w:cs="Arial"/>
                      <w:color w:val="000000"/>
                      <w:sz w:val="16"/>
                      <w:szCs w:val="16"/>
                    </w:rPr>
                    <w:t>.</w:t>
                  </w:r>
                  <w:r w:rsidRPr="00995C95">
                    <w:rPr>
                      <w:rFonts w:cs="Arial"/>
                      <w:color w:val="000000"/>
                      <w:sz w:val="16"/>
                      <w:szCs w:val="16"/>
                    </w:rPr>
                    <w:t>9</w:t>
                  </w:r>
                </w:p>
              </w:tc>
              <w:tc>
                <w:tcPr>
                  <w:tcW w:w="700" w:type="dxa"/>
                  <w:tcBorders>
                    <w:top w:val="nil"/>
                    <w:left w:val="nil"/>
                    <w:bottom w:val="nil"/>
                    <w:right w:val="nil"/>
                  </w:tcBorders>
                  <w:noWrap/>
                  <w:vAlign w:val="bottom"/>
                  <w:hideMark/>
                </w:tcPr>
                <w:p w14:paraId="4930E5EA"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−11,6</w:t>
                  </w:r>
                </w:p>
              </w:tc>
            </w:tr>
            <w:tr w:rsidR="00605D96" w:rsidRPr="00995C95" w14:paraId="329C0ADE" w14:textId="77777777" w:rsidTr="008B207B">
              <w:trPr>
                <w:trHeight w:val="252"/>
              </w:trPr>
              <w:tc>
                <w:tcPr>
                  <w:tcW w:w="3417" w:type="dxa"/>
                  <w:tcBorders>
                    <w:top w:val="nil"/>
                    <w:left w:val="nil"/>
                    <w:bottom w:val="nil"/>
                    <w:right w:val="nil"/>
                  </w:tcBorders>
                  <w:noWrap/>
                  <w:vAlign w:val="bottom"/>
                  <w:hideMark/>
                </w:tcPr>
                <w:p w14:paraId="01EBDAD9" w14:textId="06D6D9A4"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Coke and refined petroleum products</w:t>
                  </w:r>
                </w:p>
              </w:tc>
              <w:tc>
                <w:tcPr>
                  <w:tcW w:w="700" w:type="dxa"/>
                  <w:tcBorders>
                    <w:top w:val="nil"/>
                    <w:left w:val="nil"/>
                    <w:bottom w:val="nil"/>
                    <w:right w:val="nil"/>
                  </w:tcBorders>
                  <w:noWrap/>
                  <w:vAlign w:val="bottom"/>
                  <w:hideMark/>
                </w:tcPr>
                <w:p w14:paraId="50375F5E" w14:textId="69CF473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5</w:t>
                  </w:r>
                </w:p>
              </w:tc>
              <w:tc>
                <w:tcPr>
                  <w:tcW w:w="700" w:type="dxa"/>
                  <w:tcBorders>
                    <w:top w:val="nil"/>
                    <w:left w:val="nil"/>
                    <w:bottom w:val="nil"/>
                    <w:right w:val="nil"/>
                  </w:tcBorders>
                  <w:noWrap/>
                  <w:vAlign w:val="bottom"/>
                  <w:hideMark/>
                </w:tcPr>
                <w:p w14:paraId="77527D4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−6,8</w:t>
                  </w:r>
                </w:p>
              </w:tc>
            </w:tr>
            <w:tr w:rsidR="00605D96" w:rsidRPr="00995C95" w14:paraId="7E4CEA18" w14:textId="77777777" w:rsidTr="008B207B">
              <w:trPr>
                <w:trHeight w:val="252"/>
              </w:trPr>
              <w:tc>
                <w:tcPr>
                  <w:tcW w:w="3417" w:type="dxa"/>
                  <w:tcBorders>
                    <w:top w:val="nil"/>
                    <w:left w:val="nil"/>
                    <w:bottom w:val="nil"/>
                    <w:right w:val="nil"/>
                  </w:tcBorders>
                  <w:noWrap/>
                  <w:vAlign w:val="bottom"/>
                  <w:hideMark/>
                </w:tcPr>
                <w:p w14:paraId="2759C1FD" w14:textId="30E7FF50"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Electrical equipment</w:t>
                  </w:r>
                </w:p>
              </w:tc>
              <w:tc>
                <w:tcPr>
                  <w:tcW w:w="700" w:type="dxa"/>
                  <w:tcBorders>
                    <w:top w:val="nil"/>
                    <w:left w:val="nil"/>
                    <w:bottom w:val="nil"/>
                    <w:right w:val="nil"/>
                  </w:tcBorders>
                  <w:noWrap/>
                  <w:vAlign w:val="bottom"/>
                  <w:hideMark/>
                </w:tcPr>
                <w:p w14:paraId="3973CA7F" w14:textId="0B51678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8</w:t>
                  </w:r>
                </w:p>
              </w:tc>
              <w:tc>
                <w:tcPr>
                  <w:tcW w:w="700" w:type="dxa"/>
                  <w:tcBorders>
                    <w:top w:val="nil"/>
                    <w:left w:val="nil"/>
                    <w:bottom w:val="nil"/>
                    <w:right w:val="nil"/>
                  </w:tcBorders>
                  <w:noWrap/>
                  <w:vAlign w:val="bottom"/>
                  <w:hideMark/>
                </w:tcPr>
                <w:p w14:paraId="2A2C3DD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p>
              </w:tc>
            </w:tr>
            <w:tr w:rsidR="00605D96" w:rsidRPr="00995C95" w14:paraId="55B37729" w14:textId="77777777" w:rsidTr="008B207B">
              <w:trPr>
                <w:trHeight w:val="252"/>
              </w:trPr>
              <w:tc>
                <w:tcPr>
                  <w:tcW w:w="3417" w:type="dxa"/>
                  <w:tcBorders>
                    <w:top w:val="nil"/>
                    <w:left w:val="nil"/>
                    <w:bottom w:val="nil"/>
                    <w:right w:val="nil"/>
                  </w:tcBorders>
                  <w:noWrap/>
                  <w:vAlign w:val="bottom"/>
                  <w:hideMark/>
                </w:tcPr>
                <w:p w14:paraId="67BD9320" w14:textId="3166EA2F"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Machinery and equipment, n.c.e.</w:t>
                  </w:r>
                </w:p>
              </w:tc>
              <w:tc>
                <w:tcPr>
                  <w:tcW w:w="700" w:type="dxa"/>
                  <w:tcBorders>
                    <w:top w:val="nil"/>
                    <w:left w:val="nil"/>
                    <w:bottom w:val="nil"/>
                    <w:right w:val="nil"/>
                  </w:tcBorders>
                  <w:noWrap/>
                  <w:vAlign w:val="bottom"/>
                  <w:hideMark/>
                </w:tcPr>
                <w:p w14:paraId="6EC22EEE" w14:textId="3E3ADE6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1</w:t>
                  </w:r>
                </w:p>
              </w:tc>
              <w:tc>
                <w:tcPr>
                  <w:tcW w:w="700" w:type="dxa"/>
                  <w:tcBorders>
                    <w:top w:val="nil"/>
                    <w:left w:val="nil"/>
                    <w:bottom w:val="nil"/>
                    <w:right w:val="nil"/>
                  </w:tcBorders>
                  <w:noWrap/>
                  <w:vAlign w:val="bottom"/>
                  <w:hideMark/>
                </w:tcPr>
                <w:p w14:paraId="2A8F476A"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r>
            <w:tr w:rsidR="00605D96" w:rsidRPr="00995C95" w14:paraId="2B44E5A8" w14:textId="77777777" w:rsidTr="008B207B">
              <w:trPr>
                <w:trHeight w:val="252"/>
              </w:trPr>
              <w:tc>
                <w:tcPr>
                  <w:tcW w:w="3417" w:type="dxa"/>
                  <w:tcBorders>
                    <w:top w:val="nil"/>
                    <w:left w:val="nil"/>
                    <w:bottom w:val="nil"/>
                    <w:right w:val="nil"/>
                  </w:tcBorders>
                  <w:noWrap/>
                  <w:vAlign w:val="bottom"/>
                  <w:hideMark/>
                </w:tcPr>
                <w:p w14:paraId="60EF4EF0" w14:textId="4E9C8871"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Chemicals and chemical products</w:t>
                  </w:r>
                </w:p>
              </w:tc>
              <w:tc>
                <w:tcPr>
                  <w:tcW w:w="700" w:type="dxa"/>
                  <w:tcBorders>
                    <w:top w:val="nil"/>
                    <w:left w:val="nil"/>
                    <w:bottom w:val="nil"/>
                    <w:right w:val="nil"/>
                  </w:tcBorders>
                  <w:noWrap/>
                  <w:vAlign w:val="bottom"/>
                  <w:hideMark/>
                </w:tcPr>
                <w:p w14:paraId="57B42E5E" w14:textId="7A99418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8E6F8B" w:rsidRPr="00995C95">
                    <w:rPr>
                      <w:rFonts w:cs="Arial"/>
                      <w:color w:val="000000"/>
                      <w:sz w:val="16"/>
                      <w:szCs w:val="16"/>
                    </w:rPr>
                    <w:t>.</w:t>
                  </w:r>
                  <w:r w:rsidRPr="00995C95">
                    <w:rPr>
                      <w:rFonts w:cs="Arial"/>
                      <w:color w:val="000000"/>
                      <w:sz w:val="16"/>
                      <w:szCs w:val="16"/>
                    </w:rPr>
                    <w:t>6</w:t>
                  </w:r>
                </w:p>
              </w:tc>
              <w:tc>
                <w:tcPr>
                  <w:tcW w:w="700" w:type="dxa"/>
                  <w:tcBorders>
                    <w:top w:val="nil"/>
                    <w:left w:val="nil"/>
                    <w:bottom w:val="nil"/>
                    <w:right w:val="nil"/>
                  </w:tcBorders>
                  <w:noWrap/>
                  <w:vAlign w:val="bottom"/>
                  <w:hideMark/>
                </w:tcPr>
                <w:p w14:paraId="3663BC8B"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−2,9</w:t>
                  </w:r>
                </w:p>
              </w:tc>
            </w:tr>
            <w:tr w:rsidR="00605D96" w:rsidRPr="00995C95" w14:paraId="14B51712" w14:textId="77777777" w:rsidTr="008B207B">
              <w:trPr>
                <w:trHeight w:val="252"/>
              </w:trPr>
              <w:tc>
                <w:tcPr>
                  <w:tcW w:w="3417" w:type="dxa"/>
                  <w:tcBorders>
                    <w:top w:val="nil"/>
                    <w:left w:val="nil"/>
                    <w:bottom w:val="nil"/>
                    <w:right w:val="nil"/>
                  </w:tcBorders>
                  <w:noWrap/>
                  <w:vAlign w:val="bottom"/>
                  <w:hideMark/>
                </w:tcPr>
                <w:p w14:paraId="0D2B2A9D" w14:textId="7E5AA276"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 xml:space="preserve">Crude oil and natural gas </w:t>
                  </w:r>
                </w:p>
              </w:tc>
              <w:tc>
                <w:tcPr>
                  <w:tcW w:w="700" w:type="dxa"/>
                  <w:tcBorders>
                    <w:top w:val="nil"/>
                    <w:left w:val="nil"/>
                    <w:bottom w:val="nil"/>
                    <w:right w:val="nil"/>
                  </w:tcBorders>
                  <w:noWrap/>
                  <w:vAlign w:val="bottom"/>
                  <w:hideMark/>
                </w:tcPr>
                <w:p w14:paraId="4C0E6E93" w14:textId="4ECC410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60B4D751" w14:textId="36B9D63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r w:rsidR="008E6F8B" w:rsidRPr="00995C95">
                    <w:rPr>
                      <w:rFonts w:cs="Arial"/>
                      <w:color w:val="000000"/>
                      <w:sz w:val="16"/>
                      <w:szCs w:val="16"/>
                    </w:rPr>
                    <w:t>.</w:t>
                  </w:r>
                  <w:r w:rsidRPr="00995C95">
                    <w:rPr>
                      <w:rFonts w:cs="Arial"/>
                      <w:color w:val="000000"/>
                      <w:sz w:val="16"/>
                      <w:szCs w:val="16"/>
                    </w:rPr>
                    <w:t>4</w:t>
                  </w:r>
                </w:p>
              </w:tc>
            </w:tr>
          </w:tbl>
          <w:p w14:paraId="0242BC73" w14:textId="77777777" w:rsidR="00605D96" w:rsidRPr="00995C95" w:rsidRDefault="00605D96" w:rsidP="008B207B">
            <w:pPr>
              <w:spacing w:after="0"/>
              <w:rPr>
                <w:spacing w:val="-4"/>
                <w:sz w:val="16"/>
                <w:szCs w:val="16"/>
                <w:lang w:eastAsia="en-US"/>
              </w:rPr>
            </w:pPr>
          </w:p>
        </w:tc>
        <w:tc>
          <w:tcPr>
            <w:tcW w:w="57" w:type="dxa"/>
          </w:tcPr>
          <w:p w14:paraId="55443003" w14:textId="77777777" w:rsidR="00605D96" w:rsidRPr="00995C95" w:rsidRDefault="00605D96" w:rsidP="008B207B">
            <w:pPr>
              <w:spacing w:after="0"/>
              <w:rPr>
                <w:spacing w:val="-4"/>
                <w:sz w:val="16"/>
                <w:szCs w:val="16"/>
                <w:lang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605D96" w:rsidRPr="00995C95" w14:paraId="2DB2A0DA" w14:textId="77777777" w:rsidTr="008B207B">
              <w:trPr>
                <w:trHeight w:val="252"/>
              </w:trPr>
              <w:tc>
                <w:tcPr>
                  <w:tcW w:w="3362" w:type="dxa"/>
                  <w:tcBorders>
                    <w:top w:val="nil"/>
                    <w:left w:val="nil"/>
                    <w:bottom w:val="single" w:sz="4" w:space="0" w:color="auto"/>
                    <w:right w:val="nil"/>
                  </w:tcBorders>
                  <w:noWrap/>
                  <w:vAlign w:val="bottom"/>
                  <w:hideMark/>
                </w:tcPr>
                <w:p w14:paraId="33F2D1B0" w14:textId="77777777" w:rsidR="00605D96" w:rsidRPr="00995C95" w:rsidRDefault="00605D96" w:rsidP="008B207B">
                  <w:pPr>
                    <w:spacing w:after="0" w:line="240" w:lineRule="auto"/>
                    <w:jc w:val="left"/>
                    <w:rPr>
                      <w:rFonts w:cs="Arial"/>
                      <w:color w:val="000000"/>
                      <w:sz w:val="22"/>
                      <w:szCs w:val="22"/>
                    </w:rPr>
                  </w:pPr>
                </w:p>
              </w:tc>
              <w:tc>
                <w:tcPr>
                  <w:tcW w:w="700" w:type="dxa"/>
                  <w:tcBorders>
                    <w:top w:val="nil"/>
                    <w:left w:val="nil"/>
                    <w:bottom w:val="single" w:sz="4" w:space="0" w:color="auto"/>
                    <w:right w:val="nil"/>
                  </w:tcBorders>
                  <w:noWrap/>
                  <w:vAlign w:val="bottom"/>
                  <w:hideMark/>
                </w:tcPr>
                <w:p w14:paraId="05631B51" w14:textId="4DF6BC24" w:rsidR="00605D96" w:rsidRPr="00995C95" w:rsidRDefault="00634573" w:rsidP="008B207B">
                  <w:pPr>
                    <w:spacing w:after="0" w:line="240" w:lineRule="auto"/>
                    <w:jc w:val="right"/>
                    <w:rPr>
                      <w:rFonts w:cs="Arial"/>
                      <w:color w:val="000000"/>
                      <w:sz w:val="16"/>
                      <w:szCs w:val="16"/>
                    </w:rPr>
                  </w:pPr>
                  <w:r w:rsidRPr="00995C95">
                    <w:rPr>
                      <w:rFonts w:cs="Arial"/>
                      <w:color w:val="000000"/>
                      <w:sz w:val="16"/>
                      <w:szCs w:val="16"/>
                    </w:rPr>
                    <w:t>bn CZK</w:t>
                  </w:r>
                </w:p>
              </w:tc>
              <w:tc>
                <w:tcPr>
                  <w:tcW w:w="700" w:type="dxa"/>
                  <w:tcBorders>
                    <w:top w:val="nil"/>
                    <w:left w:val="nil"/>
                    <w:bottom w:val="single" w:sz="4" w:space="0" w:color="auto"/>
                    <w:right w:val="nil"/>
                  </w:tcBorders>
                  <w:noWrap/>
                  <w:vAlign w:val="bottom"/>
                  <w:hideMark/>
                </w:tcPr>
                <w:p w14:paraId="461BA5C0"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w:t>
                  </w:r>
                </w:p>
              </w:tc>
            </w:tr>
            <w:tr w:rsidR="00605D96" w:rsidRPr="00995C95" w14:paraId="6BFFAA0B" w14:textId="77777777" w:rsidTr="008B207B">
              <w:trPr>
                <w:trHeight w:val="252"/>
              </w:trPr>
              <w:tc>
                <w:tcPr>
                  <w:tcW w:w="3362" w:type="dxa"/>
                  <w:tcBorders>
                    <w:top w:val="nil"/>
                    <w:left w:val="nil"/>
                    <w:bottom w:val="nil"/>
                    <w:right w:val="nil"/>
                  </w:tcBorders>
                  <w:noWrap/>
                  <w:vAlign w:val="bottom"/>
                  <w:hideMark/>
                </w:tcPr>
                <w:p w14:paraId="38D18677" w14:textId="65B65F28"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Nor</w:t>
                  </w:r>
                  <w:r w:rsidR="00634573" w:rsidRPr="00995C95">
                    <w:rPr>
                      <w:rFonts w:cs="Arial"/>
                      <w:color w:val="000000"/>
                      <w:sz w:val="16"/>
                      <w:szCs w:val="16"/>
                    </w:rPr>
                    <w:t>way</w:t>
                  </w:r>
                </w:p>
              </w:tc>
              <w:tc>
                <w:tcPr>
                  <w:tcW w:w="700" w:type="dxa"/>
                  <w:tcBorders>
                    <w:top w:val="nil"/>
                    <w:left w:val="nil"/>
                    <w:bottom w:val="nil"/>
                    <w:right w:val="nil"/>
                  </w:tcBorders>
                  <w:noWrap/>
                  <w:vAlign w:val="bottom"/>
                  <w:hideMark/>
                </w:tcPr>
                <w:p w14:paraId="592050B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+7,1</w:t>
                  </w:r>
                </w:p>
              </w:tc>
              <w:tc>
                <w:tcPr>
                  <w:tcW w:w="700" w:type="dxa"/>
                  <w:tcBorders>
                    <w:top w:val="nil"/>
                    <w:left w:val="nil"/>
                    <w:bottom w:val="nil"/>
                    <w:right w:val="nil"/>
                  </w:tcBorders>
                  <w:noWrap/>
                  <w:vAlign w:val="bottom"/>
                  <w:hideMark/>
                </w:tcPr>
                <w:p w14:paraId="47C5028D" w14:textId="2314891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+75</w:t>
                  </w:r>
                  <w:r w:rsidR="008E6F8B" w:rsidRPr="00995C95">
                    <w:rPr>
                      <w:rFonts w:cs="Arial"/>
                      <w:color w:val="000000"/>
                      <w:sz w:val="16"/>
                      <w:szCs w:val="16"/>
                    </w:rPr>
                    <w:t>.</w:t>
                  </w:r>
                  <w:r w:rsidRPr="00995C95">
                    <w:rPr>
                      <w:rFonts w:cs="Arial"/>
                      <w:color w:val="000000"/>
                      <w:sz w:val="16"/>
                      <w:szCs w:val="16"/>
                    </w:rPr>
                    <w:t>8</w:t>
                  </w:r>
                </w:p>
              </w:tc>
            </w:tr>
            <w:tr w:rsidR="00605D96" w:rsidRPr="00995C95" w14:paraId="77DB4F8E" w14:textId="77777777" w:rsidTr="008B207B">
              <w:trPr>
                <w:trHeight w:val="252"/>
              </w:trPr>
              <w:tc>
                <w:tcPr>
                  <w:tcW w:w="3362" w:type="dxa"/>
                  <w:tcBorders>
                    <w:top w:val="nil"/>
                    <w:left w:val="nil"/>
                    <w:bottom w:val="nil"/>
                    <w:right w:val="nil"/>
                  </w:tcBorders>
                  <w:noWrap/>
                  <w:vAlign w:val="bottom"/>
                  <w:hideMark/>
                </w:tcPr>
                <w:p w14:paraId="4A2B6B7F" w14:textId="7A1BC8FA"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Hungary</w:t>
                  </w:r>
                </w:p>
              </w:tc>
              <w:tc>
                <w:tcPr>
                  <w:tcW w:w="700" w:type="dxa"/>
                  <w:tcBorders>
                    <w:top w:val="nil"/>
                    <w:left w:val="nil"/>
                    <w:bottom w:val="nil"/>
                    <w:right w:val="nil"/>
                  </w:tcBorders>
                  <w:noWrap/>
                  <w:vAlign w:val="bottom"/>
                  <w:hideMark/>
                </w:tcPr>
                <w:p w14:paraId="7EC7B89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+4,5</w:t>
                  </w:r>
                </w:p>
              </w:tc>
              <w:tc>
                <w:tcPr>
                  <w:tcW w:w="700" w:type="dxa"/>
                  <w:tcBorders>
                    <w:top w:val="nil"/>
                    <w:left w:val="nil"/>
                    <w:bottom w:val="nil"/>
                    <w:right w:val="nil"/>
                  </w:tcBorders>
                  <w:noWrap/>
                  <w:vAlign w:val="bottom"/>
                  <w:hideMark/>
                </w:tcPr>
                <w:p w14:paraId="4F0116FA" w14:textId="5994C1A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7</w:t>
                  </w:r>
                </w:p>
              </w:tc>
            </w:tr>
            <w:tr w:rsidR="00605D96" w:rsidRPr="00995C95" w14:paraId="64BC71E1" w14:textId="77777777" w:rsidTr="008B207B">
              <w:trPr>
                <w:trHeight w:val="252"/>
              </w:trPr>
              <w:tc>
                <w:tcPr>
                  <w:tcW w:w="3362" w:type="dxa"/>
                  <w:tcBorders>
                    <w:top w:val="nil"/>
                    <w:left w:val="nil"/>
                    <w:bottom w:val="nil"/>
                    <w:right w:val="nil"/>
                  </w:tcBorders>
                  <w:noWrap/>
                  <w:vAlign w:val="bottom"/>
                  <w:hideMark/>
                </w:tcPr>
                <w:p w14:paraId="3387F984" w14:textId="2F68097D"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Taiwan</w:t>
                  </w:r>
                </w:p>
              </w:tc>
              <w:tc>
                <w:tcPr>
                  <w:tcW w:w="700" w:type="dxa"/>
                  <w:tcBorders>
                    <w:top w:val="nil"/>
                    <w:left w:val="nil"/>
                    <w:bottom w:val="nil"/>
                    <w:right w:val="nil"/>
                  </w:tcBorders>
                  <w:noWrap/>
                  <w:vAlign w:val="bottom"/>
                  <w:hideMark/>
                </w:tcPr>
                <w:p w14:paraId="027C0B68"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+2,5</w:t>
                  </w:r>
                </w:p>
              </w:tc>
              <w:tc>
                <w:tcPr>
                  <w:tcW w:w="700" w:type="dxa"/>
                  <w:tcBorders>
                    <w:top w:val="nil"/>
                    <w:left w:val="nil"/>
                    <w:bottom w:val="nil"/>
                    <w:right w:val="nil"/>
                  </w:tcBorders>
                  <w:noWrap/>
                  <w:vAlign w:val="bottom"/>
                  <w:hideMark/>
                </w:tcPr>
                <w:p w14:paraId="6BCE4F13" w14:textId="1B65A94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+27</w:t>
                  </w:r>
                  <w:r w:rsidR="008E6F8B" w:rsidRPr="00995C95">
                    <w:rPr>
                      <w:rFonts w:cs="Arial"/>
                      <w:color w:val="000000"/>
                      <w:sz w:val="16"/>
                      <w:szCs w:val="16"/>
                    </w:rPr>
                    <w:t>.</w:t>
                  </w:r>
                  <w:r w:rsidRPr="00995C95">
                    <w:rPr>
                      <w:rFonts w:cs="Arial"/>
                      <w:color w:val="000000"/>
                      <w:sz w:val="16"/>
                      <w:szCs w:val="16"/>
                    </w:rPr>
                    <w:t>9</w:t>
                  </w:r>
                </w:p>
              </w:tc>
            </w:tr>
            <w:tr w:rsidR="00605D96" w:rsidRPr="00995C95" w14:paraId="381F48EB" w14:textId="77777777" w:rsidTr="008B207B">
              <w:trPr>
                <w:trHeight w:val="252"/>
              </w:trPr>
              <w:tc>
                <w:tcPr>
                  <w:tcW w:w="3362" w:type="dxa"/>
                  <w:tcBorders>
                    <w:top w:val="nil"/>
                    <w:left w:val="nil"/>
                    <w:bottom w:val="nil"/>
                    <w:right w:val="nil"/>
                  </w:tcBorders>
                  <w:noWrap/>
                  <w:vAlign w:val="bottom"/>
                  <w:hideMark/>
                </w:tcPr>
                <w:p w14:paraId="2C69BDC0" w14:textId="1E31F006"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Austria</w:t>
                  </w:r>
                </w:p>
              </w:tc>
              <w:tc>
                <w:tcPr>
                  <w:tcW w:w="700" w:type="dxa"/>
                  <w:tcBorders>
                    <w:top w:val="nil"/>
                    <w:left w:val="nil"/>
                    <w:bottom w:val="nil"/>
                    <w:right w:val="nil"/>
                  </w:tcBorders>
                  <w:noWrap/>
                  <w:vAlign w:val="bottom"/>
                  <w:hideMark/>
                </w:tcPr>
                <w:p w14:paraId="6FA12FA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p>
              </w:tc>
              <w:tc>
                <w:tcPr>
                  <w:tcW w:w="700" w:type="dxa"/>
                  <w:tcBorders>
                    <w:top w:val="nil"/>
                    <w:left w:val="nil"/>
                    <w:bottom w:val="nil"/>
                    <w:right w:val="nil"/>
                  </w:tcBorders>
                  <w:noWrap/>
                  <w:vAlign w:val="bottom"/>
                  <w:hideMark/>
                </w:tcPr>
                <w:p w14:paraId="15AD6599" w14:textId="05C996B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8E6F8B" w:rsidRPr="00995C95">
                    <w:rPr>
                      <w:rFonts w:cs="Arial"/>
                      <w:color w:val="000000"/>
                      <w:sz w:val="16"/>
                      <w:szCs w:val="16"/>
                    </w:rPr>
                    <w:t>.</w:t>
                  </w:r>
                  <w:r w:rsidRPr="00995C95">
                    <w:rPr>
                      <w:rFonts w:cs="Arial"/>
                      <w:color w:val="000000"/>
                      <w:sz w:val="16"/>
                      <w:szCs w:val="16"/>
                    </w:rPr>
                    <w:t>6</w:t>
                  </w:r>
                </w:p>
              </w:tc>
            </w:tr>
            <w:tr w:rsidR="00605D96" w:rsidRPr="00995C95" w14:paraId="14A3B314" w14:textId="77777777" w:rsidTr="008B207B">
              <w:trPr>
                <w:trHeight w:val="252"/>
              </w:trPr>
              <w:tc>
                <w:tcPr>
                  <w:tcW w:w="3362" w:type="dxa"/>
                  <w:tcBorders>
                    <w:top w:val="nil"/>
                    <w:left w:val="nil"/>
                    <w:bottom w:val="nil"/>
                    <w:right w:val="nil"/>
                  </w:tcBorders>
                  <w:noWrap/>
                  <w:vAlign w:val="bottom"/>
                  <w:hideMark/>
                </w:tcPr>
                <w:p w14:paraId="233D2AE7" w14:textId="275BD83C"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Singa</w:t>
                  </w:r>
                  <w:r w:rsidR="00634573" w:rsidRPr="00995C95">
                    <w:rPr>
                      <w:rFonts w:cs="Arial"/>
                      <w:color w:val="000000"/>
                      <w:sz w:val="16"/>
                      <w:szCs w:val="16"/>
                    </w:rPr>
                    <w:t>pore</w:t>
                  </w:r>
                </w:p>
              </w:tc>
              <w:tc>
                <w:tcPr>
                  <w:tcW w:w="700" w:type="dxa"/>
                  <w:tcBorders>
                    <w:top w:val="nil"/>
                    <w:left w:val="nil"/>
                    <w:bottom w:val="nil"/>
                    <w:right w:val="nil"/>
                  </w:tcBorders>
                  <w:noWrap/>
                  <w:vAlign w:val="bottom"/>
                  <w:hideMark/>
                </w:tcPr>
                <w:p w14:paraId="7CA396FD"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+1,9</w:t>
                  </w:r>
                </w:p>
              </w:tc>
              <w:tc>
                <w:tcPr>
                  <w:tcW w:w="700" w:type="dxa"/>
                  <w:tcBorders>
                    <w:top w:val="nil"/>
                    <w:left w:val="nil"/>
                    <w:bottom w:val="nil"/>
                    <w:right w:val="nil"/>
                  </w:tcBorders>
                  <w:noWrap/>
                  <w:vAlign w:val="bottom"/>
                  <w:hideMark/>
                </w:tcPr>
                <w:p w14:paraId="2AE45528" w14:textId="3615F52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+145</w:t>
                  </w:r>
                  <w:r w:rsidR="008E6F8B" w:rsidRPr="00995C95">
                    <w:rPr>
                      <w:rFonts w:cs="Arial"/>
                      <w:color w:val="000000"/>
                      <w:sz w:val="16"/>
                      <w:szCs w:val="16"/>
                    </w:rPr>
                    <w:t>.</w:t>
                  </w:r>
                  <w:r w:rsidRPr="00995C95">
                    <w:rPr>
                      <w:rFonts w:cs="Arial"/>
                      <w:color w:val="000000"/>
                      <w:sz w:val="16"/>
                      <w:szCs w:val="16"/>
                    </w:rPr>
                    <w:t>7</w:t>
                  </w:r>
                </w:p>
              </w:tc>
            </w:tr>
            <w:tr w:rsidR="00605D96" w:rsidRPr="00995C95" w14:paraId="702D3342" w14:textId="77777777" w:rsidTr="008B207B">
              <w:trPr>
                <w:trHeight w:val="252"/>
              </w:trPr>
              <w:tc>
                <w:tcPr>
                  <w:tcW w:w="3362" w:type="dxa"/>
                  <w:tcBorders>
                    <w:top w:val="nil"/>
                    <w:left w:val="nil"/>
                    <w:bottom w:val="nil"/>
                    <w:right w:val="nil"/>
                  </w:tcBorders>
                  <w:noWrap/>
                  <w:vAlign w:val="bottom"/>
                  <w:hideMark/>
                </w:tcPr>
                <w:p w14:paraId="6719CE0B" w14:textId="607AE943" w:rsidR="00605D96" w:rsidRPr="00995C95" w:rsidRDefault="00634573" w:rsidP="008B207B">
                  <w:pPr>
                    <w:spacing w:after="0" w:line="240" w:lineRule="auto"/>
                    <w:jc w:val="left"/>
                    <w:rPr>
                      <w:rFonts w:cs="Arial"/>
                      <w:color w:val="000000"/>
                      <w:sz w:val="16"/>
                      <w:szCs w:val="16"/>
                    </w:rPr>
                  </w:pPr>
                  <w:r w:rsidRPr="00995C95">
                    <w:rPr>
                      <w:rFonts w:cs="Arial"/>
                      <w:color w:val="000000"/>
                      <w:sz w:val="16"/>
                      <w:szCs w:val="16"/>
                    </w:rPr>
                    <w:t>Switzerland</w:t>
                  </w:r>
                </w:p>
              </w:tc>
              <w:tc>
                <w:tcPr>
                  <w:tcW w:w="700" w:type="dxa"/>
                  <w:tcBorders>
                    <w:top w:val="nil"/>
                    <w:left w:val="nil"/>
                    <w:bottom w:val="nil"/>
                    <w:right w:val="nil"/>
                  </w:tcBorders>
                  <w:noWrap/>
                  <w:vAlign w:val="bottom"/>
                  <w:hideMark/>
                </w:tcPr>
                <w:p w14:paraId="64027CA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+1,7</w:t>
                  </w:r>
                </w:p>
              </w:tc>
              <w:tc>
                <w:tcPr>
                  <w:tcW w:w="700" w:type="dxa"/>
                  <w:tcBorders>
                    <w:top w:val="nil"/>
                    <w:left w:val="nil"/>
                    <w:bottom w:val="nil"/>
                    <w:right w:val="nil"/>
                  </w:tcBorders>
                  <w:noWrap/>
                  <w:vAlign w:val="bottom"/>
                  <w:hideMark/>
                </w:tcPr>
                <w:p w14:paraId="4E74C16C" w14:textId="45BD43E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r w:rsidR="008E6F8B" w:rsidRPr="00995C95">
                    <w:rPr>
                      <w:rFonts w:cs="Arial"/>
                      <w:color w:val="000000"/>
                      <w:sz w:val="16"/>
                      <w:szCs w:val="16"/>
                    </w:rPr>
                    <w:t>.</w:t>
                  </w:r>
                  <w:r w:rsidRPr="00995C95">
                    <w:rPr>
                      <w:rFonts w:cs="Arial"/>
                      <w:color w:val="000000"/>
                      <w:sz w:val="16"/>
                      <w:szCs w:val="16"/>
                    </w:rPr>
                    <w:t>3</w:t>
                  </w:r>
                </w:p>
              </w:tc>
            </w:tr>
            <w:tr w:rsidR="00605D96" w:rsidRPr="00995C95" w14:paraId="5E82EDEF" w14:textId="77777777" w:rsidTr="008B207B">
              <w:trPr>
                <w:trHeight w:val="252"/>
              </w:trPr>
              <w:tc>
                <w:tcPr>
                  <w:tcW w:w="3362" w:type="dxa"/>
                  <w:tcBorders>
                    <w:top w:val="nil"/>
                    <w:left w:val="nil"/>
                    <w:bottom w:val="nil"/>
                    <w:right w:val="nil"/>
                  </w:tcBorders>
                  <w:noWrap/>
                  <w:vAlign w:val="bottom"/>
                  <w:hideMark/>
                </w:tcPr>
                <w:p w14:paraId="111461D1" w14:textId="05869D6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Jap</w:t>
                  </w:r>
                  <w:r w:rsidR="00634573" w:rsidRPr="00995C95">
                    <w:rPr>
                      <w:rFonts w:cs="Arial"/>
                      <w:color w:val="000000"/>
                      <w:sz w:val="16"/>
                      <w:szCs w:val="16"/>
                    </w:rPr>
                    <w:t>an</w:t>
                  </w:r>
                </w:p>
              </w:tc>
              <w:tc>
                <w:tcPr>
                  <w:tcW w:w="700" w:type="dxa"/>
                  <w:tcBorders>
                    <w:top w:val="nil"/>
                    <w:left w:val="nil"/>
                    <w:bottom w:val="nil"/>
                    <w:right w:val="nil"/>
                  </w:tcBorders>
                  <w:noWrap/>
                  <w:vAlign w:val="bottom"/>
                  <w:hideMark/>
                </w:tcPr>
                <w:p w14:paraId="55F945B3"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p>
              </w:tc>
              <w:tc>
                <w:tcPr>
                  <w:tcW w:w="700" w:type="dxa"/>
                  <w:tcBorders>
                    <w:top w:val="nil"/>
                    <w:left w:val="nil"/>
                    <w:bottom w:val="nil"/>
                    <w:right w:val="nil"/>
                  </w:tcBorders>
                  <w:noWrap/>
                  <w:vAlign w:val="bottom"/>
                  <w:hideMark/>
                </w:tcPr>
                <w:p w14:paraId="56F3B566" w14:textId="0C460E5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8E6F8B" w:rsidRPr="00995C95">
                    <w:rPr>
                      <w:rFonts w:cs="Arial"/>
                      <w:color w:val="000000"/>
                      <w:sz w:val="16"/>
                      <w:szCs w:val="16"/>
                    </w:rPr>
                    <w:t>.</w:t>
                  </w:r>
                  <w:r w:rsidRPr="00995C95">
                    <w:rPr>
                      <w:rFonts w:cs="Arial"/>
                      <w:color w:val="000000"/>
                      <w:sz w:val="16"/>
                      <w:szCs w:val="16"/>
                    </w:rPr>
                    <w:t>0</w:t>
                  </w:r>
                </w:p>
              </w:tc>
            </w:tr>
            <w:tr w:rsidR="00605D96" w:rsidRPr="00995C95" w14:paraId="52323B19" w14:textId="77777777" w:rsidTr="008B207B">
              <w:trPr>
                <w:trHeight w:val="252"/>
              </w:trPr>
              <w:tc>
                <w:tcPr>
                  <w:tcW w:w="3362" w:type="dxa"/>
                  <w:tcBorders>
                    <w:top w:val="nil"/>
                    <w:left w:val="nil"/>
                    <w:bottom w:val="nil"/>
                    <w:right w:val="nil"/>
                  </w:tcBorders>
                  <w:noWrap/>
                  <w:vAlign w:val="bottom"/>
                  <w:hideMark/>
                </w:tcPr>
                <w:p w14:paraId="5FEEC888" w14:textId="26080AD0"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Ka</w:t>
                  </w:r>
                  <w:r w:rsidR="00634573" w:rsidRPr="00995C95">
                    <w:rPr>
                      <w:rFonts w:cs="Arial"/>
                      <w:color w:val="000000"/>
                      <w:sz w:val="16"/>
                      <w:szCs w:val="16"/>
                    </w:rPr>
                    <w:t>zakhstan</w:t>
                  </w:r>
                </w:p>
              </w:tc>
              <w:tc>
                <w:tcPr>
                  <w:tcW w:w="700" w:type="dxa"/>
                  <w:tcBorders>
                    <w:top w:val="nil"/>
                    <w:left w:val="nil"/>
                    <w:bottom w:val="nil"/>
                    <w:right w:val="nil"/>
                  </w:tcBorders>
                  <w:noWrap/>
                  <w:vAlign w:val="bottom"/>
                  <w:hideMark/>
                </w:tcPr>
                <w:p w14:paraId="668FFA05"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+1,5</w:t>
                  </w:r>
                </w:p>
              </w:tc>
              <w:tc>
                <w:tcPr>
                  <w:tcW w:w="700" w:type="dxa"/>
                  <w:tcBorders>
                    <w:top w:val="nil"/>
                    <w:left w:val="nil"/>
                    <w:bottom w:val="nil"/>
                    <w:right w:val="nil"/>
                  </w:tcBorders>
                  <w:noWrap/>
                  <w:vAlign w:val="bottom"/>
                  <w:hideMark/>
                </w:tcPr>
                <w:p w14:paraId="3C77923E" w14:textId="2347809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+33</w:t>
                  </w:r>
                  <w:r w:rsidR="008E6F8B" w:rsidRPr="00995C95">
                    <w:rPr>
                      <w:rFonts w:cs="Arial"/>
                      <w:color w:val="000000"/>
                      <w:sz w:val="16"/>
                      <w:szCs w:val="16"/>
                    </w:rPr>
                    <w:t>.</w:t>
                  </w:r>
                  <w:r w:rsidRPr="00995C95">
                    <w:rPr>
                      <w:rFonts w:cs="Arial"/>
                      <w:color w:val="000000"/>
                      <w:sz w:val="16"/>
                      <w:szCs w:val="16"/>
                    </w:rPr>
                    <w:t>0</w:t>
                  </w:r>
                </w:p>
              </w:tc>
            </w:tr>
            <w:tr w:rsidR="00605D96" w:rsidRPr="00995C95" w14:paraId="04E5783A" w14:textId="77777777" w:rsidTr="008B207B">
              <w:trPr>
                <w:trHeight w:val="252"/>
              </w:trPr>
              <w:tc>
                <w:tcPr>
                  <w:tcW w:w="3362" w:type="dxa"/>
                  <w:tcBorders>
                    <w:top w:val="nil"/>
                    <w:left w:val="nil"/>
                    <w:bottom w:val="nil"/>
                    <w:right w:val="nil"/>
                  </w:tcBorders>
                  <w:noWrap/>
                  <w:vAlign w:val="bottom"/>
                  <w:hideMark/>
                </w:tcPr>
                <w:p w14:paraId="6C122178" w14:textId="404E3CD9"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Indi</w:t>
                  </w:r>
                  <w:r w:rsidR="00634573" w:rsidRPr="00995C95">
                    <w:rPr>
                      <w:rFonts w:cs="Arial"/>
                      <w:color w:val="000000"/>
                      <w:sz w:val="16"/>
                      <w:szCs w:val="16"/>
                    </w:rPr>
                    <w:t>a</w:t>
                  </w:r>
                </w:p>
              </w:tc>
              <w:tc>
                <w:tcPr>
                  <w:tcW w:w="700" w:type="dxa"/>
                  <w:tcBorders>
                    <w:top w:val="nil"/>
                    <w:left w:val="nil"/>
                    <w:bottom w:val="nil"/>
                    <w:right w:val="nil"/>
                  </w:tcBorders>
                  <w:noWrap/>
                  <w:vAlign w:val="bottom"/>
                  <w:hideMark/>
                </w:tcPr>
                <w:p w14:paraId="0E9AEE4F"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−1,6</w:t>
                  </w:r>
                </w:p>
              </w:tc>
              <w:tc>
                <w:tcPr>
                  <w:tcW w:w="700" w:type="dxa"/>
                  <w:tcBorders>
                    <w:top w:val="nil"/>
                    <w:left w:val="nil"/>
                    <w:bottom w:val="nil"/>
                    <w:right w:val="nil"/>
                  </w:tcBorders>
                  <w:noWrap/>
                  <w:vAlign w:val="bottom"/>
                  <w:hideMark/>
                </w:tcPr>
                <w:p w14:paraId="68B50DF6" w14:textId="28DB3C5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−17</w:t>
                  </w:r>
                  <w:r w:rsidR="008E6F8B" w:rsidRPr="00995C95">
                    <w:rPr>
                      <w:rFonts w:cs="Arial"/>
                      <w:color w:val="000000"/>
                      <w:sz w:val="16"/>
                      <w:szCs w:val="16"/>
                    </w:rPr>
                    <w:t>.</w:t>
                  </w:r>
                  <w:r w:rsidRPr="00995C95">
                    <w:rPr>
                      <w:rFonts w:cs="Arial"/>
                      <w:color w:val="000000"/>
                      <w:sz w:val="16"/>
                      <w:szCs w:val="16"/>
                    </w:rPr>
                    <w:t>1</w:t>
                  </w:r>
                </w:p>
              </w:tc>
            </w:tr>
            <w:tr w:rsidR="00605D96" w:rsidRPr="00995C95" w14:paraId="4E244173" w14:textId="77777777" w:rsidTr="008B207B">
              <w:trPr>
                <w:trHeight w:val="252"/>
              </w:trPr>
              <w:tc>
                <w:tcPr>
                  <w:tcW w:w="3362" w:type="dxa"/>
                  <w:tcBorders>
                    <w:top w:val="nil"/>
                    <w:left w:val="nil"/>
                    <w:bottom w:val="nil"/>
                    <w:right w:val="nil"/>
                  </w:tcBorders>
                  <w:noWrap/>
                  <w:vAlign w:val="bottom"/>
                  <w:hideMark/>
                </w:tcPr>
                <w:p w14:paraId="72420516" w14:textId="1E694752"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Azerbaijan</w:t>
                  </w:r>
                </w:p>
              </w:tc>
              <w:tc>
                <w:tcPr>
                  <w:tcW w:w="700" w:type="dxa"/>
                  <w:tcBorders>
                    <w:top w:val="nil"/>
                    <w:left w:val="nil"/>
                    <w:bottom w:val="nil"/>
                    <w:right w:val="nil"/>
                  </w:tcBorders>
                  <w:noWrap/>
                  <w:vAlign w:val="bottom"/>
                  <w:hideMark/>
                </w:tcPr>
                <w:p w14:paraId="69CA09C9"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p>
              </w:tc>
              <w:tc>
                <w:tcPr>
                  <w:tcW w:w="700" w:type="dxa"/>
                  <w:tcBorders>
                    <w:top w:val="nil"/>
                    <w:left w:val="nil"/>
                    <w:bottom w:val="nil"/>
                    <w:right w:val="nil"/>
                  </w:tcBorders>
                  <w:noWrap/>
                  <w:vAlign w:val="bottom"/>
                  <w:hideMark/>
                </w:tcPr>
                <w:p w14:paraId="06E65A56" w14:textId="7DD6836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−18</w:t>
                  </w:r>
                  <w:r w:rsidR="008E6F8B" w:rsidRPr="00995C95">
                    <w:rPr>
                      <w:rFonts w:cs="Arial"/>
                      <w:color w:val="000000"/>
                      <w:sz w:val="16"/>
                      <w:szCs w:val="16"/>
                    </w:rPr>
                    <w:t>.</w:t>
                  </w:r>
                  <w:r w:rsidRPr="00995C95">
                    <w:rPr>
                      <w:rFonts w:cs="Arial"/>
                      <w:color w:val="000000"/>
                      <w:sz w:val="16"/>
                      <w:szCs w:val="16"/>
                    </w:rPr>
                    <w:t>6</w:t>
                  </w:r>
                </w:p>
              </w:tc>
            </w:tr>
            <w:tr w:rsidR="00605D96" w:rsidRPr="00995C95" w14:paraId="35441A20" w14:textId="77777777" w:rsidTr="008B207B">
              <w:trPr>
                <w:trHeight w:val="252"/>
              </w:trPr>
              <w:tc>
                <w:tcPr>
                  <w:tcW w:w="3362" w:type="dxa"/>
                  <w:tcBorders>
                    <w:top w:val="nil"/>
                    <w:left w:val="nil"/>
                    <w:bottom w:val="nil"/>
                    <w:right w:val="nil"/>
                  </w:tcBorders>
                  <w:noWrap/>
                  <w:vAlign w:val="bottom"/>
                  <w:hideMark/>
                </w:tcPr>
                <w:p w14:paraId="5FEFB90F" w14:textId="7488816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Germany</w:t>
                  </w:r>
                </w:p>
              </w:tc>
              <w:tc>
                <w:tcPr>
                  <w:tcW w:w="700" w:type="dxa"/>
                  <w:tcBorders>
                    <w:top w:val="nil"/>
                    <w:left w:val="nil"/>
                    <w:bottom w:val="nil"/>
                    <w:right w:val="nil"/>
                  </w:tcBorders>
                  <w:noWrap/>
                  <w:vAlign w:val="bottom"/>
                  <w:hideMark/>
                </w:tcPr>
                <w:p w14:paraId="0A9B5DF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−3,0</w:t>
                  </w:r>
                </w:p>
              </w:tc>
              <w:tc>
                <w:tcPr>
                  <w:tcW w:w="700" w:type="dxa"/>
                  <w:tcBorders>
                    <w:top w:val="nil"/>
                    <w:left w:val="nil"/>
                    <w:bottom w:val="nil"/>
                    <w:right w:val="nil"/>
                  </w:tcBorders>
                  <w:noWrap/>
                  <w:vAlign w:val="bottom"/>
                  <w:hideMark/>
                </w:tcPr>
                <w:p w14:paraId="05700388" w14:textId="0904EA0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8E6F8B" w:rsidRPr="00995C95">
                    <w:rPr>
                      <w:rFonts w:cs="Arial"/>
                      <w:color w:val="000000"/>
                      <w:sz w:val="16"/>
                      <w:szCs w:val="16"/>
                    </w:rPr>
                    <w:t>.</w:t>
                  </w:r>
                  <w:r w:rsidRPr="00995C95">
                    <w:rPr>
                      <w:rFonts w:cs="Arial"/>
                      <w:color w:val="000000"/>
                      <w:sz w:val="16"/>
                      <w:szCs w:val="16"/>
                    </w:rPr>
                    <w:t>2</w:t>
                  </w:r>
                </w:p>
              </w:tc>
            </w:tr>
            <w:tr w:rsidR="00605D96" w:rsidRPr="00995C95" w14:paraId="04FCADC2" w14:textId="77777777" w:rsidTr="008B207B">
              <w:trPr>
                <w:trHeight w:val="252"/>
              </w:trPr>
              <w:tc>
                <w:tcPr>
                  <w:tcW w:w="3362" w:type="dxa"/>
                  <w:tcBorders>
                    <w:top w:val="nil"/>
                    <w:left w:val="nil"/>
                    <w:bottom w:val="nil"/>
                    <w:right w:val="nil"/>
                  </w:tcBorders>
                  <w:noWrap/>
                  <w:vAlign w:val="bottom"/>
                  <w:hideMark/>
                </w:tcPr>
                <w:p w14:paraId="10AB0D6D" w14:textId="436100F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Pol</w:t>
                  </w:r>
                  <w:r w:rsidR="008E6F8B" w:rsidRPr="00995C95">
                    <w:rPr>
                      <w:rFonts w:cs="Arial"/>
                      <w:color w:val="000000"/>
                      <w:sz w:val="16"/>
                      <w:szCs w:val="16"/>
                    </w:rPr>
                    <w:t>and</w:t>
                  </w:r>
                </w:p>
              </w:tc>
              <w:tc>
                <w:tcPr>
                  <w:tcW w:w="700" w:type="dxa"/>
                  <w:tcBorders>
                    <w:top w:val="nil"/>
                    <w:left w:val="nil"/>
                    <w:bottom w:val="nil"/>
                    <w:right w:val="nil"/>
                  </w:tcBorders>
                  <w:noWrap/>
                  <w:vAlign w:val="bottom"/>
                  <w:hideMark/>
                </w:tcPr>
                <w:p w14:paraId="0D2ED33C"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−4,1</w:t>
                  </w:r>
                </w:p>
              </w:tc>
              <w:tc>
                <w:tcPr>
                  <w:tcW w:w="700" w:type="dxa"/>
                  <w:tcBorders>
                    <w:top w:val="nil"/>
                    <w:left w:val="nil"/>
                    <w:bottom w:val="nil"/>
                    <w:right w:val="nil"/>
                  </w:tcBorders>
                  <w:noWrap/>
                  <w:vAlign w:val="bottom"/>
                  <w:hideMark/>
                </w:tcPr>
                <w:p w14:paraId="586A66F5" w14:textId="631C529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8E6F8B" w:rsidRPr="00995C95">
                    <w:rPr>
                      <w:rFonts w:cs="Arial"/>
                      <w:color w:val="000000"/>
                      <w:sz w:val="16"/>
                      <w:szCs w:val="16"/>
                    </w:rPr>
                    <w:t>.</w:t>
                  </w:r>
                  <w:r w:rsidRPr="00995C95">
                    <w:rPr>
                      <w:rFonts w:cs="Arial"/>
                      <w:color w:val="000000"/>
                      <w:sz w:val="16"/>
                      <w:szCs w:val="16"/>
                    </w:rPr>
                    <w:t>8</w:t>
                  </w:r>
                </w:p>
              </w:tc>
            </w:tr>
            <w:tr w:rsidR="00605D96" w:rsidRPr="00995C95" w14:paraId="04824F7A" w14:textId="77777777" w:rsidTr="008B207B">
              <w:trPr>
                <w:trHeight w:val="252"/>
              </w:trPr>
              <w:tc>
                <w:tcPr>
                  <w:tcW w:w="3362" w:type="dxa"/>
                  <w:tcBorders>
                    <w:top w:val="nil"/>
                    <w:left w:val="nil"/>
                    <w:bottom w:val="nil"/>
                    <w:right w:val="nil"/>
                  </w:tcBorders>
                  <w:noWrap/>
                  <w:vAlign w:val="bottom"/>
                  <w:hideMark/>
                </w:tcPr>
                <w:p w14:paraId="6CA29C67" w14:textId="43E324EF"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8E6F8B" w:rsidRPr="00995C95">
                    <w:rPr>
                      <w:rFonts w:cs="Arial"/>
                      <w:color w:val="000000"/>
                      <w:sz w:val="16"/>
                      <w:szCs w:val="16"/>
                    </w:rPr>
                    <w:t>akia</w:t>
                  </w:r>
                </w:p>
              </w:tc>
              <w:tc>
                <w:tcPr>
                  <w:tcW w:w="700" w:type="dxa"/>
                  <w:tcBorders>
                    <w:top w:val="nil"/>
                    <w:left w:val="nil"/>
                    <w:bottom w:val="nil"/>
                    <w:right w:val="nil"/>
                  </w:tcBorders>
                  <w:noWrap/>
                  <w:vAlign w:val="bottom"/>
                  <w:hideMark/>
                </w:tcPr>
                <w:p w14:paraId="35570CB6"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−5,2</w:t>
                  </w:r>
                </w:p>
              </w:tc>
              <w:tc>
                <w:tcPr>
                  <w:tcW w:w="700" w:type="dxa"/>
                  <w:tcBorders>
                    <w:top w:val="nil"/>
                    <w:left w:val="nil"/>
                    <w:bottom w:val="nil"/>
                    <w:right w:val="nil"/>
                  </w:tcBorders>
                  <w:noWrap/>
                  <w:vAlign w:val="bottom"/>
                  <w:hideMark/>
                </w:tcPr>
                <w:p w14:paraId="678F6E2B" w14:textId="0EC57A7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w:t>
                  </w:r>
                  <w:r w:rsidR="008E6F8B" w:rsidRPr="00995C95">
                    <w:rPr>
                      <w:rFonts w:cs="Arial"/>
                      <w:color w:val="000000"/>
                      <w:sz w:val="16"/>
                      <w:szCs w:val="16"/>
                    </w:rPr>
                    <w:t>.</w:t>
                  </w:r>
                  <w:r w:rsidRPr="00995C95">
                    <w:rPr>
                      <w:rFonts w:cs="Arial"/>
                      <w:color w:val="000000"/>
                      <w:sz w:val="16"/>
                      <w:szCs w:val="16"/>
                    </w:rPr>
                    <w:t>8</w:t>
                  </w:r>
                </w:p>
              </w:tc>
            </w:tr>
            <w:tr w:rsidR="00605D96" w:rsidRPr="00995C95" w14:paraId="083F8C0A" w14:textId="77777777" w:rsidTr="008B207B">
              <w:trPr>
                <w:trHeight w:val="252"/>
              </w:trPr>
              <w:tc>
                <w:tcPr>
                  <w:tcW w:w="3362" w:type="dxa"/>
                  <w:tcBorders>
                    <w:top w:val="nil"/>
                    <w:left w:val="nil"/>
                    <w:bottom w:val="nil"/>
                    <w:right w:val="nil"/>
                  </w:tcBorders>
                  <w:noWrap/>
                  <w:vAlign w:val="bottom"/>
                  <w:hideMark/>
                </w:tcPr>
                <w:p w14:paraId="162FA55C" w14:textId="5CFB1CB8" w:rsidR="00605D96" w:rsidRPr="00995C95" w:rsidRDefault="008E6F8B" w:rsidP="008B207B">
                  <w:pPr>
                    <w:spacing w:after="0" w:line="240" w:lineRule="auto"/>
                    <w:jc w:val="left"/>
                    <w:rPr>
                      <w:rFonts w:cs="Arial"/>
                      <w:color w:val="000000"/>
                      <w:sz w:val="16"/>
                      <w:szCs w:val="16"/>
                    </w:rPr>
                  </w:pPr>
                  <w:r w:rsidRPr="00995C95">
                    <w:rPr>
                      <w:rFonts w:cs="Arial"/>
                      <w:color w:val="000000"/>
                      <w:sz w:val="16"/>
                      <w:szCs w:val="16"/>
                    </w:rPr>
                    <w:t>China</w:t>
                  </w:r>
                </w:p>
              </w:tc>
              <w:tc>
                <w:tcPr>
                  <w:tcW w:w="700" w:type="dxa"/>
                  <w:tcBorders>
                    <w:top w:val="nil"/>
                    <w:left w:val="nil"/>
                    <w:bottom w:val="nil"/>
                    <w:right w:val="nil"/>
                  </w:tcBorders>
                  <w:noWrap/>
                  <w:vAlign w:val="bottom"/>
                  <w:hideMark/>
                </w:tcPr>
                <w:p w14:paraId="3CE76A14" w14:textId="7777777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−7,7</w:t>
                  </w:r>
                </w:p>
              </w:tc>
              <w:tc>
                <w:tcPr>
                  <w:tcW w:w="700" w:type="dxa"/>
                  <w:tcBorders>
                    <w:top w:val="nil"/>
                    <w:left w:val="nil"/>
                    <w:bottom w:val="nil"/>
                    <w:right w:val="nil"/>
                  </w:tcBorders>
                  <w:noWrap/>
                  <w:vAlign w:val="bottom"/>
                  <w:hideMark/>
                </w:tcPr>
                <w:p w14:paraId="14DD48D3" w14:textId="47A824BC"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8E6F8B" w:rsidRPr="00995C95">
                    <w:rPr>
                      <w:rFonts w:cs="Arial"/>
                      <w:color w:val="000000"/>
                      <w:sz w:val="16"/>
                      <w:szCs w:val="16"/>
                    </w:rPr>
                    <w:t>.</w:t>
                  </w:r>
                  <w:r w:rsidRPr="00995C95">
                    <w:rPr>
                      <w:rFonts w:cs="Arial"/>
                      <w:color w:val="000000"/>
                      <w:sz w:val="16"/>
                      <w:szCs w:val="16"/>
                    </w:rPr>
                    <w:t>1</w:t>
                  </w:r>
                </w:p>
              </w:tc>
            </w:tr>
            <w:tr w:rsidR="00605D96" w:rsidRPr="00995C95" w14:paraId="03135BD5" w14:textId="77777777" w:rsidTr="008B207B">
              <w:trPr>
                <w:trHeight w:val="252"/>
              </w:trPr>
              <w:tc>
                <w:tcPr>
                  <w:tcW w:w="3362" w:type="dxa"/>
                  <w:tcBorders>
                    <w:top w:val="nil"/>
                    <w:left w:val="nil"/>
                    <w:bottom w:val="nil"/>
                    <w:right w:val="nil"/>
                  </w:tcBorders>
                  <w:noWrap/>
                  <w:vAlign w:val="bottom"/>
                  <w:hideMark/>
                </w:tcPr>
                <w:p w14:paraId="08EC16C1" w14:textId="2112DC29"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R</w:t>
                  </w:r>
                  <w:r w:rsidR="008E6F8B" w:rsidRPr="00995C95">
                    <w:rPr>
                      <w:rFonts w:cs="Arial"/>
                      <w:color w:val="000000"/>
                      <w:sz w:val="16"/>
                      <w:szCs w:val="16"/>
                    </w:rPr>
                    <w:t>ussia</w:t>
                  </w:r>
                </w:p>
              </w:tc>
              <w:tc>
                <w:tcPr>
                  <w:tcW w:w="700" w:type="dxa"/>
                  <w:tcBorders>
                    <w:top w:val="nil"/>
                    <w:left w:val="nil"/>
                    <w:bottom w:val="nil"/>
                    <w:right w:val="nil"/>
                  </w:tcBorders>
                  <w:noWrap/>
                  <w:vAlign w:val="bottom"/>
                  <w:hideMark/>
                </w:tcPr>
                <w:p w14:paraId="6431A9A7" w14:textId="7BA1EA94"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r w:rsidR="008E6F8B" w:rsidRPr="00995C95">
                    <w:rPr>
                      <w:rFonts w:cs="Arial"/>
                      <w:color w:val="000000"/>
                      <w:sz w:val="16"/>
                      <w:szCs w:val="16"/>
                    </w:rPr>
                    <w:t>.</w:t>
                  </w:r>
                  <w:r w:rsidRPr="00995C95">
                    <w:rPr>
                      <w:rFonts w:cs="Arial"/>
                      <w:color w:val="000000"/>
                      <w:sz w:val="16"/>
                      <w:szCs w:val="16"/>
                    </w:rPr>
                    <w:t>7</w:t>
                  </w:r>
                </w:p>
              </w:tc>
              <w:tc>
                <w:tcPr>
                  <w:tcW w:w="700" w:type="dxa"/>
                  <w:tcBorders>
                    <w:top w:val="nil"/>
                    <w:left w:val="nil"/>
                    <w:bottom w:val="nil"/>
                    <w:right w:val="nil"/>
                  </w:tcBorders>
                  <w:noWrap/>
                  <w:vAlign w:val="bottom"/>
                  <w:hideMark/>
                </w:tcPr>
                <w:p w14:paraId="604646B4" w14:textId="5F4E088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−78</w:t>
                  </w:r>
                  <w:r w:rsidR="008E6F8B" w:rsidRPr="00995C95">
                    <w:rPr>
                      <w:rFonts w:cs="Arial"/>
                      <w:color w:val="000000"/>
                      <w:sz w:val="16"/>
                      <w:szCs w:val="16"/>
                    </w:rPr>
                    <w:t>.</w:t>
                  </w:r>
                  <w:r w:rsidRPr="00995C95">
                    <w:rPr>
                      <w:rFonts w:cs="Arial"/>
                      <w:color w:val="000000"/>
                      <w:sz w:val="16"/>
                      <w:szCs w:val="16"/>
                    </w:rPr>
                    <w:t>0</w:t>
                  </w:r>
                </w:p>
              </w:tc>
            </w:tr>
          </w:tbl>
          <w:p w14:paraId="18B6B833" w14:textId="77777777" w:rsidR="00605D96" w:rsidRPr="00995C95" w:rsidRDefault="00605D96" w:rsidP="008B207B">
            <w:pPr>
              <w:spacing w:after="0"/>
              <w:rPr>
                <w:spacing w:val="-4"/>
                <w:sz w:val="16"/>
                <w:szCs w:val="16"/>
                <w:lang w:eastAsia="en-US"/>
              </w:rPr>
            </w:pPr>
          </w:p>
        </w:tc>
      </w:tr>
      <w:tr w:rsidR="00605D96" w:rsidRPr="00995C95" w14:paraId="27A5FC17" w14:textId="77777777" w:rsidTr="008B207B">
        <w:trPr>
          <w:trHeight w:val="170"/>
        </w:trPr>
        <w:tc>
          <w:tcPr>
            <w:tcW w:w="4811" w:type="dxa"/>
            <w:gridSpan w:val="3"/>
            <w:hideMark/>
          </w:tcPr>
          <w:p w14:paraId="0AF7E8BE" w14:textId="5734CB22" w:rsidR="00605D96" w:rsidRPr="00995C95" w:rsidRDefault="00550D51"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63A86D28" w14:textId="77777777" w:rsidR="00605D96" w:rsidRPr="00995C95" w:rsidRDefault="00605D96" w:rsidP="008B207B">
            <w:pPr>
              <w:spacing w:after="0"/>
              <w:rPr>
                <w:spacing w:val="-4"/>
                <w:lang w:eastAsia="en-US"/>
              </w:rPr>
            </w:pPr>
          </w:p>
        </w:tc>
        <w:tc>
          <w:tcPr>
            <w:tcW w:w="4809" w:type="dxa"/>
            <w:hideMark/>
          </w:tcPr>
          <w:p w14:paraId="4F7070D8" w14:textId="3B9BB662" w:rsidR="00605D96" w:rsidRPr="00995C95" w:rsidRDefault="00550D51"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2E7CD99C" w14:textId="77777777" w:rsidTr="008B207B">
        <w:trPr>
          <w:trHeight w:val="145"/>
        </w:trPr>
        <w:tc>
          <w:tcPr>
            <w:tcW w:w="1748" w:type="dxa"/>
            <w:hideMark/>
          </w:tcPr>
          <w:p w14:paraId="25C4CE3B" w14:textId="0220899B" w:rsidR="00605D96" w:rsidRPr="00995C95" w:rsidRDefault="004834E5" w:rsidP="004834E5">
            <w:pPr>
              <w:pStyle w:val="Marginlie"/>
              <w:rPr>
                <w:lang w:eastAsia="en-US"/>
              </w:rPr>
            </w:pPr>
            <w:r w:rsidRPr="00995C95">
              <w:rPr>
                <w:lang w:eastAsia="en-US"/>
              </w:rPr>
              <w:t>The surplus</w:t>
            </w:r>
            <w:r w:rsidR="00927E8F" w:rsidRPr="00995C95">
              <w:rPr>
                <w:lang w:eastAsia="en-US"/>
              </w:rPr>
              <w:t xml:space="preserve"> of the international t</w:t>
            </w:r>
            <w:r w:rsidRPr="00995C95">
              <w:rPr>
                <w:lang w:eastAsia="en-US"/>
              </w:rPr>
              <w:t xml:space="preserve">rade </w:t>
            </w:r>
            <w:r w:rsidR="00927E8F" w:rsidRPr="00995C95">
              <w:rPr>
                <w:lang w:eastAsia="en-US"/>
              </w:rPr>
              <w:t xml:space="preserve">with </w:t>
            </w:r>
            <w:r w:rsidRPr="00995C95">
              <w:rPr>
                <w:lang w:eastAsia="en-US"/>
              </w:rPr>
              <w:lastRenderedPageBreak/>
              <w:t>goods remained significant last year.</w:t>
            </w:r>
            <w:r w:rsidR="00864382" w:rsidRPr="00995C95">
              <w:rPr>
                <w:lang w:eastAsia="en-US"/>
              </w:rPr>
              <w:t xml:space="preserve"> </w:t>
            </w:r>
          </w:p>
        </w:tc>
        <w:tc>
          <w:tcPr>
            <w:tcW w:w="252" w:type="dxa"/>
          </w:tcPr>
          <w:p w14:paraId="0A28790A" w14:textId="77777777" w:rsidR="00605D96" w:rsidRPr="00995C95" w:rsidRDefault="00605D96" w:rsidP="008B207B">
            <w:pPr>
              <w:pStyle w:val="Textpoznpodarou"/>
              <w:jc w:val="both"/>
              <w:rPr>
                <w:spacing w:val="-4"/>
                <w:lang w:eastAsia="en-US"/>
              </w:rPr>
            </w:pPr>
          </w:p>
        </w:tc>
        <w:tc>
          <w:tcPr>
            <w:tcW w:w="7677" w:type="dxa"/>
            <w:gridSpan w:val="3"/>
            <w:hideMark/>
          </w:tcPr>
          <w:p w14:paraId="4DB832AC" w14:textId="05DBBA37" w:rsidR="00605D96" w:rsidRPr="00995C95" w:rsidRDefault="00E61923" w:rsidP="00E61923">
            <w:pPr>
              <w:spacing w:after="180"/>
              <w:rPr>
                <w:spacing w:val="-4"/>
                <w:szCs w:val="20"/>
                <w:lang w:eastAsia="en-US"/>
              </w:rPr>
            </w:pPr>
            <w:r w:rsidRPr="00995C95">
              <w:rPr>
                <w:spacing w:val="-4"/>
                <w:szCs w:val="20"/>
                <w:lang w:eastAsia="en-US"/>
              </w:rPr>
              <w:t xml:space="preserve">The balance of </w:t>
            </w:r>
            <w:r w:rsidR="00864382" w:rsidRPr="00995C95">
              <w:rPr>
                <w:spacing w:val="-4"/>
                <w:szCs w:val="20"/>
                <w:lang w:eastAsia="en-US"/>
              </w:rPr>
              <w:t xml:space="preserve">international </w:t>
            </w:r>
            <w:r w:rsidRPr="00995C95">
              <w:rPr>
                <w:spacing w:val="-4"/>
                <w:szCs w:val="20"/>
                <w:lang w:eastAsia="en-US"/>
              </w:rPr>
              <w:t xml:space="preserve">trade </w:t>
            </w:r>
            <w:r w:rsidR="00864382" w:rsidRPr="00995C95">
              <w:rPr>
                <w:spacing w:val="-4"/>
                <w:szCs w:val="20"/>
                <w:lang w:eastAsia="en-US"/>
              </w:rPr>
              <w:t xml:space="preserve">with </w:t>
            </w:r>
            <w:r w:rsidRPr="00995C95">
              <w:rPr>
                <w:spacing w:val="-4"/>
                <w:szCs w:val="20"/>
                <w:lang w:eastAsia="en-US"/>
              </w:rPr>
              <w:t>goods reached a surplus of 212.9 b</w:t>
            </w:r>
            <w:r w:rsidR="00864382" w:rsidRPr="00995C95">
              <w:rPr>
                <w:spacing w:val="-4"/>
                <w:szCs w:val="20"/>
                <w:lang w:eastAsia="en-US"/>
              </w:rPr>
              <w:t>n CZK l</w:t>
            </w:r>
            <w:r w:rsidRPr="00995C95">
              <w:rPr>
                <w:spacing w:val="-4"/>
                <w:szCs w:val="20"/>
                <w:lang w:eastAsia="en-US"/>
              </w:rPr>
              <w:t xml:space="preserve">ast year. This </w:t>
            </w:r>
            <w:r w:rsidR="00EA4327" w:rsidRPr="00995C95">
              <w:rPr>
                <w:spacing w:val="-4"/>
                <w:szCs w:val="20"/>
                <w:lang w:eastAsia="en-US"/>
              </w:rPr>
              <w:t xml:space="preserve">represented </w:t>
            </w:r>
            <w:r w:rsidRPr="00995C95">
              <w:rPr>
                <w:spacing w:val="-4"/>
                <w:szCs w:val="20"/>
                <w:lang w:eastAsia="en-US"/>
              </w:rPr>
              <w:t xml:space="preserve">a slight decrease </w:t>
            </w:r>
            <w:r w:rsidR="00EA4327" w:rsidRPr="00995C95">
              <w:rPr>
                <w:spacing w:val="-4"/>
                <w:szCs w:val="20"/>
                <w:lang w:eastAsia="en-US"/>
              </w:rPr>
              <w:t xml:space="preserve">of </w:t>
            </w:r>
            <w:r w:rsidRPr="00995C95">
              <w:rPr>
                <w:spacing w:val="-4"/>
                <w:szCs w:val="20"/>
                <w:lang w:eastAsia="en-US"/>
              </w:rPr>
              <w:t xml:space="preserve">the positive balance compared to the previous year </w:t>
            </w:r>
            <w:r w:rsidRPr="00995C95">
              <w:rPr>
                <w:spacing w:val="-4"/>
                <w:szCs w:val="20"/>
                <w:lang w:eastAsia="en-US"/>
              </w:rPr>
              <w:lastRenderedPageBreak/>
              <w:t>(−7.6 b</w:t>
            </w:r>
            <w:r w:rsidR="00EA4327" w:rsidRPr="00995C95">
              <w:rPr>
                <w:spacing w:val="-4"/>
                <w:szCs w:val="20"/>
                <w:lang w:eastAsia="en-US"/>
              </w:rPr>
              <w:t>n CZK</w:t>
            </w:r>
            <w:r w:rsidRPr="00995C95">
              <w:rPr>
                <w:spacing w:val="-4"/>
                <w:szCs w:val="20"/>
                <w:lang w:eastAsia="en-US"/>
              </w:rPr>
              <w:t xml:space="preserve">). Most of the surplus was created in </w:t>
            </w:r>
            <w:r w:rsidR="00EA4327" w:rsidRPr="00995C95">
              <w:rPr>
                <w:spacing w:val="-4"/>
                <w:szCs w:val="20"/>
                <w:lang w:eastAsia="en-US"/>
              </w:rPr>
              <w:t xml:space="preserve">H1 </w:t>
            </w:r>
            <w:r w:rsidRPr="00995C95">
              <w:rPr>
                <w:spacing w:val="-4"/>
                <w:szCs w:val="20"/>
                <w:lang w:eastAsia="en-US"/>
              </w:rPr>
              <w:t>2025.</w:t>
            </w:r>
            <w:r w:rsidR="00EA4327" w:rsidRPr="00995C95">
              <w:rPr>
                <w:spacing w:val="-4"/>
                <w:szCs w:val="20"/>
                <w:lang w:eastAsia="en-US"/>
              </w:rPr>
              <w:t xml:space="preserve"> The international t</w:t>
            </w:r>
            <w:r w:rsidRPr="00995C95">
              <w:rPr>
                <w:spacing w:val="-4"/>
                <w:szCs w:val="20"/>
                <w:lang w:eastAsia="en-US"/>
              </w:rPr>
              <w:t xml:space="preserve">rade surplus </w:t>
            </w:r>
            <w:r w:rsidR="001777BA" w:rsidRPr="00995C95">
              <w:rPr>
                <w:spacing w:val="-4"/>
                <w:szCs w:val="20"/>
                <w:lang w:eastAsia="en-US"/>
              </w:rPr>
              <w:t xml:space="preserve">with </w:t>
            </w:r>
            <w:r w:rsidRPr="00995C95">
              <w:rPr>
                <w:spacing w:val="-4"/>
                <w:szCs w:val="20"/>
                <w:lang w:eastAsia="en-US"/>
              </w:rPr>
              <w:t>goods reached 52.4 b</w:t>
            </w:r>
            <w:r w:rsidR="001777BA" w:rsidRPr="00995C95">
              <w:rPr>
                <w:spacing w:val="-4"/>
                <w:szCs w:val="20"/>
                <w:lang w:eastAsia="en-US"/>
              </w:rPr>
              <w:t>n CZK in Q4 2025</w:t>
            </w:r>
            <w:r w:rsidRPr="00995C95">
              <w:rPr>
                <w:spacing w:val="-4"/>
                <w:szCs w:val="20"/>
                <w:lang w:eastAsia="en-US"/>
              </w:rPr>
              <w:t>. This was a year-on-year improvement of 12.5 b</w:t>
            </w:r>
            <w:r w:rsidR="001777BA" w:rsidRPr="00995C95">
              <w:rPr>
                <w:spacing w:val="-4"/>
                <w:szCs w:val="20"/>
                <w:lang w:eastAsia="en-US"/>
              </w:rPr>
              <w:t>n CZK a</w:t>
            </w:r>
            <w:r w:rsidRPr="00995C95">
              <w:rPr>
                <w:spacing w:val="-4"/>
                <w:szCs w:val="20"/>
                <w:lang w:eastAsia="en-US"/>
              </w:rPr>
              <w:t xml:space="preserve">nd at the same time the highest positive balance for this quarter of the year in the entire time series. According to seasonally adjusted data, the balance of </w:t>
            </w:r>
            <w:r w:rsidR="005A30C1" w:rsidRPr="00995C95">
              <w:rPr>
                <w:spacing w:val="-4"/>
                <w:szCs w:val="20"/>
                <w:lang w:eastAsia="en-US"/>
              </w:rPr>
              <w:t xml:space="preserve">international </w:t>
            </w:r>
            <w:r w:rsidRPr="00995C95">
              <w:rPr>
                <w:spacing w:val="-4"/>
                <w:szCs w:val="20"/>
                <w:lang w:eastAsia="en-US"/>
              </w:rPr>
              <w:t xml:space="preserve">trade </w:t>
            </w:r>
            <w:r w:rsidR="005A30C1" w:rsidRPr="00995C95">
              <w:rPr>
                <w:spacing w:val="-4"/>
                <w:szCs w:val="20"/>
                <w:lang w:eastAsia="en-US"/>
              </w:rPr>
              <w:t xml:space="preserve">with </w:t>
            </w:r>
            <w:r w:rsidRPr="00995C95">
              <w:rPr>
                <w:spacing w:val="-4"/>
                <w:szCs w:val="20"/>
                <w:lang w:eastAsia="en-US"/>
              </w:rPr>
              <w:t>goods also improved</w:t>
            </w:r>
            <w:r w:rsidR="005A30C1" w:rsidRPr="00995C95">
              <w:rPr>
                <w:spacing w:val="-4"/>
                <w:szCs w:val="20"/>
                <w:lang w:eastAsia="en-US"/>
              </w:rPr>
              <w:t>,</w:t>
            </w:r>
            <w:r w:rsidRPr="00995C95">
              <w:rPr>
                <w:spacing w:val="-4"/>
                <w:szCs w:val="20"/>
                <w:lang w:eastAsia="en-US"/>
              </w:rPr>
              <w:t xml:space="preserve"> quarter-on-quarter</w:t>
            </w:r>
            <w:r w:rsidR="005A30C1" w:rsidRPr="00995C95">
              <w:rPr>
                <w:spacing w:val="-4"/>
                <w:szCs w:val="20"/>
                <w:lang w:eastAsia="en-US"/>
              </w:rPr>
              <w:t>,</w:t>
            </w:r>
            <w:r w:rsidRPr="00995C95">
              <w:rPr>
                <w:spacing w:val="-4"/>
                <w:szCs w:val="20"/>
                <w:lang w:eastAsia="en-US"/>
              </w:rPr>
              <w:t xml:space="preserve"> in Q4.</w:t>
            </w:r>
            <w:r w:rsidR="00605D96" w:rsidRPr="00995C95">
              <w:rPr>
                <w:spacing w:val="-4"/>
                <w:szCs w:val="20"/>
                <w:lang w:eastAsia="en-US"/>
              </w:rPr>
              <w:t xml:space="preserve"> </w:t>
            </w:r>
          </w:p>
        </w:tc>
      </w:tr>
      <w:tr w:rsidR="00605D96" w:rsidRPr="00995C95" w14:paraId="4DA880BC" w14:textId="77777777" w:rsidTr="008B207B">
        <w:trPr>
          <w:trHeight w:val="145"/>
        </w:trPr>
        <w:tc>
          <w:tcPr>
            <w:tcW w:w="1748" w:type="dxa"/>
          </w:tcPr>
          <w:p w14:paraId="06B50972" w14:textId="31D1F4D2" w:rsidR="00605D96" w:rsidRPr="00995C95" w:rsidRDefault="00FC08F7" w:rsidP="00FC08F7">
            <w:pPr>
              <w:pStyle w:val="Marginlie"/>
              <w:rPr>
                <w:lang w:eastAsia="en-US"/>
              </w:rPr>
            </w:pPr>
            <w:r w:rsidRPr="00995C95">
              <w:rPr>
                <w:lang w:eastAsia="en-US"/>
              </w:rPr>
              <w:lastRenderedPageBreak/>
              <w:t>The positive balance of trade with EU countries was improving.</w:t>
            </w:r>
            <w:r w:rsidR="00864382" w:rsidRPr="00995C95">
              <w:rPr>
                <w:lang w:eastAsia="en-US"/>
              </w:rPr>
              <w:t xml:space="preserve"> </w:t>
            </w:r>
          </w:p>
        </w:tc>
        <w:tc>
          <w:tcPr>
            <w:tcW w:w="252" w:type="dxa"/>
          </w:tcPr>
          <w:p w14:paraId="6A3810BC" w14:textId="77777777" w:rsidR="00605D96" w:rsidRPr="00995C95" w:rsidRDefault="00605D96" w:rsidP="008B207B">
            <w:pPr>
              <w:pStyle w:val="Textpoznpodarou"/>
              <w:jc w:val="both"/>
              <w:rPr>
                <w:spacing w:val="-4"/>
                <w:lang w:eastAsia="en-US"/>
              </w:rPr>
            </w:pPr>
          </w:p>
        </w:tc>
        <w:tc>
          <w:tcPr>
            <w:tcW w:w="7677" w:type="dxa"/>
            <w:gridSpan w:val="3"/>
          </w:tcPr>
          <w:p w14:paraId="03E6F097" w14:textId="14E1A393" w:rsidR="00605D96" w:rsidRPr="00995C95" w:rsidRDefault="00777CAB" w:rsidP="00777CAB">
            <w:pPr>
              <w:spacing w:after="180"/>
              <w:rPr>
                <w:spacing w:val="-4"/>
                <w:szCs w:val="20"/>
                <w:lang w:eastAsia="en-US"/>
              </w:rPr>
            </w:pPr>
            <w:r w:rsidRPr="00995C95">
              <w:rPr>
                <w:spacing w:val="-4"/>
                <w:szCs w:val="20"/>
                <w:lang w:eastAsia="en-US"/>
              </w:rPr>
              <w:t xml:space="preserve">In 2025, the balance of </w:t>
            </w:r>
            <w:r w:rsidR="00475F3F" w:rsidRPr="00995C95">
              <w:rPr>
                <w:spacing w:val="-4"/>
                <w:szCs w:val="20"/>
                <w:lang w:eastAsia="en-US"/>
              </w:rPr>
              <w:t xml:space="preserve">international </w:t>
            </w:r>
            <w:r w:rsidRPr="00995C95">
              <w:rPr>
                <w:spacing w:val="-4"/>
                <w:szCs w:val="20"/>
                <w:lang w:eastAsia="en-US"/>
              </w:rPr>
              <w:t xml:space="preserve">trade </w:t>
            </w:r>
            <w:r w:rsidR="00475F3F" w:rsidRPr="00995C95">
              <w:rPr>
                <w:spacing w:val="-4"/>
                <w:szCs w:val="20"/>
                <w:lang w:eastAsia="en-US"/>
              </w:rPr>
              <w:t xml:space="preserve">with </w:t>
            </w:r>
            <w:r w:rsidRPr="00995C95">
              <w:rPr>
                <w:spacing w:val="-4"/>
                <w:szCs w:val="20"/>
                <w:lang w:eastAsia="en-US"/>
              </w:rPr>
              <w:t xml:space="preserve">goods improved </w:t>
            </w:r>
            <w:r w:rsidR="00475F3F" w:rsidRPr="00995C95">
              <w:rPr>
                <w:spacing w:val="-4"/>
                <w:szCs w:val="20"/>
                <w:lang w:eastAsia="en-US"/>
              </w:rPr>
              <w:t xml:space="preserve">for </w:t>
            </w:r>
            <w:r w:rsidRPr="00995C95">
              <w:rPr>
                <w:spacing w:val="-4"/>
                <w:szCs w:val="20"/>
                <w:lang w:eastAsia="en-US"/>
              </w:rPr>
              <w:t>trade with the EU (+15.1 b</w:t>
            </w:r>
            <w:r w:rsidR="00475F3F" w:rsidRPr="00995C95">
              <w:rPr>
                <w:spacing w:val="-4"/>
                <w:szCs w:val="20"/>
                <w:lang w:eastAsia="en-US"/>
              </w:rPr>
              <w:t>n CZK</w:t>
            </w:r>
            <w:r w:rsidRPr="00995C95">
              <w:rPr>
                <w:spacing w:val="-4"/>
                <w:szCs w:val="20"/>
                <w:lang w:eastAsia="en-US"/>
              </w:rPr>
              <w:t xml:space="preserve">) and slightly deteriorated </w:t>
            </w:r>
            <w:r w:rsidR="00475F3F" w:rsidRPr="00995C95">
              <w:rPr>
                <w:spacing w:val="-4"/>
                <w:szCs w:val="20"/>
                <w:lang w:eastAsia="en-US"/>
              </w:rPr>
              <w:t xml:space="preserve">for </w:t>
            </w:r>
            <w:r w:rsidRPr="00995C95">
              <w:rPr>
                <w:spacing w:val="-4"/>
                <w:szCs w:val="20"/>
                <w:lang w:eastAsia="en-US"/>
              </w:rPr>
              <w:t>trade with non-EU countries (−0.2 b</w:t>
            </w:r>
            <w:r w:rsidR="00475F3F" w:rsidRPr="00995C95">
              <w:rPr>
                <w:spacing w:val="-4"/>
                <w:szCs w:val="20"/>
                <w:lang w:eastAsia="en-US"/>
              </w:rPr>
              <w:t>n</w:t>
            </w:r>
            <w:r w:rsidRPr="00995C95">
              <w:rPr>
                <w:spacing w:val="-4"/>
                <w:szCs w:val="20"/>
                <w:lang w:eastAsia="en-US"/>
              </w:rPr>
              <w:t xml:space="preserve">). However, it had a significant negative impact on the </w:t>
            </w:r>
            <w:r w:rsidR="00D65537" w:rsidRPr="00995C95">
              <w:rPr>
                <w:spacing w:val="-4"/>
                <w:szCs w:val="20"/>
                <w:lang w:eastAsia="en-US"/>
              </w:rPr>
              <w:t xml:space="preserve">total </w:t>
            </w:r>
            <w:r w:rsidRPr="00995C95">
              <w:rPr>
                <w:spacing w:val="-4"/>
                <w:szCs w:val="20"/>
                <w:lang w:eastAsia="en-US"/>
              </w:rPr>
              <w:t>balance of the category of unspecified countries</w:t>
            </w:r>
            <w:r w:rsidR="004D1C4E" w:rsidRPr="00995C95">
              <w:rPr>
                <w:rStyle w:val="Znakapoznpodarou"/>
                <w:spacing w:val="-4"/>
                <w:szCs w:val="20"/>
                <w:lang w:eastAsia="en-US"/>
              </w:rPr>
              <w:footnoteReference w:id="8"/>
            </w:r>
            <w:r w:rsidR="004D1C4E" w:rsidRPr="00995C95">
              <w:rPr>
                <w:spacing w:val="-4"/>
                <w:szCs w:val="20"/>
                <w:lang w:eastAsia="en-US"/>
              </w:rPr>
              <w:t xml:space="preserve"> </w:t>
            </w:r>
            <w:r w:rsidRPr="00995C95">
              <w:rPr>
                <w:spacing w:val="-4"/>
                <w:szCs w:val="20"/>
                <w:lang w:eastAsia="en-US"/>
              </w:rPr>
              <w:t xml:space="preserve"> last year (−22.5 b</w:t>
            </w:r>
            <w:r w:rsidR="004D1C4E" w:rsidRPr="00995C95">
              <w:rPr>
                <w:spacing w:val="-4"/>
                <w:szCs w:val="20"/>
                <w:lang w:eastAsia="en-US"/>
              </w:rPr>
              <w:t>n CZK</w:t>
            </w:r>
            <w:r w:rsidRPr="00995C95">
              <w:rPr>
                <w:spacing w:val="-4"/>
                <w:szCs w:val="20"/>
                <w:lang w:eastAsia="en-US"/>
              </w:rPr>
              <w:t>). Trade with Norway (−25.0 b</w:t>
            </w:r>
            <w:r w:rsidR="004D1C4E" w:rsidRPr="00995C95">
              <w:rPr>
                <w:spacing w:val="-4"/>
                <w:szCs w:val="20"/>
                <w:lang w:eastAsia="en-US"/>
              </w:rPr>
              <w:t>n CZK</w:t>
            </w:r>
            <w:r w:rsidRPr="00995C95">
              <w:rPr>
                <w:spacing w:val="-4"/>
                <w:szCs w:val="20"/>
                <w:lang w:eastAsia="en-US"/>
              </w:rPr>
              <w:t>), China (−21.7 b</w:t>
            </w:r>
            <w:r w:rsidR="004D1C4E" w:rsidRPr="00995C95">
              <w:rPr>
                <w:spacing w:val="-4"/>
                <w:szCs w:val="20"/>
                <w:lang w:eastAsia="en-US"/>
              </w:rPr>
              <w:t>n CZK</w:t>
            </w:r>
            <w:r w:rsidRPr="00995C95">
              <w:rPr>
                <w:spacing w:val="-4"/>
                <w:szCs w:val="20"/>
                <w:lang w:eastAsia="en-US"/>
              </w:rPr>
              <w:t>), Hungary (−9.7 b</w:t>
            </w:r>
            <w:r w:rsidR="004D1C4E" w:rsidRPr="00995C95">
              <w:rPr>
                <w:spacing w:val="-4"/>
                <w:szCs w:val="20"/>
                <w:lang w:eastAsia="en-US"/>
              </w:rPr>
              <w:t>n</w:t>
            </w:r>
            <w:r w:rsidRPr="00995C95">
              <w:rPr>
                <w:spacing w:val="-4"/>
                <w:szCs w:val="20"/>
                <w:lang w:eastAsia="en-US"/>
              </w:rPr>
              <w:t>), the Netherlands (−6.9 b</w:t>
            </w:r>
            <w:r w:rsidR="004D1C4E" w:rsidRPr="00995C95">
              <w:rPr>
                <w:spacing w:val="-4"/>
                <w:szCs w:val="20"/>
                <w:lang w:eastAsia="en-US"/>
              </w:rPr>
              <w:t>n</w:t>
            </w:r>
            <w:r w:rsidRPr="00995C95">
              <w:rPr>
                <w:spacing w:val="-4"/>
                <w:szCs w:val="20"/>
                <w:lang w:eastAsia="en-US"/>
              </w:rPr>
              <w:t>), Spain (−5.6 b</w:t>
            </w:r>
            <w:r w:rsidR="004D1C4E" w:rsidRPr="00995C95">
              <w:rPr>
                <w:spacing w:val="-4"/>
                <w:szCs w:val="20"/>
                <w:lang w:eastAsia="en-US"/>
              </w:rPr>
              <w:t>n</w:t>
            </w:r>
            <w:r w:rsidRPr="00995C95">
              <w:rPr>
                <w:spacing w:val="-4"/>
                <w:szCs w:val="20"/>
                <w:lang w:eastAsia="en-US"/>
              </w:rPr>
              <w:t>) and Singapore (−5.0 b</w:t>
            </w:r>
            <w:r w:rsidR="004D1C4E" w:rsidRPr="00995C95">
              <w:rPr>
                <w:spacing w:val="-4"/>
                <w:szCs w:val="20"/>
                <w:lang w:eastAsia="en-US"/>
              </w:rPr>
              <w:t>n</w:t>
            </w:r>
            <w:r w:rsidRPr="00995C95">
              <w:rPr>
                <w:spacing w:val="-4"/>
                <w:szCs w:val="20"/>
                <w:lang w:eastAsia="en-US"/>
              </w:rPr>
              <w:t xml:space="preserve">) had the greatest impact on the deterioration of the balance of </w:t>
            </w:r>
            <w:r w:rsidR="001A2B9D" w:rsidRPr="00995C95">
              <w:rPr>
                <w:spacing w:val="-4"/>
                <w:szCs w:val="20"/>
                <w:lang w:eastAsia="en-US"/>
              </w:rPr>
              <w:t xml:space="preserve">international </w:t>
            </w:r>
            <w:r w:rsidRPr="00995C95">
              <w:rPr>
                <w:spacing w:val="-4"/>
                <w:szCs w:val="20"/>
                <w:lang w:eastAsia="en-US"/>
              </w:rPr>
              <w:t xml:space="preserve">trade </w:t>
            </w:r>
            <w:r w:rsidR="001A2B9D" w:rsidRPr="00995C95">
              <w:rPr>
                <w:spacing w:val="-4"/>
                <w:szCs w:val="20"/>
                <w:lang w:eastAsia="en-US"/>
              </w:rPr>
              <w:t xml:space="preserve">with </w:t>
            </w:r>
            <w:r w:rsidRPr="00995C95">
              <w:rPr>
                <w:spacing w:val="-4"/>
                <w:szCs w:val="20"/>
                <w:lang w:eastAsia="en-US"/>
              </w:rPr>
              <w:t xml:space="preserve">goods. On the </w:t>
            </w:r>
            <w:r w:rsidR="001A2B9D" w:rsidRPr="00995C95">
              <w:rPr>
                <w:spacing w:val="-4"/>
                <w:szCs w:val="20"/>
                <w:lang w:eastAsia="en-US"/>
              </w:rPr>
              <w:t>contrary</w:t>
            </w:r>
            <w:r w:rsidRPr="00995C95">
              <w:rPr>
                <w:spacing w:val="-4"/>
                <w:szCs w:val="20"/>
                <w:lang w:eastAsia="en-US"/>
              </w:rPr>
              <w:t xml:space="preserve">, the balance improved significantly </w:t>
            </w:r>
            <w:r w:rsidR="001A2B9D" w:rsidRPr="00995C95">
              <w:rPr>
                <w:spacing w:val="-4"/>
                <w:szCs w:val="20"/>
                <w:lang w:eastAsia="en-US"/>
              </w:rPr>
              <w:t xml:space="preserve">for </w:t>
            </w:r>
            <w:r w:rsidRPr="00995C95">
              <w:rPr>
                <w:spacing w:val="-4"/>
                <w:szCs w:val="20"/>
                <w:lang w:eastAsia="en-US"/>
              </w:rPr>
              <w:t>trade with Russia (+49.6 b</w:t>
            </w:r>
            <w:r w:rsidR="001A2B9D" w:rsidRPr="00995C95">
              <w:rPr>
                <w:spacing w:val="-4"/>
                <w:szCs w:val="20"/>
                <w:lang w:eastAsia="en-US"/>
              </w:rPr>
              <w:t>n CZK</w:t>
            </w:r>
            <w:r w:rsidRPr="00995C95">
              <w:rPr>
                <w:spacing w:val="-4"/>
                <w:szCs w:val="20"/>
                <w:lang w:eastAsia="en-US"/>
              </w:rPr>
              <w:t>), Germany (+23.4 b</w:t>
            </w:r>
            <w:r w:rsidR="001A2B9D" w:rsidRPr="00995C95">
              <w:rPr>
                <w:spacing w:val="-4"/>
                <w:szCs w:val="20"/>
                <w:lang w:eastAsia="en-US"/>
              </w:rPr>
              <w:t>n</w:t>
            </w:r>
            <w:r w:rsidRPr="00995C95">
              <w:rPr>
                <w:spacing w:val="-4"/>
                <w:szCs w:val="20"/>
                <w:lang w:eastAsia="en-US"/>
              </w:rPr>
              <w:t>) and France (+11.1 b</w:t>
            </w:r>
            <w:r w:rsidR="001A2B9D" w:rsidRPr="00995C95">
              <w:rPr>
                <w:spacing w:val="-4"/>
                <w:szCs w:val="20"/>
                <w:lang w:eastAsia="en-US"/>
              </w:rPr>
              <w:t>n</w:t>
            </w:r>
            <w:r w:rsidRPr="00995C95">
              <w:rPr>
                <w:spacing w:val="-4"/>
                <w:szCs w:val="20"/>
                <w:lang w:eastAsia="en-US"/>
              </w:rPr>
              <w:t>). Trade with the United States (+7.2 b</w:t>
            </w:r>
            <w:r w:rsidR="001A2B9D" w:rsidRPr="00995C95">
              <w:rPr>
                <w:spacing w:val="-4"/>
                <w:szCs w:val="20"/>
                <w:lang w:eastAsia="en-US"/>
              </w:rPr>
              <w:t>n</w:t>
            </w:r>
            <w:r w:rsidRPr="00995C95">
              <w:rPr>
                <w:spacing w:val="-4"/>
                <w:szCs w:val="20"/>
                <w:lang w:eastAsia="en-US"/>
              </w:rPr>
              <w:t>), Taiwan (+7.0 b</w:t>
            </w:r>
            <w:r w:rsidR="001A2B9D" w:rsidRPr="00995C95">
              <w:rPr>
                <w:spacing w:val="-4"/>
                <w:szCs w:val="20"/>
                <w:lang w:eastAsia="en-US"/>
              </w:rPr>
              <w:t>n</w:t>
            </w:r>
            <w:r w:rsidRPr="00995C95">
              <w:rPr>
                <w:spacing w:val="-4"/>
                <w:szCs w:val="20"/>
                <w:lang w:eastAsia="en-US"/>
              </w:rPr>
              <w:t>), Ukraine (+6.1 b</w:t>
            </w:r>
            <w:r w:rsidR="001A2B9D" w:rsidRPr="00995C95">
              <w:rPr>
                <w:spacing w:val="-4"/>
                <w:szCs w:val="20"/>
                <w:lang w:eastAsia="en-US"/>
              </w:rPr>
              <w:t>n</w:t>
            </w:r>
            <w:r w:rsidRPr="00995C95">
              <w:rPr>
                <w:spacing w:val="-4"/>
                <w:szCs w:val="20"/>
                <w:lang w:eastAsia="en-US"/>
              </w:rPr>
              <w:t>), Denmark (+5.9 b</w:t>
            </w:r>
            <w:r w:rsidR="001A2B9D" w:rsidRPr="00995C95">
              <w:rPr>
                <w:spacing w:val="-4"/>
                <w:szCs w:val="20"/>
                <w:lang w:eastAsia="en-US"/>
              </w:rPr>
              <w:t>n</w:t>
            </w:r>
            <w:r w:rsidRPr="00995C95">
              <w:rPr>
                <w:spacing w:val="-4"/>
                <w:szCs w:val="20"/>
                <w:lang w:eastAsia="en-US"/>
              </w:rPr>
              <w:t>), Slovakia (+5.5 b</w:t>
            </w:r>
            <w:r w:rsidR="001A2B9D" w:rsidRPr="00995C95">
              <w:rPr>
                <w:spacing w:val="-4"/>
                <w:szCs w:val="20"/>
                <w:lang w:eastAsia="en-US"/>
              </w:rPr>
              <w:t>n</w:t>
            </w:r>
            <w:r w:rsidRPr="00995C95">
              <w:rPr>
                <w:spacing w:val="-4"/>
                <w:szCs w:val="20"/>
                <w:lang w:eastAsia="en-US"/>
              </w:rPr>
              <w:t>) and Belgium (+5.1 b</w:t>
            </w:r>
            <w:r w:rsidR="001A2B9D" w:rsidRPr="00995C95">
              <w:rPr>
                <w:spacing w:val="-4"/>
                <w:szCs w:val="20"/>
                <w:lang w:eastAsia="en-US"/>
              </w:rPr>
              <w:t>n</w:t>
            </w:r>
            <w:r w:rsidRPr="00995C95">
              <w:rPr>
                <w:spacing w:val="-4"/>
                <w:szCs w:val="20"/>
                <w:lang w:eastAsia="en-US"/>
              </w:rPr>
              <w:t>) also had a significant impact on the balance improvement.</w:t>
            </w:r>
            <w:r w:rsidR="008942C9" w:rsidRPr="00995C95">
              <w:rPr>
                <w:spacing w:val="-4"/>
                <w:szCs w:val="20"/>
                <w:lang w:eastAsia="en-US"/>
              </w:rPr>
              <w:t xml:space="preserve"> T</w:t>
            </w:r>
            <w:r w:rsidRPr="00995C95">
              <w:rPr>
                <w:spacing w:val="-4"/>
                <w:szCs w:val="20"/>
                <w:lang w:eastAsia="en-US"/>
              </w:rPr>
              <w:t>he surplus of trade with the EU increased by 8.3 b</w:t>
            </w:r>
            <w:r w:rsidR="008942C9" w:rsidRPr="00995C95">
              <w:rPr>
                <w:spacing w:val="-4"/>
                <w:szCs w:val="20"/>
                <w:lang w:eastAsia="en-US"/>
              </w:rPr>
              <w:t xml:space="preserve">n CZK, </w:t>
            </w:r>
            <w:r w:rsidRPr="00995C95">
              <w:rPr>
                <w:spacing w:val="-4"/>
                <w:szCs w:val="20"/>
                <w:lang w:eastAsia="en-US"/>
              </w:rPr>
              <w:t xml:space="preserve">year-on-year, </w:t>
            </w:r>
            <w:r w:rsidR="008942C9" w:rsidRPr="00995C95">
              <w:rPr>
                <w:spacing w:val="-4"/>
                <w:szCs w:val="20"/>
                <w:lang w:eastAsia="en-US"/>
              </w:rPr>
              <w:t xml:space="preserve">in Q4 alone </w:t>
            </w:r>
            <w:r w:rsidRPr="00995C95">
              <w:rPr>
                <w:spacing w:val="-4"/>
                <w:szCs w:val="20"/>
                <w:lang w:eastAsia="en-US"/>
              </w:rPr>
              <w:t>and the deficit with non-EU countries</w:t>
            </w:r>
            <w:r w:rsidR="004554AD" w:rsidRPr="00995C95">
              <w:rPr>
                <w:rStyle w:val="Znakapoznpodarou"/>
                <w:spacing w:val="-4"/>
                <w:szCs w:val="20"/>
                <w:lang w:eastAsia="en-US"/>
              </w:rPr>
              <w:footnoteReference w:id="9"/>
            </w:r>
            <w:r w:rsidR="004554AD" w:rsidRPr="00995C95">
              <w:rPr>
                <w:spacing w:val="-4"/>
                <w:szCs w:val="20"/>
                <w:lang w:eastAsia="en-US"/>
              </w:rPr>
              <w:t xml:space="preserve"> </w:t>
            </w:r>
            <w:r w:rsidRPr="00995C95">
              <w:rPr>
                <w:spacing w:val="-4"/>
                <w:szCs w:val="20"/>
                <w:lang w:eastAsia="en-US"/>
              </w:rPr>
              <w:t xml:space="preserve"> narrowed by 7.6 b</w:t>
            </w:r>
            <w:r w:rsidR="008942C9" w:rsidRPr="00995C95">
              <w:rPr>
                <w:spacing w:val="-4"/>
                <w:szCs w:val="20"/>
                <w:lang w:eastAsia="en-US"/>
              </w:rPr>
              <w:t>n CZK</w:t>
            </w:r>
            <w:r w:rsidRPr="00995C95">
              <w:rPr>
                <w:spacing w:val="-4"/>
                <w:szCs w:val="20"/>
                <w:lang w:eastAsia="en-US"/>
              </w:rPr>
              <w:t>. The balance improved the most</w:t>
            </w:r>
            <w:r w:rsidR="004554AD" w:rsidRPr="00995C95">
              <w:rPr>
                <w:spacing w:val="-4"/>
                <w:szCs w:val="20"/>
                <w:lang w:eastAsia="en-US"/>
              </w:rPr>
              <w:t>,</w:t>
            </w:r>
            <w:r w:rsidRPr="00995C95">
              <w:rPr>
                <w:spacing w:val="-4"/>
                <w:szCs w:val="20"/>
                <w:lang w:eastAsia="en-US"/>
              </w:rPr>
              <w:t xml:space="preserve"> year-on-year</w:t>
            </w:r>
            <w:r w:rsidR="004554AD" w:rsidRPr="00995C95">
              <w:rPr>
                <w:spacing w:val="-4"/>
                <w:szCs w:val="20"/>
                <w:lang w:eastAsia="en-US"/>
              </w:rPr>
              <w:t>,</w:t>
            </w:r>
            <w:r w:rsidRPr="00995C95">
              <w:rPr>
                <w:spacing w:val="-4"/>
                <w:szCs w:val="20"/>
                <w:lang w:eastAsia="en-US"/>
              </w:rPr>
              <w:t xml:space="preserve"> </w:t>
            </w:r>
            <w:r w:rsidR="004554AD" w:rsidRPr="00995C95">
              <w:rPr>
                <w:spacing w:val="-4"/>
                <w:szCs w:val="20"/>
                <w:lang w:eastAsia="en-US"/>
              </w:rPr>
              <w:t xml:space="preserve">for </w:t>
            </w:r>
            <w:r w:rsidRPr="00995C95">
              <w:rPr>
                <w:spacing w:val="-4"/>
                <w:szCs w:val="20"/>
                <w:lang w:eastAsia="en-US"/>
              </w:rPr>
              <w:t xml:space="preserve">Russia, Slovakia, China and France (see Table 6). </w:t>
            </w:r>
            <w:r w:rsidR="004554AD" w:rsidRPr="00995C95">
              <w:rPr>
                <w:spacing w:val="-4"/>
                <w:szCs w:val="20"/>
                <w:lang w:eastAsia="en-US"/>
              </w:rPr>
              <w:t>In contrast</w:t>
            </w:r>
            <w:r w:rsidRPr="00995C95">
              <w:rPr>
                <w:spacing w:val="-4"/>
                <w:szCs w:val="20"/>
                <w:lang w:eastAsia="en-US"/>
              </w:rPr>
              <w:t xml:space="preserve">, trade with Norway, the United States </w:t>
            </w:r>
            <w:r w:rsidR="00AD5B55" w:rsidRPr="00995C95">
              <w:rPr>
                <w:spacing w:val="-4"/>
                <w:szCs w:val="20"/>
                <w:lang w:eastAsia="en-US"/>
              </w:rPr>
              <w:t xml:space="preserve">or </w:t>
            </w:r>
            <w:r w:rsidRPr="00995C95">
              <w:rPr>
                <w:spacing w:val="-4"/>
                <w:szCs w:val="20"/>
                <w:lang w:eastAsia="en-US"/>
              </w:rPr>
              <w:t xml:space="preserve">Hungary acted in the direction of deterioration. </w:t>
            </w:r>
          </w:p>
        </w:tc>
      </w:tr>
      <w:tr w:rsidR="00605D96" w:rsidRPr="00995C95" w14:paraId="77265842" w14:textId="77777777" w:rsidTr="008B207B">
        <w:trPr>
          <w:trHeight w:val="170"/>
        </w:trPr>
        <w:tc>
          <w:tcPr>
            <w:tcW w:w="4811" w:type="dxa"/>
            <w:gridSpan w:val="3"/>
            <w:hideMark/>
          </w:tcPr>
          <w:p w14:paraId="700E59DC" w14:textId="4276FA5D" w:rsidR="00605D96" w:rsidRPr="00995C95" w:rsidRDefault="00605D96" w:rsidP="008B207B">
            <w:pPr>
              <w:spacing w:after="0"/>
              <w:jc w:val="left"/>
              <w:rPr>
                <w:rFonts w:cs="Arial"/>
                <w:b/>
                <w:bCs/>
                <w:color w:val="000000"/>
                <w:sz w:val="18"/>
                <w:szCs w:val="18"/>
                <w:lang w:eastAsia="en-US"/>
              </w:rPr>
            </w:pPr>
            <w:r w:rsidRPr="00995C95">
              <w:rPr>
                <w:rFonts w:cs="Arial"/>
                <w:b/>
                <w:bCs/>
                <w:color w:val="000000"/>
                <w:sz w:val="18"/>
                <w:szCs w:val="18"/>
                <w:lang w:eastAsia="en-US"/>
              </w:rPr>
              <w:t xml:space="preserve">Tabulka č. 5 </w:t>
            </w:r>
            <w:r w:rsidR="008E6F8B" w:rsidRPr="00995C95">
              <w:rPr>
                <w:rFonts w:cs="Arial"/>
                <w:b/>
                <w:bCs/>
                <w:color w:val="000000"/>
                <w:sz w:val="18"/>
                <w:szCs w:val="18"/>
                <w:lang w:eastAsia="en-US"/>
              </w:rPr>
              <w:t xml:space="preserve">Sections of CPA classification with highest impact on international trade with goods balance development in Q4 2025 </w:t>
            </w:r>
            <w:r w:rsidR="008E6F8B" w:rsidRPr="00995C95">
              <w:rPr>
                <w:rFonts w:cs="Arial"/>
                <w:bCs/>
                <w:color w:val="000000"/>
                <w:sz w:val="18"/>
                <w:szCs w:val="18"/>
                <w:lang w:eastAsia="en-US"/>
              </w:rPr>
              <w:t>(year-on-year)</w:t>
            </w:r>
          </w:p>
        </w:tc>
        <w:tc>
          <w:tcPr>
            <w:tcW w:w="57" w:type="dxa"/>
          </w:tcPr>
          <w:p w14:paraId="719A2F86" w14:textId="77777777" w:rsidR="00605D96" w:rsidRPr="00995C95" w:rsidRDefault="00605D96" w:rsidP="008B207B">
            <w:pPr>
              <w:spacing w:after="0"/>
              <w:rPr>
                <w:spacing w:val="-4"/>
                <w:lang w:eastAsia="en-US"/>
              </w:rPr>
            </w:pPr>
          </w:p>
        </w:tc>
        <w:tc>
          <w:tcPr>
            <w:tcW w:w="4809" w:type="dxa"/>
            <w:hideMark/>
          </w:tcPr>
          <w:p w14:paraId="431E2961" w14:textId="7C3BBD91" w:rsidR="00605D96" w:rsidRPr="00995C95" w:rsidRDefault="00605D96" w:rsidP="008B207B">
            <w:pPr>
              <w:spacing w:after="0"/>
              <w:jc w:val="left"/>
              <w:rPr>
                <w:spacing w:val="-4"/>
                <w:sz w:val="18"/>
                <w:szCs w:val="18"/>
                <w:lang w:eastAsia="en-US"/>
              </w:rPr>
            </w:pPr>
            <w:r w:rsidRPr="00995C95">
              <w:rPr>
                <w:rFonts w:cs="Arial"/>
                <w:b/>
                <w:bCs/>
                <w:color w:val="000000"/>
                <w:sz w:val="18"/>
                <w:szCs w:val="18"/>
                <w:lang w:eastAsia="en-US"/>
              </w:rPr>
              <w:t xml:space="preserve">Tabulka č. 6 </w:t>
            </w:r>
            <w:r w:rsidR="008E6F8B" w:rsidRPr="00995C95">
              <w:rPr>
                <w:rFonts w:cs="Arial"/>
                <w:b/>
                <w:bCs/>
                <w:color w:val="000000"/>
                <w:sz w:val="18"/>
                <w:szCs w:val="18"/>
                <w:lang w:eastAsia="en-US"/>
              </w:rPr>
              <w:t xml:space="preserve">Countries with largest impact on international trade with goods development in Q4 2025 </w:t>
            </w:r>
            <w:r w:rsidR="008E6F8B" w:rsidRPr="00995C95">
              <w:rPr>
                <w:rFonts w:cs="Arial"/>
                <w:bCs/>
                <w:color w:val="000000"/>
                <w:sz w:val="18"/>
                <w:szCs w:val="18"/>
                <w:lang w:eastAsia="en-US"/>
              </w:rPr>
              <w:t>(year-on-year)</w:t>
            </w:r>
          </w:p>
        </w:tc>
      </w:tr>
      <w:tr w:rsidR="00605D96" w:rsidRPr="00995C95" w14:paraId="2FB4D9DF" w14:textId="77777777" w:rsidTr="008B207B">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605D96" w:rsidRPr="00995C95" w14:paraId="3321AF88" w14:textId="77777777" w:rsidTr="008B207B">
              <w:trPr>
                <w:trHeight w:val="255"/>
              </w:trPr>
              <w:tc>
                <w:tcPr>
                  <w:tcW w:w="4126" w:type="dxa"/>
                  <w:tcBorders>
                    <w:top w:val="nil"/>
                    <w:left w:val="nil"/>
                    <w:bottom w:val="single" w:sz="4" w:space="0" w:color="auto"/>
                    <w:right w:val="nil"/>
                  </w:tcBorders>
                  <w:noWrap/>
                  <w:vAlign w:val="bottom"/>
                  <w:hideMark/>
                </w:tcPr>
                <w:p w14:paraId="1514DD02" w14:textId="77777777"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 </w:t>
                  </w:r>
                </w:p>
              </w:tc>
              <w:tc>
                <w:tcPr>
                  <w:tcW w:w="700" w:type="dxa"/>
                  <w:tcBorders>
                    <w:top w:val="nil"/>
                    <w:left w:val="nil"/>
                    <w:bottom w:val="single" w:sz="4" w:space="0" w:color="auto"/>
                    <w:right w:val="nil"/>
                  </w:tcBorders>
                  <w:noWrap/>
                  <w:vAlign w:val="bottom"/>
                  <w:hideMark/>
                </w:tcPr>
                <w:p w14:paraId="5C6F411C" w14:textId="131CDC2B" w:rsidR="00605D96" w:rsidRPr="00995C95" w:rsidRDefault="00A601C4" w:rsidP="008B207B">
                  <w:pPr>
                    <w:spacing w:after="0" w:line="240" w:lineRule="auto"/>
                    <w:jc w:val="right"/>
                    <w:rPr>
                      <w:rFonts w:cs="Arial"/>
                      <w:color w:val="000000"/>
                      <w:sz w:val="16"/>
                      <w:szCs w:val="16"/>
                    </w:rPr>
                  </w:pPr>
                  <w:r w:rsidRPr="00995C95">
                    <w:rPr>
                      <w:rFonts w:cs="Arial"/>
                      <w:color w:val="000000"/>
                      <w:sz w:val="16"/>
                      <w:szCs w:val="16"/>
                    </w:rPr>
                    <w:t>bn CZK</w:t>
                  </w:r>
                </w:p>
              </w:tc>
            </w:tr>
            <w:tr w:rsidR="00605D96" w:rsidRPr="00995C95" w14:paraId="3248224D" w14:textId="77777777" w:rsidTr="008B207B">
              <w:trPr>
                <w:trHeight w:val="255"/>
              </w:trPr>
              <w:tc>
                <w:tcPr>
                  <w:tcW w:w="4126" w:type="dxa"/>
                  <w:tcBorders>
                    <w:top w:val="nil"/>
                    <w:left w:val="nil"/>
                    <w:bottom w:val="nil"/>
                    <w:right w:val="nil"/>
                  </w:tcBorders>
                  <w:noWrap/>
                  <w:vAlign w:val="bottom"/>
                  <w:hideMark/>
                </w:tcPr>
                <w:p w14:paraId="2E57BE83" w14:textId="26BB9B42" w:rsidR="00605D96" w:rsidRPr="00995C95" w:rsidRDefault="00A601C4" w:rsidP="008B207B">
                  <w:pPr>
                    <w:spacing w:after="0" w:line="240" w:lineRule="auto"/>
                    <w:jc w:val="left"/>
                    <w:rPr>
                      <w:rFonts w:cs="Arial"/>
                      <w:color w:val="000000"/>
                      <w:sz w:val="16"/>
                      <w:szCs w:val="16"/>
                    </w:rPr>
                  </w:pPr>
                  <w:r w:rsidRPr="00995C95">
                    <w:rPr>
                      <w:sz w:val="16"/>
                      <w:szCs w:val="16"/>
                    </w:rPr>
                    <w:t>Crude petroleum and natural gas</w:t>
                  </w:r>
                </w:p>
              </w:tc>
              <w:tc>
                <w:tcPr>
                  <w:tcW w:w="700" w:type="dxa"/>
                  <w:tcBorders>
                    <w:top w:val="nil"/>
                    <w:left w:val="nil"/>
                    <w:bottom w:val="nil"/>
                    <w:right w:val="nil"/>
                  </w:tcBorders>
                  <w:noWrap/>
                  <w:vAlign w:val="bottom"/>
                  <w:hideMark/>
                </w:tcPr>
                <w:p w14:paraId="773473B7" w14:textId="3E00B58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+9</w:t>
                  </w:r>
                  <w:r w:rsidR="00A601C4" w:rsidRPr="00995C95">
                    <w:rPr>
                      <w:rFonts w:cs="Arial"/>
                      <w:color w:val="000000"/>
                      <w:sz w:val="16"/>
                      <w:szCs w:val="16"/>
                    </w:rPr>
                    <w:t>.</w:t>
                  </w:r>
                  <w:r w:rsidRPr="00995C95">
                    <w:rPr>
                      <w:rFonts w:cs="Arial"/>
                      <w:color w:val="000000"/>
                      <w:sz w:val="16"/>
                      <w:szCs w:val="16"/>
                    </w:rPr>
                    <w:t>3</w:t>
                  </w:r>
                </w:p>
              </w:tc>
            </w:tr>
            <w:tr w:rsidR="00605D96" w:rsidRPr="00995C95" w14:paraId="7851B0DD" w14:textId="77777777" w:rsidTr="008B207B">
              <w:trPr>
                <w:trHeight w:val="255"/>
              </w:trPr>
              <w:tc>
                <w:tcPr>
                  <w:tcW w:w="4126" w:type="dxa"/>
                  <w:tcBorders>
                    <w:top w:val="nil"/>
                    <w:left w:val="nil"/>
                    <w:bottom w:val="nil"/>
                    <w:right w:val="nil"/>
                  </w:tcBorders>
                  <w:noWrap/>
                  <w:vAlign w:val="bottom"/>
                  <w:hideMark/>
                </w:tcPr>
                <w:p w14:paraId="1458B054" w14:textId="32C8C04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Machinery and equipment, n.c.e.</w:t>
                  </w:r>
                </w:p>
              </w:tc>
              <w:tc>
                <w:tcPr>
                  <w:tcW w:w="700" w:type="dxa"/>
                  <w:tcBorders>
                    <w:top w:val="nil"/>
                    <w:left w:val="nil"/>
                    <w:bottom w:val="nil"/>
                    <w:right w:val="nil"/>
                  </w:tcBorders>
                  <w:noWrap/>
                  <w:vAlign w:val="bottom"/>
                  <w:hideMark/>
                </w:tcPr>
                <w:p w14:paraId="29713D84" w14:textId="03BAA36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A601C4" w:rsidRPr="00995C95">
                    <w:rPr>
                      <w:rFonts w:cs="Arial"/>
                      <w:color w:val="000000"/>
                      <w:sz w:val="16"/>
                      <w:szCs w:val="16"/>
                    </w:rPr>
                    <w:t>.</w:t>
                  </w:r>
                  <w:r w:rsidRPr="00995C95">
                    <w:rPr>
                      <w:rFonts w:cs="Arial"/>
                      <w:color w:val="000000"/>
                      <w:sz w:val="16"/>
                      <w:szCs w:val="16"/>
                    </w:rPr>
                    <w:t>2</w:t>
                  </w:r>
                </w:p>
              </w:tc>
            </w:tr>
            <w:tr w:rsidR="00605D96" w:rsidRPr="00995C95" w14:paraId="4A61637B" w14:textId="77777777" w:rsidTr="008B207B">
              <w:trPr>
                <w:trHeight w:val="255"/>
              </w:trPr>
              <w:tc>
                <w:tcPr>
                  <w:tcW w:w="4126" w:type="dxa"/>
                  <w:tcBorders>
                    <w:top w:val="nil"/>
                    <w:left w:val="nil"/>
                    <w:bottom w:val="nil"/>
                    <w:right w:val="nil"/>
                  </w:tcBorders>
                  <w:noWrap/>
                  <w:vAlign w:val="bottom"/>
                  <w:hideMark/>
                </w:tcPr>
                <w:p w14:paraId="70FB0C29" w14:textId="532FF59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Motor vehicles (excl. motorcycles) and parts</w:t>
                  </w:r>
                </w:p>
              </w:tc>
              <w:tc>
                <w:tcPr>
                  <w:tcW w:w="700" w:type="dxa"/>
                  <w:tcBorders>
                    <w:top w:val="nil"/>
                    <w:left w:val="nil"/>
                    <w:bottom w:val="nil"/>
                    <w:right w:val="nil"/>
                  </w:tcBorders>
                  <w:noWrap/>
                  <w:vAlign w:val="bottom"/>
                  <w:hideMark/>
                </w:tcPr>
                <w:p w14:paraId="6A0E8717" w14:textId="0005284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A601C4" w:rsidRPr="00995C95">
                    <w:rPr>
                      <w:rFonts w:cs="Arial"/>
                      <w:color w:val="000000"/>
                      <w:sz w:val="16"/>
                      <w:szCs w:val="16"/>
                    </w:rPr>
                    <w:t>.</w:t>
                  </w:r>
                  <w:r w:rsidRPr="00995C95">
                    <w:rPr>
                      <w:rFonts w:cs="Arial"/>
                      <w:color w:val="000000"/>
                      <w:sz w:val="16"/>
                      <w:szCs w:val="16"/>
                    </w:rPr>
                    <w:t>2</w:t>
                  </w:r>
                </w:p>
              </w:tc>
            </w:tr>
            <w:tr w:rsidR="00605D96" w:rsidRPr="00995C95" w14:paraId="294C60D5" w14:textId="77777777" w:rsidTr="008B207B">
              <w:trPr>
                <w:trHeight w:val="255"/>
              </w:trPr>
              <w:tc>
                <w:tcPr>
                  <w:tcW w:w="4126" w:type="dxa"/>
                  <w:tcBorders>
                    <w:top w:val="nil"/>
                    <w:left w:val="nil"/>
                    <w:bottom w:val="nil"/>
                    <w:right w:val="nil"/>
                  </w:tcBorders>
                  <w:noWrap/>
                  <w:vAlign w:val="bottom"/>
                  <w:hideMark/>
                </w:tcPr>
                <w:p w14:paraId="153255A1" w14:textId="100843E0"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Coke and refined petroleum products</w:t>
                  </w:r>
                </w:p>
              </w:tc>
              <w:tc>
                <w:tcPr>
                  <w:tcW w:w="700" w:type="dxa"/>
                  <w:tcBorders>
                    <w:top w:val="nil"/>
                    <w:left w:val="nil"/>
                    <w:bottom w:val="nil"/>
                    <w:right w:val="nil"/>
                  </w:tcBorders>
                  <w:noWrap/>
                  <w:vAlign w:val="bottom"/>
                  <w:hideMark/>
                </w:tcPr>
                <w:p w14:paraId="470BC333" w14:textId="78F2440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9</w:t>
                  </w:r>
                </w:p>
              </w:tc>
            </w:tr>
            <w:tr w:rsidR="00605D96" w:rsidRPr="00995C95" w14:paraId="0472459D" w14:textId="77777777" w:rsidTr="008B207B">
              <w:trPr>
                <w:trHeight w:val="255"/>
              </w:trPr>
              <w:tc>
                <w:tcPr>
                  <w:tcW w:w="4126" w:type="dxa"/>
                  <w:tcBorders>
                    <w:top w:val="nil"/>
                    <w:left w:val="nil"/>
                    <w:bottom w:val="nil"/>
                    <w:right w:val="nil"/>
                  </w:tcBorders>
                  <w:noWrap/>
                  <w:vAlign w:val="bottom"/>
                  <w:hideMark/>
                </w:tcPr>
                <w:p w14:paraId="722B9508" w14:textId="79ECA286"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Computers, electron. and opt. appliances and equipment</w:t>
                  </w:r>
                </w:p>
              </w:tc>
              <w:tc>
                <w:tcPr>
                  <w:tcW w:w="700" w:type="dxa"/>
                  <w:tcBorders>
                    <w:top w:val="nil"/>
                    <w:left w:val="nil"/>
                    <w:bottom w:val="nil"/>
                    <w:right w:val="nil"/>
                  </w:tcBorders>
                  <w:noWrap/>
                  <w:vAlign w:val="bottom"/>
                  <w:hideMark/>
                </w:tcPr>
                <w:p w14:paraId="0D0142F4" w14:textId="4027AE6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8</w:t>
                  </w:r>
                </w:p>
              </w:tc>
            </w:tr>
            <w:tr w:rsidR="00605D96" w:rsidRPr="00995C95" w14:paraId="11793677" w14:textId="77777777" w:rsidTr="008B207B">
              <w:trPr>
                <w:trHeight w:val="255"/>
              </w:trPr>
              <w:tc>
                <w:tcPr>
                  <w:tcW w:w="4126" w:type="dxa"/>
                  <w:tcBorders>
                    <w:top w:val="nil"/>
                    <w:left w:val="nil"/>
                    <w:bottom w:val="nil"/>
                    <w:right w:val="nil"/>
                  </w:tcBorders>
                  <w:noWrap/>
                  <w:vAlign w:val="bottom"/>
                  <w:hideMark/>
                </w:tcPr>
                <w:p w14:paraId="2EE549A4" w14:textId="6749D738"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Rubber and plastic products</w:t>
                  </w:r>
                </w:p>
              </w:tc>
              <w:tc>
                <w:tcPr>
                  <w:tcW w:w="700" w:type="dxa"/>
                  <w:tcBorders>
                    <w:top w:val="nil"/>
                    <w:left w:val="nil"/>
                    <w:bottom w:val="nil"/>
                    <w:right w:val="nil"/>
                  </w:tcBorders>
                  <w:noWrap/>
                  <w:vAlign w:val="bottom"/>
                  <w:hideMark/>
                </w:tcPr>
                <w:p w14:paraId="2D46D57F" w14:textId="38B093B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5</w:t>
                  </w:r>
                </w:p>
              </w:tc>
            </w:tr>
            <w:tr w:rsidR="00605D96" w:rsidRPr="00995C95" w14:paraId="2F2488C6" w14:textId="77777777" w:rsidTr="008B207B">
              <w:trPr>
                <w:trHeight w:val="255"/>
              </w:trPr>
              <w:tc>
                <w:tcPr>
                  <w:tcW w:w="4126" w:type="dxa"/>
                  <w:tcBorders>
                    <w:top w:val="nil"/>
                    <w:left w:val="nil"/>
                    <w:bottom w:val="nil"/>
                    <w:right w:val="nil"/>
                  </w:tcBorders>
                  <w:noWrap/>
                  <w:vAlign w:val="bottom"/>
                  <w:hideMark/>
                </w:tcPr>
                <w:p w14:paraId="722B3816" w14:textId="2AE22F29"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Basic metals</w:t>
                  </w:r>
                </w:p>
              </w:tc>
              <w:tc>
                <w:tcPr>
                  <w:tcW w:w="700" w:type="dxa"/>
                  <w:tcBorders>
                    <w:top w:val="nil"/>
                    <w:left w:val="nil"/>
                    <w:bottom w:val="nil"/>
                    <w:right w:val="nil"/>
                  </w:tcBorders>
                  <w:noWrap/>
                  <w:vAlign w:val="bottom"/>
                  <w:hideMark/>
                </w:tcPr>
                <w:p w14:paraId="7F13A16B" w14:textId="6302FA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3</w:t>
                  </w:r>
                </w:p>
              </w:tc>
            </w:tr>
            <w:tr w:rsidR="00605D96" w:rsidRPr="00995C95" w14:paraId="154D632A" w14:textId="77777777" w:rsidTr="008B207B">
              <w:trPr>
                <w:trHeight w:val="255"/>
              </w:trPr>
              <w:tc>
                <w:tcPr>
                  <w:tcW w:w="4126" w:type="dxa"/>
                  <w:tcBorders>
                    <w:top w:val="nil"/>
                    <w:left w:val="nil"/>
                    <w:bottom w:val="nil"/>
                    <w:right w:val="nil"/>
                  </w:tcBorders>
                  <w:noWrap/>
                  <w:vAlign w:val="bottom"/>
                  <w:hideMark/>
                </w:tcPr>
                <w:p w14:paraId="279FD3FF" w14:textId="3E40F921"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Products of agriculture and hunting</w:t>
                  </w:r>
                </w:p>
              </w:tc>
              <w:tc>
                <w:tcPr>
                  <w:tcW w:w="700" w:type="dxa"/>
                  <w:tcBorders>
                    <w:top w:val="nil"/>
                    <w:left w:val="nil"/>
                    <w:bottom w:val="nil"/>
                    <w:right w:val="nil"/>
                  </w:tcBorders>
                  <w:noWrap/>
                  <w:vAlign w:val="bottom"/>
                  <w:hideMark/>
                </w:tcPr>
                <w:p w14:paraId="39949CBA" w14:textId="652CCFA2"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1</w:t>
                  </w:r>
                </w:p>
              </w:tc>
            </w:tr>
            <w:tr w:rsidR="00605D96" w:rsidRPr="00995C95" w14:paraId="5683D891" w14:textId="77777777" w:rsidTr="008B207B">
              <w:trPr>
                <w:trHeight w:val="255"/>
              </w:trPr>
              <w:tc>
                <w:tcPr>
                  <w:tcW w:w="4126" w:type="dxa"/>
                  <w:tcBorders>
                    <w:top w:val="nil"/>
                    <w:left w:val="nil"/>
                    <w:bottom w:val="nil"/>
                    <w:right w:val="nil"/>
                  </w:tcBorders>
                  <w:noWrap/>
                  <w:vAlign w:val="bottom"/>
                  <w:hideMark/>
                </w:tcPr>
                <w:p w14:paraId="54E202B2" w14:textId="75F9FA77"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Other manufacturing products</w:t>
                  </w:r>
                </w:p>
              </w:tc>
              <w:tc>
                <w:tcPr>
                  <w:tcW w:w="700" w:type="dxa"/>
                  <w:tcBorders>
                    <w:top w:val="nil"/>
                    <w:left w:val="nil"/>
                    <w:bottom w:val="nil"/>
                    <w:right w:val="nil"/>
                  </w:tcBorders>
                  <w:noWrap/>
                  <w:vAlign w:val="bottom"/>
                  <w:hideMark/>
                </w:tcPr>
                <w:p w14:paraId="7D8E4898" w14:textId="74DD8B7F"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−0</w:t>
                  </w:r>
                  <w:r w:rsidR="00A601C4" w:rsidRPr="00995C95">
                    <w:rPr>
                      <w:rFonts w:cs="Arial"/>
                      <w:color w:val="000000"/>
                      <w:sz w:val="16"/>
                      <w:szCs w:val="16"/>
                    </w:rPr>
                    <w:t>.</w:t>
                  </w:r>
                  <w:r w:rsidRPr="00995C95">
                    <w:rPr>
                      <w:rFonts w:cs="Arial"/>
                      <w:color w:val="000000"/>
                      <w:sz w:val="16"/>
                      <w:szCs w:val="16"/>
                    </w:rPr>
                    <w:t>9</w:t>
                  </w:r>
                </w:p>
              </w:tc>
            </w:tr>
            <w:tr w:rsidR="00605D96" w:rsidRPr="00995C95" w14:paraId="6E728EA5" w14:textId="77777777" w:rsidTr="008B207B">
              <w:trPr>
                <w:trHeight w:val="255"/>
              </w:trPr>
              <w:tc>
                <w:tcPr>
                  <w:tcW w:w="4126" w:type="dxa"/>
                  <w:tcBorders>
                    <w:top w:val="nil"/>
                    <w:left w:val="nil"/>
                    <w:bottom w:val="nil"/>
                    <w:right w:val="nil"/>
                  </w:tcBorders>
                  <w:noWrap/>
                  <w:vAlign w:val="bottom"/>
                  <w:hideMark/>
                </w:tcPr>
                <w:p w14:paraId="1B181B81" w14:textId="76D18788"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O</w:t>
                  </w:r>
                  <w:r w:rsidR="00A601C4" w:rsidRPr="00995C95">
                    <w:rPr>
                      <w:rFonts w:cs="Arial"/>
                      <w:color w:val="000000"/>
                      <w:sz w:val="16"/>
                      <w:szCs w:val="16"/>
                    </w:rPr>
                    <w:t>ther non-metal mineral products</w:t>
                  </w:r>
                </w:p>
              </w:tc>
              <w:tc>
                <w:tcPr>
                  <w:tcW w:w="700" w:type="dxa"/>
                  <w:tcBorders>
                    <w:top w:val="nil"/>
                    <w:left w:val="nil"/>
                    <w:bottom w:val="nil"/>
                    <w:right w:val="nil"/>
                  </w:tcBorders>
                  <w:noWrap/>
                  <w:vAlign w:val="bottom"/>
                  <w:hideMark/>
                </w:tcPr>
                <w:p w14:paraId="06E3DBC3" w14:textId="3ED6EDC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6</w:t>
                  </w:r>
                </w:p>
              </w:tc>
            </w:tr>
            <w:tr w:rsidR="00605D96" w:rsidRPr="00995C95" w14:paraId="316CC07F" w14:textId="77777777" w:rsidTr="008B207B">
              <w:trPr>
                <w:trHeight w:val="255"/>
              </w:trPr>
              <w:tc>
                <w:tcPr>
                  <w:tcW w:w="4126" w:type="dxa"/>
                  <w:tcBorders>
                    <w:top w:val="nil"/>
                    <w:left w:val="nil"/>
                    <w:bottom w:val="nil"/>
                    <w:right w:val="nil"/>
                  </w:tcBorders>
                  <w:noWrap/>
                  <w:vAlign w:val="bottom"/>
                  <w:hideMark/>
                </w:tcPr>
                <w:p w14:paraId="3BD742BB" w14:textId="24E45661" w:rsidR="00605D96" w:rsidRPr="00995C95" w:rsidRDefault="00A601C4" w:rsidP="008B207B">
                  <w:pPr>
                    <w:spacing w:after="0" w:line="240" w:lineRule="auto"/>
                    <w:jc w:val="left"/>
                    <w:rPr>
                      <w:rFonts w:cs="Arial"/>
                      <w:color w:val="000000"/>
                      <w:sz w:val="16"/>
                      <w:szCs w:val="16"/>
                    </w:rPr>
                  </w:pPr>
                  <w:r w:rsidRPr="00995C95">
                    <w:rPr>
                      <w:sz w:val="16"/>
                      <w:szCs w:val="16"/>
                    </w:rPr>
                    <w:t>Other transport equipment</w:t>
                  </w:r>
                </w:p>
              </w:tc>
              <w:tc>
                <w:tcPr>
                  <w:tcW w:w="700" w:type="dxa"/>
                  <w:tcBorders>
                    <w:top w:val="nil"/>
                    <w:left w:val="nil"/>
                    <w:bottom w:val="nil"/>
                    <w:right w:val="nil"/>
                  </w:tcBorders>
                  <w:noWrap/>
                  <w:vAlign w:val="bottom"/>
                  <w:hideMark/>
                </w:tcPr>
                <w:p w14:paraId="4C27E443" w14:textId="0E0B4CF0"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2</w:t>
                  </w:r>
                </w:p>
              </w:tc>
            </w:tr>
            <w:tr w:rsidR="00605D96" w:rsidRPr="00995C95" w14:paraId="21318B02" w14:textId="77777777" w:rsidTr="008B207B">
              <w:trPr>
                <w:trHeight w:val="255"/>
              </w:trPr>
              <w:tc>
                <w:tcPr>
                  <w:tcW w:w="4126" w:type="dxa"/>
                  <w:tcBorders>
                    <w:top w:val="nil"/>
                    <w:left w:val="nil"/>
                    <w:bottom w:val="nil"/>
                    <w:right w:val="nil"/>
                  </w:tcBorders>
                  <w:noWrap/>
                  <w:vAlign w:val="bottom"/>
                  <w:hideMark/>
                </w:tcPr>
                <w:p w14:paraId="3421A007" w14:textId="45A28331"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Chemi</w:t>
                  </w:r>
                  <w:r w:rsidR="00A601C4" w:rsidRPr="00995C95">
                    <w:rPr>
                      <w:rFonts w:cs="Arial"/>
                      <w:color w:val="000000"/>
                      <w:sz w:val="16"/>
                      <w:szCs w:val="16"/>
                    </w:rPr>
                    <w:t>cals and chemical products</w:t>
                  </w:r>
                </w:p>
              </w:tc>
              <w:tc>
                <w:tcPr>
                  <w:tcW w:w="700" w:type="dxa"/>
                  <w:tcBorders>
                    <w:top w:val="nil"/>
                    <w:left w:val="nil"/>
                    <w:bottom w:val="nil"/>
                    <w:right w:val="nil"/>
                  </w:tcBorders>
                  <w:noWrap/>
                  <w:vAlign w:val="bottom"/>
                  <w:hideMark/>
                </w:tcPr>
                <w:p w14:paraId="090508DC" w14:textId="49F617C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2</w:t>
                  </w:r>
                </w:p>
              </w:tc>
            </w:tr>
            <w:tr w:rsidR="00605D96" w:rsidRPr="00995C95" w14:paraId="0AFBB5E3" w14:textId="77777777" w:rsidTr="008B207B">
              <w:trPr>
                <w:trHeight w:val="255"/>
              </w:trPr>
              <w:tc>
                <w:tcPr>
                  <w:tcW w:w="4126" w:type="dxa"/>
                  <w:tcBorders>
                    <w:top w:val="nil"/>
                    <w:left w:val="nil"/>
                    <w:bottom w:val="nil"/>
                    <w:right w:val="nil"/>
                  </w:tcBorders>
                  <w:noWrap/>
                  <w:vAlign w:val="bottom"/>
                  <w:hideMark/>
                </w:tcPr>
                <w:p w14:paraId="04AE9037" w14:textId="5867672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Metalworking products except for machinery and equipment</w:t>
                  </w:r>
                </w:p>
              </w:tc>
              <w:tc>
                <w:tcPr>
                  <w:tcW w:w="700" w:type="dxa"/>
                  <w:tcBorders>
                    <w:top w:val="nil"/>
                    <w:left w:val="nil"/>
                    <w:bottom w:val="nil"/>
                    <w:right w:val="nil"/>
                  </w:tcBorders>
                  <w:noWrap/>
                  <w:vAlign w:val="bottom"/>
                  <w:hideMark/>
                </w:tcPr>
                <w:p w14:paraId="37DF4235" w14:textId="61E1E1A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34573C0F" w14:textId="77777777" w:rsidTr="008B207B">
              <w:trPr>
                <w:trHeight w:val="255"/>
              </w:trPr>
              <w:tc>
                <w:tcPr>
                  <w:tcW w:w="4126" w:type="dxa"/>
                  <w:tcBorders>
                    <w:top w:val="nil"/>
                    <w:left w:val="nil"/>
                    <w:bottom w:val="nil"/>
                    <w:right w:val="nil"/>
                  </w:tcBorders>
                  <w:noWrap/>
                  <w:vAlign w:val="bottom"/>
                  <w:hideMark/>
                </w:tcPr>
                <w:p w14:paraId="757D75A4" w14:textId="5C6D6FC4" w:rsidR="00605D96" w:rsidRPr="00995C95" w:rsidRDefault="00A601C4" w:rsidP="008B207B">
                  <w:pPr>
                    <w:spacing w:after="0" w:line="240" w:lineRule="auto"/>
                    <w:jc w:val="left"/>
                    <w:rPr>
                      <w:rFonts w:cs="Arial"/>
                      <w:color w:val="000000"/>
                      <w:sz w:val="16"/>
                      <w:szCs w:val="16"/>
                    </w:rPr>
                  </w:pPr>
                  <w:r w:rsidRPr="00995C95">
                    <w:rPr>
                      <w:sz w:val="16"/>
                      <w:szCs w:val="16"/>
                    </w:rPr>
                    <w:t>Electricity, gas, steam and air conditioning</w:t>
                  </w:r>
                </w:p>
              </w:tc>
              <w:tc>
                <w:tcPr>
                  <w:tcW w:w="700" w:type="dxa"/>
                  <w:tcBorders>
                    <w:top w:val="nil"/>
                    <w:left w:val="nil"/>
                    <w:bottom w:val="nil"/>
                    <w:right w:val="nil"/>
                  </w:tcBorders>
                  <w:noWrap/>
                  <w:vAlign w:val="bottom"/>
                  <w:hideMark/>
                </w:tcPr>
                <w:p w14:paraId="69170CE9" w14:textId="01013788"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A601C4" w:rsidRPr="00995C95">
                    <w:rPr>
                      <w:rFonts w:cs="Arial"/>
                      <w:color w:val="000000"/>
                      <w:sz w:val="16"/>
                      <w:szCs w:val="16"/>
                    </w:rPr>
                    <w:t>.</w:t>
                  </w:r>
                  <w:r w:rsidRPr="00995C95">
                    <w:rPr>
                      <w:rFonts w:cs="Arial"/>
                      <w:color w:val="000000"/>
                      <w:sz w:val="16"/>
                      <w:szCs w:val="16"/>
                    </w:rPr>
                    <w:t>4</w:t>
                  </w:r>
                </w:p>
              </w:tc>
            </w:tr>
            <w:tr w:rsidR="00605D96" w:rsidRPr="00995C95" w14:paraId="412908A4" w14:textId="77777777" w:rsidTr="008B207B">
              <w:trPr>
                <w:trHeight w:val="255"/>
              </w:trPr>
              <w:tc>
                <w:tcPr>
                  <w:tcW w:w="4126" w:type="dxa"/>
                  <w:tcBorders>
                    <w:top w:val="nil"/>
                    <w:left w:val="nil"/>
                    <w:bottom w:val="nil"/>
                    <w:right w:val="nil"/>
                  </w:tcBorders>
                  <w:noWrap/>
                  <w:vAlign w:val="bottom"/>
                  <w:hideMark/>
                </w:tcPr>
                <w:p w14:paraId="11A7D721" w14:textId="4021E1E6"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Electric equipment</w:t>
                  </w:r>
                </w:p>
              </w:tc>
              <w:tc>
                <w:tcPr>
                  <w:tcW w:w="700" w:type="dxa"/>
                  <w:tcBorders>
                    <w:top w:val="nil"/>
                    <w:left w:val="nil"/>
                    <w:bottom w:val="nil"/>
                    <w:right w:val="nil"/>
                  </w:tcBorders>
                  <w:noWrap/>
                  <w:vAlign w:val="bottom"/>
                  <w:hideMark/>
                </w:tcPr>
                <w:p w14:paraId="6EF4D1FF" w14:textId="501825D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−4</w:t>
                  </w:r>
                  <w:r w:rsidR="00DD3E0E" w:rsidRPr="00995C95">
                    <w:rPr>
                      <w:rFonts w:cs="Arial"/>
                      <w:color w:val="000000"/>
                      <w:sz w:val="16"/>
                      <w:szCs w:val="16"/>
                    </w:rPr>
                    <w:t>.</w:t>
                  </w:r>
                  <w:r w:rsidRPr="00995C95">
                    <w:rPr>
                      <w:rFonts w:cs="Arial"/>
                      <w:color w:val="000000"/>
                      <w:sz w:val="16"/>
                      <w:szCs w:val="16"/>
                    </w:rPr>
                    <w:t>7</w:t>
                  </w:r>
                </w:p>
              </w:tc>
            </w:tr>
          </w:tbl>
          <w:p w14:paraId="5E3D4FB9" w14:textId="77777777" w:rsidR="00605D96" w:rsidRPr="00995C95" w:rsidRDefault="00605D96" w:rsidP="008B207B">
            <w:pPr>
              <w:spacing w:after="0"/>
              <w:rPr>
                <w:rFonts w:cs="Arial"/>
                <w:spacing w:val="-4"/>
                <w:sz w:val="16"/>
                <w:szCs w:val="16"/>
                <w:lang w:eastAsia="en-US"/>
              </w:rPr>
            </w:pPr>
          </w:p>
        </w:tc>
        <w:tc>
          <w:tcPr>
            <w:tcW w:w="57" w:type="dxa"/>
          </w:tcPr>
          <w:p w14:paraId="7128455E" w14:textId="77777777" w:rsidR="00605D96" w:rsidRPr="00995C95" w:rsidRDefault="00605D96" w:rsidP="008B207B">
            <w:pPr>
              <w:spacing w:after="0"/>
              <w:rPr>
                <w:rFonts w:cs="Arial"/>
                <w:spacing w:val="-4"/>
                <w:sz w:val="16"/>
                <w:szCs w:val="16"/>
                <w:lang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605D96" w:rsidRPr="00995C95" w14:paraId="30E807E2" w14:textId="77777777" w:rsidTr="008B207B">
              <w:trPr>
                <w:trHeight w:val="255"/>
              </w:trPr>
              <w:tc>
                <w:tcPr>
                  <w:tcW w:w="4071" w:type="dxa"/>
                  <w:tcBorders>
                    <w:top w:val="nil"/>
                    <w:left w:val="nil"/>
                    <w:bottom w:val="single" w:sz="4" w:space="0" w:color="auto"/>
                    <w:right w:val="nil"/>
                  </w:tcBorders>
                  <w:noWrap/>
                  <w:vAlign w:val="bottom"/>
                  <w:hideMark/>
                </w:tcPr>
                <w:p w14:paraId="30FA2D32" w14:textId="77777777" w:rsidR="00605D96" w:rsidRPr="00995C95" w:rsidRDefault="00605D96" w:rsidP="008B207B">
                  <w:pPr>
                    <w:spacing w:after="0" w:line="240" w:lineRule="auto"/>
                    <w:jc w:val="left"/>
                    <w:rPr>
                      <w:rFonts w:cs="Arial"/>
                      <w:color w:val="000000"/>
                      <w:sz w:val="22"/>
                      <w:szCs w:val="22"/>
                    </w:rPr>
                  </w:pPr>
                  <w:r w:rsidRPr="00995C95">
                    <w:rPr>
                      <w:rFonts w:cs="Arial"/>
                      <w:color w:val="000000"/>
                      <w:sz w:val="22"/>
                      <w:szCs w:val="22"/>
                    </w:rPr>
                    <w:t> </w:t>
                  </w:r>
                </w:p>
              </w:tc>
              <w:tc>
                <w:tcPr>
                  <w:tcW w:w="700" w:type="dxa"/>
                  <w:tcBorders>
                    <w:top w:val="nil"/>
                    <w:left w:val="nil"/>
                    <w:bottom w:val="single" w:sz="4" w:space="0" w:color="auto"/>
                    <w:right w:val="nil"/>
                  </w:tcBorders>
                  <w:noWrap/>
                  <w:vAlign w:val="bottom"/>
                  <w:hideMark/>
                </w:tcPr>
                <w:p w14:paraId="08A4AF5C" w14:textId="468EA373" w:rsidR="00605D96" w:rsidRPr="00995C95" w:rsidRDefault="00A601C4" w:rsidP="008B207B">
                  <w:pPr>
                    <w:spacing w:after="0" w:line="240" w:lineRule="auto"/>
                    <w:jc w:val="right"/>
                    <w:rPr>
                      <w:rFonts w:cs="Arial"/>
                      <w:color w:val="000000"/>
                      <w:sz w:val="16"/>
                      <w:szCs w:val="16"/>
                    </w:rPr>
                  </w:pPr>
                  <w:r w:rsidRPr="00995C95">
                    <w:rPr>
                      <w:rFonts w:cs="Arial"/>
                      <w:color w:val="000000"/>
                      <w:sz w:val="16"/>
                      <w:szCs w:val="16"/>
                    </w:rPr>
                    <w:t>bn CZK</w:t>
                  </w:r>
                </w:p>
              </w:tc>
            </w:tr>
            <w:tr w:rsidR="00605D96" w:rsidRPr="00995C95" w14:paraId="18CDB566" w14:textId="77777777" w:rsidTr="008B207B">
              <w:trPr>
                <w:trHeight w:val="255"/>
              </w:trPr>
              <w:tc>
                <w:tcPr>
                  <w:tcW w:w="4071" w:type="dxa"/>
                  <w:tcBorders>
                    <w:top w:val="nil"/>
                    <w:left w:val="nil"/>
                    <w:bottom w:val="nil"/>
                    <w:right w:val="nil"/>
                  </w:tcBorders>
                  <w:noWrap/>
                  <w:vAlign w:val="bottom"/>
                  <w:hideMark/>
                </w:tcPr>
                <w:p w14:paraId="50832A10" w14:textId="7D09C2BA"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Rus</w:t>
                  </w:r>
                  <w:r w:rsidR="00A601C4" w:rsidRPr="00995C95">
                    <w:rPr>
                      <w:rFonts w:cs="Arial"/>
                      <w:color w:val="000000"/>
                      <w:sz w:val="16"/>
                      <w:szCs w:val="16"/>
                    </w:rPr>
                    <w:t>sia</w:t>
                  </w:r>
                </w:p>
              </w:tc>
              <w:tc>
                <w:tcPr>
                  <w:tcW w:w="700" w:type="dxa"/>
                  <w:tcBorders>
                    <w:top w:val="nil"/>
                    <w:left w:val="nil"/>
                    <w:bottom w:val="nil"/>
                    <w:right w:val="nil"/>
                  </w:tcBorders>
                  <w:noWrap/>
                  <w:vAlign w:val="bottom"/>
                  <w:hideMark/>
                </w:tcPr>
                <w:p w14:paraId="52F19428" w14:textId="732E66E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+21</w:t>
                  </w:r>
                  <w:r w:rsidR="00A601C4" w:rsidRPr="00995C95">
                    <w:rPr>
                      <w:rFonts w:cs="Arial"/>
                      <w:color w:val="000000"/>
                      <w:sz w:val="16"/>
                      <w:szCs w:val="16"/>
                    </w:rPr>
                    <w:t>.</w:t>
                  </w:r>
                  <w:r w:rsidRPr="00995C95">
                    <w:rPr>
                      <w:rFonts w:cs="Arial"/>
                      <w:color w:val="000000"/>
                      <w:sz w:val="16"/>
                      <w:szCs w:val="16"/>
                    </w:rPr>
                    <w:t>0</w:t>
                  </w:r>
                </w:p>
              </w:tc>
            </w:tr>
            <w:tr w:rsidR="00605D96" w:rsidRPr="00995C95" w14:paraId="1839252F" w14:textId="77777777" w:rsidTr="008B207B">
              <w:trPr>
                <w:trHeight w:val="255"/>
              </w:trPr>
              <w:tc>
                <w:tcPr>
                  <w:tcW w:w="4071" w:type="dxa"/>
                  <w:tcBorders>
                    <w:top w:val="nil"/>
                    <w:left w:val="nil"/>
                    <w:bottom w:val="nil"/>
                    <w:right w:val="nil"/>
                  </w:tcBorders>
                  <w:noWrap/>
                  <w:vAlign w:val="bottom"/>
                  <w:hideMark/>
                </w:tcPr>
                <w:p w14:paraId="26B4CEFE" w14:textId="1BB52721"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Slov</w:t>
                  </w:r>
                  <w:r w:rsidR="00A601C4" w:rsidRPr="00995C95">
                    <w:rPr>
                      <w:rFonts w:cs="Arial"/>
                      <w:color w:val="000000"/>
                      <w:sz w:val="16"/>
                      <w:szCs w:val="16"/>
                    </w:rPr>
                    <w:t>akia</w:t>
                  </w:r>
                </w:p>
              </w:tc>
              <w:tc>
                <w:tcPr>
                  <w:tcW w:w="700" w:type="dxa"/>
                  <w:tcBorders>
                    <w:top w:val="nil"/>
                    <w:left w:val="nil"/>
                    <w:bottom w:val="nil"/>
                    <w:right w:val="nil"/>
                  </w:tcBorders>
                  <w:noWrap/>
                  <w:vAlign w:val="bottom"/>
                  <w:hideMark/>
                </w:tcPr>
                <w:p w14:paraId="01759DF3" w14:textId="3EC5F05B"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+10</w:t>
                  </w:r>
                  <w:r w:rsidR="00A601C4" w:rsidRPr="00995C95">
                    <w:rPr>
                      <w:rFonts w:cs="Arial"/>
                      <w:color w:val="000000"/>
                      <w:sz w:val="16"/>
                      <w:szCs w:val="16"/>
                    </w:rPr>
                    <w:t>.</w:t>
                  </w:r>
                  <w:r w:rsidRPr="00995C95">
                    <w:rPr>
                      <w:rFonts w:cs="Arial"/>
                      <w:color w:val="000000"/>
                      <w:sz w:val="16"/>
                      <w:szCs w:val="16"/>
                    </w:rPr>
                    <w:t>6</w:t>
                  </w:r>
                </w:p>
              </w:tc>
            </w:tr>
            <w:tr w:rsidR="00605D96" w:rsidRPr="00995C95" w14:paraId="2F1B6D39" w14:textId="77777777" w:rsidTr="008B207B">
              <w:trPr>
                <w:trHeight w:val="255"/>
              </w:trPr>
              <w:tc>
                <w:tcPr>
                  <w:tcW w:w="4071" w:type="dxa"/>
                  <w:tcBorders>
                    <w:top w:val="nil"/>
                    <w:left w:val="nil"/>
                    <w:bottom w:val="nil"/>
                    <w:right w:val="nil"/>
                  </w:tcBorders>
                  <w:noWrap/>
                  <w:vAlign w:val="bottom"/>
                  <w:hideMark/>
                </w:tcPr>
                <w:p w14:paraId="63542E80" w14:textId="2BD622C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China</w:t>
                  </w:r>
                </w:p>
              </w:tc>
              <w:tc>
                <w:tcPr>
                  <w:tcW w:w="700" w:type="dxa"/>
                  <w:tcBorders>
                    <w:top w:val="nil"/>
                    <w:left w:val="nil"/>
                    <w:bottom w:val="nil"/>
                    <w:right w:val="nil"/>
                  </w:tcBorders>
                  <w:noWrap/>
                  <w:vAlign w:val="bottom"/>
                  <w:hideMark/>
                </w:tcPr>
                <w:p w14:paraId="2F88D335" w14:textId="5E3460B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+8</w:t>
                  </w:r>
                  <w:r w:rsidR="00A601C4" w:rsidRPr="00995C95">
                    <w:rPr>
                      <w:rFonts w:cs="Arial"/>
                      <w:color w:val="000000"/>
                      <w:sz w:val="16"/>
                      <w:szCs w:val="16"/>
                    </w:rPr>
                    <w:t>.</w:t>
                  </w:r>
                  <w:r w:rsidRPr="00995C95">
                    <w:rPr>
                      <w:rFonts w:cs="Arial"/>
                      <w:color w:val="000000"/>
                      <w:sz w:val="16"/>
                      <w:szCs w:val="16"/>
                    </w:rPr>
                    <w:t>4</w:t>
                  </w:r>
                </w:p>
              </w:tc>
            </w:tr>
            <w:tr w:rsidR="00605D96" w:rsidRPr="00995C95" w14:paraId="0640D8E5" w14:textId="77777777" w:rsidTr="008B207B">
              <w:trPr>
                <w:trHeight w:val="255"/>
              </w:trPr>
              <w:tc>
                <w:tcPr>
                  <w:tcW w:w="4071" w:type="dxa"/>
                  <w:tcBorders>
                    <w:top w:val="nil"/>
                    <w:left w:val="nil"/>
                    <w:bottom w:val="nil"/>
                    <w:right w:val="nil"/>
                  </w:tcBorders>
                  <w:noWrap/>
                  <w:vAlign w:val="bottom"/>
                  <w:hideMark/>
                </w:tcPr>
                <w:p w14:paraId="4A39FCCC" w14:textId="711C70C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Franc</w:t>
                  </w:r>
                  <w:r w:rsidR="00A601C4" w:rsidRPr="00995C95">
                    <w:rPr>
                      <w:rFonts w:cs="Arial"/>
                      <w:color w:val="000000"/>
                      <w:sz w:val="16"/>
                      <w:szCs w:val="16"/>
                    </w:rPr>
                    <w:t>e</w:t>
                  </w:r>
                </w:p>
              </w:tc>
              <w:tc>
                <w:tcPr>
                  <w:tcW w:w="700" w:type="dxa"/>
                  <w:tcBorders>
                    <w:top w:val="nil"/>
                    <w:left w:val="nil"/>
                    <w:bottom w:val="nil"/>
                    <w:right w:val="nil"/>
                  </w:tcBorders>
                  <w:noWrap/>
                  <w:vAlign w:val="bottom"/>
                  <w:hideMark/>
                </w:tcPr>
                <w:p w14:paraId="2DA3F6D3" w14:textId="1F6F4331"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+6</w:t>
                  </w:r>
                  <w:r w:rsidR="00A601C4" w:rsidRPr="00995C95">
                    <w:rPr>
                      <w:rFonts w:cs="Arial"/>
                      <w:color w:val="000000"/>
                      <w:sz w:val="16"/>
                      <w:szCs w:val="16"/>
                    </w:rPr>
                    <w:t>.</w:t>
                  </w:r>
                  <w:r w:rsidRPr="00995C95">
                    <w:rPr>
                      <w:rFonts w:cs="Arial"/>
                      <w:color w:val="000000"/>
                      <w:sz w:val="16"/>
                      <w:szCs w:val="16"/>
                    </w:rPr>
                    <w:t>1</w:t>
                  </w:r>
                </w:p>
              </w:tc>
            </w:tr>
            <w:tr w:rsidR="00605D96" w:rsidRPr="00995C95" w14:paraId="3867E28D" w14:textId="77777777" w:rsidTr="008B207B">
              <w:trPr>
                <w:trHeight w:val="255"/>
              </w:trPr>
              <w:tc>
                <w:tcPr>
                  <w:tcW w:w="4071" w:type="dxa"/>
                  <w:tcBorders>
                    <w:top w:val="nil"/>
                    <w:left w:val="nil"/>
                    <w:bottom w:val="nil"/>
                    <w:right w:val="nil"/>
                  </w:tcBorders>
                  <w:noWrap/>
                  <w:vAlign w:val="bottom"/>
                  <w:hideMark/>
                </w:tcPr>
                <w:p w14:paraId="00CD6D50" w14:textId="7BCA124F"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Sweden</w:t>
                  </w:r>
                </w:p>
              </w:tc>
              <w:tc>
                <w:tcPr>
                  <w:tcW w:w="700" w:type="dxa"/>
                  <w:tcBorders>
                    <w:top w:val="nil"/>
                    <w:left w:val="nil"/>
                    <w:bottom w:val="nil"/>
                    <w:right w:val="nil"/>
                  </w:tcBorders>
                  <w:noWrap/>
                  <w:vAlign w:val="bottom"/>
                  <w:hideMark/>
                </w:tcPr>
                <w:p w14:paraId="63E7384E" w14:textId="3D3E13A9"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0</w:t>
                  </w:r>
                </w:p>
              </w:tc>
            </w:tr>
            <w:tr w:rsidR="00605D96" w:rsidRPr="00995C95" w14:paraId="1891A8C4" w14:textId="77777777" w:rsidTr="008B207B">
              <w:trPr>
                <w:trHeight w:val="255"/>
              </w:trPr>
              <w:tc>
                <w:tcPr>
                  <w:tcW w:w="4071" w:type="dxa"/>
                  <w:tcBorders>
                    <w:top w:val="nil"/>
                    <w:left w:val="nil"/>
                    <w:bottom w:val="nil"/>
                    <w:right w:val="nil"/>
                  </w:tcBorders>
                  <w:noWrap/>
                  <w:vAlign w:val="bottom"/>
                  <w:hideMark/>
                </w:tcPr>
                <w:p w14:paraId="046B14D7" w14:textId="2BCF5F43"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South Korea</w:t>
                  </w:r>
                </w:p>
              </w:tc>
              <w:tc>
                <w:tcPr>
                  <w:tcW w:w="700" w:type="dxa"/>
                  <w:tcBorders>
                    <w:top w:val="nil"/>
                    <w:left w:val="nil"/>
                    <w:bottom w:val="nil"/>
                    <w:right w:val="nil"/>
                  </w:tcBorders>
                  <w:noWrap/>
                  <w:vAlign w:val="bottom"/>
                  <w:hideMark/>
                </w:tcPr>
                <w:p w14:paraId="1B0B38E0" w14:textId="38C7FA9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6</w:t>
                  </w:r>
                </w:p>
              </w:tc>
            </w:tr>
            <w:tr w:rsidR="00605D96" w:rsidRPr="00995C95" w14:paraId="1FA36C1A" w14:textId="77777777" w:rsidTr="008B207B">
              <w:trPr>
                <w:trHeight w:val="255"/>
              </w:trPr>
              <w:tc>
                <w:tcPr>
                  <w:tcW w:w="4071" w:type="dxa"/>
                  <w:tcBorders>
                    <w:top w:val="nil"/>
                    <w:left w:val="nil"/>
                    <w:bottom w:val="nil"/>
                    <w:right w:val="nil"/>
                  </w:tcBorders>
                  <w:noWrap/>
                  <w:vAlign w:val="bottom"/>
                  <w:hideMark/>
                </w:tcPr>
                <w:p w14:paraId="2704344E" w14:textId="382D28EE"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Belg</w:t>
                  </w:r>
                  <w:r w:rsidR="00A601C4" w:rsidRPr="00995C95">
                    <w:rPr>
                      <w:rFonts w:cs="Arial"/>
                      <w:color w:val="000000"/>
                      <w:sz w:val="16"/>
                      <w:szCs w:val="16"/>
                    </w:rPr>
                    <w:t>ium</w:t>
                  </w:r>
                </w:p>
              </w:tc>
              <w:tc>
                <w:tcPr>
                  <w:tcW w:w="700" w:type="dxa"/>
                  <w:tcBorders>
                    <w:top w:val="nil"/>
                    <w:left w:val="nil"/>
                    <w:bottom w:val="nil"/>
                    <w:right w:val="nil"/>
                  </w:tcBorders>
                  <w:noWrap/>
                  <w:vAlign w:val="bottom"/>
                  <w:hideMark/>
                </w:tcPr>
                <w:p w14:paraId="67576AA7" w14:textId="6DA4459E"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−1</w:t>
                  </w:r>
                  <w:r w:rsidR="00A601C4" w:rsidRPr="00995C95">
                    <w:rPr>
                      <w:rFonts w:cs="Arial"/>
                      <w:color w:val="000000"/>
                      <w:sz w:val="16"/>
                      <w:szCs w:val="16"/>
                    </w:rPr>
                    <w:t>.</w:t>
                  </w:r>
                  <w:r w:rsidRPr="00995C95">
                    <w:rPr>
                      <w:rFonts w:cs="Arial"/>
                      <w:color w:val="000000"/>
                      <w:sz w:val="16"/>
                      <w:szCs w:val="16"/>
                    </w:rPr>
                    <w:t>7</w:t>
                  </w:r>
                </w:p>
              </w:tc>
            </w:tr>
            <w:tr w:rsidR="00605D96" w:rsidRPr="00995C95" w14:paraId="08A1D219" w14:textId="77777777" w:rsidTr="008B207B">
              <w:trPr>
                <w:trHeight w:val="255"/>
              </w:trPr>
              <w:tc>
                <w:tcPr>
                  <w:tcW w:w="4071" w:type="dxa"/>
                  <w:tcBorders>
                    <w:top w:val="nil"/>
                    <w:left w:val="nil"/>
                    <w:bottom w:val="nil"/>
                    <w:right w:val="nil"/>
                  </w:tcBorders>
                  <w:noWrap/>
                  <w:vAlign w:val="bottom"/>
                  <w:hideMark/>
                </w:tcPr>
                <w:p w14:paraId="5B76D658" w14:textId="2E926D16"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Ir</w:t>
                  </w:r>
                  <w:r w:rsidR="00A601C4" w:rsidRPr="00995C95">
                    <w:rPr>
                      <w:rFonts w:cs="Arial"/>
                      <w:color w:val="000000"/>
                      <w:sz w:val="16"/>
                      <w:szCs w:val="16"/>
                    </w:rPr>
                    <w:t>eland</w:t>
                  </w:r>
                </w:p>
              </w:tc>
              <w:tc>
                <w:tcPr>
                  <w:tcW w:w="700" w:type="dxa"/>
                  <w:tcBorders>
                    <w:top w:val="nil"/>
                    <w:left w:val="nil"/>
                    <w:bottom w:val="nil"/>
                    <w:right w:val="nil"/>
                  </w:tcBorders>
                  <w:noWrap/>
                  <w:vAlign w:val="bottom"/>
                  <w:hideMark/>
                </w:tcPr>
                <w:p w14:paraId="7909D0F2" w14:textId="3F3E40A5"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0</w:t>
                  </w:r>
                </w:p>
              </w:tc>
            </w:tr>
            <w:tr w:rsidR="00605D96" w:rsidRPr="00995C95" w14:paraId="52BB5AB6" w14:textId="77777777" w:rsidTr="008B207B">
              <w:trPr>
                <w:trHeight w:val="255"/>
              </w:trPr>
              <w:tc>
                <w:tcPr>
                  <w:tcW w:w="4071" w:type="dxa"/>
                  <w:tcBorders>
                    <w:top w:val="nil"/>
                    <w:left w:val="nil"/>
                    <w:bottom w:val="nil"/>
                    <w:right w:val="nil"/>
                  </w:tcBorders>
                  <w:noWrap/>
                  <w:vAlign w:val="bottom"/>
                  <w:hideMark/>
                </w:tcPr>
                <w:p w14:paraId="4305B810" w14:textId="125820D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Kazakhstan</w:t>
                  </w:r>
                </w:p>
              </w:tc>
              <w:tc>
                <w:tcPr>
                  <w:tcW w:w="700" w:type="dxa"/>
                  <w:tcBorders>
                    <w:top w:val="nil"/>
                    <w:left w:val="nil"/>
                    <w:bottom w:val="nil"/>
                    <w:right w:val="nil"/>
                  </w:tcBorders>
                  <w:noWrap/>
                  <w:vAlign w:val="bottom"/>
                  <w:hideMark/>
                </w:tcPr>
                <w:p w14:paraId="4D731361" w14:textId="664DED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3</w:t>
                  </w:r>
                </w:p>
              </w:tc>
            </w:tr>
            <w:tr w:rsidR="00605D96" w:rsidRPr="00995C95" w14:paraId="205EDB15" w14:textId="77777777" w:rsidTr="008B207B">
              <w:trPr>
                <w:trHeight w:val="255"/>
              </w:trPr>
              <w:tc>
                <w:tcPr>
                  <w:tcW w:w="4071" w:type="dxa"/>
                  <w:tcBorders>
                    <w:top w:val="nil"/>
                    <w:left w:val="nil"/>
                    <w:bottom w:val="nil"/>
                    <w:right w:val="nil"/>
                  </w:tcBorders>
                  <w:noWrap/>
                  <w:vAlign w:val="bottom"/>
                  <w:hideMark/>
                </w:tcPr>
                <w:p w14:paraId="7893D639" w14:textId="2452E1F0"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Great Britain</w:t>
                  </w:r>
                </w:p>
              </w:tc>
              <w:tc>
                <w:tcPr>
                  <w:tcW w:w="700" w:type="dxa"/>
                  <w:tcBorders>
                    <w:top w:val="nil"/>
                    <w:left w:val="nil"/>
                    <w:bottom w:val="nil"/>
                    <w:right w:val="nil"/>
                  </w:tcBorders>
                  <w:noWrap/>
                  <w:vAlign w:val="bottom"/>
                  <w:hideMark/>
                </w:tcPr>
                <w:p w14:paraId="5A8E4E4E" w14:textId="427F021A"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5</w:t>
                  </w:r>
                </w:p>
              </w:tc>
            </w:tr>
            <w:tr w:rsidR="00605D96" w:rsidRPr="00995C95" w14:paraId="17FC76C5" w14:textId="77777777" w:rsidTr="008B207B">
              <w:trPr>
                <w:trHeight w:val="255"/>
              </w:trPr>
              <w:tc>
                <w:tcPr>
                  <w:tcW w:w="4071" w:type="dxa"/>
                  <w:tcBorders>
                    <w:top w:val="nil"/>
                    <w:left w:val="nil"/>
                    <w:bottom w:val="nil"/>
                    <w:right w:val="nil"/>
                  </w:tcBorders>
                  <w:noWrap/>
                  <w:vAlign w:val="bottom"/>
                  <w:hideMark/>
                </w:tcPr>
                <w:p w14:paraId="720778D0" w14:textId="3806677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Pol</w:t>
                  </w:r>
                  <w:r w:rsidR="00A601C4" w:rsidRPr="00995C95">
                    <w:rPr>
                      <w:rFonts w:cs="Arial"/>
                      <w:color w:val="000000"/>
                      <w:sz w:val="16"/>
                      <w:szCs w:val="16"/>
                    </w:rPr>
                    <w:t>and</w:t>
                  </w:r>
                </w:p>
              </w:tc>
              <w:tc>
                <w:tcPr>
                  <w:tcW w:w="700" w:type="dxa"/>
                  <w:tcBorders>
                    <w:top w:val="nil"/>
                    <w:left w:val="nil"/>
                    <w:bottom w:val="nil"/>
                    <w:right w:val="nil"/>
                  </w:tcBorders>
                  <w:noWrap/>
                  <w:vAlign w:val="bottom"/>
                  <w:hideMark/>
                </w:tcPr>
                <w:p w14:paraId="23B2A8A5" w14:textId="6335A8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1065C258" w14:textId="77777777" w:rsidTr="008B207B">
              <w:trPr>
                <w:trHeight w:val="255"/>
              </w:trPr>
              <w:tc>
                <w:tcPr>
                  <w:tcW w:w="4071" w:type="dxa"/>
                  <w:tcBorders>
                    <w:top w:val="nil"/>
                    <w:left w:val="nil"/>
                    <w:bottom w:val="nil"/>
                    <w:right w:val="nil"/>
                  </w:tcBorders>
                  <w:noWrap/>
                  <w:vAlign w:val="bottom"/>
                  <w:hideMark/>
                </w:tcPr>
                <w:p w14:paraId="4B651937" w14:textId="64F97B93"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T</w:t>
                  </w:r>
                  <w:r w:rsidR="00A601C4" w:rsidRPr="00995C95">
                    <w:rPr>
                      <w:rFonts w:cs="Arial"/>
                      <w:color w:val="000000"/>
                      <w:sz w:val="16"/>
                      <w:szCs w:val="16"/>
                    </w:rPr>
                    <w:t>aiwan</w:t>
                  </w:r>
                </w:p>
              </w:tc>
              <w:tc>
                <w:tcPr>
                  <w:tcW w:w="700" w:type="dxa"/>
                  <w:tcBorders>
                    <w:top w:val="nil"/>
                    <w:left w:val="nil"/>
                    <w:bottom w:val="nil"/>
                    <w:right w:val="nil"/>
                  </w:tcBorders>
                  <w:noWrap/>
                  <w:vAlign w:val="bottom"/>
                  <w:hideMark/>
                </w:tcPr>
                <w:p w14:paraId="00852EEC" w14:textId="6E5D56A6"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−2</w:t>
                  </w:r>
                  <w:r w:rsidR="00A601C4" w:rsidRPr="00995C95">
                    <w:rPr>
                      <w:rFonts w:cs="Arial"/>
                      <w:color w:val="000000"/>
                      <w:sz w:val="16"/>
                      <w:szCs w:val="16"/>
                    </w:rPr>
                    <w:t>.</w:t>
                  </w:r>
                  <w:r w:rsidRPr="00995C95">
                    <w:rPr>
                      <w:rFonts w:cs="Arial"/>
                      <w:color w:val="000000"/>
                      <w:sz w:val="16"/>
                      <w:szCs w:val="16"/>
                    </w:rPr>
                    <w:t>7</w:t>
                  </w:r>
                </w:p>
              </w:tc>
            </w:tr>
            <w:tr w:rsidR="00605D96" w:rsidRPr="00995C95" w14:paraId="10A72EA0" w14:textId="77777777" w:rsidTr="008B207B">
              <w:trPr>
                <w:trHeight w:val="255"/>
              </w:trPr>
              <w:tc>
                <w:tcPr>
                  <w:tcW w:w="4071" w:type="dxa"/>
                  <w:tcBorders>
                    <w:top w:val="nil"/>
                    <w:left w:val="nil"/>
                    <w:bottom w:val="nil"/>
                    <w:right w:val="nil"/>
                  </w:tcBorders>
                  <w:noWrap/>
                  <w:vAlign w:val="bottom"/>
                  <w:hideMark/>
                </w:tcPr>
                <w:p w14:paraId="2ADD5CB3" w14:textId="263A0A6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Hungary</w:t>
                  </w:r>
                </w:p>
              </w:tc>
              <w:tc>
                <w:tcPr>
                  <w:tcW w:w="700" w:type="dxa"/>
                  <w:tcBorders>
                    <w:top w:val="nil"/>
                    <w:left w:val="nil"/>
                    <w:bottom w:val="nil"/>
                    <w:right w:val="nil"/>
                  </w:tcBorders>
                  <w:noWrap/>
                  <w:vAlign w:val="bottom"/>
                  <w:hideMark/>
                </w:tcPr>
                <w:p w14:paraId="0939FCE2" w14:textId="510E913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A601C4" w:rsidRPr="00995C95">
                    <w:rPr>
                      <w:rFonts w:cs="Arial"/>
                      <w:color w:val="000000"/>
                      <w:sz w:val="16"/>
                      <w:szCs w:val="16"/>
                    </w:rPr>
                    <w:t>.</w:t>
                  </w:r>
                  <w:r w:rsidRPr="00995C95">
                    <w:rPr>
                      <w:rFonts w:cs="Arial"/>
                      <w:color w:val="000000"/>
                      <w:sz w:val="16"/>
                      <w:szCs w:val="16"/>
                    </w:rPr>
                    <w:t>5</w:t>
                  </w:r>
                </w:p>
              </w:tc>
            </w:tr>
            <w:tr w:rsidR="00605D96" w:rsidRPr="00995C95" w14:paraId="37D9B5BC" w14:textId="77777777" w:rsidTr="008B207B">
              <w:trPr>
                <w:trHeight w:val="255"/>
              </w:trPr>
              <w:tc>
                <w:tcPr>
                  <w:tcW w:w="4071" w:type="dxa"/>
                  <w:tcBorders>
                    <w:top w:val="nil"/>
                    <w:left w:val="nil"/>
                    <w:bottom w:val="nil"/>
                    <w:right w:val="nil"/>
                  </w:tcBorders>
                  <w:noWrap/>
                  <w:vAlign w:val="bottom"/>
                  <w:hideMark/>
                </w:tcPr>
                <w:p w14:paraId="78B47B03" w14:textId="19331DAC" w:rsidR="00605D96" w:rsidRPr="00995C95" w:rsidRDefault="00A601C4" w:rsidP="008B207B">
                  <w:pPr>
                    <w:spacing w:after="0" w:line="240" w:lineRule="auto"/>
                    <w:jc w:val="left"/>
                    <w:rPr>
                      <w:rFonts w:cs="Arial"/>
                      <w:color w:val="000000"/>
                      <w:sz w:val="16"/>
                      <w:szCs w:val="16"/>
                    </w:rPr>
                  </w:pPr>
                  <w:r w:rsidRPr="00995C95">
                    <w:rPr>
                      <w:rFonts w:cs="Arial"/>
                      <w:color w:val="000000"/>
                      <w:sz w:val="16"/>
                      <w:szCs w:val="16"/>
                    </w:rPr>
                    <w:t>United States of America</w:t>
                  </w:r>
                </w:p>
              </w:tc>
              <w:tc>
                <w:tcPr>
                  <w:tcW w:w="700" w:type="dxa"/>
                  <w:tcBorders>
                    <w:top w:val="nil"/>
                    <w:left w:val="nil"/>
                    <w:bottom w:val="nil"/>
                    <w:right w:val="nil"/>
                  </w:tcBorders>
                  <w:noWrap/>
                  <w:vAlign w:val="bottom"/>
                  <w:hideMark/>
                </w:tcPr>
                <w:p w14:paraId="3EE02434" w14:textId="2B2376C7"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−3</w:t>
                  </w:r>
                  <w:r w:rsidR="00A601C4" w:rsidRPr="00995C95">
                    <w:rPr>
                      <w:rFonts w:cs="Arial"/>
                      <w:color w:val="000000"/>
                      <w:sz w:val="16"/>
                      <w:szCs w:val="16"/>
                    </w:rPr>
                    <w:t>.</w:t>
                  </w:r>
                  <w:r w:rsidRPr="00995C95">
                    <w:rPr>
                      <w:rFonts w:cs="Arial"/>
                      <w:color w:val="000000"/>
                      <w:sz w:val="16"/>
                      <w:szCs w:val="16"/>
                    </w:rPr>
                    <w:t>5</w:t>
                  </w:r>
                </w:p>
              </w:tc>
            </w:tr>
            <w:tr w:rsidR="00605D96" w:rsidRPr="00995C95" w14:paraId="07F46725" w14:textId="77777777" w:rsidTr="008B207B">
              <w:trPr>
                <w:trHeight w:val="255"/>
              </w:trPr>
              <w:tc>
                <w:tcPr>
                  <w:tcW w:w="4071" w:type="dxa"/>
                  <w:tcBorders>
                    <w:top w:val="nil"/>
                    <w:left w:val="nil"/>
                    <w:bottom w:val="nil"/>
                    <w:right w:val="nil"/>
                  </w:tcBorders>
                  <w:noWrap/>
                  <w:vAlign w:val="bottom"/>
                  <w:hideMark/>
                </w:tcPr>
                <w:p w14:paraId="361DB4C8" w14:textId="7023951B" w:rsidR="00605D96" w:rsidRPr="00995C95" w:rsidRDefault="00605D96" w:rsidP="008B207B">
                  <w:pPr>
                    <w:spacing w:after="0" w:line="240" w:lineRule="auto"/>
                    <w:jc w:val="left"/>
                    <w:rPr>
                      <w:rFonts w:cs="Arial"/>
                      <w:color w:val="000000"/>
                      <w:sz w:val="16"/>
                      <w:szCs w:val="16"/>
                    </w:rPr>
                  </w:pPr>
                  <w:r w:rsidRPr="00995C95">
                    <w:rPr>
                      <w:rFonts w:cs="Arial"/>
                      <w:color w:val="000000"/>
                      <w:sz w:val="16"/>
                      <w:szCs w:val="16"/>
                    </w:rPr>
                    <w:t>Nor</w:t>
                  </w:r>
                  <w:r w:rsidR="00A601C4" w:rsidRPr="00995C95">
                    <w:rPr>
                      <w:rFonts w:cs="Arial"/>
                      <w:color w:val="000000"/>
                      <w:sz w:val="16"/>
                      <w:szCs w:val="16"/>
                    </w:rPr>
                    <w:t>way</w:t>
                  </w:r>
                </w:p>
              </w:tc>
              <w:tc>
                <w:tcPr>
                  <w:tcW w:w="700" w:type="dxa"/>
                  <w:tcBorders>
                    <w:top w:val="nil"/>
                    <w:left w:val="nil"/>
                    <w:bottom w:val="nil"/>
                    <w:right w:val="nil"/>
                  </w:tcBorders>
                  <w:noWrap/>
                  <w:vAlign w:val="bottom"/>
                  <w:hideMark/>
                </w:tcPr>
                <w:p w14:paraId="2CAD1B13" w14:textId="62D71123" w:rsidR="00605D96" w:rsidRPr="00995C95" w:rsidRDefault="00605D96" w:rsidP="008B207B">
                  <w:pPr>
                    <w:spacing w:after="0" w:line="240" w:lineRule="auto"/>
                    <w:jc w:val="right"/>
                    <w:rPr>
                      <w:rFonts w:cs="Arial"/>
                      <w:color w:val="000000"/>
                      <w:sz w:val="16"/>
                      <w:szCs w:val="16"/>
                    </w:rPr>
                  </w:pPr>
                  <w:r w:rsidRPr="00995C95">
                    <w:rPr>
                      <w:rFonts w:cs="Arial"/>
                      <w:color w:val="000000"/>
                      <w:sz w:val="16"/>
                      <w:szCs w:val="16"/>
                    </w:rPr>
                    <w:t>−5</w:t>
                  </w:r>
                  <w:r w:rsidR="00A601C4" w:rsidRPr="00995C95">
                    <w:rPr>
                      <w:rFonts w:cs="Arial"/>
                      <w:color w:val="000000"/>
                      <w:sz w:val="16"/>
                      <w:szCs w:val="16"/>
                    </w:rPr>
                    <w:t>.</w:t>
                  </w:r>
                  <w:r w:rsidRPr="00995C95">
                    <w:rPr>
                      <w:rFonts w:cs="Arial"/>
                      <w:color w:val="000000"/>
                      <w:sz w:val="16"/>
                      <w:szCs w:val="16"/>
                    </w:rPr>
                    <w:t>7</w:t>
                  </w:r>
                </w:p>
              </w:tc>
            </w:tr>
          </w:tbl>
          <w:p w14:paraId="4625B59B" w14:textId="77777777" w:rsidR="00605D96" w:rsidRPr="00995C95" w:rsidRDefault="00605D96" w:rsidP="008B207B">
            <w:pPr>
              <w:spacing w:after="0"/>
              <w:rPr>
                <w:rFonts w:cs="Arial"/>
                <w:spacing w:val="-4"/>
                <w:sz w:val="16"/>
                <w:szCs w:val="16"/>
                <w:lang w:eastAsia="en-US"/>
              </w:rPr>
            </w:pPr>
          </w:p>
        </w:tc>
      </w:tr>
      <w:tr w:rsidR="00605D96" w:rsidRPr="00995C95" w14:paraId="3E0D9CF8" w14:textId="77777777" w:rsidTr="008B207B">
        <w:trPr>
          <w:trHeight w:val="170"/>
        </w:trPr>
        <w:tc>
          <w:tcPr>
            <w:tcW w:w="4811" w:type="dxa"/>
            <w:gridSpan w:val="3"/>
            <w:hideMark/>
          </w:tcPr>
          <w:p w14:paraId="4816FC54" w14:textId="31FD3343" w:rsidR="00605D96" w:rsidRPr="00995C95" w:rsidRDefault="0071517E" w:rsidP="008B207B">
            <w:pPr>
              <w:jc w:val="left"/>
              <w:rPr>
                <w:spacing w:val="-4"/>
                <w:sz w:val="16"/>
                <w:szCs w:val="16"/>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c>
          <w:tcPr>
            <w:tcW w:w="57" w:type="dxa"/>
          </w:tcPr>
          <w:p w14:paraId="34DB04D3" w14:textId="77777777" w:rsidR="00605D96" w:rsidRPr="00995C95" w:rsidRDefault="00605D96" w:rsidP="008B207B">
            <w:pPr>
              <w:spacing w:after="0"/>
              <w:rPr>
                <w:spacing w:val="-4"/>
                <w:lang w:eastAsia="en-US"/>
              </w:rPr>
            </w:pPr>
          </w:p>
        </w:tc>
        <w:tc>
          <w:tcPr>
            <w:tcW w:w="4809" w:type="dxa"/>
            <w:hideMark/>
          </w:tcPr>
          <w:p w14:paraId="5154D21E" w14:textId="119AD347" w:rsidR="00605D96" w:rsidRPr="00995C95" w:rsidRDefault="0071517E" w:rsidP="008B207B">
            <w:pPr>
              <w:spacing w:after="0"/>
              <w:ind w:right="21"/>
              <w:jc w:val="left"/>
              <w:rPr>
                <w:spacing w:val="-4"/>
                <w:lang w:eastAsia="en-US"/>
              </w:rPr>
            </w:pPr>
            <w:r w:rsidRPr="00995C95">
              <w:rPr>
                <w:spacing w:val="-4"/>
                <w:sz w:val="16"/>
                <w:szCs w:val="16"/>
                <w:lang w:eastAsia="en-US"/>
              </w:rPr>
              <w:t>Source</w:t>
            </w:r>
            <w:r w:rsidR="00605D96" w:rsidRPr="00995C95">
              <w:rPr>
                <w:spacing w:val="-4"/>
                <w:sz w:val="16"/>
                <w:szCs w:val="16"/>
                <w:lang w:eastAsia="en-US"/>
              </w:rPr>
              <w:t xml:space="preserve">: </w:t>
            </w:r>
            <w:r w:rsidRPr="00995C95">
              <w:rPr>
                <w:spacing w:val="-4"/>
                <w:sz w:val="16"/>
                <w:szCs w:val="16"/>
                <w:lang w:eastAsia="en-US"/>
              </w:rPr>
              <w:t>CZSO</w:t>
            </w:r>
          </w:p>
        </w:tc>
      </w:tr>
      <w:tr w:rsidR="00605D96" w:rsidRPr="00995C95" w14:paraId="35AF6E96" w14:textId="77777777" w:rsidTr="008B207B">
        <w:trPr>
          <w:trHeight w:val="170"/>
        </w:trPr>
        <w:tc>
          <w:tcPr>
            <w:tcW w:w="1748" w:type="dxa"/>
          </w:tcPr>
          <w:p w14:paraId="2B4BA84B" w14:textId="48EB843D" w:rsidR="00605D96" w:rsidRPr="00995C95" w:rsidRDefault="00C77AC4" w:rsidP="00C77AC4">
            <w:pPr>
              <w:pStyle w:val="Marginlie"/>
              <w:rPr>
                <w:lang w:eastAsia="en-US"/>
              </w:rPr>
            </w:pPr>
            <w:r w:rsidRPr="00995C95">
              <w:rPr>
                <w:lang w:eastAsia="en-US"/>
              </w:rPr>
              <w:t>Last year, the motor vehicle trade was in the direction of improving the balance.</w:t>
            </w:r>
          </w:p>
        </w:tc>
        <w:tc>
          <w:tcPr>
            <w:tcW w:w="252" w:type="dxa"/>
          </w:tcPr>
          <w:p w14:paraId="108402B1" w14:textId="77777777" w:rsidR="00605D96" w:rsidRPr="00995C95" w:rsidRDefault="00605D96" w:rsidP="008B207B">
            <w:pPr>
              <w:pStyle w:val="Textpoznpodarou"/>
              <w:jc w:val="both"/>
              <w:rPr>
                <w:spacing w:val="-4"/>
                <w:lang w:eastAsia="en-US"/>
              </w:rPr>
            </w:pPr>
          </w:p>
        </w:tc>
        <w:tc>
          <w:tcPr>
            <w:tcW w:w="7677" w:type="dxa"/>
            <w:gridSpan w:val="3"/>
          </w:tcPr>
          <w:p w14:paraId="3367F1AE" w14:textId="69BDED89" w:rsidR="00605D96" w:rsidRPr="00995C95" w:rsidRDefault="0034749A" w:rsidP="00C96F89">
            <w:pPr>
              <w:rPr>
                <w:rFonts w:cs="Arial"/>
                <w:color w:val="000000"/>
                <w:szCs w:val="20"/>
                <w:lang w:eastAsia="en-US"/>
              </w:rPr>
            </w:pPr>
            <w:r w:rsidRPr="00995C95">
              <w:rPr>
                <w:rFonts w:cs="Arial"/>
                <w:color w:val="000000"/>
                <w:szCs w:val="20"/>
                <w:lang w:eastAsia="en-US"/>
              </w:rPr>
              <w:t>T</w:t>
            </w:r>
            <w:r w:rsidR="00031A7B" w:rsidRPr="00995C95">
              <w:rPr>
                <w:rFonts w:cs="Arial"/>
                <w:color w:val="000000"/>
                <w:szCs w:val="20"/>
                <w:lang w:eastAsia="en-US"/>
              </w:rPr>
              <w:t xml:space="preserve">rade </w:t>
            </w:r>
            <w:r w:rsidRPr="00995C95">
              <w:rPr>
                <w:rFonts w:cs="Arial"/>
                <w:color w:val="000000"/>
                <w:szCs w:val="20"/>
                <w:lang w:eastAsia="en-US"/>
              </w:rPr>
              <w:t xml:space="preserve">with </w:t>
            </w:r>
            <w:r w:rsidR="00031A7B" w:rsidRPr="00995C95">
              <w:rPr>
                <w:rFonts w:cs="Arial"/>
                <w:color w:val="000000"/>
                <w:szCs w:val="20"/>
                <w:lang w:eastAsia="en-US"/>
              </w:rPr>
              <w:t>metal</w:t>
            </w:r>
            <w:r w:rsidR="00217676" w:rsidRPr="00995C95">
              <w:rPr>
                <w:rFonts w:cs="Arial"/>
                <w:color w:val="000000"/>
                <w:szCs w:val="20"/>
                <w:lang w:eastAsia="en-US"/>
              </w:rPr>
              <w:t>working</w:t>
            </w:r>
            <w:r w:rsidR="00031A7B" w:rsidRPr="00995C95">
              <w:rPr>
                <w:rFonts w:cs="Arial"/>
                <w:color w:val="000000"/>
                <w:szCs w:val="20"/>
                <w:lang w:eastAsia="en-US"/>
              </w:rPr>
              <w:t xml:space="preserve"> products (−39.9 b</w:t>
            </w:r>
            <w:r w:rsidR="00217676" w:rsidRPr="00995C95">
              <w:rPr>
                <w:rFonts w:cs="Arial"/>
                <w:color w:val="000000"/>
                <w:szCs w:val="20"/>
                <w:lang w:eastAsia="en-US"/>
              </w:rPr>
              <w:t>n CZK</w:t>
            </w:r>
            <w:r w:rsidR="00031A7B" w:rsidRPr="00995C95">
              <w:rPr>
                <w:rFonts w:cs="Arial"/>
                <w:color w:val="000000"/>
                <w:szCs w:val="20"/>
                <w:lang w:eastAsia="en-US"/>
              </w:rPr>
              <w:t>) and electrical equipment (−30.8 b</w:t>
            </w:r>
            <w:r w:rsidR="00217676" w:rsidRPr="00995C95">
              <w:rPr>
                <w:rFonts w:cs="Arial"/>
                <w:color w:val="000000"/>
                <w:szCs w:val="20"/>
                <w:lang w:eastAsia="en-US"/>
              </w:rPr>
              <w:t>n</w:t>
            </w:r>
            <w:r w:rsidR="00031A7B" w:rsidRPr="00995C95">
              <w:rPr>
                <w:rFonts w:cs="Arial"/>
                <w:color w:val="000000"/>
                <w:szCs w:val="20"/>
                <w:lang w:eastAsia="en-US"/>
              </w:rPr>
              <w:t>) had the greatest impact on the deterioration of the balance of</w:t>
            </w:r>
            <w:r w:rsidR="00217676" w:rsidRPr="00995C95">
              <w:rPr>
                <w:rFonts w:cs="Arial"/>
                <w:color w:val="000000"/>
                <w:szCs w:val="20"/>
                <w:lang w:eastAsia="en-US"/>
              </w:rPr>
              <w:t xml:space="preserve"> international </w:t>
            </w:r>
            <w:r w:rsidR="00031A7B" w:rsidRPr="00995C95">
              <w:rPr>
                <w:rFonts w:cs="Arial"/>
                <w:color w:val="000000"/>
                <w:szCs w:val="20"/>
                <w:lang w:eastAsia="en-US"/>
              </w:rPr>
              <w:t>trade</w:t>
            </w:r>
            <w:r w:rsidR="00217676" w:rsidRPr="00995C95">
              <w:rPr>
                <w:rFonts w:cs="Arial"/>
                <w:color w:val="000000"/>
                <w:szCs w:val="20"/>
                <w:lang w:eastAsia="en-US"/>
              </w:rPr>
              <w:t xml:space="preserve"> with </w:t>
            </w:r>
            <w:r w:rsidR="00031A7B" w:rsidRPr="00995C95">
              <w:rPr>
                <w:rFonts w:cs="Arial"/>
                <w:color w:val="000000"/>
                <w:szCs w:val="20"/>
                <w:lang w:eastAsia="en-US"/>
              </w:rPr>
              <w:t xml:space="preserve">goods. The balance of trade </w:t>
            </w:r>
            <w:r w:rsidR="001F3BFD" w:rsidRPr="00995C95">
              <w:rPr>
                <w:rFonts w:cs="Arial"/>
                <w:color w:val="000000"/>
                <w:szCs w:val="20"/>
                <w:lang w:eastAsia="en-US"/>
              </w:rPr>
              <w:t xml:space="preserve">with </w:t>
            </w:r>
            <w:r w:rsidR="00031A7B" w:rsidRPr="00995C95">
              <w:rPr>
                <w:rFonts w:cs="Arial"/>
                <w:color w:val="000000"/>
                <w:szCs w:val="20"/>
                <w:lang w:eastAsia="en-US"/>
              </w:rPr>
              <w:t>agricultural and hunting products (−7.2 b</w:t>
            </w:r>
            <w:r w:rsidR="001F3BFD" w:rsidRPr="00995C95">
              <w:rPr>
                <w:rFonts w:cs="Arial"/>
                <w:color w:val="000000"/>
                <w:szCs w:val="20"/>
                <w:lang w:eastAsia="en-US"/>
              </w:rPr>
              <w:t>n CZK</w:t>
            </w:r>
            <w:r w:rsidR="00031A7B" w:rsidRPr="00995C95">
              <w:rPr>
                <w:rFonts w:cs="Arial"/>
                <w:color w:val="000000"/>
                <w:szCs w:val="20"/>
                <w:lang w:eastAsia="en-US"/>
              </w:rPr>
              <w:t>) and chemical</w:t>
            </w:r>
            <w:r w:rsidR="00570868" w:rsidRPr="00995C95">
              <w:rPr>
                <w:rFonts w:cs="Arial"/>
                <w:color w:val="000000"/>
                <w:szCs w:val="20"/>
                <w:lang w:eastAsia="en-US"/>
              </w:rPr>
              <w:t xml:space="preserve">s and chemical products </w:t>
            </w:r>
            <w:r w:rsidR="00031A7B" w:rsidRPr="00995C95">
              <w:rPr>
                <w:rFonts w:cs="Arial"/>
                <w:color w:val="000000"/>
                <w:szCs w:val="20"/>
                <w:lang w:eastAsia="en-US"/>
              </w:rPr>
              <w:t>(−7.3 b</w:t>
            </w:r>
            <w:r w:rsidR="001F3BFD" w:rsidRPr="00995C95">
              <w:rPr>
                <w:rFonts w:cs="Arial"/>
                <w:color w:val="000000"/>
                <w:szCs w:val="20"/>
                <w:lang w:eastAsia="en-US"/>
              </w:rPr>
              <w:t>n CZK</w:t>
            </w:r>
            <w:r w:rsidR="00031A7B" w:rsidRPr="00995C95">
              <w:rPr>
                <w:rFonts w:cs="Arial"/>
                <w:color w:val="000000"/>
                <w:szCs w:val="20"/>
                <w:lang w:eastAsia="en-US"/>
              </w:rPr>
              <w:t>) also deteriorated significantly. On the</w:t>
            </w:r>
            <w:r w:rsidR="00570868" w:rsidRPr="00995C95">
              <w:rPr>
                <w:rFonts w:cs="Arial"/>
                <w:color w:val="000000"/>
                <w:szCs w:val="20"/>
                <w:lang w:eastAsia="en-US"/>
              </w:rPr>
              <w:t xml:space="preserve"> contrary</w:t>
            </w:r>
            <w:r w:rsidR="00031A7B" w:rsidRPr="00995C95">
              <w:rPr>
                <w:rFonts w:cs="Arial"/>
                <w:color w:val="000000"/>
                <w:szCs w:val="20"/>
                <w:lang w:eastAsia="en-US"/>
              </w:rPr>
              <w:t xml:space="preserve">, trade </w:t>
            </w:r>
            <w:r w:rsidR="00570868" w:rsidRPr="00995C95">
              <w:rPr>
                <w:rFonts w:cs="Arial"/>
                <w:color w:val="000000"/>
                <w:szCs w:val="20"/>
                <w:lang w:eastAsia="en-US"/>
              </w:rPr>
              <w:t xml:space="preserve">with </w:t>
            </w:r>
            <w:r w:rsidR="00031A7B" w:rsidRPr="00995C95">
              <w:rPr>
                <w:rFonts w:cs="Arial"/>
                <w:color w:val="000000"/>
                <w:szCs w:val="20"/>
                <w:lang w:eastAsia="en-US"/>
              </w:rPr>
              <w:t>motor vehicles (+41.1 b</w:t>
            </w:r>
            <w:r w:rsidR="00570868" w:rsidRPr="00995C95">
              <w:rPr>
                <w:rFonts w:cs="Arial"/>
                <w:color w:val="000000"/>
                <w:szCs w:val="20"/>
                <w:lang w:eastAsia="en-US"/>
              </w:rPr>
              <w:t>n CZK</w:t>
            </w:r>
            <w:r w:rsidR="00031A7B" w:rsidRPr="00995C95">
              <w:rPr>
                <w:rFonts w:cs="Arial"/>
                <w:color w:val="000000"/>
                <w:szCs w:val="20"/>
                <w:lang w:eastAsia="en-US"/>
              </w:rPr>
              <w:t>), machinery and equipment (+15.1 b</w:t>
            </w:r>
            <w:r w:rsidR="00570868" w:rsidRPr="00995C95">
              <w:rPr>
                <w:rFonts w:cs="Arial"/>
                <w:color w:val="000000"/>
                <w:szCs w:val="20"/>
                <w:lang w:eastAsia="en-US"/>
              </w:rPr>
              <w:t>n CZK</w:t>
            </w:r>
            <w:r w:rsidR="00031A7B" w:rsidRPr="00995C95">
              <w:rPr>
                <w:rFonts w:cs="Arial"/>
                <w:color w:val="000000"/>
                <w:szCs w:val="20"/>
                <w:lang w:eastAsia="en-US"/>
              </w:rPr>
              <w:t>), coke and refined petroleum products (12.9 b</w:t>
            </w:r>
            <w:r w:rsidR="00570868" w:rsidRPr="00995C95">
              <w:rPr>
                <w:rFonts w:cs="Arial"/>
                <w:color w:val="000000"/>
                <w:szCs w:val="20"/>
                <w:lang w:eastAsia="en-US"/>
              </w:rPr>
              <w:t>n CZK</w:t>
            </w:r>
            <w:r w:rsidR="00031A7B" w:rsidRPr="00995C95">
              <w:rPr>
                <w:rFonts w:cs="Arial"/>
                <w:color w:val="000000"/>
                <w:szCs w:val="20"/>
                <w:lang w:eastAsia="en-US"/>
              </w:rPr>
              <w:t xml:space="preserve">), computers, electronic and optical </w:t>
            </w:r>
            <w:r w:rsidR="00570868" w:rsidRPr="00995C95">
              <w:rPr>
                <w:rFonts w:cs="Arial"/>
                <w:color w:val="000000"/>
                <w:szCs w:val="20"/>
                <w:lang w:eastAsia="en-US"/>
              </w:rPr>
              <w:t xml:space="preserve">appliances </w:t>
            </w:r>
            <w:r w:rsidR="00031A7B" w:rsidRPr="00995C95">
              <w:rPr>
                <w:rFonts w:cs="Arial"/>
                <w:color w:val="000000"/>
                <w:szCs w:val="20"/>
                <w:lang w:eastAsia="en-US"/>
              </w:rPr>
              <w:t>(+8.6 b</w:t>
            </w:r>
            <w:r w:rsidR="00570868" w:rsidRPr="00995C95">
              <w:rPr>
                <w:rFonts w:cs="Arial"/>
                <w:color w:val="000000"/>
                <w:szCs w:val="20"/>
                <w:lang w:eastAsia="en-US"/>
              </w:rPr>
              <w:t>n</w:t>
            </w:r>
            <w:r w:rsidR="00031A7B" w:rsidRPr="00995C95">
              <w:rPr>
                <w:rFonts w:cs="Arial"/>
                <w:color w:val="000000"/>
                <w:szCs w:val="20"/>
                <w:lang w:eastAsia="en-US"/>
              </w:rPr>
              <w:t>), basic pharmaceutical products (+5.3 b</w:t>
            </w:r>
            <w:r w:rsidR="00420DC0" w:rsidRPr="00995C95">
              <w:rPr>
                <w:rFonts w:cs="Arial"/>
                <w:color w:val="000000"/>
                <w:szCs w:val="20"/>
                <w:lang w:eastAsia="en-US"/>
              </w:rPr>
              <w:t>n</w:t>
            </w:r>
            <w:r w:rsidR="00031A7B" w:rsidRPr="00995C95">
              <w:rPr>
                <w:rFonts w:cs="Arial"/>
                <w:color w:val="000000"/>
                <w:szCs w:val="20"/>
                <w:lang w:eastAsia="en-US"/>
              </w:rPr>
              <w:t>) and rubber and plastic products (+5.1 b</w:t>
            </w:r>
            <w:r w:rsidR="00420DC0" w:rsidRPr="00995C95">
              <w:rPr>
                <w:rFonts w:cs="Arial"/>
                <w:color w:val="000000"/>
                <w:szCs w:val="20"/>
                <w:lang w:eastAsia="en-US"/>
              </w:rPr>
              <w:t>n</w:t>
            </w:r>
            <w:r w:rsidR="00031A7B" w:rsidRPr="00995C95">
              <w:rPr>
                <w:rFonts w:cs="Arial"/>
                <w:color w:val="000000"/>
                <w:szCs w:val="20"/>
                <w:lang w:eastAsia="en-US"/>
              </w:rPr>
              <w:t xml:space="preserve">) had a significant impact on the balance last year. The </w:t>
            </w:r>
            <w:r w:rsidR="00917170" w:rsidRPr="00995C95">
              <w:rPr>
                <w:rFonts w:cs="Arial"/>
                <w:color w:val="000000"/>
                <w:szCs w:val="20"/>
                <w:lang w:eastAsia="en-US"/>
              </w:rPr>
              <w:t>total y</w:t>
            </w:r>
            <w:r w:rsidR="00031A7B" w:rsidRPr="00995C95">
              <w:rPr>
                <w:rFonts w:cs="Arial"/>
                <w:color w:val="000000"/>
                <w:szCs w:val="20"/>
                <w:lang w:eastAsia="en-US"/>
              </w:rPr>
              <w:t xml:space="preserve">ear-on-year improvement </w:t>
            </w:r>
            <w:r w:rsidR="00917170" w:rsidRPr="00995C95">
              <w:rPr>
                <w:rFonts w:cs="Arial"/>
                <w:color w:val="000000"/>
                <w:szCs w:val="20"/>
                <w:lang w:eastAsia="en-US"/>
              </w:rPr>
              <w:t xml:space="preserve">of </w:t>
            </w:r>
            <w:r w:rsidR="00031A7B" w:rsidRPr="00995C95">
              <w:rPr>
                <w:rFonts w:cs="Arial"/>
                <w:color w:val="000000"/>
                <w:szCs w:val="20"/>
                <w:lang w:eastAsia="en-US"/>
              </w:rPr>
              <w:t xml:space="preserve">the balance of </w:t>
            </w:r>
            <w:r w:rsidR="00917170" w:rsidRPr="00995C95">
              <w:rPr>
                <w:rFonts w:cs="Arial"/>
                <w:color w:val="000000"/>
                <w:szCs w:val="20"/>
                <w:lang w:eastAsia="en-US"/>
              </w:rPr>
              <w:t xml:space="preserve">international </w:t>
            </w:r>
            <w:r w:rsidR="00031A7B" w:rsidRPr="00995C95">
              <w:rPr>
                <w:rFonts w:cs="Arial"/>
                <w:color w:val="000000"/>
                <w:szCs w:val="20"/>
                <w:lang w:eastAsia="en-US"/>
              </w:rPr>
              <w:t xml:space="preserve">trade </w:t>
            </w:r>
            <w:r w:rsidR="00917170" w:rsidRPr="00995C95">
              <w:rPr>
                <w:rFonts w:cs="Arial"/>
                <w:color w:val="000000"/>
                <w:szCs w:val="20"/>
                <w:lang w:eastAsia="en-US"/>
              </w:rPr>
              <w:t xml:space="preserve">with </w:t>
            </w:r>
            <w:r w:rsidR="00031A7B" w:rsidRPr="00995C95">
              <w:rPr>
                <w:rFonts w:cs="Arial"/>
                <w:color w:val="000000"/>
                <w:szCs w:val="20"/>
                <w:lang w:eastAsia="en-US"/>
              </w:rPr>
              <w:t xml:space="preserve">goods in Q4 </w:t>
            </w:r>
            <w:r w:rsidR="00031A7B" w:rsidRPr="00995C95">
              <w:rPr>
                <w:rFonts w:cs="Arial"/>
                <w:color w:val="000000"/>
                <w:szCs w:val="20"/>
                <w:lang w:eastAsia="en-US"/>
              </w:rPr>
              <w:lastRenderedPageBreak/>
              <w:t xml:space="preserve">was positively influenced mainly by trade in </w:t>
            </w:r>
            <w:r w:rsidR="005D1C83" w:rsidRPr="00995C95">
              <w:rPr>
                <w:rFonts w:cs="Arial"/>
                <w:color w:val="000000"/>
                <w:szCs w:val="20"/>
                <w:lang w:eastAsia="en-US"/>
              </w:rPr>
              <w:t xml:space="preserve">crude </w:t>
            </w:r>
            <w:r w:rsidR="00031A7B" w:rsidRPr="00995C95">
              <w:rPr>
                <w:rFonts w:cs="Arial"/>
                <w:color w:val="000000"/>
                <w:szCs w:val="20"/>
                <w:lang w:eastAsia="en-US"/>
              </w:rPr>
              <w:t xml:space="preserve">oil and natural gas (see Table 5) and machinery and equipment. Smaller improvements were </w:t>
            </w:r>
            <w:r w:rsidR="00C4098C" w:rsidRPr="00995C95">
              <w:rPr>
                <w:rFonts w:cs="Arial"/>
                <w:color w:val="000000"/>
                <w:szCs w:val="20"/>
                <w:lang w:eastAsia="en-US"/>
              </w:rPr>
              <w:t xml:space="preserve">then </w:t>
            </w:r>
            <w:r w:rsidR="00031A7B" w:rsidRPr="00995C95">
              <w:rPr>
                <w:rFonts w:cs="Arial"/>
                <w:color w:val="000000"/>
                <w:szCs w:val="20"/>
                <w:lang w:eastAsia="en-US"/>
              </w:rPr>
              <w:t xml:space="preserve">recorded in trade </w:t>
            </w:r>
            <w:r w:rsidR="00C4098C" w:rsidRPr="00995C95">
              <w:rPr>
                <w:rFonts w:cs="Arial"/>
                <w:color w:val="000000"/>
                <w:szCs w:val="20"/>
                <w:lang w:eastAsia="en-US"/>
              </w:rPr>
              <w:t xml:space="preserve">with </w:t>
            </w:r>
            <w:r w:rsidR="00031A7B" w:rsidRPr="00995C95">
              <w:rPr>
                <w:rFonts w:cs="Arial"/>
                <w:color w:val="000000"/>
                <w:szCs w:val="20"/>
                <w:lang w:eastAsia="en-US"/>
              </w:rPr>
              <w:t>coke and refined petroleum products, bas</w:t>
            </w:r>
            <w:r w:rsidR="00A0642E" w:rsidRPr="00995C95">
              <w:rPr>
                <w:rFonts w:cs="Arial"/>
                <w:color w:val="000000"/>
                <w:szCs w:val="20"/>
                <w:lang w:eastAsia="en-US"/>
              </w:rPr>
              <w:t xml:space="preserve">ic </w:t>
            </w:r>
            <w:r w:rsidR="00031A7B" w:rsidRPr="00995C95">
              <w:rPr>
                <w:rFonts w:cs="Arial"/>
                <w:color w:val="000000"/>
                <w:szCs w:val="20"/>
                <w:lang w:eastAsia="en-US"/>
              </w:rPr>
              <w:t xml:space="preserve">metals, motor vehicles, or rubber and plastic products. On the </w:t>
            </w:r>
            <w:r w:rsidR="00A0642E" w:rsidRPr="00995C95">
              <w:rPr>
                <w:rFonts w:cs="Arial"/>
                <w:color w:val="000000"/>
                <w:szCs w:val="20"/>
                <w:lang w:eastAsia="en-US"/>
              </w:rPr>
              <w:t>contrary</w:t>
            </w:r>
            <w:r w:rsidR="00031A7B" w:rsidRPr="00995C95">
              <w:rPr>
                <w:rFonts w:cs="Arial"/>
                <w:color w:val="000000"/>
                <w:szCs w:val="20"/>
                <w:lang w:eastAsia="en-US"/>
              </w:rPr>
              <w:t xml:space="preserve">, the balance of trade </w:t>
            </w:r>
            <w:r w:rsidR="00A0642E" w:rsidRPr="00995C95">
              <w:rPr>
                <w:rFonts w:cs="Arial"/>
                <w:color w:val="000000"/>
                <w:szCs w:val="20"/>
                <w:lang w:eastAsia="en-US"/>
              </w:rPr>
              <w:t xml:space="preserve">with </w:t>
            </w:r>
            <w:r w:rsidR="00031A7B" w:rsidRPr="00995C95">
              <w:rPr>
                <w:rFonts w:cs="Arial"/>
                <w:color w:val="000000"/>
                <w:szCs w:val="20"/>
                <w:lang w:eastAsia="en-US"/>
              </w:rPr>
              <w:t>electrical equipment, electricity, gas, steam and air-condition</w:t>
            </w:r>
            <w:r w:rsidR="000E0655" w:rsidRPr="00995C95">
              <w:rPr>
                <w:rFonts w:cs="Arial"/>
                <w:color w:val="000000"/>
                <w:szCs w:val="20"/>
                <w:lang w:eastAsia="en-US"/>
              </w:rPr>
              <w:t>ing</w:t>
            </w:r>
            <w:r w:rsidR="00031A7B" w:rsidRPr="00995C95">
              <w:rPr>
                <w:rFonts w:cs="Arial"/>
                <w:color w:val="000000"/>
                <w:szCs w:val="20"/>
                <w:lang w:eastAsia="en-US"/>
              </w:rPr>
              <w:t>, metal</w:t>
            </w:r>
            <w:r w:rsidR="00A0642E" w:rsidRPr="00995C95">
              <w:rPr>
                <w:rFonts w:cs="Arial"/>
                <w:color w:val="000000"/>
                <w:szCs w:val="20"/>
                <w:lang w:eastAsia="en-US"/>
              </w:rPr>
              <w:t>working</w:t>
            </w:r>
            <w:r w:rsidR="00031A7B" w:rsidRPr="00995C95">
              <w:rPr>
                <w:rFonts w:cs="Arial"/>
                <w:color w:val="000000"/>
                <w:szCs w:val="20"/>
                <w:lang w:eastAsia="en-US"/>
              </w:rPr>
              <w:t xml:space="preserve"> products, other transport </w:t>
            </w:r>
            <w:r w:rsidR="00A0642E" w:rsidRPr="00995C95">
              <w:rPr>
                <w:rFonts w:cs="Arial"/>
                <w:color w:val="000000"/>
                <w:szCs w:val="20"/>
                <w:lang w:eastAsia="en-US"/>
              </w:rPr>
              <w:t>e</w:t>
            </w:r>
            <w:r w:rsidR="00031A7B" w:rsidRPr="00995C95">
              <w:rPr>
                <w:rFonts w:cs="Arial"/>
                <w:color w:val="000000"/>
                <w:szCs w:val="20"/>
                <w:lang w:eastAsia="en-US"/>
              </w:rPr>
              <w:t>quipment, or chemical</w:t>
            </w:r>
            <w:r w:rsidR="00A0642E" w:rsidRPr="00995C95">
              <w:rPr>
                <w:rFonts w:cs="Arial"/>
                <w:color w:val="000000"/>
                <w:szCs w:val="20"/>
                <w:lang w:eastAsia="en-US"/>
              </w:rPr>
              <w:t>s and ch</w:t>
            </w:r>
            <w:r w:rsidR="002C4700" w:rsidRPr="00995C95">
              <w:rPr>
                <w:rFonts w:cs="Arial"/>
                <w:color w:val="000000"/>
                <w:szCs w:val="20"/>
                <w:lang w:eastAsia="en-US"/>
              </w:rPr>
              <w:t xml:space="preserve">emical goods </w:t>
            </w:r>
            <w:r w:rsidR="00031A7B" w:rsidRPr="00995C95">
              <w:rPr>
                <w:rFonts w:cs="Arial"/>
                <w:color w:val="000000"/>
                <w:szCs w:val="20"/>
                <w:lang w:eastAsia="en-US"/>
              </w:rPr>
              <w:t>deteriorated.</w:t>
            </w:r>
            <w:r w:rsidR="00C96F89" w:rsidRPr="00995C95">
              <w:rPr>
                <w:rFonts w:cs="Arial"/>
                <w:color w:val="000000"/>
                <w:szCs w:val="20"/>
                <w:lang w:eastAsia="en-US"/>
              </w:rPr>
              <w:t xml:space="preserve"> </w:t>
            </w:r>
          </w:p>
        </w:tc>
      </w:tr>
      <w:tr w:rsidR="00605D96" w:rsidRPr="00995C95" w14:paraId="18B176EF" w14:textId="77777777" w:rsidTr="008B207B">
        <w:trPr>
          <w:trHeight w:val="170"/>
        </w:trPr>
        <w:tc>
          <w:tcPr>
            <w:tcW w:w="1748" w:type="dxa"/>
          </w:tcPr>
          <w:p w14:paraId="26324A2F" w14:textId="77777777" w:rsidR="00605D96" w:rsidRPr="00995C95" w:rsidRDefault="00605D96" w:rsidP="008B207B">
            <w:pPr>
              <w:pStyle w:val="Marginlie"/>
              <w:rPr>
                <w:lang w:eastAsia="en-US"/>
              </w:rPr>
            </w:pPr>
          </w:p>
        </w:tc>
        <w:tc>
          <w:tcPr>
            <w:tcW w:w="252" w:type="dxa"/>
          </w:tcPr>
          <w:p w14:paraId="7254B0CF" w14:textId="77777777" w:rsidR="00605D96" w:rsidRPr="00995C95" w:rsidRDefault="00605D96" w:rsidP="008B207B">
            <w:pPr>
              <w:pStyle w:val="Textpoznpodarou"/>
              <w:jc w:val="both"/>
              <w:rPr>
                <w:spacing w:val="-4"/>
                <w:lang w:eastAsia="en-US"/>
              </w:rPr>
            </w:pPr>
          </w:p>
        </w:tc>
        <w:tc>
          <w:tcPr>
            <w:tcW w:w="7677" w:type="dxa"/>
            <w:gridSpan w:val="3"/>
          </w:tcPr>
          <w:p w14:paraId="360FD6D5" w14:textId="07B5B444" w:rsidR="00605D96" w:rsidRPr="00995C95" w:rsidRDefault="0071517E" w:rsidP="008B207B">
            <w:pPr>
              <w:spacing w:after="0"/>
              <w:rPr>
                <w:spacing w:val="-4"/>
                <w:lang w:eastAsia="en-US"/>
              </w:rPr>
            </w:pPr>
            <w:r w:rsidRPr="00995C95">
              <w:rPr>
                <w:rFonts w:cs="Arial"/>
                <w:b/>
                <w:bCs/>
                <w:color w:val="000000"/>
                <w:szCs w:val="20"/>
                <w:lang w:eastAsia="en-US"/>
              </w:rPr>
              <w:t xml:space="preserve">Chart </w:t>
            </w:r>
            <w:r w:rsidR="00281666" w:rsidRPr="00995C95">
              <w:rPr>
                <w:rFonts w:cs="Arial"/>
                <w:b/>
                <w:bCs/>
                <w:color w:val="000000"/>
                <w:szCs w:val="20"/>
                <w:lang w:eastAsia="en-US"/>
              </w:rPr>
              <w:t>10</w:t>
            </w:r>
            <w:r w:rsidR="00605D96" w:rsidRPr="00995C95">
              <w:rPr>
                <w:rFonts w:cs="Arial"/>
                <w:b/>
                <w:bCs/>
                <w:color w:val="000000"/>
                <w:szCs w:val="20"/>
                <w:lang w:eastAsia="en-US"/>
              </w:rPr>
              <w:t xml:space="preserve"> </w:t>
            </w:r>
            <w:r w:rsidR="001F3BFD" w:rsidRPr="00995C95">
              <w:rPr>
                <w:b/>
                <w:bCs/>
                <w:spacing w:val="-4"/>
                <w:lang w:eastAsia="en-US"/>
              </w:rPr>
              <w:t xml:space="preserve">Export and import of goods </w:t>
            </w:r>
            <w:r w:rsidR="001F3BFD" w:rsidRPr="00995C95">
              <w:rPr>
                <w:spacing w:val="-4"/>
                <w:lang w:eastAsia="en-US"/>
              </w:rPr>
              <w:t>(y-o-y change, in %)</w:t>
            </w:r>
            <w:r w:rsidR="001F3BFD" w:rsidRPr="00995C95">
              <w:rPr>
                <w:b/>
                <w:bCs/>
                <w:spacing w:val="-4"/>
                <w:lang w:eastAsia="en-US"/>
              </w:rPr>
              <w:t xml:space="preserve"> and balance of international trade with goods </w:t>
            </w:r>
            <w:r w:rsidR="001F3BFD" w:rsidRPr="00995C95">
              <w:rPr>
                <w:spacing w:val="-4"/>
                <w:lang w:eastAsia="en-US"/>
              </w:rPr>
              <w:t xml:space="preserve">(in bn CZK, right axis) </w:t>
            </w:r>
            <w:r w:rsidR="001F3BFD" w:rsidRPr="00995C95">
              <w:rPr>
                <w:rFonts w:cs="Arial"/>
                <w:b/>
                <w:bCs/>
                <w:color w:val="000000"/>
                <w:szCs w:val="20"/>
                <w:lang w:eastAsia="en-US"/>
              </w:rPr>
              <w:t xml:space="preserve"> </w:t>
            </w:r>
          </w:p>
        </w:tc>
      </w:tr>
      <w:tr w:rsidR="00605D96" w:rsidRPr="00995C95" w14:paraId="3904DEC6" w14:textId="77777777" w:rsidTr="00D756D2">
        <w:tblPrEx>
          <w:tblCellMar>
            <w:left w:w="70" w:type="dxa"/>
            <w:right w:w="70" w:type="dxa"/>
          </w:tblCellMar>
        </w:tblPrEx>
        <w:trPr>
          <w:trHeight w:val="170"/>
        </w:trPr>
        <w:tc>
          <w:tcPr>
            <w:tcW w:w="1748" w:type="dxa"/>
            <w:vMerge w:val="restart"/>
          </w:tcPr>
          <w:p w14:paraId="6B2C6239" w14:textId="77777777" w:rsidR="00605D96" w:rsidRPr="00995C95" w:rsidRDefault="00605D96" w:rsidP="008B207B">
            <w:pPr>
              <w:pStyle w:val="Marginlie"/>
              <w:rPr>
                <w:lang w:eastAsia="en-US"/>
              </w:rPr>
            </w:pPr>
          </w:p>
        </w:tc>
        <w:tc>
          <w:tcPr>
            <w:tcW w:w="252" w:type="dxa"/>
            <w:vMerge w:val="restart"/>
          </w:tcPr>
          <w:p w14:paraId="20C115C7" w14:textId="77777777" w:rsidR="00605D96" w:rsidRPr="00995C95" w:rsidRDefault="00605D96" w:rsidP="008B207B">
            <w:pPr>
              <w:pStyle w:val="Textpoznpodarou"/>
              <w:jc w:val="both"/>
              <w:rPr>
                <w:spacing w:val="-4"/>
                <w:lang w:eastAsia="en-US"/>
              </w:rPr>
            </w:pPr>
          </w:p>
        </w:tc>
        <w:tc>
          <w:tcPr>
            <w:tcW w:w="7677" w:type="dxa"/>
            <w:gridSpan w:val="3"/>
          </w:tcPr>
          <w:p w14:paraId="2A6D2A84" w14:textId="2578DE01" w:rsidR="00605D96" w:rsidRPr="00995C95" w:rsidRDefault="00D756D2" w:rsidP="008B207B">
            <w:pPr>
              <w:spacing w:after="0"/>
              <w:rPr>
                <w:spacing w:val="-4"/>
                <w:lang w:eastAsia="en-US"/>
              </w:rPr>
            </w:pPr>
            <w:r>
              <w:rPr>
                <w:noProof/>
              </w:rPr>
              <w:drawing>
                <wp:inline distT="0" distB="0" distL="0" distR="0" wp14:anchorId="28E98D7A" wp14:editId="0C4858EF">
                  <wp:extent cx="4752000" cy="3492000"/>
                  <wp:effectExtent l="0" t="0" r="0" b="0"/>
                  <wp:docPr id="320708715" name="Graf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05D96" w:rsidRPr="00995C95" w14:paraId="4FC096B4" w14:textId="77777777" w:rsidTr="008B207B">
        <w:trPr>
          <w:trHeight w:val="170"/>
        </w:trPr>
        <w:tc>
          <w:tcPr>
            <w:tcW w:w="1748" w:type="dxa"/>
            <w:vMerge/>
          </w:tcPr>
          <w:p w14:paraId="0AE31D16" w14:textId="77777777" w:rsidR="00605D96" w:rsidRPr="00995C95" w:rsidRDefault="00605D96" w:rsidP="008B207B">
            <w:pPr>
              <w:pStyle w:val="Marginlie"/>
              <w:rPr>
                <w:lang w:eastAsia="en-US"/>
              </w:rPr>
            </w:pPr>
          </w:p>
        </w:tc>
        <w:tc>
          <w:tcPr>
            <w:tcW w:w="252" w:type="dxa"/>
            <w:vMerge/>
          </w:tcPr>
          <w:p w14:paraId="45DF8F96" w14:textId="77777777" w:rsidR="00605D96" w:rsidRPr="00995C95" w:rsidRDefault="00605D96" w:rsidP="008B207B">
            <w:pPr>
              <w:pStyle w:val="Textpoznpodarou"/>
              <w:jc w:val="both"/>
              <w:rPr>
                <w:spacing w:val="-4"/>
                <w:lang w:eastAsia="en-US"/>
              </w:rPr>
            </w:pPr>
          </w:p>
        </w:tc>
        <w:tc>
          <w:tcPr>
            <w:tcW w:w="7677" w:type="dxa"/>
            <w:gridSpan w:val="3"/>
          </w:tcPr>
          <w:p w14:paraId="2C9448FB" w14:textId="47C4ABAA" w:rsidR="00A25DB9" w:rsidRPr="00995C95" w:rsidRDefault="0071517E" w:rsidP="00D756D2">
            <w:pPr>
              <w:rPr>
                <w:spacing w:val="-4"/>
                <w:lang w:eastAsia="en-US"/>
              </w:rPr>
            </w:pPr>
            <w:r w:rsidRPr="00995C95">
              <w:rPr>
                <w:sz w:val="16"/>
                <w:szCs w:val="16"/>
                <w:lang w:eastAsia="en-US"/>
              </w:rPr>
              <w:t>Source</w:t>
            </w:r>
            <w:r w:rsidR="00605D96" w:rsidRPr="00995C95">
              <w:rPr>
                <w:sz w:val="16"/>
                <w:szCs w:val="16"/>
                <w:lang w:eastAsia="en-US"/>
              </w:rPr>
              <w:t xml:space="preserve">: </w:t>
            </w:r>
            <w:r w:rsidRPr="00995C95">
              <w:rPr>
                <w:sz w:val="16"/>
                <w:szCs w:val="16"/>
                <w:lang w:eastAsia="en-US"/>
              </w:rPr>
              <w:t>CZSO</w:t>
            </w:r>
          </w:p>
        </w:tc>
      </w:tr>
      <w:bookmarkEnd w:id="2"/>
      <w:bookmarkEnd w:id="3"/>
      <w:bookmarkEnd w:id="4"/>
    </w:tbl>
    <w:p w14:paraId="2A626935" w14:textId="77777777" w:rsidR="00605D96" w:rsidRPr="00995C95" w:rsidRDefault="00605D96" w:rsidP="00605D96">
      <w:pPr>
        <w:spacing w:after="0" w:line="240" w:lineRule="auto"/>
        <w:jc w:val="left"/>
        <w:rPr>
          <w:rFonts w:eastAsia="MS Gothic"/>
          <w:bCs/>
          <w:color w:val="71818C"/>
          <w:sz w:val="2"/>
          <w:szCs w:val="2"/>
        </w:rPr>
      </w:pPr>
    </w:p>
    <w:p w14:paraId="1C6AECB9" w14:textId="77777777" w:rsidR="00605D96" w:rsidRPr="00995C95" w:rsidRDefault="00605D96" w:rsidP="00605D96">
      <w:pPr>
        <w:spacing w:after="0" w:line="240" w:lineRule="auto"/>
        <w:jc w:val="left"/>
        <w:rPr>
          <w:rFonts w:eastAsia="MS Gothic"/>
          <w:b/>
          <w:bCs/>
          <w:color w:val="86BF5E"/>
          <w:sz w:val="32"/>
          <w:szCs w:val="28"/>
        </w:rPr>
      </w:pPr>
    </w:p>
    <w:p w14:paraId="4D084036" w14:textId="77777777" w:rsidR="00605D96" w:rsidRPr="00995C95" w:rsidRDefault="00605D96" w:rsidP="00605D96">
      <w:pPr>
        <w:spacing w:after="0" w:line="240" w:lineRule="auto"/>
        <w:jc w:val="left"/>
        <w:rPr>
          <w:rFonts w:eastAsia="MS Gothic"/>
          <w:bCs/>
          <w:color w:val="71818C"/>
          <w:sz w:val="2"/>
          <w:szCs w:val="2"/>
        </w:rPr>
      </w:pPr>
    </w:p>
    <w:p w14:paraId="50942AA3" w14:textId="77777777" w:rsidR="00605D96" w:rsidRPr="00995C95" w:rsidRDefault="00605D96" w:rsidP="00605D96">
      <w:pPr>
        <w:spacing w:after="0" w:line="240" w:lineRule="auto"/>
        <w:jc w:val="left"/>
        <w:rPr>
          <w:rFonts w:eastAsia="MS Gothic"/>
          <w:b/>
          <w:bCs/>
          <w:color w:val="86BF5E"/>
          <w:sz w:val="32"/>
          <w:szCs w:val="28"/>
          <w:highlight w:val="yellow"/>
        </w:rPr>
      </w:pPr>
    </w:p>
    <w:p w14:paraId="3EBD19C5" w14:textId="1AB3CBCC" w:rsidR="00605D96" w:rsidRPr="00995C95" w:rsidRDefault="00605D96">
      <w:pPr>
        <w:spacing w:after="0" w:line="240" w:lineRule="auto"/>
        <w:jc w:val="left"/>
        <w:rPr>
          <w:rFonts w:eastAsia="MS Gothic"/>
          <w:b/>
          <w:bCs/>
          <w:color w:val="86BF5E"/>
          <w:sz w:val="32"/>
          <w:szCs w:val="28"/>
        </w:rPr>
      </w:pPr>
    </w:p>
    <w:p w14:paraId="2143296F" w14:textId="24A80B91" w:rsidR="00A50D73" w:rsidRPr="00FC6700" w:rsidRDefault="00A50D73" w:rsidP="0003024B">
      <w:pPr>
        <w:pStyle w:val="Nadpis1"/>
        <w:rPr>
          <w:sz w:val="2"/>
          <w:szCs w:val="2"/>
        </w:rPr>
      </w:pPr>
    </w:p>
    <w:sectPr w:rsidR="00A50D73" w:rsidRPr="00FC6700" w:rsidSect="00F46BDD">
      <w:headerReference w:type="even" r:id="rId13"/>
      <w:headerReference w:type="default" r:id="rId14"/>
      <w:footerReference w:type="even" r:id="rId15"/>
      <w:footerReference w:type="default" r:id="rId16"/>
      <w:pgSz w:w="11906" w:h="16838" w:code="9"/>
      <w:pgMar w:top="1134" w:right="1134" w:bottom="1418" w:left="1134" w:header="680" w:footer="68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2A4F" w14:textId="77777777" w:rsidR="00DD3A55" w:rsidRPr="00995C95" w:rsidRDefault="00DD3A55" w:rsidP="00E71A58">
      <w:r w:rsidRPr="00995C95">
        <w:separator/>
      </w:r>
    </w:p>
  </w:endnote>
  <w:endnote w:type="continuationSeparator" w:id="0">
    <w:p w14:paraId="11BE9EA1" w14:textId="77777777" w:rsidR="00DD3A55" w:rsidRPr="00995C95" w:rsidRDefault="00DD3A55"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6BC9" w14:textId="77777777" w:rsidR="00DD3A55" w:rsidRPr="00995C95" w:rsidRDefault="00DD3A55" w:rsidP="00EA4302">
      <w:pPr>
        <w:spacing w:after="0"/>
      </w:pPr>
      <w:r w:rsidRPr="00995C95">
        <w:separator/>
      </w:r>
    </w:p>
  </w:footnote>
  <w:footnote w:type="continuationSeparator" w:id="0">
    <w:p w14:paraId="6FE77BC2" w14:textId="77777777" w:rsidR="00DD3A55" w:rsidRPr="00995C95" w:rsidRDefault="00DD3A55" w:rsidP="00E71A58">
      <w:r w:rsidRPr="00995C95">
        <w:continuationSeparator/>
      </w:r>
    </w:p>
  </w:footnote>
  <w:footnote w:id="1">
    <w:p w14:paraId="6FA517F9" w14:textId="77777777" w:rsidR="002B7440" w:rsidRPr="00995C95" w:rsidRDefault="002B7440" w:rsidP="002B7440">
      <w:pPr>
        <w:pStyle w:val="Textpoznpodarou"/>
        <w:rPr>
          <w:rFonts w:cs="Arial"/>
          <w:iCs/>
          <w:sz w:val="16"/>
          <w:szCs w:val="16"/>
        </w:rPr>
      </w:pPr>
      <w:r w:rsidRPr="00995C95">
        <w:rPr>
          <w:rStyle w:val="Znakapoznpodarou"/>
          <w:rFonts w:cs="Arial"/>
          <w:i/>
          <w:sz w:val="16"/>
          <w:szCs w:val="16"/>
        </w:rPr>
        <w:footnoteRef/>
      </w:r>
      <w:r w:rsidRPr="00995C95">
        <w:rPr>
          <w:rFonts w:cs="Arial"/>
          <w:i/>
          <w:iCs/>
          <w:sz w:val="16"/>
          <w:szCs w:val="16"/>
        </w:rPr>
        <w:t xml:space="preserve"> </w:t>
      </w:r>
      <w:r w:rsidRPr="00995C95">
        <w:rPr>
          <w:sz w:val="16"/>
          <w:szCs w:val="16"/>
        </w:rPr>
        <w:t xml:space="preserve">Data for international trade with goods are recalculated using the updated method based on higher rate of detail since year 2020, see </w:t>
      </w:r>
      <w:hyperlink r:id="rId1" w:history="1">
        <w:r w:rsidRPr="00995C95">
          <w:rPr>
            <w:rStyle w:val="Hypertextovodkaz"/>
            <w:rFonts w:cs="Arial"/>
            <w:i/>
            <w:sz w:val="16"/>
            <w:szCs w:val="16"/>
            <w:bdr w:val="none" w:sz="0" w:space="0" w:color="auto" w:frame="1"/>
            <w:shd w:val="clear" w:color="auto" w:fill="FFFFFF"/>
          </w:rPr>
          <w:t>https://www.czso.cz/csu/czso/aktualizace-metody-propoctu-zahranicni-obchod-se-zbozim</w:t>
        </w:r>
      </w:hyperlink>
      <w:r w:rsidRPr="00995C95">
        <w:rPr>
          <w:rFonts w:cs="Arial"/>
          <w:i/>
          <w:sz w:val="16"/>
          <w:szCs w:val="16"/>
          <w:bdr w:val="none" w:sz="0" w:space="0" w:color="auto" w:frame="1"/>
          <w:shd w:val="clear" w:color="auto" w:fill="FFFFFF"/>
        </w:rPr>
        <w:t>.</w:t>
      </w:r>
      <w:r w:rsidRPr="00995C95">
        <w:rPr>
          <w:sz w:val="16"/>
          <w:szCs w:val="16"/>
        </w:rPr>
        <w:t xml:space="preserve"> Unless stated otherwise, all figures are without seasonal adjustment and at current prices</w:t>
      </w:r>
      <w:r w:rsidRPr="00995C95">
        <w:rPr>
          <w:rFonts w:cs="Arial"/>
          <w:i/>
          <w:iCs/>
          <w:sz w:val="16"/>
          <w:szCs w:val="16"/>
        </w:rPr>
        <w:t xml:space="preserve">. </w:t>
      </w:r>
    </w:p>
  </w:footnote>
  <w:footnote w:id="2">
    <w:p w14:paraId="2B95A6CA" w14:textId="77777777" w:rsidR="002B7440" w:rsidRPr="00995C95" w:rsidRDefault="002B7440" w:rsidP="002B7440">
      <w:pPr>
        <w:pStyle w:val="Textpoznpodarou"/>
        <w:rPr>
          <w:sz w:val="16"/>
          <w:szCs w:val="16"/>
        </w:rPr>
      </w:pPr>
      <w:r w:rsidRPr="00995C95">
        <w:rPr>
          <w:rStyle w:val="Znakapoznpodarou"/>
          <w:sz w:val="16"/>
          <w:szCs w:val="16"/>
        </w:rPr>
        <w:footnoteRef/>
      </w:r>
      <w:r w:rsidRPr="00995C95">
        <w:rPr>
          <w:sz w:val="16"/>
          <w:szCs w:val="16"/>
        </w:rPr>
        <w:t xml:space="preserve"> Export prices of goods fell by 1.2% in 2025. In Q4 2025 alone, they decreased by 4.2%, year-on-year, and by 0.7%, quarter-on-quarter. </w:t>
      </w:r>
    </w:p>
  </w:footnote>
  <w:footnote w:id="3">
    <w:p w14:paraId="272C6CA0" w14:textId="77777777" w:rsidR="002B7440" w:rsidRPr="00995C95" w:rsidRDefault="002B7440" w:rsidP="002B7440">
      <w:pPr>
        <w:pStyle w:val="Textpoznpodarou"/>
      </w:pPr>
      <w:r w:rsidRPr="00995C95">
        <w:rPr>
          <w:rStyle w:val="Znakapoznpodarou"/>
          <w:sz w:val="16"/>
          <w:szCs w:val="16"/>
        </w:rPr>
        <w:footnoteRef/>
      </w:r>
      <w:r w:rsidRPr="00995C95">
        <w:rPr>
          <w:sz w:val="16"/>
          <w:szCs w:val="16"/>
        </w:rPr>
        <w:t xml:space="preserve"> In the Czech context, the effect of stocking up in connection with the expected introduction of tariffs on imports to the USA was reflected mainly in a significant acceleration in the year-on-year increase of exports of goods to Germany in Q1 of this year, which is the largest European exporter to the USA. The Czech Republic is a subcontractor in this relation. However, the increase of Czech exports to Germany decreased sharply in Q2. Exports from the Czech Republic to the USA themselves strengthened significantly in 2024, and this year's Q1 continued this trend. Here, too, the dynamics slowed down in the following quarters. </w:t>
      </w:r>
    </w:p>
  </w:footnote>
  <w:footnote w:id="4">
    <w:p w14:paraId="3A5E6726" w14:textId="77777777" w:rsidR="00B104EC" w:rsidRPr="00995C95" w:rsidRDefault="00B104EC" w:rsidP="00B104EC">
      <w:pPr>
        <w:pStyle w:val="Textpoznpodarou"/>
        <w:rPr>
          <w:sz w:val="16"/>
          <w:szCs w:val="16"/>
        </w:rPr>
      </w:pPr>
      <w:r w:rsidRPr="00995C95">
        <w:rPr>
          <w:rStyle w:val="Znakapoznpodarou"/>
          <w:sz w:val="16"/>
          <w:szCs w:val="16"/>
        </w:rPr>
        <w:footnoteRef/>
      </w:r>
      <w:r w:rsidRPr="00995C95">
        <w:rPr>
          <w:sz w:val="16"/>
          <w:szCs w:val="16"/>
        </w:rPr>
        <w:t xml:space="preserve"> Exports to the UK increased by 1.1 bn CZK last year after an increase of 40.9 bn CZK in 2024, by 3.4 bn CZK to the USA after an increase of 21.4 bn CZK, and exports to Singapore by 50 million CZK after an increase of 10.6 bn CZK.  </w:t>
      </w:r>
    </w:p>
  </w:footnote>
  <w:footnote w:id="5">
    <w:p w14:paraId="061A725A" w14:textId="77777777" w:rsidR="00444B1D" w:rsidRPr="00995C95" w:rsidRDefault="00444B1D" w:rsidP="00444B1D">
      <w:pPr>
        <w:pStyle w:val="Textpoznpodarou"/>
        <w:rPr>
          <w:sz w:val="16"/>
          <w:szCs w:val="16"/>
        </w:rPr>
      </w:pPr>
      <w:r w:rsidRPr="00995C95">
        <w:rPr>
          <w:rStyle w:val="Znakapoznpodarou"/>
          <w:sz w:val="16"/>
          <w:szCs w:val="16"/>
        </w:rPr>
        <w:footnoteRef/>
      </w:r>
      <w:r w:rsidRPr="00995C95">
        <w:rPr>
          <w:sz w:val="16"/>
          <w:szCs w:val="16"/>
        </w:rPr>
        <w:t xml:space="preserve"> Import prices fell by 1.6% in 2025. They were lower by 5.1%, year-on-year, and by 1.1%, quarter-on-quarter, in Q4. </w:t>
      </w:r>
    </w:p>
  </w:footnote>
  <w:footnote w:id="6">
    <w:p w14:paraId="30F39FD3" w14:textId="77777777" w:rsidR="006C398B" w:rsidRPr="00995C95" w:rsidRDefault="006C398B" w:rsidP="006C398B">
      <w:pPr>
        <w:pStyle w:val="Textpoznpodarou"/>
        <w:rPr>
          <w:sz w:val="16"/>
          <w:szCs w:val="16"/>
        </w:rPr>
      </w:pPr>
      <w:r w:rsidRPr="00995C95">
        <w:rPr>
          <w:rStyle w:val="Znakapoznpodarou"/>
          <w:sz w:val="16"/>
          <w:szCs w:val="16"/>
        </w:rPr>
        <w:footnoteRef/>
      </w:r>
      <w:r w:rsidRPr="00995C95">
        <w:rPr>
          <w:sz w:val="16"/>
          <w:szCs w:val="16"/>
        </w:rPr>
        <w:t xml:space="preserve"> The increase was mainly in weapons and ammunition.</w:t>
      </w:r>
    </w:p>
  </w:footnote>
  <w:footnote w:id="7">
    <w:p w14:paraId="657B9FEC" w14:textId="77777777" w:rsidR="004111A5" w:rsidRPr="00995C95" w:rsidRDefault="004111A5" w:rsidP="004111A5">
      <w:pPr>
        <w:pStyle w:val="Textpoznpodarou"/>
        <w:rPr>
          <w:sz w:val="16"/>
          <w:szCs w:val="16"/>
        </w:rPr>
      </w:pPr>
      <w:r w:rsidRPr="00995C95">
        <w:rPr>
          <w:rStyle w:val="Znakapoznpodarou"/>
          <w:sz w:val="16"/>
          <w:szCs w:val="16"/>
        </w:rPr>
        <w:footnoteRef/>
      </w:r>
      <w:r w:rsidRPr="00995C95">
        <w:rPr>
          <w:sz w:val="16"/>
          <w:szCs w:val="16"/>
        </w:rPr>
        <w:t xml:space="preserve"> Batteries were imported to a larger extent, especially for electric cars. </w:t>
      </w:r>
    </w:p>
  </w:footnote>
  <w:footnote w:id="8">
    <w:p w14:paraId="3287E9DA" w14:textId="03C7BCFE" w:rsidR="004D1C4E" w:rsidRPr="00995C95" w:rsidRDefault="004D1C4E" w:rsidP="004D1C4E">
      <w:pPr>
        <w:pStyle w:val="Textpoznpodarou"/>
        <w:rPr>
          <w:sz w:val="16"/>
          <w:szCs w:val="16"/>
        </w:rPr>
      </w:pPr>
      <w:r w:rsidRPr="00995C95">
        <w:rPr>
          <w:rStyle w:val="Znakapoznpodarou"/>
          <w:sz w:val="16"/>
          <w:szCs w:val="16"/>
        </w:rPr>
        <w:footnoteRef/>
      </w:r>
      <w:r w:rsidRPr="00995C95">
        <w:rPr>
          <w:sz w:val="16"/>
          <w:szCs w:val="16"/>
        </w:rPr>
        <w:t xml:space="preserve"> </w:t>
      </w:r>
      <w:r w:rsidR="00C57BF0" w:rsidRPr="00995C95">
        <w:rPr>
          <w:sz w:val="16"/>
          <w:szCs w:val="16"/>
        </w:rPr>
        <w:t xml:space="preserve">The impact on the balance for the </w:t>
      </w:r>
      <w:r w:rsidR="002A23FD">
        <w:rPr>
          <w:sz w:val="16"/>
          <w:szCs w:val="16"/>
        </w:rPr>
        <w:t>“</w:t>
      </w:r>
      <w:r w:rsidR="00C57BF0" w:rsidRPr="00995C95">
        <w:rPr>
          <w:sz w:val="16"/>
          <w:szCs w:val="16"/>
        </w:rPr>
        <w:t>unspecified</w:t>
      </w:r>
      <w:r w:rsidR="002A23FD">
        <w:rPr>
          <w:sz w:val="16"/>
          <w:szCs w:val="16"/>
        </w:rPr>
        <w:t>”</w:t>
      </w:r>
      <w:r w:rsidR="00C57BF0" w:rsidRPr="00995C95">
        <w:rPr>
          <w:sz w:val="16"/>
          <w:szCs w:val="16"/>
        </w:rPr>
        <w:t xml:space="preserve"> category </w:t>
      </w:r>
      <w:r w:rsidR="006167D7" w:rsidRPr="00995C95">
        <w:rPr>
          <w:sz w:val="16"/>
          <w:szCs w:val="16"/>
        </w:rPr>
        <w:t xml:space="preserve">has been growing since the beginning of the year. </w:t>
      </w:r>
      <w:r w:rsidR="006162DC" w:rsidRPr="00995C95">
        <w:rPr>
          <w:sz w:val="16"/>
          <w:szCs w:val="16"/>
        </w:rPr>
        <w:t>Mainly the t</w:t>
      </w:r>
      <w:r w:rsidR="00C57BF0" w:rsidRPr="00995C95">
        <w:rPr>
          <w:sz w:val="16"/>
          <w:szCs w:val="16"/>
        </w:rPr>
        <w:t xml:space="preserve">rade with crude oil and natural gas, which could not be territorially classified, was captured here. </w:t>
      </w:r>
      <w:r w:rsidRPr="00995C95">
        <w:rPr>
          <w:sz w:val="16"/>
          <w:szCs w:val="16"/>
        </w:rPr>
        <w:t xml:space="preserve"> </w:t>
      </w:r>
    </w:p>
  </w:footnote>
  <w:footnote w:id="9">
    <w:p w14:paraId="74198ED5" w14:textId="37420963" w:rsidR="004554AD" w:rsidRPr="00995C95" w:rsidRDefault="004554AD" w:rsidP="00773692">
      <w:pPr>
        <w:pStyle w:val="Textpoznpodarou"/>
        <w:rPr>
          <w:sz w:val="16"/>
          <w:szCs w:val="16"/>
        </w:rPr>
      </w:pPr>
      <w:r w:rsidRPr="00995C95">
        <w:rPr>
          <w:rStyle w:val="Znakapoznpodarou"/>
          <w:sz w:val="16"/>
          <w:szCs w:val="16"/>
        </w:rPr>
        <w:footnoteRef/>
      </w:r>
      <w:r w:rsidRPr="00995C95">
        <w:rPr>
          <w:sz w:val="16"/>
          <w:szCs w:val="16"/>
        </w:rPr>
        <w:t xml:space="preserve"> </w:t>
      </w:r>
      <w:r w:rsidR="00134AC4" w:rsidRPr="00995C95">
        <w:rPr>
          <w:sz w:val="16"/>
          <w:szCs w:val="16"/>
        </w:rPr>
        <w:t xml:space="preserve">The balance deteriorated by </w:t>
      </w:r>
      <w:r w:rsidR="00773692" w:rsidRPr="00995C95">
        <w:rPr>
          <w:sz w:val="16"/>
          <w:szCs w:val="16"/>
        </w:rPr>
        <w:t>3</w:t>
      </w:r>
      <w:r w:rsidR="00134AC4" w:rsidRPr="00995C95">
        <w:rPr>
          <w:sz w:val="16"/>
          <w:szCs w:val="16"/>
        </w:rPr>
        <w:t>.</w:t>
      </w:r>
      <w:r w:rsidR="00773692" w:rsidRPr="00995C95">
        <w:rPr>
          <w:sz w:val="16"/>
          <w:szCs w:val="16"/>
        </w:rPr>
        <w:t>4</w:t>
      </w:r>
      <w:r w:rsidR="00134AC4" w:rsidRPr="00995C95">
        <w:rPr>
          <w:sz w:val="16"/>
          <w:szCs w:val="16"/>
        </w:rPr>
        <w:t xml:space="preserve"> bn CZK in case of unspecified origin of goods.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A55"/>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0728"/>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6BDD"/>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aktualizace-metody-propoctu-zahranicni-obchod-se-zboz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5Q4/eng/Makroanal&#253;za%20grafy_e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3555297762624581"/>
        </c:manualLayout>
      </c:layout>
      <c:barChart>
        <c:barDir val="col"/>
        <c:grouping val="clustered"/>
        <c:varyColors val="0"/>
        <c:ser>
          <c:idx val="2"/>
          <c:order val="2"/>
          <c:tx>
            <c:strRef>
              <c:f>'Vnější vztahy_a'!$D$4</c:f>
              <c:strCache>
                <c:ptCount val="1"/>
                <c:pt idx="0">
                  <c:v>Balance</c:v>
                </c:pt>
              </c:strCache>
            </c:strRef>
          </c:tx>
          <c:spPr>
            <a:solidFill>
              <a:srgbClr val="85898E"/>
            </a:solidFill>
            <a:ln>
              <a:noFill/>
            </a:ln>
            <a:effectLst/>
          </c:spPr>
          <c:invertIfNegative val="0"/>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vztahy_a'!$D$10:$D$24</c:f>
              <c:numCache>
                <c:formatCode>General</c:formatCode>
                <c:ptCount val="15"/>
                <c:pt idx="0">
                  <c:v>11.977</c:v>
                </c:pt>
                <c:pt idx="1">
                  <c:v>64.41</c:v>
                </c:pt>
                <c:pt idx="2">
                  <c:v>106.518</c:v>
                </c:pt>
                <c:pt idx="3">
                  <c:v>146.00899999999999</c:v>
                </c:pt>
                <c:pt idx="4">
                  <c:v>130.97677807700001</c:v>
                </c:pt>
                <c:pt idx="5">
                  <c:v>163.65449183600001</c:v>
                </c:pt>
                <c:pt idx="6">
                  <c:v>163.466347926</c:v>
                </c:pt>
                <c:pt idx="7">
                  <c:v>98.465823833000002</c:v>
                </c:pt>
                <c:pt idx="8">
                  <c:v>145.69471741100003</c:v>
                </c:pt>
                <c:pt idx="9">
                  <c:v>179.640176981</c:v>
                </c:pt>
                <c:pt idx="10">
                  <c:v>-9.2046428370000104</c:v>
                </c:pt>
                <c:pt idx="11">
                  <c:v>-204.81458465799997</c:v>
                </c:pt>
                <c:pt idx="12">
                  <c:v>122.50250792899999</c:v>
                </c:pt>
                <c:pt idx="13">
                  <c:v>220.48893297799998</c:v>
                </c:pt>
                <c:pt idx="14">
                  <c:v>212.849708921</c:v>
                </c:pt>
              </c:numCache>
            </c:numRef>
          </c:val>
          <c:extLst>
            <c:ext xmlns:c16="http://schemas.microsoft.com/office/drawing/2014/chart" uri="{C3380CC4-5D6E-409C-BE32-E72D297353CC}">
              <c16:uniqueId val="{00000000-89E8-4666-91A8-891580D8885E}"/>
            </c:ext>
          </c:extLst>
        </c:ser>
        <c:dLbls>
          <c:showLegendKey val="0"/>
          <c:showVal val="0"/>
          <c:showCatName val="0"/>
          <c:showSerName val="0"/>
          <c:showPercent val="0"/>
          <c:showBubbleSize val="0"/>
        </c:dLbls>
        <c:gapWidth val="100"/>
        <c:axId val="1171842912"/>
        <c:axId val="1599917024"/>
      </c:barChart>
      <c:lineChart>
        <c:grouping val="standard"/>
        <c:varyColors val="0"/>
        <c:ser>
          <c:idx val="0"/>
          <c:order val="0"/>
          <c:tx>
            <c:strRef>
              <c:f>'Vnější vztahy_a'!$B$4</c:f>
              <c:strCache>
                <c:ptCount val="1"/>
                <c:pt idx="0">
                  <c:v>Export</c:v>
                </c:pt>
              </c:strCache>
            </c:strRef>
          </c:tx>
          <c:spPr>
            <a:ln w="28575" cap="rnd">
              <a:noFill/>
              <a:round/>
            </a:ln>
            <a:effectLst/>
          </c:spPr>
          <c:marker>
            <c:symbol val="dash"/>
            <c:size val="10"/>
            <c:spPr>
              <a:solidFill>
                <a:srgbClr val="174F70"/>
              </a:solidFill>
              <a:ln w="9525">
                <a:solidFill>
                  <a:srgbClr val="0070C0"/>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vztahy_a'!$B$10:$B$24</c:f>
              <c:numCache>
                <c:formatCode>0.0_ ;[Red]\-0.0\ </c:formatCode>
                <c:ptCount val="15"/>
                <c:pt idx="0">
                  <c:v>10.112037607700053</c:v>
                </c:pt>
                <c:pt idx="1">
                  <c:v>6.0251090942966021</c:v>
                </c:pt>
                <c:pt idx="2">
                  <c:v>2.2153513610284965</c:v>
                </c:pt>
                <c:pt idx="3">
                  <c:v>13.027208809035864</c:v>
                </c:pt>
                <c:pt idx="4">
                  <c:v>3.612768163576892</c:v>
                </c:pt>
                <c:pt idx="5">
                  <c:v>1.1074296541764621</c:v>
                </c:pt>
                <c:pt idx="6">
                  <c:v>6.4802705295808352</c:v>
                </c:pt>
                <c:pt idx="7">
                  <c:v>2.9418083571864679</c:v>
                </c:pt>
                <c:pt idx="8">
                  <c:v>2.0884439685547518</c:v>
                </c:pt>
                <c:pt idx="9">
                  <c:v>-7.0747075448299643</c:v>
                </c:pt>
                <c:pt idx="10">
                  <c:v>13.140723420675538</c:v>
                </c:pt>
                <c:pt idx="11">
                  <c:v>13.550170704130682</c:v>
                </c:pt>
                <c:pt idx="12">
                  <c:v>0.79694469771656307</c:v>
                </c:pt>
                <c:pt idx="13">
                  <c:v>4.9690195136451756</c:v>
                </c:pt>
                <c:pt idx="14">
                  <c:v>2.7096717287192265</c:v>
                </c:pt>
              </c:numCache>
            </c:numRef>
          </c:val>
          <c:smooth val="0"/>
          <c:extLst>
            <c:ext xmlns:c16="http://schemas.microsoft.com/office/drawing/2014/chart" uri="{C3380CC4-5D6E-409C-BE32-E72D297353CC}">
              <c16:uniqueId val="{00000001-89E8-4666-91A8-891580D8885E}"/>
            </c:ext>
          </c:extLst>
        </c:ser>
        <c:ser>
          <c:idx val="1"/>
          <c:order val="1"/>
          <c:tx>
            <c:strRef>
              <c:f>'Vnější vztahy_a'!$C$4</c:f>
              <c:strCache>
                <c:ptCount val="1"/>
                <c:pt idx="0">
                  <c:v>Import</c:v>
                </c:pt>
              </c:strCache>
            </c:strRef>
          </c:tx>
          <c:spPr>
            <a:ln w="28575" cap="rnd">
              <a:noFill/>
              <a:round/>
            </a:ln>
            <a:effectLst/>
          </c:spPr>
          <c:marker>
            <c:symbol val="dash"/>
            <c:size val="10"/>
            <c:spPr>
              <a:solidFill>
                <a:srgbClr val="BC5B80"/>
              </a:solidFill>
              <a:ln w="9525">
                <a:solidFill>
                  <a:srgbClr val="BD1B21"/>
                </a:solidFill>
              </a:ln>
              <a:effectLst/>
            </c:spPr>
          </c:marker>
          <c:cat>
            <c:strRef>
              <c:f>'Vnější vztahy_a'!$A$10:$A$24</c:f>
              <c:strCache>
                <c:ptCount val="15"/>
                <c:pt idx="0">
                  <c:v>2011</c:v>
                </c:pt>
                <c:pt idx="1">
                  <c:v>2012</c:v>
                </c:pt>
                <c:pt idx="2">
                  <c:v>2013</c:v>
                </c:pt>
                <c:pt idx="3">
                  <c:v>2014</c:v>
                </c:pt>
                <c:pt idx="4">
                  <c:v> 2015</c:v>
                </c:pt>
                <c:pt idx="5">
                  <c:v>2016</c:v>
                </c:pt>
                <c:pt idx="6">
                  <c:v>2017</c:v>
                </c:pt>
                <c:pt idx="7">
                  <c:v>2018</c:v>
                </c:pt>
                <c:pt idx="8">
                  <c:v>2019</c:v>
                </c:pt>
                <c:pt idx="9">
                  <c:v>2020</c:v>
                </c:pt>
                <c:pt idx="10">
                  <c:v>2021</c:v>
                </c:pt>
                <c:pt idx="11">
                  <c:v>2022</c:v>
                </c:pt>
                <c:pt idx="12">
                  <c:v>2023</c:v>
                </c:pt>
                <c:pt idx="13">
                  <c:v>2024</c:v>
                </c:pt>
                <c:pt idx="14">
                  <c:v>2025</c:v>
                </c:pt>
              </c:strCache>
            </c:strRef>
          </c:cat>
          <c:val>
            <c:numRef>
              <c:f>'Vnější vztahy_a'!$C$10:$C$24</c:f>
              <c:numCache>
                <c:formatCode>0.0_ ;[Red]\-0.0\ </c:formatCode>
                <c:ptCount val="15"/>
                <c:pt idx="0">
                  <c:v>8.6415161627225725</c:v>
                </c:pt>
                <c:pt idx="1">
                  <c:v>4.0042767307394715</c:v>
                </c:pt>
                <c:pt idx="2">
                  <c:v>0.68681070942259659</c:v>
                </c:pt>
                <c:pt idx="3">
                  <c:v>12.071376353644107</c:v>
                </c:pt>
                <c:pt idx="4">
                  <c:v>4.2889556626306211</c:v>
                </c:pt>
                <c:pt idx="5">
                  <c:v>0.11038963287046219</c:v>
                </c:pt>
                <c:pt idx="6">
                  <c:v>6.8245079237178157</c:v>
                </c:pt>
                <c:pt idx="7">
                  <c:v>5.0260247733996914</c:v>
                </c:pt>
                <c:pt idx="8">
                  <c:v>0.80432261722676923</c:v>
                </c:pt>
                <c:pt idx="9">
                  <c:v>-8.3226511448622933</c:v>
                </c:pt>
                <c:pt idx="10">
                  <c:v>19.675778990593603</c:v>
                </c:pt>
                <c:pt idx="11">
                  <c:v>18.545883799731584</c:v>
                </c:pt>
                <c:pt idx="12">
                  <c:v>-6.3353146664739706</c:v>
                </c:pt>
                <c:pt idx="13">
                  <c:v>2.8416928227328686</c:v>
                </c:pt>
                <c:pt idx="14">
                  <c:v>3.0161013750529522</c:v>
                </c:pt>
              </c:numCache>
            </c:numRef>
          </c:val>
          <c:smooth val="0"/>
          <c:extLst>
            <c:ext xmlns:c16="http://schemas.microsoft.com/office/drawing/2014/chart" uri="{C3380CC4-5D6E-409C-BE32-E72D297353CC}">
              <c16:uniqueId val="{00000002-89E8-4666-91A8-891580D8885E}"/>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240"/>
          <c:min val="-2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0"/>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6.7324160543034778E-2"/>
          <c:y val="0.92127482102101654"/>
          <c:w val="0.85470865828300857"/>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85898E"/>
            </a:solidFill>
            <a:ln>
              <a:noFill/>
            </a:ln>
            <a:effectLst/>
          </c:spPr>
          <c:invertIfNegative val="0"/>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vztahy'!$E$11:$E$34</c:f>
              <c:numCache>
                <c:formatCode>0.0</c:formatCode>
                <c:ptCount val="24"/>
                <c:pt idx="0">
                  <c:v>36.182428658999996</c:v>
                </c:pt>
                <c:pt idx="1">
                  <c:v>9.2911503559999993</c:v>
                </c:pt>
                <c:pt idx="2">
                  <c:v>55.286836668000007</c:v>
                </c:pt>
                <c:pt idx="3">
                  <c:v>78.879761297999991</c:v>
                </c:pt>
                <c:pt idx="4">
                  <c:v>60.916821217999995</c:v>
                </c:pt>
                <c:pt idx="5">
                  <c:v>13.848192235000001</c:v>
                </c:pt>
                <c:pt idx="6">
                  <c:v>-54.700282055000002</c:v>
                </c:pt>
                <c:pt idx="7">
                  <c:v>-29.269374235000001</c:v>
                </c:pt>
                <c:pt idx="8">
                  <c:v>-12.635912592</c:v>
                </c:pt>
                <c:pt idx="9">
                  <c:v>-73.225200095999995</c:v>
                </c:pt>
                <c:pt idx="10">
                  <c:v>-64.314002961</c:v>
                </c:pt>
                <c:pt idx="11">
                  <c:v>-54.639469009000003</c:v>
                </c:pt>
                <c:pt idx="12">
                  <c:v>40.885161205999999</c:v>
                </c:pt>
                <c:pt idx="13">
                  <c:v>36.180839551999995</c:v>
                </c:pt>
                <c:pt idx="14">
                  <c:v>-1.2235418870000001</c:v>
                </c:pt>
                <c:pt idx="15">
                  <c:v>46.660049057999998</c:v>
                </c:pt>
                <c:pt idx="16">
                  <c:v>82.282917839000007</c:v>
                </c:pt>
                <c:pt idx="17">
                  <c:v>70.988541018000006</c:v>
                </c:pt>
                <c:pt idx="18">
                  <c:v>27.293198606000001</c:v>
                </c:pt>
                <c:pt idx="19">
                  <c:v>39.924275514999998</c:v>
                </c:pt>
                <c:pt idx="20">
                  <c:v>76.079699594999994</c:v>
                </c:pt>
                <c:pt idx="21">
                  <c:v>56.132810357000004</c:v>
                </c:pt>
                <c:pt idx="22">
                  <c:v>28.243833686999999</c:v>
                </c:pt>
                <c:pt idx="23">
                  <c:v>52.393365281999998</c:v>
                </c:pt>
              </c:numCache>
            </c:numRef>
          </c:val>
          <c:extLst>
            <c:ext xmlns:c16="http://schemas.microsoft.com/office/drawing/2014/chart" uri="{C3380CC4-5D6E-409C-BE32-E72D297353CC}">
              <c16:uniqueId val="{00000000-2B1B-4D20-8DCE-3E30D85C7BA0}"/>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174F7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vztahy'!$C$11:$C$34</c:f>
              <c:numCache>
                <c:formatCode>#\ ##0.0</c:formatCode>
                <c:ptCount val="24"/>
                <c:pt idx="0">
                  <c:v>-6.4135636115999972</c:v>
                </c:pt>
                <c:pt idx="1">
                  <c:v>-25.037497579399997</c:v>
                </c:pt>
                <c:pt idx="2">
                  <c:v>-3.5785611728999953</c:v>
                </c:pt>
                <c:pt idx="3">
                  <c:v>7.411852265899995</c:v>
                </c:pt>
                <c:pt idx="4">
                  <c:v>10.962313304399999</c:v>
                </c:pt>
                <c:pt idx="5">
                  <c:v>41.981094956100009</c:v>
                </c:pt>
                <c:pt idx="6">
                  <c:v>3.4515742189000065</c:v>
                </c:pt>
                <c:pt idx="7">
                  <c:v>2.749198525500006</c:v>
                </c:pt>
                <c:pt idx="8">
                  <c:v>8.0064988441999958</c:v>
                </c:pt>
                <c:pt idx="9">
                  <c:v>11.287163968300007</c:v>
                </c:pt>
                <c:pt idx="10">
                  <c:v>22.470879917399998</c:v>
                </c:pt>
                <c:pt idx="11">
                  <c:v>13.234980039600003</c:v>
                </c:pt>
                <c:pt idx="12">
                  <c:v>10.691327997000002</c:v>
                </c:pt>
                <c:pt idx="13">
                  <c:v>0.90534101039999371</c:v>
                </c:pt>
                <c:pt idx="14">
                  <c:v>-6.7264620790000009</c:v>
                </c:pt>
                <c:pt idx="15">
                  <c:v>-1.1504207308999952</c:v>
                </c:pt>
                <c:pt idx="16">
                  <c:v>-8.6901433099995984E-2</c:v>
                </c:pt>
                <c:pt idx="17">
                  <c:v>4.7005744015000062</c:v>
                </c:pt>
                <c:pt idx="18">
                  <c:v>10.984825847799996</c:v>
                </c:pt>
                <c:pt idx="19">
                  <c:v>4.9824641242999945</c:v>
                </c:pt>
                <c:pt idx="20">
                  <c:v>6.3007884744999956</c:v>
                </c:pt>
                <c:pt idx="21">
                  <c:v>3.1311916589999953</c:v>
                </c:pt>
                <c:pt idx="22">
                  <c:v>1.3007654241999944</c:v>
                </c:pt>
                <c:pt idx="23">
                  <c:v>0.14150779739999564</c:v>
                </c:pt>
              </c:numCache>
            </c:numRef>
          </c:val>
          <c:smooth val="0"/>
          <c:extLst>
            <c:ext xmlns:c16="http://schemas.microsoft.com/office/drawing/2014/chart" uri="{C3380CC4-5D6E-409C-BE32-E72D297353CC}">
              <c16:uniqueId val="{00000001-2B1B-4D20-8DCE-3E30D85C7BA0}"/>
            </c:ext>
          </c:extLst>
        </c:ser>
        <c:ser>
          <c:idx val="1"/>
          <c:order val="1"/>
          <c:tx>
            <c:strRef>
              <c:f>'Vnější vztahy'!$D$6</c:f>
              <c:strCache>
                <c:ptCount val="1"/>
                <c:pt idx="0">
                  <c:v>Import</c:v>
                </c:pt>
              </c:strCache>
            </c:strRef>
          </c:tx>
          <c:spPr>
            <a:ln w="28575" cap="rnd">
              <a:noFill/>
              <a:round/>
            </a:ln>
            <a:effectLst/>
          </c:spPr>
          <c:marker>
            <c:symbol val="dash"/>
            <c:size val="9"/>
            <c:spPr>
              <a:solidFill>
                <a:srgbClr val="BC5B80"/>
              </a:solidFill>
              <a:ln w="9525">
                <a:noFill/>
              </a:ln>
              <a:effectLst/>
            </c:spPr>
          </c:marker>
          <c:cat>
            <c:multiLvlStrRef>
              <c:f>'Vnější vztahy'!$A$11:$B$34</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2020</c:v>
                  </c:pt>
                  <c:pt idx="4">
                    <c:v>2021</c:v>
                  </c:pt>
                  <c:pt idx="8">
                    <c:v>2022</c:v>
                  </c:pt>
                  <c:pt idx="12">
                    <c:v>2023</c:v>
                  </c:pt>
                  <c:pt idx="16">
                    <c:v>2024</c:v>
                  </c:pt>
                  <c:pt idx="20">
                    <c:v>2025</c:v>
                  </c:pt>
                </c:lvl>
              </c:multiLvlStrCache>
            </c:multiLvlStrRef>
          </c:cat>
          <c:val>
            <c:numRef>
              <c:f>'Vnější vztahy'!$D$11:$D$34</c:f>
              <c:numCache>
                <c:formatCode>#\ ##0.0</c:formatCode>
                <c:ptCount val="24"/>
                <c:pt idx="0">
                  <c:v>-5.3981676209999989</c:v>
                </c:pt>
                <c:pt idx="1">
                  <c:v>-21.285728278400001</c:v>
                </c:pt>
                <c:pt idx="2">
                  <c:v>-6.8912364523999941</c:v>
                </c:pt>
                <c:pt idx="3">
                  <c:v>0.22314936540000474</c:v>
                </c:pt>
                <c:pt idx="4">
                  <c:v>8.4767312925000056</c:v>
                </c:pt>
                <c:pt idx="5">
                  <c:v>41.887499316600014</c:v>
                </c:pt>
                <c:pt idx="6">
                  <c:v>17.303793961099998</c:v>
                </c:pt>
                <c:pt idx="7">
                  <c:v>14.923030300799994</c:v>
                </c:pt>
                <c:pt idx="8">
                  <c:v>16.659765110899997</c:v>
                </c:pt>
                <c:pt idx="9">
                  <c:v>20.193090002000005</c:v>
                </c:pt>
                <c:pt idx="10">
                  <c:v>22.188267180799997</c:v>
                </c:pt>
                <c:pt idx="11">
                  <c:v>15.2991180633</c:v>
                </c:pt>
                <c:pt idx="12">
                  <c:v>5.5018043466999984</c:v>
                </c:pt>
                <c:pt idx="13">
                  <c:v>-8.2960208406999953</c:v>
                </c:pt>
                <c:pt idx="14">
                  <c:v>-11.801975368499996</c:v>
                </c:pt>
                <c:pt idx="15">
                  <c:v>-9.5344571271999996</c:v>
                </c:pt>
                <c:pt idx="16">
                  <c:v>-3.8011078601000037</c:v>
                </c:pt>
                <c:pt idx="17">
                  <c:v>1.682577773999995</c:v>
                </c:pt>
                <c:pt idx="18">
                  <c:v>8.1790772874000055</c:v>
                </c:pt>
                <c:pt idx="19">
                  <c:v>5.8165725733999949</c:v>
                </c:pt>
                <c:pt idx="20">
                  <c:v>7.3619518505999935</c:v>
                </c:pt>
                <c:pt idx="21">
                  <c:v>4.6622883934000043</c:v>
                </c:pt>
                <c:pt idx="22">
                  <c:v>1.2468480380999978</c:v>
                </c:pt>
                <c:pt idx="23">
                  <c:v>-0.93837025649999362</c:v>
                </c:pt>
              </c:numCache>
            </c:numRef>
          </c:val>
          <c:smooth val="0"/>
          <c:extLst>
            <c:ext xmlns:c16="http://schemas.microsoft.com/office/drawing/2014/chart" uri="{C3380CC4-5D6E-409C-BE32-E72D297353CC}">
              <c16:uniqueId val="{00000002-2B1B-4D20-8DCE-3E30D85C7BA0}"/>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2019</Words>
  <Characters>11913</Characters>
  <Application>Microsoft Office Word</Application>
  <DocSecurity>0</DocSecurity>
  <Lines>99</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50</cp:revision>
  <cp:lastPrinted>2014-07-17T14:07:00Z</cp:lastPrinted>
  <dcterms:created xsi:type="dcterms:W3CDTF">2026-04-14T10:07:00Z</dcterms:created>
  <dcterms:modified xsi:type="dcterms:W3CDTF">2026-04-16T10:40:00Z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