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74" w:rsidRPr="00115CBE" w:rsidRDefault="0086241D" w:rsidP="0086241D">
      <w:pPr>
        <w:pStyle w:val="Zkladntext"/>
        <w:jc w:val="left"/>
        <w:rPr>
          <w:b/>
          <w:bCs/>
          <w:sz w:val="22"/>
        </w:rPr>
      </w:pPr>
      <w:r w:rsidRPr="00115CBE">
        <w:rPr>
          <w:b/>
          <w:bCs/>
          <w:sz w:val="22"/>
        </w:rPr>
        <w:t>Zahraniční obchod České republiky se zbožím</w:t>
      </w:r>
      <w:r w:rsidRPr="00115CBE">
        <w:rPr>
          <w:rStyle w:val="Znakapoznpodarou"/>
          <w:b/>
          <w:bCs/>
          <w:sz w:val="22"/>
        </w:rPr>
        <w:footnoteReference w:id="1"/>
      </w:r>
      <w:r w:rsidRPr="00115CBE">
        <w:rPr>
          <w:b/>
          <w:bCs/>
          <w:sz w:val="22"/>
        </w:rPr>
        <w:t xml:space="preserve"> v roce 20</w:t>
      </w:r>
      <w:r w:rsidR="00913F00" w:rsidRPr="00115CBE">
        <w:rPr>
          <w:b/>
          <w:bCs/>
          <w:sz w:val="22"/>
        </w:rPr>
        <w:t>2</w:t>
      </w:r>
      <w:r w:rsidR="00115CBE">
        <w:rPr>
          <w:b/>
          <w:bCs/>
          <w:sz w:val="22"/>
        </w:rPr>
        <w:t>4</w:t>
      </w:r>
      <w:r w:rsidR="00C224AB" w:rsidRPr="00115CBE">
        <w:rPr>
          <w:rStyle w:val="Znakapoznpodarou"/>
          <w:b/>
          <w:bCs/>
          <w:sz w:val="22"/>
        </w:rPr>
        <w:footnoteReference w:id="2"/>
      </w:r>
    </w:p>
    <w:p w:rsidR="006E7274" w:rsidRPr="00115CBE" w:rsidRDefault="006E7274">
      <w:pPr>
        <w:pStyle w:val="Zkladntext"/>
        <w:jc w:val="center"/>
        <w:rPr>
          <w:b/>
          <w:bCs/>
          <w:color w:val="FF0000"/>
          <w:sz w:val="22"/>
        </w:rPr>
      </w:pPr>
    </w:p>
    <w:p w:rsidR="006E7274" w:rsidRPr="00115CBE" w:rsidRDefault="006E7274">
      <w:pPr>
        <w:pStyle w:val="Zkladntext"/>
        <w:jc w:val="center"/>
        <w:rPr>
          <w:color w:val="FF0000"/>
        </w:rPr>
      </w:pPr>
    </w:p>
    <w:p w:rsidR="000051EF" w:rsidRPr="007C7503" w:rsidRDefault="000051EF" w:rsidP="00873E3B">
      <w:pPr>
        <w:spacing w:after="160"/>
        <w:rPr>
          <w:rFonts w:cs="Arial"/>
          <w:sz w:val="18"/>
          <w:szCs w:val="18"/>
        </w:rPr>
      </w:pPr>
      <w:r w:rsidRPr="007C7503">
        <w:rPr>
          <w:rFonts w:cs="Arial"/>
          <w:sz w:val="18"/>
          <w:szCs w:val="18"/>
        </w:rPr>
        <w:t xml:space="preserve">Po </w:t>
      </w:r>
      <w:r w:rsidR="00196102" w:rsidRPr="007C7503">
        <w:rPr>
          <w:rFonts w:cs="Arial"/>
          <w:sz w:val="18"/>
          <w:szCs w:val="18"/>
        </w:rPr>
        <w:t>mírném poklesu v roce 2023 provázel v roce 2024 zahraniční obchod se zbožím opě</w:t>
      </w:r>
      <w:r w:rsidR="002265B1" w:rsidRPr="007C7503">
        <w:rPr>
          <w:rFonts w:cs="Arial"/>
          <w:sz w:val="18"/>
          <w:szCs w:val="18"/>
        </w:rPr>
        <w:t>tovný růst. V porovnání s rokem </w:t>
      </w:r>
      <w:r w:rsidR="00196102" w:rsidRPr="007C7503">
        <w:rPr>
          <w:rFonts w:cs="Arial"/>
          <w:sz w:val="18"/>
          <w:szCs w:val="18"/>
        </w:rPr>
        <w:t xml:space="preserve">2023 se </w:t>
      </w:r>
      <w:r w:rsidR="00196102" w:rsidRPr="0013049C">
        <w:rPr>
          <w:rFonts w:cs="Arial"/>
          <w:b/>
          <w:sz w:val="18"/>
          <w:szCs w:val="18"/>
        </w:rPr>
        <w:t>obrat zahraničního obchodu</w:t>
      </w:r>
      <w:r w:rsidR="00196102" w:rsidRPr="0013049C">
        <w:rPr>
          <w:rFonts w:cs="Arial"/>
          <w:sz w:val="18"/>
          <w:szCs w:val="18"/>
        </w:rPr>
        <w:t xml:space="preserve"> </w:t>
      </w:r>
      <w:r w:rsidR="00196102" w:rsidRPr="007C7503">
        <w:rPr>
          <w:rFonts w:cs="Arial"/>
          <w:sz w:val="18"/>
          <w:szCs w:val="18"/>
        </w:rPr>
        <w:t>se zbožím zvýšil o 3,9 %</w:t>
      </w:r>
      <w:r w:rsidR="009D5A3A">
        <w:rPr>
          <w:rFonts w:cs="Arial"/>
          <w:sz w:val="18"/>
          <w:szCs w:val="18"/>
        </w:rPr>
        <w:t>, což v absolutním vyjádření představuje růst o</w:t>
      </w:r>
      <w:r w:rsidR="007C7503">
        <w:rPr>
          <w:rFonts w:cs="Arial"/>
          <w:sz w:val="18"/>
          <w:szCs w:val="18"/>
        </w:rPr>
        <w:t> 343,5 mld. </w:t>
      </w:r>
      <w:r w:rsidR="00196102" w:rsidRPr="007C7503">
        <w:rPr>
          <w:rFonts w:cs="Arial"/>
          <w:sz w:val="18"/>
          <w:szCs w:val="18"/>
        </w:rPr>
        <w:t>Kč. Hodnota obratu v roce 2024 dosáhla 9 105,9 mld. Kč a stala se nejv</w:t>
      </w:r>
      <w:r w:rsidR="007C7503">
        <w:rPr>
          <w:rFonts w:cs="Arial"/>
          <w:sz w:val="18"/>
          <w:szCs w:val="18"/>
        </w:rPr>
        <w:t xml:space="preserve">yšší od vzniku </w:t>
      </w:r>
      <w:bookmarkStart w:id="0" w:name="_GoBack"/>
      <w:bookmarkEnd w:id="0"/>
      <w:r w:rsidR="007C7503">
        <w:rPr>
          <w:rFonts w:cs="Arial"/>
          <w:sz w:val="18"/>
          <w:szCs w:val="18"/>
        </w:rPr>
        <w:t>České </w:t>
      </w:r>
      <w:r w:rsidR="00196102" w:rsidRPr="007C7503">
        <w:rPr>
          <w:rFonts w:cs="Arial"/>
          <w:sz w:val="18"/>
          <w:szCs w:val="18"/>
        </w:rPr>
        <w:t>republiky.</w:t>
      </w:r>
    </w:p>
    <w:p w:rsidR="00196102" w:rsidRDefault="00196102" w:rsidP="00873E3B">
      <w:pPr>
        <w:spacing w:after="160"/>
        <w:rPr>
          <w:rFonts w:cs="Arial"/>
          <w:sz w:val="18"/>
          <w:szCs w:val="18"/>
        </w:rPr>
      </w:pPr>
      <w:r w:rsidRPr="00196102">
        <w:rPr>
          <w:rFonts w:cs="Arial"/>
          <w:sz w:val="18"/>
          <w:szCs w:val="18"/>
        </w:rPr>
        <w:t xml:space="preserve">Podle </w:t>
      </w:r>
      <w:r w:rsidRPr="00196102">
        <w:rPr>
          <w:rFonts w:cs="Arial"/>
          <w:bCs/>
          <w:sz w:val="18"/>
          <w:szCs w:val="18"/>
        </w:rPr>
        <w:t>definitivních údajů</w:t>
      </w:r>
      <w:r w:rsidRPr="00196102">
        <w:rPr>
          <w:rFonts w:cs="Arial"/>
          <w:sz w:val="18"/>
          <w:szCs w:val="18"/>
        </w:rPr>
        <w:t xml:space="preserve"> za rok </w:t>
      </w:r>
      <w:r w:rsidRPr="00196102">
        <w:rPr>
          <w:rFonts w:cs="Arial"/>
          <w:bCs/>
          <w:sz w:val="18"/>
          <w:szCs w:val="18"/>
        </w:rPr>
        <w:t>2024</w:t>
      </w:r>
      <w:r w:rsidRPr="00196102">
        <w:rPr>
          <w:rFonts w:cs="Arial"/>
          <w:sz w:val="18"/>
          <w:szCs w:val="18"/>
        </w:rPr>
        <w:t xml:space="preserve"> vzrostl meziročně vývoz o </w:t>
      </w:r>
      <w:r>
        <w:rPr>
          <w:rFonts w:cs="Arial"/>
          <w:sz w:val="18"/>
          <w:szCs w:val="18"/>
        </w:rPr>
        <w:t>5,0</w:t>
      </w:r>
      <w:r w:rsidRPr="00196102">
        <w:rPr>
          <w:rFonts w:cs="Arial"/>
          <w:sz w:val="18"/>
          <w:szCs w:val="18"/>
        </w:rPr>
        <w:t> % na 4</w:t>
      </w:r>
      <w:r>
        <w:rPr>
          <w:rFonts w:cs="Arial"/>
          <w:sz w:val="18"/>
          <w:szCs w:val="18"/>
        </w:rPr>
        <w:t> 663,2</w:t>
      </w:r>
      <w:r w:rsidRPr="00196102">
        <w:rPr>
          <w:rFonts w:cs="Arial"/>
          <w:sz w:val="18"/>
          <w:szCs w:val="18"/>
        </w:rPr>
        <w:t> mld. Kč</w:t>
      </w:r>
      <w:r>
        <w:rPr>
          <w:rFonts w:cs="Arial"/>
          <w:sz w:val="18"/>
          <w:szCs w:val="18"/>
        </w:rPr>
        <w:t xml:space="preserve"> a </w:t>
      </w:r>
      <w:r w:rsidRPr="00196102">
        <w:rPr>
          <w:rFonts w:cs="Arial"/>
          <w:sz w:val="18"/>
          <w:szCs w:val="18"/>
        </w:rPr>
        <w:t>dovoz o </w:t>
      </w:r>
      <w:r>
        <w:rPr>
          <w:rFonts w:cs="Arial"/>
          <w:sz w:val="18"/>
          <w:szCs w:val="18"/>
        </w:rPr>
        <w:t>2,8</w:t>
      </w:r>
      <w:r w:rsidRPr="00196102">
        <w:rPr>
          <w:rFonts w:cs="Arial"/>
          <w:sz w:val="18"/>
          <w:szCs w:val="18"/>
        </w:rPr>
        <w:t> % na 4</w:t>
      </w:r>
      <w:r w:rsidR="00E51804">
        <w:rPr>
          <w:rFonts w:cs="Arial"/>
          <w:sz w:val="18"/>
          <w:szCs w:val="18"/>
        </w:rPr>
        <w:t> 442,7</w:t>
      </w:r>
      <w:r w:rsidRPr="00196102">
        <w:rPr>
          <w:rFonts w:cs="Arial"/>
          <w:sz w:val="18"/>
          <w:szCs w:val="18"/>
        </w:rPr>
        <w:t> mld. Kč</w:t>
      </w:r>
      <w:r w:rsidR="00E51804">
        <w:rPr>
          <w:rFonts w:cs="Arial"/>
          <w:sz w:val="18"/>
          <w:szCs w:val="18"/>
        </w:rPr>
        <w:t>.</w:t>
      </w:r>
    </w:p>
    <w:p w:rsidR="00E51804" w:rsidRPr="00E51804" w:rsidRDefault="00E51804" w:rsidP="00FD2A72">
      <w:pPr>
        <w:spacing w:after="160"/>
        <w:rPr>
          <w:rFonts w:cs="Arial"/>
          <w:sz w:val="18"/>
          <w:szCs w:val="18"/>
        </w:rPr>
      </w:pPr>
      <w:r w:rsidRPr="0013049C">
        <w:rPr>
          <w:rFonts w:cs="Arial"/>
          <w:b/>
          <w:sz w:val="18"/>
          <w:szCs w:val="18"/>
        </w:rPr>
        <w:t>Bilance zahraničního obchodu</w:t>
      </w:r>
      <w:r w:rsidRPr="00E51804">
        <w:rPr>
          <w:rFonts w:cs="Arial"/>
          <w:sz w:val="18"/>
          <w:szCs w:val="18"/>
        </w:rPr>
        <w:t xml:space="preserve"> se zbožím skončila přebytkem 220,5 mld. Kč, který byl o 98,0 mld. Kč větší než v roce 2023</w:t>
      </w:r>
      <w:r w:rsidRPr="00143280">
        <w:t>.</w:t>
      </w:r>
      <w:r>
        <w:t xml:space="preserve"> </w:t>
      </w:r>
      <w:r>
        <w:rPr>
          <w:rFonts w:cs="Arial"/>
          <w:sz w:val="18"/>
          <w:szCs w:val="18"/>
        </w:rPr>
        <w:t xml:space="preserve">Docílená aktivní bilance byla výsledkem kladných sald ve všech čtvrtletích. </w:t>
      </w:r>
      <w:r w:rsidRPr="00E51804">
        <w:rPr>
          <w:rFonts w:cs="Arial"/>
          <w:sz w:val="18"/>
          <w:szCs w:val="18"/>
        </w:rPr>
        <w:t>Nejvyšší přebytek obchodní bilance byl zřejmý v 1. čtvrtletí (</w:t>
      </w:r>
      <w:r>
        <w:rPr>
          <w:rFonts w:cs="Arial"/>
          <w:sz w:val="18"/>
          <w:szCs w:val="18"/>
        </w:rPr>
        <w:t>82,3</w:t>
      </w:r>
      <w:r w:rsidRPr="00E51804">
        <w:rPr>
          <w:rFonts w:cs="Arial"/>
          <w:sz w:val="18"/>
          <w:szCs w:val="18"/>
        </w:rPr>
        <w:t xml:space="preserve"> mld. Kč), ve 2. čtvrtletí se snížil na </w:t>
      </w:r>
      <w:r>
        <w:rPr>
          <w:rFonts w:cs="Arial"/>
          <w:sz w:val="18"/>
          <w:szCs w:val="18"/>
        </w:rPr>
        <w:t>71,0</w:t>
      </w:r>
      <w:r w:rsidRPr="00E51804">
        <w:rPr>
          <w:rFonts w:cs="Arial"/>
          <w:sz w:val="18"/>
          <w:szCs w:val="18"/>
        </w:rPr>
        <w:t xml:space="preserve"> mld. Kč a ve 3. čtvrtletí dosáhl nejnižší hodnoty (</w:t>
      </w:r>
      <w:r>
        <w:rPr>
          <w:rFonts w:cs="Arial"/>
          <w:sz w:val="18"/>
          <w:szCs w:val="18"/>
        </w:rPr>
        <w:t>27,3</w:t>
      </w:r>
      <w:r w:rsidR="008246E8">
        <w:rPr>
          <w:rFonts w:cs="Arial"/>
          <w:sz w:val="18"/>
          <w:szCs w:val="18"/>
        </w:rPr>
        <w:t> mld. </w:t>
      </w:r>
      <w:r w:rsidRPr="00E51804">
        <w:rPr>
          <w:rFonts w:cs="Arial"/>
          <w:sz w:val="18"/>
          <w:szCs w:val="18"/>
        </w:rPr>
        <w:t>Kč), která ve 4. čtvrtletí opětovně vzrostla (</w:t>
      </w:r>
      <w:r>
        <w:rPr>
          <w:rFonts w:cs="Arial"/>
          <w:sz w:val="18"/>
          <w:szCs w:val="18"/>
        </w:rPr>
        <w:t>39,9</w:t>
      </w:r>
      <w:r w:rsidRPr="00E51804">
        <w:rPr>
          <w:rFonts w:cs="Arial"/>
          <w:sz w:val="18"/>
          <w:szCs w:val="18"/>
        </w:rPr>
        <w:t> mld. Kč).</w:t>
      </w:r>
    </w:p>
    <w:p w:rsidR="00081ABA" w:rsidRPr="007C7503" w:rsidRDefault="00081ABA" w:rsidP="00081ABA">
      <w:pPr>
        <w:spacing w:after="160"/>
        <w:rPr>
          <w:rStyle w:val="Siln"/>
          <w:b w:val="0"/>
          <w:sz w:val="18"/>
          <w:szCs w:val="18"/>
        </w:rPr>
      </w:pPr>
      <w:r w:rsidRPr="00EE6EFE">
        <w:rPr>
          <w:b/>
          <w:sz w:val="18"/>
          <w:szCs w:val="18"/>
        </w:rPr>
        <w:t>Příznivý vliv</w:t>
      </w:r>
      <w:r w:rsidRPr="00EE6EFE">
        <w:rPr>
          <w:sz w:val="18"/>
          <w:szCs w:val="18"/>
        </w:rPr>
        <w:t xml:space="preserve"> na celkové saldo zahraničního obchodu se zbožím </w:t>
      </w:r>
      <w:r w:rsidRPr="00EE6EFE">
        <w:rPr>
          <w:rFonts w:cs="Arial"/>
          <w:sz w:val="18"/>
          <w:szCs w:val="18"/>
        </w:rPr>
        <w:t xml:space="preserve">měla </w:t>
      </w:r>
      <w:r w:rsidR="00DB1984" w:rsidRPr="00EE6EFE">
        <w:rPr>
          <w:rFonts w:cs="Arial"/>
          <w:sz w:val="18"/>
          <w:szCs w:val="18"/>
        </w:rPr>
        <w:t>zejména</w:t>
      </w:r>
      <w:r w:rsidRPr="00EE6EFE">
        <w:rPr>
          <w:rFonts w:cs="Arial"/>
          <w:sz w:val="18"/>
          <w:szCs w:val="18"/>
        </w:rPr>
        <w:t xml:space="preserve"> </w:t>
      </w:r>
      <w:r w:rsidRPr="00EE6EFE">
        <w:rPr>
          <w:rFonts w:cs="Arial"/>
          <w:b/>
          <w:sz w:val="18"/>
          <w:szCs w:val="18"/>
        </w:rPr>
        <w:t xml:space="preserve">motorová </w:t>
      </w:r>
      <w:r w:rsidRPr="007C7503">
        <w:rPr>
          <w:rFonts w:cs="Arial"/>
          <w:b/>
          <w:sz w:val="18"/>
          <w:szCs w:val="18"/>
        </w:rPr>
        <w:t>vozidla</w:t>
      </w:r>
      <w:r w:rsidRPr="007C7503">
        <w:rPr>
          <w:rFonts w:cs="Arial"/>
          <w:sz w:val="18"/>
          <w:szCs w:val="18"/>
        </w:rPr>
        <w:t xml:space="preserve"> (včetně dílů a příslušenství). V roce 202</w:t>
      </w:r>
      <w:r w:rsidR="00EE6EFE" w:rsidRPr="007C7503">
        <w:rPr>
          <w:rFonts w:cs="Arial"/>
          <w:sz w:val="18"/>
          <w:szCs w:val="18"/>
        </w:rPr>
        <w:t>4</w:t>
      </w:r>
      <w:r w:rsidRPr="007C7503">
        <w:rPr>
          <w:rFonts w:cs="Arial"/>
          <w:sz w:val="18"/>
          <w:szCs w:val="18"/>
        </w:rPr>
        <w:t xml:space="preserve"> skončila bilance </w:t>
      </w:r>
      <w:r w:rsidR="00771825" w:rsidRPr="007C7503">
        <w:rPr>
          <w:rFonts w:cs="Arial"/>
          <w:sz w:val="18"/>
          <w:szCs w:val="18"/>
        </w:rPr>
        <w:t xml:space="preserve">jejich obchodu </w:t>
      </w:r>
      <w:r w:rsidRPr="007C7503">
        <w:rPr>
          <w:rFonts w:cs="Arial"/>
          <w:sz w:val="18"/>
          <w:szCs w:val="18"/>
        </w:rPr>
        <w:t xml:space="preserve">přebytkem </w:t>
      </w:r>
      <w:r w:rsidR="00B6778F" w:rsidRPr="007C7503">
        <w:rPr>
          <w:rFonts w:cs="Arial"/>
          <w:sz w:val="18"/>
          <w:szCs w:val="18"/>
        </w:rPr>
        <w:t>633,7</w:t>
      </w:r>
      <w:r w:rsidRPr="007C7503">
        <w:rPr>
          <w:rFonts w:cs="Arial"/>
          <w:sz w:val="18"/>
          <w:szCs w:val="18"/>
        </w:rPr>
        <w:t xml:space="preserve"> mld. Kč, </w:t>
      </w:r>
      <w:r w:rsidRPr="007C7503">
        <w:rPr>
          <w:rStyle w:val="Siln"/>
          <w:b w:val="0"/>
          <w:sz w:val="18"/>
          <w:szCs w:val="18"/>
        </w:rPr>
        <w:t xml:space="preserve">což byl meziročně o </w:t>
      </w:r>
      <w:r w:rsidR="007C7503" w:rsidRPr="007C7503">
        <w:rPr>
          <w:rStyle w:val="Siln"/>
          <w:b w:val="0"/>
          <w:sz w:val="18"/>
          <w:szCs w:val="18"/>
        </w:rPr>
        <w:t>59,1</w:t>
      </w:r>
      <w:r w:rsidRPr="007C7503">
        <w:rPr>
          <w:rStyle w:val="Siln"/>
          <w:b w:val="0"/>
          <w:sz w:val="18"/>
          <w:szCs w:val="18"/>
        </w:rPr>
        <w:t xml:space="preserve"> mld. Kč lepší výsledek. Vývoz tohoto zboží z České republiky vzrostl o </w:t>
      </w:r>
      <w:r w:rsidR="007C7503" w:rsidRPr="007C7503">
        <w:rPr>
          <w:rStyle w:val="Siln"/>
          <w:b w:val="0"/>
          <w:sz w:val="18"/>
          <w:szCs w:val="18"/>
        </w:rPr>
        <w:t>76,2</w:t>
      </w:r>
      <w:r w:rsidRPr="007C7503">
        <w:rPr>
          <w:rStyle w:val="Siln"/>
          <w:b w:val="0"/>
          <w:sz w:val="18"/>
          <w:szCs w:val="18"/>
        </w:rPr>
        <w:t xml:space="preserve"> mld. Kč na </w:t>
      </w:r>
      <w:r w:rsidR="007C7503" w:rsidRPr="007C7503">
        <w:rPr>
          <w:rStyle w:val="Siln"/>
          <w:b w:val="0"/>
          <w:sz w:val="18"/>
          <w:szCs w:val="18"/>
        </w:rPr>
        <w:t>1 305,0</w:t>
      </w:r>
      <w:r w:rsidRPr="007C7503">
        <w:rPr>
          <w:rStyle w:val="Siln"/>
          <w:b w:val="0"/>
          <w:sz w:val="18"/>
          <w:szCs w:val="18"/>
        </w:rPr>
        <w:t xml:space="preserve"> mld. Kč a dovoz do Česka </w:t>
      </w:r>
      <w:r w:rsidR="00771825" w:rsidRPr="007C7503">
        <w:rPr>
          <w:rStyle w:val="Siln"/>
          <w:b w:val="0"/>
          <w:sz w:val="18"/>
          <w:szCs w:val="18"/>
        </w:rPr>
        <w:t xml:space="preserve">stoupl </w:t>
      </w:r>
      <w:r w:rsidRPr="007C7503">
        <w:rPr>
          <w:rStyle w:val="Siln"/>
          <w:b w:val="0"/>
          <w:sz w:val="18"/>
          <w:szCs w:val="18"/>
        </w:rPr>
        <w:t xml:space="preserve">o </w:t>
      </w:r>
      <w:r w:rsidR="007C7503" w:rsidRPr="007C7503">
        <w:rPr>
          <w:rStyle w:val="Siln"/>
          <w:b w:val="0"/>
          <w:sz w:val="18"/>
          <w:szCs w:val="18"/>
        </w:rPr>
        <w:t>17,1</w:t>
      </w:r>
      <w:r w:rsidRPr="007C7503">
        <w:rPr>
          <w:rStyle w:val="Siln"/>
          <w:b w:val="0"/>
          <w:sz w:val="18"/>
          <w:szCs w:val="18"/>
        </w:rPr>
        <w:t xml:space="preserve"> mld. Kč na </w:t>
      </w:r>
      <w:r w:rsidR="007C7503" w:rsidRPr="007C7503">
        <w:rPr>
          <w:rStyle w:val="Siln"/>
          <w:b w:val="0"/>
          <w:sz w:val="18"/>
          <w:szCs w:val="18"/>
        </w:rPr>
        <w:t>671,3</w:t>
      </w:r>
      <w:r w:rsidRPr="007C7503">
        <w:rPr>
          <w:rStyle w:val="Siln"/>
          <w:b w:val="0"/>
          <w:sz w:val="18"/>
          <w:szCs w:val="18"/>
        </w:rPr>
        <w:t> mld. Kč.</w:t>
      </w:r>
    </w:p>
    <w:p w:rsidR="008C211A" w:rsidRPr="008246E8" w:rsidRDefault="008246E8" w:rsidP="008C211A">
      <w:pPr>
        <w:spacing w:after="160"/>
        <w:rPr>
          <w:bCs/>
          <w:color w:val="FF0000"/>
          <w:sz w:val="18"/>
          <w:szCs w:val="18"/>
        </w:rPr>
      </w:pPr>
      <w:r w:rsidRPr="008246E8">
        <w:rPr>
          <w:bCs/>
          <w:sz w:val="18"/>
          <w:szCs w:val="18"/>
        </w:rPr>
        <w:t>Roční bilanci</w:t>
      </w:r>
      <w:r w:rsidR="008C211A" w:rsidRPr="008246E8">
        <w:rPr>
          <w:bCs/>
          <w:sz w:val="18"/>
          <w:szCs w:val="18"/>
        </w:rPr>
        <w:t xml:space="preserve"> zahraničního obchodu se zbožím </w:t>
      </w:r>
      <w:r w:rsidR="007A435A" w:rsidRPr="008246E8">
        <w:rPr>
          <w:b/>
          <w:bCs/>
          <w:sz w:val="18"/>
          <w:szCs w:val="18"/>
        </w:rPr>
        <w:t xml:space="preserve">dále </w:t>
      </w:r>
      <w:r w:rsidR="008C211A" w:rsidRPr="008246E8">
        <w:rPr>
          <w:b/>
          <w:bCs/>
          <w:sz w:val="18"/>
          <w:szCs w:val="18"/>
        </w:rPr>
        <w:t>ovlivnil</w:t>
      </w:r>
      <w:r w:rsidR="008C211A" w:rsidRPr="008246E8">
        <w:rPr>
          <w:bCs/>
          <w:sz w:val="18"/>
          <w:szCs w:val="18"/>
        </w:rPr>
        <w:t xml:space="preserve"> meziročně menší deficit s ropou a </w:t>
      </w:r>
      <w:r w:rsidR="00D43BC1" w:rsidRPr="008246E8">
        <w:rPr>
          <w:bCs/>
          <w:sz w:val="18"/>
          <w:szCs w:val="18"/>
        </w:rPr>
        <w:t>zemním plynem o </w:t>
      </w:r>
      <w:r w:rsidR="00BB652F" w:rsidRPr="008246E8">
        <w:rPr>
          <w:bCs/>
          <w:sz w:val="18"/>
          <w:szCs w:val="18"/>
        </w:rPr>
        <w:t>24,2</w:t>
      </w:r>
      <w:r>
        <w:rPr>
          <w:bCs/>
          <w:sz w:val="18"/>
          <w:szCs w:val="18"/>
        </w:rPr>
        <w:t> mld. </w:t>
      </w:r>
      <w:r w:rsidR="008C211A" w:rsidRPr="008246E8">
        <w:rPr>
          <w:bCs/>
          <w:sz w:val="18"/>
          <w:szCs w:val="18"/>
        </w:rPr>
        <w:t>Kč.</w:t>
      </w:r>
      <w:r w:rsidR="007A435A" w:rsidRPr="008246E8">
        <w:rPr>
          <w:bCs/>
          <w:sz w:val="18"/>
          <w:szCs w:val="18"/>
        </w:rPr>
        <w:t xml:space="preserve"> </w:t>
      </w:r>
      <w:r w:rsidR="0013049C" w:rsidRPr="008246E8">
        <w:rPr>
          <w:bCs/>
          <w:sz w:val="18"/>
          <w:szCs w:val="18"/>
        </w:rPr>
        <w:t xml:space="preserve">Obchod s elektrickými zařízeními skončil </w:t>
      </w:r>
      <w:r w:rsidR="009858AA" w:rsidRPr="008246E8">
        <w:rPr>
          <w:bCs/>
          <w:sz w:val="18"/>
          <w:szCs w:val="18"/>
        </w:rPr>
        <w:t xml:space="preserve">v roce 2024 </w:t>
      </w:r>
      <w:r w:rsidR="0013049C" w:rsidRPr="008246E8">
        <w:rPr>
          <w:bCs/>
          <w:sz w:val="18"/>
          <w:szCs w:val="18"/>
        </w:rPr>
        <w:t xml:space="preserve">přebytkem </w:t>
      </w:r>
      <w:r w:rsidR="009858AA" w:rsidRPr="008246E8">
        <w:rPr>
          <w:bCs/>
          <w:sz w:val="18"/>
          <w:szCs w:val="18"/>
        </w:rPr>
        <w:t xml:space="preserve">32,5 </w:t>
      </w:r>
      <w:r w:rsidR="0013049C" w:rsidRPr="008246E8">
        <w:rPr>
          <w:bCs/>
          <w:sz w:val="18"/>
          <w:szCs w:val="18"/>
        </w:rPr>
        <w:t>mld. Kč ve srovnání se schodkem</w:t>
      </w:r>
      <w:r w:rsidR="009858AA" w:rsidRPr="008246E8">
        <w:rPr>
          <w:bCs/>
          <w:sz w:val="18"/>
          <w:szCs w:val="18"/>
        </w:rPr>
        <w:t xml:space="preserve"> 2,7 mld. Kč</w:t>
      </w:r>
      <w:r w:rsidR="0013049C" w:rsidRPr="008246E8">
        <w:rPr>
          <w:bCs/>
          <w:sz w:val="18"/>
          <w:szCs w:val="18"/>
        </w:rPr>
        <w:t xml:space="preserve"> v předchozím roce.</w:t>
      </w:r>
    </w:p>
    <w:p w:rsidR="00BB652F" w:rsidRDefault="00BA1EAA" w:rsidP="00104DCD">
      <w:pPr>
        <w:spacing w:after="160"/>
        <w:rPr>
          <w:bCs/>
          <w:sz w:val="18"/>
          <w:szCs w:val="18"/>
        </w:rPr>
      </w:pPr>
      <w:r w:rsidRPr="008246E8">
        <w:rPr>
          <w:bCs/>
          <w:sz w:val="18"/>
          <w:szCs w:val="18"/>
        </w:rPr>
        <w:t xml:space="preserve">Celkové saldo zahraničního obchodu se zbožím </w:t>
      </w:r>
      <w:r w:rsidRPr="008246E8">
        <w:rPr>
          <w:b/>
          <w:bCs/>
          <w:sz w:val="18"/>
          <w:szCs w:val="18"/>
        </w:rPr>
        <w:t>nepříznivě ovlivnil</w:t>
      </w:r>
      <w:r w:rsidRPr="008246E8">
        <w:rPr>
          <w:bCs/>
          <w:sz w:val="18"/>
          <w:szCs w:val="18"/>
        </w:rPr>
        <w:t xml:space="preserve"> především meziročně </w:t>
      </w:r>
      <w:r w:rsidR="007A435A" w:rsidRPr="008246E8">
        <w:rPr>
          <w:bCs/>
          <w:sz w:val="18"/>
          <w:szCs w:val="18"/>
        </w:rPr>
        <w:t xml:space="preserve">pokles aktivní bilance </w:t>
      </w:r>
      <w:r w:rsidR="00BB652F" w:rsidRPr="008246E8">
        <w:rPr>
          <w:bCs/>
          <w:sz w:val="18"/>
          <w:szCs w:val="18"/>
        </w:rPr>
        <w:t>s kovodělnými výrobky o 15,3 mld. Kč. Dále se prohloubilo pasivum bilance s rafinovaný</w:t>
      </w:r>
      <w:r w:rsidR="00E0755D">
        <w:rPr>
          <w:bCs/>
          <w:sz w:val="18"/>
          <w:szCs w:val="18"/>
        </w:rPr>
        <w:t>mi ropnými produkty o 18,0 mld. </w:t>
      </w:r>
      <w:r w:rsidR="00BB652F" w:rsidRPr="008246E8">
        <w:rPr>
          <w:bCs/>
          <w:sz w:val="18"/>
          <w:szCs w:val="18"/>
        </w:rPr>
        <w:t>Kč a základními kovy o 13,2 mld. Kč.</w:t>
      </w:r>
    </w:p>
    <w:p w:rsidR="00461970" w:rsidRPr="001070CE" w:rsidRDefault="00104DCD" w:rsidP="00104DCD">
      <w:pPr>
        <w:spacing w:after="160"/>
        <w:rPr>
          <w:bCs/>
          <w:spacing w:val="-2"/>
          <w:sz w:val="18"/>
          <w:szCs w:val="18"/>
        </w:rPr>
      </w:pPr>
      <w:r w:rsidRPr="007C7503">
        <w:rPr>
          <w:b/>
          <w:bCs/>
          <w:sz w:val="18"/>
          <w:szCs w:val="18"/>
        </w:rPr>
        <w:t xml:space="preserve">Přebytek </w:t>
      </w:r>
      <w:r w:rsidR="009271BB" w:rsidRPr="007C7503">
        <w:rPr>
          <w:b/>
          <w:bCs/>
          <w:sz w:val="18"/>
          <w:szCs w:val="18"/>
        </w:rPr>
        <w:t xml:space="preserve">bilance </w:t>
      </w:r>
      <w:r w:rsidRPr="007C7503">
        <w:rPr>
          <w:b/>
          <w:bCs/>
          <w:sz w:val="18"/>
          <w:szCs w:val="18"/>
        </w:rPr>
        <w:t>zahraničního obchodu se státy Evropské unie</w:t>
      </w:r>
      <w:r w:rsidR="00503420">
        <w:rPr>
          <w:rStyle w:val="Znakapoznpodarou"/>
          <w:b/>
          <w:bCs/>
          <w:sz w:val="18"/>
          <w:szCs w:val="18"/>
        </w:rPr>
        <w:footnoteReference w:id="3"/>
      </w:r>
      <w:r w:rsidRPr="007C7503">
        <w:rPr>
          <w:bCs/>
          <w:sz w:val="18"/>
          <w:szCs w:val="18"/>
        </w:rPr>
        <w:t xml:space="preserve"> dosáhl </w:t>
      </w:r>
      <w:r w:rsidR="007C7503">
        <w:rPr>
          <w:bCs/>
          <w:sz w:val="18"/>
          <w:szCs w:val="18"/>
        </w:rPr>
        <w:t>857,9</w:t>
      </w:r>
      <w:r w:rsidRPr="007C7503">
        <w:rPr>
          <w:bCs/>
          <w:sz w:val="18"/>
          <w:szCs w:val="18"/>
        </w:rPr>
        <w:t xml:space="preserve"> mld. Kč a byl proti roku 202</w:t>
      </w:r>
      <w:r w:rsidR="00505D86">
        <w:rPr>
          <w:bCs/>
          <w:sz w:val="18"/>
          <w:szCs w:val="18"/>
        </w:rPr>
        <w:t>3</w:t>
      </w:r>
      <w:r w:rsidR="009271BB" w:rsidRPr="007C7503">
        <w:rPr>
          <w:bCs/>
          <w:sz w:val="18"/>
          <w:szCs w:val="18"/>
        </w:rPr>
        <w:t xml:space="preserve"> </w:t>
      </w:r>
      <w:r w:rsidR="009271BB" w:rsidRPr="00461970">
        <w:rPr>
          <w:bCs/>
          <w:spacing w:val="-2"/>
          <w:sz w:val="18"/>
          <w:szCs w:val="18"/>
        </w:rPr>
        <w:t>o </w:t>
      </w:r>
      <w:r w:rsidR="00461970" w:rsidRPr="00461970">
        <w:rPr>
          <w:bCs/>
          <w:spacing w:val="-2"/>
          <w:sz w:val="18"/>
          <w:szCs w:val="18"/>
        </w:rPr>
        <w:t>16,4</w:t>
      </w:r>
      <w:r w:rsidR="009271BB" w:rsidRPr="00461970">
        <w:rPr>
          <w:bCs/>
          <w:spacing w:val="-2"/>
          <w:sz w:val="18"/>
          <w:szCs w:val="18"/>
        </w:rPr>
        <w:t> mld. </w:t>
      </w:r>
      <w:r w:rsidRPr="00461970">
        <w:rPr>
          <w:bCs/>
          <w:spacing w:val="-2"/>
          <w:sz w:val="18"/>
          <w:szCs w:val="18"/>
        </w:rPr>
        <w:t xml:space="preserve">Kč </w:t>
      </w:r>
      <w:r w:rsidR="00461970" w:rsidRPr="00461970">
        <w:rPr>
          <w:bCs/>
          <w:spacing w:val="-2"/>
          <w:sz w:val="18"/>
          <w:szCs w:val="18"/>
        </w:rPr>
        <w:t>niž</w:t>
      </w:r>
      <w:r w:rsidRPr="00461970">
        <w:rPr>
          <w:bCs/>
          <w:spacing w:val="-2"/>
          <w:sz w:val="18"/>
          <w:szCs w:val="18"/>
        </w:rPr>
        <w:t xml:space="preserve">ší. </w:t>
      </w:r>
      <w:r w:rsidR="001070CE" w:rsidRPr="001070CE">
        <w:rPr>
          <w:b/>
          <w:bCs/>
          <w:sz w:val="18"/>
          <w:szCs w:val="18"/>
        </w:rPr>
        <w:t>Schodek bilance zahraničního obchodu se zbožím se státy mimo Evropskou unii</w:t>
      </w:r>
      <w:r w:rsidR="001070CE" w:rsidRPr="001070CE">
        <w:rPr>
          <w:bCs/>
          <w:sz w:val="18"/>
          <w:szCs w:val="18"/>
        </w:rPr>
        <w:t xml:space="preserve"> se meziročně snížil o </w:t>
      </w:r>
      <w:r w:rsidR="001070CE">
        <w:rPr>
          <w:bCs/>
          <w:sz w:val="18"/>
          <w:szCs w:val="18"/>
        </w:rPr>
        <w:t>115,0</w:t>
      </w:r>
      <w:r w:rsidR="001070CE" w:rsidRPr="001070CE">
        <w:rPr>
          <w:bCs/>
          <w:sz w:val="18"/>
          <w:szCs w:val="18"/>
        </w:rPr>
        <w:t xml:space="preserve"> mld. Kč na </w:t>
      </w:r>
      <w:r w:rsidR="001070CE">
        <w:rPr>
          <w:bCs/>
          <w:sz w:val="18"/>
          <w:szCs w:val="18"/>
        </w:rPr>
        <w:t>602,9</w:t>
      </w:r>
      <w:r w:rsidR="001070CE" w:rsidRPr="001070CE">
        <w:rPr>
          <w:bCs/>
          <w:sz w:val="18"/>
          <w:szCs w:val="18"/>
        </w:rPr>
        <w:t> mld. Kč</w:t>
      </w:r>
      <w:r w:rsidR="006804F6">
        <w:rPr>
          <w:bCs/>
          <w:sz w:val="18"/>
          <w:szCs w:val="18"/>
        </w:rPr>
        <w:t>.</w:t>
      </w:r>
    </w:p>
    <w:p w:rsidR="00B70971" w:rsidRPr="00115CBE" w:rsidRDefault="00B70971" w:rsidP="001070CE">
      <w:pPr>
        <w:spacing w:after="160"/>
        <w:ind w:left="-6"/>
        <w:rPr>
          <w:bCs/>
          <w:color w:val="FF0000"/>
          <w:sz w:val="18"/>
          <w:szCs w:val="18"/>
        </w:rPr>
      </w:pPr>
      <w:r>
        <w:rPr>
          <w:rFonts w:cs="Arial"/>
          <w:sz w:val="18"/>
          <w:szCs w:val="18"/>
        </w:rPr>
        <w:t>V roce 20</w:t>
      </w:r>
      <w:r w:rsidR="001070CE">
        <w:rPr>
          <w:rFonts w:cs="Arial"/>
          <w:sz w:val="18"/>
          <w:szCs w:val="18"/>
        </w:rPr>
        <w:t>2</w:t>
      </w:r>
      <w:r w:rsidR="006804F6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 xml:space="preserve"> směřovalo téměř 80 % </w:t>
      </w:r>
      <w:r w:rsidRPr="009858AA">
        <w:rPr>
          <w:rFonts w:cs="Arial"/>
          <w:b/>
          <w:sz w:val="18"/>
          <w:szCs w:val="18"/>
        </w:rPr>
        <w:t>vývozu z České republiky</w:t>
      </w:r>
      <w:r>
        <w:rPr>
          <w:rFonts w:cs="Arial"/>
          <w:sz w:val="18"/>
          <w:szCs w:val="18"/>
        </w:rPr>
        <w:t xml:space="preserve"> do třinácti států, z čehož bylo </w:t>
      </w:r>
      <w:r w:rsidR="001070CE">
        <w:rPr>
          <w:rFonts w:cs="Arial"/>
          <w:sz w:val="18"/>
          <w:szCs w:val="18"/>
        </w:rPr>
        <w:t>deset</w:t>
      </w:r>
      <w:r>
        <w:rPr>
          <w:rFonts w:cs="Arial"/>
          <w:sz w:val="18"/>
          <w:szCs w:val="18"/>
        </w:rPr>
        <w:t xml:space="preserve"> států unijních a </w:t>
      </w:r>
      <w:r w:rsidR="001070CE">
        <w:rPr>
          <w:rFonts w:cs="Arial"/>
          <w:sz w:val="18"/>
          <w:szCs w:val="18"/>
        </w:rPr>
        <w:t>tři</w:t>
      </w:r>
      <w:r>
        <w:rPr>
          <w:rFonts w:cs="Arial"/>
          <w:sz w:val="18"/>
          <w:szCs w:val="18"/>
        </w:rPr>
        <w:t xml:space="preserve"> státy le</w:t>
      </w:r>
      <w:r w:rsidR="001070CE">
        <w:rPr>
          <w:rFonts w:cs="Arial"/>
          <w:sz w:val="18"/>
          <w:szCs w:val="18"/>
        </w:rPr>
        <w:t xml:space="preserve">žící mimo hranici Evropské unie. </w:t>
      </w:r>
      <w:r>
        <w:rPr>
          <w:rFonts w:cs="Arial"/>
          <w:sz w:val="18"/>
          <w:szCs w:val="18"/>
        </w:rPr>
        <w:t>Stejně jako v předchozích letech bylo v nejvyšší hodnotě (</w:t>
      </w:r>
      <w:r w:rsidR="001070CE">
        <w:rPr>
          <w:rFonts w:cs="Arial"/>
          <w:sz w:val="18"/>
          <w:szCs w:val="18"/>
        </w:rPr>
        <w:t>1 372,1</w:t>
      </w:r>
      <w:r>
        <w:rPr>
          <w:rFonts w:cs="Arial"/>
          <w:sz w:val="18"/>
          <w:szCs w:val="18"/>
        </w:rPr>
        <w:t xml:space="preserve"> mld. Kč) vyvezeno zboží do Německa. Žádný z dalších dvanácti států nedosahoval již tak vysok</w:t>
      </w:r>
      <w:r w:rsidR="007C0271">
        <w:rPr>
          <w:rFonts w:cs="Arial"/>
          <w:sz w:val="18"/>
          <w:szCs w:val="18"/>
        </w:rPr>
        <w:t>ého</w:t>
      </w:r>
      <w:r>
        <w:rPr>
          <w:rFonts w:cs="Arial"/>
          <w:sz w:val="18"/>
          <w:szCs w:val="18"/>
        </w:rPr>
        <w:t xml:space="preserve"> podíl</w:t>
      </w:r>
      <w:r w:rsidR="007C0271">
        <w:rPr>
          <w:rFonts w:cs="Arial"/>
          <w:sz w:val="18"/>
          <w:szCs w:val="18"/>
        </w:rPr>
        <w:t>u</w:t>
      </w:r>
      <w:r>
        <w:rPr>
          <w:rFonts w:cs="Arial"/>
          <w:sz w:val="18"/>
          <w:szCs w:val="18"/>
        </w:rPr>
        <w:t xml:space="preserve"> na celkovém vývozu jako uvedené Německo (</w:t>
      </w:r>
      <w:r w:rsidR="001070CE">
        <w:rPr>
          <w:rFonts w:cs="Arial"/>
          <w:sz w:val="18"/>
          <w:szCs w:val="18"/>
        </w:rPr>
        <w:t>29</w:t>
      </w:r>
      <w:r>
        <w:rPr>
          <w:rFonts w:cs="Arial"/>
          <w:sz w:val="18"/>
          <w:szCs w:val="18"/>
        </w:rPr>
        <w:t xml:space="preserve">,4 %) a jejich zastoupení se pohybovalo v rozmezí od </w:t>
      </w:r>
      <w:r w:rsidR="001070CE">
        <w:rPr>
          <w:rFonts w:cs="Arial"/>
          <w:sz w:val="18"/>
          <w:szCs w:val="18"/>
        </w:rPr>
        <w:t>1,7</w:t>
      </w:r>
      <w:r>
        <w:rPr>
          <w:rFonts w:cs="Arial"/>
          <w:sz w:val="18"/>
          <w:szCs w:val="18"/>
        </w:rPr>
        <w:t xml:space="preserve"> % u třináct</w:t>
      </w:r>
      <w:r w:rsidR="001070CE">
        <w:rPr>
          <w:rFonts w:cs="Arial"/>
          <w:sz w:val="18"/>
          <w:szCs w:val="18"/>
        </w:rPr>
        <w:t>ého Švýcarska</w:t>
      </w:r>
      <w:r>
        <w:rPr>
          <w:rFonts w:cs="Arial"/>
          <w:sz w:val="18"/>
          <w:szCs w:val="18"/>
        </w:rPr>
        <w:t xml:space="preserve"> po </w:t>
      </w:r>
      <w:r w:rsidR="001070CE">
        <w:rPr>
          <w:rFonts w:cs="Arial"/>
          <w:sz w:val="18"/>
          <w:szCs w:val="18"/>
        </w:rPr>
        <w:t>9,1</w:t>
      </w:r>
      <w:r w:rsidR="008246E8">
        <w:rPr>
          <w:rFonts w:cs="Arial"/>
          <w:sz w:val="18"/>
          <w:szCs w:val="18"/>
        </w:rPr>
        <w:t xml:space="preserve"> % u </w:t>
      </w:r>
      <w:r>
        <w:rPr>
          <w:rFonts w:cs="Arial"/>
          <w:sz w:val="18"/>
          <w:szCs w:val="18"/>
        </w:rPr>
        <w:t>druhého Slovenska</w:t>
      </w:r>
      <w:r w:rsidR="006804F6">
        <w:rPr>
          <w:rFonts w:cs="Arial"/>
          <w:sz w:val="18"/>
          <w:szCs w:val="18"/>
        </w:rPr>
        <w:t>.</w:t>
      </w:r>
    </w:p>
    <w:p w:rsidR="00B70971" w:rsidRDefault="00B70971" w:rsidP="00B70971">
      <w:pPr>
        <w:spacing w:after="160"/>
        <w:ind w:left="-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Více než tři čtvrtiny </w:t>
      </w:r>
      <w:r w:rsidRPr="0013049C">
        <w:rPr>
          <w:rFonts w:cs="Arial"/>
          <w:b/>
          <w:sz w:val="18"/>
          <w:szCs w:val="18"/>
        </w:rPr>
        <w:t>dovozu do České republiky</w:t>
      </w:r>
      <w:r>
        <w:rPr>
          <w:rFonts w:cs="Arial"/>
          <w:sz w:val="18"/>
          <w:szCs w:val="18"/>
        </w:rPr>
        <w:t xml:space="preserve"> byly v roce 20</w:t>
      </w:r>
      <w:r w:rsidR="00806F2D">
        <w:rPr>
          <w:rFonts w:cs="Arial"/>
          <w:sz w:val="18"/>
          <w:szCs w:val="18"/>
        </w:rPr>
        <w:t>24</w:t>
      </w:r>
      <w:r>
        <w:rPr>
          <w:rFonts w:cs="Arial"/>
          <w:sz w:val="18"/>
          <w:szCs w:val="18"/>
        </w:rPr>
        <w:t xml:space="preserve"> realizovány z</w:t>
      </w:r>
      <w:r w:rsidR="00533788">
        <w:rPr>
          <w:rFonts w:cs="Arial"/>
          <w:sz w:val="18"/>
          <w:szCs w:val="18"/>
        </w:rPr>
        <w:t>e</w:t>
      </w:r>
      <w:r>
        <w:rPr>
          <w:rFonts w:cs="Arial"/>
          <w:sz w:val="18"/>
          <w:szCs w:val="18"/>
        </w:rPr>
        <w:t> </w:t>
      </w:r>
      <w:r w:rsidR="00533788">
        <w:rPr>
          <w:rFonts w:cs="Arial"/>
          <w:sz w:val="18"/>
          <w:szCs w:val="18"/>
        </w:rPr>
        <w:t>čtrnácti</w:t>
      </w:r>
      <w:r>
        <w:rPr>
          <w:rFonts w:cs="Arial"/>
          <w:sz w:val="18"/>
          <w:szCs w:val="18"/>
        </w:rPr>
        <w:t xml:space="preserve"> států. Nejsilnější pozici na celkovém dovozu zaznamenalo Německo (</w:t>
      </w:r>
      <w:r w:rsidR="00533788">
        <w:rPr>
          <w:rFonts w:cs="Arial"/>
          <w:sz w:val="18"/>
          <w:szCs w:val="18"/>
        </w:rPr>
        <w:t xml:space="preserve">22,7 %). </w:t>
      </w:r>
      <w:r>
        <w:rPr>
          <w:rFonts w:cs="Arial"/>
          <w:sz w:val="18"/>
          <w:szCs w:val="18"/>
        </w:rPr>
        <w:t xml:space="preserve">Postavení zbývajících </w:t>
      </w:r>
      <w:r w:rsidR="00533788">
        <w:rPr>
          <w:rFonts w:cs="Arial"/>
          <w:sz w:val="18"/>
          <w:szCs w:val="18"/>
        </w:rPr>
        <w:t>třinácti</w:t>
      </w:r>
      <w:r>
        <w:rPr>
          <w:rFonts w:cs="Arial"/>
          <w:sz w:val="18"/>
          <w:szCs w:val="18"/>
        </w:rPr>
        <w:t xml:space="preserve"> států na celkovém dovozu se pohybovalo od </w:t>
      </w:r>
      <w:r w:rsidR="00533788">
        <w:rPr>
          <w:rFonts w:cs="Arial"/>
          <w:sz w:val="18"/>
          <w:szCs w:val="18"/>
        </w:rPr>
        <w:t>1,8</w:t>
      </w:r>
      <w:r>
        <w:rPr>
          <w:rFonts w:cs="Arial"/>
          <w:sz w:val="18"/>
          <w:szCs w:val="18"/>
        </w:rPr>
        <w:t xml:space="preserve"> % u </w:t>
      </w:r>
      <w:r w:rsidR="00533788">
        <w:rPr>
          <w:rFonts w:cs="Arial"/>
          <w:sz w:val="18"/>
          <w:szCs w:val="18"/>
        </w:rPr>
        <w:t>Ruské federace</w:t>
      </w:r>
      <w:r>
        <w:rPr>
          <w:rFonts w:cs="Arial"/>
          <w:sz w:val="18"/>
          <w:szCs w:val="18"/>
        </w:rPr>
        <w:t xml:space="preserve"> do </w:t>
      </w:r>
      <w:r w:rsidR="00533788">
        <w:rPr>
          <w:rFonts w:cs="Arial"/>
          <w:sz w:val="18"/>
          <w:szCs w:val="18"/>
        </w:rPr>
        <w:t>12,2</w:t>
      </w:r>
      <w:r>
        <w:rPr>
          <w:rFonts w:cs="Arial"/>
          <w:sz w:val="18"/>
          <w:szCs w:val="18"/>
        </w:rPr>
        <w:t xml:space="preserve"> % u Číny.</w:t>
      </w:r>
    </w:p>
    <w:p w:rsidR="005D57FB" w:rsidRDefault="005D57FB" w:rsidP="00104DCD">
      <w:pPr>
        <w:spacing w:after="160"/>
        <w:rPr>
          <w:bCs/>
          <w:sz w:val="18"/>
          <w:szCs w:val="18"/>
        </w:rPr>
      </w:pPr>
    </w:p>
    <w:p w:rsidR="00FF6F7B" w:rsidRDefault="00FF6F7B" w:rsidP="00104DCD">
      <w:pPr>
        <w:spacing w:after="160"/>
        <w:rPr>
          <w:bCs/>
          <w:sz w:val="18"/>
          <w:szCs w:val="18"/>
        </w:rPr>
      </w:pPr>
    </w:p>
    <w:p w:rsidR="00765355" w:rsidRDefault="00765355" w:rsidP="006E6ECF">
      <w:pPr>
        <w:spacing w:after="160"/>
        <w:rPr>
          <w:rFonts w:ascii="Tahoma" w:hAnsi="Tahoma" w:cs="Tahoma"/>
          <w:szCs w:val="20"/>
          <w:shd w:val="clear" w:color="auto" w:fill="FFFFFF"/>
        </w:rPr>
      </w:pPr>
    </w:p>
    <w:sectPr w:rsidR="00765355">
      <w:footerReference w:type="even" r:id="rId8"/>
      <w:footerReference w:type="default" r:id="rId9"/>
      <w:pgSz w:w="11906" w:h="16838"/>
      <w:pgMar w:top="1418" w:right="1134" w:bottom="1418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74" w:rsidRDefault="004A1174">
      <w:r>
        <w:separator/>
      </w:r>
    </w:p>
  </w:endnote>
  <w:endnote w:type="continuationSeparator" w:id="0">
    <w:p w:rsidR="004A1174" w:rsidRDefault="004A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74" w:rsidRDefault="006E72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E7274" w:rsidRDefault="006E7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74" w:rsidRDefault="006E72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049C">
      <w:rPr>
        <w:rStyle w:val="slostrnky"/>
        <w:noProof/>
      </w:rPr>
      <w:t>2</w:t>
    </w:r>
    <w:r>
      <w:rPr>
        <w:rStyle w:val="slostrnky"/>
      </w:rPr>
      <w:fldChar w:fldCharType="end"/>
    </w:r>
  </w:p>
  <w:p w:rsidR="006E7274" w:rsidRDefault="006E7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74" w:rsidRDefault="004A1174">
      <w:r>
        <w:separator/>
      </w:r>
    </w:p>
  </w:footnote>
  <w:footnote w:type="continuationSeparator" w:id="0">
    <w:p w:rsidR="004A1174" w:rsidRDefault="004A1174">
      <w:r>
        <w:continuationSeparator/>
      </w:r>
    </w:p>
  </w:footnote>
  <w:footnote w:id="1">
    <w:p w:rsidR="0086241D" w:rsidRPr="00E17DD3" w:rsidRDefault="0086241D" w:rsidP="00C22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b/>
          <w:sz w:val="17"/>
          <w:szCs w:val="17"/>
        </w:rPr>
      </w:pPr>
      <w:r w:rsidRPr="0054218D">
        <w:rPr>
          <w:rStyle w:val="Znakapoznpodarou"/>
          <w:sz w:val="17"/>
          <w:szCs w:val="17"/>
        </w:rPr>
        <w:footnoteRef/>
      </w:r>
      <w:r w:rsidR="00B5735C">
        <w:rPr>
          <w:sz w:val="17"/>
          <w:szCs w:val="17"/>
        </w:rPr>
        <w:t xml:space="preserve"> </w:t>
      </w:r>
      <w:r w:rsidR="00C224AB" w:rsidRPr="00E17DD3">
        <w:rPr>
          <w:b/>
          <w:bCs/>
          <w:iCs/>
          <w:sz w:val="17"/>
          <w:szCs w:val="17"/>
        </w:rPr>
        <w:t>Statistika zahraničního obchodu se zbožím</w:t>
      </w:r>
      <w:r w:rsidR="00C224AB" w:rsidRPr="00E17DD3">
        <w:rPr>
          <w:bCs/>
          <w:iCs/>
          <w:sz w:val="17"/>
          <w:szCs w:val="17"/>
        </w:rPr>
        <w:t xml:space="preserve"> vypovídá o vývozní a dovozní výkonnosti české ekonomiky, tedy i o obchodní bilanci České republiky. K zahraničnímu obchodu dochází ve chvíli, kdy spolu obchodují české subjekty (rezidenti) a zahraniční subjekty (nerezidenti), a samotný pohyb zboží přes hranice pro něj nemusí být rozhodující.</w:t>
      </w:r>
    </w:p>
  </w:footnote>
  <w:footnote w:id="2">
    <w:p w:rsidR="00C224AB" w:rsidRPr="00E17DD3" w:rsidRDefault="00C224AB" w:rsidP="00E075D3">
      <w:pPr>
        <w:pStyle w:val="Textpoznpodarou"/>
        <w:spacing w:after="120"/>
        <w:rPr>
          <w:sz w:val="17"/>
          <w:szCs w:val="17"/>
        </w:rPr>
      </w:pPr>
      <w:r w:rsidRPr="00E17DD3">
        <w:rPr>
          <w:rStyle w:val="Znakapoznpodarou"/>
          <w:sz w:val="17"/>
          <w:szCs w:val="17"/>
        </w:rPr>
        <w:footnoteRef/>
      </w:r>
      <w:r w:rsidR="00B5735C" w:rsidRPr="00E17DD3">
        <w:rPr>
          <w:sz w:val="17"/>
          <w:szCs w:val="17"/>
        </w:rPr>
        <w:t xml:space="preserve"> </w:t>
      </w:r>
      <w:r w:rsidRPr="00E17DD3">
        <w:rPr>
          <w:b/>
          <w:iCs/>
          <w:sz w:val="17"/>
          <w:szCs w:val="17"/>
        </w:rPr>
        <w:t>Údaje za rok 202</w:t>
      </w:r>
      <w:r w:rsidR="00115CBE">
        <w:rPr>
          <w:b/>
          <w:iCs/>
          <w:sz w:val="17"/>
          <w:szCs w:val="17"/>
        </w:rPr>
        <w:t>3</w:t>
      </w:r>
      <w:r w:rsidRPr="00E17DD3">
        <w:rPr>
          <w:b/>
          <w:iCs/>
          <w:sz w:val="17"/>
          <w:szCs w:val="17"/>
        </w:rPr>
        <w:t xml:space="preserve"> a 202</w:t>
      </w:r>
      <w:r w:rsidR="00115CBE">
        <w:rPr>
          <w:b/>
          <w:iCs/>
          <w:sz w:val="17"/>
          <w:szCs w:val="17"/>
        </w:rPr>
        <w:t>4</w:t>
      </w:r>
      <w:r w:rsidRPr="00E17DD3">
        <w:rPr>
          <w:b/>
          <w:iCs/>
          <w:sz w:val="17"/>
          <w:szCs w:val="17"/>
        </w:rPr>
        <w:t xml:space="preserve"> jsou definitivní. Údaje za zahraniční obchod se zbožím od roku 2020 jsou přepočítávány aktualizovanou metodou založenou na vyšší míře detailu.</w:t>
      </w:r>
    </w:p>
  </w:footnote>
  <w:footnote w:id="3">
    <w:p w:rsidR="00503420" w:rsidRPr="00E17DD3" w:rsidRDefault="00503420" w:rsidP="00503420">
      <w:pPr>
        <w:rPr>
          <w:rFonts w:cs="Arial"/>
          <w:b/>
          <w:bCs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E17DD3">
        <w:rPr>
          <w:b/>
          <w:sz w:val="17"/>
          <w:szCs w:val="17"/>
        </w:rPr>
        <w:t>EU (</w:t>
      </w:r>
      <w:r w:rsidRPr="00E17DD3">
        <w:rPr>
          <w:rFonts w:cs="Arial"/>
          <w:b/>
          <w:bCs/>
          <w:sz w:val="17"/>
          <w:szCs w:val="17"/>
        </w:rPr>
        <w:t xml:space="preserve">Evropská unie) - 27 členských států: </w:t>
      </w:r>
    </w:p>
    <w:p w:rsidR="00503420" w:rsidRDefault="00503420" w:rsidP="00503420">
      <w:pPr>
        <w:pStyle w:val="Textpoznpodarou"/>
      </w:pPr>
      <w:r w:rsidRPr="00E17DD3">
        <w:rPr>
          <w:rFonts w:cs="Arial"/>
          <w:bCs/>
          <w:sz w:val="17"/>
          <w:szCs w:val="17"/>
        </w:rPr>
        <w:t>Belgie, Bulharsko, Česká republika, Dánsko, Estonsko, Finsko, Francie, Chorvatsko, Irsko, Itálie, Kypr, Litva, Lotyšsko, Lucembursko, Maďarsko, Malta, Německo, Nizozemsko, Polsko, Portugalsko, Rakousko, Rumunsko, Řecko, Slovensko, Slovinsko, Španělsko, Švédsko.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A1"/>
    <w:rsid w:val="000051EF"/>
    <w:rsid w:val="00031E03"/>
    <w:rsid w:val="00034AF4"/>
    <w:rsid w:val="00037E9E"/>
    <w:rsid w:val="000576EF"/>
    <w:rsid w:val="00065675"/>
    <w:rsid w:val="000755BD"/>
    <w:rsid w:val="00081ABA"/>
    <w:rsid w:val="00097EE2"/>
    <w:rsid w:val="00097EF2"/>
    <w:rsid w:val="000B59AF"/>
    <w:rsid w:val="000D0A08"/>
    <w:rsid w:val="00104DCD"/>
    <w:rsid w:val="001070CE"/>
    <w:rsid w:val="00113731"/>
    <w:rsid w:val="00115CBE"/>
    <w:rsid w:val="001242DB"/>
    <w:rsid w:val="0012745B"/>
    <w:rsid w:val="0013049C"/>
    <w:rsid w:val="00137EC3"/>
    <w:rsid w:val="0016428B"/>
    <w:rsid w:val="00174F62"/>
    <w:rsid w:val="00191F16"/>
    <w:rsid w:val="00196102"/>
    <w:rsid w:val="0019686F"/>
    <w:rsid w:val="001A02F0"/>
    <w:rsid w:val="001A24D6"/>
    <w:rsid w:val="001A520D"/>
    <w:rsid w:val="001A74B0"/>
    <w:rsid w:val="001B6335"/>
    <w:rsid w:val="001C0FE8"/>
    <w:rsid w:val="001C59D6"/>
    <w:rsid w:val="001D021F"/>
    <w:rsid w:val="001D0FA4"/>
    <w:rsid w:val="001D3893"/>
    <w:rsid w:val="001E0C4F"/>
    <w:rsid w:val="001E36E8"/>
    <w:rsid w:val="00200120"/>
    <w:rsid w:val="0022527D"/>
    <w:rsid w:val="002265B1"/>
    <w:rsid w:val="00231503"/>
    <w:rsid w:val="002463BF"/>
    <w:rsid w:val="002470CC"/>
    <w:rsid w:val="002518B5"/>
    <w:rsid w:val="00252D35"/>
    <w:rsid w:val="002B706D"/>
    <w:rsid w:val="002C3F02"/>
    <w:rsid w:val="002D76E9"/>
    <w:rsid w:val="002E5794"/>
    <w:rsid w:val="00300DB6"/>
    <w:rsid w:val="00303D4A"/>
    <w:rsid w:val="00313172"/>
    <w:rsid w:val="00344528"/>
    <w:rsid w:val="00371D34"/>
    <w:rsid w:val="003972AF"/>
    <w:rsid w:val="003D14A9"/>
    <w:rsid w:val="003D1C54"/>
    <w:rsid w:val="003D797C"/>
    <w:rsid w:val="003E492B"/>
    <w:rsid w:val="00440A8E"/>
    <w:rsid w:val="00452169"/>
    <w:rsid w:val="0045301A"/>
    <w:rsid w:val="0046027E"/>
    <w:rsid w:val="00461970"/>
    <w:rsid w:val="004828A1"/>
    <w:rsid w:val="004A1174"/>
    <w:rsid w:val="004C49BE"/>
    <w:rsid w:val="00502A15"/>
    <w:rsid w:val="00503420"/>
    <w:rsid w:val="00505D86"/>
    <w:rsid w:val="00512EA1"/>
    <w:rsid w:val="005212C2"/>
    <w:rsid w:val="00526065"/>
    <w:rsid w:val="005274A5"/>
    <w:rsid w:val="00533788"/>
    <w:rsid w:val="0054218D"/>
    <w:rsid w:val="0056373D"/>
    <w:rsid w:val="0057482D"/>
    <w:rsid w:val="00582F4E"/>
    <w:rsid w:val="0058345C"/>
    <w:rsid w:val="0059109D"/>
    <w:rsid w:val="00595B06"/>
    <w:rsid w:val="005A5137"/>
    <w:rsid w:val="005B23A7"/>
    <w:rsid w:val="005B3E9D"/>
    <w:rsid w:val="005B522C"/>
    <w:rsid w:val="005C1A61"/>
    <w:rsid w:val="005D57FB"/>
    <w:rsid w:val="005E5356"/>
    <w:rsid w:val="005F5C1D"/>
    <w:rsid w:val="005F6D46"/>
    <w:rsid w:val="006378B1"/>
    <w:rsid w:val="00637E93"/>
    <w:rsid w:val="00651900"/>
    <w:rsid w:val="006559BC"/>
    <w:rsid w:val="006722B7"/>
    <w:rsid w:val="00674F3D"/>
    <w:rsid w:val="006804F6"/>
    <w:rsid w:val="0068238B"/>
    <w:rsid w:val="00690A3A"/>
    <w:rsid w:val="006A4121"/>
    <w:rsid w:val="006B1A23"/>
    <w:rsid w:val="006B7C40"/>
    <w:rsid w:val="006D40EC"/>
    <w:rsid w:val="006E6ECF"/>
    <w:rsid w:val="006E7274"/>
    <w:rsid w:val="0072727F"/>
    <w:rsid w:val="007615CF"/>
    <w:rsid w:val="00765355"/>
    <w:rsid w:val="00771825"/>
    <w:rsid w:val="007A435A"/>
    <w:rsid w:val="007A5FDA"/>
    <w:rsid w:val="007C0271"/>
    <w:rsid w:val="007C7503"/>
    <w:rsid w:val="007F023A"/>
    <w:rsid w:val="00806F2D"/>
    <w:rsid w:val="00816CD3"/>
    <w:rsid w:val="00820DE1"/>
    <w:rsid w:val="00823756"/>
    <w:rsid w:val="008246E8"/>
    <w:rsid w:val="00834326"/>
    <w:rsid w:val="00843C42"/>
    <w:rsid w:val="0086241D"/>
    <w:rsid w:val="00862D29"/>
    <w:rsid w:val="00870484"/>
    <w:rsid w:val="00873E3B"/>
    <w:rsid w:val="008A379A"/>
    <w:rsid w:val="008B44FE"/>
    <w:rsid w:val="008C211A"/>
    <w:rsid w:val="008C36F4"/>
    <w:rsid w:val="008E5263"/>
    <w:rsid w:val="00913F00"/>
    <w:rsid w:val="009271BB"/>
    <w:rsid w:val="0096213C"/>
    <w:rsid w:val="00962B1E"/>
    <w:rsid w:val="009718E0"/>
    <w:rsid w:val="009804C5"/>
    <w:rsid w:val="009851B9"/>
    <w:rsid w:val="009858AA"/>
    <w:rsid w:val="009A258C"/>
    <w:rsid w:val="009D5A3A"/>
    <w:rsid w:val="009D6E11"/>
    <w:rsid w:val="00A03125"/>
    <w:rsid w:val="00A057EE"/>
    <w:rsid w:val="00A5557A"/>
    <w:rsid w:val="00A82DFC"/>
    <w:rsid w:val="00A835AE"/>
    <w:rsid w:val="00AA12EA"/>
    <w:rsid w:val="00AA1BFB"/>
    <w:rsid w:val="00AB29B6"/>
    <w:rsid w:val="00AB3C88"/>
    <w:rsid w:val="00AB555F"/>
    <w:rsid w:val="00AC5A13"/>
    <w:rsid w:val="00AE44B8"/>
    <w:rsid w:val="00AE553F"/>
    <w:rsid w:val="00AE5A9A"/>
    <w:rsid w:val="00AF69B4"/>
    <w:rsid w:val="00B31EAC"/>
    <w:rsid w:val="00B32463"/>
    <w:rsid w:val="00B52F55"/>
    <w:rsid w:val="00B5735C"/>
    <w:rsid w:val="00B665A0"/>
    <w:rsid w:val="00B6778F"/>
    <w:rsid w:val="00B70971"/>
    <w:rsid w:val="00B83547"/>
    <w:rsid w:val="00B86526"/>
    <w:rsid w:val="00B91E5C"/>
    <w:rsid w:val="00BA1EAA"/>
    <w:rsid w:val="00BA2B96"/>
    <w:rsid w:val="00BB652F"/>
    <w:rsid w:val="00BC6718"/>
    <w:rsid w:val="00BD7E31"/>
    <w:rsid w:val="00BF7171"/>
    <w:rsid w:val="00BF7ACC"/>
    <w:rsid w:val="00C0070B"/>
    <w:rsid w:val="00C17C9F"/>
    <w:rsid w:val="00C224AB"/>
    <w:rsid w:val="00C31FF3"/>
    <w:rsid w:val="00C5103D"/>
    <w:rsid w:val="00C55685"/>
    <w:rsid w:val="00C84598"/>
    <w:rsid w:val="00C91DD7"/>
    <w:rsid w:val="00C92C10"/>
    <w:rsid w:val="00CA1C97"/>
    <w:rsid w:val="00CA739C"/>
    <w:rsid w:val="00CB282D"/>
    <w:rsid w:val="00CB645E"/>
    <w:rsid w:val="00CB76F3"/>
    <w:rsid w:val="00CC10CF"/>
    <w:rsid w:val="00CC3F07"/>
    <w:rsid w:val="00CC6C98"/>
    <w:rsid w:val="00D04241"/>
    <w:rsid w:val="00D20321"/>
    <w:rsid w:val="00D37B05"/>
    <w:rsid w:val="00D43BC1"/>
    <w:rsid w:val="00D92952"/>
    <w:rsid w:val="00DA7581"/>
    <w:rsid w:val="00DB15A5"/>
    <w:rsid w:val="00DB1984"/>
    <w:rsid w:val="00DC0EAD"/>
    <w:rsid w:val="00DD18F2"/>
    <w:rsid w:val="00DD5D09"/>
    <w:rsid w:val="00DD6EA4"/>
    <w:rsid w:val="00DF4A4A"/>
    <w:rsid w:val="00E0755D"/>
    <w:rsid w:val="00E075D3"/>
    <w:rsid w:val="00E17DD3"/>
    <w:rsid w:val="00E336D7"/>
    <w:rsid w:val="00E370EE"/>
    <w:rsid w:val="00E51804"/>
    <w:rsid w:val="00E5677A"/>
    <w:rsid w:val="00E65E83"/>
    <w:rsid w:val="00E8598B"/>
    <w:rsid w:val="00E927D4"/>
    <w:rsid w:val="00EA52A8"/>
    <w:rsid w:val="00EC0DE2"/>
    <w:rsid w:val="00ED79AD"/>
    <w:rsid w:val="00EE00AC"/>
    <w:rsid w:val="00EE5CFB"/>
    <w:rsid w:val="00EE6EFE"/>
    <w:rsid w:val="00EF7BA4"/>
    <w:rsid w:val="00F55324"/>
    <w:rsid w:val="00F74CE2"/>
    <w:rsid w:val="00F77A7D"/>
    <w:rsid w:val="00F83179"/>
    <w:rsid w:val="00FA0616"/>
    <w:rsid w:val="00FA26DB"/>
    <w:rsid w:val="00FA7AB5"/>
    <w:rsid w:val="00FC0555"/>
    <w:rsid w:val="00FD1AD4"/>
    <w:rsid w:val="00FD2A72"/>
    <w:rsid w:val="00FE53C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2998-4F4D-466A-AE92-4A455C3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sz w:val="18"/>
    </w:rPr>
  </w:style>
  <w:style w:type="character" w:styleId="Odkaznakoment">
    <w:name w:val="annotation reference"/>
    <w:uiPriority w:val="99"/>
    <w:semiHidden/>
    <w:unhideWhenUsed/>
    <w:rsid w:val="00BC6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6718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C671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7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6718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7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671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6718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C6718"/>
    <w:rPr>
      <w:rFonts w:ascii="Arial" w:hAnsi="Arial"/>
    </w:rPr>
  </w:style>
  <w:style w:type="character" w:styleId="Znakapoznpodarou">
    <w:name w:val="footnote reference"/>
    <w:uiPriority w:val="99"/>
    <w:semiHidden/>
    <w:unhideWhenUsed/>
    <w:rsid w:val="00BC6718"/>
    <w:rPr>
      <w:vertAlign w:val="superscript"/>
    </w:rPr>
  </w:style>
  <w:style w:type="character" w:customStyle="1" w:styleId="hgkelc">
    <w:name w:val="hgkelc"/>
    <w:rsid w:val="0086241D"/>
  </w:style>
  <w:style w:type="paragraph" w:styleId="Revize">
    <w:name w:val="Revision"/>
    <w:hidden/>
    <w:uiPriority w:val="99"/>
    <w:semiHidden/>
    <w:rsid w:val="00E336D7"/>
    <w:rPr>
      <w:rFonts w:ascii="Arial" w:hAnsi="Arial"/>
      <w:szCs w:val="24"/>
    </w:rPr>
  </w:style>
  <w:style w:type="character" w:styleId="Siln">
    <w:name w:val="Strong"/>
    <w:basedOn w:val="Standardnpsmoodstavce"/>
    <w:uiPriority w:val="22"/>
    <w:qFormat/>
    <w:rsid w:val="00595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054D-A77A-41F0-8BBD-F619E63A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Zahraniční obchod podle SKP 2 zaznamenal v 1</vt:lpstr>
    </vt:vector>
  </TitlesOfParts>
  <Company>CSU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Zahraniční obchod podle SKP 2 zaznamenal v 1</dc:title>
  <dc:subject/>
  <dc:creator>system service</dc:creator>
  <cp:keywords/>
  <dc:description/>
  <cp:lastModifiedBy>Bartlová Monika</cp:lastModifiedBy>
  <cp:revision>85</cp:revision>
  <cp:lastPrinted>2024-09-12T06:58:00Z</cp:lastPrinted>
  <dcterms:created xsi:type="dcterms:W3CDTF">2021-09-22T08:33:00Z</dcterms:created>
  <dcterms:modified xsi:type="dcterms:W3CDTF">2025-09-10T08:17:00Z</dcterms:modified>
</cp:coreProperties>
</file>