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AC" w:rsidRPr="00A81EB3" w:rsidRDefault="00CD64AC" w:rsidP="00CD64AC">
      <w:pPr>
        <w:pStyle w:val="Datum"/>
      </w:pPr>
      <w:r>
        <w:t>18</w:t>
      </w:r>
      <w:r w:rsidRPr="00A81EB3">
        <w:t xml:space="preserve">. </w:t>
      </w:r>
      <w:r>
        <w:t>2</w:t>
      </w:r>
      <w:r w:rsidRPr="00A81EB3">
        <w:t>. 201</w:t>
      </w:r>
      <w:r>
        <w:t>9</w:t>
      </w:r>
    </w:p>
    <w:p w:rsidR="00CD64AC" w:rsidRDefault="00CD64AC" w:rsidP="00CD64AC">
      <w:pPr>
        <w:pStyle w:val="Nzev"/>
      </w:pPr>
      <w:r>
        <w:t>Vývoj indexů cen v zahraničním obchodě</w:t>
      </w:r>
      <w:r>
        <w:br/>
        <w:t>ve 4</w:t>
      </w:r>
      <w:r w:rsidRPr="00774CB2">
        <w:t xml:space="preserve">. čtvrtletí </w:t>
      </w:r>
      <w:r>
        <w:t>2018 a v roce 2018</w:t>
      </w:r>
    </w:p>
    <w:p w:rsidR="00CD64AC" w:rsidRDefault="00CD64AC" w:rsidP="00CD64AC">
      <w:pPr>
        <w:pStyle w:val="Perex"/>
      </w:pPr>
      <w:r>
        <w:t>Ceny vývozu ve 4. čtvrtletí 2018</w:t>
      </w:r>
      <w:r w:rsidRPr="001B2A09">
        <w:t xml:space="preserve"> proti </w:t>
      </w:r>
      <w:r>
        <w:t>3. čtvrtletí 2018</w:t>
      </w:r>
      <w:r w:rsidRPr="001B2A09">
        <w:t xml:space="preserve"> </w:t>
      </w:r>
      <w:r>
        <w:t>vzrostly o 0,9 %, ceny dovozu o 0,3 %, směnné relace dosáhly</w:t>
      </w:r>
      <w:r w:rsidRPr="008F14D1">
        <w:t xml:space="preserve"> hodnoty </w:t>
      </w:r>
      <w:r>
        <w:t>100</w:t>
      </w:r>
      <w:r w:rsidRPr="008F14D1">
        <w:t>,</w:t>
      </w:r>
      <w:r>
        <w:t>6</w:t>
      </w:r>
      <w:r w:rsidRPr="008F14D1">
        <w:t xml:space="preserve"> %</w:t>
      </w:r>
      <w:r>
        <w:t>. Meziročně se ceny vývozu ve 4. čtvrtletí</w:t>
      </w:r>
      <w:r w:rsidRPr="00753116">
        <w:t xml:space="preserve"> </w:t>
      </w:r>
      <w:r>
        <w:t>zvýšily o 3,4 %, ceny dovozu o 3,5 %, směnné relace dosáhly hodnoty 99,9 %.</w:t>
      </w:r>
    </w:p>
    <w:p w:rsidR="00CD64AC" w:rsidRDefault="00CD64AC" w:rsidP="00CD64AC">
      <w:pPr>
        <w:pStyle w:val="Nadpis1"/>
      </w:pPr>
      <w:r>
        <w:t>Mezičtvrtletní hodnocení:</w:t>
      </w:r>
    </w:p>
    <w:p w:rsidR="00CD64AC" w:rsidRDefault="00CD64AC" w:rsidP="00CD64AC">
      <w:r w:rsidRPr="003E19BB">
        <w:t>Ceny vývozu</w:t>
      </w:r>
      <w:r w:rsidRPr="00795A17">
        <w:t xml:space="preserve"> </w:t>
      </w:r>
      <w:r>
        <w:t>se ve 4. čtvrtletí 2018</w:t>
      </w:r>
      <w:r w:rsidRPr="00795A17">
        <w:t xml:space="preserve"> proti </w:t>
      </w:r>
      <w:r>
        <w:t>3. čtvrtletí 2018</w:t>
      </w:r>
      <w:r w:rsidRPr="00795A17">
        <w:t xml:space="preserve"> </w:t>
      </w:r>
      <w:r>
        <w:t>zvýšily o 0,9 %</w:t>
      </w:r>
      <w:r w:rsidRPr="00795A17">
        <w:t xml:space="preserve"> (</w:t>
      </w:r>
      <w:r>
        <w:t>ve</w:t>
      </w:r>
      <w:r w:rsidRPr="00774CB2">
        <w:t xml:space="preserve"> </w:t>
      </w:r>
      <w:r>
        <w:t>3. čtvrtletí 2018 o 1,1 %</w:t>
      </w:r>
      <w:r w:rsidRPr="00795A17">
        <w:t>)</w:t>
      </w:r>
      <w:r>
        <w:t>. Ceny průmyslového spotřebního zboží vzrostly o 1,9 %, ceny ostatních surovin o 1,5 %, a ceny strojů a dopravních prostředků o 0,8 %. Klesly pouze ceny minerálních paliv o 0,8 % a ceny chemikálií o 0,2 %</w:t>
      </w:r>
      <w:r w:rsidR="004A33A8">
        <w:t>.</w:t>
      </w:r>
    </w:p>
    <w:p w:rsidR="00CD64AC" w:rsidRDefault="00CD64AC" w:rsidP="00CD64AC">
      <w:pPr>
        <w:rPr>
          <w:highlight w:val="green"/>
        </w:rPr>
      </w:pPr>
    </w:p>
    <w:p w:rsidR="00CD64AC" w:rsidRDefault="00CD64AC" w:rsidP="00CD64AC">
      <w:r w:rsidRPr="003E19BB">
        <w:t>Ceny dovozu</w:t>
      </w:r>
      <w:r w:rsidRPr="0086200A">
        <w:t xml:space="preserve"> ve </w:t>
      </w:r>
      <w:r>
        <w:t>4. čtvrtletí 2018</w:t>
      </w:r>
      <w:r w:rsidRPr="00945CA2">
        <w:t xml:space="preserve"> proti </w:t>
      </w:r>
      <w:r>
        <w:t>3. čtvrtletí 2018</w:t>
      </w:r>
      <w:r w:rsidRPr="00945CA2">
        <w:t xml:space="preserve"> </w:t>
      </w:r>
      <w:r>
        <w:t>vzrostly o 0,3 % (ve</w:t>
      </w:r>
      <w:r w:rsidRPr="00774CB2">
        <w:t xml:space="preserve"> </w:t>
      </w:r>
      <w:r>
        <w:t>3. čtvrtletí 2018 o 1,9 %</w:t>
      </w:r>
      <w:r w:rsidRPr="00945CA2">
        <w:t>).</w:t>
      </w:r>
      <w:r>
        <w:t xml:space="preserve"> Ceny ostatních surovin se zvýšily o 2,8 %, chemikálií o 1,7 %, průmyslového spotřebního zboží o 0,9 % a polotovarů o 0,2 %. Ceny minerálních paliv se snížily o 1,0</w:t>
      </w:r>
      <w:r w:rsidRPr="00F77B13">
        <w:t xml:space="preserve"> %</w:t>
      </w:r>
      <w:r>
        <w:t xml:space="preserve"> a ceny potravin o 0,8 %.</w:t>
      </w:r>
    </w:p>
    <w:p w:rsidR="00CD64AC" w:rsidRDefault="00CD64AC" w:rsidP="00CD64AC"/>
    <w:p w:rsidR="00CD64AC" w:rsidRPr="00BE4918" w:rsidRDefault="00CD64AC" w:rsidP="00CD64AC">
      <w:r w:rsidRPr="003E19BB">
        <w:rPr>
          <w:bCs/>
        </w:rPr>
        <w:t>Směnné relace</w:t>
      </w:r>
      <w:r w:rsidRPr="0086200A">
        <w:t xml:space="preserve"> ve </w:t>
      </w:r>
      <w:r>
        <w:t xml:space="preserve">4. čtvrtletí 2018 proti </w:t>
      </w:r>
      <w:r>
        <w:rPr>
          <w:bCs/>
        </w:rPr>
        <w:t>3. čtvrtletí 2018</w:t>
      </w:r>
      <w:r>
        <w:t xml:space="preserve"> dosáhly hodnoty 100,6 % (ve</w:t>
      </w:r>
      <w:r w:rsidRPr="006B4EE3">
        <w:t> </w:t>
      </w:r>
      <w:r>
        <w:t>3. čtvrtletí 2018 hodnota 99,2 %). Pozitivní hodnoty směnných relací dosáhly</w:t>
      </w:r>
      <w:r w:rsidRPr="000E008C">
        <w:t xml:space="preserve"> </w:t>
      </w:r>
      <w:r>
        <w:t xml:space="preserve">ceny potravin (102,0 %), průmyslového spotřebního zboží shodně s polotovary (101,0 %), ceny </w:t>
      </w:r>
      <w:r w:rsidRPr="000E008C">
        <w:t>stroj</w:t>
      </w:r>
      <w:r>
        <w:t>ů a dopravních prostředků (100,7 %) a minerálních paliv (100,2 %). Negativní hodnoty</w:t>
      </w:r>
      <w:r w:rsidRPr="001B0744">
        <w:t xml:space="preserve"> </w:t>
      </w:r>
      <w:r>
        <w:t xml:space="preserve">zaznamenaly zejména ceny chemikálií (98,1 %) a ostatních surovin (98,7 %). </w:t>
      </w:r>
    </w:p>
    <w:p w:rsidR="00851591" w:rsidRPr="00851591" w:rsidRDefault="00CD64AC" w:rsidP="00CD64AC">
      <w:r>
        <w:rPr>
          <w:noProof/>
          <w:lang w:eastAsia="cs-CZ"/>
        </w:rPr>
        <w:drawing>
          <wp:inline distT="0" distB="0" distL="0" distR="0" wp14:anchorId="53041A08" wp14:editId="5F677D8B">
            <wp:extent cx="5331124" cy="3188970"/>
            <wp:effectExtent l="0" t="0" r="317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26" cy="320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CD64AC" w:rsidRDefault="00CD64AC" w:rsidP="00CD64AC">
      <w: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</w:p>
    <w:p w:rsidR="00CD64AC" w:rsidRDefault="00CD64AC" w:rsidP="00CD64AC"/>
    <w:p w:rsidR="00CD64AC" w:rsidRDefault="00CD64AC" w:rsidP="00CD64AC">
      <w:r>
        <w:rPr>
          <w:noProof/>
          <w:lang w:eastAsia="cs-CZ"/>
        </w:rPr>
        <w:drawing>
          <wp:inline distT="0" distB="0" distL="0" distR="0" wp14:anchorId="1A0553AB" wp14:editId="59677F64">
            <wp:extent cx="5382883" cy="3167775"/>
            <wp:effectExtent l="0" t="0" r="889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35" cy="3179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r>
        <w:rPr>
          <w:noProof/>
          <w:lang w:eastAsia="cs-CZ"/>
        </w:rPr>
        <w:drawing>
          <wp:inline distT="0" distB="0" distL="0" distR="0" wp14:anchorId="728F08F9" wp14:editId="74583D01">
            <wp:extent cx="5313871" cy="3182620"/>
            <wp:effectExtent l="0" t="0" r="127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46" cy="3188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r>
        <w:br w:type="page"/>
      </w:r>
      <w:r>
        <w:lastRenderedPageBreak/>
        <w:t xml:space="preserve">Z výše uvedených grafů 2 a 3 je patrné, že v případě vývozu i dovozu jsou ceny zahraničního obchodu vázány na kurzové vlivy. Kontrakty se zahraničními subjekty jsou zpravidla uzavírány na delší časové </w:t>
      </w:r>
      <w:proofErr w:type="gramStart"/>
      <w:r>
        <w:t>období a čím</w:t>
      </w:r>
      <w:proofErr w:type="gramEnd"/>
      <w:r>
        <w:t xml:space="preserve"> je období kontraktu delší, tím je vazba na kurzy silnější.</w:t>
      </w:r>
    </w:p>
    <w:p w:rsidR="00CD64AC" w:rsidRDefault="00CD64AC" w:rsidP="00CD64AC"/>
    <w:p w:rsidR="00CD64AC" w:rsidRDefault="00CD64AC" w:rsidP="00CD64AC">
      <w:pPr>
        <w:pStyle w:val="Nadpis1"/>
      </w:pPr>
      <w:r>
        <w:t>Meziroční hodnocení:</w:t>
      </w:r>
    </w:p>
    <w:p w:rsidR="00CD64AC" w:rsidRDefault="00CD64AC" w:rsidP="00CD64AC">
      <w:r w:rsidRPr="003E19BB">
        <w:rPr>
          <w:bCs/>
        </w:rPr>
        <w:t>Vývozní ceny</w:t>
      </w:r>
      <w:r>
        <w:t xml:space="preserve"> se ve 4. čtvrtletí 2018 zvýšily o 3,4 % (ve 3. čtvrtletí 2018 o 1,6 %). Ceny minerálních paliv vzrostly o 16,7 %, polotovarů o 5,4 %, průmyslového spotřebního zboží o 3,5 %, chemikálií o 3,2 % a c</w:t>
      </w:r>
      <w:r>
        <w:rPr>
          <w:bCs/>
        </w:rPr>
        <w:t xml:space="preserve">eny </w:t>
      </w:r>
      <w:r>
        <w:t xml:space="preserve">strojů a dopravních prostředků se zvýšily o 1,8 %. Ceny neklesly v žádné ze sledovaných skupin. </w:t>
      </w:r>
    </w:p>
    <w:p w:rsidR="00CD64AC" w:rsidRDefault="00CD64AC" w:rsidP="00CD64AC"/>
    <w:p w:rsidR="00CD64AC" w:rsidRDefault="00CD64AC" w:rsidP="00CD64AC">
      <w:r w:rsidRPr="003E19BB">
        <w:rPr>
          <w:bCs/>
        </w:rPr>
        <w:t>Dovozní ceny</w:t>
      </w:r>
      <w:r w:rsidRPr="005B1460">
        <w:t xml:space="preserve"> ve </w:t>
      </w:r>
      <w:r>
        <w:t>4. čtvrtletí 2018</w:t>
      </w:r>
      <w:r w:rsidRPr="00336AD0">
        <w:t xml:space="preserve"> </w:t>
      </w:r>
      <w:r>
        <w:t>vzrostly o 3,5 % (ve 3. čtvrtletí 2018 o 2,6 %</w:t>
      </w:r>
      <w:r w:rsidRPr="00336AD0">
        <w:t>).</w:t>
      </w:r>
      <w:r>
        <w:t xml:space="preserve"> Ceny minerálních paliv se zvýšily o 23,1 %, ceny chemikálií o 5,7 %, ostatních surovin o 5,4 % a ceny</w:t>
      </w:r>
      <w:r w:rsidRPr="00314A1D">
        <w:t xml:space="preserve"> </w:t>
      </w:r>
      <w:r>
        <w:t>strojů a </w:t>
      </w:r>
      <w:r w:rsidRPr="00F373A0">
        <w:t>do</w:t>
      </w:r>
      <w:r>
        <w:t>pravních prostředků rostly o 1,6</w:t>
      </w:r>
      <w:r w:rsidRPr="00F373A0">
        <w:t xml:space="preserve"> %</w:t>
      </w:r>
      <w:r>
        <w:t xml:space="preserve">. Ceny průmyslového spotřebního zboží se nezměnily. Snížily se pouze ceny potravin o 1,4 %. </w:t>
      </w:r>
    </w:p>
    <w:p w:rsidR="00CD64AC" w:rsidRDefault="00CD64AC" w:rsidP="00CD64AC"/>
    <w:p w:rsidR="00CD64AC" w:rsidRDefault="00CD64AC" w:rsidP="00CD64AC">
      <w:r w:rsidRPr="003E19BB">
        <w:rPr>
          <w:bCs/>
        </w:rPr>
        <w:t>Směnné relace</w:t>
      </w:r>
      <w:r>
        <w:t xml:space="preserve"> se meziročně ve 4. čtvrtletí 2018 snížily na hodnotu 99,9 % (ve 3. čtvrtletí 2018 hodnota 99,0 %) a již druhý kvartál se držely v negativních hodnotách – viz graf 4.</w:t>
      </w:r>
      <w:r w:rsidRPr="002E53F7">
        <w:t xml:space="preserve"> </w:t>
      </w:r>
      <w:r>
        <w:t>Negativní</w:t>
      </w:r>
      <w:r w:rsidRPr="002E53F7">
        <w:t xml:space="preserve"> hodnot</w:t>
      </w:r>
      <w:r>
        <w:t>y</w:t>
      </w:r>
      <w:r w:rsidRPr="002E53F7">
        <w:t xml:space="preserve"> směnných relací </w:t>
      </w:r>
      <w:r>
        <w:t>dosáhly ceny minerálních paliv (94,8 %), ostatních surovin (97,5 %) a chemikálií (97,6 %). P</w:t>
      </w:r>
      <w:r w:rsidRPr="002E53F7">
        <w:t>ozitivní</w:t>
      </w:r>
      <w:r>
        <w:t xml:space="preserve"> hodnoty směnných relací zaznamenaly ceny potravin (104,2 %), průmyslového spotřebního zboží (103,5 %) a polotovarů (103,4 %). </w:t>
      </w: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782935A3" wp14:editId="5FFBAC2B">
            <wp:extent cx="5382883" cy="3164840"/>
            <wp:effectExtent l="0" t="0" r="889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29" cy="31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</w:rPr>
        <w:br w:type="page"/>
      </w:r>
    </w:p>
    <w:p w:rsidR="00CD64AC" w:rsidRDefault="00CD64AC" w:rsidP="00CD64AC">
      <w:pPr>
        <w:pStyle w:val="Nadpis1"/>
      </w:pPr>
      <w:r w:rsidRPr="00DE38A9">
        <w:lastRenderedPageBreak/>
        <w:t xml:space="preserve">Vývoj v roce </w:t>
      </w:r>
      <w:r>
        <w:t>2018</w:t>
      </w:r>
    </w:p>
    <w:p w:rsidR="00CD64AC" w:rsidRPr="00156FCF" w:rsidRDefault="00CD64AC" w:rsidP="00CD64AC"/>
    <w:p w:rsidR="00CD64AC" w:rsidRPr="00C06E69" w:rsidRDefault="00CD64AC" w:rsidP="00CD64AC">
      <w:pPr>
        <w:rPr>
          <w:bCs/>
        </w:rPr>
      </w:pPr>
      <w:r w:rsidRPr="00C06E69">
        <w:rPr>
          <w:bCs/>
        </w:rPr>
        <w:t>V průměru za celý rok 2018 v porovnání s rokem 2017 se vývozní ceny snížily o 0,3 % (za rok 2017 o 0,1 %), dovozní ceny se snížily o 0,7 % (za rok 2017 se zvýšily o 0,9 %).</w:t>
      </w:r>
    </w:p>
    <w:p w:rsidR="00CD64AC" w:rsidRPr="00C06E69" w:rsidRDefault="00CD64AC" w:rsidP="00CD64AC">
      <w:pPr>
        <w:rPr>
          <w:bCs/>
        </w:rPr>
      </w:pPr>
    </w:p>
    <w:p w:rsidR="00CD64AC" w:rsidRPr="00C06E69" w:rsidRDefault="00CD64AC" w:rsidP="00CD64AC">
      <w:pPr>
        <w:rPr>
          <w:bCs/>
        </w:rPr>
      </w:pPr>
      <w:r w:rsidRPr="00C06E69">
        <w:rPr>
          <w:bCs/>
        </w:rPr>
        <w:t>Ve vývozních cenách se snížily ceny strojů a dopravních prostředků o 1,7 % a ceny průmyslového spotřebního zboží o 1,5 %. Rostly zejména</w:t>
      </w:r>
      <w:r>
        <w:rPr>
          <w:bCs/>
        </w:rPr>
        <w:t xml:space="preserve"> ceny minerálních paliv o 7,6 % </w:t>
      </w:r>
      <w:r w:rsidRPr="00C06E69">
        <w:rPr>
          <w:bCs/>
        </w:rPr>
        <w:t>a ceny polotovar</w:t>
      </w:r>
      <w:r>
        <w:rPr>
          <w:bCs/>
        </w:rPr>
        <w:t>ů o </w:t>
      </w:r>
      <w:r w:rsidRPr="00C06E69">
        <w:rPr>
          <w:bCs/>
        </w:rPr>
        <w:t>2,6 %.</w:t>
      </w:r>
    </w:p>
    <w:p w:rsidR="00CD64AC" w:rsidRPr="00C06E69" w:rsidRDefault="00CD64AC" w:rsidP="00CD64AC">
      <w:pPr>
        <w:rPr>
          <w:bCs/>
        </w:rPr>
      </w:pPr>
    </w:p>
    <w:p w:rsidR="00CD64AC" w:rsidRPr="00C06E69" w:rsidRDefault="00CD64AC" w:rsidP="00CD64AC">
      <w:pPr>
        <w:rPr>
          <w:bCs/>
        </w:rPr>
      </w:pPr>
      <w:r w:rsidRPr="00C06E69">
        <w:rPr>
          <w:bCs/>
        </w:rPr>
        <w:t xml:space="preserve">V dovozních cenách klesly především ceny ostatních surovin o 5,6 %, ceny průmyslového spotřebního zboží o 3,3 % a ceny strojů a dopravních prostředků o 3,1 %. Nejvíce rostly ceny minerálních paliv o 16,8 %. </w:t>
      </w:r>
    </w:p>
    <w:p w:rsidR="00CD64AC" w:rsidRPr="00C06E69" w:rsidRDefault="00CD64AC" w:rsidP="00CD64AC">
      <w:pPr>
        <w:rPr>
          <w:bCs/>
        </w:rPr>
      </w:pPr>
    </w:p>
    <w:p w:rsidR="00CD64AC" w:rsidRPr="00156FCF" w:rsidRDefault="00CD64AC" w:rsidP="00CD64AC">
      <w:r w:rsidRPr="00C06E69">
        <w:rPr>
          <w:bCs/>
        </w:rPr>
        <w:t>Směnné relace dosáhly v úhrnu v roce 2018 hodnoty 100,4 % (v roce 2017 činily 99,0 %).</w:t>
      </w:r>
    </w:p>
    <w:p w:rsidR="00CD64AC" w:rsidRDefault="00CD64AC" w:rsidP="00CD64AC">
      <w:pPr>
        <w:pStyle w:val="Nadpis1"/>
      </w:pPr>
    </w:p>
    <w:p w:rsidR="00CD64AC" w:rsidRPr="004B7530" w:rsidRDefault="00CD64AC" w:rsidP="00CD64AC">
      <w:pPr>
        <w:pStyle w:val="Nadpis1"/>
      </w:pPr>
      <w:r w:rsidRPr="004B7530">
        <w:t>Meziroční kurzově očištěné indexy cen zahraničního obchodu</w:t>
      </w:r>
    </w:p>
    <w:p w:rsidR="00CD64AC" w:rsidRPr="004B7530" w:rsidRDefault="00CD64AC" w:rsidP="00CD64AC">
      <w:pPr>
        <w:rPr>
          <w:rFonts w:cs="Arial"/>
          <w:szCs w:val="20"/>
        </w:rPr>
      </w:pPr>
      <w:r w:rsidRPr="004B7530">
        <w:rPr>
          <w:rFonts w:cs="Arial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  <w:r w:rsidR="001D729E">
        <w:rPr>
          <w:rFonts w:cs="Arial"/>
          <w:szCs w:val="20"/>
        </w:rPr>
        <w:t>Od roku 2017</w:t>
      </w:r>
      <w:bookmarkStart w:id="0" w:name="_GoBack"/>
      <w:bookmarkEnd w:id="0"/>
      <w:r>
        <w:rPr>
          <w:rFonts w:cs="Arial"/>
          <w:szCs w:val="20"/>
        </w:rPr>
        <w:t xml:space="preserve"> se analogicky počítají také čtvrtletní očištěné indexy. </w:t>
      </w:r>
      <w:r w:rsidRPr="003E19BB">
        <w:rPr>
          <w:rFonts w:cs="Arial"/>
          <w:b/>
          <w:bCs/>
          <w:szCs w:val="20"/>
        </w:rPr>
        <w:t>Rozdíly mezi očištěnými a 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>
        <w:rPr>
          <w:rFonts w:cs="Arial"/>
          <w:szCs w:val="20"/>
        </w:rPr>
        <w:t>v prvním</w:t>
      </w:r>
      <w:r w:rsidRPr="00237A49">
        <w:rPr>
          <w:rFonts w:cs="Arial"/>
          <w:szCs w:val="20"/>
        </w:rPr>
        <w:t xml:space="preserve"> čtvrtletí </w:t>
      </w:r>
      <w:r>
        <w:rPr>
          <w:rFonts w:cs="Arial"/>
          <w:szCs w:val="20"/>
        </w:rPr>
        <w:t xml:space="preserve">roku </w:t>
      </w:r>
      <w:r w:rsidRPr="00237A49">
        <w:rPr>
          <w:rFonts w:cs="Arial"/>
          <w:szCs w:val="20"/>
        </w:rPr>
        <w:t>201</w:t>
      </w:r>
      <w:r>
        <w:rPr>
          <w:rFonts w:cs="Arial"/>
          <w:szCs w:val="20"/>
        </w:rPr>
        <w:t>8</w:t>
      </w:r>
      <w:r w:rsidRPr="00237A49">
        <w:rPr>
          <w:rFonts w:cs="Arial"/>
          <w:szCs w:val="20"/>
        </w:rPr>
        <w:t>.</w:t>
      </w:r>
    </w:p>
    <w:p w:rsidR="00CD64AC" w:rsidRPr="004B7530" w:rsidRDefault="00CD64AC" w:rsidP="00CD64AC">
      <w:pPr>
        <w:rPr>
          <w:rFonts w:cs="Arial"/>
          <w:szCs w:val="20"/>
        </w:rPr>
      </w:pPr>
      <w:r w:rsidRPr="004B7530">
        <w:rPr>
          <w:rFonts w:cs="Arial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cs="Arial"/>
          <w:szCs w:val="20"/>
        </w:rPr>
        <w:t>vány; tento podíl činí do 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CD64AC" w:rsidRPr="00B41F41" w:rsidRDefault="00CD64AC" w:rsidP="00CD64AC">
      <w:pPr>
        <w:rPr>
          <w:rFonts w:cs="Arial"/>
          <w:szCs w:val="20"/>
        </w:rPr>
      </w:pPr>
    </w:p>
    <w:p w:rsidR="00CD64AC" w:rsidRPr="00B41F41" w:rsidRDefault="00CD64AC" w:rsidP="00CD64AC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CD64AC" w:rsidRPr="00B41F41" w:rsidRDefault="00CD64AC" w:rsidP="00CD64AC">
      <w:pPr>
        <w:rPr>
          <w:rFonts w:cs="Arial"/>
          <w:szCs w:val="20"/>
        </w:rPr>
      </w:pPr>
    </w:p>
    <w:p w:rsidR="00CD64AC" w:rsidRDefault="00CD64AC" w:rsidP="00CD64AC">
      <w:pPr>
        <w:rPr>
          <w:rFonts w:cs="Arial"/>
          <w:szCs w:val="20"/>
        </w:rPr>
      </w:pPr>
      <w:r w:rsidRPr="009827B3">
        <w:rPr>
          <w:rFonts w:cs="Arial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CD64AC" w:rsidRDefault="00CD64AC" w:rsidP="00CD64AC">
      <w:pPr>
        <w:rPr>
          <w:rFonts w:cs="Arial"/>
          <w:szCs w:val="20"/>
        </w:rPr>
      </w:pPr>
    </w:p>
    <w:p w:rsidR="00CD64AC" w:rsidRDefault="00CD64AC" w:rsidP="00CD64AC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5508D47F" wp14:editId="4ECCF509">
            <wp:extent cx="5400040" cy="3257874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36" cy="326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pPr>
        <w:rPr>
          <w:rFonts w:cs="Arial"/>
          <w:szCs w:val="20"/>
        </w:rPr>
      </w:pPr>
    </w:p>
    <w:p w:rsidR="00CD64AC" w:rsidRDefault="00CD64AC" w:rsidP="00CD64AC">
      <w:pPr>
        <w:rPr>
          <w:rFonts w:cs="Arial"/>
          <w:szCs w:val="20"/>
        </w:rPr>
      </w:pPr>
      <w:r w:rsidRPr="00DB53A7">
        <w:rPr>
          <w:rFonts w:cs="Arial"/>
          <w:szCs w:val="20"/>
        </w:rPr>
        <w:t>Z následujících grafů 6 a 7 je patrné, jak významně kurzový vliv působil na výši indexů cen vývozu a dovozu.</w:t>
      </w:r>
    </w:p>
    <w:p w:rsidR="00CD64AC" w:rsidRDefault="00CD64AC" w:rsidP="00CD64AC">
      <w:pPr>
        <w:rPr>
          <w:rFonts w:cs="Arial"/>
          <w:szCs w:val="20"/>
        </w:rPr>
      </w:pPr>
    </w:p>
    <w:p w:rsidR="00CD64AC" w:rsidRDefault="00CD64AC" w:rsidP="00CD64AC">
      <w:r>
        <w:rPr>
          <w:noProof/>
          <w:lang w:eastAsia="cs-CZ"/>
        </w:rPr>
        <w:drawing>
          <wp:inline distT="0" distB="0" distL="0" distR="0" wp14:anchorId="27E13F80" wp14:editId="074DD431">
            <wp:extent cx="5383993" cy="3347049"/>
            <wp:effectExtent l="0" t="0" r="762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09" cy="335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Pr="009827B3" w:rsidRDefault="00CD64AC" w:rsidP="00CD64AC">
      <w:pPr>
        <w:rPr>
          <w:rFonts w:cs="Arial"/>
          <w:szCs w:val="20"/>
        </w:rPr>
      </w:pPr>
    </w:p>
    <w:p w:rsidR="00CD64AC" w:rsidRPr="009827B3" w:rsidRDefault="00CD64AC" w:rsidP="00CD64AC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4FD2023D" wp14:editId="46ACBEF8">
            <wp:extent cx="5426878" cy="3373709"/>
            <wp:effectExtent l="0" t="0" r="254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95" cy="337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pPr>
        <w:rPr>
          <w:rFonts w:cs="Arial"/>
        </w:rPr>
      </w:pPr>
      <w:r w:rsidRPr="00DB53A7">
        <w:rPr>
          <w:rFonts w:cs="Arial"/>
        </w:rPr>
        <w:t>Z grafu 8 je patrné působení kurzového vlivu na meziroční směnné relace.</w:t>
      </w:r>
    </w:p>
    <w:p w:rsidR="00CD64AC" w:rsidRPr="009827B3" w:rsidRDefault="00CD64AC" w:rsidP="00CD64AC">
      <w:pPr>
        <w:rPr>
          <w:rFonts w:cs="Arial"/>
          <w:szCs w:val="20"/>
        </w:rPr>
      </w:pPr>
    </w:p>
    <w:p w:rsidR="00CD64AC" w:rsidRDefault="00CD64AC" w:rsidP="00CD64AC">
      <w:r>
        <w:rPr>
          <w:noProof/>
          <w:lang w:eastAsia="cs-CZ"/>
        </w:rPr>
        <w:drawing>
          <wp:inline distT="0" distB="0" distL="0" distR="0" wp14:anchorId="6C26FDA4" wp14:editId="2EDD7CB5">
            <wp:extent cx="5461554" cy="3395266"/>
            <wp:effectExtent l="0" t="0" r="635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80" cy="3398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pPr>
        <w:rPr>
          <w:rFonts w:cs="Arial"/>
          <w:szCs w:val="20"/>
        </w:rPr>
      </w:pPr>
    </w:p>
    <w:p w:rsidR="007A0785" w:rsidRPr="00B55F73" w:rsidRDefault="007A0785" w:rsidP="007A0785">
      <w:pPr>
        <w:rPr>
          <w:rFonts w:cs="Arial"/>
          <w:szCs w:val="20"/>
        </w:rPr>
      </w:pPr>
      <w:r w:rsidRPr="009827B3">
        <w:rPr>
          <w:rFonts w:cs="Arial"/>
          <w:szCs w:val="20"/>
        </w:rPr>
        <w:lastRenderedPageBreak/>
        <w:t xml:space="preserve">Graf </w:t>
      </w:r>
      <w:r>
        <w:rPr>
          <w:rFonts w:cs="Arial"/>
          <w:szCs w:val="20"/>
        </w:rPr>
        <w:t>9</w:t>
      </w:r>
      <w:r w:rsidRPr="009827B3">
        <w:rPr>
          <w:rFonts w:cs="Arial"/>
          <w:szCs w:val="20"/>
        </w:rPr>
        <w:t xml:space="preserve"> ukazuje vývoj hodnoty směnných relací, pokud </w:t>
      </w:r>
      <w:r>
        <w:rPr>
          <w:rFonts w:cs="Arial"/>
          <w:szCs w:val="20"/>
        </w:rPr>
        <w:t>s</w:t>
      </w:r>
      <w:r w:rsidRPr="009827B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ze</w:t>
      </w:r>
      <w:r w:rsidRPr="009827B3">
        <w:rPr>
          <w:rFonts w:cs="Arial"/>
          <w:szCs w:val="20"/>
        </w:rPr>
        <w:t xml:space="preserve"> sledování vylouč</w:t>
      </w:r>
      <w:r>
        <w:rPr>
          <w:rFonts w:cs="Arial"/>
          <w:szCs w:val="20"/>
        </w:rPr>
        <w:t>í</w:t>
      </w:r>
      <w:r w:rsidRPr="009827B3">
        <w:rPr>
          <w:rFonts w:cs="Arial"/>
          <w:szCs w:val="20"/>
        </w:rPr>
        <w:t xml:space="preserve"> skupina minerálních paliv.</w:t>
      </w:r>
      <w:r>
        <w:rPr>
          <w:rFonts w:cs="Arial"/>
          <w:szCs w:val="20"/>
        </w:rPr>
        <w:t xml:space="preserve"> </w:t>
      </w:r>
      <w:r w:rsidRPr="00E32340">
        <w:rPr>
          <w:rFonts w:cs="Arial"/>
        </w:rPr>
        <w:t>V</w:t>
      </w:r>
      <w:r>
        <w:rPr>
          <w:rFonts w:cs="Arial"/>
        </w:rPr>
        <w:t> tomto grafu</w:t>
      </w:r>
      <w:r w:rsidRPr="00E32340">
        <w:rPr>
          <w:rFonts w:cs="Arial"/>
        </w:rPr>
        <w:t xml:space="preserve"> můžeme pozorovat vliv minerálních paliv, který do 4. čtvrtletí </w:t>
      </w:r>
      <w:r>
        <w:rPr>
          <w:rFonts w:cs="Arial"/>
        </w:rPr>
        <w:t>2016</w:t>
      </w:r>
      <w:r w:rsidRPr="00E32340">
        <w:rPr>
          <w:rFonts w:cs="Arial"/>
        </w:rPr>
        <w:t xml:space="preserve"> zvyšoval celkovou hodnotu meziročních směnných relací. V 1. čtvrtletí </w:t>
      </w:r>
      <w:r>
        <w:rPr>
          <w:rFonts w:cs="Arial"/>
        </w:rPr>
        <w:t>2017</w:t>
      </w:r>
      <w:r w:rsidRPr="00E32340">
        <w:rPr>
          <w:rFonts w:cs="Arial"/>
        </w:rPr>
        <w:t xml:space="preserve"> se situace obrátila a minerální paliva začala směnné relace snižovat. Souvisí to pochopitelně s vývojem cen</w:t>
      </w:r>
      <w:r w:rsidRPr="00492826">
        <w:rPr>
          <w:rFonts w:cs="Arial"/>
        </w:rPr>
        <w:t xml:space="preserve"> na světových trzích, zejména ropy. Dovozní ceny, které mají proti cenám vývozním vyšší podíl surovin, reagují citlivěji na cenové turbulence. Při růstu cen surovin se proto směnné relace zpravidla snižují, a naopak při poklesu cen surovin směnné relace rostou.</w:t>
      </w:r>
    </w:p>
    <w:p w:rsidR="00CD64AC" w:rsidRPr="009827B3" w:rsidRDefault="00CD64AC" w:rsidP="00CD64AC">
      <w:pPr>
        <w:rPr>
          <w:rFonts w:cs="Arial"/>
          <w:szCs w:val="20"/>
        </w:rPr>
      </w:pPr>
    </w:p>
    <w:p w:rsidR="00CD64AC" w:rsidRDefault="00CD64AC" w:rsidP="00CD64AC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0205F69D" wp14:editId="39D283C2">
            <wp:extent cx="5391509" cy="3501052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05" cy="3503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pStyle w:val="Nadpis1"/>
      </w:pPr>
      <w:r>
        <w:t>Závěrečné shrnutí</w:t>
      </w:r>
    </w:p>
    <w:p w:rsidR="00CD64AC" w:rsidRDefault="00CD64AC" w:rsidP="00CD64AC">
      <w:pPr>
        <w:rPr>
          <w:rFonts w:cs="Arial"/>
        </w:rPr>
      </w:pPr>
      <w:r w:rsidRPr="0094748E">
        <w:rPr>
          <w:rFonts w:cs="Arial"/>
        </w:rPr>
        <w:t xml:space="preserve">Kurzový vliv </w:t>
      </w:r>
      <w:r w:rsidRPr="00E27A6D">
        <w:rPr>
          <w:rFonts w:cs="Arial"/>
        </w:rPr>
        <w:t>meziročně</w:t>
      </w:r>
      <w:r w:rsidRPr="003E19BB">
        <w:rPr>
          <w:rFonts w:cs="Arial"/>
        </w:rPr>
        <w:t xml:space="preserve"> ve </w:t>
      </w:r>
      <w:r>
        <w:rPr>
          <w:rFonts w:cs="Arial"/>
        </w:rPr>
        <w:t>4. čtvrtletí 2018</w:t>
      </w:r>
      <w:r w:rsidRPr="0094748E">
        <w:rPr>
          <w:rFonts w:cs="Arial"/>
        </w:rPr>
        <w:t xml:space="preserve"> </w:t>
      </w:r>
      <w:r>
        <w:rPr>
          <w:rFonts w:cs="Arial"/>
        </w:rPr>
        <w:t>zvyšoval růst indexu vývozních a dovozních cen.</w:t>
      </w:r>
      <w:r w:rsidRPr="00E628FC">
        <w:rPr>
          <w:rFonts w:cs="Arial"/>
        </w:rPr>
        <w:t xml:space="preserve"> </w:t>
      </w:r>
      <w:r>
        <w:rPr>
          <w:rFonts w:cs="Arial"/>
        </w:rPr>
        <w:t>Vývozní</w:t>
      </w:r>
      <w:r w:rsidRPr="00E628FC">
        <w:rPr>
          <w:rFonts w:cs="Arial"/>
        </w:rPr>
        <w:t xml:space="preserve"> ceny meziročně </w:t>
      </w:r>
      <w:r>
        <w:rPr>
          <w:rFonts w:cs="Arial"/>
        </w:rPr>
        <w:t>vzrostly</w:t>
      </w:r>
      <w:r w:rsidRPr="00E628FC">
        <w:rPr>
          <w:rFonts w:cs="Arial"/>
        </w:rPr>
        <w:t xml:space="preserve"> </w:t>
      </w:r>
      <w:r>
        <w:rPr>
          <w:rFonts w:cs="Arial"/>
        </w:rPr>
        <w:t xml:space="preserve">o 0,1 </w:t>
      </w:r>
      <w:proofErr w:type="spellStart"/>
      <w:r>
        <w:rPr>
          <w:rFonts w:cs="Arial"/>
        </w:rPr>
        <w:t>p.b</w:t>
      </w:r>
      <w:proofErr w:type="spellEnd"/>
      <w:r w:rsidR="00FB0C08">
        <w:rPr>
          <w:rFonts w:cs="Arial"/>
        </w:rPr>
        <w:t>.</w:t>
      </w:r>
      <w:r>
        <w:rPr>
          <w:rFonts w:cs="Arial"/>
        </w:rPr>
        <w:t xml:space="preserve"> méně</w:t>
      </w:r>
      <w:r w:rsidRPr="00E628FC">
        <w:rPr>
          <w:rFonts w:cs="Arial"/>
        </w:rPr>
        <w:t xml:space="preserve"> než ceny </w:t>
      </w:r>
      <w:r>
        <w:rPr>
          <w:rFonts w:cs="Arial"/>
        </w:rPr>
        <w:t>do</w:t>
      </w:r>
      <w:r w:rsidRPr="00E628FC">
        <w:rPr>
          <w:rFonts w:cs="Arial"/>
        </w:rPr>
        <w:t xml:space="preserve">vozní, proto směnné relace </w:t>
      </w:r>
      <w:r>
        <w:rPr>
          <w:rFonts w:cs="Arial"/>
        </w:rPr>
        <w:t>dosáh</w:t>
      </w:r>
      <w:r w:rsidRPr="00E628FC">
        <w:rPr>
          <w:rFonts w:cs="Arial"/>
        </w:rPr>
        <w:t xml:space="preserve">ly </w:t>
      </w:r>
      <w:r>
        <w:rPr>
          <w:rFonts w:cs="Arial"/>
        </w:rPr>
        <w:t>negativní</w:t>
      </w:r>
      <w:r w:rsidRPr="00E628FC">
        <w:rPr>
          <w:rFonts w:cs="Arial"/>
        </w:rPr>
        <w:t xml:space="preserve"> hodnot</w:t>
      </w:r>
      <w:r>
        <w:rPr>
          <w:rFonts w:cs="Arial"/>
        </w:rPr>
        <w:t>y</w:t>
      </w:r>
      <w:r w:rsidRPr="00E628FC">
        <w:rPr>
          <w:rFonts w:cs="Arial"/>
        </w:rPr>
        <w:t xml:space="preserve">. S vyloučením kurzového vlivu </w:t>
      </w:r>
      <w:r>
        <w:rPr>
          <w:rFonts w:cs="Arial"/>
        </w:rPr>
        <w:t>byly</w:t>
      </w:r>
      <w:r w:rsidRPr="00E628FC">
        <w:rPr>
          <w:rFonts w:cs="Arial"/>
        </w:rPr>
        <w:t xml:space="preserve"> směnné relace </w:t>
      </w:r>
      <w:r>
        <w:rPr>
          <w:rFonts w:cs="Arial"/>
        </w:rPr>
        <w:t>pozitivní (100,1 %)</w:t>
      </w:r>
      <w:r w:rsidRPr="00E628FC">
        <w:rPr>
          <w:rFonts w:cs="Arial"/>
        </w:rPr>
        <w:t xml:space="preserve">. Hodnoty bez kurzového vlivu odpovídají kurzově očištěným indexům </w:t>
      </w:r>
      <w:r>
        <w:t xml:space="preserve">– </w:t>
      </w:r>
      <w:r w:rsidRPr="00E628FC">
        <w:t>viz</w:t>
      </w:r>
      <w:r w:rsidRPr="00E628FC">
        <w:rPr>
          <w:rFonts w:cs="Arial"/>
        </w:rPr>
        <w:t xml:space="preserve"> grafy 6, 7 a </w:t>
      </w:r>
      <w:r>
        <w:rPr>
          <w:rFonts w:cs="Arial"/>
        </w:rPr>
        <w:t>8</w:t>
      </w:r>
      <w:r w:rsidRPr="00E628FC">
        <w:rPr>
          <w:rFonts w:cs="Arial"/>
        </w:rPr>
        <w:t>.</w:t>
      </w:r>
    </w:p>
    <w:p w:rsidR="00CD64AC" w:rsidRDefault="00CD64AC" w:rsidP="00CD64AC">
      <w:pPr>
        <w:rPr>
          <w:rFonts w:cs="Arial"/>
        </w:rPr>
      </w:pPr>
    </w:p>
    <w:p w:rsidR="00CD64AC" w:rsidRDefault="00CD64AC" w:rsidP="00CD64AC">
      <w:pPr>
        <w:rPr>
          <w:rFonts w:cs="Arial"/>
        </w:rPr>
      </w:pPr>
      <w:r>
        <w:rPr>
          <w:rFonts w:cs="Arial"/>
        </w:rPr>
        <w:br w:type="page"/>
      </w:r>
    </w:p>
    <w:p w:rsidR="00CD64AC" w:rsidRDefault="00CD64AC" w:rsidP="00CD64AC">
      <w:pPr>
        <w:rPr>
          <w:rFonts w:cs="Arial"/>
        </w:rPr>
      </w:pPr>
      <w:r w:rsidRPr="00CB294C">
        <w:rPr>
          <w:noProof/>
          <w:lang w:eastAsia="cs-CZ"/>
        </w:rPr>
        <w:lastRenderedPageBreak/>
        <w:drawing>
          <wp:inline distT="0" distB="0" distL="0" distR="0" wp14:anchorId="5C156F16" wp14:editId="3D538605">
            <wp:extent cx="5479693" cy="6848259"/>
            <wp:effectExtent l="0" t="0" r="698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85" cy="68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br w:type="page"/>
      </w:r>
    </w:p>
    <w:p w:rsidR="00CD64AC" w:rsidRDefault="00CD64AC" w:rsidP="00CD64AC">
      <w:pPr>
        <w:rPr>
          <w:rFonts w:cs="Arial"/>
        </w:rPr>
      </w:pPr>
      <w:r>
        <w:rPr>
          <w:rFonts w:cs="Arial"/>
        </w:rPr>
        <w:lastRenderedPageBreak/>
        <w:t xml:space="preserve">Závěrečná tabulka uvádí publikované </w:t>
      </w:r>
      <w:r>
        <w:rPr>
          <w:rFonts w:cs="Arial"/>
          <w:b/>
          <w:bCs/>
        </w:rPr>
        <w:t>neočištěné</w:t>
      </w:r>
      <w:r>
        <w:rPr>
          <w:rFonts w:cs="Arial"/>
        </w:rPr>
        <w:t xml:space="preserve"> indexy cen zahraničního obchodu.</w:t>
      </w:r>
    </w:p>
    <w:p w:rsidR="00CD64AC" w:rsidRDefault="00CD64AC" w:rsidP="00CD64AC">
      <w:pPr>
        <w:rPr>
          <w:rFonts w:cs="Arial"/>
          <w:szCs w:val="20"/>
        </w:rPr>
      </w:pPr>
      <w:r w:rsidRPr="00110D6F">
        <w:rPr>
          <w:noProof/>
          <w:lang w:eastAsia="cs-CZ"/>
        </w:rPr>
        <w:drawing>
          <wp:inline distT="0" distB="0" distL="0" distR="0" wp14:anchorId="48493E4A" wp14:editId="3CE779DF">
            <wp:extent cx="4983681" cy="7021902"/>
            <wp:effectExtent l="0" t="0" r="7620" b="762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64" cy="70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AC" w:rsidRDefault="00CD64AC" w:rsidP="00CD64AC">
      <w:r w:rsidRPr="00DF1FD4">
        <w:rPr>
          <w:b/>
        </w:rPr>
        <w:t>Zpracoval:</w:t>
      </w:r>
      <w:r>
        <w:t xml:space="preserve"> Ing. Vladimír Klimeš, odbor statistiky cen</w:t>
      </w:r>
    </w:p>
    <w:p w:rsidR="004920AD" w:rsidRPr="00851591" w:rsidRDefault="00CF6F2B" w:rsidP="00CD64AC">
      <w:r>
        <w:t>tel. 2</w:t>
      </w:r>
      <w:r w:rsidR="00CD64AC">
        <w:t>7</w:t>
      </w:r>
      <w:r>
        <w:t>4</w:t>
      </w:r>
      <w:r w:rsidR="00CD64AC">
        <w:t> 054 102, E-mail: vladimir.klimes@czso.cz</w:t>
      </w:r>
    </w:p>
    <w:sectPr w:rsidR="004920AD" w:rsidRPr="00851591" w:rsidSect="004052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2" w:rsidRDefault="00A40082" w:rsidP="00BA6370">
      <w:r>
        <w:separator/>
      </w:r>
    </w:p>
  </w:endnote>
  <w:endnote w:type="continuationSeparator" w:id="0">
    <w:p w:rsidR="00A40082" w:rsidRDefault="00A4008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C72B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D729E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D729E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7280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2" w:rsidRDefault="00A40082" w:rsidP="00BA6370">
      <w:r>
        <w:separator/>
      </w:r>
    </w:p>
  </w:footnote>
  <w:footnote w:type="continuationSeparator" w:id="0">
    <w:p w:rsidR="00A40082" w:rsidRDefault="00A4008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C72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55A546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LCCkAAHX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9duL9cVsv7mHiMKos7oR3jw93LwByI/Hhz88/HyMBOLH&#10;nw5X//2IX79+/nv5900Enn18+t3hGvg2n0+HwJuvn473ggJUz74GEfySRLD9eppd4T92Tb2et4uL&#10;2RV+V+GnFf4RhHR1C0nK3y265cUMv10tKvvND/rX67X8Lvxp1y7lt683b+KwYao6NaEL6vbYc/Tx&#10;r+PoH243D9sgqEdhl3K0gsJFlv4eerjZ39xtZ2FSMjrAjKWPkZ+z/eH9LaC23x2Ph6fb7eYaswok&#10;Yu7ZH8g/HiENyuCqrsBIcGo9V04lLi87ZdOiHXBp8+bh+Hj6cXu4n8kPby+OmHkQ3ubLT4+nyFAD&#10;EVk+Hu521x92d3fhH8ebj+/vjrMvG1lt82X17r1iH4Dd7QV4f5A/ixjjf8HsMIb8TuYZVs+f11Xd&#10;zt/V61cfutXyVfuhXbxaL+erV/Nq/W7dzdt1+/2Hv8gEq/bN7e76erv/abff2kqu2mly1T0lrsGw&#10;lmdPYNuiXgTaB7N/HBI5x//GiLzfnbCx3e3uoagCo1uNiPWH/XXQ6NNmdxd/fj2cflBb8MC+gStB&#10;CUTuUXs/Hq5/gQ4cDxAS9AxbMH64PRz/dDF7wnb29uLxj583x+3F7O7f99CjddW2sv+Ff7SLZY1/&#10;HPPffMx/s9lfAdXbi9PFLP74/hT3zM8Px93NLUaqAmP2h++wuD/tgmKIXsZZhY0hLLB/1Eqrzlfa&#10;SqQyWDjQ1r/TSrMtqaqaZyutaur2ZallZ93LUpv9cy+1+nyprf+BS62qVzApxThoumdrrZs3ttSC&#10;8ZLO/pdTbf765VTTo+yf6FSDOkf78cNxu5U70AwmZelU++F6d/r5sNuf/lrLcd3hOhAWWXW2yGA5&#10;iIVdz4cG9ubN1edoOooFZ+YibkTXatTdXCs1l8Dw6f4O96x/ew2K2vnsaVbhMiekCbyB4VDvwbr1&#10;7HbWwqB9BoTtqAeaL1sHF1jZgy2X47hwUvdA8/XawQWjOoFh2uO4YGAnoKqqvHnhupLA6no1jgsb&#10;XgICrqUzL4gsgdVdPY5LLiUJqqrmKwcZ5N7D1evWwTZk/8rFlvO/qSsH21AAC08Acq1JNDSNI81q&#10;IIJ5VXmU5jJoWm9uAyHMl+7ccim0c4dvYn4nCmA1Ns7c6lwKzcrRtXoghcpdBLjT96M2jbeiBlKo&#10;1p5McTnqsdUrj9KBFArYcinUdTOuIfVACgVKcylU3t7RTJQCjPqe0qruxufWDKTga0iTS6GaO5Q2&#10;uRTWjae8TS6EFqt5dJNsciEslwtH25qBDNbezHIZLFcusoEIvG1SLqVpIXSrzplZm0ugWTi61uYS&#10;WFTeompzAXi7R5vzv2m9PVdcVWn+Lq6c/W1Te0Tm7K+8DbzN2d92nmK0A/YvHZ1d5OxvsU7GT2J4&#10;2noqa0/LFjn729ZFlrO/xtY3qrJwTPVDtnOP/4uc/3Xj6P8iF8Ci8rRskQugXjq77SIXwALnhcOz&#10;XAB16xzHXS6AxcJTDVx1em7U88U4z7pcAAtXAF0ugKpzjs8uF8DCVdouF0DVOCuzGwgAp+I4z8R7&#10;m1YTjBOHzFwAbectczFhe2TeBrTMBeDr2TIXgLvPLnMBtO7WuMwFUK8c1VjmAvBNhGUuAAw5uprE&#10;35t44dnby5z79dJZS8uc+97mv8x533hrfJXzHkf+uFKsctY33lm+ylnfeTbLKud86529q2mcX+Wc&#10;x9VknPWrnPXV2lvhq5z5rt0ovo8kR9nuHJYN2L90FGw9YD/Om3Fk6wH/PVmuc/7XrgDWuQBcHVsP&#10;BLDyTpJ1LoB65Wxk64EAcPdzyMwF0HhG3joXQLXw9H89EIB7p8CdtxenGJbjU6sQv+nhmtbZZKt5&#10;LgOxLD10uRCaxrENcDPPRoV972HLpdBUjrJV81wMuMl42HIxVPmuDXde8iVsbmM0Ck6Hr3v1L+An&#10;uHgQG52H2MTD4VGiheJsgLfiMrgxgAJQ4mVwgMFAATb3YRkY7BHg4JKgmEG9AJvPpIwZSibAwa9K&#10;McuNXqCjp4aDK43VNCIrpTJ6Xjh2pbOaRmillFbTSJVrs5CKazHcQHQyci8O4NNIlUhNAJ8m0VpJ&#10;raeRKlfXgH0aqXI3FfAYUKKkyuUzgE8jVW6XAXwaqXJ/DODTSG2U1GYaqXIHFOy45E2RqtzyAvg0&#10;UuUiF8CnkdoqqSl9oLxS5TYWsE8jVe5bAh5TF6hU5UYVwKeRKnemAD6NVLkVBfBpUpV7TwCfRqrc&#10;bAQ8RmkoqXJ3CeDTSJXbSQCfRqrcPwL4NFI7JRVXiCkaKXcIwY5LwiRwJRXXgEngSioM/UngSiqs&#10;+UngSios9ingYrILqTDKJ4ErqbC7J4ErqbCsJ4ErqbCdJ4ErqatppIp5LKTC/p2CXQzgAD6NVDFx&#10;A/g0UsWIDeDTSBUzNYBPIxV2VoQXS3MKscHUlAFgZU78A6W3mk8jONiLcYQByXEjUZNPspOeZ/Yd&#10;L2bI7Psos0Lcd3MSS9F+lKyeEGma3b69kGCS/OL+8GV7eQggJ7EYwQOY2xgasQClrQe524+Cwoui&#10;oAZg3wfFqec5B9TTEE5rglE8fJhlhd0nisyGtK8NvTBAI8cA7GuAmlgHtzrBKK6JMDSjWm7lAohv&#10;eY4W1E9L2eZmX5ujrpsK3zJGuYJhaI0rQm0Mk30VY7jmBMCujBGxsogxWc6Gyb6GsYpU18lMNQD7&#10;JsDIRwT+yNASy5I5wkNfpBrBwQgYsyYLVBvgwtavzc2+aY6KEQc0GVrnmE5Bw2TfhFGphieJYFQ+&#10;MqVIkmFKYbJu0jZnc7OvzhHB38DHBjIvznGu+tjgnlQGVA1H8JMBRqrhgiCAugqbdEUwIuxrxOi6&#10;bmD1l+eoOwVCqgRQ954Gln4Zo+5mCDYSQN0f+z3XiLCvEXO2ORvA1d3hcYvZnO/oCJ8FacJvq7Pw&#10;N3SlrAc19Pa1eagFCpcxoUx8oVi78OkRQPGNBUCyoVcYUgAb+L+K3EcCcARMFo8RYV8lBt5lBWRD&#10;622qgae7PLQEZmSOdNuQAIIApiuRzc2+Nsek7kSV5LAJGNkCqmxJ0g1dF3kNs6pMtdpdiIaXAeVU&#10;kjkiyDQRkO3TCSNbkgjBx6Fjhn/hiDCq06oxidjXJGOHN9XHZA6QPVAsEGEPNYIq1Z4KobuyZFQf&#10;K9zvy4Cq4UgvJIC6ZuC2JYC6Cqvk5DL+2df4qOsa+SBljHPdKeTcKxKDJITIx2Sl25D21aHnupv1&#10;9r8B2NcAzeqM6Vqu9tiWKzeL0hQN7ny/9bdzJDBEDQYbIm5vO0elwDNII8e+kayl+pQqosHnIxue&#10;wmzXulunUgtvtiu1yc55YaPE2Uo5h6wOBofcDJV+WQad7ghMVguJxE0Yt9NFyeaHdI+AD/kcRR1Z&#10;nnHQ+OFzHRkbEbftCx7TWzU8kofCcNs38hzZJEN89mv7RrBWgmVgkSmm/da+CpWMnSLdiHVOQHZG&#10;qY3lM0dsFpklAohkARlklbx4ht2+SpG62imc+qmR3VIkvbUFiX2ptH0gyyRQUsHBV4Sz7Z+ct8in&#10;ifgQMC/iU4ciu9gipSbiS04k45t9lX/qQmS3VcOHHJxJ86txcSzTEelFwl0ZTvlXQ3OL+FQeSOsh&#10;cHq1I6cskqVUU20dG9/sO9S/XqPt9/ZVuDPNt98XVotuo0jUUJrcvcRMK3KzXdixlFy6Ngv7xtki&#10;UylST7RW6tTCekZmT0k6C70H1cRaWmi8p0a4oohP0vJkH8FqLcPp/IhWIGUp4gM9RXySjybjpqCk&#10;8c2+yj+NnyBhiuCLWsaOf+RnhXErHFxT5leRXcToZU7BhQalKtzPi+ParsnkJome4F+VHJzGN/sq&#10;/2y3Jo6DhYZCUZtTnh8s4DAu4rhFOvSOXzH5SoaC0BHLIlxjtJVEEYFDDkJpXGRsKRw5ddQAZdYy&#10;ctMUX5neVsOCzABrEGqOdJTxGRwzwOx0nwpXEz9CK+lV4DPDt9B7IIMzefQ7r+mnv1vXmg6BxOgo&#10;am+zriSlD5Mts1LCFQKFWGlJc8yBkgJXNlH7xgV1Njn7tU+PBtx61fDoiQ6FHs5Q2zfOwNwO5YWq&#10;UOl+ZTjsq9QEzjAXqdrNxO0ZuYxMwSKb4/bRIIG7LIw4MeYy0RsCMUWlaAIKIMZ4aVDdKpsURzVe&#10;2TfyTHLPBRtZSRrJb3DzKQ2qcWokMhbB0rIsk6A+75a5H7ArCw1ajOXuurYmKJye+hTOrpVsfsnh&#10;WiYXuZiRDuKYrSVzTWQG/pSEUev1vQHeIpxmAjXkyim2bBiX+FprtQ4aYv3VWA8BH1kXtSZ6sGWG&#10;ErOIjyza2jy8ZAuoLUxB7jZILg3j1mx7MjhijRs+tnVWWLPCv6lwQk9JDwwfElcJnG5ULGil1kuT&#10;EgFt67Fv3IIqdePQSJTkg4veMwenZL0LHItDmXyJNSk+hIivfEgh+zbCESu20v2F6bNYw2FceICL&#10;ctPkuYa5ktUqRr5uGZ9mNdL5aSpmQ25bFg2dEHNTPpdtG73UNjjhSmxRn7TYniUwXUQNHEZFsGjZ&#10;I524DKYiQ+ZzEZsaNAhUTAEjC/fMJLP1ZVYcjkRJPAkZqikDBf8xL5D2e8q8+756l7bKAdj/i8Y5&#10;6Hml/XFeeuVM614kLdDG2oc5Xamwsp53FQjhOLdXzt+wq4D6T+YxfTA2epK2X+ibg8M1thWwNWrt&#10;wvJVM7mtQA0PMkoM6i6mMnhtBXADDlU7YQfMgTDRrM4mlN+O4YJFlcDQL0Bqr85Qgd8Jpq5aqcoY&#10;Q4XDrAdDCfcoLliiPdA8FO+P4cLBncBwHIzjghXVA61C6e0YLsilB5vH6vgzGoddBdDwyiFSHDs9&#10;ts6hUvKneqjl0mOZxGQSXL305pYLAMaPiy2XAPIWxrkmLtk0ZrWupARrjG1yGUhwuNo42AZCWIeW&#10;E6PYcikg12gcmxgSacxqHcrDxrBJQDrBWf+EM5kOuwqsQhXWKLZcCjjXnbkNpbCQMqxRbLkUam8d&#10;iGmVKIA7VuqwRrHlUsDic+Y2lALKax1suRQq7SJyxjcJ7vVzQ0dCB5s443s4FOWPrnjxK2RQtYst&#10;l4K3FYnl2iND+zxvarkQXGQDGTSdt+bF2dwPiu4l43QOZFCjYH1cBkgk67GhmnIUmWSd9UPWoRJu&#10;TD3E4u/hvI1SvOo9lBTmj09t0FegQl3y+NwGMkACi4ctl0GNE2gc20AIdSWlkqOU5kKoPWUb9BaA&#10;N99TNrlRJY4081hAeLYQxKudoKra3cYH3QVwuxmndNBdAJltnoKIlyON2qC50CjfxMGWoJA1K1X8&#10;Y3yTO2aCa9YepUMpdO7ccim4h8KgwQBK6j19k2zNfm44wEcpHXQYqBpXCnLr7rFBkcaxDdZCEwpg&#10;x/g26DFQLxztlayjNCY0xOObeJASXI0TfHxuQym4fBM/RMJWacn8mfaK96iHqkNvjFFKcykgQjc+&#10;N4nv99jQ5NbRt0GfgQpdhkYpHfQZQL9cD1m+FKzRwxmhkmuXplZAlsvAtZsHjQZiP5cxpg1aDfjI&#10;chF07qoSf28iwJrDnJE5aDbQwCAbX/DiHEvI3JlJACtBCWcdZLkA0EhpVJiDbgOhzHqMY+LcSyN6&#10;+9Cg1wC6iTmzGui/ln+f8ytnPqq6HVw5760xyRmuQacBdMkZxzVoNFAvnP1s0GgAe4aHLGe99S87&#10;n1iu+3AAeshy5jeNc6YMGg1ARA6VOfelsdCoUojTLYk7tAcbUwqJ2PRQOBJHcYnDugcLncvGkEk0&#10;uwdDFMjDNk33pTIsQ6e9Ns4kMOwy4BswIRDb04pOOQ6t+SFQ155RGnLoEzrZ3R10uRzkrBgXajXP&#10;JVFrG5xzYgf3ZP+2N7wmextHNbwnwwxzJje4J7vnAJoUZgKrcGZ76PLVYH2qAq3wcb60aBjpQaE5&#10;CS8tGs66c7y0aPBakWiU6TIlspQbEby0aPAY+dKiwePMS4sGjzMa0r58adHwvJ2S3FYQ7L9MmW7l&#10;bUlLPC5TjgMBh7kVsFuqTRn8pUWD38rq/65Fg9tdyzIT0DVimnwlsTfoA7pea+S+rBDBJBYF6mvo&#10;2B+oPve5xuEPJFqfOov9mjYT4YYV20x0o20mcMHFfUvyZlimar3QzlTlVNUajyUFhCRXtba0WlKk&#10;ej7B53kO55XWEnYNc6hxtsRUCy9fNYHCyVLMygD5kVGTAfvBbcb21cRViQoL61lG30LL1xlcq7ti&#10;xVL6Ws3gZggll2rKBM/ZbZRaLsqIjBCDjjJKiV2ujAyUzXeume5T4agobeDJgAgVlrWo1opAilEq&#10;0YX3FNASPrHwykMjCjFJmvVEOGNOnQQ4QerIFgiT6IuGPamjQjwuDzlCSvlSlT0TQdKUUVcTdwWS&#10;sYmQNbw3si7L+cwSdp8GJx0xBZ95J4xP9rWMSDVTWEFHtdKiAVZJAk+RspAksFUrqzdPKV82N/va&#10;HHVLqGo7Ow3Avgao+YQVtKkovZU4rcCdCtIhgFF/K1KNiXhFXDoVSbnF7+FDkqFJrjQA49D9ayNG&#10;rX2V6lSaTSoZEbbX3Y+1JEmA5DztMbLON2mOpH4MGKN+N6R6HuyJxND2M8uUd1k+bCHCKBnZs4hS&#10;RMuJNu5Axk2QNW0FstIyRsQoydCSBADtadIlxJTBvrYUUh0Fw6h1ui3NsVbFZYdDtdatp2UbgO1l&#10;tPzBNkdNMYOFatTaV6le2wFGyuewfcftllZ8rFMFiSXn2ZD2jUOjfDkqLuNjAkTyQFnWyImKsmYN&#10;ltZaztFg+ysqrhFD89rXEswUNSNFz+Bj3Oxpg6W1ngrouUzmqE4r2okJSV46R7KurdEGx2gFT3SO&#10;Wp3cpAuMKYN9TR9VKVgGeVozlOErbYdIRYistcgekm6OVkC6myFvr6g9K1OKdCM1au1re4+aCg0p&#10;Pkb2WlSzmhjPANS7FWkmAEA9NMl1JFkpzHgGoM4RmRhl9hggEmemAbIqCrOkWGl/TzU1kIyP1OTS&#10;yiUkDhJiUvsGqj1RzVifBxiaapuxlnYrs6Sg6WWGm21Grv0oS4pbSgXTq4hxrbWxMFcIoFoAtLHk&#10;Wm/6FSl5w0VBLVLSGUGSYMMGQLtkrnXH5YDqZamYlWKnQkW6PFRrLbSC7UX4mNwMRB/XWowjJWYl&#10;EUIN1WAnN7h0Xte0WPLsmmn7ou+RgLif+WPcq6k86y1nMtsrDY7aaTb0ZMCzkQt0LUz7UkWRT5j1&#10;Mkigxjf76rmCrN1JHGi0fdvZfJ/hMzjWhKJqrY8sm6EBUpYaeyYDns+xwHxkJMeln450l/mNlgj2&#10;bmZjkn2V+WI9hXsrM1vDs89ywWUulEb3Rmy6pZVayVUwKD6xHO15XOZCQbJlxEfu/vBjT4MzFw/D&#10;p1WW7FxDxvM0evXIYGpeS05NEAi5CiJbXAGJRKRbTMDIrAMc5hGQ2RtWmcv6qCBfWYdmNrqcZmGO&#10;rAZVGmgFQFIcXknnrgBIqs0BaL4gclhVdqAywyQBki59COXEQ5/1/cEcI3tYI6FEdY1ITHGZWkNK&#10;UV8CqHNkbiixhYThzMsMpYhqhmxrMrTe5hHgIYB6pZY9oEiMrRnk0RFA7QCECgQCaHGkWCnoOztq&#10;dfHUzKdWa4vLGkHjMjHmIKRblNroNTGesJz1csm8S9IKQGRNvSLSiScAsltoD0hs9ATINDzNkXlF&#10;avNNMv9ArXykBesoIYlUQznKIjSHDInMVLV1vGa3UFlUgeHpXRizDOyrFoL0QpsGiLYZEZAtBY3+&#10;8j4C5pBhrltxpoehmWSsVzB1yMB1EzEy7ZFLZRg61sn661oa9QZAtgHYZt+Q4n4p8okYWTQI3o4A&#10;yJyYaOgb9/CWWYO1ZOpiXbfIZygrrvaMoB7ZWl3g1GtsXV84YHIGM33U4ASfoypFyzapxnzlJBMA&#10;VeJxzbCGR1VjTkxqVtsqZIEo6boR9ZEcmnaXaFgMDMVTESMLG9lFhgZQGuu0wwJ6qbMs20gbWzPM&#10;nJGYTVzXxAJIgGzN2ND0vDZiqE3RmKOVWSnSSUmIoXZPo8eHtEwqrmuTNbXNGm0FKE2dyhhxtIU5&#10;su43cqoGQPgiyhi1hRmqFwigNgA7Tz94fhbq/ogyjDJGu4yitI8AmmRSApkNaV87hs0PzbzvtV79&#10;qUfW8kdk0y/yEYlNgeH0iRozFZiXruoB2dasmT3Uk5jmSLJmMPRE/ymytCLVzDskzWdFH1EgTfio&#10;spZLWpnhGrxl7VFRLKZDs+VqpivHqHY4B8QdIVJNTNfG3A+MPShhjBiZCxzFpgrItuYzh5ktqoKX&#10;ba5hheR/cZ1s9qxWgjTs9tWla3DUK2hDTwY8G9mnC3WwKi+7N3l0rc3FQhTf4M4mMSR/qb6LiWDn&#10;HtEhOsupmArHeGl8mQp3Pq7P8043zjrZYh7PF2qC9pBGtX2jLnXm9CNX+fORDU9htmpN9K8XeLO1&#10;dw4Yz5ZqbDG4Tg1HoiIL7X9IwKz5MBt1oQVJFM7MWjhmSts26rnDCuv5x3kuLx7FXZStytTIn6xK&#10;gyNMMithIti51httUS/T3k1mZ3CM58aXqXDn8/P1XILfgec0jGJeQBpF0XshTaLUVU5jKOCizJAZ&#10;ZuopZNd/vejRAEo8VdNeZRK2r55m0gdK5kaOfdyGJoBZSK+8stTbSOjUEALRaL1R9s98Gnn2jWSq&#10;td3nFtuv7RvBzJgkERMNEcnzZaUdBN6roJik67y222UPOqnHoCKREkuuZXESDacwK85suLJE1X2E&#10;ZOEiQwyMxUeipU6jI3oJZlmEkVIaGbFwR1mmWg8s7q2S6NVNxmIiGkNkt24N6rJ4iHokmVdA7zcs&#10;FmJRBhIJ0Uy3mrlBNe2ChkE0c556VTQjA50zioKwJt80BmJ5iiwEomufRkCskTrzLSY4sxhsR7Kv&#10;7tMGxxzYNj8W/VCdosmR5n8kCo+7a9jsaPNfDYc3LPKhnlTaxFjvQfLKVGlBqpoyMItvkdnpwc8i&#10;HnrzYqnqVmdHoh3qwGCxjomKYnIlcQ6NhrDVbb7nsuvJ8ufJya9LkYU3lB8suJHCBmUvjcb4WNBA&#10;E9dotEIjWBRO480UTn2fbHpiHYjNQUMaegliBrkY4gEfecHBYvsNs3FtgTF7Uy9SDYmam0nPghm1&#10;lhKJ0760TdhlgoUy0AcobnckkiHvlgn/2LZY29IgcYzatlmMX6TD4EgUw8Zlx63RwWIY4kkXeplx&#10;kUoTif0pDveAj3hETb7MkpL00ICPhS9w7YhwZX1B/m6EY8ELDdnS2IW6imnoQsP9PHKhdLDAhV4D&#10;hY8lvQp9pES+LGyhXmIWtVA2s5iFxmlYxEIPeRavSGDlaIV5xEnWs82NRSo0hkzzt/Wmfe4CeWYQ&#10;muuQrCCkFQQN5VGKqMkTIgURH1mR6OSpcESj1F6h46rGs5c55aVlWbk0fGNBGRae0CwhFrKyk0P4&#10;PVxB5rpCLsnLqwvfoiHI4M2Ix+PNx/d3x9mXzR1auYT/Kf8GYC+vLsy+3t/tH9/gFYS/y6sLcPQ8&#10;f3UhuAT/ca8urGJeaP/oQic2+d/wzQXkOUqb0KqJW1f+nAIyr1KzRa/hKO44CUZwOKiwjfZgeGhg&#10;tG8jrJAeKHbsHpsWhJLA0DRkHBf8Wwloha7e4xRiV0xQsPrHUcEHloDQ0FKaAI9NC2LJwJxpDVpJ&#10;dmvpgzqGS46xDJkzMfEcJqiukTaXo8hy5nvN1yVekHAtVtKBcxRXzny0KB3nmKQ09shCS+dRZDn7&#10;oYcOspz/6CrjzWzAf/cJAlji/czw7ME4meKPSWBwko7PbPDWwiK8ETJGptx2emR4Q2FU+SVfNEF1&#10;ePTAmVkuAOn1Po4sF0DXeqtS7kNpTLcjvLjiExSCrt7McgHAgzY+MykB7JFVnjTFB5zAGhAwSubg&#10;mQVETp2ZiVenR+bOLBfAIvTkH5OmxC96ZHhfY3xmuQAWoQPtKLJcAK330oW4ftKQXWjxOoosFwB8&#10;HeMzk241Cdly7q0A8ZgmMDgcHGT5DrQM/dHHZibWbI8MC2WUZ+KlSVAFZLkA/EcRcgEsXT2TwsQ0&#10;JpLFnJkNBeDp2eCBhRo71SiZgwcWOhw64wtdLPs0M1wFHWS5ALrwBsqYAAbPK6Cg10GWC6BzpSle&#10;sn5mXu98CS4mqM49geViksDc5zckvSZB4YFmj2f5CnBPJ0mYSsiQh+ogGz6t4D1JIYVVU5DlKwC3&#10;2HEBDF5WwLPD3sxyATgttcXBm+aFSikP1YD92A1GVfbZqwoux3L2e93uxf2fJubai5JUk6BQRjk+&#10;r8GLCqHb/ZjyS8yux+UZQIMHFTzOS/g9oaqXDrsGzym4NoakNSZc7pMnElRJUCvvuJQ7QYJCbfA4&#10;uwaPKchaG995ENbokaFvjYMsV/zaNT7FUdDPzHt0RpIfEhQcWt7Mcvajb4szs1z1Y0f0MbUQp3sa&#10;E71dHGQ5/+HG8GY2EEDtnHCSQpOGDE9zjU1McjMTFJLlxieGWEEPtfJkKZ7YHpd3vkmGSoJyLyUS&#10;fUhQqEZy5jXgfi3t7UeJzLmPEloH2YD74dWlUWQ59+VZoNFdbPiigjxIMz614ZMKSN/o0cFb9dIq&#10;/6VVPjyplynNqdyq9qVVvtet+6VVvscZTVm6TNkbZRXT/LxLXD+ij70MrrVKl9GxiB2NgOOcEX1P&#10;qXMEHEdJALcwEgHHaRHALT5AwHEeBPBppGppxCVM+Smc0SYJlyl4VJ6MlqZfpu5aBFxJTdnDBFxJ&#10;TWVvZXDNqrlMoXwCrlKFbTyFM2IcC99T2hvBrqTCxJ2EXUlNMcUydi1GvkzpNwRcSYUlOmUymof7&#10;0ir/7NUXjRBfpsYJZb5rCPgy5SqXwYN1JjrWt/MNfxA3qJ8eTxIk+zU93YPBWOrpLhGQoN6pL4tX&#10;E4LCOtjTmGQ5awrXhKjRrFWHJAwIOuRBRNW0aLZ9Nc3xbIL2e4uinvcL75ufpEI8lyrrDkPznqyk&#10;cTIg6+keZQMOiPTLLLDGNBTQ+tul9W7Msq8y1XoV0KHnFmRnQxsfz6n25YTYVFAByWGKDPDEZJBs&#10;vtZdeCocE6aNOxWOtaW0DnsMHx57w0UYusEArVsgyyuX2F1AyDiztpJKInDjTC87UzFf3ktN9e0z&#10;Ijx5L63RN8J8paWBKKJSZRpks7BvVPjOek6S5mad5riTpMVOmUTSVhF8CrMjhTmIXkYwQqt2VSGJ&#10;klZByMA0+4hUXiy08imde8ZX+0b+Img6SbsW2hqKV+fEnYGV5yw0a7V/C8XmZV+dn9XxpJur/d6+&#10;BhdPQxyLRb1bWCVPOjYNj30Vn9ZzoBVhGZ9mZ1bppmF47Kv4rOYnmen2e/saXNw+WP9ShPqi3Eid&#10;ToIjGm9wNckytQdS8Cg24UuUB6vVsfdmakRFS/vFQkurWLXOQpPh2bZq/SCll0BxXLWdpJVAEU5T&#10;2GnFjrUGSzckk799VQ90XbIs3U53AzG2SvNDbD7oi7TUKsJp9jLLIu7UEcKKdjqJ3OI4rNnGrNnu&#10;DSnasZ2ZFe102mujIUU7nToWGhQrFfli+EjRTpofKdqxMnBWtNNpSxXWsMzk0UBfi3RoORsr2uks&#10;Kx77bxGf5q4i26EMp1nEDG6hdadsfshOCHrF6nYW2oeDFe5YBTuTx8K6uBH5Libqiz371LD91Pqo&#10;Jf+B7Rf21X3D5EbaMS+0CqVh54JVoZB1uZBgdzB7ybmgdgRrT2byRXpJUa8WmnbOqm46rT6gcKkr&#10;Wvnct3XJ5ofEl8gXtg/pjYpdGzp1arWofiiuS/UINcmRYXpi36gvna03YnUi5yauN1LFY/Z/k9xi&#10;Np5947hLybaDvrAqHrt5SJ+sEr1Lq7ohdhgydOK4ZJ9cqv0nr6MVx7V1RKp4lnpesnNrqfjY+Wt0&#10;MPtgaeXLxN5Y6h2F2S9LqwoiNQMmX2ZfIckpyENaXhX5rA4S8WWV4DrdD9gTDp1EosUugVyK+LR3&#10;9flteajPne5/SKAq48O9I4xL9rXO5EGqeDprkEbs9k6ft6zJPo7UrjA/VsZjreFZHU9nPabIedTD&#10;lc+PHo7w2RxqpJanszcEUgjC5Gpf3SdVT1ktT6dF76xmpUv3QUKHddSC3VHUU9UraVFahNP7DKvR&#10;MbuYw0V9ZrU8yKWLekX28U7Xm3RQLdJh3dDYOXPmuTK5+t4upOrpXG1P8rxdCZL43KzjMfPhGRyz&#10;AmzcqXDM+rW+llPh2C3SnoedDEdOT5uf1OqWtMLg2Co1/p3D+VphPaRsf/J0olKPFbmQ26MDxA+F&#10;fMp4XhTptjHJYaYV28RToIaZ0cnXC/Lo4nrBXhql4/FGmt/L6UfbLKl3mDgvrcMzcYXKXiyjEm+u&#10;hVYYNt2RycWpUodLHxg0Rto3Hixqr7AGVWrOy6PTpQWgwQfWzkiNFaSoFrFJnrlIC2n1pUFTeWh5&#10;buYphQeshM26HiEaWQJLDYjKg0YK2JOeUT+kMr44ZOAG80DqeiX+QoXCbbg0otqozGcX5kUf8IxD&#10;0uc7dfkTP7pmiNEDI1r37OFO63RDjAMpCIA+NsymUxJIgFoyhgUbaTukWxFrYSKvwAs6diTLm7oB&#10;jqzkShcfc1jY5kaf6pRsa5kf67GlbRCYYyP1mScXFDscGP8Mjl2Qaw0EMD1ObT2wnxSXmG4k7H3H&#10;1J6E7JlyIQpqRc5i6/xP3+fU5nkNa0thDdlZdyfd+yk+dVzR+emFgjlOrYlAgwBNSR62PlhvpEov&#10;UExuErIO8mCbuzmySSCgsi5VxKGniUTsSU5dbexBTr3tsCa0ZuCRLBI1JljOg1RBYMeoU6qgWS72&#10;jRaMgSGiWxKsgRFHj82NqLtRit20OGjc9GocVyUwkwJxyuhRwKwJsW4D44ivBbkiAY75UMToE3ys&#10;GUplvgfwsERtpT5BeQOsCKexVProph7fLGZttxT65Kb1/SA+AHsAi/kK0hNmDJ/lmqT8UlN0+0aF&#10;T6+xwVdR4p91KOL9RuJCYz03rSMT0wM7IvHaZ3l+em+jD22e3e+MH3ZbfumHgvDDSz+Uh+Pu5vaE&#10;jSrwYn/47vPp8Gl3kjUivUc+Hq5/+fmo/3h6fPj2G/mv+OHv3A8F14HYD+X326sT6oDutijukpXh&#10;NkR5fwuw7XfH4+Hpdru5RpuWuFMO/kD+8fjw83H28el3h+vt24sNyA2Uf/10vBdtOHz6NPuKv11b&#10;Cp+8JYxx+74oeHEaHhFpjCIB6LiZ2F8/HB9PP24P9zP54e2FZBEH7JsvyCuOoAbCVG9ZvXuv2Aet&#10;eO728pf7w4fd3V3EGP/L9utJc5fx0+zzcff24s9r5BHP39XrVx+61fJV+6FdvMI7A6tX82r9DrmH&#10;7br9/sNfZIJV++Z2d3293f+0229VtPiP01rdXB83T7v9zWvEKeav7ze7/cXsCZ6bxV+xvu53p+1x&#10;dre7R8pyakq0eSOC/WF/HcRx2uzu4s+vh9OHsgZh2TdwJSizSD5qUFTr2fEAIeGO/WV7xA+3h+Of&#10;MPXj5uHtxeMfP2+O24vZ3b/voUlrNHYE2Cn8o0VeHf5xzH/zMf/NZn8FVG8vThez+OP7E/6FP/n8&#10;v15smPbNm6cbLDvQdIOZ3e6uvt+cNvm/8fPTw5ttfbg93F1vj9/+jwAAAAD//wMAUEsDBBQABgAI&#10;AAAAIQAgLtID4gAAAAsBAAAPAAAAZHJzL2Rvd25yZXYueG1sTI9BT8JAEIXvJv6HzZh4g+0KSKnd&#10;EkLUEzERTAy3pR3ahu5s013a8u8dT3p8817e+yZdj7YRPXa+dqRBTSMQSLkraio1fB3eJjEIHwwV&#10;pnGEGm7oYZ3d36UmKdxAn9jvQym4hHxiNFQhtImUPq/QGj91LRJ7Z9dZE1h2pSw6M3C5beRTFD1L&#10;a2rihcq0uK0wv+yvVsP7YIbNTL32u8t5ezseFh/fO4VaPz6MmxcQAcfwF4ZffEaHjJlO7kqFF42G&#10;iZorZg/szBQITsSL+QrEiQ/LZQwyS+X/H7IfAAAA//8DAFBLAQItABQABgAIAAAAIQC2gziS/gAA&#10;AOEBAAATAAAAAAAAAAAAAAAAAAAAAABbQ29udGVudF9UeXBlc10ueG1sUEsBAi0AFAAGAAgAAAAh&#10;ADj9If/WAAAAlAEAAAsAAAAAAAAAAAAAAAAALwEAAF9yZWxzLy5yZWxzUEsBAi0AFAAGAAgAAAAh&#10;AEEMm4sIKQAAdfcAAA4AAAAAAAAAAAAAAAAALgIAAGRycy9lMm9Eb2MueG1sUEsBAi0AFAAGAAgA&#10;AAAhACAu0gPiAAAACwEAAA8AAAAAAAAAAAAAAAAAYisAAGRycy9kb3ducmV2LnhtbFBLBQYAAAAA&#10;BAAEAPMAAABx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tlvwAAANsAAAAPAAAAZHJzL2Rvd25yZXYueG1sRE9Ni8Iw&#10;EL0L+x/CLHiz6S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B0Betl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tRxAAAANsAAAAPAAAAZHJzL2Rvd25yZXYueG1sRE9Na8JA&#10;EL0L/Q/LFHopumkt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C5Kq1H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JLwgAAANsAAAAPAAAAZHJzL2Rvd25yZXYueG1sRE9Na8JA&#10;EL0X/A/LCF5ENwqVEl2lKlFvpSqex+yYhGZn4+5q0n/fLRR6m8f7nMWqM7V4kvOVZQWTcQKCOLe6&#10;4kLB+ZSN3kD4gKyxtkwKvsnDatl7WWCqbcuf9DyGQsQQ9ikqKENoUil9XpJBP7YNceRu1hkMEbpC&#10;aodtDDe1nCbJTBqsODaU2NCmpPzr+DAKprPLdZ8divVHvbsPnb5ts2G7VWrQ797nIAJ14V/85z7o&#10;OP8Vfn+JB8jlDwAAAP//AwBQSwECLQAUAAYACAAAACEA2+H2y+4AAACFAQAAEwAAAAAAAAAAAAAA&#10;AAAAAAAAW0NvbnRlbnRfVHlwZXNdLnhtbFBLAQItABQABgAIAAAAIQBa9CxbvwAAABUBAAALAAAA&#10;AAAAAAAAAAAAAB8BAABfcmVscy8ucmVsc1BLAQItABQABgAIAAAAIQD4usJL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cWwQAAANsAAAAPAAAAZHJzL2Rvd25yZXYueG1sRE9Na8JA&#10;EL0L/odlCr2ZTXuIEl1FlEKh9dAo5Dpmx2QxOxuya5L++26h0Ns83udsdpNtxUC9N44VvCQpCOLK&#10;acO1gsv5bbEC4QOyxtYxKfgmD7vtfLbBXLuRv2goQi1iCPscFTQhdLmUvmrIok9cRxy5m+sthgj7&#10;WuoexxhuW/mappm0aDg2NNjRoaHqXjysAiM/R1ucyqNLH93ZlMvryocPpZ6fpv0aRKAp/Iv/3O86&#10;zs/g95d4gNz+AAAA//8DAFBLAQItABQABgAIAAAAIQDb4fbL7gAAAIUBAAATAAAAAAAAAAAAAAAA&#10;AAAAAABbQ29udGVudF9UeXBlc10ueG1sUEsBAi0AFAAGAAgAAAAhAFr0LFu/AAAAFQEAAAsAAAAA&#10;AAAAAAAAAAAAHwEAAF9yZWxzLy5yZWxzUEsBAi0AFAAGAAgAAAAhAAaiVxbBAAAA2wAAAA8AAAAA&#10;AAAAAAAAAAAABwIAAGRycy9kb3ducmV2LnhtbFBLBQYAAAAAAwADALcAAAD1AgAAAAA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5B2BD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J4UgQAAKkNAAAOAAAAZHJzL2Uyb0RvYy54bWysV22PozYQ/l6p/8HiY6UsmJAX0GZPvdtL&#10;VWnbrnTbH+CACahgU9t52av63zu2IWv24gZVzYdg4GE8zzPj8fj+w7lt0JEKWXO2CfBdFCDKcl7U&#10;bL8Jfn/ZztYBkoqwgjSc0U3wSmXw4eH77+5PXUZjXvGmoAKBESazU7cJKqW6LAxlXtGWyDveUQYv&#10;Sy5aouBW7MNCkBNYb5swjqJleOKi6ATPqZTw9NG+DB6M/bKkufqtLCVVqNkE4Jsy/8L87/R/+HBP&#10;sr0gXVXnvRvkP3jRkprBpBdTj0QRdBD1N6baOhdc8lLd5bwNeVnWOTUcgA2O3rH5UpGOGi4gjuwu&#10;Msn/z2z+6/FZoLrYBBAoRloI0VZQqgVHsZHn1MkMUF+6Z6EJyu6J539IxPjnolbPvGYK3MFayHAE&#10;1TcSPkK70y+8ALvkoLjR6FyKVpsC9uhsQvF6CQU9K5TDQxzP1/EiQDm8wniNsfElJNnwcX6Q6ifK&#10;jSFyfJLKRrKAkYlD0bN5gaiXbQNB/SFEOF2hE5qncR/3Cwi7ILxEFZqvkveg2AUtltctzR1QPPdY&#10;SkYgj0/A/uK419LSAXnZrVyQjx3E/zIdjtPr7FIHNI/S6zpBrBxTUXzdFHY1B7U9tlzRI48lV3O/&#10;JVd0nCQeW67qkccnV/R4gT2WXNV9llzRIS09lkaq+5SC1fqmerz2JFU8SfXYVT1ezq/7FY9092VD&#10;PNLdl1h6rV/Sb5RZsOb3w6om1bDQ8zPrVzqMENG7TWSKS8elLip62UPpeLGFiWSA0mXBAwa6Gjw3&#10;VewWGPho8GISGFJFg1eTwJANGpxOAutVptGwjnTtveU17jniaSRxzxJPo4l7nngaUdwzxdOo6tTW&#10;VCF5p1DV2Wvg06jqBDXwEVUraJ9jAvqI9x2ECBB0EDvtEck6onRqDkN02gR6l0EVXGEj0c9bfqQv&#10;3CCUzlCo1mZeDNpZVm+Iho2QC6subAI9cng/XDtjMZ5bi7dw38482MkbLqkh9OaLtQ07gvEWluYt&#10;byMrf7+Bgo6D9eFqLdqY3kJBoTbzDtv/YGO49swXUNYghv+OMhEB1K05oXharrYF8DKAwvhOk8Gr&#10;4erTbng/6A1T6Awyy/iSSjoDnSZH8qYutnXT6BSSYr/71Ah0JNDXbs2vD8sI1piix7j+zOaYfQJd&#10;Vp+tut8yfepfKY6T6GOczrbL9WqWbJPFLF1F61mE04/pMkrS5HH7t85knGRVXRSUPdWMDj0zTqb1&#10;pH33brtd0zXrtZIuoP4bXl6SkfldIyn4gRUmaStKis/9WJG6seNw7LERGWgPVyOEaV11t6oPDjLb&#10;8eIVOlfB7XkBzjcwqLj4GqATnBU2gfzzQAQNUPMzg+43hSyFdFbmJlmsdL0S7pud+4awHExtAhXA&#10;vqWHn5Q9kBw6Ue8rmAkbLRj/ETrmstadrfHPetXfwHnAMOjPLvrA4d4b1NsJ6+Ef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FrWEnh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7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5C9B2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97ygMAAPYKAAAOAAAAZHJzL2Uyb0RvYy54bWysVlGPozYQfq/U/2D5sVIWnJAQomVPvdum&#10;qrTtnXR7P8ABE1ABU9sJ2Vb9750xOOfshW5UlQds44/PM9+M7bl/d2pqchRKV7JNKbsLKRFtJvOq&#10;3af0y/N2tqZEG97mvJatSOmL0PTdw/ff3ffdRsxlKetcKAIkrd70XUpLY7pNEOisFA3Xd7ITLUwW&#10;UjXcwFDtg1zxHtibOpiH4Sropco7JTOhNXx9HCbpg+UvCpGZj0WhhSF1SsE2Y9/Kvnf4Dh7u+Wav&#10;eFdW2WgG/w9WNLxqYdEz1SM3nBxU9Q1VU2VKalmYu0w2gSyKKhPWB/CGha+8+VzyTlhfQBzdnWXS&#10;/x9t9tvxkyJVntKYkpY3EKKtEgIFJyxBefpObwD1ufuk0EHdPcnsdw0TwcUMDjRgyK7/VeZAww9G&#10;WklOhWrwT3CWnKzyL2flxcmQDD6yME6WEJ8MphhbM2YjE/CN+zk7aPOzkJaIH5+0GQKXQ8/Kno/G&#10;PwNJ0dQQwx8CspiHpCeLyIX5DGIeaJ7MSUkWcTTmwhk090CTTAsfFEfXmSIPNGHR0oOALdd5Vh6I&#10;xfF13yCOZwHWE67BpjxjFhMWJR5migfC9DYR89UOr3vGLsSOJkxivtpTTL7YbLW4LhLz9Z7MAOYL&#10;PpkCzFf8ggvyd+8ylJcuabNTO2Yt9AjHgzK0G6WTGjcIpjBsg2eGCQkUgMIUnwCDcAhe3AQGbRC8&#10;vAkMziM4vgkMGYVge2K8aTOmDaIhM25xEZPDwm9zko1eQoxvYh/9hDB68MGHMU4KrpHXF4iiBC6Q&#10;Hf7DNx03GF7XJX1K8dQhJbRwsOD3Rh7Fs7QIg1GGdLJeQcKM635F1O015HhEgWVu3rWdZRz43kLB&#10;uWHXXbtlHYlrB7LFwHYbyh3WjsK1IxUqAfH7dxRs1Vd6OBbXjmzf6Obms1pqMYQQ42H3zjkwGE/v&#10;CtGyrvJtVdcYEK32uw+1IkcORcLWPmNILmC13YatxN+GZYYvcIeNscfbzF76fyVsHoXv58lsu1rH&#10;s2gbLWdJHK5nIUveJ6swSqLH7d+YFyzalFWei/apaoUrQFh02wU/lkJD6WBLEMy8ZDlf2pS7sP7C&#10;ydA+15xU8tDmNqdLwfOfxr7hVT30g0uLrcjgtmutELYwwFpgKB52Mn+BukDJofiCYhE6pVR/UtJD&#10;4ZVS/ceBK0FJ/UsLlU3CIkwYYwfRMsZ4K39m58/wNgOqlBoKJyl2P5ihujt0qtqXsBKzWrTyR6hH&#10;igrrBmvfYNU4gOLKejAWgli9+WOL+lquPvwDAAD//wMAUEsDBBQABgAIAAAAIQCGXnf93gAAAAsB&#10;AAAPAAAAZHJzL2Rvd25yZXYueG1sTE9BTsMwELwj8QdrkbhUrZ2qlCjEqRCCC+JCQFTc3NgkUe11&#10;FG/b8Hu2J3qb2RnNzpSbKXhxdGPqI2rIFgqEwybaHlsNnx8v8xxEIoPW+IhOw69LsKmur0pT2HjC&#10;d3esqRUcgqkwGjqioZAyNZ0LJi3i4JC1nzgGQ0zHVtrRnDg8eLlUai2D6ZE/dGZwT51r9vUhaKD7&#10;OKtz/4r4NbuL2+c3u/8mq/XtzfT4AILcRP9mONfn6lBxp108oE3CM88y3kIMVtkKxNmxzPmyY7BW&#10;CmRVyssN1R8AAAD//wMAUEsBAi0AFAAGAAgAAAAhALaDOJL+AAAA4QEAABMAAAAAAAAAAAAAAAAA&#10;AAAAAFtDb250ZW50X1R5cGVzXS54bWxQSwECLQAUAAYACAAAACEAOP0h/9YAAACUAQAACwAAAAAA&#10;AAAAAAAAAAAvAQAAX3JlbHMvLnJlbHNQSwECLQAUAAYACAAAACEA2Nd/e8oDAAD2CgAADgAAAAAA&#10;AAAAAAAAAAAuAgAAZHJzL2Uyb0RvYy54bWxQSwECLQAUAAYACAAAACEAhl53/d4AAAALAQAADwAA&#10;AAAAAAAAAAAAAAAkBgAAZHJzL2Rvd25yZXYueG1sUEsFBgAAAAAEAAQA8wAAAC8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6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4B93B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HX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ppHqKMtDNFGMKYNR3ip7Tn2cgWor/2j0AJl/8DzPyTq+OeiVo+87hSEgzUy&#10;voDqGwkvoe3xN14AL90rbjw6laLVVKAencxQPJ+Hgp0UyuEhxstFOotQDl14Nl9CW3+BrtzL+V6q&#10;Xxg3RPTwINUwkgW0zDgUVs0TjHrZNjCoP8WgaImOaLpI7bifQdgHJQRVKM3MF2FEzyDig2bpdaap&#10;B5pn14lSD0OmASIQf447uc4DQ3aGkCW+HtDCA6XT60SwSM9E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B38kde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5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692E2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dnjAMAAK0JAAAOAAAAZHJzL2Uyb0RvYy54bWysVlFv0zAQfkfiP1h+ROoSp2m7VMsmtlGE&#10;NGDSxg9wE6eJSOxgu00H4r9z5yRdOlqoEH1o7PjL57vvzne+uNpWJdkIbQolY8rOfEqETFRayFVM&#10;vzwuRueUGMtlykslRUyfhKFXl69fXTT1XAQqV2UqNAESaeZNHdPc2nrueSbJRcXNmaqFhMVM6Ypb&#10;mOqVl2reAHtVeoHvT71G6bTWKhHGwNvbdpFeOv4sE4n9nGVGWFLGFGyz7l+7/yX+e5cXfL7SvM6L&#10;pDOD/4MVFS8kbLqjuuWWk7UufqOqikQrozJ7lqjKU1lWJML5AN4w/4U3DzmvhfMFxDH1Tibz/2iT&#10;T5t7TYo0phNKJK8gRAstBApO2AzlaWozB9RDfa/RQVPfqeSrgQVvbwUnBjBk2XxUKdDwtVVOkm2m&#10;K/wSnCVbp/zTTnmxtSSBl9PZmEF4Elhh7JzBGDfg8/7bZG3se6EcD9/cGdvGLYWRUz3tbH8Ekqwq&#10;IYRvPBLNSEMCNu6CvMOwASaIApKT8Sx8CQqGIDY+zDQego4xhUPQMSZQf2c3WHPYpukA5B+2aDaA&#10;HOWBM7nb7AhPtAc5qBAGbEdzVOuh2P5ht9hQ66NER7WGNFn1icDzPjeSreySA0aEYznyXTrWymAa&#10;YqZAtj2yLtMAhZl0BAwWItilEuz3ZzAEHMGTk5ghpgh2R+2vzBA4BEcnMWN8EM1OcxGj4OB7TrYm&#10;dUpqKKcvC6mmBArpsj0+NbcYABQSh6SJKZ4/kscUjxi+r9RGPCqHsBiHCDIWtoVz2Dn1DCjlEOiI&#10;9pD9ev+sHWGP6840ONCv988W16pzGqovRz1D/2yZOhdOAj372XMkpTKirXaomSt7Ox1R/kHpM6os&#10;0kVRlqif0avlTanJhkNvW7hfJ+EerHR5LRV+1m7TvoHS24UKi7DrVT8iFoT+dRCNFtPz2ShchJNR&#10;NPPPRz6LrqOpH0bh7eInhpGF87xIUyHvCin6vsnC0/pS18Hbjuc6JyZKNAkmLkP2rN9z0ne/Q05q&#10;tZap6wm54Om7bmx5UbZjb99iJzK43T+dEK6fYQtre95SpU/QzrRq7wxwx4FBrvR3Shq4L8TUfFtz&#10;LSgpP0hoyBELQ0gp6ybhZBbARA9XlsMVLhOgiqmlUJpweGPbS8m61sUqh52Y00Kqt9BGswL7nbOv&#10;taqbwJ3AedDdX/DSMZw71PMt6/IXAAAA//8DAFBLAwQUAAYACAAAACEAf0BdlN4AAAAJAQAADwAA&#10;AGRycy9kb3ducmV2LnhtbEyPy07DMBBF90j8gzVI7KgdEpU2xKkqELCr1JYNOzee2hF+RLHbpn/P&#10;sILl3Dm6c6ZZTd6xM46pj0FCMRPAMHRR98FI+Ny/PSyApayCVi4GlHDFBKv29qZRtY6XsMXzLhtG&#10;JSHVSoLNeag5T51Fr9IsDhhod4yjV5nG0XA9qguVe8cfhZhzr/pAF6wa8MVi9707eQmvm2vVlZsv&#10;bU1xdO79wyz3xVrK+7tp/Qws45T/YPjVJ3VoyekQT0En5iQsyoJIyquiAkbAsnwCdqBgLgTwtuH/&#10;P2h/AAAA//8DAFBLAQItABQABgAIAAAAIQC2gziS/gAAAOEBAAATAAAAAAAAAAAAAAAAAAAAAABb&#10;Q29udGVudF9UeXBlc10ueG1sUEsBAi0AFAAGAAgAAAAhADj9If/WAAAAlAEAAAsAAAAAAAAAAAAA&#10;AAAALwEAAF9yZWxzLy5yZWxzUEsBAi0AFAAGAAgAAAAhANAcR2eMAwAArQkAAA4AAAAAAAAAAAAA&#10;AAAALgIAAGRycy9lMm9Eb2MueG1sUEsBAi0AFAAGAAgAAAAhAH9AXZTeAAAACQEAAA8AAAAAAAAA&#10;AAAAAAAA5gUAAGRycy9kb3ducmV2LnhtbFBLBQYAAAAABAAEAPMAAADxBgAAAAA=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4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AC028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xOWgQAAKkNAAAOAAAAZHJzL2Uyb0RvYy54bWysV9tu4zYQfS/QfyD0WMCRKMsXGXEW3c26&#10;KJC2ATb9AFqiLKGSqJK0nWzRf+8MKTpU1mqEon6wLjwazjmcGQ5vPzw3NTlxqSrRbgN6EwWEt5nI&#10;q/awDX5/2s3WAVGatTmrRcu3wQtXwYe777+7PXcbHotS1DmXBIy0anPutkGpdbcJQ5WVvGHqRnS8&#10;hcFCyIZpeJSHMJfsDNabOoyjaBmehcw7KTKuFLy9t4PBnbFfFDzTvxWF4prU2wB80+Zfmv89/od3&#10;t2xzkKwrq6x3g/0HLxpWtTDpxdQ904wcZfWNqabKpFCi0DeZaEJRFFXGDQdgQ6M3bL6UrOOGC4ij&#10;uotM6v8zm/16epSkyrdBEpCWNbBEO8k5Ck7oEuU5d2oDqC/do0SCqnsQ2R+KtOJzXulHUbUa3KGI&#10;DAdQfFDwEdmffxE52GVHLYxGz4Vs0BSwJ89mKV4uS8GfNcngJY3n63gRkAyGKF1TapYqZBv3cXZU&#10;+icujCF2elDarmQOd2Yd8p7NE6x60dSwqD+EhKZLcibz1K37BUR9EF2SksxXSR8cF1DsgxaL65bm&#10;Hiiej1gCrS8+IeiqT8B+ALrq09IDjbJb+aAxdpCol+lovL7uU+qB5lF6XSdYK89UFF83RX3NQe0R&#10;W77o0YglX/NxS77oNJmP2PJVj0Z88kWPk3TEkq/6mCVfdAjLEUsD1ceUin3V4/Xquq14kuqxr3q8&#10;HNEqHug+Fg3xQPexwMJcv4TfILIg5w8uq1npEj17bvtMhzvCcLeJTHHphMKigmkPpePJFia2ARSW&#10;hREw0EXw3FSx98DAB8GLSWAIFQSvJoEhGhCcTgJjliEa8ghr73te054jnUaS9izpNJqwVVhnphGl&#10;PVM6jSqGNlKF4J1CFaPXwKdRxQA18AFVK2gfYxL6iLcdhAwIdBB79IhtOqYxNN0tOW8D3GVICVfY&#10;SPB9I078SRiExgiFam3mpXabhfleEXU7QC4gOcBD2Cl6/m7cXTtjEcen4L6d2dnJaqG4IfTqi7UN&#10;O4KxDanZ+/CKcF/3yMjK32+gwMuNu6vF2TV9DwWF2szrtn9nw1175gmUSFDo31FmRQD13pxQPC1X&#10;2wKMMoDC+EYT55W7jmnnxp3eMAVGkEnjSyjBS7/JUaKu8l1V1xhCSh72n2pJTgz62p359csygNWm&#10;6LUCP7OZY99Al9VHK/Zbpk/9K6VxEn2M09luuV7Nkl2ymKWraD2LaPoxXUZJmtzv/sZIpsmmrPKc&#10;tw9Vy13PTJNpPWnfvdtu13TNmCvpAuq/4TVKMjK/aySlOLa5CdqSs/xzf69ZVdv7cOixERlou6sR&#10;wrSu2K3afncv8hfoXKWw5wU438BNKeTXgJzhrLAN1J9HJnlA6p9b6H5TmiQQzto8JIsV1ivpj+z9&#10;EdZmYGob6AD2Lbz9pO2B5NjJ6lDCTNRo0YofoWMuKuxsjX/Wq/4BzgOGQX92wQOH/2xQryesu38A&#10;AAD//wMAUEsDBBQABgAIAAAAIQAv4opl3wAAAAkBAAAPAAAAZHJzL2Rvd25yZXYueG1sTI9BT8Mw&#10;DIXvSPyHyEhcJpZsTNUoTSdUCRDaYaJw2S1rTFvROFWTbeHf453gZr/39Py52CQ3iBNOofekYTFX&#10;IJAab3tqNXx+PN+tQYRoyJrBE2r4wQCb8vqqMLn1Z3rHUx1bwSUUcqOhi3HMpQxNh86EuR+R2Pvy&#10;kzOR16mVdjJnLneDXCqVSWd64gudGbHqsPmuj05Dug+zWO+Xu9fqrUr72cuE23Gr9e1NenoEETHF&#10;vzBc8BkdSmY6+CPZIAYN2WLFSdZXl4EDa/UA4sBCphTIspD/Pyh/AQAA//8DAFBLAQItABQABgAI&#10;AAAAIQC2gziS/gAAAOEBAAATAAAAAAAAAAAAAAAAAAAAAABbQ29udGVudF9UeXBlc10ueG1sUEsB&#10;Ai0AFAAGAAgAAAAhADj9If/WAAAAlAEAAAsAAAAAAAAAAAAAAAAALwEAAF9yZWxzLy5yZWxzUEsB&#10;Ai0AFAAGAAgAAAAhAJYYjE5aBAAAqQ0AAA4AAAAAAAAAAAAAAAAALgIAAGRycy9lMm9Eb2MueG1s&#10;UEsBAi0AFAAGAAgAAAAhAC/iimXfAAAACQEAAA8AAAAAAAAAAAAAAAAAtAYAAGRycy9kb3ducmV2&#10;LnhtbFBLBQYAAAAABAAEAPMAAADA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3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407CA3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ww6gMAACoMAAAOAAAAZHJzL2Uyb0RvYy54bWysVtGOqzYQfa/Uf7D8WCkLZklY0Gaveu82&#10;VaVte6W7/QAHTEAFTG0nZFv13ztjIOuk4QZVzQOY+Ph45syMPY8fjnVFDkLpUjZryu58SkSTyqxs&#10;dmv62+tm8UCJNrzJeCUbsaZvQtMPT99+89i1iQhkIatMKAIkjU66dk0LY9rE83RaiJrrO9mKBiZz&#10;qWpu4FPtvEzxDtjrygt8f+V1UmWtkqnQGv597ifpk+XPc5GaX/NcC0OqNQXbjH0q+9zi03t65MlO&#10;8bYo08EM/h+sqHnZwKYnqmduONmr8l9UdZkqqWVu7lJZezLPy1RYH8Ab5l9486XgrbC+gDi6Pcmk&#10;/z/a9JfDZ0XKbE3vKWl4DSHaKCFQcMKWKE/X6gRQX9rPCh3U7YtMf9cw4Z3N4IcGDNl2P8sMaPje&#10;SCvJMVc1rgRnydEq/3ZSXhwNSeFPxh6icElJClMwZsxGxuPJuDjda/OjkJaIH1606QOXwcjKng3G&#10;v0KQ87qCGH7nEZ905D66H4J8grAzSAGQ8BISOJA4uk4Dgjk7XaUJHUgQra7zgNsnniCIyVWmlQua&#10;YoockH+dB8rxtBlIc92i2AFN8ECAZhAxV2qQ+bpNzFV7Uibm6j3N5Uo+FTlI7HfjWbiaMMvVfJLK&#10;1XzaKlf2qax0VZ9kClzdJ5gCV3UnflBOu7FgeDHWUHpshiKCEeF4bvu2blupsV6xoqAqXxnWCFAA&#10;CituAgyhRLCtuZtgiBWC7TFzEwzRQHA0ywzQG8HxLDDmMqIhW+e4iOlq4fOcZIOX/Wl60002+Mnm&#10;OcoGT9k8VzF90HZIEcfV3qghCxTcmZe3paIEbsstruFJyw0mzzgkHdwdcMiSAt+hTZ1aHsSrtAhz&#10;cebDXu+zVeOiYqglMG48+sfJ8d1aKjgfLApOysGFcX58n+O+zmYNv7nniEL3etnGvcb3+Z63cIOj&#10;cPJ8lW6A3WLrQzoPdalGWkktepcwrLbAT/HFtHCuXS2rMtuUVYVx1Wq3/VQpcuDQWG3sb/DlDFbZ&#10;s6KRuGxUDpfDvT+kEHYAtlH6K2ZB6H8M4sVm9RAtwk24XMSR/7DwWfwxXvlhHD5v/sb0YmFSlFkm&#10;mpeyEWPTxsJ5TdHQPvbtlm3bMIHjZbC0mXtm/ZmTvv1dc1LJfZOBdzwpBM9+GMaGl1U/9s4ttiKD&#10;2+PbCmGbKeyf+oZrK7M36KWU7BtWaLBhUEj1JyUdNKtrqv/YcyUoqX5qoBuMWRhCGhj7ES4jLHPl&#10;zmzdGd6kQLWmhsJxj8NPpu+I960qdwXsxKwWjfweeri8xF7L2tdbNXxAQ2o9GJpn7Hjdb4t6b/Gf&#10;/gEAAP//AwBQSwMEFAAGAAgAAAAhAAPJqjPfAAAACQEAAA8AAABkcnMvZG93bnJldi54bWxMj8FO&#10;wzAMhu9IvENkJC6IJa2yCkrTCU1iBw5IjIHELWtMW9E4pcm28vaYExz9+9Pvz9Vq9oM44hT7QAay&#10;hQKB1ATXU2tg9/JwfQMiJkvODoHQwDdGWNXnZ5UtXTjRMx63qRVcQrG0BrqUxlLK2HTobVyEEYl3&#10;H2HyNvE4tdJN9sTlfpC5UoX0tie+0NkR1x02n9uDN7Apsvc3vSseN6N8Wut4lX3l9GrM5cV8fwci&#10;4Zz+YPjVZ3Wo2WkfDuSiGAxotWSSc51pEAwsb3MQew4KpUDWlfz/Qf0DAAD//wMAUEsBAi0AFAAG&#10;AAgAAAAhALaDOJL+AAAA4QEAABMAAAAAAAAAAAAAAAAAAAAAAFtDb250ZW50X1R5cGVzXS54bWxQ&#10;SwECLQAUAAYACAAAACEAOP0h/9YAAACUAQAACwAAAAAAAAAAAAAAAAAvAQAAX3JlbHMvLnJlbHNQ&#10;SwECLQAUAAYACAAAACEAE6O8MOoDAAAqDAAADgAAAAAAAAAAAAAAAAAuAgAAZHJzL2Uyb0RvYy54&#10;bWxQSwECLQAUAAYACAAAACEAA8mqM98AAAAJAQAADwAAAAAAAAAAAAAAAABEBgAAZHJzL2Rvd25y&#10;ZXYueG1sUEsFBgAAAAAEAAQA8wAAAFAHAAAAAA=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24AD2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kTUgQAAKkNAAAOAAAAZHJzL2Uyb0RvYy54bWysV12PozYUfa/U/2DxWCkDJuSDaDKr7s6m&#10;qjRtR9rpD3DABFTA1HY+Zqv+995rQ8aZjRtUNQ8BwsnxPcfX19f3H05NTQ5cqkq064DeRQHhbSby&#10;qt2tg99fNpNlQJRmbc5q0fJ18MpV8OHh++/uj92Kx6IUdc4lAZJWrY7dOii17lZhqLKSN0zdiY63&#10;8LIQsmEaHuUuzCU7AntTh3EUzcOjkHknRcaVgl8f7cvgwfAXBc/0b0WhuCb1OoDYtPmW5nuL3+HD&#10;PVvtJOvKKuvDYP8hioZVLQx6pnpkmpG9rL6haqpMCiUKfZeJJhRFUWXcaAA1NHqn5kvJOm60gDmq&#10;O9uk/j/a7NfDsyRVvg7igLSsgSnaSM7RcEITtOfYqRWgvnTPEgWq7klkfyjSis95pZ9F1WoIhyIy&#10;vIDig4I/ke3xF5EDL9trYTw6FbJBKlBPTmYqXs9TwU+aZPAjjafLeBaQDF5RuqTUTFXIVsOfs73S&#10;P3FhiNjhSWk7kzncmXnIezUvMOtFU8Ok/hASmi7IkUxTEy5M1hlEXRCdk5JMF0a9CwKH3phm8+tM&#10;UwcUTz1MyQXIExOoPw/nZZo7IK+6hQvyqYOFeh6Oxsvr6lIHNI3S6z7BXDlUUXKdirqeg9seLtf0&#10;yMPkeu5nck2nydTD5boeeWJyTY9n1MPkuu5jck2HtPQwXbjucyp2XY+XnqSKR7keu67Hc49X8YXv&#10;vmyIL3z3JRau9XP6XWQWrPndsKpZOSz07NT2Kx3uCMPdJjLFpRMKiwoueygdL7YwsRWgsCx4wCAX&#10;wVNTxW6BQQ+CZ6PAkCoIXowCQzYgOB0FxlWGaFhHWHtvRU17jXScSKj9ln2cTNrrpOOE0l4pHScV&#10;UxulQvKOkYrZa+DjpGKCGviFVGton2MS+oj3HYQMCHQQW4yIrTqmMTWHW3JcB7jLkBKusJHg7404&#10;8BdhEBozFKq1GZeCd1bVG6JuL5Az6y5sAj1yeD9cO8MYTy3jLdy3Iw88WS0UN4LeYrHcsCOYaGFp&#10;3oo2sn72Gyj4OLAPV8to5/QWCgq1GXfY/geO4dorn4HXMIf/jjIzAqhbY0LxtFptC+BVAIXxnSdD&#10;VMPV593wfvAbhsAMMsv4nEqYgU6To0Rd5ZuqrjGFlNxtP9WSHBj0tRvz6aflAlabotcK/JvNMfsL&#10;dFl9tmK/ZfrUv1IaJ9HHOJ1s5svFJNkks0m6iJaTiKYf03mUpMnj5m/MZJqsyirPeftUtXzomWky&#10;riftu3fb7ZquGddKOoP6b3R5RUbmc02kFPs2N0lbcpZ/7u81q2p7H15GbEwG2cPVGGFaV+xWbb+7&#10;FfkrdK5S2PMCnG/gphTya0COcFZYB+rPPZM8IPXPLXS/KU0SSGdtHpLZAuuVdN9s3TeszYBqHegA&#10;9i28/aTtgWTfyWpXwkjUeNGKH6FjLirsbE18Nqr+Ac4DRkF/dsEDh/tsUG8nrId/AAAA//8DAFBL&#10;AwQUAAYACAAAACEAL6eOLN8AAAAJAQAADwAAAGRycy9kb3ducmV2LnhtbEyPQUvEMBCF74L/IYzg&#10;Rdyku2WptelSxIW9CG5V8JhtYltMJqXJ7sZ/73haT48383jzTbVJzrKTmcPoUUK2EMAMdl6P2Et4&#10;f9veF8BCVKiV9Wgk/JgAm/r6qlKl9mfcm1Mbe0YlGEolYYhxKjkP3WCcCgs/GaTdl5+dimTnnutZ&#10;nancWb4UYs2dGpEuDGoyT4Ppvtujk3Bnt7vV8mM3Pmcv7WdqcJ83r0nK25vUPAKLJsVLGP7wCR1q&#10;Yjr4I+rALPnigZKkeZYDo8CqID3QYC0E8Lri/z+ofwEAAP//AwBQSwECLQAUAAYACAAAACEAtoM4&#10;kv4AAADhAQAAEwAAAAAAAAAAAAAAAAAAAAAAW0NvbnRlbnRfVHlwZXNdLnhtbFBLAQItABQABgAI&#10;AAAAIQA4/SH/1gAAAJQBAAALAAAAAAAAAAAAAAAAAC8BAABfcmVscy8ucmVsc1BLAQItABQABgAI&#10;AAAAIQAEQIkTUgQAAKkNAAAOAAAAAAAAAAAAAAAAAC4CAABkcnMvZTJvRG9jLnhtbFBLAQItABQA&#10;BgAIAAAAIQAvp44s3wAAAAkBAAAPAAAAAAAAAAAAAAAAAKwGAABkcnMvZG93bnJldi54bWxQSwUG&#10;AAAAAAQABADzAAAAuAcAAAAA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BF"/>
    <w:rsid w:val="00043BF4"/>
    <w:rsid w:val="000843A5"/>
    <w:rsid w:val="000B6F63"/>
    <w:rsid w:val="000F5B28"/>
    <w:rsid w:val="00106336"/>
    <w:rsid w:val="00127216"/>
    <w:rsid w:val="001404AB"/>
    <w:rsid w:val="001658A9"/>
    <w:rsid w:val="0017231D"/>
    <w:rsid w:val="00175ABA"/>
    <w:rsid w:val="001810DC"/>
    <w:rsid w:val="001A59BF"/>
    <w:rsid w:val="001B607F"/>
    <w:rsid w:val="001D2496"/>
    <w:rsid w:val="001D369A"/>
    <w:rsid w:val="001D729E"/>
    <w:rsid w:val="001F6C45"/>
    <w:rsid w:val="002070FB"/>
    <w:rsid w:val="00213729"/>
    <w:rsid w:val="002254DF"/>
    <w:rsid w:val="002406FA"/>
    <w:rsid w:val="00266B76"/>
    <w:rsid w:val="00297371"/>
    <w:rsid w:val="002B2E47"/>
    <w:rsid w:val="002D6A6C"/>
    <w:rsid w:val="002F76D6"/>
    <w:rsid w:val="003074EB"/>
    <w:rsid w:val="003301A3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5244"/>
    <w:rsid w:val="00411D97"/>
    <w:rsid w:val="004436EE"/>
    <w:rsid w:val="0045547F"/>
    <w:rsid w:val="00461AA0"/>
    <w:rsid w:val="004920AD"/>
    <w:rsid w:val="004A33A8"/>
    <w:rsid w:val="004D05B3"/>
    <w:rsid w:val="004E479E"/>
    <w:rsid w:val="004F78E6"/>
    <w:rsid w:val="00512D99"/>
    <w:rsid w:val="00531DBB"/>
    <w:rsid w:val="005320B3"/>
    <w:rsid w:val="00544B6D"/>
    <w:rsid w:val="00553DAA"/>
    <w:rsid w:val="005620F0"/>
    <w:rsid w:val="005646B3"/>
    <w:rsid w:val="00576430"/>
    <w:rsid w:val="005D4E42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C09DD"/>
    <w:rsid w:val="006E024F"/>
    <w:rsid w:val="006E4E81"/>
    <w:rsid w:val="00707F7D"/>
    <w:rsid w:val="00717EC5"/>
    <w:rsid w:val="00737B80"/>
    <w:rsid w:val="0075388B"/>
    <w:rsid w:val="00784F3E"/>
    <w:rsid w:val="007A0785"/>
    <w:rsid w:val="007A57F2"/>
    <w:rsid w:val="007B1333"/>
    <w:rsid w:val="007E23A3"/>
    <w:rsid w:val="007F4AEB"/>
    <w:rsid w:val="007F75B2"/>
    <w:rsid w:val="008043C4"/>
    <w:rsid w:val="00815588"/>
    <w:rsid w:val="00830309"/>
    <w:rsid w:val="00831B1B"/>
    <w:rsid w:val="00851591"/>
    <w:rsid w:val="00861D0E"/>
    <w:rsid w:val="00867569"/>
    <w:rsid w:val="008A18A9"/>
    <w:rsid w:val="008A750A"/>
    <w:rsid w:val="008C384C"/>
    <w:rsid w:val="008D0F11"/>
    <w:rsid w:val="008F73B4"/>
    <w:rsid w:val="0090741A"/>
    <w:rsid w:val="00931A52"/>
    <w:rsid w:val="009B55B1"/>
    <w:rsid w:val="009C72BF"/>
    <w:rsid w:val="00A10459"/>
    <w:rsid w:val="00A40082"/>
    <w:rsid w:val="00A4343D"/>
    <w:rsid w:val="00A502F1"/>
    <w:rsid w:val="00A56C80"/>
    <w:rsid w:val="00A70A83"/>
    <w:rsid w:val="00A81EB3"/>
    <w:rsid w:val="00AA1ADA"/>
    <w:rsid w:val="00AC536A"/>
    <w:rsid w:val="00B00C1D"/>
    <w:rsid w:val="00B1532E"/>
    <w:rsid w:val="00B33194"/>
    <w:rsid w:val="00BA439F"/>
    <w:rsid w:val="00BA6370"/>
    <w:rsid w:val="00BC748B"/>
    <w:rsid w:val="00BE60C0"/>
    <w:rsid w:val="00C12AEF"/>
    <w:rsid w:val="00C269D4"/>
    <w:rsid w:val="00C4160D"/>
    <w:rsid w:val="00C47206"/>
    <w:rsid w:val="00C8406E"/>
    <w:rsid w:val="00CB2709"/>
    <w:rsid w:val="00CB6F89"/>
    <w:rsid w:val="00CD64AC"/>
    <w:rsid w:val="00CE228C"/>
    <w:rsid w:val="00CF545B"/>
    <w:rsid w:val="00CF6F2B"/>
    <w:rsid w:val="00D27D69"/>
    <w:rsid w:val="00D448C2"/>
    <w:rsid w:val="00D666C3"/>
    <w:rsid w:val="00DD1EAE"/>
    <w:rsid w:val="00DE5AE7"/>
    <w:rsid w:val="00DF47FE"/>
    <w:rsid w:val="00E26704"/>
    <w:rsid w:val="00E31980"/>
    <w:rsid w:val="00E42E00"/>
    <w:rsid w:val="00E6423C"/>
    <w:rsid w:val="00E93830"/>
    <w:rsid w:val="00E93E0E"/>
    <w:rsid w:val="00EA7B94"/>
    <w:rsid w:val="00EB1ED3"/>
    <w:rsid w:val="00EB4B5C"/>
    <w:rsid w:val="00EC2D51"/>
    <w:rsid w:val="00ED7B69"/>
    <w:rsid w:val="00F13564"/>
    <w:rsid w:val="00F26395"/>
    <w:rsid w:val="00F32DA4"/>
    <w:rsid w:val="00FB0C08"/>
    <w:rsid w:val="00FB687C"/>
    <w:rsid w:val="00FD714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7536DBA"/>
  <w15:docId w15:val="{B67000B1-72A8-4D6E-863F-FF2FA2D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Anal&#253;z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0EB0-C0F1-4D9E-94BB-AEA04FB1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CZ_2019-01-25.dot</Template>
  <TotalTime>43</TotalTime>
  <Pages>9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lapackova4645</dc:creator>
  <cp:keywords/>
  <cp:lastModifiedBy>lapackova4645</cp:lastModifiedBy>
  <cp:revision>7</cp:revision>
  <cp:lastPrinted>2019-02-13T07:51:00Z</cp:lastPrinted>
  <dcterms:created xsi:type="dcterms:W3CDTF">2019-02-13T07:51:00Z</dcterms:created>
  <dcterms:modified xsi:type="dcterms:W3CDTF">2019-02-14T14:44:00Z</dcterms:modified>
</cp:coreProperties>
</file>