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113C5" w14:textId="77777777" w:rsidR="00700E8A" w:rsidRDefault="00700E8A" w:rsidP="00700E8A">
      <w:pPr>
        <w:spacing w:after="0" w:line="240" w:lineRule="auto"/>
        <w:jc w:val="left"/>
        <w:rPr>
          <w:b/>
          <w:sz w:val="2"/>
          <w:szCs w:val="2"/>
          <w:highlight w:val="yellow"/>
        </w:rPr>
      </w:pPr>
      <w:bookmarkStart w:id="0" w:name="_Toc58605374"/>
      <w:bookmarkStart w:id="1" w:name="_Toc66719930"/>
      <w:bookmarkStart w:id="2" w:name="_Toc532558287"/>
      <w:bookmarkStart w:id="3" w:name="_Toc58605375"/>
    </w:p>
    <w:p w14:paraId="38601C4C" w14:textId="77777777" w:rsidR="00700E8A" w:rsidRDefault="00700E8A" w:rsidP="00700E8A">
      <w:pPr>
        <w:pStyle w:val="Nadpis11"/>
      </w:pPr>
      <w:bookmarkStart w:id="4" w:name="_Toc90395911"/>
      <w:r>
        <w:t>3</w:t>
      </w:r>
      <w:r w:rsidRPr="00B43216">
        <w:t>. </w:t>
      </w:r>
      <w:r>
        <w:t>Výkonnost odvětví</w:t>
      </w:r>
      <w:bookmarkEnd w:id="4"/>
    </w:p>
    <w:tbl>
      <w:tblPr>
        <w:tblW w:w="9664" w:type="dxa"/>
        <w:tblInd w:w="-3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8"/>
        <w:gridCol w:w="206"/>
        <w:gridCol w:w="7730"/>
      </w:tblGrid>
      <w:tr w:rsidR="00700E8A" w:rsidRPr="006237E6" w14:paraId="1728D43B" w14:textId="77777777" w:rsidTr="00150ECA">
        <w:trPr>
          <w:trHeight w:val="15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5A2A5E22" w14:textId="77777777" w:rsidR="00700E8A" w:rsidRDefault="00700E8A" w:rsidP="00150ECA">
            <w:pPr>
              <w:pStyle w:val="Marginlie"/>
            </w:pPr>
            <w:r>
              <w:t>Ve 3. čtvrtletí mezikvartální růst HPH mírně zrychlil, výhradně však díky sektoru služeb.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266A25FB" w14:textId="77777777" w:rsidR="00700E8A" w:rsidRPr="003B1401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513FC9AD" w14:textId="77777777" w:rsidR="00700E8A" w:rsidRDefault="00700E8A" w:rsidP="00150ECA">
            <w:pPr>
              <w:spacing w:after="200"/>
              <w:rPr>
                <w:spacing w:val="-4"/>
              </w:rPr>
            </w:pPr>
            <w:r>
              <w:rPr>
                <w:spacing w:val="-4"/>
              </w:rPr>
              <w:t>Tuzemská ekonomika letos ve 3. čtvrtletí pokračovala v zotavování, jež bylo nastartováno již během jarního období, kdy se podstatně zlepšila epidemická situace a restriktivní opatření, svírající část ekonomiky, tak mohla být postupně odstraněna. H</w:t>
            </w:r>
            <w:r w:rsidRPr="001F719B">
              <w:rPr>
                <w:spacing w:val="-4"/>
              </w:rPr>
              <w:t>rubá přidaná hodnota (HPH)</w:t>
            </w:r>
            <w:r w:rsidRPr="001F719B">
              <w:rPr>
                <w:rStyle w:val="Znakapoznpodarou"/>
                <w:spacing w:val="-4"/>
              </w:rPr>
              <w:footnoteReference w:id="1"/>
            </w:r>
            <w:r>
              <w:rPr>
                <w:spacing w:val="-4"/>
              </w:rPr>
              <w:t xml:space="preserve"> vzrostla mezikvartálně o 1,4 % a zrychlila tak své tempo z 2. čtvrtletí (+1,0 %)</w:t>
            </w:r>
            <w:r>
              <w:rPr>
                <w:rStyle w:val="Znakapoznpodarou"/>
                <w:spacing w:val="-4"/>
              </w:rPr>
              <w:footnoteReference w:id="2"/>
            </w:r>
            <w:r>
              <w:rPr>
                <w:spacing w:val="-4"/>
              </w:rPr>
              <w:t>. K této akceleraci přispěl výhradně terciární sektor ekonomiky, speciálně pak aktivity provázané s cestovním ruchem, veřejné služby a také odvětví ostatních činností služeb (zahrnující kulturní, zábavní a rekreační činnosti, ale i osobní služby pro domácnost)</w:t>
            </w:r>
            <w:r>
              <w:rPr>
                <w:rStyle w:val="Znakapoznpodarou"/>
                <w:spacing w:val="-4"/>
              </w:rPr>
              <w:footnoteReference w:id="3"/>
            </w:r>
            <w:r>
              <w:rPr>
                <w:spacing w:val="-4"/>
              </w:rPr>
              <w:t>. Naopak svižné oživování zpracovatelského průmyslu se v důsledku eskalujících problémů se zahraničními dodávkami důležitých komponent, zejména pro výrobu automobilů, ve 3. čtvrtletí zastavilo</w:t>
            </w:r>
            <w:r>
              <w:rPr>
                <w:rStyle w:val="Znakapoznpodarou"/>
                <w:spacing w:val="-4"/>
              </w:rPr>
              <w:footnoteReference w:id="4"/>
            </w:r>
            <w:r>
              <w:rPr>
                <w:spacing w:val="-4"/>
              </w:rPr>
              <w:t>. I vlivem této skutečnosti tak HPH v celé ekonomice za svým předkrizovým maximem (ze 4. čtvrtletí 2019) stále významně zaostávala (o</w:t>
            </w:r>
            <w:r w:rsidRPr="001F719B">
              <w:rPr>
                <w:spacing w:val="-4"/>
              </w:rPr>
              <w:t> </w:t>
            </w:r>
            <w:r>
              <w:rPr>
                <w:spacing w:val="-4"/>
              </w:rPr>
              <w:t>3,1 %)</w:t>
            </w:r>
            <w:r>
              <w:rPr>
                <w:rStyle w:val="Znakapoznpodarou"/>
                <w:spacing w:val="-4"/>
              </w:rPr>
              <w:footnoteReference w:id="5"/>
            </w:r>
            <w:r>
              <w:rPr>
                <w:spacing w:val="-4"/>
              </w:rPr>
              <w:t>.</w:t>
            </w:r>
          </w:p>
        </w:tc>
      </w:tr>
      <w:tr w:rsidR="00700E8A" w:rsidRPr="006237E6" w14:paraId="34365174" w14:textId="77777777" w:rsidTr="00150ECA">
        <w:trPr>
          <w:trHeight w:val="15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1462A1DF" w14:textId="77777777" w:rsidR="00700E8A" w:rsidRDefault="00700E8A" w:rsidP="00150ECA">
            <w:pPr>
              <w:pStyle w:val="Marginlie"/>
            </w:pPr>
            <w:r>
              <w:t>Meziroční růst HPH ve zpracovatelském průmyslu se ve 3. čtvrtletí zastavil.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26E89199" w14:textId="77777777" w:rsidR="00700E8A" w:rsidRPr="003B1401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43266D27" w14:textId="18BE8AF2" w:rsidR="00700E8A" w:rsidRPr="008E14E2" w:rsidRDefault="00700E8A" w:rsidP="00150ECA">
            <w:pPr>
              <w:spacing w:after="200"/>
              <w:rPr>
                <w:spacing w:val="-5"/>
              </w:rPr>
            </w:pPr>
            <w:r w:rsidRPr="008E14E2">
              <w:rPr>
                <w:spacing w:val="-4"/>
              </w:rPr>
              <w:t>HPH s</w:t>
            </w:r>
            <w:r>
              <w:rPr>
                <w:spacing w:val="-4"/>
              </w:rPr>
              <w:t xml:space="preserve">e ve 3. čtvrtletí 2021 </w:t>
            </w:r>
            <w:r w:rsidRPr="008E14E2">
              <w:rPr>
                <w:spacing w:val="-4"/>
              </w:rPr>
              <w:t>zvýšila o</w:t>
            </w:r>
            <w:r>
              <w:rPr>
                <w:spacing w:val="-4"/>
              </w:rPr>
              <w:t> </w:t>
            </w:r>
            <w:r w:rsidRPr="008E14E2">
              <w:rPr>
                <w:spacing w:val="-4"/>
              </w:rPr>
              <w:t>2,9</w:t>
            </w:r>
            <w:r>
              <w:rPr>
                <w:spacing w:val="-4"/>
              </w:rPr>
              <w:t> %</w:t>
            </w:r>
            <w:r w:rsidRPr="008E14E2">
              <w:rPr>
                <w:spacing w:val="-4"/>
              </w:rPr>
              <w:t xml:space="preserve">, shodným </w:t>
            </w:r>
            <w:r>
              <w:rPr>
                <w:spacing w:val="-4"/>
              </w:rPr>
              <w:t>meziročním</w:t>
            </w:r>
            <w:r w:rsidRPr="008E14E2">
              <w:rPr>
                <w:spacing w:val="-4"/>
              </w:rPr>
              <w:t xml:space="preserve"> tempem rostla rovněž v úhrnu za celé období od počátku letošního roku. Z hlavních odvětví posílil za 1.</w:t>
            </w:r>
            <w:r>
              <w:rPr>
                <w:spacing w:val="-4"/>
              </w:rPr>
              <w:t> až</w:t>
            </w:r>
            <w:r w:rsidRPr="008E14E2">
              <w:rPr>
                <w:spacing w:val="-4"/>
              </w:rPr>
              <w:t xml:space="preserve"> 3. čtvrtletí nejvíce výkon ve zpracovatelském průmyslu (o</w:t>
            </w:r>
            <w:r>
              <w:rPr>
                <w:spacing w:val="-4"/>
              </w:rPr>
              <w:t> </w:t>
            </w:r>
            <w:r w:rsidRPr="008E14E2">
              <w:rPr>
                <w:spacing w:val="-4"/>
              </w:rPr>
              <w:t>7,3</w:t>
            </w:r>
            <w:r>
              <w:rPr>
                <w:spacing w:val="-4"/>
              </w:rPr>
              <w:t> %</w:t>
            </w:r>
            <w:r w:rsidRPr="008E14E2">
              <w:rPr>
                <w:spacing w:val="-4"/>
              </w:rPr>
              <w:t xml:space="preserve">), zčásti však vlivem nízké loňské základny (dubnové přerušení výroby ve významných podnicích automobilového </w:t>
            </w:r>
            <w:r w:rsidRPr="00DC4AC4">
              <w:rPr>
                <w:spacing w:val="-6"/>
              </w:rPr>
              <w:t>průmyslu)</w:t>
            </w:r>
            <w:r w:rsidRPr="00DC4AC4">
              <w:rPr>
                <w:rStyle w:val="Znakapoznpodarou"/>
                <w:spacing w:val="-6"/>
              </w:rPr>
              <w:footnoteReference w:id="6"/>
            </w:r>
            <w:r w:rsidRPr="00DC4AC4">
              <w:rPr>
                <w:spacing w:val="-6"/>
              </w:rPr>
              <w:t>. V </w:t>
            </w:r>
            <w:r w:rsidR="00DC4AC4" w:rsidRPr="00DC4AC4">
              <w:rPr>
                <w:spacing w:val="-6"/>
              </w:rPr>
              <w:t>samotném</w:t>
            </w:r>
            <w:r w:rsidRPr="00DC4AC4">
              <w:rPr>
                <w:spacing w:val="-6"/>
              </w:rPr>
              <w:t xml:space="preserve"> 3. čtvrtletí 2021 ale výkon zpracovatelského průmyslu jen stagnoval.</w:t>
            </w:r>
          </w:p>
        </w:tc>
      </w:tr>
      <w:tr w:rsidR="00700E8A" w:rsidRPr="006237E6" w14:paraId="641DB336" w14:textId="77777777" w:rsidTr="00150ECA">
        <w:trPr>
          <w:trHeight w:val="15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22DF9247" w14:textId="77777777" w:rsidR="00700E8A" w:rsidRDefault="00700E8A" w:rsidP="00150ECA">
            <w:pPr>
              <w:pStyle w:val="Marginlie"/>
            </w:pPr>
            <w:r>
              <w:t>V rámci služeb vzrostla za tři čtvrtletí HPH meziročně nejvíce ve finančnictví a ICT, k růstu celé ekonomiky ale přispěly nejvíce veřejné služby.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75FB7E0A" w14:textId="77777777" w:rsidR="00700E8A" w:rsidRPr="003B1401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4C1F3414" w14:textId="3E28419B" w:rsidR="00700E8A" w:rsidRDefault="00700E8A" w:rsidP="00150ECA">
            <w:pPr>
              <w:spacing w:after="200"/>
              <w:rPr>
                <w:spacing w:val="-4"/>
              </w:rPr>
            </w:pPr>
            <w:r>
              <w:rPr>
                <w:spacing w:val="-4"/>
              </w:rPr>
              <w:t>V rámci služeb se za tři čtvrtletí zvýšila HPH meziročně nejvíce v peněžnictví a pojišťovnictví (+7,0 %) a ve výrazně vytíženém odvětví informačních a komunikačních činností (+4,5 %), kde počet odpracovaných hodin narostl o 5,3 % (nejvíce z hlavních odvětví). S vyššími nároky se musela vypořádat i </w:t>
            </w:r>
            <w:r w:rsidRPr="00EA5873">
              <w:rPr>
                <w:spacing w:val="-5"/>
              </w:rPr>
              <w:t>odvětví se silnou rolí veřejného sektoru</w:t>
            </w:r>
            <w:r w:rsidRPr="00EA5873">
              <w:rPr>
                <w:rStyle w:val="Znakapoznpodarou"/>
                <w:spacing w:val="-5"/>
              </w:rPr>
              <w:footnoteReference w:id="7"/>
            </w:r>
            <w:r>
              <w:rPr>
                <w:spacing w:val="-5"/>
              </w:rPr>
              <w:t>, HPH v nich vzrostla o</w:t>
            </w:r>
            <w:r>
              <w:rPr>
                <w:spacing w:val="-4"/>
              </w:rPr>
              <w:t> </w:t>
            </w:r>
            <w:r>
              <w:rPr>
                <w:spacing w:val="-5"/>
              </w:rPr>
              <w:t>rekordní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3,2</w:t>
            </w:r>
            <w:r>
              <w:rPr>
                <w:spacing w:val="-4"/>
              </w:rPr>
              <w:t> </w:t>
            </w:r>
            <w:r>
              <w:rPr>
                <w:spacing w:val="-5"/>
              </w:rPr>
              <w:t>% a k růstu celé ekonomiky přispěla ze služeb nejvíce. Naopak ve váhově významném uskupení obchod, doprava, ubytování a pohostinství vzrostla HPH po loňském nebývalém propadu jen o 0,7 % a počet odpracovaných hodin stále klesal (o 2,5 %)</w:t>
            </w:r>
            <w:r>
              <w:rPr>
                <w:rStyle w:val="Znakapoznpodarou"/>
                <w:spacing w:val="-5"/>
              </w:rPr>
              <w:footnoteReference w:id="8"/>
            </w:r>
            <w:r>
              <w:rPr>
                <w:spacing w:val="-5"/>
              </w:rPr>
              <w:t>. V p</w:t>
            </w:r>
            <w:r w:rsidRPr="00E257EB">
              <w:rPr>
                <w:spacing w:val="-5"/>
              </w:rPr>
              <w:t>rofesní</w:t>
            </w:r>
            <w:r>
              <w:rPr>
                <w:spacing w:val="-5"/>
              </w:rPr>
              <w:t>ch, vědeckých, technických</w:t>
            </w:r>
            <w:r w:rsidRPr="00E257EB">
              <w:rPr>
                <w:spacing w:val="-5"/>
              </w:rPr>
              <w:t xml:space="preserve"> a</w:t>
            </w:r>
            <w:r>
              <w:rPr>
                <w:spacing w:val="-4"/>
              </w:rPr>
              <w:t> </w:t>
            </w:r>
            <w:r w:rsidRPr="00E257EB">
              <w:rPr>
                <w:spacing w:val="-5"/>
              </w:rPr>
              <w:t>administrativní</w:t>
            </w:r>
            <w:r>
              <w:rPr>
                <w:spacing w:val="-5"/>
              </w:rPr>
              <w:t>ch činnostech HPH stagnovala, obdobně jako v činnostech v oblasti nemovitostí, jež však nebyly recesí významněji zasaženy ani v loňském roce. To neplatilo o</w:t>
            </w:r>
            <w:r>
              <w:rPr>
                <w:spacing w:val="-4"/>
              </w:rPr>
              <w:t> </w:t>
            </w:r>
            <w:r>
              <w:rPr>
                <w:spacing w:val="-5"/>
              </w:rPr>
              <w:t xml:space="preserve">stavebnictví, jehož výkon letos klesl o 1,2 % a oproti 1. až </w:t>
            </w:r>
            <w:r w:rsidRPr="00DC4AC4">
              <w:rPr>
                <w:spacing w:val="-6"/>
              </w:rPr>
              <w:t>3. čt</w:t>
            </w:r>
            <w:r w:rsidR="00DC4AC4" w:rsidRPr="00DC4AC4">
              <w:rPr>
                <w:spacing w:val="-6"/>
              </w:rPr>
              <w:t>vrtletí 2019 ztrácel</w:t>
            </w:r>
            <w:r w:rsidRPr="00DC4AC4">
              <w:rPr>
                <w:spacing w:val="-6"/>
              </w:rPr>
              <w:t xml:space="preserve"> skoro desetin</w:t>
            </w:r>
            <w:r w:rsidR="00DC4AC4" w:rsidRPr="00DC4AC4">
              <w:rPr>
                <w:spacing w:val="-6"/>
              </w:rPr>
              <w:t>u. HPH se meziročně snížila i</w:t>
            </w:r>
            <w:r w:rsidRPr="00DC4AC4">
              <w:rPr>
                <w:spacing w:val="-6"/>
              </w:rPr>
              <w:t xml:space="preserve"> v odvětví těžby a energetiky</w:t>
            </w:r>
            <w:r>
              <w:rPr>
                <w:spacing w:val="-5"/>
              </w:rPr>
              <w:t>, ve srovnání s propady z let 2019 a 2020 se ale letošní tempo citelně zmírnilo (na 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>2,5 %).</w:t>
            </w:r>
          </w:p>
        </w:tc>
      </w:tr>
      <w:tr w:rsidR="00700E8A" w:rsidRPr="006237E6" w14:paraId="21A28209" w14:textId="77777777" w:rsidTr="00150ECA">
        <w:trPr>
          <w:trHeight w:val="15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6271178D" w14:textId="77777777" w:rsidR="00700E8A" w:rsidRDefault="00700E8A" w:rsidP="00150ECA">
            <w:pPr>
              <w:pStyle w:val="Marginlie"/>
            </w:pPr>
            <w:r>
              <w:t xml:space="preserve">V primárním sektoru HPH ve 3. čtvrtletí stagnovala. Sklizeň hlavních plodin za loňskou úrovní lehce zaostala, z pohledu celé </w:t>
            </w:r>
            <w:r>
              <w:lastRenderedPageBreak/>
              <w:t>dekády ale byla loni mírně nadprůměrná.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27A15C82" w14:textId="77777777" w:rsidR="00700E8A" w:rsidRPr="003B1401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7466AA5C" w14:textId="77777777" w:rsidR="00700E8A" w:rsidRPr="00820B90" w:rsidRDefault="00700E8A" w:rsidP="00150ECA">
            <w:pPr>
              <w:spacing w:after="200"/>
              <w:rPr>
                <w:spacing w:val="-5"/>
              </w:rPr>
            </w:pPr>
            <w:r>
              <w:rPr>
                <w:spacing w:val="-5"/>
              </w:rPr>
              <w:t>V odvětví zemědělství, lesnictví a rybářství letos HPH vzrostla o 3,7 % a potvrdila tak příznivý trend z předchozích let. V samotném 3. čtvrtletí však toto odvětví jako jedno z mála nevykázalo meziroční růst (</w:t>
            </w:r>
            <w:r>
              <w:rPr>
                <w:spacing w:val="-4"/>
              </w:rPr>
              <w:t>–</w:t>
            </w:r>
            <w:r>
              <w:rPr>
                <w:spacing w:val="-5"/>
              </w:rPr>
              <w:t>0,1 %). Letošní sklizeň hlavních zemědělských plodin byla sice z pohledu poslední dekády lehce nadprůměrná</w:t>
            </w:r>
            <w:r>
              <w:rPr>
                <w:rStyle w:val="Znakapoznpodarou"/>
                <w:spacing w:val="-5"/>
              </w:rPr>
              <w:footnoteReference w:id="9"/>
            </w:r>
            <w:r>
              <w:rPr>
                <w:spacing w:val="-5"/>
              </w:rPr>
              <w:t>, v meziročním srovnání byl ale u většiny plodin zaznamenán zpravidla nepatrný pokles</w:t>
            </w:r>
            <w:r>
              <w:rPr>
                <w:rStyle w:val="Znakapoznpodarou"/>
                <w:spacing w:val="-5"/>
              </w:rPr>
              <w:footnoteReference w:id="10"/>
            </w:r>
            <w:r>
              <w:rPr>
                <w:spacing w:val="-5"/>
              </w:rPr>
              <w:t xml:space="preserve">. V živočišné výrobě pokračoval mírný růst </w:t>
            </w:r>
            <w:r>
              <w:rPr>
                <w:spacing w:val="-5"/>
              </w:rPr>
              <w:lastRenderedPageBreak/>
              <w:t>výroby masa (+2,6 %), přímý nákup mléka od tuzemských producentů se ale ve srovnání s rekordní loňskou výší o 2,6 % snížil. Vedle toho měla na výkon celého primárního sektoru patrně vliv i oslabující kůrovcová kalamita, jež vedla k tomu, že loňská rekordní živelní těžba dřeva se letos již neopakovala.</w:t>
            </w:r>
          </w:p>
        </w:tc>
      </w:tr>
      <w:tr w:rsidR="00700E8A" w:rsidRPr="006237E6" w14:paraId="731C0D08" w14:textId="77777777" w:rsidTr="00150ECA">
        <w:trPr>
          <w:trHeight w:val="15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72635B6C" w14:textId="77777777" w:rsidR="00700E8A" w:rsidRPr="00DF54C0" w:rsidRDefault="00700E8A" w:rsidP="00150ECA">
            <w:pPr>
              <w:pStyle w:val="Marginlie"/>
              <w:rPr>
                <w:spacing w:val="-4"/>
              </w:rPr>
            </w:pPr>
            <w:r>
              <w:rPr>
                <w:spacing w:val="-4"/>
              </w:rPr>
              <w:lastRenderedPageBreak/>
              <w:t>L</w:t>
            </w:r>
            <w:r w:rsidRPr="00DF54C0">
              <w:rPr>
                <w:spacing w:val="-4"/>
              </w:rPr>
              <w:t>etos na jaře těžil průmysl z pokrizového oživení</w:t>
            </w:r>
            <w:r>
              <w:rPr>
                <w:spacing w:val="-4"/>
              </w:rPr>
              <w:t xml:space="preserve"> tuzemské i</w:t>
            </w:r>
            <w:r w:rsidRPr="00DF54C0">
              <w:rPr>
                <w:spacing w:val="-4"/>
              </w:rPr>
              <w:t> </w:t>
            </w:r>
            <w:r>
              <w:rPr>
                <w:spacing w:val="-4"/>
              </w:rPr>
              <w:t>zahraniční poptávky.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68B73B5D" w14:textId="77777777" w:rsidR="00700E8A" w:rsidRPr="003B1401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586D45CF" w14:textId="77777777" w:rsidR="00700E8A" w:rsidRPr="00BF07B5" w:rsidRDefault="00700E8A" w:rsidP="00150ECA">
            <w:pPr>
              <w:spacing w:after="200"/>
              <w:rPr>
                <w:color w:val="0D0D0D" w:themeColor="text1" w:themeTint="F2"/>
                <w:spacing w:val="-4"/>
              </w:rPr>
            </w:pPr>
            <w:r w:rsidRPr="00BF07B5">
              <w:rPr>
                <w:color w:val="0D0D0D" w:themeColor="text1" w:themeTint="F2"/>
                <w:spacing w:val="-4"/>
              </w:rPr>
              <w:t>Slábnoucí výkon průmyslu během dosavadní části letošního roku dokládají i podrobnější údaje z podnikových statistik. Po rychlém oživení průmyslu v druhé polovině loňského roku, na kterém se vedle klíčových exportních oborů podílelo široké spektrum dílčích odvětví, výkon celého průmyslu na počátku roku 2021 dočasně poklesl. V 1.</w:t>
            </w:r>
            <w:r>
              <w:rPr>
                <w:color w:val="0D0D0D" w:themeColor="text1" w:themeTint="F2"/>
                <w:spacing w:val="-4"/>
              </w:rPr>
              <w:t> čt</w:t>
            </w:r>
            <w:r w:rsidRPr="00BF07B5">
              <w:rPr>
                <w:color w:val="0D0D0D" w:themeColor="text1" w:themeTint="F2"/>
                <w:spacing w:val="-4"/>
              </w:rPr>
              <w:t>vrtletí se průmyslová produkce</w:t>
            </w:r>
            <w:r w:rsidRPr="00BF07B5">
              <w:rPr>
                <w:color w:val="0D0D0D" w:themeColor="text1" w:themeTint="F2"/>
                <w:spacing w:val="-4"/>
                <w:vertAlign w:val="superscript"/>
              </w:rPr>
              <w:footnoteReference w:id="11"/>
            </w:r>
            <w:r w:rsidRPr="00BF07B5">
              <w:rPr>
                <w:color w:val="0D0D0D" w:themeColor="text1" w:themeTint="F2"/>
                <w:spacing w:val="-4"/>
              </w:rPr>
              <w:t xml:space="preserve"> mezikvartálně snížila o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BF07B5">
              <w:rPr>
                <w:color w:val="0D0D0D" w:themeColor="text1" w:themeTint="F2"/>
                <w:spacing w:val="-4"/>
              </w:rPr>
              <w:t>1,5</w:t>
            </w:r>
            <w:r>
              <w:rPr>
                <w:color w:val="0D0D0D" w:themeColor="text1" w:themeTint="F2"/>
                <w:spacing w:val="-4"/>
              </w:rPr>
              <w:t> %</w:t>
            </w:r>
            <w:r w:rsidRPr="00BF07B5">
              <w:rPr>
                <w:color w:val="0D0D0D" w:themeColor="text1" w:themeTint="F2"/>
                <w:spacing w:val="-4"/>
              </w:rPr>
              <w:t>, neboť pokrizové zotavování u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BF07B5">
              <w:rPr>
                <w:color w:val="0D0D0D" w:themeColor="text1" w:themeTint="F2"/>
                <w:spacing w:val="-4"/>
              </w:rPr>
              <w:t>výrobců automobilů (</w:t>
            </w:r>
            <w:r>
              <w:rPr>
                <w:color w:val="0D0D0D" w:themeColor="text1" w:themeTint="F2"/>
                <w:spacing w:val="-4"/>
              </w:rPr>
              <w:t>včetně</w:t>
            </w:r>
            <w:r w:rsidRPr="00BF07B5">
              <w:rPr>
                <w:color w:val="0D0D0D" w:themeColor="text1" w:themeTint="F2"/>
                <w:spacing w:val="-4"/>
              </w:rPr>
              <w:t xml:space="preserve"> jejich nejbližších tuzemských subdodavatelů) a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BF07B5">
              <w:rPr>
                <w:color w:val="0D0D0D" w:themeColor="text1" w:themeTint="F2"/>
                <w:spacing w:val="-4"/>
              </w:rPr>
              <w:t>též v chemickém průmyslu se zpomalilo. V následujícím čtvrtletí se růst produkce obnovil (0,7</w:t>
            </w:r>
            <w:r>
              <w:rPr>
                <w:color w:val="0D0D0D" w:themeColor="text1" w:themeTint="F2"/>
                <w:spacing w:val="-4"/>
              </w:rPr>
              <w:t> %</w:t>
            </w:r>
            <w:r w:rsidRPr="00BF07B5">
              <w:rPr>
                <w:color w:val="0D0D0D" w:themeColor="text1" w:themeTint="F2"/>
                <w:spacing w:val="-4"/>
              </w:rPr>
              <w:t xml:space="preserve">). </w:t>
            </w:r>
            <w:r>
              <w:rPr>
                <w:color w:val="0D0D0D" w:themeColor="text1" w:themeTint="F2"/>
                <w:spacing w:val="-4"/>
              </w:rPr>
              <w:t xml:space="preserve">Opětovný rozběh </w:t>
            </w:r>
            <w:r w:rsidRPr="00BF07B5">
              <w:rPr>
                <w:color w:val="0D0D0D" w:themeColor="text1" w:themeTint="F2"/>
                <w:spacing w:val="-4"/>
              </w:rPr>
              <w:t>ekonomiky po ústupu pandemické vlny navrátil v Česku i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BF07B5">
              <w:rPr>
                <w:color w:val="0D0D0D" w:themeColor="text1" w:themeTint="F2"/>
                <w:spacing w:val="-4"/>
              </w:rPr>
              <w:t>EU část ztracené důvěry spotřebitelů a podnikatelů, což se projevilo v oživení spotřeby a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BF07B5">
              <w:rPr>
                <w:color w:val="0D0D0D" w:themeColor="text1" w:themeTint="F2"/>
                <w:spacing w:val="-4"/>
              </w:rPr>
              <w:t xml:space="preserve">investiční aktivity. </w:t>
            </w:r>
            <w:r>
              <w:rPr>
                <w:color w:val="0D0D0D" w:themeColor="text1" w:themeTint="F2"/>
                <w:spacing w:val="-4"/>
              </w:rPr>
              <w:t>Výrazně vývozně</w:t>
            </w:r>
            <w:r w:rsidRPr="00BF07B5">
              <w:rPr>
                <w:color w:val="0D0D0D" w:themeColor="text1" w:themeTint="F2"/>
                <w:spacing w:val="-4"/>
              </w:rPr>
              <w:t xml:space="preserve"> orientovaný tuzemský průmysl těžil na jaře zejména</w:t>
            </w:r>
            <w:r>
              <w:rPr>
                <w:color w:val="0D0D0D" w:themeColor="text1" w:themeTint="F2"/>
                <w:spacing w:val="-4"/>
              </w:rPr>
              <w:t xml:space="preserve"> </w:t>
            </w:r>
            <w:r w:rsidRPr="00BF07B5">
              <w:rPr>
                <w:color w:val="0D0D0D" w:themeColor="text1" w:themeTint="F2"/>
                <w:spacing w:val="-4"/>
              </w:rPr>
              <w:t>z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BF07B5">
              <w:rPr>
                <w:color w:val="0D0D0D" w:themeColor="text1" w:themeTint="F2"/>
                <w:spacing w:val="-4"/>
              </w:rPr>
              <w:t>příznivého hospodářského vývoje klíčových exportních teritorií – Německa, resp. celé E</w:t>
            </w:r>
            <w:r>
              <w:rPr>
                <w:color w:val="0D0D0D" w:themeColor="text1" w:themeTint="F2"/>
                <w:spacing w:val="-4"/>
              </w:rPr>
              <w:t>vropské unie</w:t>
            </w:r>
            <w:r w:rsidRPr="00BF07B5">
              <w:rPr>
                <w:rStyle w:val="Znakapoznpodarou"/>
                <w:color w:val="0D0D0D" w:themeColor="text1" w:themeTint="F2"/>
                <w:spacing w:val="-4"/>
              </w:rPr>
              <w:footnoteReference w:id="12"/>
            </w:r>
            <w:r w:rsidRPr="00BF07B5">
              <w:rPr>
                <w:color w:val="0D0D0D" w:themeColor="text1" w:themeTint="F2"/>
                <w:spacing w:val="-4"/>
              </w:rPr>
              <w:t>.</w:t>
            </w:r>
          </w:p>
        </w:tc>
      </w:tr>
      <w:tr w:rsidR="00700E8A" w:rsidRPr="006237E6" w14:paraId="41634A8E" w14:textId="77777777" w:rsidTr="00150ECA">
        <w:trPr>
          <w:trHeight w:val="15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162CEF42" w14:textId="77777777" w:rsidR="00700E8A" w:rsidRDefault="00700E8A" w:rsidP="00150ECA">
            <w:pPr>
              <w:pStyle w:val="Marginlie"/>
              <w:rPr>
                <w:spacing w:val="-4"/>
              </w:rPr>
            </w:pPr>
            <w:r>
              <w:rPr>
                <w:spacing w:val="-4"/>
              </w:rPr>
              <w:t>B</w:t>
            </w:r>
            <w:r w:rsidRPr="00DF54C0">
              <w:rPr>
                <w:spacing w:val="-4"/>
              </w:rPr>
              <w:t xml:space="preserve">ěhem léta byl </w:t>
            </w:r>
            <w:r>
              <w:rPr>
                <w:spacing w:val="-4"/>
              </w:rPr>
              <w:t xml:space="preserve">průmysl </w:t>
            </w:r>
            <w:r w:rsidRPr="00DF54C0">
              <w:rPr>
                <w:spacing w:val="-4"/>
              </w:rPr>
              <w:t>stále více brzděn nedostatkem výrobních komponent důležitých pro automobilový průmysl a</w:t>
            </w:r>
            <w:r>
              <w:rPr>
                <w:spacing w:val="-4"/>
              </w:rPr>
              <w:t> </w:t>
            </w:r>
            <w:r w:rsidRPr="00DF54C0">
              <w:rPr>
                <w:spacing w:val="-4"/>
              </w:rPr>
              <w:t>jeho subdodavatele.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54E37A7C" w14:textId="77777777" w:rsidR="00700E8A" w:rsidRPr="003B1401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35DEDA23" w14:textId="77777777" w:rsidR="00700E8A" w:rsidRPr="00BF07B5" w:rsidRDefault="00700E8A" w:rsidP="00150ECA">
            <w:pPr>
              <w:spacing w:after="20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Rychlé oživení nejvyspělejších světových ekonomik spolu s výrobními i logistickými problémy v asijských regionech ovšem vytvářelo napětí v </w:t>
            </w:r>
            <w:r w:rsidRPr="00BF07B5">
              <w:rPr>
                <w:color w:val="0D0D0D" w:themeColor="text1" w:themeTint="F2"/>
                <w:spacing w:val="-4"/>
              </w:rPr>
              <w:t xml:space="preserve">dodavatelských řetězcích, které se přenášelo i do Česka. Nedostatek některých </w:t>
            </w:r>
            <w:r>
              <w:rPr>
                <w:color w:val="0D0D0D" w:themeColor="text1" w:themeTint="F2"/>
                <w:spacing w:val="-4"/>
              </w:rPr>
              <w:t xml:space="preserve">důležitých </w:t>
            </w:r>
            <w:r w:rsidRPr="00BF07B5">
              <w:rPr>
                <w:color w:val="0D0D0D" w:themeColor="text1" w:themeTint="F2"/>
                <w:spacing w:val="-4"/>
              </w:rPr>
              <w:t>dodávek a komponent (hlavně v automobilovém průmyslu a navazujících oborech) stále výrazněji narušoval plynulost výroby a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BF07B5">
              <w:rPr>
                <w:color w:val="0D0D0D" w:themeColor="text1" w:themeTint="F2"/>
                <w:spacing w:val="-4"/>
              </w:rPr>
              <w:t>vedl k neplánované tvorbě zásob nedokončené produkce. Produkce v</w:t>
            </w:r>
            <w:r>
              <w:rPr>
                <w:color w:val="0D0D0D" w:themeColor="text1" w:themeTint="F2"/>
                <w:spacing w:val="-4"/>
              </w:rPr>
              <w:t xml:space="preserve"> celém </w:t>
            </w:r>
            <w:r w:rsidRPr="00BF07B5">
              <w:rPr>
                <w:color w:val="0D0D0D" w:themeColor="text1" w:themeTint="F2"/>
                <w:spacing w:val="-4"/>
              </w:rPr>
              <w:t xml:space="preserve">průmyslu </w:t>
            </w:r>
            <w:r>
              <w:rPr>
                <w:color w:val="0D0D0D" w:themeColor="text1" w:themeTint="F2"/>
                <w:spacing w:val="-4"/>
              </w:rPr>
              <w:t xml:space="preserve">tak </w:t>
            </w:r>
            <w:r w:rsidRPr="00BF07B5">
              <w:rPr>
                <w:color w:val="0D0D0D" w:themeColor="text1" w:themeTint="F2"/>
                <w:spacing w:val="-4"/>
              </w:rPr>
              <w:t>ve 3.</w:t>
            </w:r>
            <w:r>
              <w:rPr>
                <w:color w:val="0D0D0D" w:themeColor="text1" w:themeTint="F2"/>
                <w:spacing w:val="-4"/>
              </w:rPr>
              <w:t> čt</w:t>
            </w:r>
            <w:r w:rsidRPr="00BF07B5">
              <w:rPr>
                <w:color w:val="0D0D0D" w:themeColor="text1" w:themeTint="F2"/>
                <w:spacing w:val="-4"/>
              </w:rPr>
              <w:t>vrtle</w:t>
            </w:r>
            <w:r>
              <w:rPr>
                <w:color w:val="0D0D0D" w:themeColor="text1" w:themeTint="F2"/>
                <w:spacing w:val="-4"/>
              </w:rPr>
              <w:t>tí mezikvartálně klesla o 2,3 % a </w:t>
            </w:r>
            <w:r>
              <w:rPr>
                <w:color w:val="000000" w:themeColor="text1"/>
                <w:spacing w:val="-4"/>
              </w:rPr>
              <w:t>z</w:t>
            </w:r>
            <w:r w:rsidRPr="00BF07B5">
              <w:rPr>
                <w:color w:val="000000" w:themeColor="text1"/>
                <w:spacing w:val="-4"/>
              </w:rPr>
              <w:t>a svým předpandemickým maximem (ze 2.</w:t>
            </w:r>
            <w:r>
              <w:rPr>
                <w:color w:val="000000" w:themeColor="text1"/>
                <w:spacing w:val="-4"/>
              </w:rPr>
              <w:t> čt</w:t>
            </w:r>
            <w:r w:rsidRPr="00BF07B5">
              <w:rPr>
                <w:color w:val="000000" w:themeColor="text1"/>
                <w:spacing w:val="-4"/>
              </w:rPr>
              <w:t>vrtletí 2019</w:t>
            </w:r>
            <w:r>
              <w:rPr>
                <w:color w:val="000000" w:themeColor="text1"/>
                <w:spacing w:val="-4"/>
              </w:rPr>
              <w:t>)</w:t>
            </w:r>
            <w:r w:rsidRPr="00BF07B5">
              <w:rPr>
                <w:color w:val="000000" w:themeColor="text1"/>
                <w:spacing w:val="-4"/>
              </w:rPr>
              <w:t xml:space="preserve"> nadále </w:t>
            </w:r>
            <w:r>
              <w:rPr>
                <w:color w:val="000000" w:themeColor="text1"/>
                <w:spacing w:val="-4"/>
              </w:rPr>
              <w:t xml:space="preserve">významně </w:t>
            </w:r>
            <w:r w:rsidRPr="00BF07B5">
              <w:rPr>
                <w:color w:val="000000" w:themeColor="text1"/>
                <w:spacing w:val="-4"/>
              </w:rPr>
              <w:t>zaostával</w:t>
            </w:r>
            <w:r>
              <w:rPr>
                <w:color w:val="000000" w:themeColor="text1"/>
                <w:spacing w:val="-4"/>
              </w:rPr>
              <w:t>a</w:t>
            </w:r>
            <w:r w:rsidRPr="00BF07B5">
              <w:rPr>
                <w:color w:val="000000" w:themeColor="text1"/>
                <w:spacing w:val="-4"/>
              </w:rPr>
              <w:t xml:space="preserve"> (o</w:t>
            </w:r>
            <w:r>
              <w:rPr>
                <w:color w:val="000000" w:themeColor="text1"/>
                <w:spacing w:val="-4"/>
              </w:rPr>
              <w:t> </w:t>
            </w:r>
            <w:r w:rsidRPr="00BF07B5">
              <w:rPr>
                <w:color w:val="000000" w:themeColor="text1"/>
                <w:spacing w:val="-4"/>
              </w:rPr>
              <w:t>4,2</w:t>
            </w:r>
            <w:r>
              <w:rPr>
                <w:color w:val="000000" w:themeColor="text1"/>
                <w:spacing w:val="-4"/>
              </w:rPr>
              <w:t> %</w:t>
            </w:r>
            <w:r w:rsidRPr="00BF07B5">
              <w:rPr>
                <w:color w:val="000000" w:themeColor="text1"/>
                <w:spacing w:val="-4"/>
              </w:rPr>
              <w:t>).</w:t>
            </w:r>
          </w:p>
        </w:tc>
      </w:tr>
      <w:tr w:rsidR="00700E8A" w:rsidRPr="006237E6" w14:paraId="5E234EA0" w14:textId="77777777" w:rsidTr="00150ECA">
        <w:trPr>
          <w:trHeight w:val="15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192FFB43" w14:textId="77777777" w:rsidR="00700E8A" w:rsidRPr="00DF11EC" w:rsidRDefault="00700E8A" w:rsidP="00150ECA">
            <w:pPr>
              <w:pStyle w:val="Marginlie"/>
              <w:rPr>
                <w:spacing w:val="-4"/>
              </w:rPr>
            </w:pPr>
            <w:r>
              <w:rPr>
                <w:spacing w:val="-4"/>
              </w:rPr>
              <w:t>Průmyslová produkce ve 3. čtvrtletí meziročně mírně poklesla. Propad výrobců automobilů nestačily ostatní rostoucí obory kompenzovat.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60C6EC5D" w14:textId="77777777" w:rsidR="00700E8A" w:rsidRPr="003B1401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4A66A060" w14:textId="77777777" w:rsidR="00700E8A" w:rsidRPr="001F719B" w:rsidRDefault="00700E8A" w:rsidP="00150ECA">
            <w:pPr>
              <w:spacing w:after="200"/>
              <w:rPr>
                <w:spacing w:val="-4"/>
              </w:rPr>
            </w:pPr>
            <w:r>
              <w:rPr>
                <w:spacing w:val="-4"/>
              </w:rPr>
              <w:t>Svižný meziroční růst průmyslové produkce o 9,5 %, jenž se v úhrnu za 1. až 3. čtvrtletí 2021 projevil prakticky napříč všemi dílčími odvětvími, byl výrazně ovlivněn velmi nízkou základnou z dubna i května roku 2020. V samotném 3. čtvrtletí ale průmysl za loňskou úrovní již lehce zaostával (</w:t>
            </w:r>
            <w:r w:rsidRPr="00BF07B5">
              <w:rPr>
                <w:color w:val="0D0D0D" w:themeColor="text1" w:themeTint="F2"/>
                <w:spacing w:val="-4"/>
              </w:rPr>
              <w:t>–</w:t>
            </w:r>
            <w:r>
              <w:rPr>
                <w:spacing w:val="-4"/>
              </w:rPr>
              <w:t>0,4 %). Přestože více než tři čtvrtiny průmyslových oborů pokračovaly v růstu, klíčový obor výroby motorových vozidel zaznamenal propad o 23 %, tempo produkce celého průmyslu „stáhl dolů“ o 4,3 p. b. a negativně poznamenal i obchodní bilanci ČR</w:t>
            </w:r>
            <w:r>
              <w:rPr>
                <w:rStyle w:val="Znakapoznpodarou"/>
                <w:spacing w:val="-4"/>
              </w:rPr>
              <w:footnoteReference w:id="13"/>
            </w:r>
            <w:r>
              <w:rPr>
                <w:spacing w:val="-4"/>
              </w:rPr>
              <w:t xml:space="preserve">. Nucené letní i podzimní odstávky se tak projevily v prudkému snížení využití výrobních kapacit v automobilovém průmyslu (z 95 % na počátku 3. čtvrtletí na 56 % v následujícím období). Výpadky výroby motorových vozidel se ve 3. čtvrtletí promítly i do gumárenství a plastikářství, kde produkce klesla o 0,3 %. </w:t>
            </w:r>
            <w:r w:rsidRPr="00B324AF">
              <w:rPr>
                <w:rFonts w:cs="Arial"/>
                <w:spacing w:val="-4"/>
                <w:szCs w:val="20"/>
              </w:rPr>
              <w:t xml:space="preserve">Naopak </w:t>
            </w:r>
            <w:r>
              <w:rPr>
                <w:rFonts w:cs="Arial"/>
                <w:spacing w:val="-4"/>
                <w:szCs w:val="20"/>
              </w:rPr>
              <w:t xml:space="preserve">se dále dařilo </w:t>
            </w:r>
            <w:r w:rsidRPr="00B324AF">
              <w:rPr>
                <w:rFonts w:cs="Arial"/>
                <w:spacing w:val="-4"/>
                <w:szCs w:val="20"/>
              </w:rPr>
              <w:t>výrobě elektrických zařízení</w:t>
            </w:r>
            <w:r>
              <w:rPr>
                <w:rFonts w:cs="Arial"/>
                <w:spacing w:val="-4"/>
                <w:szCs w:val="20"/>
              </w:rPr>
              <w:t xml:space="preserve"> (+9,6 %). I díky svižně rostoucí tuzemské poptávce se zvýšil i výkon strojírenství (+8,5 %), za objemem produkce z roku 2019 ovšem stále lehce zaostával. Domácí poptávka pomáhala i kovodělnému průmyslu (+7,0 %), který tak ve 3. čtvrtletí přispěl k meziročnímu růstu celého průmyslu ze všech jeho oborů nejvíce (+0,7 p. b.). Dobrých výsledků dosáhly i</w:t>
            </w:r>
            <w:r>
              <w:rPr>
                <w:spacing w:val="-4"/>
              </w:rPr>
              <w:t> </w:t>
            </w:r>
            <w:r>
              <w:rPr>
                <w:rFonts w:cs="Arial"/>
                <w:spacing w:val="-4"/>
                <w:szCs w:val="20"/>
              </w:rPr>
              <w:t>všechny ostatní významnější zpracovatelské obory, a to včetně těch, které se v období těsně před počátkem pandemie potýkaly se slabší poptávkou (zejména hutnictví).</w:t>
            </w:r>
          </w:p>
        </w:tc>
      </w:tr>
      <w:tr w:rsidR="00700E8A" w:rsidRPr="006237E6" w14:paraId="4C780C03" w14:textId="77777777" w:rsidTr="00150ECA">
        <w:trPr>
          <w:trHeight w:val="15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0B8C4278" w14:textId="4FA10F7F" w:rsidR="00700E8A" w:rsidRDefault="00700E8A" w:rsidP="00150ECA">
            <w:pPr>
              <w:pStyle w:val="Marginlie"/>
            </w:pPr>
            <w:r>
              <w:t>Meziroční pokles produkce postihl ve 3.</w:t>
            </w:r>
            <w:r w:rsidRPr="00DF54C0">
              <w:rPr>
                <w:spacing w:val="-4"/>
              </w:rPr>
              <w:t> </w:t>
            </w:r>
            <w:r>
              <w:t>čtvrtletí i některé m</w:t>
            </w:r>
            <w:r w:rsidR="0015329F">
              <w:t>enší průmyslové obory, více zaměřené</w:t>
            </w:r>
            <w:r>
              <w:t xml:space="preserve"> na tuzemský trh.</w:t>
            </w:r>
          </w:p>
          <w:p w14:paraId="1EDEB01D" w14:textId="77777777" w:rsidR="00700E8A" w:rsidRDefault="00700E8A" w:rsidP="00150ECA">
            <w:pPr>
              <w:pStyle w:val="Marginlie"/>
            </w:pPr>
            <w:r>
              <w:lastRenderedPageBreak/>
              <w:t>Pokles produkce v těžbě a dobývání se zastavil.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60171D0D" w14:textId="77777777" w:rsidR="00700E8A" w:rsidRPr="003B1401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71C277BA" w14:textId="64EC540D" w:rsidR="00700E8A" w:rsidRPr="001F719B" w:rsidRDefault="00700E8A" w:rsidP="00150ECA">
            <w:pPr>
              <w:spacing w:after="200"/>
              <w:rPr>
                <w:spacing w:val="-4"/>
              </w:rPr>
            </w:pPr>
            <w:r>
              <w:rPr>
                <w:spacing w:val="-4"/>
              </w:rPr>
              <w:t xml:space="preserve">K poklesu průmyslové produkce přispěly i některé menší zpracovatelské obory, zaměřené ve větší míře na tuzemský trh. Těsně pod úrovní loňského 3. čtvrtletí zůstal výkon v ostatním zpracovatelském průmyslu, zahrnujícím </w:t>
            </w:r>
            <w:r>
              <w:rPr>
                <w:color w:val="000000" w:themeColor="text1"/>
                <w:spacing w:val="-4"/>
              </w:rPr>
              <w:t xml:space="preserve">např. </w:t>
            </w:r>
            <w:r w:rsidRPr="004173F3">
              <w:rPr>
                <w:color w:val="000000" w:themeColor="text1"/>
                <w:spacing w:val="-4"/>
              </w:rPr>
              <w:t>výrobu lékařsk</w:t>
            </w:r>
            <w:r>
              <w:rPr>
                <w:color w:val="000000" w:themeColor="text1"/>
                <w:spacing w:val="-4"/>
              </w:rPr>
              <w:t>ých a sportovních potřeb, her a</w:t>
            </w:r>
            <w:r>
              <w:rPr>
                <w:spacing w:val="-4"/>
              </w:rPr>
              <w:t> </w:t>
            </w:r>
            <w:r w:rsidRPr="004173F3">
              <w:rPr>
                <w:color w:val="000000" w:themeColor="text1"/>
                <w:spacing w:val="-4"/>
              </w:rPr>
              <w:t>hraček</w:t>
            </w:r>
            <w:r>
              <w:rPr>
                <w:color w:val="000000" w:themeColor="text1"/>
                <w:spacing w:val="-4"/>
              </w:rPr>
              <w:t>. Výrobci</w:t>
            </w:r>
            <w:r>
              <w:rPr>
                <w:spacing w:val="-4"/>
              </w:rPr>
              <w:t xml:space="preserve"> nápojů i oděvů dosáhli shodně meziročního poklesu </w:t>
            </w:r>
            <w:r w:rsidR="00DC4AC4">
              <w:rPr>
                <w:spacing w:val="-4"/>
              </w:rPr>
              <w:t>o 2,3 %. Loni v létě ale</w:t>
            </w:r>
            <w:r>
              <w:rPr>
                <w:spacing w:val="-4"/>
              </w:rPr>
              <w:t xml:space="preserve"> tyto obory výrazněji ožily, a jejich letošní produkce proto převyšuje předpandemickou </w:t>
            </w:r>
            <w:r>
              <w:rPr>
                <w:spacing w:val="-4"/>
              </w:rPr>
              <w:lastRenderedPageBreak/>
              <w:t>úroveň. Ke zlomu došlo letos v dřevozpracujícím průmyslu. Zatímco v 1. pololetí zde produkce meziročně vzrostla o 12,9 %, ve 3. čtvrtletí se propadla o 18,6 %, nejvíce ve srovnatelné řadě od roku 2001. V těžbě a dobývání se po loňském rekordním propadu</w:t>
            </w:r>
            <w:r w:rsidRPr="006B69D3">
              <w:rPr>
                <w:rStyle w:val="Znakapoznpodarou"/>
                <w:spacing w:val="-4"/>
                <w:szCs w:val="20"/>
              </w:rPr>
              <w:footnoteReference w:id="14"/>
            </w:r>
            <w:r>
              <w:rPr>
                <w:spacing w:val="-4"/>
              </w:rPr>
              <w:t xml:space="preserve"> ve 3. čtvrtletí 2021 produkce meziročně zvýšila o 13,4 %. Svižněji než těžba uhlí ožila těžba stavebních materiálů. Produkce v odvětví energetiky ve 3. čtvrtletí stagnovala, v úhrnu od počátku letošního roku ale byla meziročně o 3 % vyšší</w:t>
            </w:r>
            <w:r>
              <w:rPr>
                <w:rStyle w:val="Znakapoznpodarou"/>
                <w:spacing w:val="-4"/>
              </w:rPr>
              <w:footnoteReference w:id="15"/>
            </w:r>
            <w:r>
              <w:rPr>
                <w:spacing w:val="-4"/>
              </w:rPr>
              <w:t>.</w:t>
            </w:r>
          </w:p>
        </w:tc>
      </w:tr>
      <w:tr w:rsidR="00700E8A" w:rsidRPr="006237E6" w14:paraId="19BAB910" w14:textId="77777777" w:rsidTr="00150ECA">
        <w:trPr>
          <w:trHeight w:val="15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3471A93B" w14:textId="77777777" w:rsidR="00700E8A" w:rsidRDefault="00700E8A" w:rsidP="00150ECA">
            <w:pPr>
              <w:pStyle w:val="Marginlie"/>
            </w:pPr>
            <w:r>
              <w:lastRenderedPageBreak/>
              <w:t>Tržby ve 3. čtvrtletí vzrostly nejvíce v hutnictví. V řadě oborů jim výrazně pomohl cenový růst.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0776039F" w14:textId="77777777" w:rsidR="00700E8A" w:rsidRPr="003B1401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55758D4D" w14:textId="16F8AEC1" w:rsidR="00700E8A" w:rsidRPr="008D254C" w:rsidRDefault="00700E8A" w:rsidP="00150ECA">
            <w:pP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</w:pPr>
            <w:r w:rsidRPr="006A57DC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Nominální tržby průmyslových podniků</w:t>
            </w:r>
            <w:r w:rsidRPr="003B6DBE">
              <w:rPr>
                <w:rStyle w:val="Znakapoznpodarou"/>
                <w:bCs/>
                <w:color w:val="0D0D0D" w:themeColor="text1" w:themeTint="F2"/>
                <w:spacing w:val="-4"/>
                <w:szCs w:val="20"/>
              </w:rPr>
              <w:footnoteReference w:id="16"/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 xml:space="preserve"> se ve 3</w:t>
            </w:r>
            <w:r w:rsidRPr="003B6DBE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.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 xml:space="preserve"> čtvrtletí </w:t>
            </w:r>
            <w:r w:rsidR="00DC4AC4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2021 mezikvartálně snížily o 3,4</w:t>
            </w:r>
            <w:r w:rsidRPr="006B69D3">
              <w:rPr>
                <w:rFonts w:cs="Arial"/>
                <w:spacing w:val="-4"/>
                <w:szCs w:val="20"/>
              </w:rPr>
              <w:t> 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% a poklesly poprvé od loňského jara. Meziročně byly tržby z tuzemska vyšší o 5,9 %, tržby z přímého vývozu rostly volněji (2,4 %), zčásti i proto, že se v nich více projevovalo oslabení výrobců automobilů. Celkové tržby vzrostly nejvíce v hutnictví (o 53,5 %), ale i v řadě dalších oborů byly významně ovlivněny rostoucími cenami – hlavně v chemickém, dřevozpracujícím, papírenském či kovodělném průmyslu. Citelnější pokles tržeb postihl vedle automobilového průmys</w:t>
            </w:r>
            <w:r w:rsidR="00DC4AC4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lu (21,8 %) také energetiku (7,3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 %).</w:t>
            </w:r>
          </w:p>
        </w:tc>
      </w:tr>
      <w:tr w:rsidR="00700E8A" w:rsidRPr="006237E6" w14:paraId="7BA32E9E" w14:textId="77777777" w:rsidTr="00150ECA">
        <w:trPr>
          <w:trHeight w:val="15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2B5A587B" w14:textId="77777777" w:rsidR="00700E8A" w:rsidRPr="00BE54BF" w:rsidRDefault="00700E8A" w:rsidP="00150ECA">
            <w:pPr>
              <w:pStyle w:val="Marginlie"/>
            </w:pP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44012CF7" w14:textId="77777777" w:rsidR="00700E8A" w:rsidRPr="003B1401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7C26E81A" w14:textId="77777777" w:rsidR="00700E8A" w:rsidRPr="00965AD0" w:rsidRDefault="00700E8A" w:rsidP="00150ECA">
            <w:pPr>
              <w:spacing w:after="0"/>
              <w:rPr>
                <w:spacing w:val="-4"/>
              </w:rPr>
            </w:pPr>
            <w:r w:rsidRPr="00883202">
              <w:rPr>
                <w:rFonts w:cs="Arial"/>
                <w:b/>
                <w:bCs/>
                <w:color w:val="000000"/>
                <w:szCs w:val="20"/>
              </w:rPr>
              <w:t>Graf č. 4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883202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883202">
              <w:rPr>
                <w:b/>
              </w:rPr>
              <w:t>Příspěvky dílčích odvětví k meziroční změně průmyslové produkce</w:t>
            </w:r>
            <w:r w:rsidRPr="00883202">
              <w:rPr>
                <w:b/>
              </w:rPr>
              <w:br/>
            </w:r>
            <w:r>
              <w:t>(v p. b., očištěno o kalendářní</w:t>
            </w:r>
            <w:r w:rsidRPr="00883202">
              <w:t xml:space="preserve"> vlivy)</w:t>
            </w:r>
            <w:r w:rsidRPr="00883202">
              <w:rPr>
                <w:b/>
                <w:bCs/>
              </w:rPr>
              <w:t xml:space="preserve">, </w:t>
            </w:r>
            <w:r w:rsidRPr="00883202">
              <w:rPr>
                <w:b/>
              </w:rPr>
              <w:t xml:space="preserve">saldo důvěry v průmyslu* </w:t>
            </w:r>
            <w:r>
              <w:t xml:space="preserve">(v p. b., pravá </w:t>
            </w:r>
            <w:r w:rsidRPr="00883202">
              <w:t>osa)</w:t>
            </w:r>
          </w:p>
        </w:tc>
      </w:tr>
      <w:tr w:rsidR="00700E8A" w:rsidRPr="00B43216" w14:paraId="141BB6E9" w14:textId="77777777" w:rsidTr="00150ECA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728" w:type="dxa"/>
            <w:shd w:val="clear" w:color="auto" w:fill="auto"/>
          </w:tcPr>
          <w:p w14:paraId="3E40694C" w14:textId="77777777" w:rsidR="00700E8A" w:rsidRDefault="00700E8A" w:rsidP="00150ECA">
            <w:pPr>
              <w:pStyle w:val="Marginlie"/>
              <w:rPr>
                <w:spacing w:val="-4"/>
              </w:rPr>
            </w:pPr>
          </w:p>
        </w:tc>
        <w:tc>
          <w:tcPr>
            <w:tcW w:w="206" w:type="dxa"/>
            <w:shd w:val="clear" w:color="auto" w:fill="auto"/>
          </w:tcPr>
          <w:p w14:paraId="481452DD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</w:tcPr>
          <w:p w14:paraId="4EBBC259" w14:textId="77777777" w:rsidR="00700E8A" w:rsidRPr="00241E62" w:rsidRDefault="00700E8A" w:rsidP="00150ECA">
            <w:pPr>
              <w:spacing w:after="40"/>
              <w:rPr>
                <w:rFonts w:cs="Arial"/>
                <w:bCs/>
                <w:color w:val="00000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59254E" wp14:editId="52B90B8C">
                  <wp:extent cx="4817994" cy="3626053"/>
                  <wp:effectExtent l="0" t="0" r="1905" b="0"/>
                  <wp:docPr id="5" name="Graf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700E8A" w:rsidRPr="00B43216" w14:paraId="0EB0F55A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0644D5AD" w14:textId="77777777" w:rsidR="00700E8A" w:rsidRDefault="00700E8A" w:rsidP="00150ECA">
            <w:pPr>
              <w:pStyle w:val="Marginlie"/>
              <w:rPr>
                <w:spacing w:val="-4"/>
              </w:rPr>
            </w:pP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19C5F6D6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5A9B30EE" w14:textId="77777777" w:rsidR="00700E8A" w:rsidRPr="007A0D91" w:rsidRDefault="00700E8A" w:rsidP="00150ECA">
            <w:pPr>
              <w:tabs>
                <w:tab w:val="right" w:pos="7711"/>
              </w:tabs>
              <w:spacing w:after="200"/>
              <w:rPr>
                <w:rFonts w:cs="Arial"/>
                <w:sz w:val="14"/>
                <w:szCs w:val="14"/>
              </w:rPr>
            </w:pPr>
            <w:r w:rsidRPr="00883202">
              <w:rPr>
                <w:rFonts w:cs="Arial"/>
                <w:sz w:val="14"/>
                <w:szCs w:val="14"/>
              </w:rPr>
              <w:t xml:space="preserve">*Saldo důvěry je sezónně očištěno a vyjadřuje stav ve </w:t>
            </w:r>
            <w:r>
              <w:rPr>
                <w:rFonts w:cs="Arial"/>
                <w:sz w:val="14"/>
                <w:szCs w:val="14"/>
              </w:rPr>
              <w:t>druhém měsíci daného čtvrtletí.</w:t>
            </w:r>
            <w:r>
              <w:rPr>
                <w:rFonts w:cs="Arial"/>
                <w:sz w:val="14"/>
                <w:szCs w:val="14"/>
              </w:rPr>
              <w:tab/>
            </w:r>
            <w:r w:rsidRPr="00883202">
              <w:rPr>
                <w:rFonts w:cs="Arial"/>
                <w:sz w:val="14"/>
                <w:szCs w:val="14"/>
              </w:rPr>
              <w:t>Zdroj: ČSÚ</w:t>
            </w:r>
          </w:p>
        </w:tc>
      </w:tr>
      <w:tr w:rsidR="00700E8A" w:rsidRPr="00B43216" w14:paraId="160283BB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35C13DD6" w14:textId="77777777" w:rsidR="00700E8A" w:rsidRDefault="00700E8A" w:rsidP="00150ECA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Vyjma výroby motorových vozidel signalizovaly na počátku podzimu růst zakázek všechny </w:t>
            </w:r>
            <w:r>
              <w:rPr>
                <w:spacing w:val="0"/>
              </w:rPr>
              <w:lastRenderedPageBreak/>
              <w:t>významné průmyslové obory.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516E00CD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04218BF2" w14:textId="3FF2686C" w:rsidR="00700E8A" w:rsidRPr="00A56A2E" w:rsidRDefault="0015329F" w:rsidP="00150ECA">
            <w:pPr>
              <w:spacing w:after="200"/>
              <w:rPr>
                <w:color w:val="0D0D0D" w:themeColor="text1" w:themeTint="F2"/>
                <w:spacing w:val="-4"/>
                <w:highlight w:val="black"/>
              </w:rPr>
            </w:pPr>
            <w:r>
              <w:rPr>
                <w:color w:val="0D0D0D" w:themeColor="text1" w:themeTint="F2"/>
                <w:spacing w:val="-4"/>
              </w:rPr>
              <w:t>Nominální h</w:t>
            </w:r>
            <w:r w:rsidR="00700E8A" w:rsidRPr="00C8413E">
              <w:rPr>
                <w:color w:val="0D0D0D" w:themeColor="text1" w:themeTint="F2"/>
                <w:spacing w:val="-4"/>
              </w:rPr>
              <w:t>odnota průmyslových zakázek</w:t>
            </w:r>
            <w:r w:rsidR="00700E8A" w:rsidRPr="00C8413E">
              <w:rPr>
                <w:rStyle w:val="Znakapoznpodarou"/>
                <w:spacing w:val="-4"/>
              </w:rPr>
              <w:footnoteReference w:id="17"/>
            </w:r>
            <w:r w:rsidR="00700E8A">
              <w:rPr>
                <w:color w:val="0D0D0D" w:themeColor="text1" w:themeTint="F2"/>
                <w:spacing w:val="-4"/>
              </w:rPr>
              <w:t xml:space="preserve"> ve 3. čtvrtletí 2021 meziročně vzrostla o 7,2 %, domácí poptávka se zvyšovala nepatrně vyšším tempem než zahraniční. V září i říjnu se sice růst zakázek zastavil, ale prakticky jen vlivem automobilového průmyslu, který limitovaly dočasně omezené výrobní kapacity. Svižný meziroční růst poptávky tak v říjnu signalizovala </w:t>
            </w:r>
            <w:r w:rsidR="00700E8A">
              <w:rPr>
                <w:color w:val="0D0D0D" w:themeColor="text1" w:themeTint="F2"/>
                <w:spacing w:val="-4"/>
              </w:rPr>
              <w:lastRenderedPageBreak/>
              <w:t>většina významných průmyslových oborů – zejména chemický průmysl (35,6 %), hutnictví (34,0 %), strojírenství (1</w:t>
            </w:r>
            <w:r w:rsidR="00DC4AC4">
              <w:rPr>
                <w:color w:val="0D0D0D" w:themeColor="text1" w:themeTint="F2"/>
                <w:spacing w:val="-4"/>
              </w:rPr>
              <w:t>4,2 %) a kovodělný průmysl (11,7</w:t>
            </w:r>
            <w:r w:rsidR="00700E8A">
              <w:rPr>
                <w:color w:val="0D0D0D" w:themeColor="text1" w:themeTint="F2"/>
                <w:spacing w:val="-4"/>
              </w:rPr>
              <w:t xml:space="preserve"> %). </w:t>
            </w:r>
            <w:r w:rsidR="00700E8A" w:rsidRPr="00C8413E">
              <w:rPr>
                <w:color w:val="0D0D0D" w:themeColor="text1" w:themeTint="F2"/>
                <w:spacing w:val="-4"/>
              </w:rPr>
              <w:t>Využití výrobních kapacit v</w:t>
            </w:r>
            <w:r w:rsidR="00700E8A">
              <w:rPr>
                <w:color w:val="0D0D0D" w:themeColor="text1" w:themeTint="F2"/>
                <w:spacing w:val="-4"/>
              </w:rPr>
              <w:t> </w:t>
            </w:r>
            <w:r w:rsidR="00700E8A" w:rsidRPr="00C8413E">
              <w:rPr>
                <w:color w:val="0D0D0D" w:themeColor="text1" w:themeTint="F2"/>
                <w:spacing w:val="-4"/>
              </w:rPr>
              <w:t>průmyslu</w:t>
            </w:r>
            <w:r w:rsidR="00700E8A">
              <w:rPr>
                <w:color w:val="0D0D0D" w:themeColor="text1" w:themeTint="F2"/>
                <w:spacing w:val="-4"/>
              </w:rPr>
              <w:t xml:space="preserve"> zůstalo na počátku 4. čtvrtletí vysoké, ve většině oborů lehce převyšovalo úroveň z roku 2019. Nejvyšší vytíženost hlásil chemický průmysl (94 %), všechny významné obory vyjma výroby motorových vozidel se pohybovaly nad 80 %.</w:t>
            </w:r>
          </w:p>
        </w:tc>
      </w:tr>
      <w:tr w:rsidR="00700E8A" w:rsidRPr="00B43216" w14:paraId="1051D1E5" w14:textId="77777777" w:rsidTr="00150ECA">
        <w:trPr>
          <w:trHeight w:val="155"/>
        </w:trPr>
        <w:tc>
          <w:tcPr>
            <w:tcW w:w="1728" w:type="dxa"/>
            <w:vMerge w:val="restart"/>
            <w:shd w:val="clear" w:color="auto" w:fill="auto"/>
            <w:tcMar>
              <w:left w:w="0" w:type="dxa"/>
            </w:tcMar>
          </w:tcPr>
          <w:p w14:paraId="798454FA" w14:textId="77777777" w:rsidR="00700E8A" w:rsidRPr="00B43216" w:rsidRDefault="00700E8A" w:rsidP="00150ECA">
            <w:pPr>
              <w:pStyle w:val="Marginlie"/>
              <w:rPr>
                <w:spacing w:val="-4"/>
              </w:rPr>
            </w:pPr>
          </w:p>
        </w:tc>
        <w:tc>
          <w:tcPr>
            <w:tcW w:w="206" w:type="dxa"/>
            <w:vMerge w:val="restart"/>
            <w:shd w:val="clear" w:color="auto" w:fill="auto"/>
            <w:tcMar>
              <w:left w:w="0" w:type="dxa"/>
            </w:tcMar>
          </w:tcPr>
          <w:p w14:paraId="64BCF5ED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40336FB9" w14:textId="77777777" w:rsidR="00700E8A" w:rsidRPr="00760356" w:rsidRDefault="00700E8A" w:rsidP="00150ECA">
            <w:pPr>
              <w:pStyle w:val="Textpoznpodarou"/>
              <w:spacing w:line="276" w:lineRule="auto"/>
              <w:jc w:val="both"/>
              <w:rPr>
                <w:b/>
                <w:spacing w:val="-2"/>
              </w:rPr>
            </w:pPr>
            <w:r w:rsidRPr="00760356">
              <w:rPr>
                <w:b/>
                <w:spacing w:val="-2"/>
              </w:rPr>
              <w:t>Graf č. 5</w:t>
            </w:r>
            <w:r>
              <w:rPr>
                <w:b/>
                <w:spacing w:val="-2"/>
              </w:rPr>
              <w:t xml:space="preserve"> </w:t>
            </w:r>
            <w:r w:rsidRPr="00760356">
              <w:rPr>
                <w:b/>
                <w:spacing w:val="-2"/>
              </w:rPr>
              <w:t xml:space="preserve"> Nové zakázky v automobilovém průmyslu a</w:t>
            </w:r>
            <w:r>
              <w:rPr>
                <w:b/>
                <w:spacing w:val="-2"/>
              </w:rPr>
              <w:t> </w:t>
            </w:r>
            <w:r w:rsidRPr="00760356">
              <w:rPr>
                <w:b/>
                <w:spacing w:val="-2"/>
              </w:rPr>
              <w:t xml:space="preserve">v průmyslu celkem </w:t>
            </w:r>
            <w:r w:rsidRPr="00760356">
              <w:rPr>
                <w:bCs/>
                <w:spacing w:val="-2"/>
              </w:rPr>
              <w:t xml:space="preserve">(v běžných cenách, </w:t>
            </w:r>
            <w:r w:rsidRPr="00760356">
              <w:rPr>
                <w:spacing w:val="-2"/>
              </w:rPr>
              <w:t>meziročně</w:t>
            </w:r>
            <w:r w:rsidRPr="00760356">
              <w:rPr>
                <w:bCs/>
                <w:spacing w:val="-2"/>
              </w:rPr>
              <w:t xml:space="preserve"> v %)</w:t>
            </w:r>
            <w:r w:rsidRPr="00760356">
              <w:rPr>
                <w:b/>
                <w:spacing w:val="-2"/>
              </w:rPr>
              <w:t xml:space="preserve"> a využití výrobních kapacit v průmyslu*</w:t>
            </w:r>
            <w:r w:rsidRPr="00760356">
              <w:rPr>
                <w:spacing w:val="-2"/>
              </w:rPr>
              <w:t xml:space="preserve"> </w:t>
            </w:r>
            <w:r w:rsidRPr="00760356">
              <w:rPr>
                <w:b/>
                <w:spacing w:val="-2"/>
              </w:rPr>
              <w:t>a vybrané bariéry růstu</w:t>
            </w:r>
            <w:r w:rsidRPr="00760356">
              <w:rPr>
                <w:spacing w:val="-2"/>
              </w:rPr>
              <w:t>* (v %, pravá osa)</w:t>
            </w:r>
          </w:p>
        </w:tc>
      </w:tr>
      <w:tr w:rsidR="00700E8A" w:rsidRPr="00B43216" w14:paraId="573DA43C" w14:textId="77777777" w:rsidTr="00D7469D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728" w:type="dxa"/>
            <w:vMerge/>
            <w:shd w:val="clear" w:color="auto" w:fill="auto"/>
          </w:tcPr>
          <w:p w14:paraId="2DEDEED2" w14:textId="77777777" w:rsidR="00700E8A" w:rsidRPr="00B43216" w:rsidRDefault="00700E8A" w:rsidP="00150ECA">
            <w:pPr>
              <w:pStyle w:val="Marginlie"/>
              <w:rPr>
                <w:spacing w:val="-4"/>
              </w:rPr>
            </w:pPr>
          </w:p>
        </w:tc>
        <w:tc>
          <w:tcPr>
            <w:tcW w:w="206" w:type="dxa"/>
            <w:vMerge/>
            <w:shd w:val="clear" w:color="auto" w:fill="auto"/>
          </w:tcPr>
          <w:p w14:paraId="1BEFC3B6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</w:tcPr>
          <w:p w14:paraId="5833D34A" w14:textId="574DBC37" w:rsidR="00700E8A" w:rsidRPr="00B43216" w:rsidRDefault="00D7469D" w:rsidP="00150ECA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5C3A7414" wp14:editId="1B1A5A79">
                  <wp:extent cx="4817745" cy="3651990"/>
                  <wp:effectExtent l="0" t="0" r="1905" b="5715"/>
                  <wp:docPr id="12" name="Graf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700E8A" w:rsidRPr="00B43216" w14:paraId="3040ECA7" w14:textId="77777777" w:rsidTr="00150ECA">
        <w:trPr>
          <w:trHeight w:val="152"/>
        </w:trPr>
        <w:tc>
          <w:tcPr>
            <w:tcW w:w="1728" w:type="dxa"/>
            <w:vMerge/>
            <w:shd w:val="clear" w:color="auto" w:fill="auto"/>
            <w:tcMar>
              <w:left w:w="0" w:type="dxa"/>
            </w:tcMar>
          </w:tcPr>
          <w:p w14:paraId="72D27047" w14:textId="77777777" w:rsidR="00700E8A" w:rsidRPr="00B43216" w:rsidRDefault="00700E8A" w:rsidP="00150ECA">
            <w:pPr>
              <w:pStyle w:val="Marginlie"/>
              <w:rPr>
                <w:spacing w:val="-4"/>
              </w:rPr>
            </w:pPr>
          </w:p>
        </w:tc>
        <w:tc>
          <w:tcPr>
            <w:tcW w:w="206" w:type="dxa"/>
            <w:vMerge/>
            <w:shd w:val="clear" w:color="auto" w:fill="auto"/>
            <w:tcMar>
              <w:left w:w="0" w:type="dxa"/>
            </w:tcMar>
          </w:tcPr>
          <w:p w14:paraId="0E2A55DF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092D0C14" w14:textId="77777777" w:rsidR="00700E8A" w:rsidRDefault="00700E8A" w:rsidP="00150ECA">
            <w:pPr>
              <w:tabs>
                <w:tab w:val="right" w:pos="7711"/>
              </w:tabs>
              <w:spacing w:after="0"/>
              <w:rPr>
                <w:rFonts w:cs="Arial"/>
                <w:sz w:val="14"/>
                <w:szCs w:val="14"/>
              </w:rPr>
            </w:pPr>
            <w:r w:rsidRPr="00883202">
              <w:rPr>
                <w:rFonts w:cs="Arial"/>
                <w:sz w:val="14"/>
                <w:szCs w:val="14"/>
              </w:rPr>
              <w:t>*Využití průmys</w:t>
            </w:r>
            <w:r>
              <w:rPr>
                <w:rFonts w:cs="Arial"/>
                <w:sz w:val="14"/>
                <w:szCs w:val="14"/>
              </w:rPr>
              <w:t xml:space="preserve">lových kapacit i bariéry růstu </w:t>
            </w:r>
            <w:r w:rsidRPr="00883202">
              <w:rPr>
                <w:rFonts w:cs="Arial"/>
                <w:spacing w:val="-2"/>
                <w:sz w:val="14"/>
                <w:szCs w:val="14"/>
              </w:rPr>
              <w:t xml:space="preserve">jsou sezónně očištěny </w:t>
            </w:r>
            <w:r>
              <w:rPr>
                <w:rFonts w:cs="Arial"/>
                <w:spacing w:val="-2"/>
                <w:sz w:val="14"/>
                <w:szCs w:val="14"/>
              </w:rPr>
              <w:t>a </w:t>
            </w:r>
            <w:r>
              <w:rPr>
                <w:rFonts w:cs="Arial"/>
                <w:sz w:val="14"/>
                <w:szCs w:val="14"/>
              </w:rPr>
              <w:t xml:space="preserve">vyjadřují stav v prvním </w:t>
            </w:r>
            <w:r w:rsidRPr="00883202">
              <w:rPr>
                <w:rFonts w:cs="Arial"/>
                <w:sz w:val="14"/>
                <w:szCs w:val="14"/>
              </w:rPr>
              <w:t>měsíci daného čtvrtletí.</w:t>
            </w:r>
            <w:r>
              <w:rPr>
                <w:rFonts w:cs="Arial"/>
                <w:sz w:val="14"/>
                <w:szCs w:val="14"/>
              </w:rPr>
              <w:t xml:space="preserve"> Podniky mohly uvést více hlavních bariér současně.</w:t>
            </w:r>
            <w:r>
              <w:rPr>
                <w:rFonts w:cs="Arial"/>
                <w:sz w:val="14"/>
                <w:szCs w:val="14"/>
              </w:rPr>
              <w:tab/>
            </w:r>
            <w:r w:rsidRPr="00883202">
              <w:rPr>
                <w:rFonts w:cs="Arial"/>
                <w:sz w:val="14"/>
                <w:szCs w:val="14"/>
              </w:rPr>
              <w:t>Zdroj: ČSÚ</w:t>
            </w:r>
            <w:r>
              <w:rPr>
                <w:rFonts w:cs="Arial"/>
                <w:sz w:val="14"/>
                <w:szCs w:val="14"/>
              </w:rPr>
              <w:t>, Eurostat</w:t>
            </w:r>
          </w:p>
          <w:p w14:paraId="20351A5C" w14:textId="77777777" w:rsidR="00700E8A" w:rsidRPr="008C5037" w:rsidRDefault="00700E8A" w:rsidP="00150ECA">
            <w:pPr>
              <w:spacing w:after="0"/>
              <w:rPr>
                <w:rFonts w:cs="Arial"/>
                <w:sz w:val="14"/>
                <w:szCs w:val="14"/>
              </w:rPr>
            </w:pPr>
          </w:p>
        </w:tc>
      </w:tr>
      <w:tr w:rsidR="00700E8A" w:rsidRPr="00191C35" w14:paraId="278EDD60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45C3831B" w14:textId="77777777" w:rsidR="00700E8A" w:rsidRDefault="00700E8A" w:rsidP="00150ECA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Důvěra podnikatelů v průmyslu se ve 3. čtvrtletí výrazně snížila.</w:t>
            </w:r>
          </w:p>
          <w:p w14:paraId="788984BD" w14:textId="77777777" w:rsidR="00700E8A" w:rsidRDefault="00700E8A" w:rsidP="00150ECA">
            <w:pPr>
              <w:pStyle w:val="Marginlie"/>
              <w:rPr>
                <w:spacing w:val="0"/>
              </w:rPr>
            </w:pPr>
          </w:p>
          <w:p w14:paraId="4EB63002" w14:textId="77777777" w:rsidR="00700E8A" w:rsidRDefault="00700E8A" w:rsidP="00150ECA">
            <w:pPr>
              <w:pStyle w:val="Marginlie"/>
              <w:rPr>
                <w:spacing w:val="0"/>
              </w:rPr>
            </w:pPr>
          </w:p>
          <w:p w14:paraId="3E5CA58D" w14:textId="77777777" w:rsidR="00700E8A" w:rsidRDefault="00700E8A" w:rsidP="00150ECA">
            <w:pPr>
              <w:pStyle w:val="Marginlie"/>
              <w:rPr>
                <w:spacing w:val="0"/>
              </w:rPr>
            </w:pPr>
          </w:p>
          <w:p w14:paraId="0347F07D" w14:textId="77777777" w:rsidR="00700E8A" w:rsidRDefault="00700E8A" w:rsidP="00150ECA">
            <w:pPr>
              <w:pStyle w:val="Marginlie"/>
              <w:rPr>
                <w:spacing w:val="0"/>
              </w:rPr>
            </w:pPr>
          </w:p>
          <w:p w14:paraId="79E18BDA" w14:textId="77777777" w:rsidR="00700E8A" w:rsidRDefault="00700E8A" w:rsidP="00150ECA">
            <w:pPr>
              <w:pStyle w:val="Marginlie"/>
              <w:rPr>
                <w:spacing w:val="0"/>
              </w:rPr>
            </w:pPr>
          </w:p>
          <w:p w14:paraId="5CBF1CFD" w14:textId="77777777" w:rsidR="00700E8A" w:rsidRDefault="00700E8A" w:rsidP="00150ECA">
            <w:pPr>
              <w:pStyle w:val="Marginlie"/>
              <w:rPr>
                <w:spacing w:val="0"/>
              </w:rPr>
            </w:pPr>
          </w:p>
          <w:p w14:paraId="2AC7EAF5" w14:textId="77777777" w:rsidR="00700E8A" w:rsidRDefault="00700E8A" w:rsidP="00150ECA">
            <w:pPr>
              <w:pStyle w:val="Marginlie"/>
            </w:pPr>
            <w:r>
              <w:rPr>
                <w:spacing w:val="0"/>
              </w:rPr>
              <w:t>Nedostatek materiálu i zařízení limitoval skoro polovinu průmyslových podniků v ČR i EU.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528D72B3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177611A0" w14:textId="77777777" w:rsidR="00700E8A" w:rsidRDefault="00700E8A" w:rsidP="00150ECA">
            <w:pPr>
              <w:spacing w:after="160"/>
              <w:rPr>
                <w:spacing w:val="-4"/>
              </w:rPr>
            </w:pPr>
            <w:r w:rsidRPr="004D3151">
              <w:rPr>
                <w:color w:val="0D0D0D" w:themeColor="text1" w:themeTint="F2"/>
                <w:spacing w:val="-4"/>
              </w:rPr>
              <w:t>Důvěra podnikatelů v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4D3151">
              <w:rPr>
                <w:color w:val="0D0D0D" w:themeColor="text1" w:themeTint="F2"/>
                <w:spacing w:val="-4"/>
              </w:rPr>
              <w:t>průmyslu</w:t>
            </w:r>
            <w:r>
              <w:rPr>
                <w:color w:val="0D0D0D" w:themeColor="text1" w:themeTint="F2"/>
                <w:spacing w:val="-4"/>
              </w:rPr>
              <w:t xml:space="preserve"> se během roku 2021 výrazně proměňovala. Po červnovém maximu (s nejvyšší hodnotou za posledních deset let) plynule oslabovala až do října, kdy byl pesimismus nejhlubší od loňského jara. V listopadu došlo vlivem částečného obnovení výroby v automobilovém průmyslu k oživení a celková důvěra se vrátila na úroveň z přelomu let 2019 a 2020</w:t>
            </w:r>
            <w:r w:rsidRPr="00134635">
              <w:rPr>
                <w:color w:val="0D0D0D" w:themeColor="text1" w:themeTint="F2"/>
                <w:spacing w:val="-4"/>
              </w:rPr>
              <w:t>.</w:t>
            </w:r>
            <w:r w:rsidRPr="00134635">
              <w:rPr>
                <w:spacing w:val="-5"/>
              </w:rPr>
              <w:t xml:space="preserve"> Očekávání výrobní činnosti v příštích měsících se zlepšilo.</w:t>
            </w:r>
            <w:r w:rsidRPr="00864981">
              <w:rPr>
                <w:spacing w:val="-5"/>
              </w:rPr>
              <w:t xml:space="preserve"> Její růst předpokládala čtvrtina podniků v</w:t>
            </w:r>
            <w:r>
              <w:rPr>
                <w:spacing w:val="-5"/>
              </w:rPr>
              <w:t xml:space="preserve"> celém </w:t>
            </w:r>
            <w:r w:rsidRPr="00864981">
              <w:rPr>
                <w:spacing w:val="-5"/>
              </w:rPr>
              <w:t>průmyslu, pokles pětina</w:t>
            </w:r>
            <w:r>
              <w:rPr>
                <w:spacing w:val="-5"/>
              </w:rPr>
              <w:t xml:space="preserve">. Výhled celkové ekonomické situace podniků v průmyslu na příštích šest měsíců zůstal podobně jako očekávání v oblasti zaměstnanosti mírně pozitivní. </w:t>
            </w:r>
            <w:r w:rsidRPr="00B12B9E">
              <w:rPr>
                <w:color w:val="0D0D0D" w:themeColor="text1" w:themeTint="F2"/>
                <w:spacing w:val="-4"/>
              </w:rPr>
              <w:t>Hlavní růstovou bariérou</w:t>
            </w:r>
            <w:r w:rsidRPr="00B12B9E">
              <w:rPr>
                <w:rStyle w:val="Znakapoznpodarou"/>
                <w:color w:val="0D0D0D" w:themeColor="text1" w:themeTint="F2"/>
                <w:spacing w:val="-4"/>
              </w:rPr>
              <w:footnoteReference w:id="18"/>
            </w:r>
            <w:r>
              <w:rPr>
                <w:color w:val="0D0D0D" w:themeColor="text1" w:themeTint="F2"/>
                <w:spacing w:val="-4"/>
              </w:rPr>
              <w:t xml:space="preserve"> zůstává nedostatek materiálu a zařízení, který na počátku 4. čtvrtletí trápil skoro polovinu průmyslových podniků v tuzemsku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9"/>
            </w:r>
            <w:r>
              <w:rPr>
                <w:color w:val="0D0D0D" w:themeColor="text1" w:themeTint="F2"/>
                <w:spacing w:val="-4"/>
              </w:rPr>
              <w:t>, ale i v EU. Nedostatečná poptávka sužovala více než čtvrtinu podniků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20"/>
            </w:r>
            <w:r>
              <w:rPr>
                <w:color w:val="0D0D0D" w:themeColor="text1" w:themeTint="F2"/>
                <w:spacing w:val="-4"/>
              </w:rPr>
              <w:t>. P</w:t>
            </w:r>
            <w:r>
              <w:rPr>
                <w:color w:val="0D0D0D" w:themeColor="text1" w:themeTint="F2"/>
                <w:spacing w:val="-3"/>
              </w:rPr>
              <w:t xml:space="preserve">růmysl stále limitoval i nedostatek zejména kvalifikované pracovní síly, byť s ohledem na pokles zaměstnanosti během pandemie nebyl zatím letos tento problém tak palčivý jako v letech 2017 a 2019. Jako bariéru ho označila „jen“ pětina podniků, v některých oborech ale stále </w:t>
            </w:r>
            <w:r>
              <w:rPr>
                <w:color w:val="0D0D0D" w:themeColor="text1" w:themeTint="F2"/>
                <w:spacing w:val="-4"/>
              </w:rPr>
              <w:t>představoval nejvýznamnější růstovou bariéru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21"/>
            </w:r>
            <w:r>
              <w:rPr>
                <w:color w:val="0D0D0D" w:themeColor="text1" w:themeTint="F2"/>
                <w:spacing w:val="-4"/>
              </w:rPr>
              <w:t>.</w:t>
            </w:r>
          </w:p>
        </w:tc>
      </w:tr>
      <w:tr w:rsidR="00700E8A" w:rsidRPr="00191C35" w14:paraId="6B67DD13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2ECF72D5" w14:textId="77777777" w:rsidR="00700E8A" w:rsidRDefault="00700E8A" w:rsidP="00150ECA">
            <w:pPr>
              <w:pStyle w:val="Marginlie"/>
            </w:pPr>
            <w:r>
              <w:lastRenderedPageBreak/>
              <w:t>Mezikvartální tempo stavební produkce během letošního roku sláblo, především vlivem inženýrského stavitelství.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67752FBE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15B5681D" w14:textId="2B580FD7" w:rsidR="00700E8A" w:rsidRPr="00225000" w:rsidRDefault="00700E8A" w:rsidP="0015329F">
            <w:pPr>
              <w:spacing w:after="160"/>
              <w:rPr>
                <w:spacing w:val="-5"/>
              </w:rPr>
            </w:pPr>
            <w:r w:rsidRPr="00225000">
              <w:rPr>
                <w:spacing w:val="-5"/>
              </w:rPr>
              <w:t>Navzdory některým růstovým předpokladům souvisejícím zejména s plánovanými veřejnými investicemi na dopravní infrastrukturu</w:t>
            </w:r>
            <w:r w:rsidRPr="00225000">
              <w:rPr>
                <w:rStyle w:val="Znakapoznpodarou"/>
                <w:spacing w:val="-5"/>
              </w:rPr>
              <w:footnoteReference w:id="22"/>
            </w:r>
            <w:r w:rsidRPr="00225000">
              <w:rPr>
                <w:spacing w:val="-5"/>
              </w:rPr>
              <w:t xml:space="preserve"> se stavebnictví v dosavadní části letošního roku zotavovalo </w:t>
            </w:r>
            <w:r w:rsidRPr="00225000">
              <w:rPr>
                <w:color w:val="0D0D0D" w:themeColor="text1" w:themeTint="F2"/>
                <w:spacing w:val="-5"/>
              </w:rPr>
              <w:t xml:space="preserve">pomalu. Mezikvartální tempo </w:t>
            </w:r>
            <w:r w:rsidRPr="00225000">
              <w:rPr>
                <w:rFonts w:cs="Arial"/>
                <w:color w:val="0D0D0D" w:themeColor="text1" w:themeTint="F2"/>
                <w:spacing w:val="-5"/>
              </w:rPr>
              <w:t>stavební produkce</w:t>
            </w:r>
            <w:r w:rsidRPr="00225000">
              <w:rPr>
                <w:rStyle w:val="Znakapoznpodarou"/>
                <w:color w:val="0D0D0D" w:themeColor="text1" w:themeTint="F2"/>
                <w:spacing w:val="-5"/>
              </w:rPr>
              <w:footnoteReference w:id="23"/>
            </w:r>
            <w:r w:rsidRPr="00225000">
              <w:rPr>
                <w:rFonts w:cs="Arial"/>
                <w:color w:val="0D0D0D" w:themeColor="text1" w:themeTint="F2"/>
                <w:spacing w:val="-5"/>
              </w:rPr>
              <w:t xml:space="preserve"> sice v 1. čtvrtletí dosáhlo 2,6</w:t>
            </w:r>
            <w:r w:rsidRPr="00225000">
              <w:rPr>
                <w:rFonts w:cs="Arial"/>
                <w:color w:val="0D0D0D"/>
                <w:spacing w:val="-5"/>
              </w:rPr>
              <w:t> </w:t>
            </w:r>
            <w:r w:rsidRPr="00225000">
              <w:rPr>
                <w:rFonts w:cs="Arial"/>
                <w:color w:val="0D0D0D" w:themeColor="text1" w:themeTint="F2"/>
                <w:spacing w:val="-5"/>
              </w:rPr>
              <w:t xml:space="preserve">%, v dalších obdobích ale sláblo a během 3. čtvrtletí již výkon celého odvětví o 1,3 % poklesl. Stálo za tím primárně inženýrské stavitelství, na něž postupně dolehlo pomalejší čerpání veřejných investic. Za celé 1. až 3. čtvrtletí výkon celého stavebnictví meziročně stagnoval, neboť růst produkce v oblasti inženýrských staveb (2,4 %) byl oslabován poklesem ve váhově dominantním pozemním stavitelství (0,7 %). </w:t>
            </w:r>
            <w:r w:rsidR="0015329F" w:rsidRPr="00225000">
              <w:rPr>
                <w:rFonts w:cs="Arial"/>
                <w:color w:val="0D0D0D" w:themeColor="text1" w:themeTint="F2"/>
                <w:spacing w:val="-5"/>
              </w:rPr>
              <w:t>Ve 3. čtvrtletí výkon obou segmentů stavebnictví meziročně mírně vzrostl. Za úrovní produkce z 3. čtvrtle</w:t>
            </w:r>
            <w:r w:rsidR="00225000">
              <w:rPr>
                <w:rFonts w:cs="Arial"/>
                <w:color w:val="0D0D0D" w:themeColor="text1" w:themeTint="F2"/>
                <w:spacing w:val="-5"/>
              </w:rPr>
              <w:t>tí 2019 ale pozemní (o 8,5 %) i</w:t>
            </w:r>
            <w:r w:rsidR="00225000" w:rsidRPr="00225000">
              <w:rPr>
                <w:rFonts w:cs="Arial"/>
                <w:color w:val="0D0D0D" w:themeColor="text1" w:themeTint="F2"/>
                <w:spacing w:val="-5"/>
              </w:rPr>
              <w:t> </w:t>
            </w:r>
            <w:r w:rsidR="0015329F" w:rsidRPr="00225000">
              <w:rPr>
                <w:rFonts w:cs="Arial"/>
                <w:color w:val="0D0D0D" w:themeColor="text1" w:themeTint="F2"/>
                <w:spacing w:val="-5"/>
              </w:rPr>
              <w:t xml:space="preserve">inženýrské stavitelství (o 5,1 %) zaostalo. </w:t>
            </w:r>
            <w:r w:rsidRPr="00225000">
              <w:rPr>
                <w:rFonts w:cs="Arial"/>
                <w:color w:val="0D0D0D" w:themeColor="text1" w:themeTint="F2"/>
                <w:spacing w:val="-5"/>
              </w:rPr>
              <w:t>Byť stavebnictví nebylo letos protipandemickými restrikcemi bezprostředně zasaženo, dopady loňských opatření ho stále ovlivňovaly (např. v oblasti administrativní náročnosti přípravy staveb či mobility zahraničních pracovníků).</w:t>
            </w:r>
          </w:p>
        </w:tc>
      </w:tr>
      <w:tr w:rsidR="00700E8A" w:rsidRPr="00191C35" w14:paraId="7091CFAF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0A99191E" w14:textId="77777777" w:rsidR="00700E8A" w:rsidRDefault="00700E8A" w:rsidP="00150ECA">
            <w:pPr>
              <w:pStyle w:val="Marginlie"/>
            </w:pP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2E654713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7E648010" w14:textId="77777777" w:rsidR="00700E8A" w:rsidRPr="00FE5237" w:rsidRDefault="00700E8A" w:rsidP="00150ECA">
            <w:pPr>
              <w:spacing w:after="0"/>
              <w:rPr>
                <w:spacing w:val="-4"/>
              </w:rPr>
            </w:pPr>
            <w:r w:rsidRPr="00883202">
              <w:rPr>
                <w:b/>
              </w:rPr>
              <w:t>Graf č. 6</w:t>
            </w:r>
            <w:r>
              <w:rPr>
                <w:b/>
              </w:rPr>
              <w:t xml:space="preserve"> </w:t>
            </w:r>
            <w:r w:rsidRPr="00883202">
              <w:rPr>
                <w:b/>
              </w:rPr>
              <w:t xml:space="preserve"> Příspěvky odvětví k meziroční změně stavební produkce </w:t>
            </w:r>
            <w:r w:rsidRPr="00883202">
              <w:t>(v p. b.)</w:t>
            </w:r>
            <w:r w:rsidRPr="00883202">
              <w:rPr>
                <w:b/>
                <w:bCs/>
              </w:rPr>
              <w:t>,</w:t>
            </w:r>
            <w:r w:rsidRPr="00883202">
              <w:rPr>
                <w:b/>
                <w:bCs/>
              </w:rPr>
              <w:br/>
            </w:r>
            <w:r w:rsidRPr="00883202">
              <w:rPr>
                <w:b/>
              </w:rPr>
              <w:t xml:space="preserve">nové stavební zakázky </w:t>
            </w:r>
            <w:r w:rsidRPr="00883202">
              <w:rPr>
                <w:bCs/>
              </w:rPr>
              <w:t>(</w:t>
            </w:r>
            <w:r w:rsidRPr="00883202">
              <w:t>meziročně</w:t>
            </w:r>
            <w:r w:rsidRPr="00883202">
              <w:rPr>
                <w:bCs/>
              </w:rPr>
              <w:t xml:space="preserve"> v %</w:t>
            </w:r>
            <w:r w:rsidRPr="00883202">
              <w:t>, pravá osa</w:t>
            </w:r>
            <w:r w:rsidRPr="00883202">
              <w:rPr>
                <w:bCs/>
              </w:rPr>
              <w:t>)</w:t>
            </w:r>
            <w:r w:rsidRPr="00883202">
              <w:rPr>
                <w:b/>
              </w:rPr>
              <w:t>, saldo indikátoru důvěry ve stavebnictví*</w:t>
            </w:r>
            <w:r w:rsidRPr="00883202">
              <w:t xml:space="preserve"> (v p. b., pravá osa) </w:t>
            </w:r>
            <w:r w:rsidRPr="00883202">
              <w:rPr>
                <w:b/>
              </w:rPr>
              <w:t>a vybrané bariéry růstu</w:t>
            </w:r>
            <w:r w:rsidRPr="00883202">
              <w:t>* (v %, pravá osa)</w:t>
            </w:r>
          </w:p>
        </w:tc>
      </w:tr>
      <w:tr w:rsidR="00700E8A" w:rsidRPr="00191C35" w14:paraId="17D4BA19" w14:textId="77777777" w:rsidTr="00D7469D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728" w:type="dxa"/>
            <w:shd w:val="clear" w:color="auto" w:fill="auto"/>
          </w:tcPr>
          <w:p w14:paraId="24D95FBE" w14:textId="77777777" w:rsidR="00700E8A" w:rsidRDefault="00700E8A" w:rsidP="00150ECA">
            <w:pPr>
              <w:pStyle w:val="Marginlie"/>
            </w:pPr>
          </w:p>
        </w:tc>
        <w:tc>
          <w:tcPr>
            <w:tcW w:w="206" w:type="dxa"/>
            <w:shd w:val="clear" w:color="auto" w:fill="auto"/>
          </w:tcPr>
          <w:p w14:paraId="423AB68B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</w:tcPr>
          <w:p w14:paraId="6179C703" w14:textId="103B3EC5" w:rsidR="00700E8A" w:rsidRPr="003E01D3" w:rsidRDefault="00D7469D" w:rsidP="00150ECA">
            <w:pPr>
              <w:spacing w:after="0"/>
              <w:rPr>
                <w:b/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4BE3BA9F" wp14:editId="3A9FB4CD">
                  <wp:extent cx="4817745" cy="3454400"/>
                  <wp:effectExtent l="0" t="0" r="1905" b="0"/>
                  <wp:docPr id="15" name="Graf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700E8A" w:rsidRPr="00191C35" w14:paraId="34AA91AE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56F41C29" w14:textId="77777777" w:rsidR="00700E8A" w:rsidRDefault="00700E8A" w:rsidP="00150ECA">
            <w:pPr>
              <w:pStyle w:val="Marginlie"/>
            </w:pP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6DE92AE2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251EFFB6" w14:textId="77777777" w:rsidR="00700E8A" w:rsidRPr="00883202" w:rsidRDefault="00700E8A" w:rsidP="00150ECA">
            <w:pPr>
              <w:spacing w:after="0"/>
              <w:rPr>
                <w:rFonts w:cs="Arial"/>
                <w:sz w:val="14"/>
                <w:szCs w:val="14"/>
              </w:rPr>
            </w:pPr>
            <w:r w:rsidRPr="00883202">
              <w:rPr>
                <w:rFonts w:cs="Arial"/>
                <w:sz w:val="14"/>
                <w:szCs w:val="14"/>
              </w:rPr>
              <w:t>Údaje o stavební produkci jsou očištěny o kalendářní vlivy.</w:t>
            </w:r>
          </w:p>
          <w:p w14:paraId="3144BA44" w14:textId="77777777" w:rsidR="00700E8A" w:rsidRPr="00FC6785" w:rsidRDefault="00700E8A" w:rsidP="00150ECA">
            <w:pPr>
              <w:tabs>
                <w:tab w:val="right" w:pos="7711"/>
              </w:tabs>
              <w:rPr>
                <w:rFonts w:cs="Arial"/>
                <w:sz w:val="14"/>
                <w:szCs w:val="14"/>
              </w:rPr>
            </w:pPr>
            <w:r w:rsidRPr="00883202">
              <w:rPr>
                <w:rFonts w:cs="Arial"/>
                <w:sz w:val="14"/>
                <w:szCs w:val="14"/>
              </w:rPr>
              <w:t>*</w:t>
            </w:r>
            <w:r w:rsidRPr="00883202">
              <w:rPr>
                <w:rFonts w:cs="Arial"/>
                <w:spacing w:val="-2"/>
                <w:sz w:val="14"/>
                <w:szCs w:val="14"/>
              </w:rPr>
              <w:t>Saldo důvěry i bariéry růstu jsou sezónně očištěny a vyjadřují stav ve druhém měsíci daného čtvrtletí</w:t>
            </w:r>
            <w:r w:rsidRPr="00883202">
              <w:rPr>
                <w:rFonts w:cs="Arial"/>
                <w:sz w:val="14"/>
                <w:szCs w:val="14"/>
              </w:rPr>
              <w:t>.</w:t>
            </w:r>
            <w:r>
              <w:rPr>
                <w:rFonts w:cs="Arial"/>
                <w:sz w:val="14"/>
                <w:szCs w:val="14"/>
              </w:rPr>
              <w:t xml:space="preserve"> Podniky mohly uvést více hlavních bariér současně.</w:t>
            </w:r>
            <w:r>
              <w:rPr>
                <w:rFonts w:cs="Arial"/>
                <w:sz w:val="14"/>
                <w:szCs w:val="14"/>
              </w:rPr>
              <w:tab/>
            </w:r>
            <w:r w:rsidRPr="00883202">
              <w:rPr>
                <w:rFonts w:cs="Arial"/>
                <w:sz w:val="14"/>
                <w:szCs w:val="14"/>
              </w:rPr>
              <w:t>Zdroj: ČSÚ</w:t>
            </w:r>
            <w:r>
              <w:rPr>
                <w:rFonts w:cs="Arial"/>
                <w:sz w:val="14"/>
                <w:szCs w:val="14"/>
              </w:rPr>
              <w:t>, Eurostat</w:t>
            </w:r>
          </w:p>
        </w:tc>
      </w:tr>
      <w:tr w:rsidR="00700E8A" w:rsidRPr="00191C35" w14:paraId="62600CAC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0EA384EC" w14:textId="77777777" w:rsidR="00700E8A" w:rsidRDefault="00700E8A" w:rsidP="00150ECA">
            <w:pPr>
              <w:pStyle w:val="Marginlie"/>
            </w:pPr>
            <w:r>
              <w:t>Počet zahájených i dokončených bytů se blížil úrovni z konjunkturních let 2007 a 2008.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322F1ADE" w14:textId="77777777" w:rsidR="00700E8A" w:rsidRPr="00B34A3C" w:rsidRDefault="00700E8A" w:rsidP="00150ECA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542674EA" w14:textId="77777777" w:rsidR="00700E8A" w:rsidRPr="00E02502" w:rsidRDefault="00700E8A" w:rsidP="00150ECA">
            <w:pPr>
              <w:spacing w:after="160"/>
              <w:rPr>
                <w:color w:val="0D0D0D" w:themeColor="text1" w:themeTint="F2"/>
                <w:spacing w:val="-2"/>
              </w:rPr>
            </w:pPr>
            <w:r w:rsidRPr="00143E58">
              <w:rPr>
                <w:spacing w:val="-4"/>
              </w:rPr>
              <w:t>Pozemnímu stavitelství pomáhal rozvoj bytové výstavby. Od ledna do října byla letos zahájena výstavba 36,0</w:t>
            </w:r>
            <w:r>
              <w:rPr>
                <w:spacing w:val="-4"/>
              </w:rPr>
              <w:t> tis.</w:t>
            </w:r>
            <w:r w:rsidRPr="00143E58">
              <w:rPr>
                <w:spacing w:val="-4"/>
              </w:rPr>
              <w:t xml:space="preserve"> bytů, což bylo jen nepatrně méně než ve stejném období rekordních let 2007 </w:t>
            </w:r>
            <w:r>
              <w:rPr>
                <w:spacing w:val="-4"/>
              </w:rPr>
              <w:t>a </w:t>
            </w:r>
            <w:r w:rsidRPr="00143E58">
              <w:rPr>
                <w:spacing w:val="-4"/>
              </w:rPr>
              <w:t xml:space="preserve">2008. Dařilo se zejména výstavbě bytových </w:t>
            </w:r>
            <w:r>
              <w:rPr>
                <w:spacing w:val="-4"/>
              </w:rPr>
              <w:t>domů, především zásluhou Prahy a </w:t>
            </w:r>
            <w:r w:rsidRPr="00143E58">
              <w:rPr>
                <w:spacing w:val="-4"/>
              </w:rPr>
              <w:t xml:space="preserve">Středočeského </w:t>
            </w:r>
            <w:r>
              <w:rPr>
                <w:spacing w:val="-4"/>
              </w:rPr>
              <w:t>kraje. Mírnějším tempem se meziročně zvyšoval i počet dokončených bytů v ČR. Od ledna do října</w:t>
            </w:r>
            <w:r w:rsidRPr="00143E58">
              <w:rPr>
                <w:spacing w:val="-4"/>
              </w:rPr>
              <w:t xml:space="preserve"> </w:t>
            </w:r>
            <w:r>
              <w:rPr>
                <w:spacing w:val="-4"/>
              </w:rPr>
              <w:t>jich bylo již</w:t>
            </w:r>
            <w:r w:rsidRPr="00143E58">
              <w:rPr>
                <w:spacing w:val="-4"/>
              </w:rPr>
              <w:t xml:space="preserve"> 27,7</w:t>
            </w:r>
            <w:r>
              <w:rPr>
                <w:spacing w:val="-4"/>
              </w:rPr>
              <w:t> tis.</w:t>
            </w:r>
            <w:r w:rsidRPr="00143E58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a ani </w:t>
            </w:r>
            <w:r w:rsidRPr="00143E58">
              <w:rPr>
                <w:spacing w:val="-4"/>
              </w:rPr>
              <w:t>jejich počet za konjunkturním rokem 2008 příliš nezaostal. Navíc v</w:t>
            </w:r>
            <w:r>
              <w:rPr>
                <w:spacing w:val="-4"/>
              </w:rPr>
              <w:t> </w:t>
            </w:r>
            <w:r w:rsidRPr="00143E58">
              <w:rPr>
                <w:spacing w:val="-4"/>
              </w:rPr>
              <w:t>kategorii bytů v rodinných domech byl letos vyrovnán rekordní loňský objem výstavby (15,4</w:t>
            </w:r>
            <w:r>
              <w:rPr>
                <w:spacing w:val="-4"/>
              </w:rPr>
              <w:t> tis.</w:t>
            </w:r>
            <w:r w:rsidRPr="00143E58">
              <w:rPr>
                <w:spacing w:val="-4"/>
              </w:rPr>
              <w:t>).</w:t>
            </w:r>
          </w:p>
        </w:tc>
      </w:tr>
      <w:tr w:rsidR="00700E8A" w:rsidRPr="00191C35" w14:paraId="3895FCF1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19D31042" w14:textId="77777777" w:rsidR="00700E8A" w:rsidRDefault="00700E8A" w:rsidP="00150ECA">
            <w:pPr>
              <w:pStyle w:val="Marginlie"/>
            </w:pPr>
            <w:r>
              <w:t xml:space="preserve">Svižný růst nových zakázek i orientační hodnoty stavebních povolení pokračoval i ve 3. čtvrtletí. Stále více se </w:t>
            </w:r>
            <w:r>
              <w:lastRenderedPageBreak/>
              <w:t>v nich ovšem projevovaly i sílící nákladové tlaky stavebníků.</w:t>
            </w:r>
          </w:p>
          <w:p w14:paraId="51236B6C" w14:textId="77777777" w:rsidR="00700E8A" w:rsidRDefault="00700E8A" w:rsidP="00150ECA">
            <w:pPr>
              <w:pStyle w:val="Marginlie"/>
            </w:pPr>
          </w:p>
          <w:p w14:paraId="56DCF7F5" w14:textId="77777777" w:rsidR="00700E8A" w:rsidRDefault="00700E8A" w:rsidP="00150ECA">
            <w:pPr>
              <w:pStyle w:val="Marginlie"/>
            </w:pPr>
          </w:p>
          <w:p w14:paraId="76215727" w14:textId="77777777" w:rsidR="00700E8A" w:rsidRDefault="00700E8A" w:rsidP="00150ECA">
            <w:pPr>
              <w:pStyle w:val="Marginlie"/>
            </w:pPr>
          </w:p>
          <w:p w14:paraId="78197B9C" w14:textId="77777777" w:rsidR="00700E8A" w:rsidRDefault="00700E8A" w:rsidP="00150ECA">
            <w:pPr>
              <w:pStyle w:val="Marginlie"/>
            </w:pPr>
          </w:p>
          <w:p w14:paraId="04A80709" w14:textId="77777777" w:rsidR="00700E8A" w:rsidRDefault="00700E8A" w:rsidP="00150ECA">
            <w:pPr>
              <w:pStyle w:val="Marginlie"/>
            </w:pPr>
            <w:r>
              <w:t>Role nedostatečné poptávky slábla, podniky ovšem stále více limitoval nedostatek pracovníků a také materiálů a zařízení.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3D22A562" w14:textId="77777777" w:rsidR="00700E8A" w:rsidRPr="00B34A3C" w:rsidRDefault="00700E8A" w:rsidP="00150ECA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752F7485" w14:textId="7AD4194E" w:rsidR="00700E8A" w:rsidRPr="00514960" w:rsidRDefault="00700E8A" w:rsidP="00150ECA">
            <w:pPr>
              <w:spacing w:after="160"/>
              <w:rPr>
                <w:spacing w:val="-2"/>
              </w:rPr>
            </w:pPr>
            <w:r w:rsidRPr="00E02502">
              <w:rPr>
                <w:color w:val="0D0D0D" w:themeColor="text1" w:themeTint="F2"/>
                <w:spacing w:val="-2"/>
              </w:rPr>
              <w:t>Krátkodobé vyhlídky stavebnictví zůstávají</w:t>
            </w:r>
            <w:r>
              <w:rPr>
                <w:color w:val="0D0D0D" w:themeColor="text1" w:themeTint="F2"/>
                <w:spacing w:val="-2"/>
              </w:rPr>
              <w:t xml:space="preserve"> mírně</w:t>
            </w:r>
            <w:r w:rsidRPr="00E02502">
              <w:rPr>
                <w:color w:val="0D0D0D" w:themeColor="text1" w:themeTint="F2"/>
                <w:spacing w:val="-2"/>
              </w:rPr>
              <w:t xml:space="preserve"> pozitivní</w:t>
            </w:r>
            <w:r w:rsidRPr="00EC6E8C">
              <w:rPr>
                <w:spacing w:val="-2"/>
              </w:rPr>
              <w:t xml:space="preserve">. </w:t>
            </w:r>
            <w:r>
              <w:rPr>
                <w:spacing w:val="-2"/>
              </w:rPr>
              <w:t xml:space="preserve">Opírají se o pokračující růst </w:t>
            </w:r>
            <w:r w:rsidR="0015329F">
              <w:rPr>
                <w:spacing w:val="-2"/>
              </w:rPr>
              <w:t xml:space="preserve">nominální hodnoty </w:t>
            </w:r>
            <w:r w:rsidRPr="007170FB">
              <w:t xml:space="preserve">nově uzavřených stavebních zakázek </w:t>
            </w:r>
            <w:r>
              <w:t>(v podnicích s více než 50 zaměstnanci), který ve 3. čtvrtletí činil meziročně 10,2 % (růst vykázaly současně oba hlavní segmenty</w:t>
            </w:r>
            <w:r w:rsidRPr="00E02502">
              <w:t xml:space="preserve"> stavebnictví</w:t>
            </w:r>
            <w:r>
              <w:t>)</w:t>
            </w:r>
            <w:r w:rsidRPr="00E02502">
              <w:t xml:space="preserve">. </w:t>
            </w:r>
            <w:r w:rsidRPr="00E02502">
              <w:rPr>
                <w:spacing w:val="-2"/>
              </w:rPr>
              <w:t>Vzhledem ke</w:t>
            </w:r>
            <w:r>
              <w:rPr>
                <w:spacing w:val="-2"/>
              </w:rPr>
              <w:t xml:space="preserve"> </w:t>
            </w:r>
            <w:r w:rsidRPr="00E02502">
              <w:rPr>
                <w:spacing w:val="-2"/>
              </w:rPr>
              <w:t xml:space="preserve">svižnému růstu poptávky v předchozích </w:t>
            </w:r>
            <w:r w:rsidRPr="00E02502">
              <w:rPr>
                <w:spacing w:val="-2"/>
              </w:rPr>
              <w:lastRenderedPageBreak/>
              <w:t>měsících i</w:t>
            </w:r>
            <w:r>
              <w:rPr>
                <w:spacing w:val="-2"/>
              </w:rPr>
              <w:t> </w:t>
            </w:r>
            <w:r w:rsidRPr="00E02502">
              <w:rPr>
                <w:spacing w:val="-2"/>
              </w:rPr>
              <w:t xml:space="preserve">možnému </w:t>
            </w:r>
            <w:r w:rsidRPr="00182A11">
              <w:rPr>
                <w:spacing w:val="-2"/>
              </w:rPr>
              <w:t>prodloužení průměrné doby výstavby vlivem různých kapacitních bariér se celková zásoba zakázek navýšila o</w:t>
            </w:r>
            <w:r>
              <w:rPr>
                <w:spacing w:val="-2"/>
              </w:rPr>
              <w:t> </w:t>
            </w:r>
            <w:r w:rsidRPr="00182A11">
              <w:rPr>
                <w:spacing w:val="-2"/>
              </w:rPr>
              <w:t>pětinu. Podobným dílem k tomu přispěly veřejné i</w:t>
            </w:r>
            <w:r>
              <w:rPr>
                <w:spacing w:val="-2"/>
              </w:rPr>
              <w:t> </w:t>
            </w:r>
            <w:r w:rsidRPr="00182A11">
              <w:rPr>
                <w:spacing w:val="-2"/>
              </w:rPr>
              <w:t>soukromé zakázky.</w:t>
            </w:r>
            <w:r>
              <w:rPr>
                <w:spacing w:val="-2"/>
              </w:rPr>
              <w:t xml:space="preserve"> </w:t>
            </w:r>
            <w:r w:rsidRPr="00EC6E8C">
              <w:rPr>
                <w:spacing w:val="-2"/>
              </w:rPr>
              <w:t>Orientační hodnota vydaných stavebních povolení</w:t>
            </w:r>
            <w:r>
              <w:rPr>
                <w:spacing w:val="-2"/>
              </w:rPr>
              <w:t xml:space="preserve"> byla letos od ledna do října meziročně vyšší o 31 %, ve dvouletém srovnání o 20 %. Hodnota rostla i po odečtení velkých staveb (nad 1. mld. korun), což může být dobrým signálem i pro menší stavební firmy. Do hodnoty zakázek i povolení se ale stále více promítal sílící růst cen stavebních prací. Jejich další růst v</w:t>
            </w:r>
            <w:r>
              <w:rPr>
                <w:spacing w:val="-4"/>
              </w:rPr>
              <w:t xml:space="preserve"> nejbližších měsících očekávalo více než 40 % podniků, obdobně jako za konjunktury v roce 2008. </w:t>
            </w:r>
            <w:r w:rsidRPr="00773490">
              <w:rPr>
                <w:color w:val="0D0D0D" w:themeColor="text1" w:themeTint="F2"/>
                <w:spacing w:val="-4"/>
                <w:szCs w:val="20"/>
              </w:rPr>
              <w:t xml:space="preserve">Důvěra podnikatelů ve stavebnictví letos mírně </w:t>
            </w:r>
            <w:r>
              <w:rPr>
                <w:spacing w:val="-4"/>
                <w:szCs w:val="20"/>
              </w:rPr>
              <w:t xml:space="preserve">kolísala a stále setrvávala mírně pod úrovní z období těsně před počátkem pandemie. Problém s nedostatkem pracovníků se letos od léta znovu zvyšoval. V listopadu omezoval již skoro každý druhý podnik. Nejvíce se projevoval ve </w:t>
            </w:r>
            <w:r>
              <w:rPr>
                <w:spacing w:val="-4"/>
              </w:rPr>
              <w:t xml:space="preserve">výstavbě budov a v menších firmách provádějících </w:t>
            </w:r>
            <w:r>
              <w:t>specializované stavební činnosti</w:t>
            </w:r>
            <w:r>
              <w:rPr>
                <w:spacing w:val="-4"/>
              </w:rPr>
              <w:t>. Podniky v těchto oblastech také častěji sužoval nedostatek materiálu a zařízení.</w:t>
            </w:r>
          </w:p>
        </w:tc>
      </w:tr>
      <w:tr w:rsidR="00700E8A" w:rsidRPr="00191C35" w14:paraId="4DCCB5F4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6D156F4E" w14:textId="77777777" w:rsidR="00700E8A" w:rsidRDefault="00700E8A" w:rsidP="00150ECA">
            <w:pPr>
              <w:pStyle w:val="Marginlie"/>
            </w:pPr>
            <w:r>
              <w:lastRenderedPageBreak/>
              <w:t>V mezičtvrtletním růstu tržeb ve službách ve 2. i 3. čtvrtletí dominovaly aktivity vázané na cestovní ruch.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6A5C07A8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679EAFD7" w14:textId="5966C263" w:rsidR="00700E8A" w:rsidRPr="00BD04AE" w:rsidRDefault="00700E8A" w:rsidP="00150ECA">
            <w:pPr>
              <w:spacing w:after="160"/>
              <w:rPr>
                <w:rFonts w:cs="Arial"/>
                <w:bCs/>
                <w:color w:val="0D0D0D" w:themeColor="text1" w:themeTint="F2"/>
                <w:spacing w:val="-2"/>
                <w:szCs w:val="20"/>
              </w:rPr>
            </w:pPr>
            <w:r>
              <w:rPr>
                <w:rFonts w:cs="Arial"/>
                <w:bCs/>
                <w:color w:val="0D0D0D" w:themeColor="text1" w:themeTint="F2"/>
                <w:spacing w:val="-2"/>
                <w:szCs w:val="20"/>
              </w:rPr>
              <w:t>Razantní z</w:t>
            </w:r>
            <w:r w:rsidRPr="008F2FED">
              <w:rPr>
                <w:rFonts w:cs="Arial"/>
                <w:bCs/>
                <w:color w:val="0D0D0D" w:themeColor="text1" w:themeTint="F2"/>
                <w:spacing w:val="-2"/>
                <w:szCs w:val="20"/>
              </w:rPr>
              <w:t xml:space="preserve">lepšení epidemické situace </w:t>
            </w:r>
            <w:r>
              <w:rPr>
                <w:rFonts w:cs="Arial"/>
                <w:bCs/>
                <w:color w:val="0D0D0D" w:themeColor="text1" w:themeTint="F2"/>
                <w:spacing w:val="-2"/>
                <w:szCs w:val="20"/>
              </w:rPr>
              <w:t xml:space="preserve">během jara </w:t>
            </w:r>
            <w:r w:rsidRPr="008F2FED">
              <w:rPr>
                <w:rFonts w:cs="Arial"/>
                <w:bCs/>
                <w:color w:val="0D0D0D" w:themeColor="text1" w:themeTint="F2"/>
                <w:spacing w:val="-2"/>
                <w:szCs w:val="20"/>
              </w:rPr>
              <w:t xml:space="preserve">spolu s postupující </w:t>
            </w:r>
            <w:r>
              <w:rPr>
                <w:rFonts w:cs="Arial"/>
                <w:bCs/>
                <w:color w:val="0D0D0D" w:themeColor="text1" w:themeTint="F2"/>
                <w:spacing w:val="-2"/>
                <w:szCs w:val="20"/>
              </w:rPr>
              <w:t>vakcinací umožnily prakticky úplné uvolnění restrikcí. Na</w:t>
            </w:r>
            <w:r w:rsidR="00323A2F">
              <w:rPr>
                <w:rFonts w:cs="Arial"/>
                <w:bCs/>
                <w:color w:val="0D0D0D" w:themeColor="text1" w:themeTint="F2"/>
                <w:spacing w:val="-2"/>
                <w:szCs w:val="20"/>
              </w:rPr>
              <w:t xml:space="preserve"> rozdíl od loňského léta došlo </w:t>
            </w:r>
            <w:r>
              <w:rPr>
                <w:rFonts w:cs="Arial"/>
                <w:bCs/>
                <w:color w:val="0D0D0D" w:themeColor="text1" w:themeTint="F2"/>
                <w:spacing w:val="-2"/>
                <w:szCs w:val="20"/>
              </w:rPr>
              <w:t xml:space="preserve">k výraznému zjednodušení procedur spojených s přeshraničním pohybem </w:t>
            </w:r>
            <w:r w:rsidRPr="00231745">
              <w:rPr>
                <w:rFonts w:cs="Arial"/>
                <w:bCs/>
                <w:color w:val="0D0D0D" w:themeColor="text1" w:themeTint="F2"/>
                <w:spacing w:val="-2"/>
                <w:szCs w:val="20"/>
              </w:rPr>
              <w:t xml:space="preserve">osob. </w:t>
            </w:r>
            <w:r>
              <w:rPr>
                <w:rFonts w:cs="Arial"/>
                <w:bCs/>
                <w:color w:val="0D0D0D" w:themeColor="text1" w:themeTint="F2"/>
                <w:spacing w:val="-2"/>
                <w:szCs w:val="20"/>
              </w:rPr>
              <w:t xml:space="preserve">To vyústilo ve svižný mezikvartální růst </w:t>
            </w:r>
            <w:r>
              <w:rPr>
                <w:color w:val="0D0D0D" w:themeColor="text1" w:themeTint="F2"/>
                <w:spacing w:val="-4"/>
              </w:rPr>
              <w:t>tržeb</w:t>
            </w:r>
            <w:r w:rsidRPr="00231745">
              <w:rPr>
                <w:color w:val="0D0D0D" w:themeColor="text1" w:themeTint="F2"/>
                <w:spacing w:val="-4"/>
              </w:rPr>
              <w:t xml:space="preserve"> ve vybraných službách</w:t>
            </w:r>
            <w:r w:rsidRPr="00231745">
              <w:rPr>
                <w:color w:val="0D0D0D" w:themeColor="text1" w:themeTint="F2"/>
                <w:spacing w:val="-4"/>
                <w:vertAlign w:val="superscript"/>
              </w:rPr>
              <w:footnoteReference w:id="24"/>
            </w:r>
            <w:r>
              <w:rPr>
                <w:color w:val="0D0D0D" w:themeColor="text1" w:themeTint="F2"/>
                <w:spacing w:val="-4"/>
              </w:rPr>
              <w:t>, jenž letos ve 2. čtvrtletí činil 4,3 % a v následujícím období 3</w:t>
            </w:r>
            <w:r w:rsidR="00323A2F">
              <w:rPr>
                <w:color w:val="0D0D0D" w:themeColor="text1" w:themeTint="F2"/>
                <w:spacing w:val="-4"/>
              </w:rPr>
              <w:t xml:space="preserve">,5 %. Toto oživení bylo </w:t>
            </w:r>
            <w:r>
              <w:rPr>
                <w:color w:val="0D0D0D" w:themeColor="text1" w:themeTint="F2"/>
                <w:spacing w:val="-4"/>
              </w:rPr>
              <w:t xml:space="preserve">taženo </w:t>
            </w:r>
            <w:r w:rsidR="00323A2F">
              <w:rPr>
                <w:color w:val="0D0D0D" w:themeColor="text1" w:themeTint="F2"/>
                <w:spacing w:val="-4"/>
              </w:rPr>
              <w:t>zejména aktivitami vázanými na cestovní ruch a v menší míře se na něm</w:t>
            </w:r>
            <w:r>
              <w:rPr>
                <w:color w:val="0D0D0D" w:themeColor="text1" w:themeTint="F2"/>
                <w:spacing w:val="-4"/>
              </w:rPr>
              <w:t xml:space="preserve"> podílela </w:t>
            </w:r>
            <w:r w:rsidR="00323A2F">
              <w:rPr>
                <w:color w:val="0D0D0D" w:themeColor="text1" w:themeTint="F2"/>
                <w:spacing w:val="-4"/>
              </w:rPr>
              <w:t xml:space="preserve">i </w:t>
            </w:r>
            <w:r>
              <w:rPr>
                <w:color w:val="0D0D0D" w:themeColor="text1" w:themeTint="F2"/>
                <w:spacing w:val="-4"/>
              </w:rPr>
              <w:t>všechna hlavní odvětví služeb vyjma činností</w:t>
            </w:r>
            <w:r w:rsidR="00323A2F">
              <w:rPr>
                <w:color w:val="0D0D0D" w:themeColor="text1" w:themeTint="F2"/>
                <w:spacing w:val="-4"/>
              </w:rPr>
              <w:t xml:space="preserve"> v oblasti nemovitostí. Byť</w:t>
            </w:r>
            <w:r>
              <w:rPr>
                <w:color w:val="0D0D0D" w:themeColor="text1" w:themeTint="F2"/>
                <w:spacing w:val="-4"/>
              </w:rPr>
              <w:t xml:space="preserve"> ve 3. čtvrtletí činil meziroční růst tržeb ve službách 9,7 %, za vrcholem z posledního konjunkturního období (2. čtvrtletí 2019) </w:t>
            </w:r>
            <w:r w:rsidR="00323A2F">
              <w:rPr>
                <w:color w:val="0D0D0D" w:themeColor="text1" w:themeTint="F2"/>
                <w:spacing w:val="-4"/>
              </w:rPr>
              <w:t xml:space="preserve">tržby </w:t>
            </w:r>
            <w:r>
              <w:rPr>
                <w:color w:val="0D0D0D" w:themeColor="text1" w:themeTint="F2"/>
                <w:spacing w:val="-4"/>
              </w:rPr>
              <w:t>zaostával</w:t>
            </w:r>
            <w:r w:rsidR="00323A2F">
              <w:rPr>
                <w:color w:val="0D0D0D" w:themeColor="text1" w:themeTint="F2"/>
                <w:spacing w:val="-4"/>
              </w:rPr>
              <w:t>y</w:t>
            </w:r>
            <w:r>
              <w:rPr>
                <w:color w:val="0D0D0D" w:themeColor="text1" w:themeTint="F2"/>
                <w:spacing w:val="-4"/>
              </w:rPr>
              <w:t xml:space="preserve"> o 5,2 %.</w:t>
            </w:r>
          </w:p>
        </w:tc>
      </w:tr>
      <w:tr w:rsidR="00700E8A" w:rsidRPr="00191C35" w14:paraId="09138CBD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416D2C3B" w14:textId="77777777" w:rsidR="00700E8A" w:rsidRDefault="00700E8A" w:rsidP="00150ECA">
            <w:pPr>
              <w:pStyle w:val="Marginlie"/>
            </w:pPr>
            <w:r>
              <w:t>Doprava a skladování zajistily ve 3. čtvrtletí bezmála polovinu meziročního růstu tržeb ve službách.</w:t>
            </w:r>
          </w:p>
          <w:p w14:paraId="14469E11" w14:textId="77777777" w:rsidR="00700E8A" w:rsidRDefault="00700E8A" w:rsidP="00150ECA">
            <w:pPr>
              <w:pStyle w:val="Marginlie"/>
            </w:pPr>
          </w:p>
          <w:p w14:paraId="742AA25A" w14:textId="77777777" w:rsidR="00700E8A" w:rsidRDefault="00700E8A" w:rsidP="00150ECA">
            <w:pPr>
              <w:pStyle w:val="Marginlie"/>
            </w:pPr>
          </w:p>
          <w:p w14:paraId="22A34F08" w14:textId="77777777" w:rsidR="00700E8A" w:rsidRDefault="00700E8A" w:rsidP="00150ECA">
            <w:pPr>
              <w:pStyle w:val="Marginlie"/>
            </w:pPr>
            <w:r>
              <w:t>Tržby v ubytování a pohostinství vlivem dobré letní turistické sezóny posílily.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6E1BB4F4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37F9E6AF" w14:textId="553AFBBA" w:rsidR="00700E8A" w:rsidRPr="00DC1E5D" w:rsidRDefault="00700E8A" w:rsidP="00150ECA">
            <w:pPr>
              <w:spacing w:after="160"/>
              <w:rPr>
                <w:spacing w:val="-2"/>
              </w:rPr>
            </w:pPr>
            <w:r>
              <w:rPr>
                <w:spacing w:val="-2"/>
              </w:rPr>
              <w:t xml:space="preserve">Tržby v dopravě a skladování se letos ve 3. čtvrtletí vrátily na úroveň </w:t>
            </w:r>
            <w:r w:rsidR="00323A2F">
              <w:rPr>
                <w:spacing w:val="-2"/>
              </w:rPr>
              <w:t xml:space="preserve">stejného období </w:t>
            </w:r>
            <w:r>
              <w:rPr>
                <w:spacing w:val="-2"/>
              </w:rPr>
              <w:t xml:space="preserve">roku 2019, když se meziročně zvýšily o 14,2 % a k celkovému růstu služeb přispěly 4,2 p. b. Silně rostla poptávka ve skladování, kde tržby převýšily předloňskou úroveň již téměř o desetinu. Nadále se dařilo poštovním a kurýrním činnostem, které profitovaly z růstu internetového prodeje, během pandemie dále zesíleného. Tržby v pozemní a potrubní dopravě vzrostly meziročně o 5,4 %, reálně se však nacházely pouze na úrovni z počátku roku 2016. </w:t>
            </w:r>
            <w:r>
              <w:rPr>
                <w:spacing w:val="-5"/>
              </w:rPr>
              <w:t>Výraznější oživení cestovního ruchu během letní sezóny</w:t>
            </w:r>
            <w:r>
              <w:rPr>
                <w:rStyle w:val="Znakapoznpodarou"/>
                <w:spacing w:val="-5"/>
              </w:rPr>
              <w:footnoteReference w:id="25"/>
            </w:r>
            <w:r>
              <w:rPr>
                <w:spacing w:val="-5"/>
              </w:rPr>
              <w:t xml:space="preserve"> podpořilo meziroční růst tržeb ve stravování, ubytování a pohostinství (o 9,2 % ve 3. čtvrtletí). Svižněji se zvyšovaly tržby v samotném ubytování (17,3 %), oproti roku 2019 však byly skoro o třetinu nižší, ve stravování a pohostinství pak bezmála o desetinu.</w:t>
            </w:r>
          </w:p>
        </w:tc>
      </w:tr>
      <w:tr w:rsidR="00700E8A" w:rsidRPr="00191C35" w14:paraId="2396C0F8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4E0AD4E0" w14:textId="77777777" w:rsidR="00700E8A" w:rsidRDefault="00700E8A" w:rsidP="00150ECA">
            <w:pPr>
              <w:pStyle w:val="Marginlie"/>
            </w:pPr>
            <w:r>
              <w:t>Tržby ve filmovém a hudebním průmyslu výrazně ožily a převýšily i úroveň ze 3. čtvrtletí 2019.</w:t>
            </w:r>
          </w:p>
          <w:p w14:paraId="10956148" w14:textId="779E2224" w:rsidR="00700E8A" w:rsidRDefault="00700E8A" w:rsidP="00150ECA">
            <w:pPr>
              <w:pStyle w:val="Marginlie"/>
            </w:pPr>
          </w:p>
          <w:p w14:paraId="0890C7FA" w14:textId="093309CF" w:rsidR="00225000" w:rsidRDefault="00225000" w:rsidP="00150ECA">
            <w:pPr>
              <w:pStyle w:val="Marginlie"/>
            </w:pPr>
          </w:p>
          <w:p w14:paraId="060C0911" w14:textId="77777777" w:rsidR="00225000" w:rsidRDefault="00225000" w:rsidP="00150ECA">
            <w:pPr>
              <w:pStyle w:val="Marginlie"/>
            </w:pPr>
          </w:p>
          <w:p w14:paraId="4DC1BAB5" w14:textId="77777777" w:rsidR="00700E8A" w:rsidRDefault="00700E8A" w:rsidP="00150ECA">
            <w:pPr>
              <w:pStyle w:val="Marginlie"/>
            </w:pPr>
            <w:r>
              <w:t>Firemní poptávka přispěla k výraznějšímu oživení velké části profesních, vědeckých a technických činností.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1C248A66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40DE19F6" w14:textId="2A216432" w:rsidR="00700E8A" w:rsidRDefault="00700E8A" w:rsidP="00323A2F">
            <w:pPr>
              <w:spacing w:after="180"/>
              <w:rPr>
                <w:color w:val="0D0D0D" w:themeColor="text1" w:themeTint="F2"/>
                <w:spacing w:val="-5"/>
              </w:rPr>
            </w:pPr>
            <w:r w:rsidRPr="00943750">
              <w:rPr>
                <w:color w:val="0D0D0D" w:themeColor="text1" w:themeTint="F2"/>
                <w:spacing w:val="-8"/>
              </w:rPr>
              <w:t>Meziroční růst tržeb v</w:t>
            </w:r>
            <w:r>
              <w:rPr>
                <w:color w:val="0D0D0D" w:themeColor="text1" w:themeTint="F2"/>
                <w:spacing w:val="-8"/>
              </w:rPr>
              <w:t> </w:t>
            </w:r>
            <w:r w:rsidRPr="00943750">
              <w:rPr>
                <w:color w:val="0D0D0D" w:themeColor="text1" w:themeTint="F2"/>
                <w:spacing w:val="-8"/>
              </w:rPr>
              <w:t>odvětví informačních a</w:t>
            </w:r>
            <w:r>
              <w:rPr>
                <w:color w:val="0D0D0D" w:themeColor="text1" w:themeTint="F2"/>
                <w:spacing w:val="-8"/>
              </w:rPr>
              <w:t> </w:t>
            </w:r>
            <w:r w:rsidRPr="00943750">
              <w:rPr>
                <w:color w:val="0D0D0D" w:themeColor="text1" w:themeTint="F2"/>
                <w:spacing w:val="-8"/>
              </w:rPr>
              <w:t>komunikačních činností (ICT) ve 3.</w:t>
            </w:r>
            <w:r>
              <w:rPr>
                <w:color w:val="0D0D0D" w:themeColor="text1" w:themeTint="F2"/>
                <w:spacing w:val="-8"/>
              </w:rPr>
              <w:t> čt</w:t>
            </w:r>
            <w:r w:rsidRPr="00943750">
              <w:rPr>
                <w:color w:val="0D0D0D" w:themeColor="text1" w:themeTint="F2"/>
                <w:spacing w:val="-8"/>
              </w:rPr>
              <w:t>vrtletí (6,2</w:t>
            </w:r>
            <w:r>
              <w:rPr>
                <w:color w:val="0D0D0D" w:themeColor="text1" w:themeTint="F2"/>
                <w:spacing w:val="-8"/>
              </w:rPr>
              <w:t> %</w:t>
            </w:r>
            <w:r w:rsidRPr="00943750">
              <w:rPr>
                <w:color w:val="0D0D0D" w:themeColor="text1" w:themeTint="F2"/>
                <w:spacing w:val="-8"/>
              </w:rPr>
              <w:t>)</w:t>
            </w:r>
            <w:r>
              <w:rPr>
                <w:color w:val="0D0D0D" w:themeColor="text1" w:themeTint="F2"/>
                <w:spacing w:val="-5"/>
              </w:rPr>
              <w:t xml:space="preserve"> byl tažen hlavně rychle oživujícím hudebním a filmovým průmyslem</w:t>
            </w:r>
            <w:r>
              <w:rPr>
                <w:rStyle w:val="Znakapoznpodarou"/>
                <w:color w:val="0D0D0D" w:themeColor="text1" w:themeTint="F2"/>
                <w:spacing w:val="-5"/>
              </w:rPr>
              <w:footnoteReference w:id="26"/>
            </w:r>
            <w:r>
              <w:rPr>
                <w:color w:val="0D0D0D" w:themeColor="text1" w:themeTint="F2"/>
                <w:spacing w:val="-5"/>
              </w:rPr>
              <w:t xml:space="preserve">, jehož tržby již převýšily předpandemickou úroveň. To platilo i o všech ostatních dílčích odvětvích ICT, která profitovala z dlouhodobého růstu poptávky, na němž se období pandemie negativně nepodepsalo. </w:t>
            </w:r>
            <w:r w:rsidRPr="007177C2">
              <w:rPr>
                <w:color w:val="0D0D0D" w:themeColor="text1" w:themeTint="F2"/>
                <w:spacing w:val="-4"/>
              </w:rPr>
              <w:t>V</w:t>
            </w:r>
            <w:r>
              <w:rPr>
                <w:color w:val="0D0D0D" w:themeColor="text1" w:themeTint="F2"/>
                <w:spacing w:val="-5"/>
              </w:rPr>
              <w:t> </w:t>
            </w:r>
            <w:r w:rsidRPr="007177C2">
              <w:rPr>
                <w:color w:val="0D0D0D" w:themeColor="text1" w:themeTint="F2"/>
                <w:spacing w:val="-4"/>
              </w:rPr>
              <w:t>odvětví profesní</w:t>
            </w:r>
            <w:r w:rsidR="00323A2F">
              <w:rPr>
                <w:color w:val="0D0D0D" w:themeColor="text1" w:themeTint="F2"/>
                <w:spacing w:val="-4"/>
              </w:rPr>
              <w:t>ch, vědeckých</w:t>
            </w:r>
            <w:r w:rsidRPr="007177C2">
              <w:rPr>
                <w:color w:val="0D0D0D" w:themeColor="text1" w:themeTint="F2"/>
                <w:spacing w:val="-4"/>
              </w:rPr>
              <w:t xml:space="preserve"> a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="00323A2F">
              <w:rPr>
                <w:color w:val="0D0D0D" w:themeColor="text1" w:themeTint="F2"/>
                <w:spacing w:val="-4"/>
              </w:rPr>
              <w:t>technických činností</w:t>
            </w:r>
            <w:r>
              <w:rPr>
                <w:color w:val="0D0D0D" w:themeColor="text1" w:themeTint="F2"/>
                <w:spacing w:val="-4"/>
              </w:rPr>
              <w:t xml:space="preserve">, </w:t>
            </w:r>
            <w:r w:rsidRPr="007177C2">
              <w:rPr>
                <w:color w:val="0D0D0D" w:themeColor="text1" w:themeTint="F2"/>
                <w:spacing w:val="-4"/>
              </w:rPr>
              <w:t>z velké části závislé</w:t>
            </w:r>
            <w:r>
              <w:rPr>
                <w:color w:val="0D0D0D" w:themeColor="text1" w:themeTint="F2"/>
                <w:spacing w:val="-4"/>
              </w:rPr>
              <w:t>m</w:t>
            </w:r>
            <w:r w:rsidRPr="007177C2">
              <w:rPr>
                <w:color w:val="0D0D0D" w:themeColor="text1" w:themeTint="F2"/>
                <w:spacing w:val="-4"/>
              </w:rPr>
              <w:t xml:space="preserve"> na firemní poptávce</w:t>
            </w:r>
            <w:r>
              <w:rPr>
                <w:color w:val="0D0D0D" w:themeColor="text1" w:themeTint="F2"/>
                <w:spacing w:val="-4"/>
              </w:rPr>
              <w:t>,</w:t>
            </w:r>
            <w:r w:rsidRPr="007177C2">
              <w:rPr>
                <w:color w:val="0D0D0D" w:themeColor="text1" w:themeTint="F2"/>
                <w:spacing w:val="-4"/>
              </w:rPr>
              <w:t xml:space="preserve"> vzrostly ve 3.</w:t>
            </w:r>
            <w:r>
              <w:rPr>
                <w:color w:val="0D0D0D" w:themeColor="text1" w:themeTint="F2"/>
                <w:spacing w:val="-4"/>
              </w:rPr>
              <w:t> čt</w:t>
            </w:r>
            <w:r w:rsidRPr="007177C2">
              <w:rPr>
                <w:color w:val="0D0D0D" w:themeColor="text1" w:themeTint="F2"/>
                <w:spacing w:val="-4"/>
              </w:rPr>
              <w:t>vrtletí tržby meziročně o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7177C2">
              <w:rPr>
                <w:color w:val="0D0D0D" w:themeColor="text1" w:themeTint="F2"/>
                <w:spacing w:val="-4"/>
              </w:rPr>
              <w:t>7,3</w:t>
            </w:r>
            <w:r>
              <w:rPr>
                <w:color w:val="0D0D0D" w:themeColor="text1" w:themeTint="F2"/>
                <w:spacing w:val="-4"/>
              </w:rPr>
              <w:t> %</w:t>
            </w:r>
            <w:r w:rsidRPr="007177C2">
              <w:rPr>
                <w:color w:val="0D0D0D" w:themeColor="text1" w:themeTint="F2"/>
                <w:spacing w:val="-4"/>
              </w:rPr>
              <w:t xml:space="preserve">. Přispěly k tomu </w:t>
            </w:r>
            <w:r>
              <w:rPr>
                <w:color w:val="0D0D0D" w:themeColor="text1" w:themeTint="F2"/>
                <w:spacing w:val="-4"/>
              </w:rPr>
              <w:t>především</w:t>
            </w:r>
            <w:r w:rsidRPr="007177C2">
              <w:rPr>
                <w:color w:val="0D0D0D" w:themeColor="text1" w:themeTint="F2"/>
                <w:spacing w:val="-4"/>
              </w:rPr>
              <w:t xml:space="preserve"> architektonické a</w:t>
            </w:r>
            <w:r>
              <w:rPr>
                <w:color w:val="0D0D0D" w:themeColor="text1" w:themeTint="F2"/>
                <w:spacing w:val="-5"/>
              </w:rPr>
              <w:t> </w:t>
            </w:r>
            <w:r w:rsidRPr="007177C2">
              <w:rPr>
                <w:color w:val="0D0D0D" w:themeColor="text1" w:themeTint="F2"/>
                <w:spacing w:val="-4"/>
              </w:rPr>
              <w:t>inženýrské činnosti. Dvojciferným tempem rostly tržby i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7177C2">
              <w:rPr>
                <w:color w:val="0D0D0D" w:themeColor="text1" w:themeTint="F2"/>
                <w:spacing w:val="-4"/>
              </w:rPr>
              <w:t>v oblasti reklamy a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7177C2">
              <w:rPr>
                <w:color w:val="0D0D0D" w:themeColor="text1" w:themeTint="F2"/>
                <w:spacing w:val="-6"/>
              </w:rPr>
              <w:t>průzkumu</w:t>
            </w:r>
            <w:r>
              <w:rPr>
                <w:color w:val="0D0D0D" w:themeColor="text1" w:themeTint="F2"/>
                <w:spacing w:val="-6"/>
              </w:rPr>
              <w:t xml:space="preserve"> trhu a</w:t>
            </w:r>
            <w:r>
              <w:rPr>
                <w:color w:val="0D0D0D" w:themeColor="text1" w:themeTint="F2"/>
                <w:spacing w:val="-5"/>
              </w:rPr>
              <w:t> </w:t>
            </w:r>
            <w:r w:rsidRPr="007177C2">
              <w:rPr>
                <w:color w:val="0D0D0D" w:themeColor="text1" w:themeTint="F2"/>
                <w:spacing w:val="-6"/>
              </w:rPr>
              <w:t>též v</w:t>
            </w:r>
            <w:r>
              <w:rPr>
                <w:color w:val="0D0D0D" w:themeColor="text1" w:themeTint="F2"/>
                <w:spacing w:val="-6"/>
              </w:rPr>
              <w:t> </w:t>
            </w:r>
            <w:r w:rsidRPr="007177C2">
              <w:rPr>
                <w:color w:val="0D0D0D" w:themeColor="text1" w:themeTint="F2"/>
                <w:spacing w:val="-6"/>
              </w:rPr>
              <w:t>činnostech vedení podniků (</w:t>
            </w:r>
            <w:r>
              <w:rPr>
                <w:color w:val="0D0D0D" w:themeColor="text1" w:themeTint="F2"/>
                <w:spacing w:val="-6"/>
              </w:rPr>
              <w:t>včetně</w:t>
            </w:r>
            <w:r w:rsidRPr="007177C2">
              <w:rPr>
                <w:color w:val="0D0D0D" w:themeColor="text1" w:themeTint="F2"/>
                <w:spacing w:val="-6"/>
              </w:rPr>
              <w:t xml:space="preserve"> poradenství v oblasti řízení). Nepříznivá</w:t>
            </w:r>
            <w:r w:rsidRPr="007177C2">
              <w:rPr>
                <w:color w:val="0D0D0D" w:themeColor="text1" w:themeTint="F2"/>
                <w:spacing w:val="-4"/>
              </w:rPr>
              <w:t xml:space="preserve"> situace přetrvávala v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7177C2">
              <w:rPr>
                <w:color w:val="0D0D0D" w:themeColor="text1" w:themeTint="F2"/>
                <w:spacing w:val="-4"/>
              </w:rPr>
              <w:t>ostatních profesních, vědeckých a technických činnostech (zahrnujících např. fotografické, návrhářské či překladatelské činnosti), kde jsou významně zastoupeny osoby samostatně výdělečně</w:t>
            </w:r>
            <w:r w:rsidRPr="007177C2">
              <w:rPr>
                <w:rFonts w:cs="Arial"/>
                <w:bCs/>
                <w:color w:val="0D0D0D"/>
                <w:spacing w:val="-4"/>
              </w:rPr>
              <w:t xml:space="preserve"> činné. Tržby zde za poslední tři roky propadly</w:t>
            </w:r>
            <w:r>
              <w:rPr>
                <w:rFonts w:cs="Arial"/>
                <w:bCs/>
                <w:color w:val="0D0D0D"/>
                <w:spacing w:val="-4"/>
              </w:rPr>
              <w:t xml:space="preserve"> o více než pěti</w:t>
            </w:r>
            <w:r w:rsidRPr="007177C2">
              <w:rPr>
                <w:rFonts w:cs="Arial"/>
                <w:bCs/>
                <w:color w:val="0D0D0D"/>
                <w:spacing w:val="-4"/>
              </w:rPr>
              <w:t>nu.</w:t>
            </w:r>
            <w:r>
              <w:rPr>
                <w:rFonts w:cs="Arial"/>
                <w:bCs/>
                <w:color w:val="0D0D0D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5"/>
              </w:rPr>
              <w:t>Svižný růst meziročních tržeb v odvětví administrativní</w:t>
            </w:r>
            <w:r w:rsidR="00323A2F">
              <w:rPr>
                <w:color w:val="0D0D0D" w:themeColor="text1" w:themeTint="F2"/>
                <w:spacing w:val="-5"/>
              </w:rPr>
              <w:t>ch</w:t>
            </w:r>
            <w:r w:rsidRPr="005E3113">
              <w:rPr>
                <w:color w:val="0D0D0D" w:themeColor="text1" w:themeTint="F2"/>
                <w:spacing w:val="-5"/>
              </w:rPr>
              <w:t xml:space="preserve"> </w:t>
            </w:r>
            <w:r>
              <w:rPr>
                <w:color w:val="0D0D0D" w:themeColor="text1" w:themeTint="F2"/>
                <w:spacing w:val="-5"/>
              </w:rPr>
              <w:lastRenderedPageBreak/>
              <w:t>a</w:t>
            </w:r>
            <w:r w:rsidRPr="005E3113">
              <w:rPr>
                <w:color w:val="0D0D0D" w:themeColor="text1" w:themeTint="F2"/>
                <w:spacing w:val="-4"/>
              </w:rPr>
              <w:t> </w:t>
            </w:r>
            <w:r w:rsidR="00323A2F">
              <w:rPr>
                <w:color w:val="0D0D0D" w:themeColor="text1" w:themeTint="F2"/>
                <w:spacing w:val="-5"/>
              </w:rPr>
              <w:t>podpůrných</w:t>
            </w:r>
            <w:r w:rsidRPr="005E3113">
              <w:rPr>
                <w:color w:val="0D0D0D" w:themeColor="text1" w:themeTint="F2"/>
                <w:spacing w:val="-5"/>
              </w:rPr>
              <w:t xml:space="preserve"> činno</w:t>
            </w:r>
            <w:r w:rsidR="00323A2F">
              <w:rPr>
                <w:color w:val="0D0D0D" w:themeColor="text1" w:themeTint="F2"/>
                <w:spacing w:val="-5"/>
              </w:rPr>
              <w:t>stí</w:t>
            </w:r>
            <w:r>
              <w:rPr>
                <w:color w:val="0D0D0D" w:themeColor="text1" w:themeTint="F2"/>
                <w:spacing w:val="-5"/>
              </w:rPr>
              <w:t xml:space="preserve"> (18,8</w:t>
            </w:r>
            <w:r w:rsidRPr="005E3113">
              <w:rPr>
                <w:color w:val="0D0D0D" w:themeColor="text1" w:themeTint="F2"/>
                <w:spacing w:val="-5"/>
              </w:rPr>
              <w:t> </w:t>
            </w:r>
            <w:r>
              <w:rPr>
                <w:color w:val="0D0D0D" w:themeColor="text1" w:themeTint="F2"/>
                <w:spacing w:val="-5"/>
              </w:rPr>
              <w:t>% ve 3. čtvrtletí) byl z velké části ovlivněn oživením poptávky</w:t>
            </w:r>
            <w:r w:rsidR="00323A2F">
              <w:rPr>
                <w:color w:val="0D0D0D" w:themeColor="text1" w:themeTint="F2"/>
                <w:spacing w:val="-5"/>
              </w:rPr>
              <w:t xml:space="preserve"> v oblasti cestovních agentur. </w:t>
            </w:r>
            <w:r w:rsidR="00323A2F">
              <w:t>Naopak tržby pracovních agentur zaznamenaly mírný pokles</w:t>
            </w:r>
            <w:r>
              <w:rPr>
                <w:color w:val="0D0D0D" w:themeColor="text1" w:themeTint="F2"/>
                <w:spacing w:val="-5"/>
              </w:rPr>
              <w:t>. Tržby drtivé většiny dílčích odvětví náležejících do administrativních</w:t>
            </w:r>
            <w:r w:rsidRPr="005E3113">
              <w:rPr>
                <w:color w:val="0D0D0D" w:themeColor="text1" w:themeTint="F2"/>
                <w:spacing w:val="-5"/>
              </w:rPr>
              <w:t xml:space="preserve"> </w:t>
            </w:r>
            <w:r>
              <w:rPr>
                <w:color w:val="0D0D0D" w:themeColor="text1" w:themeTint="F2"/>
                <w:spacing w:val="-5"/>
              </w:rPr>
              <w:t>a</w:t>
            </w:r>
            <w:r w:rsidRPr="005E3113"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5"/>
              </w:rPr>
              <w:t>podpůrných</w:t>
            </w:r>
            <w:r w:rsidRPr="005E3113">
              <w:rPr>
                <w:color w:val="0D0D0D" w:themeColor="text1" w:themeTint="F2"/>
                <w:spacing w:val="-5"/>
              </w:rPr>
              <w:t xml:space="preserve"> činno</w:t>
            </w:r>
            <w:r>
              <w:rPr>
                <w:color w:val="0D0D0D" w:themeColor="text1" w:themeTint="F2"/>
                <w:spacing w:val="-5"/>
              </w:rPr>
              <w:t>stí se nacházely pod úrovní roku 2019.</w:t>
            </w:r>
          </w:p>
        </w:tc>
      </w:tr>
      <w:tr w:rsidR="00700E8A" w:rsidRPr="00191C35" w14:paraId="117C279F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6975B253" w14:textId="77777777" w:rsidR="00700E8A" w:rsidRDefault="00700E8A" w:rsidP="00150ECA">
            <w:pPr>
              <w:pStyle w:val="Marginlie"/>
            </w:pP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6346F7E3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34A0A239" w14:textId="77777777" w:rsidR="00700E8A" w:rsidRPr="00BA07CB" w:rsidRDefault="00700E8A" w:rsidP="00150ECA">
            <w:pPr>
              <w:spacing w:after="0"/>
              <w:rPr>
                <w:szCs w:val="20"/>
              </w:rPr>
            </w:pPr>
            <w:r w:rsidRPr="00BA07CB">
              <w:rPr>
                <w:b/>
              </w:rPr>
              <w:t xml:space="preserve">Graf č. 7  Příspěvky </w:t>
            </w:r>
            <w:r>
              <w:rPr>
                <w:b/>
              </w:rPr>
              <w:t xml:space="preserve">dílčích </w:t>
            </w:r>
            <w:r w:rsidRPr="00BA07CB">
              <w:rPr>
                <w:b/>
              </w:rPr>
              <w:t>odvětví k meziroční změně tržeb ve službách*</w:t>
            </w:r>
            <w:r w:rsidRPr="00BA07CB">
              <w:rPr>
                <w:b/>
              </w:rPr>
              <w:br/>
            </w:r>
            <w:r w:rsidRPr="00BA07CB">
              <w:t>(v p. b., očištěno o kalendářní vlivy)</w:t>
            </w:r>
            <w:r w:rsidRPr="00BA07CB">
              <w:rPr>
                <w:b/>
                <w:bCs/>
              </w:rPr>
              <w:t xml:space="preserve">, </w:t>
            </w:r>
            <w:r w:rsidRPr="00BA07CB">
              <w:rPr>
                <w:b/>
              </w:rPr>
              <w:t>saldo indikátoru důvěry ve službách**</w:t>
            </w:r>
            <w:r w:rsidRPr="00BA07CB">
              <w:rPr>
                <w:b/>
              </w:rPr>
              <w:br/>
            </w:r>
            <w:r w:rsidRPr="00BA07CB">
              <w:t>(v p. b., pravá osa)</w:t>
            </w:r>
            <w:r w:rsidRPr="00BA07CB">
              <w:rPr>
                <w:b/>
              </w:rPr>
              <w:t xml:space="preserve"> a vybrané bariéry růstu*</w:t>
            </w:r>
            <w:r w:rsidRPr="00BA07CB">
              <w:t>* (v %, pravá osa)</w:t>
            </w:r>
          </w:p>
        </w:tc>
      </w:tr>
      <w:tr w:rsidR="00700E8A" w:rsidRPr="00191C35" w14:paraId="2F2C4415" w14:textId="77777777" w:rsidTr="00150ECA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728" w:type="dxa"/>
            <w:shd w:val="clear" w:color="auto" w:fill="auto"/>
          </w:tcPr>
          <w:p w14:paraId="6308BA1A" w14:textId="77777777" w:rsidR="00700E8A" w:rsidRDefault="00700E8A" w:rsidP="00150ECA">
            <w:pPr>
              <w:pStyle w:val="Marginlie"/>
            </w:pPr>
          </w:p>
        </w:tc>
        <w:tc>
          <w:tcPr>
            <w:tcW w:w="206" w:type="dxa"/>
            <w:shd w:val="clear" w:color="auto" w:fill="auto"/>
          </w:tcPr>
          <w:p w14:paraId="60D87240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</w:tcPr>
          <w:p w14:paraId="6AA3F649" w14:textId="77777777" w:rsidR="00700E8A" w:rsidRPr="004D53D9" w:rsidRDefault="00700E8A" w:rsidP="00150ECA">
            <w:pPr>
              <w:spacing w:after="0"/>
              <w:rPr>
                <w:spacing w:val="-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C2B63F5" wp14:editId="733BA3E1">
                  <wp:extent cx="4777105" cy="3352800"/>
                  <wp:effectExtent l="0" t="0" r="4445" b="0"/>
                  <wp:docPr id="10" name="Graf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00E8A" w:rsidRPr="00191C35" w14:paraId="6535958F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503CB33E" w14:textId="77777777" w:rsidR="00700E8A" w:rsidRDefault="00700E8A" w:rsidP="00150ECA">
            <w:pPr>
              <w:pStyle w:val="Marginlie"/>
            </w:pP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43B534A7" w14:textId="77777777" w:rsidR="00700E8A" w:rsidRPr="00B43216" w:rsidRDefault="00700E8A" w:rsidP="00150ECA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19B1D06C" w14:textId="77777777" w:rsidR="00700E8A" w:rsidRPr="00883202" w:rsidRDefault="00700E8A" w:rsidP="00150ECA">
            <w:pPr>
              <w:spacing w:after="0"/>
              <w:rPr>
                <w:rFonts w:cs="Arial"/>
                <w:sz w:val="14"/>
                <w:szCs w:val="14"/>
              </w:rPr>
            </w:pPr>
            <w:r w:rsidRPr="00883202">
              <w:rPr>
                <w:rFonts w:cs="Arial"/>
                <w:sz w:val="14"/>
                <w:szCs w:val="14"/>
              </w:rPr>
              <w:t>*</w:t>
            </w:r>
            <w:r w:rsidRPr="00883202">
              <w:rPr>
                <w:color w:val="0D0D0D" w:themeColor="text1" w:themeTint="F2"/>
                <w:sz w:val="14"/>
                <w:szCs w:val="14"/>
              </w:rPr>
              <w:t>Bez odvětví obchodu, peněžnictví, pojišťovnictví, vědy, výzkumu a veřejných služeb.</w:t>
            </w:r>
          </w:p>
          <w:p w14:paraId="55958C56" w14:textId="77777777" w:rsidR="00700E8A" w:rsidRPr="00417064" w:rsidRDefault="00700E8A" w:rsidP="00150ECA">
            <w:pPr>
              <w:tabs>
                <w:tab w:val="right" w:pos="7711"/>
              </w:tabs>
              <w:spacing w:after="180"/>
              <w:rPr>
                <w:rFonts w:cs="Arial"/>
                <w:sz w:val="14"/>
                <w:szCs w:val="14"/>
              </w:rPr>
            </w:pPr>
            <w:r w:rsidRPr="00883202">
              <w:rPr>
                <w:rFonts w:cs="Arial"/>
                <w:sz w:val="14"/>
                <w:szCs w:val="14"/>
              </w:rPr>
              <w:t>**</w:t>
            </w:r>
            <w:r w:rsidRPr="00883202">
              <w:rPr>
                <w:rFonts w:cs="Arial"/>
                <w:spacing w:val="-2"/>
                <w:sz w:val="14"/>
                <w:szCs w:val="14"/>
              </w:rPr>
              <w:t xml:space="preserve">Zahrnuje i finanční sektor. Saldo důvěry i bariéry růstu jsou sezónně očištěny a vyjadřují stav </w:t>
            </w:r>
            <w:r>
              <w:rPr>
                <w:rFonts w:cs="Arial"/>
                <w:spacing w:val="-2"/>
                <w:sz w:val="14"/>
                <w:szCs w:val="14"/>
              </w:rPr>
              <w:t xml:space="preserve">v prvním (bariéry růstu), resp. </w:t>
            </w:r>
            <w:r w:rsidRPr="00883202">
              <w:rPr>
                <w:rFonts w:cs="Arial"/>
                <w:spacing w:val="-2"/>
                <w:sz w:val="14"/>
                <w:szCs w:val="14"/>
              </w:rPr>
              <w:t>ve druhém měsíci daného čtvrtletí</w:t>
            </w:r>
            <w:r>
              <w:rPr>
                <w:rFonts w:cs="Arial"/>
                <w:spacing w:val="-2"/>
                <w:sz w:val="14"/>
                <w:szCs w:val="14"/>
              </w:rPr>
              <w:t xml:space="preserve"> (saldo důvěry)</w:t>
            </w:r>
            <w:r w:rsidRPr="00883202">
              <w:rPr>
                <w:rFonts w:cs="Arial"/>
                <w:spacing w:val="-2"/>
                <w:sz w:val="14"/>
                <w:szCs w:val="14"/>
              </w:rPr>
              <w:t>.</w:t>
            </w:r>
            <w:r>
              <w:rPr>
                <w:rFonts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Podniky mohly uvést více hlavních bariér současně.</w:t>
            </w:r>
            <w:r>
              <w:rPr>
                <w:rFonts w:cs="Arial"/>
                <w:sz w:val="14"/>
                <w:szCs w:val="14"/>
              </w:rPr>
              <w:tab/>
              <w:t>Z</w:t>
            </w:r>
            <w:r w:rsidRPr="00883202">
              <w:rPr>
                <w:rFonts w:cs="Arial"/>
                <w:sz w:val="14"/>
                <w:szCs w:val="14"/>
              </w:rPr>
              <w:t>droj: ČSÚ</w:t>
            </w:r>
            <w:r>
              <w:rPr>
                <w:rFonts w:cs="Arial"/>
                <w:sz w:val="14"/>
                <w:szCs w:val="14"/>
              </w:rPr>
              <w:t>, Eurostat</w:t>
            </w:r>
          </w:p>
        </w:tc>
      </w:tr>
      <w:tr w:rsidR="00700E8A" w:rsidRPr="007B59C1" w14:paraId="3369A899" w14:textId="77777777" w:rsidTr="00150ECA">
        <w:trPr>
          <w:trHeight w:val="145"/>
        </w:trPr>
        <w:tc>
          <w:tcPr>
            <w:tcW w:w="1728" w:type="dxa"/>
            <w:shd w:val="clear" w:color="auto" w:fill="auto"/>
            <w:tcMar>
              <w:left w:w="0" w:type="dxa"/>
            </w:tcMar>
          </w:tcPr>
          <w:p w14:paraId="53B77261" w14:textId="77777777" w:rsidR="00700E8A" w:rsidRDefault="00700E8A" w:rsidP="00150ECA">
            <w:pPr>
              <w:pStyle w:val="Marginlie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Meziroční růst maloobchodních tržeb navázal ve 3. čtvrtletí na tempa z období před začátkem pandemie.</w:t>
            </w:r>
          </w:p>
          <w:p w14:paraId="3FABCE80" w14:textId="77777777" w:rsidR="00700E8A" w:rsidRDefault="00700E8A" w:rsidP="00150ECA">
            <w:pPr>
              <w:pStyle w:val="Marginlie"/>
              <w:rPr>
                <w:color w:val="0D0D0D" w:themeColor="text1" w:themeTint="F2"/>
              </w:rPr>
            </w:pPr>
          </w:p>
          <w:p w14:paraId="3D1DE77B" w14:textId="77777777" w:rsidR="00700E8A" w:rsidRDefault="00700E8A" w:rsidP="00150ECA">
            <w:pPr>
              <w:pStyle w:val="Marginlie"/>
              <w:rPr>
                <w:color w:val="0D0D0D" w:themeColor="text1" w:themeTint="F2"/>
              </w:rPr>
            </w:pPr>
          </w:p>
          <w:p w14:paraId="3F463180" w14:textId="77777777" w:rsidR="00700E8A" w:rsidRDefault="00700E8A" w:rsidP="00150ECA">
            <w:pPr>
              <w:pStyle w:val="Marginlie"/>
              <w:rPr>
                <w:color w:val="0D0D0D" w:themeColor="text1" w:themeTint="F2"/>
              </w:rPr>
            </w:pPr>
          </w:p>
          <w:p w14:paraId="02E5D0D9" w14:textId="77777777" w:rsidR="00700E8A" w:rsidRDefault="00700E8A" w:rsidP="00150ECA">
            <w:pPr>
              <w:pStyle w:val="Marginlie"/>
              <w:rPr>
                <w:color w:val="0D0D0D" w:themeColor="text1" w:themeTint="F2"/>
              </w:rPr>
            </w:pPr>
          </w:p>
          <w:p w14:paraId="4589C409" w14:textId="77777777" w:rsidR="00700E8A" w:rsidRDefault="00700E8A" w:rsidP="00150ECA">
            <w:pPr>
              <w:pStyle w:val="Marginlie"/>
              <w:rPr>
                <w:color w:val="0D0D0D" w:themeColor="text1" w:themeTint="F2"/>
              </w:rPr>
            </w:pPr>
          </w:p>
          <w:p w14:paraId="513277BF" w14:textId="77777777" w:rsidR="00700E8A" w:rsidRPr="007B59C1" w:rsidRDefault="00700E8A" w:rsidP="00150ECA">
            <w:pPr>
              <w:pStyle w:val="Marginlie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Tržby za prodej nepotravinářského zboží byly výrazně taženy internetovým obchodem.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1828A924" w14:textId="77777777" w:rsidR="00700E8A" w:rsidRPr="007B59C1" w:rsidRDefault="00700E8A" w:rsidP="00150ECA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30" w:type="dxa"/>
            <w:shd w:val="clear" w:color="auto" w:fill="auto"/>
            <w:tcMar>
              <w:left w:w="0" w:type="dxa"/>
            </w:tcMar>
          </w:tcPr>
          <w:p w14:paraId="6AED79E1" w14:textId="089AF0E3" w:rsidR="00700E8A" w:rsidRPr="007B59C1" w:rsidRDefault="00700E8A" w:rsidP="00150ECA">
            <w:pPr>
              <w:spacing w:after="0"/>
              <w:rPr>
                <w:rFonts w:cs="Arial"/>
                <w:color w:val="0D0D0D" w:themeColor="text1" w:themeTint="F2"/>
                <w:spacing w:val="-4"/>
                <w:szCs w:val="20"/>
              </w:rPr>
            </w:pPr>
            <w:r w:rsidRPr="002617EE">
              <w:rPr>
                <w:rFonts w:cs="Arial"/>
                <w:color w:val="0D0D0D" w:themeColor="text1" w:themeTint="F2"/>
                <w:spacing w:val="-4"/>
                <w:szCs w:val="20"/>
              </w:rPr>
              <w:t>Maloobchodní tržby</w:t>
            </w:r>
            <w:r w:rsidRPr="002617EE">
              <w:rPr>
                <w:rStyle w:val="Znakapoznpodarou"/>
                <w:color w:val="0D0D0D" w:themeColor="text1" w:themeTint="F2"/>
                <w:spacing w:val="-4"/>
              </w:rPr>
              <w:footnoteReference w:id="27"/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reagovaly letos na jarní uvolnění restrikcí prudkým květnovým posílením (8,7 % meziměsíčně). Od června do září ale meziměsíční změny jen lehce kolísaly mezi růstem a poklesem. Za 3. čtvrtletí vzrostly tržby meziročně o 4,0 %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</w:rPr>
              <w:footnoteReference w:id="28"/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a navázaly na tempa z období těsně před propuknutím pandemie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</w:rPr>
              <w:footnoteReference w:id="29"/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. Svižně rostly tržby za nepotravinářské zboží (8,0 %), ve kterých se mohl projevovat vliv odložené spotřeby,</w:t>
            </w:r>
            <w:r>
              <w:rPr>
                <w:color w:val="0D0D0D" w:themeColor="text1" w:themeTint="F2"/>
                <w:spacing w:val="-5"/>
              </w:rPr>
              <w:t xml:space="preserve"> i 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obliba nákupů přes internet, které se během pandemie pro část spotřebitelů patrně staly dominantním nákupním kanálem. V rámci specializovaných prodejen rostly nejvíce tržby v obchodech s počítačovým a komunikačním zařízením (10,8 %) a v obchodech s výrobky pro domácnost (6,7 %). Vyšší poptávku zaznamenaly i prodejny s </w:t>
            </w:r>
            <w:r w:rsidRPr="00862269">
              <w:rPr>
                <w:rFonts w:cs="Arial"/>
                <w:color w:val="0D0D0D" w:themeColor="text1" w:themeTint="F2"/>
                <w:spacing w:val="-4"/>
                <w:szCs w:val="20"/>
              </w:rPr>
              <w:t>oděvy, obuví a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 </w:t>
            </w:r>
            <w:r w:rsidRPr="00862269">
              <w:rPr>
                <w:rFonts w:cs="Arial"/>
                <w:color w:val="0D0D0D" w:themeColor="text1" w:themeTint="F2"/>
                <w:spacing w:val="-4"/>
                <w:szCs w:val="20"/>
              </w:rPr>
              <w:t>koženým zbožím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(ty přitom loni v létě stále vykazovaly u tržeb meziroční pokles). Tržby za prodej potravin se letos ve 3. čtvrtletí o 0,8 % snížily, mírný</w:t>
            </w:r>
            <w:r w:rsidR="00225000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meziroční pokles hlásily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jak specializované prodejny potravin, tak velké řetězce. Prodejci pohonných hmot stržili meziročně o 3,1 % více, proti vyššímu růstu mohly působit sílící ceny</w:t>
            </w:r>
            <w:r>
              <w:rPr>
                <w:rStyle w:val="Znakapoznpodarou"/>
                <w:color w:val="0D0D0D" w:themeColor="text1" w:themeTint="F2"/>
                <w:spacing w:val="-4"/>
                <w:szCs w:val="20"/>
              </w:rPr>
              <w:footnoteReference w:id="30"/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. V motoristickém segmentu obchodu (CZ-NACE 45) klesly ve 3. čtvrtletí tržby meziročně o 2,1 % a ve dvouletém srovnání propadly o 10,1 % </w:t>
            </w:r>
            <w:r w:rsidRPr="00A13392">
              <w:rPr>
                <w:rFonts w:cs="Arial"/>
                <w:color w:val="0D0D0D" w:themeColor="text1" w:themeTint="F2"/>
                <w:spacing w:val="-6"/>
                <w:szCs w:val="20"/>
              </w:rPr>
              <w:t>(</w:t>
            </w:r>
            <w:r>
              <w:rPr>
                <w:rFonts w:cs="Arial"/>
                <w:color w:val="0D0D0D" w:themeColor="text1" w:themeTint="F2"/>
                <w:spacing w:val="-6"/>
                <w:szCs w:val="20"/>
              </w:rPr>
              <w:t>pouze</w:t>
            </w:r>
            <w:r w:rsidRPr="00A13392">
              <w:rPr>
                <w:rFonts w:cs="Arial"/>
                <w:color w:val="0D0D0D" w:themeColor="text1" w:themeTint="F2"/>
                <w:spacing w:val="-6"/>
                <w:szCs w:val="20"/>
              </w:rPr>
              <w:t xml:space="preserve"> tržby za opravy a</w:t>
            </w:r>
            <w:r>
              <w:rPr>
                <w:rFonts w:cs="Arial"/>
                <w:color w:val="0D0D0D" w:themeColor="text1" w:themeTint="F2"/>
                <w:spacing w:val="-6"/>
                <w:szCs w:val="20"/>
              </w:rPr>
              <w:t> </w:t>
            </w:r>
            <w:r w:rsidRPr="00A13392">
              <w:rPr>
                <w:rFonts w:cs="Arial"/>
                <w:color w:val="0D0D0D" w:themeColor="text1" w:themeTint="F2"/>
                <w:spacing w:val="-6"/>
                <w:szCs w:val="20"/>
              </w:rPr>
              <w:t>údržbu motorových vozidel kromě motocyklů klesly mírněji, o</w:t>
            </w:r>
            <w:r>
              <w:rPr>
                <w:rFonts w:cs="Arial"/>
                <w:color w:val="0D0D0D" w:themeColor="text1" w:themeTint="F2"/>
                <w:spacing w:val="-6"/>
                <w:szCs w:val="20"/>
              </w:rPr>
              <w:t> </w:t>
            </w:r>
            <w:r w:rsidRPr="00A13392">
              <w:rPr>
                <w:rFonts w:cs="Arial"/>
                <w:color w:val="0D0D0D" w:themeColor="text1" w:themeTint="F2"/>
                <w:spacing w:val="-6"/>
                <w:szCs w:val="20"/>
              </w:rPr>
              <w:t>2,3</w:t>
            </w:r>
            <w:r>
              <w:rPr>
                <w:rFonts w:cs="Arial"/>
                <w:color w:val="0D0D0D" w:themeColor="text1" w:themeTint="F2"/>
                <w:spacing w:val="-6"/>
                <w:szCs w:val="20"/>
              </w:rPr>
              <w:t> %</w:t>
            </w:r>
            <w:r w:rsidRPr="00A13392">
              <w:rPr>
                <w:rFonts w:cs="Arial"/>
                <w:color w:val="0D0D0D" w:themeColor="text1" w:themeTint="F2"/>
                <w:spacing w:val="-6"/>
                <w:szCs w:val="20"/>
              </w:rPr>
              <w:t>).</w:t>
            </w:r>
            <w:bookmarkStart w:id="5" w:name="_GoBack"/>
            <w:bookmarkEnd w:id="5"/>
          </w:p>
        </w:tc>
      </w:tr>
    </w:tbl>
    <w:p w14:paraId="3BFBA732" w14:textId="03772FCB" w:rsidR="00700E8A" w:rsidRPr="00225000" w:rsidRDefault="00700E8A">
      <w:pPr>
        <w:spacing w:after="0" w:line="240" w:lineRule="auto"/>
        <w:jc w:val="left"/>
        <w:rPr>
          <w:rFonts w:eastAsia="MS Gothic"/>
          <w:b/>
          <w:bCs/>
          <w:color w:val="71818C"/>
          <w:sz w:val="2"/>
          <w:szCs w:val="2"/>
        </w:rPr>
      </w:pPr>
      <w:r w:rsidRPr="00225000">
        <w:rPr>
          <w:sz w:val="2"/>
          <w:szCs w:val="2"/>
        </w:rPr>
        <w:br w:type="page"/>
      </w:r>
    </w:p>
    <w:bookmarkEnd w:id="0"/>
    <w:bookmarkEnd w:id="1"/>
    <w:bookmarkEnd w:id="2"/>
    <w:bookmarkEnd w:id="3"/>
    <w:p w14:paraId="1CC0B2DD" w14:textId="77777777" w:rsidR="00F00535" w:rsidRPr="00E42054" w:rsidRDefault="00F00535" w:rsidP="00F00535">
      <w:pPr>
        <w:pStyle w:val="Nadpis11"/>
        <w:rPr>
          <w:b w:val="0"/>
          <w:sz w:val="2"/>
          <w:szCs w:val="2"/>
        </w:rPr>
      </w:pPr>
    </w:p>
    <w:sectPr w:rsidR="00F00535" w:rsidRPr="00E42054" w:rsidSect="009A4553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9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5233" w16cex:dateUtc="2021-12-12T09:49:00Z"/>
  <w16cex:commentExtensible w16cex:durableId="25605965" w16cex:dateUtc="2021-12-12T10:20:00Z"/>
  <w16cex:commentExtensible w16cex:durableId="256059E5" w16cex:dateUtc="2021-12-12T10:22:00Z"/>
  <w16cex:commentExtensible w16cex:durableId="255E05D5" w16cex:dateUtc="2021-12-10T15:59:00Z"/>
  <w16cex:commentExtensible w16cex:durableId="2560964B" w16cex:dateUtc="2021-12-12T14:39:00Z"/>
  <w16cex:commentExtensible w16cex:durableId="255E068F" w16cex:dateUtc="2021-12-1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02D9A" w16cid:durableId="25605233"/>
  <w16cid:commentId w16cid:paraId="47A2534C" w16cid:durableId="25605965"/>
  <w16cid:commentId w16cid:paraId="39626918" w16cid:durableId="256059E5"/>
  <w16cid:commentId w16cid:paraId="0F66996F" w16cid:durableId="255E05D5"/>
  <w16cid:commentId w16cid:paraId="6E18F763" w16cid:durableId="2560964B"/>
  <w16cid:commentId w16cid:paraId="3AE6BE9D" w16cid:durableId="255E0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A9BC" w14:textId="77777777" w:rsidR="009112E3" w:rsidRDefault="009112E3" w:rsidP="00E71A58">
      <w:r>
        <w:separator/>
      </w:r>
    </w:p>
  </w:endnote>
  <w:endnote w:type="continuationSeparator" w:id="0">
    <w:p w14:paraId="6D76B327" w14:textId="77777777" w:rsidR="009112E3" w:rsidRDefault="009112E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7153DAA1" w:rsidR="009112E3" w:rsidRPr="00932443" w:rsidRDefault="009112E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A4553">
      <w:rPr>
        <w:szCs w:val="16"/>
      </w:rPr>
      <w:t>14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65552AC0" w:rsidR="009112E3" w:rsidRPr="00932443" w:rsidRDefault="009112E3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A4553">
      <w:rPr>
        <w:rStyle w:val="ZpatChar"/>
        <w:szCs w:val="16"/>
      </w:rPr>
      <w:t>13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0601" w14:textId="77777777" w:rsidR="009112E3" w:rsidRDefault="009112E3" w:rsidP="00A21B4D">
      <w:pPr>
        <w:spacing w:after="0"/>
      </w:pPr>
      <w:r>
        <w:separator/>
      </w:r>
    </w:p>
  </w:footnote>
  <w:footnote w:type="continuationSeparator" w:id="0">
    <w:p w14:paraId="5EDF8C8E" w14:textId="77777777" w:rsidR="009112E3" w:rsidRDefault="009112E3" w:rsidP="00E71A58">
      <w:r>
        <w:continuationSeparator/>
      </w:r>
    </w:p>
  </w:footnote>
  <w:footnote w:id="1">
    <w:p w14:paraId="412B5B69" w14:textId="77777777" w:rsidR="009112E3" w:rsidRPr="00FB58F4" w:rsidRDefault="009112E3" w:rsidP="00700E8A">
      <w:pPr>
        <w:pStyle w:val="Textpoznpodarou"/>
        <w:jc w:val="both"/>
        <w:rPr>
          <w:rFonts w:cs="Arial"/>
          <w:color w:val="0D0D0D" w:themeColor="text1" w:themeTint="F2"/>
          <w:spacing w:val="-2"/>
          <w:sz w:val="16"/>
          <w:szCs w:val="16"/>
        </w:rPr>
      </w:pPr>
      <w:r w:rsidRPr="00FB58F4"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 w:rsidRPr="00FB58F4">
        <w:rPr>
          <w:rFonts w:cs="Arial"/>
          <w:color w:val="0D0D0D" w:themeColor="text1" w:themeTint="F2"/>
          <w:spacing w:val="-2"/>
          <w:sz w:val="16"/>
          <w:szCs w:val="16"/>
        </w:rPr>
        <w:t xml:space="preserve"> Údaje o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 </w:t>
      </w:r>
      <w:r w:rsidRPr="00FB58F4">
        <w:rPr>
          <w:rFonts w:cs="Arial"/>
          <w:color w:val="0D0D0D" w:themeColor="text1" w:themeTint="F2"/>
          <w:spacing w:val="-2"/>
          <w:sz w:val="16"/>
          <w:szCs w:val="16"/>
        </w:rPr>
        <w:t>HPH jsou vyjádřeny ve stálých cenách a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 </w:t>
      </w:r>
      <w:r w:rsidRPr="00FB58F4">
        <w:rPr>
          <w:rFonts w:cs="Arial"/>
          <w:color w:val="0D0D0D" w:themeColor="text1" w:themeTint="F2"/>
          <w:spacing w:val="-2"/>
          <w:sz w:val="16"/>
          <w:szCs w:val="16"/>
        </w:rPr>
        <w:t>v očištění o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 </w:t>
      </w:r>
      <w:r w:rsidRPr="00FB58F4">
        <w:rPr>
          <w:rFonts w:cs="Arial"/>
          <w:color w:val="0D0D0D" w:themeColor="text1" w:themeTint="F2"/>
          <w:spacing w:val="-2"/>
          <w:sz w:val="16"/>
          <w:szCs w:val="16"/>
        </w:rPr>
        <w:t>sezónní a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 </w:t>
      </w:r>
      <w:r w:rsidRPr="00FB58F4">
        <w:rPr>
          <w:rFonts w:cs="Arial"/>
          <w:color w:val="0D0D0D" w:themeColor="text1" w:themeTint="F2"/>
          <w:spacing w:val="-2"/>
          <w:sz w:val="16"/>
          <w:szCs w:val="16"/>
        </w:rPr>
        <w:t>kalendářní vlivy.</w:t>
      </w:r>
    </w:p>
  </w:footnote>
  <w:footnote w:id="2">
    <w:p w14:paraId="375EA4D6" w14:textId="77777777" w:rsidR="009112E3" w:rsidRPr="00B72813" w:rsidRDefault="009112E3" w:rsidP="00700E8A">
      <w:pPr>
        <w:pStyle w:val="Textpoznpodarou"/>
        <w:rPr>
          <w:sz w:val="16"/>
          <w:szCs w:val="16"/>
        </w:rPr>
      </w:pPr>
      <w:r w:rsidRPr="00B72813">
        <w:rPr>
          <w:rStyle w:val="Znakapoznpodarou"/>
          <w:sz w:val="16"/>
          <w:szCs w:val="16"/>
        </w:rPr>
        <w:footnoteRef/>
      </w:r>
      <w:r w:rsidRPr="00B72813">
        <w:rPr>
          <w:sz w:val="16"/>
          <w:szCs w:val="16"/>
        </w:rPr>
        <w:t xml:space="preserve"> V EU i</w:t>
      </w:r>
      <w:r>
        <w:rPr>
          <w:sz w:val="16"/>
          <w:szCs w:val="16"/>
        </w:rPr>
        <w:t> </w:t>
      </w:r>
      <w:r w:rsidRPr="00B72813">
        <w:rPr>
          <w:sz w:val="16"/>
          <w:szCs w:val="16"/>
        </w:rPr>
        <w:t>v zemích eurozóny probíhalo letos pokrizové</w:t>
      </w:r>
      <w:r>
        <w:rPr>
          <w:sz w:val="16"/>
          <w:szCs w:val="16"/>
        </w:rPr>
        <w:t xml:space="preserve"> oživení </w:t>
      </w:r>
      <w:r w:rsidRPr="00B72813">
        <w:rPr>
          <w:sz w:val="16"/>
          <w:szCs w:val="16"/>
        </w:rPr>
        <w:t>svižněji. Mezikvartální růst HPH v celé Unii činil ve 2.</w:t>
      </w:r>
      <w:r>
        <w:rPr>
          <w:sz w:val="16"/>
          <w:szCs w:val="16"/>
        </w:rPr>
        <w:t> čt</w:t>
      </w:r>
      <w:r w:rsidRPr="00B72813">
        <w:rPr>
          <w:sz w:val="16"/>
          <w:szCs w:val="16"/>
        </w:rPr>
        <w:t>vrtletí 1,8</w:t>
      </w:r>
      <w:r>
        <w:rPr>
          <w:sz w:val="16"/>
          <w:szCs w:val="16"/>
        </w:rPr>
        <w:t> %</w:t>
      </w:r>
      <w:r w:rsidRPr="00B72813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B72813">
        <w:rPr>
          <w:sz w:val="16"/>
          <w:szCs w:val="16"/>
        </w:rPr>
        <w:t>ve 3.</w:t>
      </w:r>
      <w:r>
        <w:rPr>
          <w:sz w:val="16"/>
          <w:szCs w:val="16"/>
        </w:rPr>
        <w:t> čt</w:t>
      </w:r>
      <w:r w:rsidRPr="00B72813">
        <w:rPr>
          <w:sz w:val="16"/>
          <w:szCs w:val="16"/>
        </w:rPr>
        <w:t>vrtletí 2,1</w:t>
      </w:r>
      <w:r>
        <w:rPr>
          <w:sz w:val="16"/>
          <w:szCs w:val="16"/>
        </w:rPr>
        <w:t> %</w:t>
      </w:r>
      <w:r w:rsidRPr="00B72813">
        <w:rPr>
          <w:sz w:val="16"/>
          <w:szCs w:val="16"/>
        </w:rPr>
        <w:t xml:space="preserve">. </w:t>
      </w:r>
      <w:r>
        <w:rPr>
          <w:sz w:val="16"/>
          <w:szCs w:val="16"/>
        </w:rPr>
        <w:t>Vyšší dynamika HPH (ve srovnání s tuzemskem) souvisela s významnější rolí sektoru služeb v ekonomice.</w:t>
      </w:r>
    </w:p>
  </w:footnote>
  <w:footnote w:id="3">
    <w:p w14:paraId="44E6697A" w14:textId="77777777" w:rsidR="009112E3" w:rsidRPr="006D398F" w:rsidRDefault="009112E3" w:rsidP="00700E8A">
      <w:pPr>
        <w:pStyle w:val="Textpoznpodarou"/>
        <w:rPr>
          <w:sz w:val="16"/>
          <w:szCs w:val="16"/>
        </w:rPr>
      </w:pPr>
      <w:r w:rsidRPr="006D398F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Jedná s</w:t>
      </w:r>
      <w:r w:rsidRPr="006D398F">
        <w:rPr>
          <w:sz w:val="16"/>
          <w:szCs w:val="16"/>
        </w:rPr>
        <w:t xml:space="preserve">e např. </w:t>
      </w:r>
      <w:r>
        <w:rPr>
          <w:sz w:val="16"/>
          <w:szCs w:val="16"/>
        </w:rPr>
        <w:t>o </w:t>
      </w:r>
      <w:r w:rsidRPr="006D398F">
        <w:rPr>
          <w:sz w:val="16"/>
          <w:szCs w:val="16"/>
        </w:rPr>
        <w:t xml:space="preserve">kadeřnictví, kosmetické služby, </w:t>
      </w:r>
      <w:r w:rsidRPr="006D398F">
        <w:rPr>
          <w:rFonts w:cs="Arial"/>
          <w:color w:val="0D0D0D" w:themeColor="text1" w:themeTint="F2"/>
          <w:spacing w:val="-2"/>
          <w:sz w:val="16"/>
          <w:szCs w:val="16"/>
        </w:rPr>
        <w:t>čisticí služby či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 xml:space="preserve"> o </w:t>
      </w:r>
      <w:r w:rsidRPr="006D398F">
        <w:rPr>
          <w:sz w:val="16"/>
          <w:szCs w:val="16"/>
        </w:rPr>
        <w:t>opravy výrobků pro osobní potřebu a převážně pro domácnost.</w:t>
      </w:r>
    </w:p>
  </w:footnote>
  <w:footnote w:id="4">
    <w:p w14:paraId="56694EF3" w14:textId="77777777" w:rsidR="009112E3" w:rsidRPr="00387FDE" w:rsidRDefault="009112E3" w:rsidP="00700E8A">
      <w:pPr>
        <w:pStyle w:val="Textpoznpodarou"/>
        <w:rPr>
          <w:sz w:val="16"/>
          <w:szCs w:val="16"/>
        </w:rPr>
      </w:pPr>
      <w:r w:rsidRPr="00387FDE">
        <w:rPr>
          <w:rStyle w:val="Znakapoznpodarou"/>
          <w:sz w:val="16"/>
          <w:szCs w:val="16"/>
        </w:rPr>
        <w:footnoteRef/>
      </w:r>
      <w:r w:rsidRPr="00387FDE">
        <w:rPr>
          <w:sz w:val="16"/>
          <w:szCs w:val="16"/>
        </w:rPr>
        <w:t xml:space="preserve"> HPH ve zpracovatelském průmyslu se ve srovnání s 2.</w:t>
      </w:r>
      <w:r>
        <w:rPr>
          <w:sz w:val="16"/>
          <w:szCs w:val="16"/>
        </w:rPr>
        <w:t> čt</w:t>
      </w:r>
      <w:r w:rsidRPr="00387FDE">
        <w:rPr>
          <w:sz w:val="16"/>
          <w:szCs w:val="16"/>
        </w:rPr>
        <w:t>vrtletím 2021 snížila o</w:t>
      </w:r>
      <w:r>
        <w:rPr>
          <w:sz w:val="16"/>
          <w:szCs w:val="16"/>
        </w:rPr>
        <w:t> </w:t>
      </w:r>
      <w:r w:rsidRPr="00387FDE">
        <w:rPr>
          <w:sz w:val="16"/>
          <w:szCs w:val="16"/>
        </w:rPr>
        <w:t>3,1</w:t>
      </w:r>
      <w:r>
        <w:rPr>
          <w:sz w:val="16"/>
          <w:szCs w:val="16"/>
        </w:rPr>
        <w:t> %</w:t>
      </w:r>
      <w:r w:rsidRPr="00387FDE">
        <w:rPr>
          <w:sz w:val="16"/>
          <w:szCs w:val="16"/>
        </w:rPr>
        <w:t>. Problém s váznoucím</w:t>
      </w:r>
      <w:r>
        <w:rPr>
          <w:sz w:val="16"/>
          <w:szCs w:val="16"/>
        </w:rPr>
        <w:t>i dodávkami výrobních komponent je</w:t>
      </w:r>
      <w:r w:rsidRPr="00387FDE">
        <w:rPr>
          <w:sz w:val="16"/>
          <w:szCs w:val="16"/>
        </w:rPr>
        <w:t xml:space="preserve"> </w:t>
      </w:r>
      <w:r>
        <w:rPr>
          <w:sz w:val="16"/>
          <w:szCs w:val="16"/>
        </w:rPr>
        <w:t>sice globální povahy,</w:t>
      </w:r>
      <w:r w:rsidRPr="00387FDE">
        <w:rPr>
          <w:sz w:val="16"/>
          <w:szCs w:val="16"/>
        </w:rPr>
        <w:t xml:space="preserve"> citelně </w:t>
      </w:r>
      <w:r>
        <w:rPr>
          <w:sz w:val="16"/>
          <w:szCs w:val="16"/>
        </w:rPr>
        <w:t>ale dopadá hlavně</w:t>
      </w:r>
      <w:r w:rsidRPr="00387FDE">
        <w:rPr>
          <w:sz w:val="16"/>
          <w:szCs w:val="16"/>
        </w:rPr>
        <w:t xml:space="preserve"> na automobilový průmysl v Evropě. V zemích s jeho vysokým podílem </w:t>
      </w:r>
      <w:r>
        <w:rPr>
          <w:sz w:val="16"/>
          <w:szCs w:val="16"/>
        </w:rPr>
        <w:t>to vedlo k tomu, že výkon celého zpracovatelského průmyslu ve 3. čtvrtletí mezikvartálně klesl (v </w:t>
      </w:r>
      <w:r w:rsidRPr="00387FDE">
        <w:rPr>
          <w:sz w:val="16"/>
          <w:szCs w:val="16"/>
        </w:rPr>
        <w:t>Ma</w:t>
      </w:r>
      <w:r>
        <w:rPr>
          <w:sz w:val="16"/>
          <w:szCs w:val="16"/>
        </w:rPr>
        <w:t>ďarsku o 2,8 %, v </w:t>
      </w:r>
      <w:r w:rsidRPr="00387FDE">
        <w:rPr>
          <w:sz w:val="16"/>
          <w:szCs w:val="16"/>
        </w:rPr>
        <w:t>N</w:t>
      </w:r>
      <w:r>
        <w:rPr>
          <w:sz w:val="16"/>
          <w:szCs w:val="16"/>
        </w:rPr>
        <w:t>ěmecku o 2,2 %).</w:t>
      </w:r>
    </w:p>
  </w:footnote>
  <w:footnote w:id="5">
    <w:p w14:paraId="2106B41E" w14:textId="77777777" w:rsidR="009112E3" w:rsidRPr="00C70024" w:rsidRDefault="009112E3" w:rsidP="00700E8A">
      <w:pPr>
        <w:pStyle w:val="Textpoznpodarou"/>
        <w:rPr>
          <w:sz w:val="16"/>
          <w:szCs w:val="16"/>
        </w:rPr>
      </w:pPr>
      <w:r w:rsidRPr="00C70024">
        <w:rPr>
          <w:rStyle w:val="Znakapoznpodarou"/>
          <w:sz w:val="16"/>
          <w:szCs w:val="16"/>
        </w:rPr>
        <w:footnoteRef/>
      </w:r>
      <w:r w:rsidRPr="00C70024">
        <w:rPr>
          <w:sz w:val="16"/>
          <w:szCs w:val="16"/>
        </w:rPr>
        <w:t xml:space="preserve"> To platilo analogicky i</w:t>
      </w:r>
      <w:r>
        <w:rPr>
          <w:sz w:val="16"/>
          <w:szCs w:val="16"/>
        </w:rPr>
        <w:t> </w:t>
      </w:r>
      <w:r w:rsidRPr="00C70024">
        <w:rPr>
          <w:sz w:val="16"/>
          <w:szCs w:val="16"/>
        </w:rPr>
        <w:t>pro EU (</w:t>
      </w:r>
      <w:r>
        <w:rPr>
          <w:sz w:val="16"/>
          <w:szCs w:val="16"/>
        </w:rPr>
        <w:t>–0,3 %), včetně všech čtyř</w:t>
      </w:r>
      <w:r w:rsidRPr="00C70024">
        <w:rPr>
          <w:sz w:val="16"/>
          <w:szCs w:val="16"/>
        </w:rPr>
        <w:t xml:space="preserve"> nejvýznamnějších </w:t>
      </w:r>
      <w:r>
        <w:rPr>
          <w:sz w:val="16"/>
          <w:szCs w:val="16"/>
        </w:rPr>
        <w:t xml:space="preserve">unijních </w:t>
      </w:r>
      <w:r w:rsidRPr="00C70024">
        <w:rPr>
          <w:sz w:val="16"/>
          <w:szCs w:val="16"/>
        </w:rPr>
        <w:t xml:space="preserve">ekonomik. </w:t>
      </w:r>
      <w:r>
        <w:rPr>
          <w:sz w:val="16"/>
          <w:szCs w:val="16"/>
        </w:rPr>
        <w:t>Naopak své maximum z období předpandemické konjunktury z pohledu HPH již během dosavadní části letošního roku překonaly dvě třetiny členských států, zejména Irsko (+23 %), Lucembursko (+6 %), dále pobaltské státy, severské státy, ale také např. Polsko, Maďarsko, Slovinsko, Rumunsko či Nizozemsko – tedy země, v jejichž ekonomikách hrají služby vázané na cestovní ruch vesměs menší roli.</w:t>
      </w:r>
    </w:p>
  </w:footnote>
  <w:footnote w:id="6">
    <w:p w14:paraId="1938B5B2" w14:textId="77777777" w:rsidR="009112E3" w:rsidRPr="007E3B83" w:rsidRDefault="009112E3" w:rsidP="00700E8A">
      <w:pPr>
        <w:pStyle w:val="Textpoznpodarou"/>
        <w:rPr>
          <w:sz w:val="16"/>
          <w:szCs w:val="16"/>
        </w:rPr>
      </w:pPr>
      <w:r w:rsidRPr="007E3B83">
        <w:rPr>
          <w:rStyle w:val="Znakapoznpodarou"/>
          <w:sz w:val="16"/>
          <w:szCs w:val="16"/>
        </w:rPr>
        <w:footnoteRef/>
      </w:r>
      <w:r w:rsidRPr="007E3B83">
        <w:rPr>
          <w:sz w:val="16"/>
          <w:szCs w:val="16"/>
        </w:rPr>
        <w:t xml:space="preserve"> Celková odpracovaná doba ve zpracovatelském průmyslu vzrostla letos za tři čtvrtletí meziročně o</w:t>
      </w:r>
      <w:r>
        <w:rPr>
          <w:sz w:val="16"/>
          <w:szCs w:val="16"/>
        </w:rPr>
        <w:t> </w:t>
      </w:r>
      <w:r w:rsidRPr="007E3B83">
        <w:rPr>
          <w:sz w:val="16"/>
          <w:szCs w:val="16"/>
        </w:rPr>
        <w:t>3,5</w:t>
      </w:r>
      <w:r>
        <w:rPr>
          <w:sz w:val="16"/>
          <w:szCs w:val="16"/>
        </w:rPr>
        <w:t> %</w:t>
      </w:r>
      <w:r w:rsidRPr="007E3B83">
        <w:rPr>
          <w:sz w:val="16"/>
          <w:szCs w:val="16"/>
        </w:rPr>
        <w:t>, tedy skoro třikrát vyšším tempem než v celé ekonomice.</w:t>
      </w:r>
    </w:p>
  </w:footnote>
  <w:footnote w:id="7">
    <w:p w14:paraId="2F9F3C7D" w14:textId="77777777" w:rsidR="009112E3" w:rsidRPr="00DF11EC" w:rsidRDefault="009112E3" w:rsidP="00700E8A">
      <w:pPr>
        <w:pStyle w:val="Textpoznpodarou"/>
        <w:rPr>
          <w:sz w:val="16"/>
          <w:szCs w:val="16"/>
        </w:rPr>
      </w:pPr>
      <w:r w:rsidRPr="00DF11EC">
        <w:rPr>
          <w:rStyle w:val="Znakapoznpodarou"/>
          <w:sz w:val="16"/>
          <w:szCs w:val="16"/>
        </w:rPr>
        <w:footnoteRef/>
      </w:r>
      <w:r w:rsidRPr="00DF11EC">
        <w:rPr>
          <w:sz w:val="16"/>
          <w:szCs w:val="16"/>
        </w:rPr>
        <w:t xml:space="preserve"> Zahrnuj</w:t>
      </w:r>
      <w:r>
        <w:rPr>
          <w:sz w:val="16"/>
          <w:szCs w:val="16"/>
        </w:rPr>
        <w:t>í</w:t>
      </w:r>
      <w:r w:rsidRPr="00DF11EC">
        <w:rPr>
          <w:sz w:val="16"/>
          <w:szCs w:val="16"/>
        </w:rPr>
        <w:t xml:space="preserve"> veřejnou správu a</w:t>
      </w:r>
      <w:r>
        <w:rPr>
          <w:sz w:val="16"/>
          <w:szCs w:val="16"/>
        </w:rPr>
        <w:t> </w:t>
      </w:r>
      <w:r w:rsidRPr="00DF11EC">
        <w:rPr>
          <w:sz w:val="16"/>
          <w:szCs w:val="16"/>
        </w:rPr>
        <w:t>obranu, vzdělávání, zdravotní a</w:t>
      </w:r>
      <w:r>
        <w:rPr>
          <w:sz w:val="16"/>
          <w:szCs w:val="16"/>
        </w:rPr>
        <w:t> </w:t>
      </w:r>
      <w:r w:rsidRPr="00DF11EC">
        <w:rPr>
          <w:sz w:val="16"/>
          <w:szCs w:val="16"/>
        </w:rPr>
        <w:t>sociální péči.</w:t>
      </w:r>
    </w:p>
  </w:footnote>
  <w:footnote w:id="8">
    <w:p w14:paraId="0AE0648D" w14:textId="77777777" w:rsidR="009112E3" w:rsidRPr="00E257EB" w:rsidRDefault="009112E3" w:rsidP="00700E8A">
      <w:pPr>
        <w:pStyle w:val="Textpoznpodarou"/>
        <w:rPr>
          <w:sz w:val="16"/>
          <w:szCs w:val="16"/>
        </w:rPr>
      </w:pPr>
      <w:r w:rsidRPr="00E257EB">
        <w:rPr>
          <w:rStyle w:val="Znakapoznpodarou"/>
          <w:sz w:val="16"/>
          <w:szCs w:val="16"/>
        </w:rPr>
        <w:footnoteRef/>
      </w:r>
      <w:r w:rsidRPr="00E257EB">
        <w:rPr>
          <w:sz w:val="16"/>
          <w:szCs w:val="16"/>
        </w:rPr>
        <w:t xml:space="preserve"> Projevily se zde dopady protipandemických restrikcí z 1.</w:t>
      </w:r>
      <w:r>
        <w:rPr>
          <w:sz w:val="16"/>
          <w:szCs w:val="16"/>
        </w:rPr>
        <w:t> čt</w:t>
      </w:r>
      <w:r w:rsidRPr="00E257EB">
        <w:rPr>
          <w:sz w:val="16"/>
          <w:szCs w:val="16"/>
        </w:rPr>
        <w:t xml:space="preserve">vrtletí 2021, kdy počet odpracovaných hodin v tomto </w:t>
      </w:r>
      <w:r>
        <w:rPr>
          <w:sz w:val="16"/>
          <w:szCs w:val="16"/>
        </w:rPr>
        <w:t>odvětví meziročně propadl</w:t>
      </w:r>
      <w:r w:rsidRPr="00E257EB">
        <w:rPr>
          <w:sz w:val="16"/>
          <w:szCs w:val="16"/>
        </w:rPr>
        <w:t xml:space="preserve"> o</w:t>
      </w:r>
      <w:r>
        <w:rPr>
          <w:sz w:val="16"/>
          <w:szCs w:val="16"/>
        </w:rPr>
        <w:t> </w:t>
      </w:r>
      <w:r w:rsidRPr="00E257EB">
        <w:rPr>
          <w:sz w:val="16"/>
          <w:szCs w:val="16"/>
        </w:rPr>
        <w:t>více než desetinu.</w:t>
      </w:r>
    </w:p>
  </w:footnote>
  <w:footnote w:id="9">
    <w:p w14:paraId="5D7E203B" w14:textId="77777777" w:rsidR="009112E3" w:rsidRPr="00330737" w:rsidRDefault="009112E3" w:rsidP="00700E8A">
      <w:pPr>
        <w:pStyle w:val="Textpoznpodarou"/>
        <w:rPr>
          <w:sz w:val="16"/>
          <w:szCs w:val="16"/>
        </w:rPr>
      </w:pPr>
      <w:r w:rsidRPr="00330737">
        <w:rPr>
          <w:rStyle w:val="Znakapoznpodarou"/>
          <w:sz w:val="16"/>
          <w:szCs w:val="16"/>
        </w:rPr>
        <w:footnoteRef/>
      </w:r>
      <w:r w:rsidRPr="00330737">
        <w:rPr>
          <w:sz w:val="16"/>
          <w:szCs w:val="16"/>
        </w:rPr>
        <w:t xml:space="preserve"> Letošní sklize</w:t>
      </w:r>
      <w:r>
        <w:rPr>
          <w:sz w:val="16"/>
          <w:szCs w:val="16"/>
        </w:rPr>
        <w:t>ň</w:t>
      </w:r>
      <w:r w:rsidRPr="00330737">
        <w:rPr>
          <w:sz w:val="16"/>
          <w:szCs w:val="16"/>
        </w:rPr>
        <w:t xml:space="preserve"> obilovin (</w:t>
      </w:r>
      <w:r>
        <w:rPr>
          <w:sz w:val="16"/>
          <w:szCs w:val="16"/>
        </w:rPr>
        <w:t>včetně</w:t>
      </w:r>
      <w:r w:rsidRPr="00330737">
        <w:rPr>
          <w:sz w:val="16"/>
          <w:szCs w:val="16"/>
        </w:rPr>
        <w:t xml:space="preserve"> kukuřice) činila dle odhadu z 15</w:t>
      </w:r>
      <w:r>
        <w:rPr>
          <w:sz w:val="16"/>
          <w:szCs w:val="16"/>
        </w:rPr>
        <w:t>. </w:t>
      </w:r>
      <w:r w:rsidRPr="00330737">
        <w:rPr>
          <w:sz w:val="16"/>
          <w:szCs w:val="16"/>
        </w:rPr>
        <w:t>září 8,0</w:t>
      </w:r>
      <w:r>
        <w:rPr>
          <w:sz w:val="16"/>
          <w:szCs w:val="16"/>
        </w:rPr>
        <w:t> mil.</w:t>
      </w:r>
      <w:r w:rsidRPr="00330737">
        <w:rPr>
          <w:sz w:val="16"/>
          <w:szCs w:val="16"/>
        </w:rPr>
        <w:t xml:space="preserve"> tun a</w:t>
      </w:r>
      <w:r>
        <w:rPr>
          <w:sz w:val="16"/>
          <w:szCs w:val="16"/>
        </w:rPr>
        <w:t> </w:t>
      </w:r>
      <w:r w:rsidRPr="00330737">
        <w:rPr>
          <w:sz w:val="16"/>
          <w:szCs w:val="16"/>
        </w:rPr>
        <w:t xml:space="preserve">ve srovnání </w:t>
      </w:r>
      <w:r>
        <w:rPr>
          <w:sz w:val="16"/>
          <w:szCs w:val="16"/>
        </w:rPr>
        <w:t>s</w:t>
      </w:r>
      <w:r w:rsidRPr="00330737">
        <w:rPr>
          <w:sz w:val="16"/>
          <w:szCs w:val="16"/>
        </w:rPr>
        <w:t> průměrem z let 2011 až 2020 byla vyšší o</w:t>
      </w:r>
      <w:r>
        <w:rPr>
          <w:sz w:val="16"/>
          <w:szCs w:val="16"/>
        </w:rPr>
        <w:t> </w:t>
      </w:r>
      <w:r w:rsidRPr="00330737">
        <w:rPr>
          <w:sz w:val="16"/>
          <w:szCs w:val="16"/>
        </w:rPr>
        <w:t>2,6</w:t>
      </w:r>
      <w:r>
        <w:rPr>
          <w:sz w:val="16"/>
          <w:szCs w:val="16"/>
        </w:rPr>
        <w:t> %</w:t>
      </w:r>
      <w:r w:rsidRPr="00330737">
        <w:rPr>
          <w:sz w:val="16"/>
          <w:szCs w:val="16"/>
        </w:rPr>
        <w:t xml:space="preserve">. </w:t>
      </w:r>
      <w:r>
        <w:rPr>
          <w:sz w:val="16"/>
          <w:szCs w:val="16"/>
        </w:rPr>
        <w:t>Dlouhodobý průměr lehce překročila také u brambor (+3,4 %), technické cukrovky (+2,6 %), více pak u kukuřice na zeleno a siláž (+8,0</w:t>
      </w:r>
      <w:r w:rsidRPr="00330737">
        <w:rPr>
          <w:sz w:val="16"/>
          <w:szCs w:val="16"/>
        </w:rPr>
        <w:t> </w:t>
      </w:r>
      <w:r>
        <w:rPr>
          <w:sz w:val="16"/>
          <w:szCs w:val="16"/>
        </w:rPr>
        <w:t>%), příznivě na tom vzhledem k letošnímu deštivějšímu vegetačnímu období byly i ostatní pícniny. Z významnějších plodin se loni nedařilo pouze řepce (–19,2 %), na čemž se podepsal významný pokles hektarových výnosů i osevní plochy.</w:t>
      </w:r>
    </w:p>
  </w:footnote>
  <w:footnote w:id="10">
    <w:p w14:paraId="4AA75B50" w14:textId="77777777" w:rsidR="009112E3" w:rsidRPr="00263B79" w:rsidRDefault="009112E3" w:rsidP="00700E8A">
      <w:pPr>
        <w:pStyle w:val="Textpoznpodarou"/>
        <w:rPr>
          <w:sz w:val="16"/>
          <w:szCs w:val="16"/>
        </w:rPr>
      </w:pPr>
      <w:r w:rsidRPr="00263B79">
        <w:rPr>
          <w:rStyle w:val="Znakapoznpodarou"/>
          <w:sz w:val="16"/>
          <w:szCs w:val="16"/>
        </w:rPr>
        <w:footnoteRef/>
      </w:r>
      <w:r w:rsidRPr="00263B79">
        <w:rPr>
          <w:sz w:val="16"/>
          <w:szCs w:val="16"/>
        </w:rPr>
        <w:t xml:space="preserve"> Sklizeň obilovin byla letos oproti roku 2020</w:t>
      </w:r>
      <w:r>
        <w:rPr>
          <w:sz w:val="16"/>
          <w:szCs w:val="16"/>
        </w:rPr>
        <w:t xml:space="preserve"> nižší o 1,4 %, brambor o 3,5 %, a řepky dokonce o 17,5 % (v absolutní výši se jednalo o</w:t>
      </w:r>
      <w:r w:rsidRPr="007E3B83">
        <w:rPr>
          <w:sz w:val="16"/>
          <w:szCs w:val="16"/>
        </w:rPr>
        <w:t> </w:t>
      </w:r>
      <w:r>
        <w:rPr>
          <w:sz w:val="16"/>
          <w:szCs w:val="16"/>
        </w:rPr>
        <w:t>nejslabší sklizeň od roku 2006). Dařilo se naopak ostatním olejninám (především díky rozšíření osevní plochy), luskovinám, cukrovce (+8,8 %), chmelu (+39 %) a více se sklidilo u drtivé většiny druhů zeleniny. Horší výsledky zaznamenalo ovocnářství, především vlivem nižší úrody jablek (–3,1 %).</w:t>
      </w:r>
    </w:p>
  </w:footnote>
  <w:footnote w:id="11">
    <w:p w14:paraId="1166EAC6" w14:textId="77777777" w:rsidR="009112E3" w:rsidRPr="00CE71E4" w:rsidRDefault="009112E3" w:rsidP="00700E8A">
      <w:pPr>
        <w:pStyle w:val="Textpoznpodarou"/>
        <w:jc w:val="both"/>
        <w:rPr>
          <w:rFonts w:cs="Arial"/>
          <w:color w:val="0D0D0D" w:themeColor="text1" w:themeTint="F2"/>
          <w:spacing w:val="-2"/>
          <w:sz w:val="16"/>
          <w:szCs w:val="16"/>
        </w:rPr>
      </w:pPr>
      <w:r w:rsidRPr="00CE71E4"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 w:rsidRPr="00CE71E4">
        <w:rPr>
          <w:rFonts w:cs="Arial"/>
          <w:color w:val="0D0D0D" w:themeColor="text1" w:themeTint="F2"/>
          <w:spacing w:val="-2"/>
          <w:sz w:val="16"/>
          <w:szCs w:val="16"/>
        </w:rPr>
        <w:t xml:space="preserve"> Zahrnuje odvětví těžby a dobývání, zpracovatelského průmyslu a také energetiky (zde pojímané jako odvětví výroby a rozvodu elektřiny, plynu, tepla a klimatizovaného vzduchu). Všechna meziroční tempa produkce (na úrovni odvětvových sekcí i oddílů) jsou očištěna o kalendářní vlivy, mezičtvrtletní i meziměsíční tempa pak také o vliv sezónnosti.</w:t>
      </w:r>
    </w:p>
  </w:footnote>
  <w:footnote w:id="12">
    <w:p w14:paraId="3449782F" w14:textId="77777777" w:rsidR="009112E3" w:rsidRPr="00EB7CEF" w:rsidRDefault="009112E3" w:rsidP="00700E8A">
      <w:pPr>
        <w:pStyle w:val="Textpoznpodarou"/>
        <w:rPr>
          <w:sz w:val="16"/>
          <w:szCs w:val="16"/>
        </w:rPr>
      </w:pPr>
      <w:r w:rsidRPr="00EB7CEF">
        <w:rPr>
          <w:rStyle w:val="Znakapoznpodarou"/>
          <w:sz w:val="16"/>
          <w:szCs w:val="16"/>
        </w:rPr>
        <w:footnoteRef/>
      </w:r>
      <w:r w:rsidRPr="00EB7CEF">
        <w:rPr>
          <w:sz w:val="16"/>
          <w:szCs w:val="16"/>
        </w:rPr>
        <w:t xml:space="preserve"> Do Německa směřovalo ve 2.</w:t>
      </w:r>
      <w:r>
        <w:rPr>
          <w:sz w:val="16"/>
          <w:szCs w:val="16"/>
        </w:rPr>
        <w:t> čtvrtlet</w:t>
      </w:r>
      <w:r w:rsidRPr="00EB7CEF">
        <w:rPr>
          <w:sz w:val="16"/>
          <w:szCs w:val="16"/>
        </w:rPr>
        <w:t>í 30,8</w:t>
      </w:r>
      <w:r>
        <w:rPr>
          <w:sz w:val="16"/>
          <w:szCs w:val="16"/>
        </w:rPr>
        <w:t> %</w:t>
      </w:r>
      <w:r w:rsidRPr="00EB7CEF">
        <w:rPr>
          <w:sz w:val="16"/>
          <w:szCs w:val="16"/>
        </w:rPr>
        <w:t xml:space="preserve"> hodnoty celkového tuzemského exportu průmyslového zboží, do EU pak rovných 80</w:t>
      </w:r>
      <w:r>
        <w:rPr>
          <w:sz w:val="16"/>
          <w:szCs w:val="16"/>
        </w:rPr>
        <w:t> %</w:t>
      </w:r>
      <w:r w:rsidRPr="00EB7CEF">
        <w:rPr>
          <w:sz w:val="16"/>
          <w:szCs w:val="16"/>
        </w:rPr>
        <w:t>.</w:t>
      </w:r>
    </w:p>
  </w:footnote>
  <w:footnote w:id="13">
    <w:p w14:paraId="01947D24" w14:textId="77777777" w:rsidR="009112E3" w:rsidRPr="00203249" w:rsidRDefault="009112E3" w:rsidP="00700E8A">
      <w:pPr>
        <w:pStyle w:val="Textpoznpodarou"/>
        <w:rPr>
          <w:sz w:val="16"/>
          <w:szCs w:val="16"/>
        </w:rPr>
      </w:pPr>
      <w:r w:rsidRPr="00203249">
        <w:rPr>
          <w:rStyle w:val="Znakapoznpodarou"/>
          <w:sz w:val="16"/>
          <w:szCs w:val="16"/>
        </w:rPr>
        <w:footnoteRef/>
      </w:r>
      <w:r w:rsidRPr="00203249">
        <w:rPr>
          <w:sz w:val="16"/>
          <w:szCs w:val="16"/>
        </w:rPr>
        <w:t xml:space="preserve"> Od června do října 2021 činil kumulovaný schodek ČR v</w:t>
      </w:r>
      <w:r>
        <w:rPr>
          <w:sz w:val="16"/>
          <w:szCs w:val="16"/>
        </w:rPr>
        <w:t> </w:t>
      </w:r>
      <w:r w:rsidRPr="00203249">
        <w:rPr>
          <w:sz w:val="16"/>
          <w:szCs w:val="16"/>
        </w:rPr>
        <w:t>zahraniční</w:t>
      </w:r>
      <w:r>
        <w:rPr>
          <w:sz w:val="16"/>
          <w:szCs w:val="16"/>
        </w:rPr>
        <w:t>m</w:t>
      </w:r>
      <w:r w:rsidRPr="00203249">
        <w:rPr>
          <w:sz w:val="16"/>
          <w:szCs w:val="16"/>
        </w:rPr>
        <w:t xml:space="preserve"> obchodu se zbožím </w:t>
      </w:r>
      <w:r>
        <w:rPr>
          <w:sz w:val="16"/>
          <w:szCs w:val="16"/>
        </w:rPr>
        <w:t>78 mld. korun, ve stejném období předchozího roku dosahoval zahraniční obchod přebytku ve výši 120 mld. Přebytek obchodu s motorovými vozidly (včetně dílů) se analogicky snížil z loňských 205 mld. korun na letošních 148 mld. Vývoz vozidel se letos od června do října meziročně propadl o pětinu a jeho výše (342 mld. korun) byla za toto období nejnižší za posledních sedm let.</w:t>
      </w:r>
    </w:p>
  </w:footnote>
  <w:footnote w:id="14">
    <w:p w14:paraId="38918E4B" w14:textId="77777777" w:rsidR="009112E3" w:rsidRPr="00296ED1" w:rsidRDefault="009112E3" w:rsidP="00700E8A">
      <w:pPr>
        <w:pStyle w:val="Textpoznpodarou"/>
        <w:rPr>
          <w:sz w:val="16"/>
          <w:szCs w:val="16"/>
        </w:rPr>
      </w:pPr>
      <w:r w:rsidRPr="0017398B">
        <w:rPr>
          <w:rStyle w:val="Znakapoznpodarou"/>
          <w:sz w:val="16"/>
          <w:szCs w:val="16"/>
        </w:rPr>
        <w:footnoteRef/>
      </w:r>
      <w:r w:rsidRPr="0017398B">
        <w:rPr>
          <w:sz w:val="16"/>
          <w:szCs w:val="16"/>
        </w:rPr>
        <w:t xml:space="preserve"> Za celý rok 2020 se produkce propadla o</w:t>
      </w:r>
      <w:r>
        <w:rPr>
          <w:sz w:val="16"/>
          <w:szCs w:val="16"/>
        </w:rPr>
        <w:t> </w:t>
      </w:r>
      <w:r w:rsidRPr="0017398B">
        <w:rPr>
          <w:sz w:val="16"/>
          <w:szCs w:val="16"/>
        </w:rPr>
        <w:t>šestinu</w:t>
      </w:r>
      <w:r>
        <w:rPr>
          <w:sz w:val="16"/>
          <w:szCs w:val="16"/>
        </w:rPr>
        <w:t>,</w:t>
      </w:r>
      <w:r w:rsidRPr="0017398B">
        <w:rPr>
          <w:sz w:val="16"/>
          <w:szCs w:val="16"/>
        </w:rPr>
        <w:t xml:space="preserve"> tedy </w:t>
      </w:r>
      <w:r>
        <w:rPr>
          <w:sz w:val="16"/>
          <w:szCs w:val="16"/>
        </w:rPr>
        <w:t>nejvíce v</w:t>
      </w:r>
      <w:r w:rsidRPr="0017398B">
        <w:rPr>
          <w:sz w:val="16"/>
          <w:szCs w:val="16"/>
        </w:rPr>
        <w:t>e srovnatelné řadě od roku 2000.</w:t>
      </w:r>
      <w:r>
        <w:rPr>
          <w:sz w:val="16"/>
          <w:szCs w:val="16"/>
        </w:rPr>
        <w:t xml:space="preserve"> Souviselo to</w:t>
      </w:r>
      <w:r w:rsidRPr="00E76D96">
        <w:rPr>
          <w:sz w:val="16"/>
          <w:szCs w:val="16"/>
        </w:rPr>
        <w:t xml:space="preserve"> s</w:t>
      </w:r>
      <w:r>
        <w:rPr>
          <w:sz w:val="16"/>
          <w:szCs w:val="16"/>
        </w:rPr>
        <w:t> </w:t>
      </w:r>
      <w:r w:rsidRPr="00E76D96">
        <w:rPr>
          <w:sz w:val="16"/>
          <w:szCs w:val="16"/>
        </w:rPr>
        <w:t>dlouho</w:t>
      </w:r>
      <w:r>
        <w:rPr>
          <w:sz w:val="16"/>
          <w:szCs w:val="16"/>
        </w:rPr>
        <w:t>d</w:t>
      </w:r>
      <w:r w:rsidRPr="00E76D96">
        <w:rPr>
          <w:sz w:val="16"/>
          <w:szCs w:val="16"/>
        </w:rPr>
        <w:t>obou proměnou energetického mixu ekonomiky</w:t>
      </w:r>
      <w:r>
        <w:rPr>
          <w:sz w:val="16"/>
          <w:szCs w:val="16"/>
        </w:rPr>
        <w:t>,</w:t>
      </w:r>
      <w:r w:rsidRPr="00E76D96">
        <w:rPr>
          <w:sz w:val="16"/>
          <w:szCs w:val="16"/>
        </w:rPr>
        <w:t xml:space="preserve"> urychlenou i svižným růstem cen emisních povolenek</w:t>
      </w:r>
      <w:r>
        <w:rPr>
          <w:sz w:val="16"/>
          <w:szCs w:val="16"/>
        </w:rPr>
        <w:t>.</w:t>
      </w:r>
    </w:p>
  </w:footnote>
  <w:footnote w:id="15">
    <w:p w14:paraId="430CA046" w14:textId="77777777" w:rsidR="009112E3" w:rsidRPr="00296ED1" w:rsidRDefault="009112E3" w:rsidP="00700E8A">
      <w:pPr>
        <w:pStyle w:val="Textpoznpodarou"/>
        <w:rPr>
          <w:sz w:val="16"/>
          <w:szCs w:val="16"/>
        </w:rPr>
      </w:pPr>
      <w:r w:rsidRPr="00296ED1">
        <w:rPr>
          <w:rStyle w:val="Znakapoznpodarou"/>
          <w:sz w:val="16"/>
          <w:szCs w:val="16"/>
        </w:rPr>
        <w:footnoteRef/>
      </w:r>
      <w:r w:rsidRPr="00296ED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Dle údajů Energetického regulačního úřadu </w:t>
      </w:r>
      <w:r w:rsidRPr="00296ED1">
        <w:rPr>
          <w:sz w:val="16"/>
          <w:szCs w:val="16"/>
        </w:rPr>
        <w:t xml:space="preserve">dosáhla letos od ledna do září </w:t>
      </w:r>
      <w:r>
        <w:rPr>
          <w:sz w:val="16"/>
          <w:szCs w:val="16"/>
        </w:rPr>
        <w:t>h</w:t>
      </w:r>
      <w:r w:rsidRPr="00296ED1">
        <w:rPr>
          <w:sz w:val="16"/>
          <w:szCs w:val="16"/>
        </w:rPr>
        <w:t>rubá tuzemská výroba elektřiny 60,3</w:t>
      </w:r>
      <w:r>
        <w:rPr>
          <w:sz w:val="16"/>
          <w:szCs w:val="16"/>
        </w:rPr>
        <w:t> tis. </w:t>
      </w:r>
      <w:r w:rsidRPr="00296ED1">
        <w:rPr>
          <w:sz w:val="16"/>
          <w:szCs w:val="16"/>
        </w:rPr>
        <w:t xml:space="preserve">GWh </w:t>
      </w:r>
      <w:r>
        <w:rPr>
          <w:sz w:val="16"/>
          <w:szCs w:val="16"/>
        </w:rPr>
        <w:t>a meziročně vzrostla o 2,4 % (ve shodném období loni propadla o 6,8 %). Na růstu se podílely zejména parní, z menší části i vodní elektrárny. Hrubá tuzemská spotřeba činila letos 53,5 GWh a proti loňsku vzrostla o 2,8 %. Klíčovou roli v tom sehrály domácnosti (+10,3 %) a velkoodběratelé z podniků (+5,3 %). Naopak maloodběratelé z řad podnikatelů spotřebovali meziročně o 0,9 % méně, za dva roky o 3,3 %. Celková spotřeba plynu v ČR se letos za tři čtvrtletí meziročně zvýšila o 13,2 %, a to i díky chladnější zimě (po přepočtu na teplotní normál vzrostla o 6,9 %). Ve stejném období roku 2020 se ale i vlivem poklesu ekonomické aktivity spotřeba snížila o 1,6 % (po přepočtu o 2,4 %).</w:t>
      </w:r>
    </w:p>
  </w:footnote>
  <w:footnote w:id="16">
    <w:p w14:paraId="566D783E" w14:textId="77777777" w:rsidR="009112E3" w:rsidRPr="004670E0" w:rsidRDefault="009112E3" w:rsidP="00700E8A">
      <w:pPr>
        <w:pStyle w:val="Textpoznpodarou"/>
        <w:rPr>
          <w:sz w:val="16"/>
          <w:szCs w:val="16"/>
        </w:rPr>
      </w:pPr>
      <w:r w:rsidRPr="004670E0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M</w:t>
      </w:r>
      <w:r w:rsidRPr="00CE71E4">
        <w:rPr>
          <w:rFonts w:cs="Arial"/>
          <w:color w:val="0D0D0D" w:themeColor="text1" w:themeTint="F2"/>
          <w:spacing w:val="-2"/>
          <w:sz w:val="16"/>
          <w:szCs w:val="16"/>
        </w:rPr>
        <w:t>eziroční tempa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 xml:space="preserve"> tržeb</w:t>
      </w:r>
      <w:r w:rsidRPr="00CE71E4">
        <w:rPr>
          <w:rFonts w:cs="Arial"/>
          <w:color w:val="0D0D0D" w:themeColor="text1" w:themeTint="F2"/>
          <w:spacing w:val="-2"/>
          <w:sz w:val="16"/>
          <w:szCs w:val="16"/>
        </w:rPr>
        <w:t xml:space="preserve"> jsou očištěna o kalendářní vli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vy, mezičtvrtletní</w:t>
      </w:r>
      <w:r w:rsidRPr="00CE71E4">
        <w:rPr>
          <w:rFonts w:cs="Arial"/>
          <w:color w:val="0D0D0D" w:themeColor="text1" w:themeTint="F2"/>
          <w:spacing w:val="-2"/>
          <w:sz w:val="16"/>
          <w:szCs w:val="16"/>
        </w:rPr>
        <w:t xml:space="preserve"> tempa pak také o vliv sezónnosti.</w:t>
      </w:r>
    </w:p>
  </w:footnote>
  <w:footnote w:id="17">
    <w:p w14:paraId="40AAC20F" w14:textId="77777777" w:rsidR="009112E3" w:rsidRPr="00FB58F4" w:rsidRDefault="009112E3" w:rsidP="00700E8A">
      <w:pPr>
        <w:pStyle w:val="Textpoznpodarou"/>
        <w:jc w:val="both"/>
        <w:rPr>
          <w:rFonts w:cs="Arial"/>
          <w:color w:val="0D0D0D" w:themeColor="text1" w:themeTint="F2"/>
          <w:spacing w:val="-2"/>
          <w:sz w:val="16"/>
          <w:szCs w:val="16"/>
        </w:rPr>
      </w:pPr>
      <w:r w:rsidRPr="007A20EB"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 w:rsidRPr="007A20EB">
        <w:rPr>
          <w:rFonts w:cs="Arial"/>
          <w:color w:val="0D0D0D" w:themeColor="text1" w:themeTint="F2"/>
          <w:spacing w:val="-2"/>
          <w:sz w:val="16"/>
          <w:szCs w:val="16"/>
        </w:rPr>
        <w:t xml:space="preserve"> </w:t>
      </w:r>
      <w:r w:rsidRPr="007A20EB">
        <w:rPr>
          <w:rFonts w:cs="Arial"/>
          <w:color w:val="0D0D0D" w:themeColor="text1" w:themeTint="F2"/>
          <w:sz w:val="16"/>
          <w:szCs w:val="16"/>
        </w:rPr>
        <w:t>Zjišťování zaká</w:t>
      </w:r>
      <w:r>
        <w:rPr>
          <w:rFonts w:cs="Arial"/>
          <w:color w:val="0D0D0D" w:themeColor="text1" w:themeTint="F2"/>
          <w:sz w:val="16"/>
          <w:szCs w:val="16"/>
        </w:rPr>
        <w:t xml:space="preserve">zek probíhá jen ve 12 zpracovatelských odvětvích </w:t>
      </w:r>
      <w:r w:rsidRPr="007A20EB">
        <w:rPr>
          <w:rFonts w:cs="Arial"/>
          <w:color w:val="0D0D0D" w:themeColor="text1" w:themeTint="F2"/>
          <w:sz w:val="16"/>
          <w:szCs w:val="16"/>
        </w:rPr>
        <w:t>vyrábějí</w:t>
      </w:r>
      <w:r>
        <w:rPr>
          <w:rFonts w:cs="Arial"/>
          <w:color w:val="0D0D0D" w:themeColor="text1" w:themeTint="F2"/>
          <w:sz w:val="16"/>
          <w:szCs w:val="16"/>
        </w:rPr>
        <w:t>cích</w:t>
      </w:r>
      <w:r w:rsidRPr="007A20EB">
        <w:rPr>
          <w:rFonts w:cs="Arial"/>
          <w:color w:val="0D0D0D" w:themeColor="text1" w:themeTint="F2"/>
          <w:sz w:val="16"/>
          <w:szCs w:val="16"/>
        </w:rPr>
        <w:t xml:space="preserve"> převážně na zakázku, s dlouhodobějším výrobním cyklem a s většími zásobami zakázek.</w:t>
      </w:r>
      <w:r>
        <w:rPr>
          <w:rFonts w:cs="Arial"/>
          <w:color w:val="0D0D0D" w:themeColor="text1" w:themeTint="F2"/>
          <w:sz w:val="16"/>
          <w:szCs w:val="16"/>
        </w:rPr>
        <w:t xml:space="preserve"> 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M</w:t>
      </w:r>
      <w:r w:rsidRPr="00CE71E4">
        <w:rPr>
          <w:rFonts w:cs="Arial"/>
          <w:color w:val="0D0D0D" w:themeColor="text1" w:themeTint="F2"/>
          <w:spacing w:val="-2"/>
          <w:sz w:val="16"/>
          <w:szCs w:val="16"/>
        </w:rPr>
        <w:t>eziroční tempa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 xml:space="preserve"> zakázek</w:t>
      </w:r>
      <w:r w:rsidRPr="00CE71E4">
        <w:rPr>
          <w:rFonts w:cs="Arial"/>
          <w:color w:val="0D0D0D" w:themeColor="text1" w:themeTint="F2"/>
          <w:spacing w:val="-2"/>
          <w:sz w:val="16"/>
          <w:szCs w:val="16"/>
        </w:rPr>
        <w:t xml:space="preserve"> jsou očištěna o kalendářní vli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vy.</w:t>
      </w:r>
    </w:p>
  </w:footnote>
  <w:footnote w:id="18">
    <w:p w14:paraId="71E383A0" w14:textId="77777777" w:rsidR="009112E3" w:rsidRPr="000A1518" w:rsidRDefault="009112E3" w:rsidP="00700E8A">
      <w:pPr>
        <w:pStyle w:val="Textpoznpodarou"/>
        <w:rPr>
          <w:sz w:val="16"/>
          <w:szCs w:val="16"/>
        </w:rPr>
      </w:pPr>
      <w:r w:rsidRPr="000A1518">
        <w:rPr>
          <w:rStyle w:val="Znakapoznpodarou"/>
          <w:sz w:val="16"/>
          <w:szCs w:val="16"/>
        </w:rPr>
        <w:footnoteRef/>
      </w:r>
      <w:r w:rsidRPr="000A1518">
        <w:rPr>
          <w:sz w:val="16"/>
          <w:szCs w:val="16"/>
        </w:rPr>
        <w:t xml:space="preserve"> P</w:t>
      </w:r>
      <w:r>
        <w:rPr>
          <w:sz w:val="16"/>
          <w:szCs w:val="16"/>
        </w:rPr>
        <w:t>odniky mohly uv</w:t>
      </w:r>
      <w:r w:rsidRPr="000A1518">
        <w:rPr>
          <w:sz w:val="16"/>
          <w:szCs w:val="16"/>
        </w:rPr>
        <w:t>ést více bariér současně.</w:t>
      </w:r>
    </w:p>
  </w:footnote>
  <w:footnote w:id="19">
    <w:p w14:paraId="403D8A96" w14:textId="77777777" w:rsidR="009112E3" w:rsidRPr="000454BD" w:rsidRDefault="009112E3" w:rsidP="00700E8A">
      <w:pPr>
        <w:pStyle w:val="Textpoznpodarou"/>
        <w:rPr>
          <w:sz w:val="16"/>
          <w:szCs w:val="16"/>
        </w:rPr>
      </w:pPr>
      <w:r w:rsidRPr="00DC4AC4">
        <w:rPr>
          <w:rStyle w:val="Znakapoznpodarou"/>
          <w:sz w:val="16"/>
          <w:szCs w:val="16"/>
        </w:rPr>
        <w:footnoteRef/>
      </w:r>
      <w:r w:rsidRPr="00DC4AC4">
        <w:rPr>
          <w:sz w:val="16"/>
          <w:szCs w:val="16"/>
        </w:rPr>
        <w:t xml:space="preserve"> </w:t>
      </w:r>
      <w:r w:rsidRPr="00DC4AC4">
        <w:rPr>
          <w:spacing w:val="-4"/>
          <w:sz w:val="16"/>
          <w:szCs w:val="16"/>
        </w:rPr>
        <w:t>Kromě</w:t>
      </w:r>
      <w:r>
        <w:rPr>
          <w:spacing w:val="-4"/>
          <w:sz w:val="16"/>
          <w:szCs w:val="16"/>
        </w:rPr>
        <w:t xml:space="preserve"> </w:t>
      </w:r>
      <w:r w:rsidRPr="003F0F7D">
        <w:rPr>
          <w:spacing w:val="-4"/>
          <w:sz w:val="16"/>
          <w:szCs w:val="16"/>
        </w:rPr>
        <w:t>automobilové</w:t>
      </w:r>
      <w:r>
        <w:rPr>
          <w:spacing w:val="-4"/>
          <w:sz w:val="16"/>
          <w:szCs w:val="16"/>
        </w:rPr>
        <w:t>ho</w:t>
      </w:r>
      <w:r w:rsidRPr="003F0F7D">
        <w:rPr>
          <w:spacing w:val="-4"/>
          <w:sz w:val="16"/>
          <w:szCs w:val="16"/>
        </w:rPr>
        <w:t xml:space="preserve"> průmyslu</w:t>
      </w:r>
      <w:r>
        <w:rPr>
          <w:spacing w:val="-4"/>
          <w:sz w:val="16"/>
          <w:szCs w:val="16"/>
        </w:rPr>
        <w:t xml:space="preserve"> (98 %) se stále více projevoval i v ostatních důležitých oborech.</w:t>
      </w:r>
      <w:r w:rsidRPr="003F0F7D">
        <w:rPr>
          <w:spacing w:val="-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Limitoval také nadpoloviční podíl podniků ve</w:t>
      </w:r>
      <w:r w:rsidRPr="003F0F7D">
        <w:rPr>
          <w:spacing w:val="-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 xml:space="preserve">strojírenství, hutnictví, elektrotechnice </w:t>
      </w:r>
      <w:r w:rsidRPr="003F0F7D">
        <w:rPr>
          <w:spacing w:val="-4"/>
          <w:sz w:val="16"/>
          <w:szCs w:val="16"/>
        </w:rPr>
        <w:t>či chemickém průmyslu.</w:t>
      </w:r>
      <w:r>
        <w:rPr>
          <w:spacing w:val="-4"/>
          <w:sz w:val="16"/>
          <w:szCs w:val="16"/>
        </w:rPr>
        <w:t xml:space="preserve"> Vysoký byl ale i např. v papírenském (42 %) a tiskařském průmyslu (24 %) či ve výrobě stavebních materiálů (27 %).</w:t>
      </w:r>
    </w:p>
  </w:footnote>
  <w:footnote w:id="20">
    <w:p w14:paraId="13FA60E8" w14:textId="358DA3F9" w:rsidR="009112E3" w:rsidRPr="0015329F" w:rsidRDefault="009112E3" w:rsidP="00700E8A">
      <w:pPr>
        <w:pStyle w:val="Textpoznpodarou"/>
        <w:rPr>
          <w:spacing w:val="-3"/>
          <w:sz w:val="16"/>
          <w:szCs w:val="16"/>
        </w:rPr>
      </w:pPr>
      <w:r w:rsidRPr="0015329F">
        <w:rPr>
          <w:rStyle w:val="Znakapoznpodarou"/>
          <w:spacing w:val="-3"/>
          <w:sz w:val="16"/>
          <w:szCs w:val="16"/>
        </w:rPr>
        <w:footnoteRef/>
      </w:r>
      <w:r w:rsidRPr="0015329F">
        <w:rPr>
          <w:spacing w:val="-3"/>
          <w:sz w:val="16"/>
          <w:szCs w:val="16"/>
        </w:rPr>
        <w:t xml:space="preserve"> V některých vesměs menších oborech slabá poptávka stále představovala nejvýznamnější limitující faktor rozvoje. Šlo o výrobu nápojů (83 %), textilní a tiskárenský průmysl (shodně 71 %), kožedělný průmysl (56 %), farmacii (58 %). Z větších oborů sužovala nejvíce gumárenství a plastikářství (68 %), výrobu počítačů, elektronických a optických přístrojů a výrobu elektrických zařízení (shodně téměř 50 %).</w:t>
      </w:r>
    </w:p>
  </w:footnote>
  <w:footnote w:id="21">
    <w:p w14:paraId="0764518B" w14:textId="77777777" w:rsidR="009112E3" w:rsidRPr="007A0D91" w:rsidRDefault="009112E3" w:rsidP="00700E8A">
      <w:pPr>
        <w:pStyle w:val="Textpoznpodarou"/>
        <w:rPr>
          <w:sz w:val="16"/>
          <w:szCs w:val="16"/>
        </w:rPr>
      </w:pPr>
      <w:r w:rsidRPr="007A0D91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Například v nábytkářství, výrobě ostatních dopravních prostředků, kovodělném průmyslu či výrobě stavebních materiálů.</w:t>
      </w:r>
    </w:p>
  </w:footnote>
  <w:footnote w:id="22">
    <w:p w14:paraId="2E98E9E2" w14:textId="77777777" w:rsidR="009112E3" w:rsidRPr="00331A9D" w:rsidRDefault="009112E3" w:rsidP="00700E8A">
      <w:pPr>
        <w:pStyle w:val="Textpoznpodarou"/>
        <w:rPr>
          <w:sz w:val="16"/>
          <w:szCs w:val="16"/>
        </w:rPr>
      </w:pPr>
      <w:r w:rsidRPr="00331A9D">
        <w:rPr>
          <w:rStyle w:val="Znakapoznpodarou"/>
          <w:sz w:val="16"/>
          <w:szCs w:val="16"/>
        </w:rPr>
        <w:footnoteRef/>
      </w:r>
      <w:r w:rsidRPr="00331A9D">
        <w:rPr>
          <w:sz w:val="16"/>
          <w:szCs w:val="16"/>
        </w:rPr>
        <w:t xml:space="preserve"> Např</w:t>
      </w:r>
      <w:r>
        <w:rPr>
          <w:sz w:val="16"/>
          <w:szCs w:val="16"/>
        </w:rPr>
        <w:t>íklad</w:t>
      </w:r>
      <w:r w:rsidRPr="00331A9D">
        <w:rPr>
          <w:sz w:val="16"/>
          <w:szCs w:val="16"/>
        </w:rPr>
        <w:t xml:space="preserve"> rozpočet Státního fondu dopravní infrastruktury počítal (</w:t>
      </w:r>
      <w:r>
        <w:rPr>
          <w:sz w:val="16"/>
          <w:szCs w:val="16"/>
        </w:rPr>
        <w:t>dle první schválené verze</w:t>
      </w:r>
      <w:r w:rsidRPr="00331A9D">
        <w:rPr>
          <w:sz w:val="16"/>
          <w:szCs w:val="16"/>
        </w:rPr>
        <w:t xml:space="preserve"> státního rozpočtu) v roce 2021 s investičními transfery z</w:t>
      </w:r>
      <w:r>
        <w:rPr>
          <w:sz w:val="16"/>
          <w:szCs w:val="16"/>
        </w:rPr>
        <w:t>e státního</w:t>
      </w:r>
      <w:r w:rsidRPr="00331A9D">
        <w:rPr>
          <w:sz w:val="16"/>
          <w:szCs w:val="16"/>
        </w:rPr>
        <w:t xml:space="preserve"> rozpočtu v rekordní výši </w:t>
      </w:r>
      <w:r>
        <w:rPr>
          <w:sz w:val="16"/>
          <w:szCs w:val="16"/>
        </w:rPr>
        <w:t>80,4 mld. korun.</w:t>
      </w:r>
    </w:p>
  </w:footnote>
  <w:footnote w:id="23">
    <w:p w14:paraId="3B515945" w14:textId="77777777" w:rsidR="009112E3" w:rsidRPr="00C94BE8" w:rsidRDefault="009112E3" w:rsidP="00700E8A">
      <w:pPr>
        <w:pStyle w:val="Textpoznpodarou"/>
        <w:jc w:val="both"/>
        <w:rPr>
          <w:spacing w:val="-2"/>
          <w:sz w:val="16"/>
          <w:szCs w:val="16"/>
        </w:rPr>
      </w:pPr>
      <w:r w:rsidRPr="00C94BE8"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>
        <w:rPr>
          <w:rFonts w:cs="Arial"/>
          <w:color w:val="0D0D0D" w:themeColor="text1" w:themeTint="F2"/>
          <w:spacing w:val="-2"/>
          <w:sz w:val="16"/>
          <w:szCs w:val="16"/>
        </w:rPr>
        <w:t xml:space="preserve"> Ú</w:t>
      </w:r>
      <w:r w:rsidRPr="00C94BE8">
        <w:rPr>
          <w:rFonts w:cs="Arial"/>
          <w:color w:val="0D0D0D" w:themeColor="text1" w:themeTint="F2"/>
          <w:spacing w:val="-2"/>
          <w:sz w:val="16"/>
          <w:szCs w:val="16"/>
        </w:rPr>
        <w:t xml:space="preserve">daje o stavební produkci 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 xml:space="preserve">jsou ve stálých cenách, meziroční tempa </w:t>
      </w:r>
      <w:r w:rsidRPr="00C94BE8">
        <w:rPr>
          <w:rFonts w:cs="Arial"/>
          <w:color w:val="0D0D0D" w:themeColor="text1" w:themeTint="F2"/>
          <w:spacing w:val="-2"/>
          <w:sz w:val="16"/>
          <w:szCs w:val="16"/>
        </w:rPr>
        <w:t>jsou očištěn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a</w:t>
      </w:r>
      <w:r w:rsidRPr="00C94BE8">
        <w:rPr>
          <w:rFonts w:cs="Arial"/>
          <w:color w:val="0D0D0D" w:themeColor="text1" w:themeTint="F2"/>
          <w:spacing w:val="-2"/>
          <w:sz w:val="16"/>
          <w:szCs w:val="16"/>
        </w:rPr>
        <w:t xml:space="preserve"> o kalendá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řní vlivy, mezičtvrtletní též</w:t>
      </w:r>
      <w:r w:rsidRPr="00C94BE8">
        <w:rPr>
          <w:rFonts w:cs="Arial"/>
          <w:color w:val="0D0D0D" w:themeColor="text1" w:themeTint="F2"/>
          <w:spacing w:val="-2"/>
          <w:sz w:val="16"/>
          <w:szCs w:val="16"/>
        </w:rPr>
        <w:t xml:space="preserve"> o vliv sezónnosti.</w:t>
      </w:r>
    </w:p>
  </w:footnote>
  <w:footnote w:id="24">
    <w:p w14:paraId="3ADA818F" w14:textId="77777777" w:rsidR="009112E3" w:rsidRPr="00DE38E6" w:rsidRDefault="009112E3" w:rsidP="00700E8A">
      <w:pPr>
        <w:spacing w:after="0" w:line="240" w:lineRule="auto"/>
      </w:pPr>
      <w:r w:rsidRPr="004A26AF">
        <w:rPr>
          <w:rStyle w:val="Znakapoznpodarou"/>
          <w:color w:val="0D0D0D" w:themeColor="text1" w:themeTint="F2"/>
          <w:sz w:val="16"/>
          <w:szCs w:val="16"/>
        </w:rPr>
        <w:footnoteRef/>
      </w:r>
      <w:r>
        <w:rPr>
          <w:color w:val="0D0D0D" w:themeColor="text1" w:themeTint="F2"/>
          <w:sz w:val="16"/>
          <w:szCs w:val="16"/>
        </w:rPr>
        <w:t xml:space="preserve"> </w:t>
      </w:r>
      <w:r w:rsidRPr="004A26AF">
        <w:rPr>
          <w:color w:val="0D0D0D" w:themeColor="text1" w:themeTint="F2"/>
          <w:sz w:val="16"/>
          <w:szCs w:val="16"/>
        </w:rPr>
        <w:t>Bez obchodu, peněžnictví, poji</w:t>
      </w:r>
      <w:r>
        <w:rPr>
          <w:color w:val="0D0D0D" w:themeColor="text1" w:themeTint="F2"/>
          <w:sz w:val="16"/>
          <w:szCs w:val="16"/>
        </w:rPr>
        <w:t>šťovnictví, vědy, výzkumu a veřejných</w:t>
      </w:r>
      <w:r w:rsidRPr="004A26AF">
        <w:rPr>
          <w:color w:val="0D0D0D" w:themeColor="text1" w:themeTint="F2"/>
          <w:sz w:val="16"/>
          <w:szCs w:val="16"/>
        </w:rPr>
        <w:t xml:space="preserve"> služeb. Všechny údaje za služby jsou </w:t>
      </w:r>
      <w:r>
        <w:rPr>
          <w:color w:val="0D0D0D" w:themeColor="text1" w:themeTint="F2"/>
          <w:sz w:val="16"/>
          <w:szCs w:val="16"/>
        </w:rPr>
        <w:t xml:space="preserve">ve stálých cenách, meziroční údaje jsou </w:t>
      </w:r>
      <w:r w:rsidRPr="004A26AF">
        <w:rPr>
          <w:color w:val="0D0D0D" w:themeColor="text1" w:themeTint="F2"/>
          <w:sz w:val="16"/>
          <w:szCs w:val="16"/>
        </w:rPr>
        <w:t>očištěny o</w:t>
      </w:r>
      <w:r>
        <w:rPr>
          <w:color w:val="0D0D0D" w:themeColor="text1" w:themeTint="F2"/>
          <w:sz w:val="16"/>
          <w:szCs w:val="16"/>
        </w:rPr>
        <w:t> </w:t>
      </w:r>
      <w:r w:rsidRPr="004A26AF">
        <w:rPr>
          <w:color w:val="0D0D0D" w:themeColor="text1" w:themeTint="F2"/>
          <w:sz w:val="16"/>
          <w:szCs w:val="16"/>
        </w:rPr>
        <w:t>kal</w:t>
      </w:r>
      <w:r>
        <w:rPr>
          <w:color w:val="0D0D0D" w:themeColor="text1" w:themeTint="F2"/>
          <w:sz w:val="16"/>
          <w:szCs w:val="16"/>
        </w:rPr>
        <w:t>endářní vlivy, mezičtvrtletní i meziměsíční jsou očištěny o sezónní vlivy (včetně vlivu počtu pracovních dnů)</w:t>
      </w:r>
      <w:r w:rsidRPr="004A26AF">
        <w:rPr>
          <w:color w:val="0D0D0D" w:themeColor="text1" w:themeTint="F2"/>
          <w:sz w:val="16"/>
          <w:szCs w:val="16"/>
        </w:rPr>
        <w:t>.</w:t>
      </w:r>
    </w:p>
  </w:footnote>
  <w:footnote w:id="25">
    <w:p w14:paraId="6BA92E74" w14:textId="77777777" w:rsidR="009112E3" w:rsidRPr="00755255" w:rsidRDefault="009112E3" w:rsidP="00700E8A">
      <w:pPr>
        <w:pStyle w:val="Textpoznpodarou"/>
        <w:rPr>
          <w:sz w:val="16"/>
          <w:szCs w:val="16"/>
        </w:rPr>
      </w:pPr>
      <w:r w:rsidRPr="00755255">
        <w:rPr>
          <w:rStyle w:val="Znakapoznpodarou"/>
          <w:sz w:val="16"/>
          <w:szCs w:val="16"/>
        </w:rPr>
        <w:footnoteRef/>
      </w:r>
      <w:r w:rsidRPr="00755255">
        <w:rPr>
          <w:sz w:val="16"/>
          <w:szCs w:val="16"/>
        </w:rPr>
        <w:t xml:space="preserve"> </w:t>
      </w:r>
      <w:r w:rsidRPr="00755255">
        <w:rPr>
          <w:rFonts w:cs="Arial"/>
          <w:bCs/>
          <w:spacing w:val="-2"/>
          <w:sz w:val="16"/>
          <w:szCs w:val="16"/>
        </w:rPr>
        <w:t>Ve 3.</w:t>
      </w:r>
      <w:r>
        <w:rPr>
          <w:rFonts w:cs="Arial"/>
          <w:bCs/>
          <w:spacing w:val="-2"/>
          <w:sz w:val="16"/>
          <w:szCs w:val="16"/>
        </w:rPr>
        <w:t> čt</w:t>
      </w:r>
      <w:r w:rsidRPr="00755255">
        <w:rPr>
          <w:rFonts w:cs="Arial"/>
          <w:bCs/>
          <w:spacing w:val="-2"/>
          <w:sz w:val="16"/>
          <w:szCs w:val="16"/>
        </w:rPr>
        <w:t>vrtletí zavítalo do hromadných ubytovacích zařízení v Česku 6,7</w:t>
      </w:r>
      <w:r>
        <w:rPr>
          <w:rFonts w:cs="Arial"/>
          <w:bCs/>
          <w:spacing w:val="-2"/>
          <w:sz w:val="16"/>
          <w:szCs w:val="16"/>
        </w:rPr>
        <w:t> mil.</w:t>
      </w:r>
      <w:r w:rsidRPr="00755255">
        <w:rPr>
          <w:rFonts w:cs="Arial"/>
          <w:bCs/>
          <w:spacing w:val="-2"/>
          <w:sz w:val="16"/>
          <w:szCs w:val="16"/>
        </w:rPr>
        <w:t xml:space="preserve"> návštěvníků. Meziročně jich přibylo o</w:t>
      </w:r>
      <w:r>
        <w:rPr>
          <w:rFonts w:cs="Arial"/>
          <w:bCs/>
          <w:spacing w:val="-2"/>
          <w:sz w:val="16"/>
          <w:szCs w:val="16"/>
        </w:rPr>
        <w:t> </w:t>
      </w:r>
      <w:r w:rsidRPr="00755255">
        <w:rPr>
          <w:rFonts w:cs="Arial"/>
          <w:bCs/>
          <w:spacing w:val="-2"/>
          <w:sz w:val="16"/>
          <w:szCs w:val="16"/>
        </w:rPr>
        <w:t>12,5</w:t>
      </w:r>
      <w:r>
        <w:rPr>
          <w:rFonts w:cs="Arial"/>
          <w:bCs/>
          <w:spacing w:val="-2"/>
          <w:sz w:val="16"/>
          <w:szCs w:val="16"/>
        </w:rPr>
        <w:t xml:space="preserve"> %, především zásluhou domácí klientely. Zahraniční návštěvnost táhli hlavně občané Slovenska. Poláků a Němců se ubytovalo meziročně skoro o desetinu méně, neboť loni jejich návštěvnost dramaticky nepropadla. Vlivem zhoršené epidemické situace i administrativních překážek v cestování přetrval velmi nízký počet hostů z Ruska, Velké Británie či vzdálených asijských států. </w:t>
      </w:r>
      <w:r w:rsidRPr="00755255">
        <w:rPr>
          <w:rFonts w:cs="Arial"/>
          <w:bCs/>
          <w:spacing w:val="-2"/>
          <w:sz w:val="16"/>
          <w:szCs w:val="16"/>
        </w:rPr>
        <w:t>Ve srovnání se 3.</w:t>
      </w:r>
      <w:r>
        <w:rPr>
          <w:rFonts w:cs="Arial"/>
          <w:bCs/>
          <w:spacing w:val="-2"/>
          <w:sz w:val="16"/>
          <w:szCs w:val="16"/>
        </w:rPr>
        <w:t> čt</w:t>
      </w:r>
      <w:r w:rsidRPr="00755255">
        <w:rPr>
          <w:rFonts w:cs="Arial"/>
          <w:bCs/>
          <w:spacing w:val="-2"/>
          <w:sz w:val="16"/>
          <w:szCs w:val="16"/>
        </w:rPr>
        <w:t>vrtletím 2019, kdy rozvoj turismu v Česku vrcholil, byl letos p</w:t>
      </w:r>
      <w:r>
        <w:rPr>
          <w:rFonts w:cs="Arial"/>
          <w:bCs/>
          <w:spacing w:val="-2"/>
          <w:sz w:val="16"/>
          <w:szCs w:val="16"/>
        </w:rPr>
        <w:t>očet všech zahraničních hostů nižší o</w:t>
      </w:r>
      <w:r>
        <w:rPr>
          <w:color w:val="0D0D0D" w:themeColor="text1" w:themeTint="F2"/>
          <w:sz w:val="16"/>
          <w:szCs w:val="16"/>
        </w:rPr>
        <w:t> </w:t>
      </w:r>
      <w:r w:rsidRPr="00755255">
        <w:rPr>
          <w:rFonts w:cs="Arial"/>
          <w:bCs/>
          <w:spacing w:val="-2"/>
          <w:sz w:val="16"/>
          <w:szCs w:val="16"/>
        </w:rPr>
        <w:t>62</w:t>
      </w:r>
      <w:r>
        <w:rPr>
          <w:rFonts w:cs="Arial"/>
          <w:bCs/>
          <w:spacing w:val="-2"/>
          <w:sz w:val="16"/>
          <w:szCs w:val="16"/>
        </w:rPr>
        <w:t> %</w:t>
      </w:r>
      <w:r w:rsidRPr="00755255">
        <w:rPr>
          <w:rFonts w:cs="Arial"/>
          <w:bCs/>
          <w:spacing w:val="-2"/>
          <w:sz w:val="16"/>
          <w:szCs w:val="16"/>
        </w:rPr>
        <w:t>, návštěvníků z tuzemska ale o 29</w:t>
      </w:r>
      <w:r>
        <w:rPr>
          <w:rFonts w:cs="Arial"/>
          <w:bCs/>
          <w:spacing w:val="-2"/>
          <w:sz w:val="16"/>
          <w:szCs w:val="16"/>
        </w:rPr>
        <w:t> %</w:t>
      </w:r>
      <w:r w:rsidRPr="00755255">
        <w:rPr>
          <w:rFonts w:cs="Arial"/>
          <w:bCs/>
          <w:spacing w:val="-2"/>
          <w:sz w:val="16"/>
          <w:szCs w:val="16"/>
        </w:rPr>
        <w:t xml:space="preserve"> přibylo.</w:t>
      </w:r>
    </w:p>
  </w:footnote>
  <w:footnote w:id="26">
    <w:p w14:paraId="5467FA5F" w14:textId="77777777" w:rsidR="009112E3" w:rsidRPr="00465453" w:rsidRDefault="009112E3" w:rsidP="00700E8A">
      <w:pPr>
        <w:pStyle w:val="Textpoznpodarou"/>
        <w:rPr>
          <w:sz w:val="16"/>
          <w:szCs w:val="16"/>
        </w:rPr>
      </w:pPr>
      <w:r w:rsidRPr="00465453">
        <w:rPr>
          <w:rStyle w:val="Znakapoznpodarou"/>
          <w:sz w:val="16"/>
          <w:szCs w:val="16"/>
        </w:rPr>
        <w:footnoteRef/>
      </w:r>
      <w:r w:rsidRPr="00465453">
        <w:rPr>
          <w:sz w:val="16"/>
          <w:szCs w:val="16"/>
        </w:rPr>
        <w:t xml:space="preserve"> Dokládají to i</w:t>
      </w:r>
      <w:r>
        <w:rPr>
          <w:sz w:val="16"/>
          <w:szCs w:val="16"/>
        </w:rPr>
        <w:t> </w:t>
      </w:r>
      <w:r w:rsidRPr="00465453">
        <w:rPr>
          <w:sz w:val="16"/>
          <w:szCs w:val="16"/>
        </w:rPr>
        <w:t xml:space="preserve">údaje ze segmentu filmové distribuce. Provoz kin byl postupně obnoven </w:t>
      </w:r>
      <w:r>
        <w:rPr>
          <w:sz w:val="16"/>
          <w:szCs w:val="16"/>
        </w:rPr>
        <w:t xml:space="preserve">letos </w:t>
      </w:r>
      <w:r w:rsidRPr="00465453">
        <w:rPr>
          <w:sz w:val="16"/>
          <w:szCs w:val="16"/>
        </w:rPr>
        <w:t>na přelomu května a</w:t>
      </w:r>
      <w:r>
        <w:rPr>
          <w:sz w:val="16"/>
          <w:szCs w:val="16"/>
        </w:rPr>
        <w:t> </w:t>
      </w:r>
      <w:r w:rsidRPr="00465453">
        <w:rPr>
          <w:sz w:val="16"/>
          <w:szCs w:val="16"/>
        </w:rPr>
        <w:t>června. Od července, kdy byla povolena i</w:t>
      </w:r>
      <w:r>
        <w:rPr>
          <w:sz w:val="16"/>
          <w:szCs w:val="16"/>
        </w:rPr>
        <w:t> </w:t>
      </w:r>
      <w:r w:rsidRPr="00465453">
        <w:rPr>
          <w:sz w:val="16"/>
          <w:szCs w:val="16"/>
        </w:rPr>
        <w:t xml:space="preserve">možnost občerstvení v sále, </w:t>
      </w:r>
      <w:r>
        <w:rPr>
          <w:sz w:val="16"/>
          <w:szCs w:val="16"/>
        </w:rPr>
        <w:t xml:space="preserve">se </w:t>
      </w:r>
      <w:r w:rsidRPr="00465453">
        <w:rPr>
          <w:sz w:val="16"/>
          <w:szCs w:val="16"/>
        </w:rPr>
        <w:t>počet návštěvníků začal vracet na předpandemickou úroveň. Ve 3.</w:t>
      </w:r>
      <w:r>
        <w:rPr>
          <w:sz w:val="16"/>
          <w:szCs w:val="16"/>
        </w:rPr>
        <w:t> čt</w:t>
      </w:r>
      <w:r w:rsidRPr="00465453">
        <w:rPr>
          <w:sz w:val="16"/>
          <w:szCs w:val="16"/>
        </w:rPr>
        <w:t xml:space="preserve">vrtletí </w:t>
      </w:r>
      <w:r>
        <w:rPr>
          <w:sz w:val="16"/>
          <w:szCs w:val="16"/>
        </w:rPr>
        <w:t>tak zavítalo do kin v Česku</w:t>
      </w:r>
      <w:r w:rsidRPr="0046545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již </w:t>
      </w:r>
      <w:r w:rsidRPr="00465453">
        <w:rPr>
          <w:sz w:val="16"/>
          <w:szCs w:val="16"/>
        </w:rPr>
        <w:t>3,5</w:t>
      </w:r>
      <w:r>
        <w:rPr>
          <w:sz w:val="16"/>
          <w:szCs w:val="16"/>
        </w:rPr>
        <w:t> mil.</w:t>
      </w:r>
      <w:r w:rsidRPr="00465453">
        <w:rPr>
          <w:sz w:val="16"/>
          <w:szCs w:val="16"/>
        </w:rPr>
        <w:t xml:space="preserve"> diváků, meziročně o</w:t>
      </w:r>
      <w:r>
        <w:rPr>
          <w:sz w:val="16"/>
          <w:szCs w:val="16"/>
        </w:rPr>
        <w:t> </w:t>
      </w:r>
      <w:r w:rsidRPr="00465453">
        <w:rPr>
          <w:sz w:val="16"/>
          <w:szCs w:val="16"/>
        </w:rPr>
        <w:t>polovinu více a</w:t>
      </w:r>
      <w:r>
        <w:rPr>
          <w:sz w:val="16"/>
          <w:szCs w:val="16"/>
        </w:rPr>
        <w:t> </w:t>
      </w:r>
      <w:r w:rsidRPr="00465453">
        <w:rPr>
          <w:sz w:val="16"/>
          <w:szCs w:val="16"/>
        </w:rPr>
        <w:t>ve srovnání se shodným obdobím v roce 2019 o</w:t>
      </w:r>
      <w:r>
        <w:rPr>
          <w:sz w:val="16"/>
          <w:szCs w:val="16"/>
        </w:rPr>
        <w:t> </w:t>
      </w:r>
      <w:r w:rsidRPr="00465453">
        <w:rPr>
          <w:sz w:val="16"/>
          <w:szCs w:val="16"/>
        </w:rPr>
        <w:t>17</w:t>
      </w:r>
      <w:r>
        <w:rPr>
          <w:sz w:val="16"/>
          <w:szCs w:val="16"/>
        </w:rPr>
        <w:t xml:space="preserve"> % </w:t>
      </w:r>
      <w:r w:rsidRPr="00465453">
        <w:rPr>
          <w:sz w:val="16"/>
          <w:szCs w:val="16"/>
        </w:rPr>
        <w:t>méně. Návrat k normálu potvr</w:t>
      </w:r>
      <w:r>
        <w:rPr>
          <w:sz w:val="16"/>
          <w:szCs w:val="16"/>
        </w:rPr>
        <w:t>dila i velmi dobrá návštěvnost v</w:t>
      </w:r>
      <w:r w:rsidRPr="00465453">
        <w:rPr>
          <w:sz w:val="16"/>
          <w:szCs w:val="16"/>
        </w:rPr>
        <w:t> letošním říjnu (1,5</w:t>
      </w:r>
      <w:r>
        <w:rPr>
          <w:sz w:val="16"/>
          <w:szCs w:val="16"/>
        </w:rPr>
        <w:t> mil. diváků</w:t>
      </w:r>
      <w:r w:rsidRPr="00465453">
        <w:rPr>
          <w:sz w:val="16"/>
          <w:szCs w:val="16"/>
        </w:rPr>
        <w:t>).</w:t>
      </w:r>
    </w:p>
  </w:footnote>
  <w:footnote w:id="27">
    <w:p w14:paraId="33FCED72" w14:textId="77777777" w:rsidR="009112E3" w:rsidRPr="000454BD" w:rsidRDefault="009112E3" w:rsidP="00700E8A">
      <w:pPr>
        <w:spacing w:after="0" w:line="240" w:lineRule="auto"/>
        <w:rPr>
          <w:spacing w:val="-2"/>
          <w:sz w:val="16"/>
          <w:szCs w:val="16"/>
        </w:rPr>
      </w:pPr>
      <w:r w:rsidRPr="00BE7370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BE7370">
        <w:rPr>
          <w:color w:val="0D0D0D" w:themeColor="text1" w:themeTint="F2"/>
          <w:spacing w:val="-2"/>
          <w:sz w:val="16"/>
          <w:szCs w:val="16"/>
        </w:rPr>
        <w:t xml:space="preserve"> Všechna meziroční tempa tržeb za maloobchod jsou uvedena ve stálých cenách a očištěna o kalendářní vlivy, mezičtvrtletní či meziměsíční tempa jsou očištěna o sezónní vlivy (včetně vlivu počtu pracovních dnů). Maloobchod zahrnuje odvětví CZ-NACE 47.</w:t>
      </w:r>
    </w:p>
  </w:footnote>
  <w:footnote w:id="28">
    <w:p w14:paraId="092E0D94" w14:textId="71437158" w:rsidR="009112E3" w:rsidRPr="004B01AD" w:rsidRDefault="009112E3" w:rsidP="00700E8A">
      <w:pPr>
        <w:pStyle w:val="Textpoznpodarou"/>
        <w:rPr>
          <w:sz w:val="16"/>
          <w:szCs w:val="16"/>
        </w:rPr>
      </w:pPr>
      <w:r w:rsidRPr="00BE7370">
        <w:rPr>
          <w:rStyle w:val="Znakapoznpodarou"/>
          <w:spacing w:val="-2"/>
          <w:sz w:val="16"/>
          <w:szCs w:val="16"/>
        </w:rPr>
        <w:footnoteRef/>
      </w:r>
      <w:r w:rsidRPr="00BE7370">
        <w:rPr>
          <w:spacing w:val="-2"/>
          <w:sz w:val="16"/>
          <w:szCs w:val="16"/>
        </w:rPr>
        <w:t xml:space="preserve"> Rostly</w:t>
      </w:r>
      <w:r>
        <w:rPr>
          <w:spacing w:val="-2"/>
          <w:sz w:val="16"/>
          <w:szCs w:val="16"/>
        </w:rPr>
        <w:t xml:space="preserve"> tak vyšším tempem než v EU (3,2 %</w:t>
      </w:r>
      <w:r w:rsidRPr="00BE7370">
        <w:rPr>
          <w:spacing w:val="-2"/>
          <w:sz w:val="16"/>
          <w:szCs w:val="16"/>
        </w:rPr>
        <w:t>) i</w:t>
      </w:r>
      <w:r>
        <w:rPr>
          <w:spacing w:val="-2"/>
          <w:sz w:val="16"/>
          <w:szCs w:val="16"/>
        </w:rPr>
        <w:t> </w:t>
      </w:r>
      <w:r w:rsidRPr="00BE7370">
        <w:rPr>
          <w:spacing w:val="-2"/>
          <w:sz w:val="16"/>
          <w:szCs w:val="16"/>
        </w:rPr>
        <w:t>eurozóně (2,4</w:t>
      </w:r>
      <w:r>
        <w:rPr>
          <w:spacing w:val="-2"/>
          <w:sz w:val="16"/>
          <w:szCs w:val="16"/>
        </w:rPr>
        <w:t> %</w:t>
      </w:r>
      <w:r w:rsidRPr="00BE7370">
        <w:rPr>
          <w:spacing w:val="-2"/>
          <w:sz w:val="16"/>
          <w:szCs w:val="16"/>
        </w:rPr>
        <w:t>). Za úrovní z</w:t>
      </w:r>
      <w:r>
        <w:rPr>
          <w:spacing w:val="-2"/>
          <w:sz w:val="16"/>
          <w:szCs w:val="16"/>
        </w:rPr>
        <w:t> </w:t>
      </w:r>
      <w:r w:rsidRPr="00BE7370">
        <w:rPr>
          <w:spacing w:val="-2"/>
          <w:sz w:val="16"/>
          <w:szCs w:val="16"/>
        </w:rPr>
        <w:t>loňského 3.</w:t>
      </w:r>
      <w:r>
        <w:rPr>
          <w:spacing w:val="-2"/>
          <w:sz w:val="16"/>
          <w:szCs w:val="16"/>
        </w:rPr>
        <w:t> čt</w:t>
      </w:r>
      <w:r w:rsidRPr="00BE7370">
        <w:rPr>
          <w:spacing w:val="-2"/>
          <w:sz w:val="16"/>
          <w:szCs w:val="16"/>
        </w:rPr>
        <w:t>vrtletí mírně zaostaly jen v Lucembursku, Španělsku, Belgii a</w:t>
      </w:r>
      <w:r>
        <w:rPr>
          <w:spacing w:val="-2"/>
          <w:sz w:val="16"/>
          <w:szCs w:val="16"/>
        </w:rPr>
        <w:t> </w:t>
      </w:r>
      <w:r w:rsidRPr="00BE7370">
        <w:rPr>
          <w:spacing w:val="-2"/>
          <w:sz w:val="16"/>
          <w:szCs w:val="16"/>
        </w:rPr>
        <w:t>Ra</w:t>
      </w:r>
      <w:r>
        <w:rPr>
          <w:spacing w:val="-2"/>
          <w:sz w:val="16"/>
          <w:szCs w:val="16"/>
        </w:rPr>
        <w:t>kousku (vždy do</w:t>
      </w:r>
      <w:r w:rsidRPr="00BE7370">
        <w:rPr>
          <w:spacing w:val="-2"/>
          <w:sz w:val="16"/>
          <w:szCs w:val="16"/>
        </w:rPr>
        <w:t xml:space="preserve"> 1</w:t>
      </w:r>
      <w:r>
        <w:rPr>
          <w:spacing w:val="-2"/>
          <w:sz w:val="16"/>
          <w:szCs w:val="16"/>
        </w:rPr>
        <w:t> %</w:t>
      </w:r>
      <w:r w:rsidRPr="00BE7370">
        <w:rPr>
          <w:spacing w:val="-2"/>
          <w:sz w:val="16"/>
          <w:szCs w:val="16"/>
        </w:rPr>
        <w:t xml:space="preserve">), </w:t>
      </w:r>
      <w:r>
        <w:rPr>
          <w:spacing w:val="-2"/>
          <w:sz w:val="16"/>
          <w:szCs w:val="16"/>
        </w:rPr>
        <w:t>v</w:t>
      </w:r>
      <w:r w:rsidRPr="00BE7370">
        <w:rPr>
          <w:spacing w:val="-2"/>
          <w:sz w:val="16"/>
          <w:szCs w:val="16"/>
        </w:rPr>
        <w:t> Německu meziročně stagnovaly, na Slovensku vzrostly o</w:t>
      </w:r>
      <w:r>
        <w:rPr>
          <w:spacing w:val="-2"/>
          <w:sz w:val="16"/>
          <w:szCs w:val="16"/>
        </w:rPr>
        <w:t> </w:t>
      </w:r>
      <w:r w:rsidRPr="00BE7370">
        <w:rPr>
          <w:spacing w:val="-2"/>
          <w:sz w:val="16"/>
          <w:szCs w:val="16"/>
        </w:rPr>
        <w:t>3,0</w:t>
      </w:r>
      <w:r>
        <w:rPr>
          <w:spacing w:val="-2"/>
          <w:sz w:val="16"/>
          <w:szCs w:val="16"/>
        </w:rPr>
        <w:t> %, v Polsku o 9,0</w:t>
      </w:r>
      <w:r w:rsidRPr="00BE7370">
        <w:rPr>
          <w:spacing w:val="-2"/>
          <w:sz w:val="16"/>
          <w:szCs w:val="16"/>
        </w:rPr>
        <w:t> %. Tržby za potraviny klesly kromě ČR jen ve třetině států EU, naopak tuzemský růst tržeb za nepotravinářské zboží převyšoval tempo v </w:t>
      </w:r>
      <w:r>
        <w:rPr>
          <w:spacing w:val="-2"/>
          <w:sz w:val="16"/>
          <w:szCs w:val="16"/>
        </w:rPr>
        <w:t>Unii</w:t>
      </w:r>
      <w:r w:rsidRPr="00BE7370">
        <w:rPr>
          <w:spacing w:val="-2"/>
          <w:sz w:val="16"/>
          <w:szCs w:val="16"/>
        </w:rPr>
        <w:t xml:space="preserve"> (5,1</w:t>
      </w:r>
      <w:r>
        <w:rPr>
          <w:spacing w:val="-2"/>
          <w:sz w:val="16"/>
          <w:szCs w:val="16"/>
        </w:rPr>
        <w:t> %</w:t>
      </w:r>
      <w:r w:rsidRPr="00BE7370">
        <w:rPr>
          <w:spacing w:val="-2"/>
          <w:sz w:val="16"/>
          <w:szCs w:val="16"/>
        </w:rPr>
        <w:t>).</w:t>
      </w:r>
    </w:p>
  </w:footnote>
  <w:footnote w:id="29">
    <w:p w14:paraId="46CB8E1A" w14:textId="7D4EC787" w:rsidR="009112E3" w:rsidRPr="00BE7370" w:rsidRDefault="009112E3" w:rsidP="00700E8A">
      <w:pPr>
        <w:pStyle w:val="Textpoznpodarou"/>
        <w:rPr>
          <w:spacing w:val="-4"/>
          <w:sz w:val="16"/>
          <w:szCs w:val="16"/>
        </w:rPr>
      </w:pPr>
      <w:r w:rsidRPr="00BE7370">
        <w:rPr>
          <w:rStyle w:val="Znakapoznpodarou"/>
          <w:spacing w:val="-4"/>
          <w:sz w:val="16"/>
          <w:szCs w:val="16"/>
        </w:rPr>
        <w:footnoteRef/>
      </w:r>
      <w:r>
        <w:rPr>
          <w:spacing w:val="-4"/>
          <w:sz w:val="16"/>
          <w:szCs w:val="16"/>
        </w:rPr>
        <w:t xml:space="preserve"> Protože ani </w:t>
      </w:r>
      <w:r w:rsidRPr="00BE7370">
        <w:rPr>
          <w:spacing w:val="-4"/>
          <w:sz w:val="16"/>
          <w:szCs w:val="16"/>
        </w:rPr>
        <w:t xml:space="preserve">loni </w:t>
      </w:r>
      <w:r>
        <w:rPr>
          <w:spacing w:val="-4"/>
          <w:sz w:val="16"/>
          <w:szCs w:val="16"/>
        </w:rPr>
        <w:t>v </w:t>
      </w:r>
      <w:r w:rsidRPr="00BE7370">
        <w:rPr>
          <w:spacing w:val="-4"/>
          <w:sz w:val="16"/>
          <w:szCs w:val="16"/>
        </w:rPr>
        <w:t xml:space="preserve">létě nebyl obchod v tuzemsku omezen restrikcemi, odráží meziroční tempo dobře nákupní apetit domácností. Ten byl ovlivněn zvyšující se důvěrou spotřebitelů, která letos </w:t>
      </w:r>
      <w:r>
        <w:rPr>
          <w:spacing w:val="-4"/>
          <w:sz w:val="16"/>
          <w:szCs w:val="16"/>
        </w:rPr>
        <w:t>v </w:t>
      </w:r>
      <w:r w:rsidRPr="00BE7370">
        <w:rPr>
          <w:spacing w:val="-4"/>
          <w:sz w:val="16"/>
          <w:szCs w:val="16"/>
        </w:rPr>
        <w:t xml:space="preserve">srpnu vystoupala </w:t>
      </w:r>
      <w:r>
        <w:rPr>
          <w:spacing w:val="-4"/>
          <w:sz w:val="16"/>
          <w:szCs w:val="16"/>
        </w:rPr>
        <w:t>nejvý</w:t>
      </w:r>
      <w:r w:rsidRPr="00BE7370">
        <w:rPr>
          <w:spacing w:val="-4"/>
          <w:sz w:val="16"/>
          <w:szCs w:val="16"/>
        </w:rPr>
        <w:t>še od konce roku 2019. To souviselo s nízkou nezaměstnaností i</w:t>
      </w:r>
      <w:r>
        <w:rPr>
          <w:spacing w:val="-4"/>
          <w:sz w:val="16"/>
          <w:szCs w:val="16"/>
        </w:rPr>
        <w:t> </w:t>
      </w:r>
      <w:r w:rsidRPr="00BE7370">
        <w:rPr>
          <w:spacing w:val="-4"/>
          <w:sz w:val="16"/>
          <w:szCs w:val="16"/>
        </w:rPr>
        <w:t>pokračujícím reálným růstem mezd (podpořeným</w:t>
      </w:r>
      <w:r>
        <w:rPr>
          <w:spacing w:val="-4"/>
          <w:sz w:val="16"/>
          <w:szCs w:val="16"/>
        </w:rPr>
        <w:t xml:space="preserve"> vyplacením</w:t>
      </w:r>
      <w:r w:rsidRPr="00BE7370">
        <w:rPr>
          <w:spacing w:val="-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 xml:space="preserve">mimořádných </w:t>
      </w:r>
      <w:r w:rsidRPr="00BE7370">
        <w:rPr>
          <w:spacing w:val="-4"/>
          <w:sz w:val="16"/>
          <w:szCs w:val="16"/>
        </w:rPr>
        <w:t>odměn v </w:t>
      </w:r>
      <w:r>
        <w:rPr>
          <w:spacing w:val="-4"/>
          <w:sz w:val="16"/>
          <w:szCs w:val="16"/>
        </w:rPr>
        <w:t>části</w:t>
      </w:r>
      <w:r w:rsidRPr="00BE7370">
        <w:rPr>
          <w:spacing w:val="-4"/>
          <w:sz w:val="16"/>
          <w:szCs w:val="16"/>
        </w:rPr>
        <w:t xml:space="preserve"> veřejného sektoru i</w:t>
      </w:r>
      <w:r>
        <w:rPr>
          <w:spacing w:val="-4"/>
          <w:sz w:val="16"/>
          <w:szCs w:val="16"/>
        </w:rPr>
        <w:t> </w:t>
      </w:r>
      <w:r w:rsidRPr="00BE7370">
        <w:rPr>
          <w:rFonts w:cs="Arial"/>
          <w:color w:val="0D0D0D" w:themeColor="text1" w:themeTint="F2"/>
          <w:spacing w:val="-4"/>
          <w:sz w:val="16"/>
          <w:szCs w:val="16"/>
        </w:rPr>
        <w:t>nižším zdaněním výdělků). Proti rychlejší realizaci odložené spotřeby mohly ale působit vysoké obavy lidí z růstu cen, které měly oporu i v reálném vývoji ekonomiky.</w:t>
      </w:r>
    </w:p>
  </w:footnote>
  <w:footnote w:id="30">
    <w:p w14:paraId="0A176326" w14:textId="77777777" w:rsidR="009112E3" w:rsidRDefault="009112E3" w:rsidP="00700E8A">
      <w:pPr>
        <w:pStyle w:val="Textpoznpodarou"/>
      </w:pPr>
      <w:r w:rsidRPr="00BB636A">
        <w:rPr>
          <w:rStyle w:val="Znakapoznpodarou"/>
          <w:sz w:val="16"/>
          <w:szCs w:val="16"/>
        </w:rPr>
        <w:footnoteRef/>
      </w:r>
      <w:r w:rsidRPr="00BB636A">
        <w:rPr>
          <w:sz w:val="16"/>
          <w:szCs w:val="16"/>
        </w:rPr>
        <w:t xml:space="preserve"> Průměrn</w:t>
      </w:r>
      <w:r>
        <w:rPr>
          <w:sz w:val="16"/>
          <w:szCs w:val="16"/>
        </w:rPr>
        <w:t>á cena benzinu Natural 95 (33,85</w:t>
      </w:r>
      <w:r w:rsidRPr="00BB636A">
        <w:rPr>
          <w:sz w:val="16"/>
          <w:szCs w:val="16"/>
        </w:rPr>
        <w:t> Kč/l) a průměrná cena motorové nafty (31,8</w:t>
      </w:r>
      <w:r>
        <w:rPr>
          <w:sz w:val="16"/>
          <w:szCs w:val="16"/>
        </w:rPr>
        <w:t>1</w:t>
      </w:r>
      <w:r w:rsidRPr="00BB636A">
        <w:rPr>
          <w:sz w:val="16"/>
          <w:szCs w:val="16"/>
        </w:rPr>
        <w:t> Kč/l) byly v září nejvyšší od</w:t>
      </w:r>
      <w:r>
        <w:rPr>
          <w:sz w:val="16"/>
          <w:szCs w:val="16"/>
        </w:rPr>
        <w:t xml:space="preserve"> </w:t>
      </w:r>
      <w:r w:rsidRPr="00BB636A">
        <w:rPr>
          <w:sz w:val="16"/>
          <w:szCs w:val="16"/>
        </w:rPr>
        <w:t>prosince 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9112E3" w:rsidRDefault="009112E3" w:rsidP="00937AE2">
    <w:pPr>
      <w:pStyle w:val="Zhlav"/>
    </w:pPr>
    <w:r>
      <w:t>Vývoj ekonomiky České republiky</w:t>
    </w:r>
  </w:p>
  <w:p w14:paraId="3E881AB3" w14:textId="77777777" w:rsidR="009112E3" w:rsidRPr="006F5416" w:rsidRDefault="009112E3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9112E3" w:rsidRDefault="009112E3" w:rsidP="00937AE2">
    <w:pPr>
      <w:pStyle w:val="Zhlav"/>
    </w:pPr>
    <w:r>
      <w:t>Vývoj ekonomiky České republiky</w:t>
    </w:r>
  </w:p>
  <w:p w14:paraId="57266714" w14:textId="77777777" w:rsidR="009112E3" w:rsidRPr="006F5416" w:rsidRDefault="009112E3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6BDB"/>
    <w:rsid w:val="00017B01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13CB"/>
    <w:rsid w:val="000D2196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6A6F"/>
    <w:rsid w:val="00136C1A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358"/>
    <w:rsid w:val="001459BC"/>
    <w:rsid w:val="00150ECA"/>
    <w:rsid w:val="00151707"/>
    <w:rsid w:val="00152C86"/>
    <w:rsid w:val="00152F4F"/>
    <w:rsid w:val="0015329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158D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2732"/>
    <w:rsid w:val="001C31A2"/>
    <w:rsid w:val="001C351D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A17"/>
    <w:rsid w:val="001E74C5"/>
    <w:rsid w:val="001F1236"/>
    <w:rsid w:val="001F2F90"/>
    <w:rsid w:val="001F4597"/>
    <w:rsid w:val="001F4826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1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25352"/>
    <w:rsid w:val="00426C99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E0"/>
    <w:rsid w:val="005A28FF"/>
    <w:rsid w:val="005A2C09"/>
    <w:rsid w:val="005A3778"/>
    <w:rsid w:val="005A37B0"/>
    <w:rsid w:val="005A3DF8"/>
    <w:rsid w:val="005A5549"/>
    <w:rsid w:val="005A566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7C1"/>
    <w:rsid w:val="00601ADE"/>
    <w:rsid w:val="00601EEF"/>
    <w:rsid w:val="0060255A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114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38E4"/>
    <w:rsid w:val="008E51EB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553"/>
    <w:rsid w:val="009A4D57"/>
    <w:rsid w:val="009A51A5"/>
    <w:rsid w:val="009A530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11E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3E5D"/>
    <w:rsid w:val="00DE450F"/>
    <w:rsid w:val="00DE4865"/>
    <w:rsid w:val="00DE5CA6"/>
    <w:rsid w:val="00DE5E55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A76"/>
    <w:rsid w:val="00F57D57"/>
    <w:rsid w:val="00F6178B"/>
    <w:rsid w:val="00F62BFF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D7D3B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36" Type="http://schemas.microsoft.com/office/2016/09/relationships/commentsIds" Target="commentsId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nicky3604\Documents\JKAM%20CSU\PUBLIKACE\PUBLIKACE\2021\Qmakro\1-3.%20&#269;tvrtlet&#237;%202021\Odv&#283;tv&#237;\Odv&#283;tv&#237;%20grafy-3q-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nicky3604\Documents\JKAM%20CSU\PUBLIKACE\PUBLIKACE\2021\Qmakro\1-3.%20&#269;tvrtlet&#237;%202021\Odv&#283;tv&#237;\Odv&#283;tv&#237;%20grafy-3q-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nicky3604\Documents\JKAM%20CSU\PUBLIKACE\PUBLIKACE\2021\Qmakro\1-3.%20&#269;tvrtlet&#237;%202021\Odv&#283;tv&#237;\Odv&#283;tv&#237;%20grafy-3q-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nicky3604\Documents\JKAM%20CSU\PUBLIKACE\PUBLIKACE\2021\Qmakro\1-3.%20&#269;tvrtlet&#237;%202021\Odv&#283;tv&#237;\Odv&#283;tv&#237;%20grafy-3q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688042665536843E-2"/>
          <c:y val="1.6203544707895996E-2"/>
          <c:w val="0.84974974879787502"/>
          <c:h val="0.7086068515821473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'GRAF příspěvky IPP'!$A$27</c:f>
              <c:strCache>
                <c:ptCount val="1"/>
                <c:pt idx="0">
                  <c:v>Výroba dopravních prostředků (29, 30)</c:v>
                </c:pt>
              </c:strCache>
            </c:strRef>
          </c:tx>
          <c:spPr>
            <a:solidFill>
              <a:srgbClr val="E8AFB2"/>
            </a:solidFill>
          </c:spPr>
          <c:invertIfNegative val="0"/>
          <c:cat>
            <c:multiLvlStrRef>
              <c:f>'GRAF příspěvky IPP'!$R$25:$AS$26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'GRAF příspěvky IPP'!$R$27:$AS$27</c:f>
              <c:numCache>
                <c:formatCode>0.0</c:formatCode>
                <c:ptCount val="28"/>
                <c:pt idx="0">
                  <c:v>1.5428898176392496</c:v>
                </c:pt>
                <c:pt idx="1">
                  <c:v>2.1743718256924107</c:v>
                </c:pt>
                <c:pt idx="2">
                  <c:v>2.3590492908960439</c:v>
                </c:pt>
                <c:pt idx="3">
                  <c:v>2.8772486090638396</c:v>
                </c:pt>
                <c:pt idx="4">
                  <c:v>3.3183568360577667</c:v>
                </c:pt>
                <c:pt idx="5">
                  <c:v>2.726135980015763</c:v>
                </c:pt>
                <c:pt idx="6">
                  <c:v>1.4737639394577176</c:v>
                </c:pt>
                <c:pt idx="7">
                  <c:v>1.0298153192049733</c:v>
                </c:pt>
                <c:pt idx="8">
                  <c:v>1.7609137024842152</c:v>
                </c:pt>
                <c:pt idx="9">
                  <c:v>2.1167862077962001</c:v>
                </c:pt>
                <c:pt idx="10">
                  <c:v>1.5869964664235507</c:v>
                </c:pt>
                <c:pt idx="11">
                  <c:v>1.681411454669806</c:v>
                </c:pt>
                <c:pt idx="12">
                  <c:v>0.74237714955218947</c:v>
                </c:pt>
                <c:pt idx="13">
                  <c:v>0.54613557309892891</c:v>
                </c:pt>
                <c:pt idx="14">
                  <c:v>0.23904640916369443</c:v>
                </c:pt>
                <c:pt idx="15">
                  <c:v>0.98490029941942658</c:v>
                </c:pt>
                <c:pt idx="16">
                  <c:v>-0.22712700654221288</c:v>
                </c:pt>
                <c:pt idx="17">
                  <c:v>0.47876328427856657</c:v>
                </c:pt>
                <c:pt idx="18">
                  <c:v>0.83775598681488828</c:v>
                </c:pt>
                <c:pt idx="19">
                  <c:v>-1.1010749377233835</c:v>
                </c:pt>
                <c:pt idx="20">
                  <c:v>-1.5400994508720254</c:v>
                </c:pt>
                <c:pt idx="21">
                  <c:v>-9.3996605775771389</c:v>
                </c:pt>
                <c:pt idx="22">
                  <c:v>-0.1984331735847174</c:v>
                </c:pt>
                <c:pt idx="23">
                  <c:v>2.0419884732728906</c:v>
                </c:pt>
                <c:pt idx="24">
                  <c:v>1.783245169103493</c:v>
                </c:pt>
                <c:pt idx="25">
                  <c:v>11.457884985980385</c:v>
                </c:pt>
                <c:pt idx="26">
                  <c:v>-3.8888480644029184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8D-4998-9DEE-F30211370434}"/>
            </c:ext>
          </c:extLst>
        </c:ser>
        <c:ser>
          <c:idx val="1"/>
          <c:order val="1"/>
          <c:tx>
            <c:strRef>
              <c:f>'GRAF příspěvky IPP'!$A$28</c:f>
              <c:strCache>
                <c:ptCount val="1"/>
                <c:pt idx="0">
                  <c:v>Gumárenství, elektrotechnický pr. (22, 27)</c:v>
                </c:pt>
              </c:strCache>
            </c:strRef>
          </c:tx>
          <c:spPr>
            <a:solidFill>
              <a:srgbClr val="BD1B21"/>
            </a:solidFill>
          </c:spPr>
          <c:invertIfNegative val="0"/>
          <c:cat>
            <c:multiLvlStrRef>
              <c:f>'GRAF příspěvky IPP'!$R$25:$AS$26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'GRAF příspěvky IPP'!$R$28:$AS$28</c:f>
              <c:numCache>
                <c:formatCode>0.0</c:formatCode>
                <c:ptCount val="28"/>
                <c:pt idx="0">
                  <c:v>1.034672951175343</c:v>
                </c:pt>
                <c:pt idx="1">
                  <c:v>1.2402872249055439</c:v>
                </c:pt>
                <c:pt idx="2">
                  <c:v>1.3942884794721908</c:v>
                </c:pt>
                <c:pt idx="3">
                  <c:v>0.63756976588884984</c:v>
                </c:pt>
                <c:pt idx="4">
                  <c:v>0.7944903405734538</c:v>
                </c:pt>
                <c:pt idx="5">
                  <c:v>0.20047553290148593</c:v>
                </c:pt>
                <c:pt idx="6">
                  <c:v>0.26203247933087592</c:v>
                </c:pt>
                <c:pt idx="7">
                  <c:v>0.42925022381945577</c:v>
                </c:pt>
                <c:pt idx="8">
                  <c:v>0.85509469319178899</c:v>
                </c:pt>
                <c:pt idx="9">
                  <c:v>1.4003096522077234</c:v>
                </c:pt>
                <c:pt idx="10">
                  <c:v>0.85542183955477147</c:v>
                </c:pt>
                <c:pt idx="11">
                  <c:v>1.6527257176884005</c:v>
                </c:pt>
                <c:pt idx="12">
                  <c:v>0.96912614591005941</c:v>
                </c:pt>
                <c:pt idx="13">
                  <c:v>0.34015391143850388</c:v>
                </c:pt>
                <c:pt idx="14">
                  <c:v>0.42914077951440655</c:v>
                </c:pt>
                <c:pt idx="15">
                  <c:v>-4.0280326098931243E-2</c:v>
                </c:pt>
                <c:pt idx="16">
                  <c:v>0.52468036745672719</c:v>
                </c:pt>
                <c:pt idx="17">
                  <c:v>0.40727721709233999</c:v>
                </c:pt>
                <c:pt idx="18">
                  <c:v>0.23777798772963615</c:v>
                </c:pt>
                <c:pt idx="19">
                  <c:v>0.39315489791744185</c:v>
                </c:pt>
                <c:pt idx="20">
                  <c:v>-0.5336834932447807</c:v>
                </c:pt>
                <c:pt idx="21">
                  <c:v>-4.0591767538544659</c:v>
                </c:pt>
                <c:pt idx="22">
                  <c:v>-0.43318739953820484</c:v>
                </c:pt>
                <c:pt idx="23">
                  <c:v>0.56877492176088063</c:v>
                </c:pt>
                <c:pt idx="24">
                  <c:v>0.90068361305567801</c:v>
                </c:pt>
                <c:pt idx="25">
                  <c:v>5.5137038592871939</c:v>
                </c:pt>
                <c:pt idx="26">
                  <c:v>0.65599100710641045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8D-4998-9DEE-F30211370434}"/>
            </c:ext>
          </c:extLst>
        </c:ser>
        <c:ser>
          <c:idx val="2"/>
          <c:order val="2"/>
          <c:tx>
            <c:strRef>
              <c:f>'GRAF příspěvky IPP'!$A$29</c:f>
              <c:strCache>
                <c:ptCount val="1"/>
                <c:pt idx="0">
                  <c:v>Strojírenství (28)</c:v>
                </c:pt>
              </c:strCache>
            </c:strRef>
          </c:tx>
          <c:spPr>
            <a:solidFill>
              <a:srgbClr val="BFE3F7"/>
            </a:solidFill>
          </c:spPr>
          <c:invertIfNegative val="0"/>
          <c:cat>
            <c:multiLvlStrRef>
              <c:f>'GRAF příspěvky IPP'!$R$25:$AS$26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'GRAF příspěvky IPP'!$R$29:$AS$29</c:f>
              <c:numCache>
                <c:formatCode>0.0</c:formatCode>
                <c:ptCount val="28"/>
                <c:pt idx="0">
                  <c:v>0.27254464463314693</c:v>
                </c:pt>
                <c:pt idx="1">
                  <c:v>0.29396963786095853</c:v>
                </c:pt>
                <c:pt idx="2">
                  <c:v>0.39152523509606818</c:v>
                </c:pt>
                <c:pt idx="3">
                  <c:v>1.6200417736821196E-2</c:v>
                </c:pt>
                <c:pt idx="4">
                  <c:v>0.36694942006841863</c:v>
                </c:pt>
                <c:pt idx="5">
                  <c:v>-7.7911792574484814E-2</c:v>
                </c:pt>
                <c:pt idx="6">
                  <c:v>0.1987099016441323</c:v>
                </c:pt>
                <c:pt idx="7">
                  <c:v>0.31990708238357735</c:v>
                </c:pt>
                <c:pt idx="8">
                  <c:v>0.34959411680822744</c:v>
                </c:pt>
                <c:pt idx="9">
                  <c:v>1.0827590636445108</c:v>
                </c:pt>
                <c:pt idx="10">
                  <c:v>0.85295353330611445</c:v>
                </c:pt>
                <c:pt idx="11">
                  <c:v>0.80087396958540291</c:v>
                </c:pt>
                <c:pt idx="12">
                  <c:v>0.479471307913379</c:v>
                </c:pt>
                <c:pt idx="13">
                  <c:v>0.1423157226032094</c:v>
                </c:pt>
                <c:pt idx="14">
                  <c:v>0.18574582107238052</c:v>
                </c:pt>
                <c:pt idx="15">
                  <c:v>-0.19599700087649827</c:v>
                </c:pt>
                <c:pt idx="16">
                  <c:v>0.14262071470057108</c:v>
                </c:pt>
                <c:pt idx="17">
                  <c:v>-1.7720632744717035E-2</c:v>
                </c:pt>
                <c:pt idx="18">
                  <c:v>-0.26820737830766378</c:v>
                </c:pt>
                <c:pt idx="19">
                  <c:v>-0.13470183553131065</c:v>
                </c:pt>
                <c:pt idx="20">
                  <c:v>-0.70067449755996181</c:v>
                </c:pt>
                <c:pt idx="21">
                  <c:v>-2.1429229667168639</c:v>
                </c:pt>
                <c:pt idx="22">
                  <c:v>-0.79850670146483804</c:v>
                </c:pt>
                <c:pt idx="23">
                  <c:v>-0.53309088102789204</c:v>
                </c:pt>
                <c:pt idx="24">
                  <c:v>6.0882399541106913E-2</c:v>
                </c:pt>
                <c:pt idx="25">
                  <c:v>2.1284857067707743</c:v>
                </c:pt>
                <c:pt idx="26">
                  <c:v>0.661162108959232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8D-4998-9DEE-F30211370434}"/>
            </c:ext>
          </c:extLst>
        </c:ser>
        <c:ser>
          <c:idx val="3"/>
          <c:order val="3"/>
          <c:tx>
            <c:strRef>
              <c:f>'GRAF příspěvky IPP'!$A$30</c:f>
              <c:strCache>
                <c:ptCount val="1"/>
                <c:pt idx="0">
                  <c:v>Kovodělný průmysl (25)</c:v>
                </c:pt>
              </c:strCache>
            </c:strRef>
          </c:tx>
          <c:spPr>
            <a:solidFill>
              <a:srgbClr val="48AEE7"/>
            </a:solidFill>
          </c:spPr>
          <c:invertIfNegative val="0"/>
          <c:cat>
            <c:multiLvlStrRef>
              <c:f>'GRAF příspěvky IPP'!$R$25:$AS$26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'GRAF příspěvky IPP'!$R$30:$AS$30</c:f>
              <c:numCache>
                <c:formatCode>0.0</c:formatCode>
                <c:ptCount val="28"/>
                <c:pt idx="0">
                  <c:v>0.69598466412593474</c:v>
                </c:pt>
                <c:pt idx="1">
                  <c:v>0.78523209830157625</c:v>
                </c:pt>
                <c:pt idx="2">
                  <c:v>0.97812808698582676</c:v>
                </c:pt>
                <c:pt idx="3">
                  <c:v>0.60585855548016065</c:v>
                </c:pt>
                <c:pt idx="4">
                  <c:v>0.7974142567928203</c:v>
                </c:pt>
                <c:pt idx="5">
                  <c:v>0.39435941300086852</c:v>
                </c:pt>
                <c:pt idx="6">
                  <c:v>0.22320292471013239</c:v>
                </c:pt>
                <c:pt idx="7">
                  <c:v>0.25093421694411544</c:v>
                </c:pt>
                <c:pt idx="8">
                  <c:v>0.420593323359785</c:v>
                </c:pt>
                <c:pt idx="9">
                  <c:v>0.91449350181259326</c:v>
                </c:pt>
                <c:pt idx="10">
                  <c:v>0.85069745323039048</c:v>
                </c:pt>
                <c:pt idx="11">
                  <c:v>0.96475784711286927</c:v>
                </c:pt>
                <c:pt idx="12">
                  <c:v>0.6496282287639249</c:v>
                </c:pt>
                <c:pt idx="13">
                  <c:v>0.47190400503104318</c:v>
                </c:pt>
                <c:pt idx="14">
                  <c:v>0.40332248383604502</c:v>
                </c:pt>
                <c:pt idx="15">
                  <c:v>0.15276873851363962</c:v>
                </c:pt>
                <c:pt idx="16">
                  <c:v>0.25794025853962294</c:v>
                </c:pt>
                <c:pt idx="17">
                  <c:v>8.1804977725853222E-3</c:v>
                </c:pt>
                <c:pt idx="18">
                  <c:v>-0.23678308583363922</c:v>
                </c:pt>
                <c:pt idx="19">
                  <c:v>-0.3569761365718796</c:v>
                </c:pt>
                <c:pt idx="20">
                  <c:v>-0.60279608093648751</c:v>
                </c:pt>
                <c:pt idx="21">
                  <c:v>-2.0867839126509864</c:v>
                </c:pt>
                <c:pt idx="22">
                  <c:v>-0.54628616828783072</c:v>
                </c:pt>
                <c:pt idx="23">
                  <c:v>0.14233966871529949</c:v>
                </c:pt>
                <c:pt idx="24">
                  <c:v>0.5024976254118193</c:v>
                </c:pt>
                <c:pt idx="25">
                  <c:v>3.0678936722203458</c:v>
                </c:pt>
                <c:pt idx="26">
                  <c:v>0.72114207160834776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8D-4998-9DEE-F30211370434}"/>
            </c:ext>
          </c:extLst>
        </c:ser>
        <c:ser>
          <c:idx val="4"/>
          <c:order val="4"/>
          <c:tx>
            <c:strRef>
              <c:f>'GRAF příspěvky IPP'!$A$31</c:f>
              <c:strCache>
                <c:ptCount val="1"/>
                <c:pt idx="0">
                  <c:v>Výroba PC, elektronic. a optic. přístr. (26)</c:v>
                </c:pt>
              </c:strCache>
            </c:strRef>
          </c:tx>
          <c:spPr>
            <a:solidFill>
              <a:srgbClr val="FDDEB3"/>
            </a:solidFill>
          </c:spPr>
          <c:invertIfNegative val="0"/>
          <c:cat>
            <c:multiLvlStrRef>
              <c:f>'GRAF příspěvky IPP'!$R$25:$AS$26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'GRAF příspěvky IPP'!$R$31:$AS$31</c:f>
              <c:numCache>
                <c:formatCode>0.0</c:formatCode>
                <c:ptCount val="28"/>
                <c:pt idx="0">
                  <c:v>0.10174478910853679</c:v>
                </c:pt>
                <c:pt idx="1">
                  <c:v>1.5828953523061507E-2</c:v>
                </c:pt>
                <c:pt idx="2">
                  <c:v>4.099582748163963E-2</c:v>
                </c:pt>
                <c:pt idx="3">
                  <c:v>-7.2764071813088554E-2</c:v>
                </c:pt>
                <c:pt idx="4">
                  <c:v>-5.3199772200864092E-3</c:v>
                </c:pt>
                <c:pt idx="5">
                  <c:v>6.0334021815885465E-2</c:v>
                </c:pt>
                <c:pt idx="6">
                  <c:v>5.0638983184188399E-2</c:v>
                </c:pt>
                <c:pt idx="7">
                  <c:v>0.16208161104378524</c:v>
                </c:pt>
                <c:pt idx="8">
                  <c:v>0.14164406764460333</c:v>
                </c:pt>
                <c:pt idx="9">
                  <c:v>0.36084600241723092</c:v>
                </c:pt>
                <c:pt idx="10">
                  <c:v>0.23025191154693395</c:v>
                </c:pt>
                <c:pt idx="11">
                  <c:v>0.23490510719047802</c:v>
                </c:pt>
                <c:pt idx="12">
                  <c:v>0.39487785017355559</c:v>
                </c:pt>
                <c:pt idx="13">
                  <c:v>0.15525543720367532</c:v>
                </c:pt>
                <c:pt idx="14">
                  <c:v>0.63668466142391178</c:v>
                </c:pt>
                <c:pt idx="15">
                  <c:v>0.31239835694712781</c:v>
                </c:pt>
                <c:pt idx="16">
                  <c:v>-0.11382932295885198</c:v>
                </c:pt>
                <c:pt idx="17">
                  <c:v>-4.341493446561568E-2</c:v>
                </c:pt>
                <c:pt idx="18">
                  <c:v>-0.61087240850785662</c:v>
                </c:pt>
                <c:pt idx="19">
                  <c:v>-0.34647971068415334</c:v>
                </c:pt>
                <c:pt idx="20">
                  <c:v>-9.3262273282259972E-2</c:v>
                </c:pt>
                <c:pt idx="21">
                  <c:v>-0.27991365476515007</c:v>
                </c:pt>
                <c:pt idx="22">
                  <c:v>3.7480674787972556E-3</c:v>
                </c:pt>
                <c:pt idx="23">
                  <c:v>-5.8376761155660142E-3</c:v>
                </c:pt>
                <c:pt idx="24">
                  <c:v>9.3943210027643706E-2</c:v>
                </c:pt>
                <c:pt idx="25">
                  <c:v>0.15306612055432237</c:v>
                </c:pt>
                <c:pt idx="26">
                  <c:v>0.25397860323901289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8D-4998-9DEE-F30211370434}"/>
            </c:ext>
          </c:extLst>
        </c:ser>
        <c:ser>
          <c:idx val="5"/>
          <c:order val="5"/>
          <c:tx>
            <c:strRef>
              <c:f>'GRAF příspěvky IPP'!$A$32</c:f>
              <c:strCache>
                <c:ptCount val="1"/>
                <c:pt idx="0">
                  <c:v>Chemický a farmaceutický pr. (20, 21)</c:v>
                </c:pt>
              </c:strCache>
            </c:strRef>
          </c:tx>
          <c:spPr>
            <a:solidFill>
              <a:srgbClr val="F8A124"/>
            </a:solidFill>
          </c:spPr>
          <c:invertIfNegative val="0"/>
          <c:cat>
            <c:multiLvlStrRef>
              <c:f>'GRAF příspěvky IPP'!$R$25:$AS$26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'GRAF příspěvky IPP'!$R$32:$AS$32</c:f>
              <c:numCache>
                <c:formatCode>0.0</c:formatCode>
                <c:ptCount val="28"/>
                <c:pt idx="0">
                  <c:v>7.7143378794105238E-2</c:v>
                </c:pt>
                <c:pt idx="1">
                  <c:v>0.23593739633638305</c:v>
                </c:pt>
                <c:pt idx="2">
                  <c:v>-0.1618035309720528</c:v>
                </c:pt>
                <c:pt idx="3">
                  <c:v>-0.33496224531375707</c:v>
                </c:pt>
                <c:pt idx="4">
                  <c:v>-0.41674583594172754</c:v>
                </c:pt>
                <c:pt idx="5">
                  <c:v>-0.4282443957917389</c:v>
                </c:pt>
                <c:pt idx="6">
                  <c:v>-0.10705569687500868</c:v>
                </c:pt>
                <c:pt idx="7">
                  <c:v>0.23734613396913962</c:v>
                </c:pt>
                <c:pt idx="8">
                  <c:v>0.52004631375398047</c:v>
                </c:pt>
                <c:pt idx="9">
                  <c:v>0.82674096187567125</c:v>
                </c:pt>
                <c:pt idx="10">
                  <c:v>0.6516009273870198</c:v>
                </c:pt>
                <c:pt idx="11">
                  <c:v>0.50475413241681488</c:v>
                </c:pt>
                <c:pt idx="12">
                  <c:v>0.40512406777705501</c:v>
                </c:pt>
                <c:pt idx="13">
                  <c:v>7.9522592595157926E-2</c:v>
                </c:pt>
                <c:pt idx="14">
                  <c:v>-5.31759637412869E-2</c:v>
                </c:pt>
                <c:pt idx="15">
                  <c:v>-6.9085533222069381E-2</c:v>
                </c:pt>
                <c:pt idx="16">
                  <c:v>0.10389114606048008</c:v>
                </c:pt>
                <c:pt idx="17">
                  <c:v>4.8518655211085254E-2</c:v>
                </c:pt>
                <c:pt idx="18">
                  <c:v>0.22788597854650419</c:v>
                </c:pt>
                <c:pt idx="19">
                  <c:v>3.146341110732534E-2</c:v>
                </c:pt>
                <c:pt idx="20">
                  <c:v>-3.2343833499911212E-2</c:v>
                </c:pt>
                <c:pt idx="21">
                  <c:v>-0.54875551656759858</c:v>
                </c:pt>
                <c:pt idx="22">
                  <c:v>-0.21314624785035269</c:v>
                </c:pt>
                <c:pt idx="23">
                  <c:v>0.43258748242153289</c:v>
                </c:pt>
                <c:pt idx="24">
                  <c:v>0.26430043366619738</c:v>
                </c:pt>
                <c:pt idx="25">
                  <c:v>0.80015964881321644</c:v>
                </c:pt>
                <c:pt idx="26">
                  <c:v>0.29532800749351429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88D-4998-9DEE-F30211370434}"/>
            </c:ext>
          </c:extLst>
        </c:ser>
        <c:ser>
          <c:idx val="6"/>
          <c:order val="6"/>
          <c:tx>
            <c:strRef>
              <c:f>'GRAF příspěvky IPP'!$A$33</c:f>
              <c:strCache>
                <c:ptCount val="1"/>
                <c:pt idx="0">
                  <c:v>Zbývající zpracovatelský průmysl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multiLvlStrRef>
              <c:f>'GRAF příspěvky IPP'!$R$25:$AS$26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'GRAF příspěvky IPP'!$R$33:$AS$33</c:f>
              <c:numCache>
                <c:formatCode>0.0</c:formatCode>
                <c:ptCount val="28"/>
                <c:pt idx="0">
                  <c:v>0.99790191745106882</c:v>
                </c:pt>
                <c:pt idx="1">
                  <c:v>0.89869551924785085</c:v>
                </c:pt>
                <c:pt idx="2">
                  <c:v>1.0140985408551135</c:v>
                </c:pt>
                <c:pt idx="3">
                  <c:v>-0.23144536420896189</c:v>
                </c:pt>
                <c:pt idx="4">
                  <c:v>0.26284587339298521</c:v>
                </c:pt>
                <c:pt idx="5">
                  <c:v>-0.36379862472242158</c:v>
                </c:pt>
                <c:pt idx="6">
                  <c:v>6.0778320295188704E-2</c:v>
                </c:pt>
                <c:pt idx="7">
                  <c:v>0.57462664260793739</c:v>
                </c:pt>
                <c:pt idx="8">
                  <c:v>7.0021742223497829E-2</c:v>
                </c:pt>
                <c:pt idx="9">
                  <c:v>1.4968765381346332</c:v>
                </c:pt>
                <c:pt idx="10">
                  <c:v>0.75563441850938817</c:v>
                </c:pt>
                <c:pt idx="11">
                  <c:v>0.97414760712501969</c:v>
                </c:pt>
                <c:pt idx="12">
                  <c:v>1.1572391799219797</c:v>
                </c:pt>
                <c:pt idx="13">
                  <c:v>0.6725057701913375</c:v>
                </c:pt>
                <c:pt idx="14">
                  <c:v>1.1043020585420495</c:v>
                </c:pt>
                <c:pt idx="15">
                  <c:v>0.49003903449396968</c:v>
                </c:pt>
                <c:pt idx="16">
                  <c:v>-4.5073361183030347E-2</c:v>
                </c:pt>
                <c:pt idx="17">
                  <c:v>4.2642071767505327E-2</c:v>
                </c:pt>
                <c:pt idx="18">
                  <c:v>-0.66202289851528051</c:v>
                </c:pt>
                <c:pt idx="19">
                  <c:v>-0.22564017800563624</c:v>
                </c:pt>
                <c:pt idx="20">
                  <c:v>7.6841219891765677E-2</c:v>
                </c:pt>
                <c:pt idx="21">
                  <c:v>-2.8313423651484886</c:v>
                </c:pt>
                <c:pt idx="22">
                  <c:v>8.2797121426130077E-2</c:v>
                </c:pt>
                <c:pt idx="23">
                  <c:v>9.7557088121208529E-2</c:v>
                </c:pt>
                <c:pt idx="24">
                  <c:v>-0.15110672459180577</c:v>
                </c:pt>
                <c:pt idx="25">
                  <c:v>4.133502245600396</c:v>
                </c:pt>
                <c:pt idx="26">
                  <c:v>0.71480653498226721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88D-4998-9DEE-F30211370434}"/>
            </c:ext>
          </c:extLst>
        </c:ser>
        <c:ser>
          <c:idx val="7"/>
          <c:order val="7"/>
          <c:tx>
            <c:strRef>
              <c:f>'GRAF příspěvky IPP'!$A$34</c:f>
              <c:strCache>
                <c:ptCount val="1"/>
                <c:pt idx="0">
                  <c:v>Těžba a energetika (B, D)</c:v>
                </c:pt>
              </c:strCache>
            </c:strRef>
          </c:tx>
          <c:spPr>
            <a:solidFill>
              <a:srgbClr val="808080"/>
            </a:solidFill>
          </c:spPr>
          <c:invertIfNegative val="0"/>
          <c:cat>
            <c:multiLvlStrRef>
              <c:f>'GRAF příspěvky IPP'!$R$25:$AS$26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'GRAF příspěvky IPP'!$R$34:$AS$34</c:f>
              <c:numCache>
                <c:formatCode>0.0</c:formatCode>
                <c:ptCount val="28"/>
                <c:pt idx="0">
                  <c:v>0.14536369337262112</c:v>
                </c:pt>
                <c:pt idx="1">
                  <c:v>-0.33984851886778389</c:v>
                </c:pt>
                <c:pt idx="2">
                  <c:v>-0.39719330301482159</c:v>
                </c:pt>
                <c:pt idx="3">
                  <c:v>-1.1146161627338653</c:v>
                </c:pt>
                <c:pt idx="4">
                  <c:v>-0.64581780602362893</c:v>
                </c:pt>
                <c:pt idx="5">
                  <c:v>9.8757674154636987E-2</c:v>
                </c:pt>
                <c:pt idx="6">
                  <c:v>-0.47678822664722548</c:v>
                </c:pt>
                <c:pt idx="7">
                  <c:v>0.5038061309270212</c:v>
                </c:pt>
                <c:pt idx="8">
                  <c:v>0.66217224583389844</c:v>
                </c:pt>
                <c:pt idx="9">
                  <c:v>-0.18248944438855802</c:v>
                </c:pt>
                <c:pt idx="10">
                  <c:v>0.77178193644183435</c:v>
                </c:pt>
                <c:pt idx="11">
                  <c:v>0.73275070181120505</c:v>
                </c:pt>
                <c:pt idx="12">
                  <c:v>-0.53887865891214681</c:v>
                </c:pt>
                <c:pt idx="13">
                  <c:v>4.2205690381435096E-3</c:v>
                </c:pt>
                <c:pt idx="14">
                  <c:v>0.78780707738879552</c:v>
                </c:pt>
                <c:pt idx="15">
                  <c:v>0.33124326032333173</c:v>
                </c:pt>
                <c:pt idx="16">
                  <c:v>0.21326016962669453</c:v>
                </c:pt>
                <c:pt idx="17">
                  <c:v>4.593311018825097E-2</c:v>
                </c:pt>
                <c:pt idx="18">
                  <c:v>-0.66562135602659178</c:v>
                </c:pt>
                <c:pt idx="19">
                  <c:v>-0.33090067760840614</c:v>
                </c:pt>
                <c:pt idx="20">
                  <c:v>-0.97349114199634235</c:v>
                </c:pt>
                <c:pt idx="21">
                  <c:v>-1.5874404115193026</c:v>
                </c:pt>
                <c:pt idx="22">
                  <c:v>-0.71569504087898972</c:v>
                </c:pt>
                <c:pt idx="23">
                  <c:v>-0.6949618157483497</c:v>
                </c:pt>
                <c:pt idx="24">
                  <c:v>0.45638788328587099</c:v>
                </c:pt>
                <c:pt idx="25">
                  <c:v>0.4715212296733623</c:v>
                </c:pt>
                <c:pt idx="26">
                  <c:v>0.22921656691412753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88D-4998-9DEE-F30211370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"/>
        <c:overlap val="100"/>
        <c:axId val="112768128"/>
        <c:axId val="112769664"/>
      </c:barChart>
      <c:lineChart>
        <c:grouping val="standard"/>
        <c:varyColors val="0"/>
        <c:ser>
          <c:idx val="8"/>
          <c:order val="8"/>
          <c:tx>
            <c:strRef>
              <c:f>'GRAF příspěvky IPP'!$A$35</c:f>
              <c:strCache>
                <c:ptCount val="1"/>
                <c:pt idx="0">
                  <c:v>Průmysl celkem (NACE B, C, D)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4"/>
            <c:spPr>
              <a:solidFill>
                <a:schemeClr val="bg1"/>
              </a:solidFill>
              <a:ln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multiLvlStrRef>
              <c:f>'GRAF příspěvky IPP'!$R$25:$AS$26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'GRAF příspěvky IPP'!$R$35:$AS$35</c:f>
              <c:numCache>
                <c:formatCode>0.0</c:formatCode>
                <c:ptCount val="28"/>
                <c:pt idx="0">
                  <c:v>4.8682458563000077</c:v>
                </c:pt>
                <c:pt idx="1">
                  <c:v>5.3044741370000006</c:v>
                </c:pt>
                <c:pt idx="2">
                  <c:v>5.6190886268000479</c:v>
                </c:pt>
                <c:pt idx="3">
                  <c:v>2.3830895040999831</c:v>
                </c:pt>
                <c:pt idx="4">
                  <c:v>4.4721731076999642</c:v>
                </c:pt>
                <c:pt idx="5">
                  <c:v>2.6101078088000005</c:v>
                </c:pt>
                <c:pt idx="6">
                  <c:v>1.6852826251000022</c:v>
                </c:pt>
                <c:pt idx="7">
                  <c:v>3.5077673608999906</c:v>
                </c:pt>
                <c:pt idx="8">
                  <c:v>4.7800802052999884</c:v>
                </c:pt>
                <c:pt idx="9">
                  <c:v>8.0163224835000051</c:v>
                </c:pt>
                <c:pt idx="10">
                  <c:v>6.5553384864000064</c:v>
                </c:pt>
                <c:pt idx="11">
                  <c:v>7.5463265375999953</c:v>
                </c:pt>
                <c:pt idx="12">
                  <c:v>4.2589652710999921</c:v>
                </c:pt>
                <c:pt idx="13">
                  <c:v>2.4120135811999983</c:v>
                </c:pt>
                <c:pt idx="14">
                  <c:v>3.7328733272000059</c:v>
                </c:pt>
                <c:pt idx="15">
                  <c:v>1.9659868294999943</c:v>
                </c:pt>
                <c:pt idx="16">
                  <c:v>0.85636296569994519</c:v>
                </c:pt>
                <c:pt idx="17">
                  <c:v>0.97017926910000263</c:v>
                </c:pt>
                <c:pt idx="18">
                  <c:v>-1.1400871741000362</c:v>
                </c:pt>
                <c:pt idx="19">
                  <c:v>-2.0711551671000006</c:v>
                </c:pt>
                <c:pt idx="20">
                  <c:v>-4.3998415370000075</c:v>
                </c:pt>
                <c:pt idx="21">
                  <c:v>-22.923318067400007</c:v>
                </c:pt>
                <c:pt idx="22">
                  <c:v>-2.7989687392000016</c:v>
                </c:pt>
                <c:pt idx="23">
                  <c:v>2.0483696245999874</c:v>
                </c:pt>
                <c:pt idx="24">
                  <c:v>3.9122834852000148</c:v>
                </c:pt>
                <c:pt idx="25">
                  <c:v>27.712385253700013</c:v>
                </c:pt>
                <c:pt idx="26">
                  <c:v>-0.3572231641000066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88D-4998-9DEE-F30211370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68128"/>
        <c:axId val="112769664"/>
      </c:lineChart>
      <c:lineChart>
        <c:grouping val="standard"/>
        <c:varyColors val="0"/>
        <c:ser>
          <c:idx val="9"/>
          <c:order val="9"/>
          <c:tx>
            <c:strRef>
              <c:f>'GRAF příspěvky IPP'!$A$36</c:f>
              <c:strCache>
                <c:ptCount val="1"/>
                <c:pt idx="0">
                  <c:v>Saldo souhrn. indik. důvěry v průmyslu</c:v>
                </c:pt>
              </c:strCache>
            </c:strRef>
          </c:tx>
          <c:spPr>
            <a:ln w="15875">
              <a:solidFill>
                <a:schemeClr val="bg1">
                  <a:lumMod val="65000"/>
                </a:schemeClr>
              </a:solidFill>
              <a:prstDash val="sysDot"/>
            </a:ln>
          </c:spPr>
          <c:marker>
            <c:symbol val="circle"/>
            <c:size val="5"/>
            <c:spPr>
              <a:solidFill>
                <a:srgbClr val="FFFF00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cat>
            <c:multiLvlStrRef>
              <c:f>'GRAF příspěvky IPP'!$R$25:$AS$26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'GRAF příspěvky IPP'!$R$36:$AS$36</c:f>
              <c:numCache>
                <c:formatCode>0.0</c:formatCode>
                <c:ptCount val="28"/>
                <c:pt idx="0">
                  <c:v>2.2999999999999998</c:v>
                </c:pt>
                <c:pt idx="1">
                  <c:v>3.3</c:v>
                </c:pt>
                <c:pt idx="2">
                  <c:v>3</c:v>
                </c:pt>
                <c:pt idx="3">
                  <c:v>1</c:v>
                </c:pt>
                <c:pt idx="4">
                  <c:v>3.7</c:v>
                </c:pt>
                <c:pt idx="5">
                  <c:v>2.7</c:v>
                </c:pt>
                <c:pt idx="6">
                  <c:v>5</c:v>
                </c:pt>
                <c:pt idx="7">
                  <c:v>6.3</c:v>
                </c:pt>
                <c:pt idx="8">
                  <c:v>3.7</c:v>
                </c:pt>
                <c:pt idx="9">
                  <c:v>0.5</c:v>
                </c:pt>
                <c:pt idx="10">
                  <c:v>4</c:v>
                </c:pt>
                <c:pt idx="11">
                  <c:v>4.7</c:v>
                </c:pt>
                <c:pt idx="12">
                  <c:v>3.7</c:v>
                </c:pt>
                <c:pt idx="13">
                  <c:v>2</c:v>
                </c:pt>
                <c:pt idx="14">
                  <c:v>2.2999999999999998</c:v>
                </c:pt>
                <c:pt idx="15">
                  <c:v>2.2999999999999998</c:v>
                </c:pt>
                <c:pt idx="16">
                  <c:v>0.3</c:v>
                </c:pt>
                <c:pt idx="17">
                  <c:v>-2</c:v>
                </c:pt>
                <c:pt idx="18">
                  <c:v>-3</c:v>
                </c:pt>
                <c:pt idx="19">
                  <c:v>-6.7</c:v>
                </c:pt>
                <c:pt idx="20">
                  <c:v>-5</c:v>
                </c:pt>
                <c:pt idx="21">
                  <c:v>-25</c:v>
                </c:pt>
                <c:pt idx="22">
                  <c:v>-6.3</c:v>
                </c:pt>
                <c:pt idx="23">
                  <c:v>-10</c:v>
                </c:pt>
                <c:pt idx="24">
                  <c:v>-1.3</c:v>
                </c:pt>
                <c:pt idx="25">
                  <c:v>5.3</c:v>
                </c:pt>
                <c:pt idx="26">
                  <c:v>-1.3</c:v>
                </c:pt>
                <c:pt idx="27">
                  <c:v>-5.3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88D-4998-9DEE-F30211370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3731104"/>
        <c:axId val="1513729024"/>
      </c:lineChart>
      <c:catAx>
        <c:axId val="1127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9664"/>
        <c:crosses val="autoZero"/>
        <c:auto val="1"/>
        <c:lblAlgn val="ctr"/>
        <c:lblOffset val="0"/>
        <c:noMultiLvlLbl val="0"/>
      </c:catAx>
      <c:valAx>
        <c:axId val="112769664"/>
        <c:scaling>
          <c:orientation val="minMax"/>
          <c:max val="28"/>
          <c:min val="-24"/>
        </c:scaling>
        <c:delete val="0"/>
        <c:axPos val="l"/>
        <c:majorGridlines>
          <c:spPr>
            <a:ln>
              <a:solidFill>
                <a:srgbClr val="BEBEBE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Příspěvky ke</a:t>
                </a:r>
                <a:r>
                  <a:rPr lang="cs-CZ" sz="700" b="0" i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změně</a:t>
                </a:r>
                <a:r>
                  <a:rPr lang="cs-CZ" sz="700" b="0" i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p</a:t>
                </a: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růmyslové</a:t>
                </a:r>
                <a:r>
                  <a:rPr lang="cs-CZ" sz="700" b="0" i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produkce</a:t>
                </a:r>
                <a:endParaRPr lang="cs-CZ" sz="700" b="0" i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0.10437166457520305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8128"/>
        <c:crosses val="autoZero"/>
        <c:crossBetween val="between"/>
        <c:majorUnit val="4"/>
      </c:valAx>
      <c:valAx>
        <c:axId val="1513729024"/>
        <c:scaling>
          <c:orientation val="minMax"/>
          <c:max val="15"/>
          <c:min val="-5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 sz="700" b="0" i="1">
                    <a:latin typeface="Arial" panose="020B0604020202020204" pitchFamily="34" charset="0"/>
                    <a:cs typeface="Arial" panose="020B0604020202020204" pitchFamily="34" charset="0"/>
                  </a:rPr>
                  <a:t>Saldo</a:t>
                </a:r>
                <a:r>
                  <a:rPr lang="cs-CZ" sz="700" b="0" i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indikátoru důvěry</a:t>
                </a:r>
                <a:endParaRPr lang="cs-CZ" sz="700" b="0" i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97073916983354047"/>
              <c:y val="0.191915607754587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513731104"/>
        <c:crosses val="max"/>
        <c:crossBetween val="between"/>
        <c:majorUnit val="5"/>
      </c:valAx>
      <c:catAx>
        <c:axId val="1513731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3729024"/>
        <c:crosses val="autoZero"/>
        <c:auto val="1"/>
        <c:lblAlgn val="ctr"/>
        <c:lblOffset val="100"/>
        <c:noMultiLvlLbl val="0"/>
      </c:catAx>
      <c:spPr>
        <a:noFill/>
        <a:ln w="6350">
          <a:solidFill>
            <a:prstClr val="black">
              <a:lumMod val="95000"/>
              <a:lumOff val="5000"/>
            </a:prstClr>
          </a:solidFill>
        </a:ln>
      </c:spPr>
    </c:plotArea>
    <c:legend>
      <c:legendPos val="r"/>
      <c:layout>
        <c:manualLayout>
          <c:xMode val="edge"/>
          <c:yMode val="edge"/>
          <c:x val="8.0033308468213122E-3"/>
          <c:y val="0.8138353190094022"/>
          <c:w val="0.98604377672533428"/>
          <c:h val="0.17565738835036337"/>
        </c:manualLayout>
      </c:layout>
      <c:overlay val="0"/>
      <c:spPr>
        <a:ln w="6350">
          <a:solidFill>
            <a:prstClr val="black">
              <a:lumMod val="95000"/>
              <a:lumOff val="5000"/>
            </a:prstClr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688042665536843E-2"/>
          <c:y val="2.1373653391166647E-2"/>
          <c:w val="0.84974974879787502"/>
          <c:h val="0.754138453023163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'výkonnost odvětví 2'!$A$31</c:f>
              <c:strCache>
                <c:ptCount val="1"/>
                <c:pt idx="0">
                  <c:v>Průmyslové zakázky 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</c:spPr>
          <c:invertIfNegative val="0"/>
          <c:cat>
            <c:multiLvlStrRef>
              <c:f>'výkonnost odvětví 2'!$R$29:$AS$30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2'!$R$31:$AS$31</c:f>
              <c:numCache>
                <c:formatCode>#\ ##0.0__</c:formatCode>
                <c:ptCount val="28"/>
                <c:pt idx="0">
                  <c:v>8.5397251010390391</c:v>
                </c:pt>
                <c:pt idx="1">
                  <c:v>6.4894834031568251</c:v>
                </c:pt>
                <c:pt idx="2">
                  <c:v>4.1045761314248068</c:v>
                </c:pt>
                <c:pt idx="3">
                  <c:v>6.0151063810169205</c:v>
                </c:pt>
                <c:pt idx="4">
                  <c:v>1.3550678522953064</c:v>
                </c:pt>
                <c:pt idx="5">
                  <c:v>10.856046878525433</c:v>
                </c:pt>
                <c:pt idx="6">
                  <c:v>1.6431282237439291</c:v>
                </c:pt>
                <c:pt idx="7">
                  <c:v>6.7220844736941103</c:v>
                </c:pt>
                <c:pt idx="8">
                  <c:v>10.841479121555906</c:v>
                </c:pt>
                <c:pt idx="9">
                  <c:v>4.5315942367003714</c:v>
                </c:pt>
                <c:pt idx="10">
                  <c:v>6.9082617878945598</c:v>
                </c:pt>
                <c:pt idx="11">
                  <c:v>7.5112613571588724</c:v>
                </c:pt>
                <c:pt idx="12">
                  <c:v>1.6339188767607453</c:v>
                </c:pt>
                <c:pt idx="13">
                  <c:v>4.6301209797549205</c:v>
                </c:pt>
                <c:pt idx="14">
                  <c:v>3.6945404784506337</c:v>
                </c:pt>
                <c:pt idx="15">
                  <c:v>4.2467023509658759</c:v>
                </c:pt>
                <c:pt idx="16">
                  <c:v>3.2159327201169816</c:v>
                </c:pt>
                <c:pt idx="17">
                  <c:v>0.65858715061426665</c:v>
                </c:pt>
                <c:pt idx="18">
                  <c:v>2.2747163836690305</c:v>
                </c:pt>
                <c:pt idx="19">
                  <c:v>-4.7832000111320241</c:v>
                </c:pt>
                <c:pt idx="20">
                  <c:v>-1.2762466132796817</c:v>
                </c:pt>
                <c:pt idx="21">
                  <c:v>-27.685678861776282</c:v>
                </c:pt>
                <c:pt idx="22">
                  <c:v>-2.0849225069869703</c:v>
                </c:pt>
                <c:pt idx="23">
                  <c:v>6.882954384462451</c:v>
                </c:pt>
                <c:pt idx="24">
                  <c:v>7.4402517572367941</c:v>
                </c:pt>
                <c:pt idx="25">
                  <c:v>50.40174917702177</c:v>
                </c:pt>
                <c:pt idx="26">
                  <c:v>6.3659902584507222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68-442F-A64C-84E2BBCF8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112768128"/>
        <c:axId val="112769664"/>
      </c:barChart>
      <c:lineChart>
        <c:grouping val="standard"/>
        <c:varyColors val="0"/>
        <c:ser>
          <c:idx val="1"/>
          <c:order val="1"/>
          <c:tx>
            <c:strRef>
              <c:f>'výkonnost odvětví 2'!$A$32</c:f>
              <c:strCache>
                <c:ptCount val="1"/>
                <c:pt idx="0">
                  <c:v>Celkové zakázky ve výrobě motor. vozidel</c:v>
                </c:pt>
              </c:strCache>
            </c:strRef>
          </c:tx>
          <c:spPr>
            <a:ln w="15875">
              <a:solidFill>
                <a:srgbClr val="984807"/>
              </a:solidFill>
              <a:prstDash val="sysDot"/>
            </a:ln>
          </c:spPr>
          <c:marker>
            <c:symbol val="diamond"/>
            <c:size val="5"/>
            <c:spPr>
              <a:solidFill>
                <a:srgbClr val="984807"/>
              </a:solidFill>
              <a:ln>
                <a:noFill/>
              </a:ln>
            </c:spPr>
          </c:marker>
          <c:cat>
            <c:multiLvlStrRef>
              <c:f>'výkonnost odvětví 2'!$R$29:$AS$30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2'!$R$32:$AS$32</c:f>
              <c:numCache>
                <c:formatCode>#\ ##0.0__</c:formatCode>
                <c:ptCount val="28"/>
                <c:pt idx="0">
                  <c:v>15.316352438277931</c:v>
                </c:pt>
                <c:pt idx="1">
                  <c:v>5.584343456517459</c:v>
                </c:pt>
                <c:pt idx="2">
                  <c:v>13.898535777390734</c:v>
                </c:pt>
                <c:pt idx="3">
                  <c:v>18.975191723154538</c:v>
                </c:pt>
                <c:pt idx="4">
                  <c:v>11.460497347422447</c:v>
                </c:pt>
                <c:pt idx="5">
                  <c:v>33.085131031292235</c:v>
                </c:pt>
                <c:pt idx="6">
                  <c:v>5.912380139380474</c:v>
                </c:pt>
                <c:pt idx="7">
                  <c:v>12.001000805244416</c:v>
                </c:pt>
                <c:pt idx="8">
                  <c:v>7.9804719471503205</c:v>
                </c:pt>
                <c:pt idx="9">
                  <c:v>-1.7592612473364966</c:v>
                </c:pt>
                <c:pt idx="10">
                  <c:v>3.8626497182263222</c:v>
                </c:pt>
                <c:pt idx="11">
                  <c:v>0.37376710568412364</c:v>
                </c:pt>
                <c:pt idx="12">
                  <c:v>0.60861960894675349</c:v>
                </c:pt>
                <c:pt idx="13">
                  <c:v>3.6675371997157811</c:v>
                </c:pt>
                <c:pt idx="14">
                  <c:v>0.69699979014031044</c:v>
                </c:pt>
                <c:pt idx="15">
                  <c:v>1.0371076901644045</c:v>
                </c:pt>
                <c:pt idx="16">
                  <c:v>2.3844519038519962</c:v>
                </c:pt>
                <c:pt idx="17">
                  <c:v>3.1505861553301884</c:v>
                </c:pt>
                <c:pt idx="18">
                  <c:v>7.8772894879504776</c:v>
                </c:pt>
                <c:pt idx="19">
                  <c:v>-0.27078960340936931</c:v>
                </c:pt>
                <c:pt idx="20">
                  <c:v>-6.5941090261626556</c:v>
                </c:pt>
                <c:pt idx="21">
                  <c:v>-43.297757603226039</c:v>
                </c:pt>
                <c:pt idx="22">
                  <c:v>3.6539438072891244</c:v>
                </c:pt>
                <c:pt idx="23">
                  <c:v>8.0597939162845336</c:v>
                </c:pt>
                <c:pt idx="24">
                  <c:v>16.785005657074436</c:v>
                </c:pt>
                <c:pt idx="25">
                  <c:v>87.046248826203396</c:v>
                </c:pt>
                <c:pt idx="26">
                  <c:v>-11.991834473061417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68-442F-A64C-84E2BBCF8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68128"/>
        <c:axId val="112769664"/>
      </c:lineChart>
      <c:lineChart>
        <c:grouping val="standard"/>
        <c:varyColors val="0"/>
        <c:ser>
          <c:idx val="2"/>
          <c:order val="2"/>
          <c:tx>
            <c:strRef>
              <c:f>'výkonnost odvětví 2'!$A$33</c:f>
              <c:strCache>
                <c:ptCount val="1"/>
                <c:pt idx="0">
                  <c:v>Využití výrobních kapacit v průmyslu</c:v>
                </c:pt>
              </c:strCache>
            </c:strRef>
          </c:tx>
          <c:spPr>
            <a:ln w="15875">
              <a:solidFill>
                <a:srgbClr val="D2CD00"/>
              </a:solidFill>
            </a:ln>
          </c:spPr>
          <c:marker>
            <c:symbol val="none"/>
          </c:marker>
          <c:cat>
            <c:multiLvlStrRef>
              <c:f>'výkonnost odvětví 2'!$R$29:$AS$30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2'!$R$33:$AS$33</c:f>
              <c:numCache>
                <c:formatCode>#\ ##0.0</c:formatCode>
                <c:ptCount val="28"/>
                <c:pt idx="0">
                  <c:v>86.2</c:v>
                </c:pt>
                <c:pt idx="1">
                  <c:v>85</c:v>
                </c:pt>
                <c:pt idx="2">
                  <c:v>85.6</c:v>
                </c:pt>
                <c:pt idx="3">
                  <c:v>83.9</c:v>
                </c:pt>
                <c:pt idx="4">
                  <c:v>84.5</c:v>
                </c:pt>
                <c:pt idx="5">
                  <c:v>84.7</c:v>
                </c:pt>
                <c:pt idx="6">
                  <c:v>84.7</c:v>
                </c:pt>
                <c:pt idx="7">
                  <c:v>84.1</c:v>
                </c:pt>
                <c:pt idx="8">
                  <c:v>84.9</c:v>
                </c:pt>
                <c:pt idx="9">
                  <c:v>83.1</c:v>
                </c:pt>
                <c:pt idx="10">
                  <c:v>84.4</c:v>
                </c:pt>
                <c:pt idx="11">
                  <c:v>84.3</c:v>
                </c:pt>
                <c:pt idx="12">
                  <c:v>85.8</c:v>
                </c:pt>
                <c:pt idx="13">
                  <c:v>85.4</c:v>
                </c:pt>
                <c:pt idx="14">
                  <c:v>86.2</c:v>
                </c:pt>
                <c:pt idx="15">
                  <c:v>85.8</c:v>
                </c:pt>
                <c:pt idx="16">
                  <c:v>85.8</c:v>
                </c:pt>
                <c:pt idx="17">
                  <c:v>85.9</c:v>
                </c:pt>
                <c:pt idx="18">
                  <c:v>84.8</c:v>
                </c:pt>
                <c:pt idx="19">
                  <c:v>84.1</c:v>
                </c:pt>
                <c:pt idx="20">
                  <c:v>84.2</c:v>
                </c:pt>
                <c:pt idx="21">
                  <c:v>71</c:v>
                </c:pt>
                <c:pt idx="22">
                  <c:v>75.5</c:v>
                </c:pt>
                <c:pt idx="23">
                  <c:v>81.099999999999994</c:v>
                </c:pt>
                <c:pt idx="24">
                  <c:v>83.4</c:v>
                </c:pt>
                <c:pt idx="25">
                  <c:v>87.5</c:v>
                </c:pt>
                <c:pt idx="26">
                  <c:v>88.1</c:v>
                </c:pt>
                <c:pt idx="27">
                  <c:v>77.3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C68-442F-A64C-84E2BBCF8801}"/>
            </c:ext>
          </c:extLst>
        </c:ser>
        <c:ser>
          <c:idx val="3"/>
          <c:order val="3"/>
          <c:tx>
            <c:strRef>
              <c:f>'výkonnost odvětví 2'!$A$34</c:f>
              <c:strCache>
                <c:ptCount val="1"/>
                <c:pt idx="0">
                  <c:v>Využití výr. kapacit v automobil. průmyslu</c:v>
                </c:pt>
              </c:strCache>
            </c:strRef>
          </c:tx>
          <c:spPr>
            <a:ln w="15875">
              <a:solidFill>
                <a:srgbClr val="D2CD00"/>
              </a:solidFill>
              <a:prstDash val="sysDash"/>
            </a:ln>
          </c:spPr>
          <c:marker>
            <c:symbol val="none"/>
          </c:marker>
          <c:cat>
            <c:multiLvlStrRef>
              <c:f>'výkonnost odvětví 2'!$R$29:$AS$30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2'!$R$34:$AS$34</c:f>
              <c:numCache>
                <c:formatCode>0.0</c:formatCode>
                <c:ptCount val="28"/>
                <c:pt idx="0">
                  <c:v>92.8</c:v>
                </c:pt>
                <c:pt idx="1">
                  <c:v>91.1</c:v>
                </c:pt>
                <c:pt idx="2">
                  <c:v>93.1</c:v>
                </c:pt>
                <c:pt idx="3">
                  <c:v>88.7</c:v>
                </c:pt>
                <c:pt idx="4">
                  <c:v>91.6</c:v>
                </c:pt>
                <c:pt idx="5">
                  <c:v>90.3</c:v>
                </c:pt>
                <c:pt idx="6">
                  <c:v>93.1</c:v>
                </c:pt>
                <c:pt idx="7">
                  <c:v>90.9</c:v>
                </c:pt>
                <c:pt idx="8">
                  <c:v>93.2</c:v>
                </c:pt>
                <c:pt idx="9">
                  <c:v>87.3</c:v>
                </c:pt>
                <c:pt idx="10">
                  <c:v>90.7</c:v>
                </c:pt>
                <c:pt idx="11">
                  <c:v>90.5</c:v>
                </c:pt>
                <c:pt idx="12">
                  <c:v>91.1</c:v>
                </c:pt>
                <c:pt idx="13">
                  <c:v>91.6</c:v>
                </c:pt>
                <c:pt idx="14">
                  <c:v>92.1</c:v>
                </c:pt>
                <c:pt idx="15">
                  <c:v>93</c:v>
                </c:pt>
                <c:pt idx="16">
                  <c:v>92.8</c:v>
                </c:pt>
                <c:pt idx="17">
                  <c:v>93.6</c:v>
                </c:pt>
                <c:pt idx="18">
                  <c:v>92.3</c:v>
                </c:pt>
                <c:pt idx="19">
                  <c:v>93.4</c:v>
                </c:pt>
                <c:pt idx="20">
                  <c:v>90.5</c:v>
                </c:pt>
                <c:pt idx="21">
                  <c:v>50.8</c:v>
                </c:pt>
                <c:pt idx="22" formatCode="General">
                  <c:v>75.3</c:v>
                </c:pt>
                <c:pt idx="23" formatCode="General">
                  <c:v>90.9</c:v>
                </c:pt>
                <c:pt idx="24" formatCode="General">
                  <c:v>90.3</c:v>
                </c:pt>
                <c:pt idx="25" formatCode="General">
                  <c:v>99.1</c:v>
                </c:pt>
                <c:pt idx="26" formatCode="General">
                  <c:v>94.7</c:v>
                </c:pt>
                <c:pt idx="27" formatCode="General">
                  <c:v>56.5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C68-442F-A64C-84E2BBCF8801}"/>
            </c:ext>
          </c:extLst>
        </c:ser>
        <c:ser>
          <c:idx val="4"/>
          <c:order val="4"/>
          <c:tx>
            <c:strRef>
              <c:f>'výkonnost odvětví 2'!$A$35</c:f>
              <c:strCache>
                <c:ptCount val="1"/>
                <c:pt idx="0">
                  <c:v>Bariéra růstu: nedostatečná poptávka</c:v>
                </c:pt>
              </c:strCache>
            </c:strRef>
          </c:tx>
          <c:spPr>
            <a:ln w="15875">
              <a:solidFill>
                <a:srgbClr val="00B050"/>
              </a:solidFill>
            </a:ln>
          </c:spPr>
          <c:marker>
            <c:symbol val="none"/>
          </c:marker>
          <c:cat>
            <c:multiLvlStrRef>
              <c:f>'výkonnost odvětví 2'!$R$29:$AS$30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2'!$R$35:$AS$35</c:f>
              <c:numCache>
                <c:formatCode>#\ ##0.0</c:formatCode>
                <c:ptCount val="28"/>
                <c:pt idx="0">
                  <c:v>43.6</c:v>
                </c:pt>
                <c:pt idx="1">
                  <c:v>49.6</c:v>
                </c:pt>
                <c:pt idx="2">
                  <c:v>47.8</c:v>
                </c:pt>
                <c:pt idx="3">
                  <c:v>47.8</c:v>
                </c:pt>
                <c:pt idx="4">
                  <c:v>45.7</c:v>
                </c:pt>
                <c:pt idx="5">
                  <c:v>45.5</c:v>
                </c:pt>
                <c:pt idx="6">
                  <c:v>43</c:v>
                </c:pt>
                <c:pt idx="7">
                  <c:v>43.8</c:v>
                </c:pt>
                <c:pt idx="8">
                  <c:v>42.7</c:v>
                </c:pt>
                <c:pt idx="9">
                  <c:v>41.6</c:v>
                </c:pt>
                <c:pt idx="10">
                  <c:v>40.299999999999997</c:v>
                </c:pt>
                <c:pt idx="11">
                  <c:v>37.299999999999997</c:v>
                </c:pt>
                <c:pt idx="12">
                  <c:v>35.4</c:v>
                </c:pt>
                <c:pt idx="13">
                  <c:v>36</c:v>
                </c:pt>
                <c:pt idx="14">
                  <c:v>31.6</c:v>
                </c:pt>
                <c:pt idx="15">
                  <c:v>33.4</c:v>
                </c:pt>
                <c:pt idx="16">
                  <c:v>33.700000000000003</c:v>
                </c:pt>
                <c:pt idx="17">
                  <c:v>35.299999999999997</c:v>
                </c:pt>
                <c:pt idx="18">
                  <c:v>40.1</c:v>
                </c:pt>
                <c:pt idx="19">
                  <c:v>47.3</c:v>
                </c:pt>
                <c:pt idx="20">
                  <c:v>50.4</c:v>
                </c:pt>
                <c:pt idx="21">
                  <c:v>58.4</c:v>
                </c:pt>
                <c:pt idx="22">
                  <c:v>63.2</c:v>
                </c:pt>
                <c:pt idx="23">
                  <c:v>47.9</c:v>
                </c:pt>
                <c:pt idx="24">
                  <c:v>48.7</c:v>
                </c:pt>
                <c:pt idx="25">
                  <c:v>38.5</c:v>
                </c:pt>
                <c:pt idx="26">
                  <c:v>24.5</c:v>
                </c:pt>
                <c:pt idx="27">
                  <c:v>28.2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C68-442F-A64C-84E2BBCF8801}"/>
            </c:ext>
          </c:extLst>
        </c:ser>
        <c:ser>
          <c:idx val="5"/>
          <c:order val="5"/>
          <c:tx>
            <c:strRef>
              <c:f>'výkonnost odvětví 2'!$A$36</c:f>
              <c:strCache>
                <c:ptCount val="1"/>
                <c:pt idx="0">
                  <c:v>Bariéra růstu: nedostatek pracovníků</c:v>
                </c:pt>
              </c:strCache>
            </c:strRef>
          </c:tx>
          <c:spPr>
            <a:ln w="15875">
              <a:solidFill>
                <a:srgbClr val="00B050"/>
              </a:solidFill>
              <a:prstDash val="dash"/>
            </a:ln>
          </c:spPr>
          <c:marker>
            <c:symbol val="none"/>
          </c:marker>
          <c:cat>
            <c:multiLvlStrRef>
              <c:f>'výkonnost odvětví 2'!$R$29:$AS$30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2'!$R$36:$AS$36</c:f>
              <c:numCache>
                <c:formatCode>#\ ##0.0</c:formatCode>
                <c:ptCount val="28"/>
                <c:pt idx="0">
                  <c:v>6.7</c:v>
                </c:pt>
                <c:pt idx="1">
                  <c:v>6.9</c:v>
                </c:pt>
                <c:pt idx="2">
                  <c:v>8.1</c:v>
                </c:pt>
                <c:pt idx="3">
                  <c:v>13.9</c:v>
                </c:pt>
                <c:pt idx="4">
                  <c:v>15.4</c:v>
                </c:pt>
                <c:pt idx="5">
                  <c:v>16.899999999999999</c:v>
                </c:pt>
                <c:pt idx="6">
                  <c:v>18.8</c:v>
                </c:pt>
                <c:pt idx="7">
                  <c:v>28.8</c:v>
                </c:pt>
                <c:pt idx="8">
                  <c:v>32.799999999999997</c:v>
                </c:pt>
                <c:pt idx="9">
                  <c:v>34.700000000000003</c:v>
                </c:pt>
                <c:pt idx="10">
                  <c:v>41.3</c:v>
                </c:pt>
                <c:pt idx="11">
                  <c:v>38.299999999999997</c:v>
                </c:pt>
                <c:pt idx="12">
                  <c:v>43.4</c:v>
                </c:pt>
                <c:pt idx="13">
                  <c:v>43.7</c:v>
                </c:pt>
                <c:pt idx="14">
                  <c:v>43.7</c:v>
                </c:pt>
                <c:pt idx="15">
                  <c:v>44.8</c:v>
                </c:pt>
                <c:pt idx="16">
                  <c:v>38.799999999999997</c:v>
                </c:pt>
                <c:pt idx="17">
                  <c:v>36.4</c:v>
                </c:pt>
                <c:pt idx="18">
                  <c:v>39.5</c:v>
                </c:pt>
                <c:pt idx="19">
                  <c:v>37.200000000000003</c:v>
                </c:pt>
                <c:pt idx="20">
                  <c:v>28.2</c:v>
                </c:pt>
                <c:pt idx="21">
                  <c:v>16.600000000000001</c:v>
                </c:pt>
                <c:pt idx="22">
                  <c:v>15.1</c:v>
                </c:pt>
                <c:pt idx="23">
                  <c:v>13.7</c:v>
                </c:pt>
                <c:pt idx="24">
                  <c:v>20.3</c:v>
                </c:pt>
                <c:pt idx="25">
                  <c:v>21.5</c:v>
                </c:pt>
                <c:pt idx="26">
                  <c:v>26.2</c:v>
                </c:pt>
                <c:pt idx="27">
                  <c:v>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C68-442F-A64C-84E2BBCF8801}"/>
            </c:ext>
          </c:extLst>
        </c:ser>
        <c:ser>
          <c:idx val="6"/>
          <c:order val="6"/>
          <c:tx>
            <c:strRef>
              <c:f>'výkonnost odvětví 2'!$A$37</c:f>
              <c:strCache>
                <c:ptCount val="1"/>
                <c:pt idx="0">
                  <c:v>Bariéra růstu: nedost. materiálu a zařízení</c:v>
                </c:pt>
              </c:strCache>
            </c:strRef>
          </c:tx>
          <c:spPr>
            <a:ln w="15875">
              <a:solidFill>
                <a:srgbClr val="92D050"/>
              </a:solidFill>
              <a:prstDash val="sysDash"/>
            </a:ln>
          </c:spPr>
          <c:marker>
            <c:symbol val="none"/>
          </c:marker>
          <c:cat>
            <c:multiLvlStrRef>
              <c:f>'výkonnost odvětví 2'!$R$29:$AS$30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2'!$R$37:$AS$37</c:f>
              <c:numCache>
                <c:formatCode>#\ ##0.0</c:formatCode>
                <c:ptCount val="28"/>
                <c:pt idx="0">
                  <c:v>7.8</c:v>
                </c:pt>
                <c:pt idx="1">
                  <c:v>10.1</c:v>
                </c:pt>
                <c:pt idx="2">
                  <c:v>10.5</c:v>
                </c:pt>
                <c:pt idx="3">
                  <c:v>10</c:v>
                </c:pt>
                <c:pt idx="4">
                  <c:v>11.1</c:v>
                </c:pt>
                <c:pt idx="5">
                  <c:v>7.1</c:v>
                </c:pt>
                <c:pt idx="6">
                  <c:v>8.5</c:v>
                </c:pt>
                <c:pt idx="7">
                  <c:v>7.8</c:v>
                </c:pt>
                <c:pt idx="8">
                  <c:v>9.9</c:v>
                </c:pt>
                <c:pt idx="9">
                  <c:v>7.8</c:v>
                </c:pt>
                <c:pt idx="10">
                  <c:v>10</c:v>
                </c:pt>
                <c:pt idx="11">
                  <c:v>20.8</c:v>
                </c:pt>
                <c:pt idx="12">
                  <c:v>13.9</c:v>
                </c:pt>
                <c:pt idx="13">
                  <c:v>12.8</c:v>
                </c:pt>
                <c:pt idx="14">
                  <c:v>14.1</c:v>
                </c:pt>
                <c:pt idx="15">
                  <c:v>20</c:v>
                </c:pt>
                <c:pt idx="16">
                  <c:v>27.1</c:v>
                </c:pt>
                <c:pt idx="17">
                  <c:v>26.8</c:v>
                </c:pt>
                <c:pt idx="18">
                  <c:v>23.8</c:v>
                </c:pt>
                <c:pt idx="19">
                  <c:v>9.4</c:v>
                </c:pt>
                <c:pt idx="20">
                  <c:v>17.399999999999999</c:v>
                </c:pt>
                <c:pt idx="21">
                  <c:v>11.5</c:v>
                </c:pt>
                <c:pt idx="22">
                  <c:v>7.6</c:v>
                </c:pt>
                <c:pt idx="23">
                  <c:v>8.6</c:v>
                </c:pt>
                <c:pt idx="24">
                  <c:v>19</c:v>
                </c:pt>
                <c:pt idx="25">
                  <c:v>31.2</c:v>
                </c:pt>
                <c:pt idx="26">
                  <c:v>46</c:v>
                </c:pt>
                <c:pt idx="27">
                  <c:v>44.1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9C68-442F-A64C-84E2BBCF8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9819375"/>
        <c:axId val="1239826863"/>
      </c:lineChart>
      <c:catAx>
        <c:axId val="1127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112769664"/>
        <c:crosses val="autoZero"/>
        <c:auto val="1"/>
        <c:lblAlgn val="ctr"/>
        <c:lblOffset val="0"/>
        <c:noMultiLvlLbl val="0"/>
      </c:catAx>
      <c:valAx>
        <c:axId val="112769664"/>
        <c:scaling>
          <c:orientation val="minMax"/>
          <c:max val="90"/>
          <c:min val="-50"/>
        </c:scaling>
        <c:delete val="0"/>
        <c:axPos val="l"/>
        <c:majorGridlines>
          <c:spPr>
            <a:ln>
              <a:solidFill>
                <a:srgbClr val="BEBEBE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Zakázky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crossAx val="112768128"/>
        <c:crosses val="autoZero"/>
        <c:crossBetween val="between"/>
        <c:majorUnit val="10"/>
      </c:valAx>
      <c:valAx>
        <c:axId val="1239826863"/>
        <c:scaling>
          <c:orientation val="minMax"/>
          <c:max val="10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Využití výrobních kapacit, bariéry růstu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1239819375"/>
        <c:crosses val="max"/>
        <c:crossBetween val="between"/>
        <c:majorUnit val="10"/>
      </c:valAx>
      <c:catAx>
        <c:axId val="123981937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39826863"/>
        <c:crosses val="autoZero"/>
        <c:auto val="1"/>
        <c:lblAlgn val="ctr"/>
        <c:lblOffset val="100"/>
        <c:noMultiLvlLbl val="0"/>
      </c:catAx>
      <c:spPr>
        <a:noFill/>
        <a:ln w="6350">
          <a:solidFill>
            <a:prstClr val="black">
              <a:lumMod val="95000"/>
              <a:lumOff val="5000"/>
            </a:prstClr>
          </a:solidFill>
        </a:ln>
      </c:spPr>
    </c:plotArea>
    <c:legend>
      <c:legendPos val="r"/>
      <c:layout>
        <c:manualLayout>
          <c:xMode val="edge"/>
          <c:yMode val="edge"/>
          <c:x val="2.7314272288425441E-3"/>
          <c:y val="0.86637178221057443"/>
          <c:w val="0.98145286191722114"/>
          <c:h val="0.11961849426911302"/>
        </c:manualLayout>
      </c:layout>
      <c:overlay val="0"/>
      <c:spPr>
        <a:ln w="6350">
          <a:solidFill>
            <a:prstClr val="black">
              <a:lumMod val="95000"/>
              <a:lumOff val="5000"/>
            </a:prstClr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688042665536843E-2"/>
          <c:y val="2.1373653391166647E-2"/>
          <c:w val="0.83920590187534483"/>
          <c:h val="0.74363116038292876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'výkonnost odvětví 3'!$Y$10</c:f>
              <c:strCache>
                <c:ptCount val="1"/>
                <c:pt idx="0">
                  <c:v>Pozemní stavitelství (příspěvek v p. b.)</c:v>
                </c:pt>
              </c:strCache>
            </c:strRef>
          </c:tx>
          <c:spPr>
            <a:solidFill>
              <a:srgbClr val="A6CDE9"/>
            </a:solidFill>
            <a:ln>
              <a:noFill/>
            </a:ln>
          </c:spPr>
          <c:invertIfNegative val="0"/>
          <c:cat>
            <c:multiLvlStrRef>
              <c:f>'výkonnost odvětví 3'!$V$31:$W$58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3'!$Y$31:$Y$58</c:f>
              <c:numCache>
                <c:formatCode>0.0</c:formatCode>
                <c:ptCount val="28"/>
                <c:pt idx="0">
                  <c:v>6.0438011627933257</c:v>
                </c:pt>
                <c:pt idx="1">
                  <c:v>5.0356622799128079</c:v>
                </c:pt>
                <c:pt idx="2">
                  <c:v>0.80656870796078717</c:v>
                </c:pt>
                <c:pt idx="3">
                  <c:v>-1.7530610153732784</c:v>
                </c:pt>
                <c:pt idx="4">
                  <c:v>-4.9863707587553465</c:v>
                </c:pt>
                <c:pt idx="5">
                  <c:v>-4.9489219845547545</c:v>
                </c:pt>
                <c:pt idx="6">
                  <c:v>0.77781043047937015</c:v>
                </c:pt>
                <c:pt idx="7">
                  <c:v>3.9334023726571377</c:v>
                </c:pt>
                <c:pt idx="8">
                  <c:v>2.3355494800154823</c:v>
                </c:pt>
                <c:pt idx="9">
                  <c:v>9.8981683491933889</c:v>
                </c:pt>
                <c:pt idx="10">
                  <c:v>3.4099563953763048</c:v>
                </c:pt>
                <c:pt idx="11">
                  <c:v>2.6459437051818959</c:v>
                </c:pt>
                <c:pt idx="12">
                  <c:v>13.590414271081219</c:v>
                </c:pt>
                <c:pt idx="13">
                  <c:v>6.2954934631771122</c:v>
                </c:pt>
                <c:pt idx="14">
                  <c:v>7.6962445638269879</c:v>
                </c:pt>
                <c:pt idx="15">
                  <c:v>2.4840661147145888</c:v>
                </c:pt>
                <c:pt idx="16">
                  <c:v>2.900227578642244</c:v>
                </c:pt>
                <c:pt idx="17">
                  <c:v>2.424682202156113</c:v>
                </c:pt>
                <c:pt idx="18">
                  <c:v>-0.69225211416254095</c:v>
                </c:pt>
                <c:pt idx="19">
                  <c:v>2.4250704608509541</c:v>
                </c:pt>
                <c:pt idx="20">
                  <c:v>-0.34974345948927882</c:v>
                </c:pt>
                <c:pt idx="21">
                  <c:v>-7.4201269875959186</c:v>
                </c:pt>
                <c:pt idx="22">
                  <c:v>-7.1660053785572817</c:v>
                </c:pt>
                <c:pt idx="23">
                  <c:v>-8.6173078224473105</c:v>
                </c:pt>
                <c:pt idx="24">
                  <c:v>-5.4817105156454513</c:v>
                </c:pt>
                <c:pt idx="25">
                  <c:v>0.95945333268849331</c:v>
                </c:pt>
                <c:pt idx="26">
                  <c:v>1.3227458482577443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88-43E9-B75A-73A1626951D9}"/>
            </c:ext>
          </c:extLst>
        </c:ser>
        <c:ser>
          <c:idx val="2"/>
          <c:order val="2"/>
          <c:tx>
            <c:strRef>
              <c:f>'výkonnost odvětví 3'!$Z$10</c:f>
              <c:strCache>
                <c:ptCount val="1"/>
                <c:pt idx="0">
                  <c:v>Inženýrské stavitelství (příspěvek v p. b.)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invertIfNegative val="0"/>
          <c:cat>
            <c:multiLvlStrRef>
              <c:f>'výkonnost odvětví 3'!$V$31:$W$58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3'!$Z$31:$Z$58</c:f>
              <c:numCache>
                <c:formatCode>0.0</c:formatCode>
                <c:ptCount val="28"/>
                <c:pt idx="0">
                  <c:v>3.2371982553782952</c:v>
                </c:pt>
                <c:pt idx="1">
                  <c:v>7.2133749627227104</c:v>
                </c:pt>
                <c:pt idx="2">
                  <c:v>7.3964446179041925</c:v>
                </c:pt>
                <c:pt idx="3">
                  <c:v>2.8551906483182501</c:v>
                </c:pt>
                <c:pt idx="4">
                  <c:v>-1.2749117653997506</c:v>
                </c:pt>
                <c:pt idx="5">
                  <c:v>-5.4146008156091519</c:v>
                </c:pt>
                <c:pt idx="6">
                  <c:v>-7.0616377604553673</c:v>
                </c:pt>
                <c:pt idx="7">
                  <c:v>-5.9113683821217888</c:v>
                </c:pt>
                <c:pt idx="8">
                  <c:v>-3.3925904099907536</c:v>
                </c:pt>
                <c:pt idx="9">
                  <c:v>-1.1991401128015102</c:v>
                </c:pt>
                <c:pt idx="10">
                  <c:v>-1.5293006672350611</c:v>
                </c:pt>
                <c:pt idx="11">
                  <c:v>0.24907951935880857</c:v>
                </c:pt>
                <c:pt idx="12">
                  <c:v>1.7516097286696628</c:v>
                </c:pt>
                <c:pt idx="13">
                  <c:v>1.2046564754791684</c:v>
                </c:pt>
                <c:pt idx="14">
                  <c:v>4.715270627039903</c:v>
                </c:pt>
                <c:pt idx="15">
                  <c:v>1.8993781622287222</c:v>
                </c:pt>
                <c:pt idx="16">
                  <c:v>0.73586367450577694</c:v>
                </c:pt>
                <c:pt idx="17">
                  <c:v>1.8713141490002672</c:v>
                </c:pt>
                <c:pt idx="18">
                  <c:v>0.75630969709864526</c:v>
                </c:pt>
                <c:pt idx="19">
                  <c:v>0.84442201723579546</c:v>
                </c:pt>
                <c:pt idx="20">
                  <c:v>3.2043103221640221</c:v>
                </c:pt>
                <c:pt idx="21">
                  <c:v>1.2156875713914082</c:v>
                </c:pt>
                <c:pt idx="22">
                  <c:v>-1.872550309741204</c:v>
                </c:pt>
                <c:pt idx="23">
                  <c:v>0.34457657179992612</c:v>
                </c:pt>
                <c:pt idx="24">
                  <c:v>-1.6230621842041278E-2</c:v>
                </c:pt>
                <c:pt idx="25">
                  <c:v>1.491267425774895</c:v>
                </c:pt>
                <c:pt idx="26">
                  <c:v>0.3613882729567976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88-43E9-B75A-73A1626951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112768128"/>
        <c:axId val="112769664"/>
      </c:barChart>
      <c:lineChart>
        <c:grouping val="standard"/>
        <c:varyColors val="0"/>
        <c:ser>
          <c:idx val="0"/>
          <c:order val="0"/>
          <c:tx>
            <c:strRef>
              <c:f>'výkonnost odvětví 3'!$X$10</c:f>
              <c:strCache>
                <c:ptCount val="1"/>
                <c:pt idx="0">
                  <c:v>Celková stavební produkce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5"/>
            <c:spPr>
              <a:solidFill>
                <a:schemeClr val="bg1"/>
              </a:solidFill>
              <a:ln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multiLvlStrRef>
              <c:f>'výkonnost odvětví 3'!$V$31:$W$58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3'!$X$31:$X$58</c:f>
              <c:numCache>
                <c:formatCode>0.0</c:formatCode>
                <c:ptCount val="28"/>
                <c:pt idx="0">
                  <c:v>9.1981967852436952</c:v>
                </c:pt>
                <c:pt idx="1">
                  <c:v>11.979231310332167</c:v>
                </c:pt>
                <c:pt idx="2">
                  <c:v>7.8436914411975209</c:v>
                </c:pt>
                <c:pt idx="3">
                  <c:v>0.93908945473563676</c:v>
                </c:pt>
                <c:pt idx="4">
                  <c:v>-6.2720367886960844</c:v>
                </c:pt>
                <c:pt idx="5">
                  <c:v>-10.217948961775832</c:v>
                </c:pt>
                <c:pt idx="6">
                  <c:v>-5.9128837473306675</c:v>
                </c:pt>
                <c:pt idx="7">
                  <c:v>-1.6490741350538372</c:v>
                </c:pt>
                <c:pt idx="8">
                  <c:v>-0.83027989407798941</c:v>
                </c:pt>
                <c:pt idx="9">
                  <c:v>8.9828989719573684</c:v>
                </c:pt>
                <c:pt idx="10">
                  <c:v>2.0528855981855969</c:v>
                </c:pt>
                <c:pt idx="11">
                  <c:v>2.9386011856891798</c:v>
                </c:pt>
                <c:pt idx="12">
                  <c:v>15.340547140094742</c:v>
                </c:pt>
                <c:pt idx="13">
                  <c:v>7.5004661645166948</c:v>
                </c:pt>
                <c:pt idx="14">
                  <c:v>12.407061564722397</c:v>
                </c:pt>
                <c:pt idx="15">
                  <c:v>4.3091988287667675</c:v>
                </c:pt>
                <c:pt idx="16">
                  <c:v>3.6357272269666794</c:v>
                </c:pt>
                <c:pt idx="17">
                  <c:v>4.2974086914997685</c:v>
                </c:pt>
                <c:pt idx="18">
                  <c:v>6.5097503135746138E-2</c:v>
                </c:pt>
                <c:pt idx="19">
                  <c:v>3.2695168456974244</c:v>
                </c:pt>
                <c:pt idx="20">
                  <c:v>2.8543582435972752</c:v>
                </c:pt>
                <c:pt idx="21">
                  <c:v>-6.203541602247185</c:v>
                </c:pt>
                <c:pt idx="22">
                  <c:v>-9.0398619470592791</c:v>
                </c:pt>
                <c:pt idx="23">
                  <c:v>-8.2742434534941793</c:v>
                </c:pt>
                <c:pt idx="24">
                  <c:v>-5.4974792389888165</c:v>
                </c:pt>
                <c:pt idx="25">
                  <c:v>2.4517602667422551</c:v>
                </c:pt>
                <c:pt idx="26">
                  <c:v>1.6765239276366799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A88-43E9-B75A-73A1626951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68128"/>
        <c:axId val="112769664"/>
      </c:lineChart>
      <c:lineChart>
        <c:grouping val="standard"/>
        <c:varyColors val="0"/>
        <c:ser>
          <c:idx val="3"/>
          <c:order val="3"/>
          <c:tx>
            <c:strRef>
              <c:f>'výkonnost odvětví 3'!$AA$10</c:f>
              <c:strCache>
                <c:ptCount val="1"/>
                <c:pt idx="0">
                  <c:v>Nové stavební zakázky v tuzemsku</c:v>
                </c:pt>
              </c:strCache>
            </c:strRef>
          </c:tx>
          <c:spPr>
            <a:ln w="15875">
              <a:solidFill>
                <a:srgbClr val="984807"/>
              </a:solidFill>
            </a:ln>
          </c:spPr>
          <c:marker>
            <c:symbol val="none"/>
          </c:marker>
          <c:cat>
            <c:multiLvlStrRef>
              <c:f>'výkonnost odvětví 3'!$V$31:$W$58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3'!$AA$31:$AA$58</c:f>
              <c:numCache>
                <c:formatCode>0.0</c:formatCode>
                <c:ptCount val="28"/>
                <c:pt idx="0">
                  <c:v>-3.1547956675580053</c:v>
                </c:pt>
                <c:pt idx="1">
                  <c:v>9.7504961091663205</c:v>
                </c:pt>
                <c:pt idx="2">
                  <c:v>-1.097606022761255</c:v>
                </c:pt>
                <c:pt idx="3">
                  <c:v>-2.3987783410040464</c:v>
                </c:pt>
                <c:pt idx="4">
                  <c:v>-6.6406358945753823</c:v>
                </c:pt>
                <c:pt idx="5">
                  <c:v>-0.49977652269311079</c:v>
                </c:pt>
                <c:pt idx="6">
                  <c:v>-7.0322087253454839</c:v>
                </c:pt>
                <c:pt idx="7">
                  <c:v>10.122126124559955</c:v>
                </c:pt>
                <c:pt idx="8">
                  <c:v>16.177217458847437</c:v>
                </c:pt>
                <c:pt idx="9">
                  <c:v>9.5350878984013008</c:v>
                </c:pt>
                <c:pt idx="10">
                  <c:v>-1.2817324431350698</c:v>
                </c:pt>
                <c:pt idx="11">
                  <c:v>15.620806693503823</c:v>
                </c:pt>
                <c:pt idx="12">
                  <c:v>30.10697387368856</c:v>
                </c:pt>
                <c:pt idx="13">
                  <c:v>32.836878110611963</c:v>
                </c:pt>
                <c:pt idx="14">
                  <c:v>5.2768249907951201</c:v>
                </c:pt>
                <c:pt idx="15">
                  <c:v>1.8944565811032277</c:v>
                </c:pt>
                <c:pt idx="16">
                  <c:v>14.157245632065781</c:v>
                </c:pt>
                <c:pt idx="17">
                  <c:v>-9.3849543241233135</c:v>
                </c:pt>
                <c:pt idx="18">
                  <c:v>17.407871000993993</c:v>
                </c:pt>
                <c:pt idx="19">
                  <c:v>5.8323004254463768</c:v>
                </c:pt>
                <c:pt idx="20">
                  <c:v>-12.441635069859245</c:v>
                </c:pt>
                <c:pt idx="21">
                  <c:v>7.497345722028669</c:v>
                </c:pt>
                <c:pt idx="22">
                  <c:v>2.0599736606932879</c:v>
                </c:pt>
                <c:pt idx="23">
                  <c:v>7.5507850088630164</c:v>
                </c:pt>
                <c:pt idx="24">
                  <c:v>28.188227371706034</c:v>
                </c:pt>
                <c:pt idx="25">
                  <c:v>21.356647205514562</c:v>
                </c:pt>
                <c:pt idx="26">
                  <c:v>10.238212063911533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A88-43E9-B75A-73A1626951D9}"/>
            </c:ext>
          </c:extLst>
        </c:ser>
        <c:ser>
          <c:idx val="4"/>
          <c:order val="4"/>
          <c:tx>
            <c:strRef>
              <c:f>'výkonnost odvětví 3'!$AB$10</c:f>
              <c:strCache>
                <c:ptCount val="1"/>
                <c:pt idx="0">
                  <c:v>Bariéra růstu: nedostatečná poptávka</c:v>
                </c:pt>
              </c:strCache>
            </c:strRef>
          </c:tx>
          <c:spPr>
            <a:ln w="15875">
              <a:solidFill>
                <a:srgbClr val="00B050"/>
              </a:solidFill>
            </a:ln>
          </c:spPr>
          <c:marker>
            <c:symbol val="none"/>
          </c:marker>
          <c:cat>
            <c:multiLvlStrRef>
              <c:f>'výkonnost odvětví 3'!$V$31:$W$58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3'!$AB$31:$AB$58</c:f>
              <c:numCache>
                <c:formatCode>#\ ##0.0</c:formatCode>
                <c:ptCount val="28"/>
                <c:pt idx="0">
                  <c:v>65.8</c:v>
                </c:pt>
                <c:pt idx="1">
                  <c:v>60.4</c:v>
                </c:pt>
                <c:pt idx="2">
                  <c:v>58.9</c:v>
                </c:pt>
                <c:pt idx="3">
                  <c:v>57.6</c:v>
                </c:pt>
                <c:pt idx="4">
                  <c:v>54.5</c:v>
                </c:pt>
                <c:pt idx="5">
                  <c:v>61.1</c:v>
                </c:pt>
                <c:pt idx="6">
                  <c:v>60.4</c:v>
                </c:pt>
                <c:pt idx="7">
                  <c:v>57</c:v>
                </c:pt>
                <c:pt idx="8">
                  <c:v>53.9</c:v>
                </c:pt>
                <c:pt idx="9">
                  <c:v>54.3</c:v>
                </c:pt>
                <c:pt idx="10">
                  <c:v>50</c:v>
                </c:pt>
                <c:pt idx="11">
                  <c:v>48.3</c:v>
                </c:pt>
                <c:pt idx="12">
                  <c:v>40.299999999999997</c:v>
                </c:pt>
                <c:pt idx="13">
                  <c:v>38.200000000000003</c:v>
                </c:pt>
                <c:pt idx="14">
                  <c:v>33.4</c:v>
                </c:pt>
                <c:pt idx="15">
                  <c:v>24.1</c:v>
                </c:pt>
                <c:pt idx="16">
                  <c:v>25.4</c:v>
                </c:pt>
                <c:pt idx="17">
                  <c:v>23.3</c:v>
                </c:pt>
                <c:pt idx="18">
                  <c:v>17.899999999999999</c:v>
                </c:pt>
                <c:pt idx="19">
                  <c:v>20.9</c:v>
                </c:pt>
                <c:pt idx="20">
                  <c:v>30.3</c:v>
                </c:pt>
                <c:pt idx="21">
                  <c:v>29.3</c:v>
                </c:pt>
                <c:pt idx="22">
                  <c:v>38.799999999999997</c:v>
                </c:pt>
                <c:pt idx="23" formatCode="General">
                  <c:v>41.2</c:v>
                </c:pt>
                <c:pt idx="24">
                  <c:v>31.3</c:v>
                </c:pt>
                <c:pt idx="25">
                  <c:v>34.200000000000003</c:v>
                </c:pt>
                <c:pt idx="26">
                  <c:v>23.8</c:v>
                </c:pt>
                <c:pt idx="27">
                  <c:v>20.5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A88-43E9-B75A-73A1626951D9}"/>
            </c:ext>
          </c:extLst>
        </c:ser>
        <c:ser>
          <c:idx val="5"/>
          <c:order val="5"/>
          <c:tx>
            <c:strRef>
              <c:f>'výkonnost odvětví 3'!$AC$10</c:f>
              <c:strCache>
                <c:ptCount val="1"/>
                <c:pt idx="0">
                  <c:v>Bariéra růstu: nedostatek pracovníků</c:v>
                </c:pt>
              </c:strCache>
            </c:strRef>
          </c:tx>
          <c:spPr>
            <a:ln w="15875">
              <a:solidFill>
                <a:srgbClr val="00B050"/>
              </a:solidFill>
              <a:prstDash val="sysDash"/>
            </a:ln>
          </c:spPr>
          <c:marker>
            <c:symbol val="none"/>
          </c:marker>
          <c:cat>
            <c:multiLvlStrRef>
              <c:f>'výkonnost odvětví 3'!$V$31:$W$58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3'!$AC$31:$AC$58</c:f>
              <c:numCache>
                <c:formatCode>#\ ##0.0</c:formatCode>
                <c:ptCount val="28"/>
                <c:pt idx="0">
                  <c:v>6.8</c:v>
                </c:pt>
                <c:pt idx="1">
                  <c:v>7.9</c:v>
                </c:pt>
                <c:pt idx="2">
                  <c:v>7.2</c:v>
                </c:pt>
                <c:pt idx="3">
                  <c:v>7</c:v>
                </c:pt>
                <c:pt idx="4">
                  <c:v>5.8</c:v>
                </c:pt>
                <c:pt idx="5">
                  <c:v>6.7</c:v>
                </c:pt>
                <c:pt idx="6">
                  <c:v>7.8</c:v>
                </c:pt>
                <c:pt idx="7">
                  <c:v>10.7</c:v>
                </c:pt>
                <c:pt idx="8">
                  <c:v>11.5</c:v>
                </c:pt>
                <c:pt idx="9">
                  <c:v>14</c:v>
                </c:pt>
                <c:pt idx="10">
                  <c:v>22.7</c:v>
                </c:pt>
                <c:pt idx="11">
                  <c:v>23.1</c:v>
                </c:pt>
                <c:pt idx="12">
                  <c:v>23.5</c:v>
                </c:pt>
                <c:pt idx="13">
                  <c:v>29.3</c:v>
                </c:pt>
                <c:pt idx="14">
                  <c:v>30.4</c:v>
                </c:pt>
                <c:pt idx="15">
                  <c:v>40.799999999999997</c:v>
                </c:pt>
                <c:pt idx="16">
                  <c:v>34.299999999999997</c:v>
                </c:pt>
                <c:pt idx="17">
                  <c:v>43</c:v>
                </c:pt>
                <c:pt idx="18">
                  <c:v>55</c:v>
                </c:pt>
                <c:pt idx="19">
                  <c:v>49.7</c:v>
                </c:pt>
                <c:pt idx="20">
                  <c:v>50</c:v>
                </c:pt>
                <c:pt idx="21">
                  <c:v>46.3</c:v>
                </c:pt>
                <c:pt idx="22">
                  <c:v>38.200000000000003</c:v>
                </c:pt>
                <c:pt idx="23" formatCode="0.0">
                  <c:v>34</c:v>
                </c:pt>
                <c:pt idx="24">
                  <c:v>43.6</c:v>
                </c:pt>
                <c:pt idx="25">
                  <c:v>32</c:v>
                </c:pt>
                <c:pt idx="26">
                  <c:v>42.6</c:v>
                </c:pt>
                <c:pt idx="27">
                  <c:v>45.2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A88-43E9-B75A-73A1626951D9}"/>
            </c:ext>
          </c:extLst>
        </c:ser>
        <c:ser>
          <c:idx val="6"/>
          <c:order val="6"/>
          <c:tx>
            <c:strRef>
              <c:f>'výkonnost odvětví 3'!$AD$10</c:f>
              <c:strCache>
                <c:ptCount val="1"/>
                <c:pt idx="0">
                  <c:v>Saldo indikátoru důvěry ve stavebnictví</c:v>
                </c:pt>
              </c:strCache>
            </c:strRef>
          </c:tx>
          <c:spPr>
            <a:ln w="12700">
              <a:prstDash val="sysDot"/>
            </a:ln>
          </c:spPr>
          <c:marker>
            <c:symbol val="circle"/>
            <c:size val="5"/>
            <c:spPr>
              <a:solidFill>
                <a:srgbClr val="FFFF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cat>
            <c:multiLvlStrRef>
              <c:f>'výkonnost odvětví 3'!$V$31:$W$58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'výkonnost odvětví 3'!$AD$31:$AD$58</c:f>
              <c:numCache>
                <c:formatCode>0.0</c:formatCode>
                <c:ptCount val="28"/>
                <c:pt idx="0">
                  <c:v>-21</c:v>
                </c:pt>
                <c:pt idx="1">
                  <c:v>-16</c:v>
                </c:pt>
                <c:pt idx="2">
                  <c:v>-20</c:v>
                </c:pt>
                <c:pt idx="3">
                  <c:v>-14.5</c:v>
                </c:pt>
                <c:pt idx="4">
                  <c:v>-14.5</c:v>
                </c:pt>
                <c:pt idx="5">
                  <c:v>-25.5</c:v>
                </c:pt>
                <c:pt idx="6">
                  <c:v>-24.5</c:v>
                </c:pt>
                <c:pt idx="7">
                  <c:v>-23</c:v>
                </c:pt>
                <c:pt idx="8">
                  <c:v>-22.5</c:v>
                </c:pt>
                <c:pt idx="9">
                  <c:v>-24.5</c:v>
                </c:pt>
                <c:pt idx="10">
                  <c:v>-18.5</c:v>
                </c:pt>
                <c:pt idx="11">
                  <c:v>-15</c:v>
                </c:pt>
                <c:pt idx="12">
                  <c:v>-9</c:v>
                </c:pt>
                <c:pt idx="13">
                  <c:v>-6</c:v>
                </c:pt>
                <c:pt idx="14">
                  <c:v>-2</c:v>
                </c:pt>
                <c:pt idx="15">
                  <c:v>1</c:v>
                </c:pt>
                <c:pt idx="16">
                  <c:v>3.5</c:v>
                </c:pt>
                <c:pt idx="17">
                  <c:v>4</c:v>
                </c:pt>
                <c:pt idx="18">
                  <c:v>-1</c:v>
                </c:pt>
                <c:pt idx="19">
                  <c:v>1</c:v>
                </c:pt>
                <c:pt idx="20">
                  <c:v>-3</c:v>
                </c:pt>
                <c:pt idx="21">
                  <c:v>-15</c:v>
                </c:pt>
                <c:pt idx="22">
                  <c:v>-13</c:v>
                </c:pt>
                <c:pt idx="23">
                  <c:v>-11.5</c:v>
                </c:pt>
                <c:pt idx="24">
                  <c:v>-6</c:v>
                </c:pt>
                <c:pt idx="25">
                  <c:v>-5.5</c:v>
                </c:pt>
                <c:pt idx="26">
                  <c:v>-4.5</c:v>
                </c:pt>
                <c:pt idx="27">
                  <c:v>-6.5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A88-43E9-B75A-73A1626951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8074639"/>
        <c:axId val="1118080463"/>
      </c:lineChart>
      <c:catAx>
        <c:axId val="11276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9664"/>
        <c:crosses val="autoZero"/>
        <c:auto val="1"/>
        <c:lblAlgn val="ctr"/>
        <c:lblOffset val="0"/>
        <c:noMultiLvlLbl val="0"/>
      </c:catAx>
      <c:valAx>
        <c:axId val="112769664"/>
        <c:scaling>
          <c:orientation val="minMax"/>
          <c:max val="30"/>
          <c:min val="-20"/>
        </c:scaling>
        <c:delete val="0"/>
        <c:axPos val="l"/>
        <c:majorGridlines>
          <c:spPr>
            <a:ln>
              <a:solidFill>
                <a:srgbClr val="BEBEBE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/>
                  <a:t>Příspěvky ke</a:t>
                </a:r>
                <a:r>
                  <a:rPr lang="cs-CZ" baseline="0"/>
                  <a:t> změně</a:t>
                </a:r>
                <a:r>
                  <a:rPr lang="cs-CZ"/>
                  <a:t> stavební produkce</a:t>
                </a:r>
              </a:p>
            </c:rich>
          </c:tx>
          <c:layout>
            <c:manualLayout>
              <c:xMode val="edge"/>
              <c:yMode val="edge"/>
              <c:x val="0"/>
              <c:y val="0.18260821600452307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cs-CZ"/>
          </a:p>
        </c:txPr>
        <c:crossAx val="112768128"/>
        <c:crosses val="autoZero"/>
        <c:crossBetween val="between"/>
        <c:majorUnit val="5"/>
      </c:valAx>
      <c:valAx>
        <c:axId val="1118080463"/>
        <c:scaling>
          <c:orientation val="minMax"/>
          <c:max val="90"/>
          <c:min val="-6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cs-CZ"/>
                  <a:t>Zakázky, saldo indikátoru důvěry, bariéry růstu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cs-CZ"/>
          </a:p>
        </c:txPr>
        <c:crossAx val="1118074639"/>
        <c:crosses val="max"/>
        <c:crossBetween val="between"/>
        <c:majorUnit val="15"/>
      </c:valAx>
      <c:catAx>
        <c:axId val="111807463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18080463"/>
        <c:crosses val="autoZero"/>
        <c:auto val="1"/>
        <c:lblAlgn val="ctr"/>
        <c:lblOffset val="100"/>
        <c:noMultiLvlLbl val="0"/>
      </c:catAx>
      <c:spPr>
        <a:noFill/>
        <a:ln w="6350">
          <a:solidFill>
            <a:prstClr val="black">
              <a:lumMod val="95000"/>
              <a:lumOff val="5000"/>
            </a:prstClr>
          </a:solidFill>
        </a:ln>
      </c:spPr>
    </c:plotArea>
    <c:legend>
      <c:legendPos val="r"/>
      <c:layout>
        <c:manualLayout>
          <c:xMode val="edge"/>
          <c:yMode val="edge"/>
          <c:x val="1.5911186273789468E-2"/>
          <c:y val="0.85236205869026183"/>
          <c:w val="0.96875587640831429"/>
          <c:h val="0.13713064866950375"/>
        </c:manualLayout>
      </c:layout>
      <c:overlay val="0"/>
      <c:spPr>
        <a:ln w="6350">
          <a:solidFill>
            <a:prstClr val="black">
              <a:lumMod val="95000"/>
              <a:lumOff val="5000"/>
            </a:prstClr>
          </a:solidFill>
        </a:ln>
      </c:spPr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02403443089487E-2"/>
          <c:y val="1.5803328678987455E-2"/>
          <c:w val="0.83457093783787462"/>
          <c:h val="0.7103501120970378"/>
        </c:manualLayout>
      </c:layout>
      <c:barChart>
        <c:barDir val="col"/>
        <c:grouping val="stacked"/>
        <c:varyColors val="0"/>
        <c:ser>
          <c:idx val="0"/>
          <c:order val="1"/>
          <c:tx>
            <c:strRef>
              <c:f>'Služby-příspěvkyk růstu'!$D$25</c:f>
              <c:strCache>
                <c:ptCount val="1"/>
                <c:pt idx="0">
                  <c:v>Doprava a skladování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</c:spPr>
          <c:invertIfNegative val="0"/>
          <c:cat>
            <c:multiLvlStrRef>
              <c:f>'Služby-příspěvkyk růstu'!$A$38:$B$65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'Služby-příspěvkyk růstu'!$D$38:$D$65</c:f>
              <c:numCache>
                <c:formatCode>0.0</c:formatCode>
                <c:ptCount val="28"/>
                <c:pt idx="0">
                  <c:v>0.17784702557599033</c:v>
                </c:pt>
                <c:pt idx="1">
                  <c:v>-4.1153954550536498E-2</c:v>
                </c:pt>
                <c:pt idx="2">
                  <c:v>0.19675507185404387</c:v>
                </c:pt>
                <c:pt idx="3">
                  <c:v>4.4524490268410655E-2</c:v>
                </c:pt>
                <c:pt idx="4">
                  <c:v>0.13946448096623712</c:v>
                </c:pt>
                <c:pt idx="5">
                  <c:v>0.20828573579317947</c:v>
                </c:pt>
                <c:pt idx="6">
                  <c:v>0.13789200530936441</c:v>
                </c:pt>
                <c:pt idx="7">
                  <c:v>0.86068515110873312</c:v>
                </c:pt>
                <c:pt idx="8">
                  <c:v>1.7974934723664766</c:v>
                </c:pt>
                <c:pt idx="9">
                  <c:v>1.0846625349009715</c:v>
                </c:pt>
                <c:pt idx="10">
                  <c:v>1.1351852375742451</c:v>
                </c:pt>
                <c:pt idx="11">
                  <c:v>0.60468210639017606</c:v>
                </c:pt>
                <c:pt idx="12">
                  <c:v>1.7465012928992198</c:v>
                </c:pt>
                <c:pt idx="13">
                  <c:v>1.9213841091805361</c:v>
                </c:pt>
                <c:pt idx="14">
                  <c:v>1.4689302905524204</c:v>
                </c:pt>
                <c:pt idx="15">
                  <c:v>0.50117729578518855</c:v>
                </c:pt>
                <c:pt idx="16">
                  <c:v>0.75263240054785618</c:v>
                </c:pt>
                <c:pt idx="17">
                  <c:v>-8.121137806355179E-2</c:v>
                </c:pt>
                <c:pt idx="18">
                  <c:v>-0.66994926294940094</c:v>
                </c:pt>
                <c:pt idx="19">
                  <c:v>-0.54040905308684861</c:v>
                </c:pt>
                <c:pt idx="20">
                  <c:v>-1.8646944794628024</c:v>
                </c:pt>
                <c:pt idx="21">
                  <c:v>-6.878087924179022</c:v>
                </c:pt>
                <c:pt idx="22">
                  <c:v>-4.2189928547766087</c:v>
                </c:pt>
                <c:pt idx="23">
                  <c:v>-1.7609092819422958</c:v>
                </c:pt>
                <c:pt idx="24">
                  <c:v>-0.16804847993273522</c:v>
                </c:pt>
                <c:pt idx="25">
                  <c:v>6.9190435307348803</c:v>
                </c:pt>
                <c:pt idx="26">
                  <c:v>4.1516492855973404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F3-421F-8535-D3728491CD14}"/>
            </c:ext>
          </c:extLst>
        </c:ser>
        <c:ser>
          <c:idx val="1"/>
          <c:order val="2"/>
          <c:tx>
            <c:strRef>
              <c:f>'Služby-příspěvkyk růstu'!$E$25</c:f>
              <c:strCache>
                <c:ptCount val="1"/>
                <c:pt idx="0">
                  <c:v>Ubytování, stravování a pohostinství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</c:spPr>
          <c:invertIfNegative val="0"/>
          <c:cat>
            <c:multiLvlStrRef>
              <c:f>'Služby-příspěvkyk růstu'!$A$38:$B$65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'Služby-příspěvkyk růstu'!$E$38:$E$65</c:f>
              <c:numCache>
                <c:formatCode>0.0</c:formatCode>
                <c:ptCount val="28"/>
                <c:pt idx="0">
                  <c:v>0.23068727874505793</c:v>
                </c:pt>
                <c:pt idx="1">
                  <c:v>0.65500430584103086</c:v>
                </c:pt>
                <c:pt idx="2">
                  <c:v>0.65445127748121035</c:v>
                </c:pt>
                <c:pt idx="3">
                  <c:v>0.40295089080303936</c:v>
                </c:pt>
                <c:pt idx="4">
                  <c:v>0.46667218520329662</c:v>
                </c:pt>
                <c:pt idx="5">
                  <c:v>0.17104444695300572</c:v>
                </c:pt>
                <c:pt idx="6">
                  <c:v>0.56704693143903195</c:v>
                </c:pt>
                <c:pt idx="7">
                  <c:v>0.60083208257587717</c:v>
                </c:pt>
                <c:pt idx="8">
                  <c:v>0.91455838493249142</c:v>
                </c:pt>
                <c:pt idx="9">
                  <c:v>1.231607253071263</c:v>
                </c:pt>
                <c:pt idx="10">
                  <c:v>0.5534510922648459</c:v>
                </c:pt>
                <c:pt idx="11">
                  <c:v>0.45394811178918809</c:v>
                </c:pt>
                <c:pt idx="12">
                  <c:v>0.20369258900958792</c:v>
                </c:pt>
                <c:pt idx="13">
                  <c:v>4.7235698176859818E-2</c:v>
                </c:pt>
                <c:pt idx="14">
                  <c:v>5.8750890591798624E-2</c:v>
                </c:pt>
                <c:pt idx="15">
                  <c:v>-3.8366347387654286E-2</c:v>
                </c:pt>
                <c:pt idx="16">
                  <c:v>0.19921781020350779</c:v>
                </c:pt>
                <c:pt idx="17">
                  <c:v>0.19028430952840486</c:v>
                </c:pt>
                <c:pt idx="18">
                  <c:v>-1.916690216819248E-2</c:v>
                </c:pt>
                <c:pt idx="19">
                  <c:v>-1.9416332102348634E-2</c:v>
                </c:pt>
                <c:pt idx="20">
                  <c:v>-1.1590920187971767</c:v>
                </c:pt>
                <c:pt idx="21">
                  <c:v>-4.9671767321872178</c:v>
                </c:pt>
                <c:pt idx="22">
                  <c:v>-1.9514933163814434</c:v>
                </c:pt>
                <c:pt idx="23">
                  <c:v>-4.5016218149526619</c:v>
                </c:pt>
                <c:pt idx="24">
                  <c:v>-3.7518319516703902</c:v>
                </c:pt>
                <c:pt idx="25">
                  <c:v>1.3814530018563129</c:v>
                </c:pt>
                <c:pt idx="26">
                  <c:v>0.63672724057763164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F3-421F-8535-D3728491CD14}"/>
            </c:ext>
          </c:extLst>
        </c:ser>
        <c:ser>
          <c:idx val="2"/>
          <c:order val="3"/>
          <c:tx>
            <c:strRef>
              <c:f>'Služby-příspěvkyk růstu'!$F$25</c:f>
              <c:strCache>
                <c:ptCount val="1"/>
                <c:pt idx="0">
                  <c:v>Informační a komunikační činnosti</c:v>
                </c:pt>
              </c:strCache>
            </c:strRef>
          </c:tx>
          <c:spPr>
            <a:solidFill>
              <a:srgbClr val="E6E100"/>
            </a:solidFill>
            <a:ln>
              <a:noFill/>
            </a:ln>
          </c:spPr>
          <c:invertIfNegative val="0"/>
          <c:cat>
            <c:multiLvlStrRef>
              <c:f>'Služby-příspěvkyk růstu'!$A$38:$B$65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'Služby-příspěvkyk růstu'!$F$38:$F$65</c:f>
              <c:numCache>
                <c:formatCode>0.0</c:formatCode>
                <c:ptCount val="28"/>
                <c:pt idx="0">
                  <c:v>1.4078898109159903</c:v>
                </c:pt>
                <c:pt idx="1">
                  <c:v>0.82525906257812898</c:v>
                </c:pt>
                <c:pt idx="2">
                  <c:v>0.80495762868220244</c:v>
                </c:pt>
                <c:pt idx="3">
                  <c:v>1.3162338204655517</c:v>
                </c:pt>
                <c:pt idx="4">
                  <c:v>0.36033487670421366</c:v>
                </c:pt>
                <c:pt idx="5">
                  <c:v>0.15638027838317614</c:v>
                </c:pt>
                <c:pt idx="6">
                  <c:v>0.32610885513838739</c:v>
                </c:pt>
                <c:pt idx="7">
                  <c:v>0.17762627373781287</c:v>
                </c:pt>
                <c:pt idx="8">
                  <c:v>0.76282425945040022</c:v>
                </c:pt>
                <c:pt idx="9">
                  <c:v>0.98306885205975347</c:v>
                </c:pt>
                <c:pt idx="10">
                  <c:v>0.77131824944810223</c:v>
                </c:pt>
                <c:pt idx="11">
                  <c:v>0.58432043551404034</c:v>
                </c:pt>
                <c:pt idx="12">
                  <c:v>1.4410506386239601</c:v>
                </c:pt>
                <c:pt idx="13">
                  <c:v>0.76544504374458233</c:v>
                </c:pt>
                <c:pt idx="14">
                  <c:v>1.4164775798085461</c:v>
                </c:pt>
                <c:pt idx="15">
                  <c:v>0.98719747480527764</c:v>
                </c:pt>
                <c:pt idx="16">
                  <c:v>1.2347847857804872</c:v>
                </c:pt>
                <c:pt idx="17">
                  <c:v>1.1610055784403761</c:v>
                </c:pt>
                <c:pt idx="18">
                  <c:v>0.91432300980238912</c:v>
                </c:pt>
                <c:pt idx="19">
                  <c:v>1.1615543875830505</c:v>
                </c:pt>
                <c:pt idx="20">
                  <c:v>0.81914163756703751</c:v>
                </c:pt>
                <c:pt idx="21">
                  <c:v>1.0683374561022049E-2</c:v>
                </c:pt>
                <c:pt idx="22">
                  <c:v>-0.20768828902863873</c:v>
                </c:pt>
                <c:pt idx="23">
                  <c:v>-0.54203634461444483</c:v>
                </c:pt>
                <c:pt idx="24">
                  <c:v>0.48886869688955514</c:v>
                </c:pt>
                <c:pt idx="25">
                  <c:v>1.4749453942967019</c:v>
                </c:pt>
                <c:pt idx="26">
                  <c:v>1.406282767389208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F3-421F-8535-D3728491CD14}"/>
            </c:ext>
          </c:extLst>
        </c:ser>
        <c:ser>
          <c:idx val="4"/>
          <c:order val="4"/>
          <c:tx>
            <c:strRef>
              <c:f>'Služby-příspěvkyk růstu'!$G$25</c:f>
              <c:strCache>
                <c:ptCount val="1"/>
                <c:pt idx="0">
                  <c:v>Činnosti v oblasti nemovitostí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  <a:prstDash val="sysDash"/>
            </a:ln>
          </c:spPr>
          <c:invertIfNegative val="0"/>
          <c:cat>
            <c:multiLvlStrRef>
              <c:f>'Služby-příspěvkyk růstu'!$A$38:$B$65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'Služby-příspěvkyk růstu'!$G$38:$G$65</c:f>
              <c:numCache>
                <c:formatCode>0.0</c:formatCode>
                <c:ptCount val="28"/>
                <c:pt idx="0">
                  <c:v>4.5114687215489196E-2</c:v>
                </c:pt>
                <c:pt idx="1">
                  <c:v>-4.633203545382855E-3</c:v>
                </c:pt>
                <c:pt idx="2">
                  <c:v>8.5015739753390329E-2</c:v>
                </c:pt>
                <c:pt idx="3">
                  <c:v>4.220830931986512E-2</c:v>
                </c:pt>
                <c:pt idx="4">
                  <c:v>0.22367935692513705</c:v>
                </c:pt>
                <c:pt idx="5">
                  <c:v>6.8179123861302385E-2</c:v>
                </c:pt>
                <c:pt idx="6">
                  <c:v>0.11569139719415283</c:v>
                </c:pt>
                <c:pt idx="7">
                  <c:v>-7.0466113098899399E-2</c:v>
                </c:pt>
                <c:pt idx="8">
                  <c:v>0.28170347372407545</c:v>
                </c:pt>
                <c:pt idx="9">
                  <c:v>0.36183937198533883</c:v>
                </c:pt>
                <c:pt idx="10">
                  <c:v>-3.8722623438578699E-2</c:v>
                </c:pt>
                <c:pt idx="11">
                  <c:v>0.13751786545078354</c:v>
                </c:pt>
                <c:pt idx="12">
                  <c:v>-1.6524917654980809E-2</c:v>
                </c:pt>
                <c:pt idx="13">
                  <c:v>-0.22648210744306341</c:v>
                </c:pt>
                <c:pt idx="14">
                  <c:v>-0.12424593391733178</c:v>
                </c:pt>
                <c:pt idx="15">
                  <c:v>-0.2069362641489616</c:v>
                </c:pt>
                <c:pt idx="16">
                  <c:v>0.14696794947238928</c:v>
                </c:pt>
                <c:pt idx="17">
                  <c:v>-2.7570980462265055E-2</c:v>
                </c:pt>
                <c:pt idx="18">
                  <c:v>-0.16565733818130893</c:v>
                </c:pt>
                <c:pt idx="19">
                  <c:v>-0.11837811648212067</c:v>
                </c:pt>
                <c:pt idx="20">
                  <c:v>0.43339495192195154</c:v>
                </c:pt>
                <c:pt idx="21">
                  <c:v>-0.29664667919137244</c:v>
                </c:pt>
                <c:pt idx="22">
                  <c:v>-0.27589755073842731</c:v>
                </c:pt>
                <c:pt idx="23">
                  <c:v>-0.22603611712587934</c:v>
                </c:pt>
                <c:pt idx="24">
                  <c:v>-0.21976379159449222</c:v>
                </c:pt>
                <c:pt idx="25">
                  <c:v>0.27047496115097869</c:v>
                </c:pt>
                <c:pt idx="26">
                  <c:v>2.075342471890437E-2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DF3-421F-8535-D3728491CD14}"/>
            </c:ext>
          </c:extLst>
        </c:ser>
        <c:ser>
          <c:idx val="5"/>
          <c:order val="5"/>
          <c:tx>
            <c:strRef>
              <c:f>'Služby-příspěvkyk růstu'!$H$25</c:f>
              <c:strCache>
                <c:ptCount val="1"/>
                <c:pt idx="0">
                  <c:v>Profesní, vědecké a technické činnosti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</c:spPr>
          <c:invertIfNegative val="0"/>
          <c:cat>
            <c:multiLvlStrRef>
              <c:f>'Služby-příspěvkyk růstu'!$A$38:$B$65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'Služby-příspěvkyk růstu'!$H$38:$H$65</c:f>
              <c:numCache>
                <c:formatCode>0.0</c:formatCode>
                <c:ptCount val="28"/>
                <c:pt idx="0">
                  <c:v>1.0484383463709321</c:v>
                </c:pt>
                <c:pt idx="1">
                  <c:v>0.72052999502781179</c:v>
                </c:pt>
                <c:pt idx="2">
                  <c:v>1.0868604197952834</c:v>
                </c:pt>
                <c:pt idx="3">
                  <c:v>-4.0322082082337972E-2</c:v>
                </c:pt>
                <c:pt idx="4">
                  <c:v>-0.43449187704976927</c:v>
                </c:pt>
                <c:pt idx="5">
                  <c:v>-1.3323039000266932</c:v>
                </c:pt>
                <c:pt idx="6">
                  <c:v>-3.9552220086378894E-3</c:v>
                </c:pt>
                <c:pt idx="7">
                  <c:v>-0.31462694364037369</c:v>
                </c:pt>
                <c:pt idx="8">
                  <c:v>0.96902063476099443</c:v>
                </c:pt>
                <c:pt idx="9">
                  <c:v>0.58685347143608046</c:v>
                </c:pt>
                <c:pt idx="10">
                  <c:v>0.3036767260079471</c:v>
                </c:pt>
                <c:pt idx="11">
                  <c:v>0.42723783324562753</c:v>
                </c:pt>
                <c:pt idx="12">
                  <c:v>1.0465166620234574</c:v>
                </c:pt>
                <c:pt idx="13">
                  <c:v>0.55031893076940297</c:v>
                </c:pt>
                <c:pt idx="14">
                  <c:v>0.36062690239541018</c:v>
                </c:pt>
                <c:pt idx="15">
                  <c:v>-0.26282042548043488</c:v>
                </c:pt>
                <c:pt idx="16">
                  <c:v>0.70683419275912829</c:v>
                </c:pt>
                <c:pt idx="17">
                  <c:v>0.58909336860858441</c:v>
                </c:pt>
                <c:pt idx="18">
                  <c:v>-0.76655146702786459</c:v>
                </c:pt>
                <c:pt idx="19">
                  <c:v>-0.57242584774453176</c:v>
                </c:pt>
                <c:pt idx="20">
                  <c:v>-0.86159954933211313</c:v>
                </c:pt>
                <c:pt idx="21">
                  <c:v>-3.1851816912738524</c:v>
                </c:pt>
                <c:pt idx="22">
                  <c:v>-1.4960642223795051</c:v>
                </c:pt>
                <c:pt idx="23">
                  <c:v>-1.5470412021321964</c:v>
                </c:pt>
                <c:pt idx="24">
                  <c:v>-1.561956763124712</c:v>
                </c:pt>
                <c:pt idx="25">
                  <c:v>2.2441486603574918</c:v>
                </c:pt>
                <c:pt idx="26">
                  <c:v>1.5809358722814144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F3-421F-8535-D3728491CD14}"/>
            </c:ext>
          </c:extLst>
        </c:ser>
        <c:ser>
          <c:idx val="6"/>
          <c:order val="6"/>
          <c:tx>
            <c:strRef>
              <c:f>'Služby-příspěvkyk růstu'!$I$25</c:f>
              <c:strCache>
                <c:ptCount val="1"/>
                <c:pt idx="0">
                  <c:v>Administrativní a podpůrné činnosti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</c:spPr>
          <c:invertIfNegative val="0"/>
          <c:cat>
            <c:multiLvlStrRef>
              <c:f>'Služby-příspěvkyk růstu'!$A$38:$B$65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'Služby-příspěvkyk růstu'!$I$38:$I$65</c:f>
              <c:numCache>
                <c:formatCode>0.0</c:formatCode>
                <c:ptCount val="28"/>
                <c:pt idx="0">
                  <c:v>0.51529021776837436</c:v>
                </c:pt>
                <c:pt idx="1">
                  <c:v>0.62103855147350373</c:v>
                </c:pt>
                <c:pt idx="2">
                  <c:v>0.43595933582649415</c:v>
                </c:pt>
                <c:pt idx="3">
                  <c:v>0.5014624395084516</c:v>
                </c:pt>
                <c:pt idx="4">
                  <c:v>0.46409597389160773</c:v>
                </c:pt>
                <c:pt idx="5">
                  <c:v>0.16302807991689272</c:v>
                </c:pt>
                <c:pt idx="6">
                  <c:v>0.26998446590022002</c:v>
                </c:pt>
                <c:pt idx="7">
                  <c:v>0.51404132645830092</c:v>
                </c:pt>
                <c:pt idx="8">
                  <c:v>1.3081284665881006</c:v>
                </c:pt>
                <c:pt idx="9">
                  <c:v>1.0890272586366447</c:v>
                </c:pt>
                <c:pt idx="10">
                  <c:v>0.64167805687312862</c:v>
                </c:pt>
                <c:pt idx="11">
                  <c:v>0.3049450708114973</c:v>
                </c:pt>
                <c:pt idx="12">
                  <c:v>0.5336964228095209</c:v>
                </c:pt>
                <c:pt idx="13">
                  <c:v>0.37812124631965366</c:v>
                </c:pt>
                <c:pt idx="14">
                  <c:v>0.43585539133912715</c:v>
                </c:pt>
                <c:pt idx="15">
                  <c:v>-1.3565736472039135E-2</c:v>
                </c:pt>
                <c:pt idx="16">
                  <c:v>0.47293200908229094</c:v>
                </c:pt>
                <c:pt idx="17">
                  <c:v>0.12985986360314838</c:v>
                </c:pt>
                <c:pt idx="18">
                  <c:v>-0.12378098867957033</c:v>
                </c:pt>
                <c:pt idx="19">
                  <c:v>-0.21503501352804164</c:v>
                </c:pt>
                <c:pt idx="20">
                  <c:v>-1.0976257477412559</c:v>
                </c:pt>
                <c:pt idx="21">
                  <c:v>-4.3127906776344167</c:v>
                </c:pt>
                <c:pt idx="22">
                  <c:v>-4.4459987116732576</c:v>
                </c:pt>
                <c:pt idx="23">
                  <c:v>-2.3715093265748419</c:v>
                </c:pt>
                <c:pt idx="24">
                  <c:v>-1.5878169383982839</c:v>
                </c:pt>
                <c:pt idx="25">
                  <c:v>1.8635286192241076</c:v>
                </c:pt>
                <c:pt idx="26">
                  <c:v>1.8780420441601493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DF3-421F-8535-D3728491CD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156100864"/>
        <c:axId val="156573696"/>
      </c:barChart>
      <c:lineChart>
        <c:grouping val="standard"/>
        <c:varyColors val="0"/>
        <c:ser>
          <c:idx val="3"/>
          <c:order val="0"/>
          <c:tx>
            <c:strRef>
              <c:f>'Služby-příspěvkyk růstu'!$C$25</c:f>
              <c:strCache>
                <c:ptCount val="1"/>
                <c:pt idx="0">
                  <c:v>Služby celkem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9"/>
            <c:spPr>
              <a:solidFill>
                <a:schemeClr val="tx1">
                  <a:lumMod val="95000"/>
                  <a:lumOff val="5000"/>
                </a:schemeClr>
              </a:solidFill>
              <a:ln>
                <a:noFill/>
              </a:ln>
            </c:spPr>
          </c:marker>
          <c:cat>
            <c:multiLvlStrRef>
              <c:f>'Služby-příspěvkyk růstu'!$A$38:$B$65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'Služby-příspěvkyk růstu'!$C$38:$C$65</c:f>
              <c:numCache>
                <c:formatCode>0.0</c:formatCode>
                <c:ptCount val="28"/>
                <c:pt idx="0">
                  <c:v>3.3382433954487709</c:v>
                </c:pt>
                <c:pt idx="1">
                  <c:v>2.7103361038427067</c:v>
                </c:pt>
                <c:pt idx="2">
                  <c:v>3.223995038405846</c:v>
                </c:pt>
                <c:pt idx="3">
                  <c:v>2.2290744560856268</c:v>
                </c:pt>
                <c:pt idx="4">
                  <c:v>1.1705942918670047</c:v>
                </c:pt>
                <c:pt idx="5">
                  <c:v>-0.79617382665747982</c:v>
                </c:pt>
                <c:pt idx="6">
                  <c:v>1.3957902139005256</c:v>
                </c:pt>
                <c:pt idx="7">
                  <c:v>1.6187710312838277</c:v>
                </c:pt>
                <c:pt idx="8">
                  <c:v>5.8784103375347314</c:v>
                </c:pt>
                <c:pt idx="9">
                  <c:v>5.3482581483285117</c:v>
                </c:pt>
                <c:pt idx="10">
                  <c:v>3.3779943438431417</c:v>
                </c:pt>
                <c:pt idx="11">
                  <c:v>2.5043716841237824</c:v>
                </c:pt>
                <c:pt idx="12">
                  <c:v>5.0156711190807073</c:v>
                </c:pt>
                <c:pt idx="13">
                  <c:v>3.5070069282701297</c:v>
                </c:pt>
                <c:pt idx="14">
                  <c:v>3.6980924142605289</c:v>
                </c:pt>
                <c:pt idx="15">
                  <c:v>1.088994603733525</c:v>
                </c:pt>
                <c:pt idx="16">
                  <c:v>3.5749845129644342</c:v>
                </c:pt>
                <c:pt idx="17">
                  <c:v>1.9545765370271084</c:v>
                </c:pt>
                <c:pt idx="18">
                  <c:v>-0.74453873068148368</c:v>
                </c:pt>
                <c:pt idx="19">
                  <c:v>-0.1758632291653015</c:v>
                </c:pt>
                <c:pt idx="20">
                  <c:v>-3.7638680940537341</c:v>
                </c:pt>
                <c:pt idx="21">
                  <c:v>-19.649218614668754</c:v>
                </c:pt>
                <c:pt idx="22">
                  <c:v>-12.616138215500811</c:v>
                </c:pt>
                <c:pt idx="23">
                  <c:v>-10.905867430592082</c:v>
                </c:pt>
                <c:pt idx="24">
                  <c:v>-6.8078199930960324</c:v>
                </c:pt>
                <c:pt idx="25">
                  <c:v>14.153341761403254</c:v>
                </c:pt>
                <c:pt idx="26">
                  <c:v>9.7201719095486396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DF3-421F-8535-D3728491CD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100864"/>
        <c:axId val="156573696"/>
      </c:lineChart>
      <c:lineChart>
        <c:grouping val="standard"/>
        <c:varyColors val="0"/>
        <c:ser>
          <c:idx val="7"/>
          <c:order val="7"/>
          <c:tx>
            <c:strRef>
              <c:f>'Služby-příspěvkyk růstu'!$J$25</c:f>
              <c:strCache>
                <c:ptCount val="1"/>
                <c:pt idx="0">
                  <c:v>Saldo indikátoru důvěry ve službách</c:v>
                </c:pt>
              </c:strCache>
            </c:strRef>
          </c:tx>
          <c:spPr>
            <a:ln w="3175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diamond"/>
            <c:size val="5"/>
            <c:spPr>
              <a:solidFill>
                <a:srgbClr val="FFFF00"/>
              </a:solidFill>
              <a:ln w="6350">
                <a:solidFill>
                  <a:schemeClr val="tx1">
                    <a:lumMod val="95000"/>
                    <a:lumOff val="5000"/>
                  </a:schemeClr>
                </a:solidFill>
              </a:ln>
            </c:spPr>
          </c:marker>
          <c:cat>
            <c:multiLvlStrRef>
              <c:f>'Služby-příspěvkyk růstu'!$A$38:$B$65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'Služby-příspěvkyk růstu'!$J$38:$J$65</c:f>
              <c:numCache>
                <c:formatCode>0.0</c:formatCode>
                <c:ptCount val="28"/>
                <c:pt idx="0">
                  <c:v>29.7</c:v>
                </c:pt>
                <c:pt idx="1">
                  <c:v>28.7</c:v>
                </c:pt>
                <c:pt idx="2">
                  <c:v>31.3</c:v>
                </c:pt>
                <c:pt idx="3">
                  <c:v>32.700000000000003</c:v>
                </c:pt>
                <c:pt idx="4">
                  <c:v>32.299999999999997</c:v>
                </c:pt>
                <c:pt idx="5">
                  <c:v>33</c:v>
                </c:pt>
                <c:pt idx="6">
                  <c:v>33</c:v>
                </c:pt>
                <c:pt idx="7">
                  <c:v>37.700000000000003</c:v>
                </c:pt>
                <c:pt idx="8">
                  <c:v>35.299999999999997</c:v>
                </c:pt>
                <c:pt idx="9">
                  <c:v>37.700000000000003</c:v>
                </c:pt>
                <c:pt idx="10">
                  <c:v>37.299999999999997</c:v>
                </c:pt>
                <c:pt idx="11">
                  <c:v>35.700000000000003</c:v>
                </c:pt>
                <c:pt idx="12">
                  <c:v>38.299999999999997</c:v>
                </c:pt>
                <c:pt idx="13">
                  <c:v>37</c:v>
                </c:pt>
                <c:pt idx="14">
                  <c:v>38.299999999999997</c:v>
                </c:pt>
                <c:pt idx="15">
                  <c:v>40.700000000000003</c:v>
                </c:pt>
                <c:pt idx="16">
                  <c:v>39.299999999999997</c:v>
                </c:pt>
                <c:pt idx="17">
                  <c:v>33.700000000000003</c:v>
                </c:pt>
                <c:pt idx="18">
                  <c:v>35</c:v>
                </c:pt>
                <c:pt idx="19">
                  <c:v>32.700000000000003</c:v>
                </c:pt>
                <c:pt idx="20">
                  <c:v>29</c:v>
                </c:pt>
                <c:pt idx="21">
                  <c:v>-13.3</c:v>
                </c:pt>
                <c:pt idx="22">
                  <c:v>1</c:v>
                </c:pt>
                <c:pt idx="23">
                  <c:v>-5</c:v>
                </c:pt>
                <c:pt idx="24">
                  <c:v>8</c:v>
                </c:pt>
                <c:pt idx="25">
                  <c:v>22.3</c:v>
                </c:pt>
                <c:pt idx="26">
                  <c:v>24.3</c:v>
                </c:pt>
                <c:pt idx="27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DF3-421F-8535-D3728491CD14}"/>
            </c:ext>
          </c:extLst>
        </c:ser>
        <c:ser>
          <c:idx val="8"/>
          <c:order val="8"/>
          <c:tx>
            <c:strRef>
              <c:f>'Služby-příspěvkyk růstu'!$K$25</c:f>
              <c:strCache>
                <c:ptCount val="1"/>
                <c:pt idx="0">
                  <c:v>Bariéra růstu: nedostatečná poptávka</c:v>
                </c:pt>
              </c:strCache>
            </c:strRef>
          </c:tx>
          <c:spPr>
            <a:ln w="15875">
              <a:solidFill>
                <a:schemeClr val="bg2">
                  <a:lumMod val="25000"/>
                </a:schemeClr>
              </a:solidFill>
            </a:ln>
          </c:spPr>
          <c:marker>
            <c:symbol val="none"/>
          </c:marker>
          <c:cat>
            <c:multiLvlStrRef>
              <c:f>'Služby-příspěvkyk růstu'!$A$38:$B$65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'Služby-příspěvkyk růstu'!$K$38:$K$65</c:f>
              <c:numCache>
                <c:formatCode>#\ ##0.0</c:formatCode>
                <c:ptCount val="28"/>
                <c:pt idx="0">
                  <c:v>26.2</c:v>
                </c:pt>
                <c:pt idx="1">
                  <c:v>29</c:v>
                </c:pt>
                <c:pt idx="2">
                  <c:v>26.9</c:v>
                </c:pt>
                <c:pt idx="3">
                  <c:v>23.3</c:v>
                </c:pt>
                <c:pt idx="4">
                  <c:v>24</c:v>
                </c:pt>
                <c:pt idx="5">
                  <c:v>24.5</c:v>
                </c:pt>
                <c:pt idx="6">
                  <c:v>21</c:v>
                </c:pt>
                <c:pt idx="7">
                  <c:v>23.3</c:v>
                </c:pt>
                <c:pt idx="8">
                  <c:v>26.2</c:v>
                </c:pt>
                <c:pt idx="9">
                  <c:v>20.5</c:v>
                </c:pt>
                <c:pt idx="10">
                  <c:v>19.899999999999999</c:v>
                </c:pt>
                <c:pt idx="11">
                  <c:v>20.9</c:v>
                </c:pt>
                <c:pt idx="12">
                  <c:v>17.3</c:v>
                </c:pt>
                <c:pt idx="13">
                  <c:v>18.600000000000001</c:v>
                </c:pt>
                <c:pt idx="14">
                  <c:v>18.899999999999999</c:v>
                </c:pt>
                <c:pt idx="15">
                  <c:v>19.8</c:v>
                </c:pt>
                <c:pt idx="16">
                  <c:v>20.7</c:v>
                </c:pt>
                <c:pt idx="17">
                  <c:v>17.100000000000001</c:v>
                </c:pt>
                <c:pt idx="18">
                  <c:v>21.7</c:v>
                </c:pt>
                <c:pt idx="19">
                  <c:v>14.1</c:v>
                </c:pt>
                <c:pt idx="20">
                  <c:v>20.399999999999999</c:v>
                </c:pt>
                <c:pt idx="21">
                  <c:v>29.1</c:v>
                </c:pt>
                <c:pt idx="22">
                  <c:v>30.9</c:v>
                </c:pt>
                <c:pt idx="23">
                  <c:v>39</c:v>
                </c:pt>
                <c:pt idx="24">
                  <c:v>35.799999999999997</c:v>
                </c:pt>
                <c:pt idx="25">
                  <c:v>37.1</c:v>
                </c:pt>
                <c:pt idx="26">
                  <c:v>30.9</c:v>
                </c:pt>
                <c:pt idx="27">
                  <c:v>26.8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DF3-421F-8535-D3728491CD14}"/>
            </c:ext>
          </c:extLst>
        </c:ser>
        <c:ser>
          <c:idx val="9"/>
          <c:order val="9"/>
          <c:tx>
            <c:strRef>
              <c:f>'Služby-příspěvkyk růstu'!$L$25</c:f>
              <c:strCache>
                <c:ptCount val="1"/>
                <c:pt idx="0">
                  <c:v>Bariéra růstu: nedostatek pracovníků</c:v>
                </c:pt>
              </c:strCache>
            </c:strRef>
          </c:tx>
          <c:spPr>
            <a:ln w="15875">
              <a:solidFill>
                <a:schemeClr val="bg2">
                  <a:lumMod val="2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'Služby-příspěvkyk růstu'!$A$38:$B$65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'Služby-příspěvkyk růstu'!$L$38:$L$65</c:f>
              <c:numCache>
                <c:formatCode>#\ ##0.0</c:formatCode>
                <c:ptCount val="28"/>
                <c:pt idx="0">
                  <c:v>2.8</c:v>
                </c:pt>
                <c:pt idx="1">
                  <c:v>5.7</c:v>
                </c:pt>
                <c:pt idx="2">
                  <c:v>5.9</c:v>
                </c:pt>
                <c:pt idx="3">
                  <c:v>5.8</c:v>
                </c:pt>
                <c:pt idx="4">
                  <c:v>8.6999999999999993</c:v>
                </c:pt>
                <c:pt idx="5">
                  <c:v>4.5999999999999996</c:v>
                </c:pt>
                <c:pt idx="6">
                  <c:v>7.1</c:v>
                </c:pt>
                <c:pt idx="7">
                  <c:v>9.1</c:v>
                </c:pt>
                <c:pt idx="8">
                  <c:v>10.1</c:v>
                </c:pt>
                <c:pt idx="9">
                  <c:v>10</c:v>
                </c:pt>
                <c:pt idx="10">
                  <c:v>9.3000000000000007</c:v>
                </c:pt>
                <c:pt idx="11">
                  <c:v>12.2</c:v>
                </c:pt>
                <c:pt idx="12">
                  <c:v>14.2</c:v>
                </c:pt>
                <c:pt idx="13">
                  <c:v>16.600000000000001</c:v>
                </c:pt>
                <c:pt idx="14">
                  <c:v>17.3</c:v>
                </c:pt>
                <c:pt idx="15">
                  <c:v>18.600000000000001</c:v>
                </c:pt>
                <c:pt idx="16">
                  <c:v>19.600000000000001</c:v>
                </c:pt>
                <c:pt idx="17">
                  <c:v>16.600000000000001</c:v>
                </c:pt>
                <c:pt idx="18">
                  <c:v>21.2</c:v>
                </c:pt>
                <c:pt idx="19">
                  <c:v>19.100000000000001</c:v>
                </c:pt>
                <c:pt idx="20">
                  <c:v>19.7</c:v>
                </c:pt>
                <c:pt idx="21">
                  <c:v>12.1</c:v>
                </c:pt>
                <c:pt idx="22">
                  <c:v>9.8000000000000007</c:v>
                </c:pt>
                <c:pt idx="23">
                  <c:v>11.1</c:v>
                </c:pt>
                <c:pt idx="24">
                  <c:v>11.2</c:v>
                </c:pt>
                <c:pt idx="25">
                  <c:v>10.8</c:v>
                </c:pt>
                <c:pt idx="26">
                  <c:v>16.3</c:v>
                </c:pt>
                <c:pt idx="27">
                  <c:v>18.899999999999999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DF3-421F-8535-D3728491CD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576768"/>
        <c:axId val="156575232"/>
      </c:lineChart>
      <c:catAx>
        <c:axId val="156100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/>
            </a:pPr>
            <a:endParaRPr lang="cs-CZ"/>
          </a:p>
        </c:txPr>
        <c:crossAx val="156573696"/>
        <c:crosses val="autoZero"/>
        <c:auto val="1"/>
        <c:lblAlgn val="ctr"/>
        <c:lblOffset val="0"/>
        <c:noMultiLvlLbl val="0"/>
      </c:catAx>
      <c:valAx>
        <c:axId val="156573696"/>
        <c:scaling>
          <c:orientation val="minMax"/>
          <c:max val="15"/>
          <c:min val="-2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Příspěvky k</a:t>
                </a:r>
                <a:r>
                  <a:rPr lang="cs-CZ" sz="700" b="0" i="1" baseline="0"/>
                  <a:t>e změně tržeb ve službách</a:t>
                </a:r>
                <a:endParaRPr lang="cs-CZ" sz="700" b="0" i="1"/>
              </a:p>
            </c:rich>
          </c:tx>
          <c:layout>
            <c:manualLayout>
              <c:xMode val="edge"/>
              <c:yMode val="edge"/>
              <c:x val="7.9755416722052368E-3"/>
              <c:y val="0.16687745390076011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56100864"/>
        <c:crosses val="autoZero"/>
        <c:crossBetween val="between"/>
        <c:majorUnit val="3"/>
      </c:valAx>
      <c:valAx>
        <c:axId val="156575232"/>
        <c:scaling>
          <c:orientation val="minMax"/>
          <c:max val="100"/>
          <c:min val="-2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Saldo indikátoru důvěry, bariéry růstu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56576768"/>
        <c:crosses val="max"/>
        <c:crossBetween val="between"/>
        <c:majorUnit val="10"/>
      </c:valAx>
      <c:catAx>
        <c:axId val="156576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56575232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6.4054887921739166E-5"/>
          <c:y val="0.81821506531821531"/>
          <c:w val="0.98649823440865303"/>
          <c:h val="0.17117269183021638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5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C779-B9B7-4A15-90EC-AE7ACB75C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EA5BA-810D-410E-AB74-F6347C5E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64</TotalTime>
  <Pages>8</Pages>
  <Words>3085</Words>
  <Characters>18204</Characters>
  <Application>Microsoft Office Word</Application>
  <DocSecurity>0</DocSecurity>
  <Lines>151</Lines>
  <Paragraphs>42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21247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5</cp:revision>
  <cp:lastPrinted>2019-04-08T10:52:00Z</cp:lastPrinted>
  <dcterms:created xsi:type="dcterms:W3CDTF">2021-12-15T07:16:00Z</dcterms:created>
  <dcterms:modified xsi:type="dcterms:W3CDTF">2021-12-15T09:39:00Z</dcterms:modified>
</cp:coreProperties>
</file>