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A3E" w:rsidRPr="00A74192" w:rsidRDefault="00576A3E" w:rsidP="00D94859">
      <w:pPr>
        <w:pStyle w:val="Styl1"/>
        <w:rPr>
          <w:rFonts w:cs="Arial"/>
          <w:sz w:val="20"/>
        </w:rPr>
      </w:pPr>
    </w:p>
    <w:p w:rsidR="00576A3E" w:rsidRPr="00A74192" w:rsidRDefault="00D9769A" w:rsidP="00D94859">
      <w:pPr>
        <w:spacing w:line="240" w:lineRule="auto"/>
        <w:rPr>
          <w:rFonts w:cs="Arial"/>
          <w:lang w:eastAsia="ar-SA"/>
        </w:rPr>
      </w:pPr>
      <w:r w:rsidRPr="00D9769A">
        <w:rPr>
          <w:noProof/>
        </w:rPr>
        <w:pict>
          <v:shapetype id="_x0000_t202" coordsize="21600,21600" o:spt="202" path="m,l,21600r21600,l21600,xe">
            <v:stroke joinstyle="miter"/>
            <v:path gradientshapeok="t" o:connecttype="rect"/>
          </v:shapetype>
          <v:shape id="Textové pole 2" o:spid="_x0000_s1026" type="#_x0000_t202" style="position:absolute;margin-left:134.65pt;margin-top:759.8pt;width:403.95pt;height:14.15pt;z-index:25166182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" filled="f" stroked="f">
            <v:textbox inset="0,0,0,0">
              <w:txbxContent>
                <w:p w:rsidR="0019156A" w:rsidRPr="005251DD" w:rsidRDefault="0019156A" w:rsidP="004F191F">
                  <w:r w:rsidRPr="005251DD">
                    <w:t xml:space="preserve">Český statistický úřad, </w:t>
                  </w:r>
                  <w:r>
                    <w:t>Praha, 2016</w:t>
                  </w:r>
                </w:p>
              </w:txbxContent>
            </v:textbox>
            <w10:wrap anchorx="page" anchory="page"/>
            <w10:anchorlock/>
          </v:shape>
        </w:pict>
      </w:r>
      <w:r w:rsidRPr="00D9769A">
        <w:rPr>
          <w:noProof/>
        </w:rPr>
        <w:pict>
          <v:shape id="_x0000_s1027" type="#_x0000_t202" style="position:absolute;margin-left:134.65pt;margin-top:612.45pt;width:394.65pt;height:112.45pt;z-index:25166080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" filled="f" stroked="f">
            <v:textbox inset="0,0,0,0">
              <w:txbxContent>
                <w:p w:rsidR="0019156A" w:rsidRPr="006C5577" w:rsidRDefault="0019156A" w:rsidP="004F2A73">
                  <w:pPr>
                    <w:pStyle w:val="TL-Identifikace-dole"/>
                  </w:pPr>
                  <w:r>
                    <w:t>Z</w:t>
                  </w:r>
                  <w:r w:rsidRPr="006C5577">
                    <w:t>pracoval: Odbor</w:t>
                  </w:r>
                  <w:r>
                    <w:t xml:space="preserve"> Kancelář předsedkyně, Oddělení svodných analýz</w:t>
                  </w:r>
                </w:p>
                <w:p w:rsidR="0019156A" w:rsidRPr="006C5577" w:rsidRDefault="0019156A" w:rsidP="004F191F">
                  <w:pPr>
                    <w:pStyle w:val="TL-Identifikace-dole"/>
                  </w:pPr>
                  <w:r w:rsidRPr="006C5577">
                    <w:t xml:space="preserve">Ředitel odboru: </w:t>
                  </w:r>
                  <w:r>
                    <w:tab/>
                    <w:t>Egor Sidorov, Ph.D.</w:t>
                  </w:r>
                </w:p>
                <w:p w:rsidR="0019156A" w:rsidRPr="009F63D2" w:rsidRDefault="0019156A" w:rsidP="004F191F">
                  <w:pPr>
                    <w:pStyle w:val="TL-Identifikace-dole"/>
                    <w:rPr>
                      <w:rFonts w:cs="Arial"/>
                    </w:rPr>
                  </w:pPr>
                  <w:r>
                    <w:t>Autorský tým: Bc. Jiří Kamenický, Mgr. Bc. Karolína Súkupová</w:t>
                  </w:r>
                </w:p>
                <w:p w:rsidR="0019156A" w:rsidRDefault="0019156A" w:rsidP="004F191F">
                  <w:pPr>
                    <w:pStyle w:val="TL-Identifikace-dole"/>
                  </w:pPr>
                  <w:r w:rsidRPr="006C5577">
                    <w:t xml:space="preserve">Kontaktní osoba: </w:t>
                  </w:r>
                  <w:r>
                    <w:t xml:space="preserve">Bc. Jiří Kamenický, e-mail: </w:t>
                  </w:r>
                  <w:hyperlink r:id="rId8" w:history="1">
                    <w:r w:rsidRPr="00F34FB3">
                      <w:rPr>
                        <w:rStyle w:val="Hypertextovodkaz"/>
                      </w:rPr>
                      <w:t>jiri.kamenicky@czso.cz</w:t>
                    </w:r>
                  </w:hyperlink>
                  <w:r>
                    <w:t>,  tel. 274 052 741</w:t>
                  </w:r>
                </w:p>
                <w:p w:rsidR="0019156A" w:rsidRDefault="0019156A" w:rsidP="004F191F">
                  <w:pPr>
                    <w:pStyle w:val="TL-Identifikace-dole"/>
                  </w:pPr>
                  <w:r>
                    <w:t xml:space="preserve"> </w:t>
                  </w:r>
                </w:p>
                <w:p w:rsidR="0019156A" w:rsidRDefault="0019156A" w:rsidP="004F191F">
                  <w:pPr>
                    <w:pStyle w:val="TL-Identifikace-dole"/>
                  </w:pPr>
                  <w:r>
                    <w:t xml:space="preserve">                            e-mail</w:t>
                  </w:r>
                  <w:r w:rsidRPr="006C5577">
                    <w:t>:</w:t>
                  </w:r>
                  <w:r>
                    <w:t xml:space="preserve"> </w:t>
                  </w:r>
                  <w:hyperlink r:id="rId9" w:history="1">
                    <w:r w:rsidRPr="004640D1">
                      <w:rPr>
                        <w:rStyle w:val="Hypertextovodkaz"/>
                      </w:rPr>
                      <w:t>jiri.kamenicky@czso.cz</w:t>
                    </w:r>
                  </w:hyperlink>
                  <w:r>
                    <w:t>, tel: 274 052 741</w:t>
                  </w:r>
                </w:p>
              </w:txbxContent>
            </v:textbox>
            <w10:wrap anchorx="page" anchory="page"/>
            <w10:anchorlock/>
          </v:shape>
        </w:pict>
      </w:r>
      <w:r w:rsidRPr="00D9769A">
        <w:rPr>
          <w:noProof/>
        </w:rPr>
        <w:pict>
          <v:shape id="Text Box 25" o:spid="_x0000_s1028" type="#_x0000_t202" style="position:absolute;margin-left:134.65pt;margin-top:358.2pt;width:394.6pt;height:155.55pt;z-index:25165977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" filled="f" stroked="f">
            <v:textbox inset="0,0,0,0">
              <w:txbxContent>
                <w:p w:rsidR="0019156A" w:rsidRPr="00D31445" w:rsidRDefault="0019156A" w:rsidP="004F191F">
                  <w:pPr>
                    <w:pStyle w:val="TL-identifikace-sted"/>
                  </w:pPr>
                  <w:r>
                    <w:t>Souhrnná data o České republice</w:t>
                  </w:r>
                </w:p>
                <w:p w:rsidR="0019156A" w:rsidRPr="00473E94" w:rsidRDefault="0019156A" w:rsidP="004F191F">
                  <w:pPr>
                    <w:pStyle w:val="TL-identifikace-sted"/>
                    <w:rPr>
                      <w:color w:val="000000"/>
                    </w:rPr>
                  </w:pPr>
                  <w:bookmarkStart w:id="0" w:name="_GoBack"/>
                  <w:r>
                    <w:rPr>
                      <w:color w:val="000000"/>
                    </w:rPr>
                    <w:t>Praha, 21. 12. 2016</w:t>
                  </w:r>
                </w:p>
                <w:bookmarkEnd w:id="0"/>
                <w:p w:rsidR="0019156A" w:rsidRPr="002E73F2" w:rsidRDefault="0019156A" w:rsidP="004F191F">
                  <w:pPr>
                    <w:pStyle w:val="TL-identifikace-sted"/>
                  </w:pPr>
                  <w:r w:rsidRPr="00D31445">
                    <w:t xml:space="preserve">Kód </w:t>
                  </w:r>
                  <w:r>
                    <w:t>publikace: 320193-16</w:t>
                  </w:r>
                </w:p>
                <w:p w:rsidR="0019156A" w:rsidRPr="004117CE" w:rsidRDefault="001219AF" w:rsidP="004F191F">
                  <w:pPr>
                    <w:spacing w:after="200"/>
                    <w:rPr>
                      <w:color w:val="0D0D0D"/>
                      <w:sz w:val="24"/>
                    </w:rPr>
                  </w:pPr>
                  <w:r>
                    <w:rPr>
                      <w:color w:val="0D0D0D"/>
                      <w:sz w:val="24"/>
                    </w:rPr>
                    <w:t>Č. j.: 3047</w:t>
                  </w:r>
                  <w:r w:rsidR="0019156A" w:rsidRPr="004117CE">
                    <w:rPr>
                      <w:color w:val="0D0D0D"/>
                      <w:sz w:val="24"/>
                    </w:rPr>
                    <w:t>/2016</w:t>
                  </w:r>
                  <w:r>
                    <w:rPr>
                      <w:color w:val="0D0D0D"/>
                      <w:sz w:val="24"/>
                    </w:rPr>
                    <w:t>-01</w:t>
                  </w:r>
                </w:p>
                <w:p w:rsidR="0019156A" w:rsidRPr="00D31445" w:rsidRDefault="0019156A" w:rsidP="004F191F">
                  <w:pPr>
                    <w:spacing w:after="200"/>
                    <w:rPr>
                      <w:sz w:val="24"/>
                    </w:rPr>
                  </w:pPr>
                  <w:r>
                    <w:rPr>
                      <w:sz w:val="24"/>
                    </w:rPr>
                    <w:t>Pořadové číslo v roce: 3</w:t>
                  </w:r>
                </w:p>
              </w:txbxContent>
            </v:textbox>
            <w10:wrap anchorx="page" anchory="page"/>
            <w10:anchorlock/>
          </v:shape>
        </w:pict>
      </w:r>
      <w:r w:rsidRPr="00D9769A">
        <w:rPr>
          <w:noProof/>
        </w:rPr>
        <w:pict>
          <v:shape id="_x0000_s1029" type="#_x0000_t202" style="position:absolute;margin-left:134.65pt;margin-top:116.25pt;width:371.15pt;height:135.2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" filled="f" stroked="f">
            <v:textbox style="mso-fit-shape-to-text:t" inset="0,0,0,0">
              <w:txbxContent>
                <w:p w:rsidR="0019156A" w:rsidRPr="001C357A" w:rsidRDefault="0019156A" w:rsidP="001C357A">
                  <w:pPr>
                    <w:pStyle w:val="Podtitul"/>
                    <w:rPr>
                      <w:sz w:val="56"/>
                      <w:szCs w:val="56"/>
                    </w:rPr>
                  </w:pPr>
                  <w:r>
                    <w:rPr>
                      <w:sz w:val="56"/>
                      <w:szCs w:val="56"/>
                    </w:rPr>
                    <w:t>VÝVOJ EKONOMIKY Č</w:t>
                  </w:r>
                  <w:r w:rsidRPr="001C357A">
                    <w:rPr>
                      <w:sz w:val="56"/>
                      <w:szCs w:val="56"/>
                    </w:rPr>
                    <w:t>E</w:t>
                  </w:r>
                  <w:r>
                    <w:rPr>
                      <w:sz w:val="56"/>
                      <w:szCs w:val="56"/>
                    </w:rPr>
                    <w:t>SKÉ REPUBLIKY V 1. AŽ 3. ČTVRTLETÍ 2016</w:t>
                  </w:r>
                </w:p>
                <w:p w:rsidR="0019156A" w:rsidRPr="009B04D0" w:rsidRDefault="0019156A" w:rsidP="004F191F">
                  <w:pPr>
                    <w:pStyle w:val="Podtitul"/>
                  </w:pPr>
                </w:p>
              </w:txbxContent>
            </v:textbox>
            <w10:wrap anchorx="page" anchory="page"/>
            <w10:anchorlock/>
          </v:shape>
        </w:pict>
      </w:r>
      <w:r w:rsidRPr="00D9769A">
        <w:rPr>
          <w:noProof/>
        </w:rPr>
        <w:pict>
          <v:group id="Group 24" o:spid="_x0000_s1030" style="position:absolute;margin-left:45.1pt;margin-top:36.85pt;width:177.15pt;height:43.65pt;z-index:251657728;mso-position-horizontal-relative:page;mso-position-vertical-relative:page" coordorigin="567,851" coordsize="2714,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">
            <o:lock v:ext="edit" aspectratio="t"/>
            <v:rect id="Rectangle 9" o:spid="_x0000_s1031" style="position:absolute;left:1215;top:901;width:676;height:1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Edfb4A&#10;AADaAAAADwAAAGRycy9kb3ducmV2LnhtbERPTYvCMBC9L/gfwgje1lQPrlTTIooguB62Cl7HZmyD&#10;zaQ00Xb/vTks7PHxvtf5YBvxos4bxwpm0wQEcem04UrB5bz/XILwAVlj45gU/JKHPBt9rDHVrucf&#10;ehWhEjGEfYoK6hDaVEpf1mTRT11LHLm76yyGCLtK6g77GG4bOU+ShbRoODbU2NK2pvJRPK0CI797&#10;W5yuO5c827O5ft2WPhyVmoyHzQpEoCH8i//cB60gbo1X4g2Q2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vBHX2+AAAA2gAAAA8AAAAAAAAAAAAAAAAAmAIAAGRycy9kb3ducmV2&#10;LnhtbFBLBQYAAAAABAAEAPUAAACDAwAAAAA=&#10;" fillcolor="#0071bc" stroked="f">
              <o:lock v:ext="edit" aspectratio="t"/>
            </v:rect>
            <v:rect id="Rectangle 10" o:spid="_x0000_s1032" style="position:absolute;left:567;top:1131;width:1324;height:1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245sIA&#10;AADaAAAADwAAAGRycy9kb3ducmV2LnhtbESPT4vCMBTE74LfITzBm6Z68E/XKIuysLB6sApen83b&#10;NmzzUppou9/eCILHYWZ+w6w2na3EnRpvHCuYjBMQxLnThgsF59PXaAHCB2SNlWNS8E8eNut+b4Wp&#10;di0f6Z6FQkQI+xQVlCHUqZQ+L8miH7uaOHq/rrEYomwKqRtsI9xWcpokM2nRcFwosaZtSflfdrMK&#10;jNy3Njtcdi651SdzmV8XPvwoNRx0nx8gAnXhHX61v7WCJTyvxBsg1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jbjmwgAAANoAAAAPAAAAAAAAAAAAAAAAAJgCAABkcnMvZG93&#10;bnJldi54bWxQSwUGAAAAAAQABAD1AAAAhwMAAAAA&#10;" fillcolor="#0071bc" stroked="f">
              <o:lock v:ext="edit" aspectratio="t"/>
            </v:rect>
            <v:rect id="Rectangle 11" o:spid="_x0000_s1033" style="position:absolute;left:1288;top:1361;width:603;height:1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CmR8QA&#10;AADbAAAADwAAAGRycy9kb3ducmV2LnhtbESPQWvCQBSE7wX/w/KE3pqNUtoQXUUshULbQxMh12f2&#10;mSxm34bsauK/dwuFHoeZ+YZZbyfbiSsN3jhWsEhSEMS104YbBYfy/SkD4QOyxs4xKbiRh+1m9rDG&#10;XLuRf+hahEZECPscFbQh9LmUvm7Jok9cTxy9kxsshiiHRuoBxwi3nVym6Yu0aDgutNjTvqX6XFys&#10;AiO/Rlt8V28uvfSlqV6PmQ+fSj3Op90KRKAp/If/2h9awfIZfr/EH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QpkfEAAAA2wAAAA8AAAAAAAAAAAAAAAAAmAIAAGRycy9k&#10;b3ducmV2LnhtbFBLBQYAAAAABAAEAPUAAACJAwAAAAA=&#10;" fillcolor="#0071bc" stroked="f">
              <o:lock v:ext="edit" aspectratio="t"/>
            </v:rect>
            <v:shape id="Freeform 12" o:spid="_x0000_s1034" style="position:absolute;left:1969;top:1311;width:600;height:207;visibility:visible;mso-wrap-style:square;v-text-anchor:top" coordsize="1200,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wcN8EA&#10;AADbAAAADwAAAGRycy9kb3ducmV2LnhtbESPQYvCMBSE78L+h/AEb5paUJauUYqs7IqnrfX+aN42&#10;xealNFHrvzeC4HGYmW+Y1WawrbhS7xvHCuazBARx5XTDtYLyuJt+gvABWWPrmBTcycNm/TFaYabd&#10;jf/oWoRaRAj7DBWYELpMSl8ZsuhnriOO3r/rLYYo+1rqHm8RbluZJslSWmw4LhjsaGuoOhcXq+A7&#10;J0N52W0L3renn9P5kDb7g1KT8ZB/gQg0hHf41f7VCtIFPL/EH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MHDfBAAAA2wAAAA8AAAAAAAAAAAAAAAAAmAIAAGRycy9kb3du&#10;cmV2LnhtbFBLBQYAAAAABAAEAPUAAACGAwAAAAA=&#10;" path="m1011,341r,-174l1030,167r10,2l1049,170r10,1l1067,174r7,3l1082,182r6,5l1094,194r5,6l1104,206r4,7l1112,221r2,7l1116,237r1,8l1117,253r,9l1116,271r-2,7l1112,287r-4,7l1104,301r-5,7l1094,314r-6,7l1082,326r-8,5l1067,334r-8,3l1049,338r-9,1l1030,341r-19,xm931,408r118,l1064,407r15,-3l1093,400r14,-5l1121,389r12,-9l1144,372r11,-10l1165,351r9,-12l1182,326r6,-13l1194,298r4,-14l1200,270r,-17l1200,238r-2,-15l1194,208r-6,-13l1182,181r-8,-12l1165,157r-10,-11l1144,136r-11,-10l1121,119r-14,-6l1093,108r-14,-5l1064,101r-15,-1l931,100r,308xm775,293r-67,l742,195r33,98xm797,354r20,54l901,408,785,100r-87,l581,408r84,l686,354r111,xm347,37r83,46l513,37,491,3,430,34,369,3,347,37xm407,238r,-77l422,161r10,1l442,164r7,2l455,170r6,6l466,182r3,9l470,200r-1,8l466,216r-5,7l455,230r-6,3l442,236r-10,1l422,238r-15,xm485,282r13,-4l508,275r8,-5l525,263r6,-6l536,250r5,-8l545,233r4,-8l551,215r1,-10l552,195r,-9l551,176r-2,-9l546,159r-4,-9l537,141r-5,-7l526,128r-7,-8l511,115r-7,-5l495,106r-10,-2l475,101r-12,-1l450,100r-123,l327,408r80,l407,289r76,119l582,408,485,282xm210,35l171,,105,56r28,29l210,35xm80,100l,100,,278r,15l2,308r1,13l5,333r4,10l13,353r4,9l23,369r9,10l43,389r11,8l68,403r15,6l99,413r16,2l133,415r16,l165,413r14,-4l192,404r14,-5l217,392r11,-9l238,372r8,-9l253,353r5,-10l262,333r3,-12l267,308r1,-15l268,278r,-178l189,100r,167l189,287r-2,14l185,311r-4,10l177,326r-5,5l167,334r-6,4l155,341r-6,2l141,344r-7,2l126,344r-6,-1l114,342r-6,-3l103,336r-5,-4l93,327r-4,-5l84,312,81,302,80,288r,-21l80,100xe" fillcolor="#bd1b21" stroked="f">
              <v:path arrowok="t" o:connecttype="custom" o:connectlocs="520,84;537,88;550,100;557,114;559,131;554,147;544,160;530,168;506,170;540,202;567,190;587,169;599,142;599,111;587,84;567,63;540,51;466,204;388,146;393,50;343,177;257,18;174,18;216,81;231,88;235,104;225,116;204,119;258,135;271,121;276,102;275,83;266,67;252,55;232,50;204,204;243,141;67,42;0,139;3,166;12,184;34,201;67,207;96,202;119,186;131,166;134,139;95,143;89,163;78,170;63,172;52,168;42,156;40,50" o:connectangles="0,0,0,0,0,0,0,0,0,0,0,0,0,0,0,0,0,0,0,0,0,0,0,0,0,0,0,0,0,0,0,0,0,0,0,0,0,0,0,0,0,0,0,0,0,0,0,0,0,0,0,0,0,0"/>
              <o:lock v:ext="edit" aspectratio="t" verticies="t"/>
            </v:shape>
            <v:shape id="Freeform 13" o:spid="_x0000_s1035" style="position:absolute;left:1962;top:1081;width:1319;height:208;visibility:visible;mso-wrap-style:square;v-text-anchor:top" coordsize="2637,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haAMYA&#10;AADbAAAADwAAAGRycy9kb3ducmV2LnhtbESPQWvCQBSE7wX/w/KEXqRuVBBJ3YSiFKQqqGkPvT2y&#10;r0lo9m3Y3Zr033cFocdhZr5h1vlgWnEl5xvLCmbTBARxaXXDlYL34vVpBcIHZI2tZVLwSx7ybPSw&#10;xlTbns90vYRKRAj7FBXUIXSplL6syaCf2o44el/WGQxRukpqh32Em1bOk2QpDTYcF2rsaFNT+X35&#10;MQo2RfvhFod+f3aT7e7t81jJ4nhS6nE8vDyDCDSE//C9vdMK5ku4fYk/QG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7haAMYAAADbAAAADwAAAAAAAAAAAAAAAACYAgAAZHJz&#10;L2Rvd25yZXYueG1sUEsFBgAAAAAEAAQA9QAAAIsDAAAAAA==&#10;" path="m2561,35l2524,r-66,56l2485,84r76,-49xm2442,260r,147l2521,407r,-147l2637,99r-97,l2484,183,2427,99r-96,l2442,260xm2143,226r,-127l2063,99r,308l2143,407r,-133l2247,407r104,l2217,245,2340,99r-100,l2143,226xm2008,108r-21,-6l1969,97r-17,-4l1936,93r-18,l1902,96r-16,5l1871,106r-14,6l1844,121r-13,8l1820,140r-11,12l1800,164r-9,14l1785,192r-5,15l1775,223r-2,16l1773,256r,15l1775,286r3,14l1783,314r6,13l1795,340r9,11l1813,362r12,11l1839,385r15,8l1869,401r16,6l1902,412r16,3l1936,416r15,-1l1966,413r17,-5l2008,401r,-95l1999,314r-7,6l1983,326r-7,4l1967,334r-10,2l1948,337r-10,l1931,337r-8,-1l1916,335r-8,-3l1902,330r-6,-4l1889,322r-5,-5l1876,311r-5,-6l1866,299r-4,-8l1860,283r-3,-9l1856,265r,-10l1856,246r1,-8l1860,229r2,-8l1865,214r5,-7l1874,200r5,-6l1885,189r6,-5l1898,180r7,-3l1913,174r8,-2l1930,170r8,l1948,170r10,3l1967,175r10,4l1984,184r9,5l2001,197r7,7l2008,108xm1727,99r-80,l1647,407r80,l1727,99xm1538,167r66,l1604,99r-210,l1394,167r65,l1459,407r79,l1538,167xm1360,117r-11,-6l1337,106r-13,-4l1313,98r-13,-2l1288,93r-12,-1l1263,92r-11,l1241,94r-10,2l1221,99r-10,4l1203,108r-8,6l1187,121r-6,7l1175,136r-5,8l1166,153r-4,10l1161,174r-3,10l1158,195r,10l1160,215r2,9l1165,231r3,8l1172,245r5,6l1183,256r9,7l1203,269r16,6l1242,281r12,5l1264,290r9,4l1279,297r5,4l1287,306r2,5l1289,317r,7l1287,330r-4,5l1279,339r-6,3l1267,345r-8,1l1251,347r-9,l1233,345r-9,-1l1216,340r-9,-5l1198,330r-8,-6l1180,316r-34,65l1158,388r13,8l1185,401r13,5l1212,410r14,3l1239,415r14,l1266,415r12,-2l1290,411r12,-4l1313,403r10,-5l1333,392r9,-6l1349,378r6,-7l1360,362r5,-10l1369,342r2,-11l1373,319r,-13l1371,290r-2,-15l1366,269r-3,-6l1359,258r-4,-7l1350,246r-5,-5l1339,238r-7,-4l1315,226r-17,-6l1276,213r-13,-4l1256,205r-7,-5l1247,198r-3,-4l1242,189r,-4l1243,179r1,-5l1248,170r4,-3l1257,163r6,-3l1269,159r8,-1l1283,159r6,l1297,162r6,1l1315,170r14,9l1360,117xm1091,99r-80,l1011,407r80,l1091,99xm904,167r66,l970,99r-212,l758,167r67,l825,407r79,l904,167xm644,292r-66,l611,194r33,98xm666,354r20,53l771,407,655,99r-87,l450,407r84,l555,354r111,xm395,167r66,l461,99r-212,l249,167r66,l315,407r80,l395,167xm214,117r-11,-6l190,106r-12,-4l167,98,154,96,142,93,129,92r-12,l106,92,94,94,84,96r-9,3l65,103r-9,5l48,114r-7,7l35,128r-7,8l23,144r-3,9l16,163r-1,11l12,184r,11l12,205r1,10l16,224r2,7l22,239r4,6l31,251r6,5l46,263r11,6l73,275r23,6l108,286r10,4l127,294r6,3l138,301r3,5l143,311r,6l143,324r-2,6l137,335r-4,4l127,342r-6,3l113,346r-9,1l96,347r-9,-2l78,344r-8,-4l61,335r-9,-5l43,324,33,316,,381r12,7l25,396r13,5l52,406r14,4l79,413r14,2l107,415r12,l132,413r12,-2l155,407r12,-4l177,398r10,-6l195,386r8,-8l209,371r5,-9l219,352r4,-10l225,331r2,-12l227,306r-2,-16l223,275r-3,-6l217,263r-4,-5l209,251r-5,-5l199,241r-6,-3l185,234r-16,-8l151,220r-22,-7l117,209r-8,-4l103,200r-4,-2l98,194r-2,-5l96,185r1,-6l98,174r4,-4l106,167r5,-4l117,160r6,-1l129,158r8,1l143,159r8,3l157,163r12,7l183,179r31,-62xe" fillcolor="#bd1b21" stroked="f">
              <v:path arrowok="t" o:connecttype="custom" o:connectlocs="1221,204;1166,50;1072,137;1004,54;943,51;900,82;887,136;907,181;959,208;1000,157;969,169;945,161;929,137;933,107;953,89;984,88;864,50;802,50;680,59;638,46;602,54;581,82;583,116;610,138;644,153;637,171;608,170;586,198;633,208;671,193;687,160;678,126;638,107;621,93;635,80;665,90;452,84;452,204;343,204;333,177;158,204;84,49;42,48;14,68;6,103;19,128;64,147;71,165;48,174;17,158;40,207;84,202;110,176;110,135;93,117;50,99;53,84;76,81" o:connectangles="0,0,0,0,0,0,0,0,0,0,0,0,0,0,0,0,0,0,0,0,0,0,0,0,0,0,0,0,0,0,0,0,0,0,0,0,0,0,0,0,0,0,0,0,0,0,0,0,0,0,0,0,0,0,0,0,0,0"/>
              <o:lock v:ext="edit" aspectratio="t" verticies="t"/>
            </v:shape>
            <v:shape id="Freeform 14" o:spid="_x0000_s1036" style="position:absolute;left:1962;top:851;width:679;height:208;visibility:visible;mso-wrap-style:square;v-text-anchor:top" coordsize="1358,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gzGsMA&#10;AADbAAAADwAAAGRycy9kb3ducmV2LnhtbESPQWvCQBSE74L/YXmCF6mbetCSukpVot5KVXp+zT6T&#10;0OzbdHc18d+7BcHjMPPNMPNlZ2pxJecrywpexwkI4tzqigsFp2P28gbCB2SNtWVScCMPy0W/N8dU&#10;25a/6HoIhYgl7FNUUIbQpFL6vCSDfmwb4uidrTMYonSF1A7bWG5qOUmSqTRYcVwosaF1Sfnv4WIU&#10;TKbfP7tsX6w+6+3fyOnzJhu1G6WGg+7jHUSgLjzDD3qvIzeD/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UgzGsMAAADbAAAADwAAAAAAAAAAAAAAAACYAgAAZHJzL2Rv&#10;d25yZXYueG1sUEsFBgAAAAAEAAQA9QAAAIgDAAAAAA==&#10;" path="m1282,36l1243,r-65,56l1205,85r77,-49xm1162,260r,147l1242,407r,-147l1358,100r-97,l1205,183r-59,-83l1051,100r111,160xm863,227r,-127l783,100r,307l863,407r,-133l967,407r104,l938,245,1059,100r-99,l863,227xm721,117r-12,-5l697,107r-12,-5l673,98,660,96,648,93,635,92r-11,l611,92r-9,3l590,97r-10,3l572,103r-9,5l555,115r-7,6l542,128r-7,8l531,145r-4,8l523,163r-2,11l519,184r,12l519,206r2,10l522,224r2,8l528,239r5,6l538,252r5,5l552,263r12,6l580,275r22,7l614,287r11,3l634,294r6,4l644,301r4,5l649,311r1,7l649,324r-1,6l644,335r-5,4l634,343r-8,2l619,348r-8,l603,348r-9,-3l585,344r-8,-4l568,335r-9,-5l549,324r-9,-8l507,381r12,8l532,396r12,5l558,406r14,4l585,414r14,1l613,415r13,l639,414r12,-3l663,407r11,-3l684,399r10,-7l702,386r7,-7l716,371r5,-8l725,353r4,-10l731,331r1,-12l734,306r-2,-16l729,275r-3,-6l724,263r-4,-5l716,252r-5,-5l705,243r-6,-5l692,234r-16,-7l658,221r-22,-7l624,209r-9,-3l610,201r-3,-3l604,194r-1,-5l603,186r,-5l605,174r3,-3l611,167r7,-4l623,161r6,-2l636,158r7,1l650,159r6,3l663,163r13,8l689,179r32,-62xm463,167r,-67l289,100r,307l463,407r,-67l369,340r,-53l458,287r,-68l369,219r,-52l463,167xm66,36r82,46l231,36,210,2,148,34,87,2,66,36xm235,108r-20,-6l197,97,180,95,163,93r-17,2l129,96r-15,5l99,106r-15,6l71,121r-13,9l47,141,37,152,27,164r-7,14l12,192,7,207,3,223,1,239,,257r,15l2,287r4,13l10,314r6,14l22,340r9,11l41,363r12,11l66,385r15,9l97,401r16,6l129,412r18,3l163,416r16,-1l193,414r19,-5l235,401r,-95l228,314r-9,6l212,326r-9,4l194,334r-9,2l175,338r-10,1l158,338r-7,-2l143,335r-6,-2l129,330r-6,-4l117,323r-6,-5l104,311r-6,-6l93,299r-4,-7l87,283r-3,-9l83,265r,-10l83,247r1,-9l87,229r2,-7l93,214r4,-7l102,201r5,-7l112,189r6,-5l126,181r7,-4l141,174r7,-2l157,171r8,l175,171r10,2l195,176r9,3l213,184r7,5l228,197r7,7l235,108xe" fillcolor="#bd1b21" stroked="f">
              <v:path arrowok="t" o:connecttype="custom" o:connectlocs="641,18;679,50;581,130;432,204;530,50;349,54;318,46;290,50;271,64;261,87;261,112;272,129;307,144;324,153;322,168;306,174;284,168;260,195;293,207;326,206;351,193;365,172;365,138;356,124;329,111;304,99;303,87;315,80;332,82;232,50;185,170;185,84;105,1;108,51;65,48;29,65;6,96;0,136;11,170;41,197;82,208;118,153;97,167;76,168;59,162;45,146;42,124;49,104;63,91;83,86;107,92" o:connectangles="0,0,0,0,0,0,0,0,0,0,0,0,0,0,0,0,0,0,0,0,0,0,0,0,0,0,0,0,0,0,0,0,0,0,0,0,0,0,0,0,0,0,0,0,0,0,0,0,0,0,0"/>
              <o:lock v:ext="edit" aspectratio="t" verticies="t"/>
            </v:shape>
            <w10:wrap type="square" anchorx="page" anchory="page"/>
          </v:group>
        </w:pict>
      </w:r>
    </w:p>
    <w:p w:rsidR="00576A3E" w:rsidRPr="00A74192" w:rsidRDefault="00576A3E" w:rsidP="00D94859">
      <w:pPr>
        <w:pStyle w:val="Styl1"/>
        <w:rPr>
          <w:rFonts w:cs="Arial"/>
          <w:sz w:val="20"/>
        </w:rPr>
      </w:pPr>
    </w:p>
    <w:p w:rsidR="00576A3E" w:rsidRPr="00A74192" w:rsidRDefault="00576A3E" w:rsidP="00D94859">
      <w:pPr>
        <w:pStyle w:val="Styl1"/>
        <w:rPr>
          <w:rFonts w:cs="Arial"/>
          <w:sz w:val="20"/>
        </w:rPr>
      </w:pPr>
    </w:p>
    <w:p w:rsidR="00576A3E" w:rsidRPr="00A74192" w:rsidRDefault="00576A3E" w:rsidP="00D94859">
      <w:pPr>
        <w:pStyle w:val="Styl1"/>
        <w:rPr>
          <w:rFonts w:cs="Arial"/>
          <w:sz w:val="20"/>
        </w:rPr>
      </w:pPr>
    </w:p>
    <w:p w:rsidR="00576A3E" w:rsidRPr="00A74192" w:rsidRDefault="00576A3E" w:rsidP="00D94859">
      <w:pPr>
        <w:autoSpaceDE w:val="0"/>
        <w:autoSpaceDN w:val="0"/>
        <w:adjustRightInd w:val="0"/>
        <w:spacing w:line="240" w:lineRule="auto"/>
        <w:jc w:val="both"/>
        <w:rPr>
          <w:rFonts w:cs="Arial"/>
        </w:rPr>
      </w:pPr>
    </w:p>
    <w:p w:rsidR="00576A3E" w:rsidRPr="00A74192" w:rsidRDefault="00D9769A" w:rsidP="00D94859">
      <w:pPr>
        <w:autoSpaceDE w:val="0"/>
        <w:autoSpaceDN w:val="0"/>
        <w:adjustRightInd w:val="0"/>
        <w:spacing w:line="240" w:lineRule="auto"/>
        <w:jc w:val="both"/>
        <w:rPr>
          <w:rFonts w:cs="Arial"/>
          <w:lang w:eastAsia="ar-SA"/>
        </w:rPr>
      </w:pPr>
      <w:r w:rsidRPr="00D9769A">
        <w:rPr>
          <w:noProof/>
        </w:rPr>
        <w:pict>
          <v:line id="Přímá spojnice 33" o:spid="_x0000_s1037" style="position:absolute;left:0;text-align:left;z-index:251656704;visibility:visible;mso-wrap-distance-top:-3e-5mm;mso-wrap-distance-bottom:-3e-5mm;mso-position-horizontal-relative:page;mso-position-vertical-relative:page" from="134.65pt,737.1pt" to="538.6pt,7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" o:allowincell="f" strokecolor="windowText" strokeweight="1pt">
            <o:lock v:ext="edit" shapetype="f"/>
            <w10:wrap anchorx="page" anchory="page"/>
            <w10:anchorlock/>
          </v:line>
        </w:pict>
      </w:r>
      <w:r w:rsidR="00576A3E" w:rsidRPr="00A74192">
        <w:rPr>
          <w:rFonts w:cs="Arial"/>
        </w:rPr>
        <w:br w:type="page"/>
      </w:r>
    </w:p>
    <w:p w:rsidR="00576A3E" w:rsidRPr="00A74192" w:rsidRDefault="00576A3E" w:rsidP="00D94859">
      <w:pPr>
        <w:pStyle w:val="Styl1"/>
        <w:rPr>
          <w:rFonts w:cs="Arial"/>
          <w:sz w:val="20"/>
        </w:rPr>
      </w:pPr>
    </w:p>
    <w:p w:rsidR="00576A3E" w:rsidRPr="00A74192" w:rsidRDefault="00576A3E" w:rsidP="00D94859">
      <w:pPr>
        <w:pStyle w:val="Styl1"/>
        <w:rPr>
          <w:rFonts w:cs="Arial"/>
          <w:sz w:val="20"/>
        </w:rPr>
      </w:pPr>
    </w:p>
    <w:p w:rsidR="00576A3E" w:rsidRPr="00A74192" w:rsidRDefault="00576A3E" w:rsidP="00D94859">
      <w:pPr>
        <w:spacing w:line="240" w:lineRule="auto"/>
        <w:rPr>
          <w:rFonts w:cs="Arial"/>
          <w:lang w:eastAsia="ar-SA"/>
        </w:rPr>
      </w:pPr>
    </w:p>
    <w:p w:rsidR="00576A3E" w:rsidRPr="00A74192" w:rsidRDefault="00576A3E" w:rsidP="00D94859">
      <w:pPr>
        <w:pStyle w:val="Styl1"/>
        <w:rPr>
          <w:rFonts w:cs="Arial"/>
          <w:sz w:val="20"/>
        </w:rPr>
      </w:pPr>
    </w:p>
    <w:p w:rsidR="00576A3E" w:rsidRPr="00A74192" w:rsidRDefault="00D9769A" w:rsidP="00D94859">
      <w:pPr>
        <w:pStyle w:val="Styl1"/>
        <w:rPr>
          <w:rFonts w:cs="Arial"/>
          <w:color w:val="7DB41E"/>
          <w:sz w:val="20"/>
          <w:szCs w:val="20"/>
        </w:rPr>
      </w:pPr>
      <w:r w:rsidRPr="00D9769A">
        <w:rPr>
          <w:noProof/>
          <w:lang w:eastAsia="cs-CZ"/>
        </w:rPr>
        <w:pict>
          <v:shape id="_x0000_s1038" type="#_x0000_t202" style="position:absolute;margin-left:56.7pt;margin-top:116.25pt;width:481.9pt;height:595.3pt;z-index:25165568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" filled="f" stroked="f">
            <v:textbox inset="0,0,0,0">
              <w:txbxContent>
                <w:p w:rsidR="0019156A" w:rsidRPr="00D766EF" w:rsidRDefault="0019156A" w:rsidP="00437C76">
                  <w:pPr>
                    <w:pStyle w:val="TL-Kontakty"/>
                  </w:pPr>
                  <w:r w:rsidRPr="00D766EF">
                    <w:rPr>
                      <w:caps w:val="0"/>
                    </w:rPr>
                    <w:t>KONTAKTY V</w:t>
                  </w:r>
                  <w:r w:rsidRPr="00D766EF">
                    <w:t> ÚSTŘEDÍ</w:t>
                  </w:r>
                </w:p>
                <w:p w:rsidR="0019156A" w:rsidRPr="00EA4153" w:rsidRDefault="0019156A" w:rsidP="00BD366B">
                  <w:pPr>
                    <w:spacing w:after="80" w:line="240" w:lineRule="auto"/>
                    <w:rPr>
                      <w:b/>
                      <w:color w:val="0071BC"/>
                    </w:rPr>
                  </w:pPr>
                  <w:r w:rsidRPr="00320214">
                    <w:rPr>
                      <w:b/>
                      <w:color w:val="0071BC"/>
                    </w:rPr>
                    <w:t>Český statistický úřad</w:t>
                  </w:r>
                  <w:r>
                    <w:rPr>
                      <w:b/>
                      <w:color w:val="0071BC"/>
                    </w:rPr>
                    <w:t xml:space="preserve"> | </w:t>
                  </w:r>
                  <w:r>
                    <w:t xml:space="preserve">Na padesátém 81, 100 82 Praha 10 | tel.: 274 051 111 | </w:t>
                  </w:r>
                  <w:r w:rsidRPr="00841D9F">
                    <w:rPr>
                      <w:b/>
                      <w:bCs/>
                    </w:rPr>
                    <w:t>www.czso.cz</w:t>
                  </w:r>
                </w:p>
                <w:p w:rsidR="0019156A" w:rsidRPr="00B27293" w:rsidRDefault="0019156A" w:rsidP="00BD366B">
                  <w:pPr>
                    <w:spacing w:after="80" w:line="240" w:lineRule="auto"/>
                  </w:pPr>
                  <w:r w:rsidRPr="00100014">
                    <w:rPr>
                      <w:b/>
                    </w:rPr>
                    <w:t>Oddělení informačních služeb</w:t>
                  </w:r>
                  <w:r w:rsidRPr="00EA4153">
                    <w:t xml:space="preserve"> |</w:t>
                  </w:r>
                  <w:r>
                    <w:rPr>
                      <w:b/>
                    </w:rPr>
                    <w:t xml:space="preserve"> </w:t>
                  </w:r>
                  <w:r>
                    <w:t>tel.: 274 052 304, 274 052 451 | e-mail: infoservis@czso.cz</w:t>
                  </w:r>
                </w:p>
                <w:p w:rsidR="0019156A" w:rsidRPr="00EA4153" w:rsidRDefault="0019156A" w:rsidP="00BD366B">
                  <w:pPr>
                    <w:spacing w:after="80" w:line="240" w:lineRule="auto"/>
                    <w:rPr>
                      <w:b/>
                    </w:rPr>
                  </w:pPr>
                  <w:r w:rsidRPr="00100014">
                    <w:rPr>
                      <w:b/>
                    </w:rPr>
                    <w:t>Prodejna publikací ČSÚ</w:t>
                  </w:r>
                  <w:r>
                    <w:t xml:space="preserve"> | tel.: 274 052 361 | e-mail: prodejna@czso.cz</w:t>
                  </w:r>
                </w:p>
                <w:p w:rsidR="0019156A" w:rsidRPr="00EA4153" w:rsidRDefault="0019156A" w:rsidP="00BD366B">
                  <w:pPr>
                    <w:spacing w:after="80" w:line="240" w:lineRule="auto"/>
                    <w:rPr>
                      <w:b/>
                    </w:rPr>
                  </w:pPr>
                  <w:r>
                    <w:rPr>
                      <w:b/>
                    </w:rPr>
                    <w:t xml:space="preserve">Evropská data (ESDS), </w:t>
                  </w:r>
                  <w:r w:rsidRPr="00100014">
                    <w:rPr>
                      <w:b/>
                    </w:rPr>
                    <w:t>mezinárodní srovnání</w:t>
                  </w:r>
                  <w:r>
                    <w:t xml:space="preserve"> | tel.: 274 052 347, 274 052 757 | e-mail: esds@czso.cz</w:t>
                  </w:r>
                </w:p>
                <w:p w:rsidR="0019156A" w:rsidRPr="00EA4153" w:rsidRDefault="0019156A" w:rsidP="00BD366B">
                  <w:pPr>
                    <w:spacing w:after="80" w:line="240" w:lineRule="auto"/>
                    <w:rPr>
                      <w:b/>
                    </w:rPr>
                  </w:pPr>
                  <w:r w:rsidRPr="00100014">
                    <w:rPr>
                      <w:b/>
                    </w:rPr>
                    <w:t>Ústřední statistická knihovna</w:t>
                  </w:r>
                  <w:r>
                    <w:t xml:space="preserve"> | tel.: 274 052 361 | e-mail: knihovna@czso.cz</w:t>
                  </w:r>
                </w:p>
                <w:p w:rsidR="0019156A" w:rsidRDefault="0019156A" w:rsidP="00BD366B">
                  <w:pPr>
                    <w:spacing w:line="240" w:lineRule="auto"/>
                  </w:pPr>
                </w:p>
                <w:p w:rsidR="0019156A" w:rsidRPr="0071229A" w:rsidRDefault="0019156A" w:rsidP="004F06F5">
                  <w:pPr>
                    <w:pStyle w:val="TL-Kontakty"/>
                  </w:pPr>
                  <w:r w:rsidRPr="0071229A">
                    <w:t>INFORMAČNÍ SLUŽBY V REGIONECH</w:t>
                  </w:r>
                </w:p>
                <w:p w:rsidR="0019156A" w:rsidRDefault="0019156A" w:rsidP="00BD366B">
                  <w:pPr>
                    <w:spacing w:line="240" w:lineRule="auto"/>
                  </w:pPr>
                  <w:r w:rsidRPr="00100014">
                    <w:rPr>
                      <w:b/>
                      <w:color w:val="0071BC"/>
                    </w:rPr>
                    <w:t>Hl. m. Praha</w:t>
                  </w:r>
                  <w:r>
                    <w:t xml:space="preserve"> | Na padesátém 81, 100 82 Praha 10 | tel.: 274 052 673, 274 054 223</w:t>
                  </w:r>
                </w:p>
                <w:p w:rsidR="0019156A" w:rsidRPr="00100014" w:rsidRDefault="0019156A" w:rsidP="00BD366B">
                  <w:pPr>
                    <w:spacing w:line="240" w:lineRule="auto"/>
                    <w:rPr>
                      <w:b/>
                    </w:rPr>
                  </w:pPr>
                  <w:r>
                    <w:t xml:space="preserve">e-mail: infoservispraha@czso.cz | </w:t>
                  </w:r>
                  <w:r w:rsidRPr="00100014">
                    <w:rPr>
                      <w:b/>
                    </w:rPr>
                    <w:t>www.praha.czso.cz</w:t>
                  </w:r>
                </w:p>
                <w:p w:rsidR="0019156A" w:rsidRDefault="0019156A" w:rsidP="00BD366B">
                  <w:pPr>
                    <w:spacing w:line="240" w:lineRule="auto"/>
                  </w:pPr>
                </w:p>
                <w:p w:rsidR="0019156A" w:rsidRPr="00B27293" w:rsidRDefault="0019156A" w:rsidP="00BD366B">
                  <w:pPr>
                    <w:spacing w:line="240" w:lineRule="auto"/>
                    <w:rPr>
                      <w:b/>
                      <w:color w:val="0071BC"/>
                    </w:rPr>
                  </w:pPr>
                  <w:r w:rsidRPr="00100014">
                    <w:rPr>
                      <w:b/>
                      <w:color w:val="0071BC"/>
                    </w:rPr>
                    <w:t>Středočeský kraj</w:t>
                  </w:r>
                  <w:r>
                    <w:t xml:space="preserve"> | Na padesátém 81, 100 82 Praha 10</w:t>
                  </w:r>
                  <w:r w:rsidRPr="00B27293">
                    <w:t xml:space="preserve"> |</w:t>
                  </w:r>
                  <w:r w:rsidRPr="00B27293">
                    <w:rPr>
                      <w:b/>
                    </w:rPr>
                    <w:t xml:space="preserve"> </w:t>
                  </w:r>
                  <w:r>
                    <w:t>tel.: 274 054 175</w:t>
                  </w:r>
                </w:p>
                <w:p w:rsidR="0019156A" w:rsidRPr="00B27293" w:rsidRDefault="0019156A" w:rsidP="00BD366B">
                  <w:pPr>
                    <w:spacing w:line="240" w:lineRule="auto"/>
                  </w:pPr>
                  <w:r>
                    <w:t xml:space="preserve">e-mail: infoservisstc@czso.cz | </w:t>
                  </w:r>
                  <w:r w:rsidRPr="00100014">
                    <w:rPr>
                      <w:b/>
                    </w:rPr>
                    <w:t>www.stredocesky.czso.cz</w:t>
                  </w:r>
                </w:p>
                <w:p w:rsidR="0019156A" w:rsidRDefault="0019156A" w:rsidP="00BD366B">
                  <w:pPr>
                    <w:spacing w:line="240" w:lineRule="auto"/>
                  </w:pPr>
                </w:p>
                <w:p w:rsidR="0019156A" w:rsidRPr="00B27293" w:rsidRDefault="0019156A" w:rsidP="00BD366B">
                  <w:pPr>
                    <w:spacing w:line="240" w:lineRule="auto"/>
                    <w:rPr>
                      <w:b/>
                      <w:color w:val="0071BC"/>
                    </w:rPr>
                  </w:pPr>
                  <w:r w:rsidRPr="00100014">
                    <w:rPr>
                      <w:b/>
                      <w:color w:val="0071BC"/>
                    </w:rPr>
                    <w:t>České Budějovice</w:t>
                  </w:r>
                  <w:r>
                    <w:t xml:space="preserve"> | Žižkova 1, 370 77 České Budějovice | tel.: 386 718 440</w:t>
                  </w:r>
                </w:p>
                <w:p w:rsidR="0019156A" w:rsidRPr="00B27293" w:rsidRDefault="0019156A" w:rsidP="00BD366B">
                  <w:pPr>
                    <w:spacing w:line="240" w:lineRule="auto"/>
                  </w:pPr>
                  <w:r>
                    <w:t xml:space="preserve">e-mail: infoserviscb@czso.cz | </w:t>
                  </w:r>
                  <w:r w:rsidRPr="00100014">
                    <w:rPr>
                      <w:b/>
                    </w:rPr>
                    <w:t>www.cbudejovice.czso.cz</w:t>
                  </w:r>
                </w:p>
                <w:p w:rsidR="0019156A" w:rsidRDefault="0019156A" w:rsidP="00BD366B">
                  <w:pPr>
                    <w:spacing w:line="240" w:lineRule="auto"/>
                  </w:pPr>
                </w:p>
                <w:p w:rsidR="0019156A" w:rsidRPr="00B27293" w:rsidRDefault="0019156A" w:rsidP="00BD366B">
                  <w:pPr>
                    <w:spacing w:line="240" w:lineRule="auto"/>
                    <w:rPr>
                      <w:b/>
                      <w:color w:val="0071BC"/>
                    </w:rPr>
                  </w:pPr>
                  <w:r w:rsidRPr="0071229A">
                    <w:rPr>
                      <w:b/>
                      <w:color w:val="0071BC"/>
                    </w:rPr>
                    <w:t>Plzeň</w:t>
                  </w:r>
                  <w:r>
                    <w:t xml:space="preserve"> | Slovanská alej 36, 326 64 Plzeň | tel.: 377 612 108, 377 612 249</w:t>
                  </w:r>
                </w:p>
                <w:p w:rsidR="0019156A" w:rsidRPr="00B27293" w:rsidRDefault="0019156A" w:rsidP="00BD366B">
                  <w:pPr>
                    <w:spacing w:line="240" w:lineRule="auto"/>
                  </w:pPr>
                  <w:r>
                    <w:t xml:space="preserve">e-mail: infoservisplzen@czso.cz | </w:t>
                  </w:r>
                  <w:r w:rsidRPr="0071229A">
                    <w:rPr>
                      <w:b/>
                    </w:rPr>
                    <w:t>www.plzen.czso.cz</w:t>
                  </w:r>
                </w:p>
                <w:p w:rsidR="0019156A" w:rsidRDefault="0019156A" w:rsidP="00BD366B">
                  <w:pPr>
                    <w:spacing w:line="240" w:lineRule="auto"/>
                  </w:pPr>
                </w:p>
                <w:p w:rsidR="0019156A" w:rsidRPr="00B27293" w:rsidRDefault="0019156A" w:rsidP="00BD366B">
                  <w:pPr>
                    <w:spacing w:line="240" w:lineRule="auto"/>
                    <w:rPr>
                      <w:b/>
                      <w:color w:val="0071BC"/>
                    </w:rPr>
                  </w:pPr>
                  <w:r w:rsidRPr="0071229A">
                    <w:rPr>
                      <w:b/>
                      <w:color w:val="0071BC"/>
                    </w:rPr>
                    <w:t>Karlovy Vary</w:t>
                  </w:r>
                  <w:r>
                    <w:t xml:space="preserve"> | Závodní 360/94, 360 06 Karlovy Vary | tel.: 353 114 529, 353 114 525</w:t>
                  </w:r>
                </w:p>
                <w:p w:rsidR="0019156A" w:rsidRDefault="0019156A" w:rsidP="00BD366B">
                  <w:pPr>
                    <w:spacing w:line="240" w:lineRule="auto"/>
                    <w:rPr>
                      <w:b/>
                    </w:rPr>
                  </w:pPr>
                  <w:r>
                    <w:t xml:space="preserve">e-mail: infoserviskv@czso.cz | </w:t>
                  </w:r>
                  <w:r>
                    <w:rPr>
                      <w:b/>
                    </w:rPr>
                    <w:t>www.kvary.czso.cz</w:t>
                  </w:r>
                </w:p>
                <w:p w:rsidR="0019156A" w:rsidRDefault="0019156A" w:rsidP="00BD366B">
                  <w:pPr>
                    <w:spacing w:line="240" w:lineRule="auto"/>
                  </w:pPr>
                </w:p>
                <w:p w:rsidR="0019156A" w:rsidRPr="00B27293" w:rsidRDefault="0019156A" w:rsidP="00BD366B">
                  <w:pPr>
                    <w:spacing w:line="240" w:lineRule="auto"/>
                    <w:rPr>
                      <w:b/>
                      <w:bCs/>
                      <w:color w:val="0071BC"/>
                    </w:rPr>
                  </w:pPr>
                  <w:r w:rsidRPr="0071229A">
                    <w:rPr>
                      <w:b/>
                      <w:bCs/>
                      <w:color w:val="0071BC"/>
                    </w:rPr>
                    <w:t>Ústí nad Labem</w:t>
                  </w:r>
                  <w:r>
                    <w:t xml:space="preserve"> | </w:t>
                  </w:r>
                  <w:r w:rsidRPr="0071229A">
                    <w:rPr>
                      <w:bCs/>
                    </w:rPr>
                    <w:t>Špálova 2684, 400 11 Ústí nad Labem</w:t>
                  </w:r>
                  <w:r>
                    <w:t xml:space="preserve"> | </w:t>
                  </w:r>
                  <w:r w:rsidRPr="0071229A">
                    <w:rPr>
                      <w:bCs/>
                    </w:rPr>
                    <w:t>tel.: 472 706 176, 472 706 121</w:t>
                  </w:r>
                </w:p>
                <w:p w:rsidR="0019156A" w:rsidRPr="00B27293" w:rsidRDefault="0019156A" w:rsidP="00BD366B">
                  <w:pPr>
                    <w:spacing w:line="240" w:lineRule="auto"/>
                    <w:rPr>
                      <w:bCs/>
                    </w:rPr>
                  </w:pPr>
                  <w:r w:rsidRPr="0071229A">
                    <w:rPr>
                      <w:bCs/>
                    </w:rPr>
                    <w:t>e-mail: infoservisul@czso.cz</w:t>
                  </w:r>
                  <w:r>
                    <w:t xml:space="preserve"> | </w:t>
                  </w:r>
                  <w:r w:rsidRPr="0071229A">
                    <w:rPr>
                      <w:b/>
                      <w:bCs/>
                    </w:rPr>
                    <w:t>www.ustinadlabem.czso.cz</w:t>
                  </w:r>
                </w:p>
                <w:p w:rsidR="0019156A" w:rsidRPr="0071229A" w:rsidRDefault="0019156A" w:rsidP="00BD366B">
                  <w:pPr>
                    <w:spacing w:line="240" w:lineRule="auto"/>
                    <w:rPr>
                      <w:bCs/>
                    </w:rPr>
                  </w:pPr>
                </w:p>
                <w:p w:rsidR="0019156A" w:rsidRPr="00B27293" w:rsidRDefault="0019156A" w:rsidP="00BD366B">
                  <w:pPr>
                    <w:spacing w:line="240" w:lineRule="auto"/>
                    <w:rPr>
                      <w:b/>
                      <w:bCs/>
                      <w:color w:val="0071BC"/>
                    </w:rPr>
                  </w:pPr>
                  <w:r w:rsidRPr="0071229A">
                    <w:rPr>
                      <w:b/>
                      <w:bCs/>
                      <w:color w:val="0071BC"/>
                    </w:rPr>
                    <w:t>Liberec</w:t>
                  </w:r>
                  <w:r>
                    <w:t xml:space="preserve"> | </w:t>
                  </w:r>
                  <w:r w:rsidRPr="0071229A">
                    <w:rPr>
                      <w:bCs/>
                    </w:rPr>
                    <w:t>Nám. Dr. Edvarda Beneše 585/26, 460 01 Liberec 1</w:t>
                  </w:r>
                  <w:r>
                    <w:t xml:space="preserve"> | </w:t>
                  </w:r>
                  <w:r w:rsidRPr="0071229A">
                    <w:rPr>
                      <w:bCs/>
                    </w:rPr>
                    <w:t>tel.: 485 238 811</w:t>
                  </w:r>
                </w:p>
                <w:p w:rsidR="0019156A" w:rsidRPr="00B27293" w:rsidRDefault="0019156A" w:rsidP="00BD366B">
                  <w:pPr>
                    <w:spacing w:line="240" w:lineRule="auto"/>
                    <w:rPr>
                      <w:bCs/>
                    </w:rPr>
                  </w:pPr>
                  <w:r w:rsidRPr="0071229A">
                    <w:rPr>
                      <w:bCs/>
                    </w:rPr>
                    <w:t>e-mail: infoservislbc@czso.cz</w:t>
                  </w:r>
                  <w:r>
                    <w:t xml:space="preserve"> | </w:t>
                  </w:r>
                  <w:r w:rsidRPr="0071229A">
                    <w:rPr>
                      <w:b/>
                      <w:bCs/>
                    </w:rPr>
                    <w:t>www.liberec.czso.cz</w:t>
                  </w:r>
                </w:p>
                <w:p w:rsidR="0019156A" w:rsidRPr="0071229A" w:rsidRDefault="0019156A" w:rsidP="00BD366B">
                  <w:pPr>
                    <w:spacing w:line="240" w:lineRule="auto"/>
                    <w:rPr>
                      <w:bCs/>
                    </w:rPr>
                  </w:pPr>
                </w:p>
                <w:p w:rsidR="0019156A" w:rsidRPr="00B27293" w:rsidRDefault="0019156A" w:rsidP="00BD366B">
                  <w:pPr>
                    <w:spacing w:line="240" w:lineRule="auto"/>
                    <w:rPr>
                      <w:b/>
                      <w:bCs/>
                      <w:color w:val="0071BC"/>
                    </w:rPr>
                  </w:pPr>
                  <w:r w:rsidRPr="0071229A">
                    <w:rPr>
                      <w:b/>
                      <w:bCs/>
                      <w:color w:val="0071BC"/>
                    </w:rPr>
                    <w:t>Hradec Králové</w:t>
                  </w:r>
                  <w:r>
                    <w:t xml:space="preserve"> | </w:t>
                  </w:r>
                  <w:r>
                    <w:rPr>
                      <w:bCs/>
                    </w:rPr>
                    <w:t xml:space="preserve">Myslivečkova 914, </w:t>
                  </w:r>
                  <w:r w:rsidRPr="0071229A">
                    <w:rPr>
                      <w:bCs/>
                    </w:rPr>
                    <w:t>500 03 Hradec Králové 3</w:t>
                  </w:r>
                  <w:r>
                    <w:t xml:space="preserve"> | t</w:t>
                  </w:r>
                  <w:r w:rsidRPr="0071229A">
                    <w:rPr>
                      <w:bCs/>
                    </w:rPr>
                    <w:t>el.: 495 762 322, 495 762 317</w:t>
                  </w:r>
                </w:p>
                <w:p w:rsidR="0019156A" w:rsidRPr="00B27293" w:rsidRDefault="0019156A" w:rsidP="00BD366B">
                  <w:pPr>
                    <w:spacing w:line="240" w:lineRule="auto"/>
                    <w:rPr>
                      <w:bCs/>
                    </w:rPr>
                  </w:pPr>
                  <w:r w:rsidRPr="0071229A">
                    <w:rPr>
                      <w:bCs/>
                    </w:rPr>
                    <w:t>e-mail: infoservishk@czso.cz</w:t>
                  </w:r>
                  <w:r>
                    <w:t xml:space="preserve"> | </w:t>
                  </w:r>
                  <w:r w:rsidRPr="0071229A">
                    <w:rPr>
                      <w:b/>
                      <w:bCs/>
                    </w:rPr>
                    <w:t>www.hradeckralove.czso.cz</w:t>
                  </w:r>
                </w:p>
                <w:p w:rsidR="0019156A" w:rsidRPr="0071229A" w:rsidRDefault="0019156A" w:rsidP="00BD366B">
                  <w:pPr>
                    <w:spacing w:line="240" w:lineRule="auto"/>
                    <w:rPr>
                      <w:bCs/>
                    </w:rPr>
                  </w:pPr>
                </w:p>
                <w:p w:rsidR="0019156A" w:rsidRPr="00B27293" w:rsidRDefault="0019156A" w:rsidP="00BD366B">
                  <w:pPr>
                    <w:spacing w:line="240" w:lineRule="auto"/>
                    <w:rPr>
                      <w:b/>
                      <w:bCs/>
                      <w:color w:val="0071BC"/>
                    </w:rPr>
                  </w:pPr>
                  <w:r w:rsidRPr="0071229A">
                    <w:rPr>
                      <w:b/>
                      <w:bCs/>
                      <w:color w:val="0071BC"/>
                    </w:rPr>
                    <w:t>Pardubice</w:t>
                  </w:r>
                  <w:r>
                    <w:t xml:space="preserve"> | </w:t>
                  </w:r>
                  <w:r w:rsidRPr="0071229A">
                    <w:rPr>
                      <w:bCs/>
                    </w:rPr>
                    <w:t>V Ráji 872, 531 53 Pardubice</w:t>
                  </w:r>
                  <w:r>
                    <w:t xml:space="preserve"> | </w:t>
                  </w:r>
                  <w:r w:rsidRPr="0071229A">
                    <w:rPr>
                      <w:bCs/>
                    </w:rPr>
                    <w:t>tel.: 466 743 480, 466 743 418</w:t>
                  </w:r>
                </w:p>
                <w:p w:rsidR="0019156A" w:rsidRPr="00B27293" w:rsidRDefault="0019156A" w:rsidP="00BD366B">
                  <w:pPr>
                    <w:spacing w:line="240" w:lineRule="auto"/>
                    <w:rPr>
                      <w:bCs/>
                    </w:rPr>
                  </w:pPr>
                  <w:r w:rsidRPr="0071229A">
                    <w:rPr>
                      <w:bCs/>
                    </w:rPr>
                    <w:t>e-mail: infoservispa@czso.cz</w:t>
                  </w:r>
                  <w:r>
                    <w:t xml:space="preserve"> | </w:t>
                  </w:r>
                  <w:r w:rsidRPr="0071229A">
                    <w:rPr>
                      <w:b/>
                      <w:bCs/>
                    </w:rPr>
                    <w:t>www.pardubice.czso.cz</w:t>
                  </w:r>
                </w:p>
                <w:p w:rsidR="0019156A" w:rsidRPr="0071229A" w:rsidRDefault="0019156A" w:rsidP="00BD366B">
                  <w:pPr>
                    <w:spacing w:line="240" w:lineRule="auto"/>
                    <w:rPr>
                      <w:bCs/>
                    </w:rPr>
                  </w:pPr>
                </w:p>
                <w:p w:rsidR="0019156A" w:rsidRPr="00B27293" w:rsidRDefault="0019156A" w:rsidP="00BD366B">
                  <w:pPr>
                    <w:spacing w:line="240" w:lineRule="auto"/>
                    <w:rPr>
                      <w:b/>
                      <w:bCs/>
                      <w:color w:val="0071BC"/>
                    </w:rPr>
                  </w:pPr>
                  <w:r w:rsidRPr="0071229A">
                    <w:rPr>
                      <w:b/>
                      <w:bCs/>
                      <w:color w:val="0071BC"/>
                    </w:rPr>
                    <w:t>Jihlava</w:t>
                  </w:r>
                  <w:r>
                    <w:t xml:space="preserve"> | </w:t>
                  </w:r>
                  <w:r w:rsidRPr="0071229A">
                    <w:rPr>
                      <w:bCs/>
                    </w:rPr>
                    <w:t>Ke Skalce 30, 586 01 Jihlava</w:t>
                  </w:r>
                  <w:r>
                    <w:t xml:space="preserve"> | t</w:t>
                  </w:r>
                  <w:r w:rsidRPr="0071229A">
                    <w:rPr>
                      <w:bCs/>
                    </w:rPr>
                    <w:t>el.: 567 109 062, 567 109 080</w:t>
                  </w:r>
                </w:p>
                <w:p w:rsidR="0019156A" w:rsidRPr="00B27293" w:rsidRDefault="0019156A" w:rsidP="00BD366B">
                  <w:pPr>
                    <w:spacing w:line="240" w:lineRule="auto"/>
                    <w:rPr>
                      <w:bCs/>
                    </w:rPr>
                  </w:pPr>
                  <w:r w:rsidRPr="0071229A">
                    <w:rPr>
                      <w:bCs/>
                    </w:rPr>
                    <w:t>e-mail: infoservisvys@czso.cz</w:t>
                  </w:r>
                  <w:r>
                    <w:t xml:space="preserve"> | </w:t>
                  </w:r>
                  <w:r w:rsidRPr="0071229A">
                    <w:rPr>
                      <w:b/>
                      <w:bCs/>
                    </w:rPr>
                    <w:t>www.jihlava.czso.cz</w:t>
                  </w:r>
                </w:p>
                <w:p w:rsidR="0019156A" w:rsidRPr="0071229A" w:rsidRDefault="0019156A" w:rsidP="00BD366B">
                  <w:pPr>
                    <w:spacing w:line="240" w:lineRule="auto"/>
                    <w:rPr>
                      <w:bCs/>
                    </w:rPr>
                  </w:pPr>
                </w:p>
                <w:p w:rsidR="0019156A" w:rsidRPr="00B27293" w:rsidRDefault="0019156A" w:rsidP="00BD366B">
                  <w:pPr>
                    <w:spacing w:line="240" w:lineRule="auto"/>
                    <w:rPr>
                      <w:b/>
                      <w:bCs/>
                    </w:rPr>
                  </w:pPr>
                  <w:r w:rsidRPr="0071229A">
                    <w:rPr>
                      <w:b/>
                      <w:bCs/>
                      <w:color w:val="0071BC"/>
                    </w:rPr>
                    <w:t>Brno</w:t>
                  </w:r>
                  <w:r>
                    <w:t xml:space="preserve"> | </w:t>
                  </w:r>
                  <w:r w:rsidRPr="0071229A">
                    <w:rPr>
                      <w:bCs/>
                    </w:rPr>
                    <w:t>Jezuitská 2, 601 59 Brno</w:t>
                  </w:r>
                  <w:r>
                    <w:t xml:space="preserve"> | t</w:t>
                  </w:r>
                  <w:r w:rsidRPr="0071229A">
                    <w:rPr>
                      <w:bCs/>
                    </w:rPr>
                    <w:t>el.: 542 528 115, 542 528 105</w:t>
                  </w:r>
                </w:p>
                <w:p w:rsidR="0019156A" w:rsidRPr="00B27293" w:rsidRDefault="0019156A" w:rsidP="00BD366B">
                  <w:pPr>
                    <w:spacing w:line="240" w:lineRule="auto"/>
                    <w:rPr>
                      <w:bCs/>
                    </w:rPr>
                  </w:pPr>
                  <w:r w:rsidRPr="0071229A">
                    <w:rPr>
                      <w:bCs/>
                    </w:rPr>
                    <w:t>e-mail: infoservisbrno@czso.cz</w:t>
                  </w:r>
                  <w:r>
                    <w:t xml:space="preserve"> | </w:t>
                  </w:r>
                  <w:r w:rsidRPr="0071229A">
                    <w:rPr>
                      <w:b/>
                      <w:bCs/>
                    </w:rPr>
                    <w:t>www.brno.czso.cz</w:t>
                  </w:r>
                </w:p>
                <w:p w:rsidR="0019156A" w:rsidRPr="0071229A" w:rsidRDefault="0019156A" w:rsidP="00BD366B">
                  <w:pPr>
                    <w:spacing w:line="240" w:lineRule="auto"/>
                    <w:rPr>
                      <w:bCs/>
                    </w:rPr>
                  </w:pPr>
                </w:p>
                <w:p w:rsidR="0019156A" w:rsidRPr="00B27293" w:rsidRDefault="0019156A" w:rsidP="00BD366B">
                  <w:pPr>
                    <w:spacing w:line="240" w:lineRule="auto"/>
                    <w:rPr>
                      <w:b/>
                      <w:bCs/>
                    </w:rPr>
                  </w:pPr>
                  <w:r w:rsidRPr="0071229A">
                    <w:rPr>
                      <w:b/>
                      <w:bCs/>
                      <w:color w:val="0071BC"/>
                    </w:rPr>
                    <w:t>Olomouc</w:t>
                  </w:r>
                  <w:r>
                    <w:t xml:space="preserve"> | </w:t>
                  </w:r>
                  <w:r w:rsidRPr="0071229A">
                    <w:rPr>
                      <w:bCs/>
                    </w:rPr>
                    <w:t>Jeremenkova 1142/42, 772 11 Olomouc</w:t>
                  </w:r>
                  <w:r>
                    <w:t xml:space="preserve"> | </w:t>
                  </w:r>
                  <w:r w:rsidRPr="0071229A">
                    <w:rPr>
                      <w:bCs/>
                    </w:rPr>
                    <w:t>tel.: 585 731 516, 585 731 509</w:t>
                  </w:r>
                </w:p>
                <w:p w:rsidR="0019156A" w:rsidRPr="00B27293" w:rsidRDefault="0019156A" w:rsidP="00BD366B">
                  <w:pPr>
                    <w:spacing w:line="240" w:lineRule="auto"/>
                    <w:rPr>
                      <w:bCs/>
                    </w:rPr>
                  </w:pPr>
                  <w:r w:rsidRPr="0071229A">
                    <w:rPr>
                      <w:bCs/>
                    </w:rPr>
                    <w:t>e-mail: infoservisolom@czso.cz</w:t>
                  </w:r>
                  <w:r>
                    <w:t xml:space="preserve"> | </w:t>
                  </w:r>
                  <w:r w:rsidRPr="0071229A">
                    <w:rPr>
                      <w:b/>
                      <w:bCs/>
                    </w:rPr>
                    <w:t>www.olomouc.czso.cz</w:t>
                  </w:r>
                </w:p>
                <w:p w:rsidR="0019156A" w:rsidRPr="0071229A" w:rsidRDefault="0019156A" w:rsidP="00BD366B">
                  <w:pPr>
                    <w:spacing w:line="240" w:lineRule="auto"/>
                    <w:rPr>
                      <w:bCs/>
                    </w:rPr>
                  </w:pPr>
                </w:p>
                <w:p w:rsidR="0019156A" w:rsidRPr="00B27293" w:rsidRDefault="0019156A" w:rsidP="00BD366B">
                  <w:pPr>
                    <w:spacing w:line="240" w:lineRule="auto"/>
                    <w:rPr>
                      <w:b/>
                      <w:bCs/>
                    </w:rPr>
                  </w:pPr>
                  <w:r w:rsidRPr="0071229A">
                    <w:rPr>
                      <w:b/>
                      <w:bCs/>
                      <w:color w:val="0071BC"/>
                    </w:rPr>
                    <w:t>Ostrava</w:t>
                  </w:r>
                  <w:r>
                    <w:t xml:space="preserve"> | </w:t>
                  </w:r>
                  <w:r w:rsidRPr="0071229A">
                    <w:rPr>
                      <w:bCs/>
                    </w:rPr>
                    <w:t>Repinova 17, 702 03 Ostrava</w:t>
                  </w:r>
                  <w:r>
                    <w:t xml:space="preserve"> | </w:t>
                  </w:r>
                  <w:r w:rsidRPr="0071229A">
                    <w:rPr>
                      <w:bCs/>
                    </w:rPr>
                    <w:t>tel.: 595 131 230, 595 131 232</w:t>
                  </w:r>
                </w:p>
                <w:p w:rsidR="0019156A" w:rsidRPr="00B27293" w:rsidRDefault="0019156A" w:rsidP="00BD366B">
                  <w:pPr>
                    <w:spacing w:line="240" w:lineRule="auto"/>
                    <w:rPr>
                      <w:bCs/>
                    </w:rPr>
                  </w:pPr>
                  <w:r w:rsidRPr="0071229A">
                    <w:rPr>
                      <w:bCs/>
                    </w:rPr>
                    <w:t>e-mail: infoservis_ov@czso.cz</w:t>
                  </w:r>
                  <w:r>
                    <w:t xml:space="preserve"> | </w:t>
                  </w:r>
                  <w:r w:rsidRPr="0071229A">
                    <w:rPr>
                      <w:b/>
                      <w:bCs/>
                    </w:rPr>
                    <w:t>www.ostrava.czso.cz</w:t>
                  </w:r>
                </w:p>
                <w:p w:rsidR="0019156A" w:rsidRPr="0071229A" w:rsidRDefault="0019156A" w:rsidP="00BD366B">
                  <w:pPr>
                    <w:spacing w:line="240" w:lineRule="auto"/>
                    <w:rPr>
                      <w:bCs/>
                    </w:rPr>
                  </w:pPr>
                </w:p>
                <w:p w:rsidR="0019156A" w:rsidRPr="0071229A" w:rsidRDefault="0019156A" w:rsidP="00BD366B">
                  <w:pPr>
                    <w:spacing w:line="240" w:lineRule="auto"/>
                    <w:rPr>
                      <w:bCs/>
                    </w:rPr>
                  </w:pPr>
                  <w:r w:rsidRPr="0071229A">
                    <w:rPr>
                      <w:b/>
                      <w:bCs/>
                      <w:color w:val="0071BC"/>
                    </w:rPr>
                    <w:t>Zlín</w:t>
                  </w:r>
                  <w:r>
                    <w:t xml:space="preserve"> | </w:t>
                  </w:r>
                  <w:r w:rsidRPr="0071229A">
                    <w:rPr>
                      <w:bCs/>
                    </w:rPr>
                    <w:t>tř. Tomáše Bati 1565, 761 76 Zlín</w:t>
                  </w:r>
                  <w:r>
                    <w:t xml:space="preserve"> | </w:t>
                  </w:r>
                  <w:r w:rsidRPr="0071229A">
                    <w:rPr>
                      <w:bCs/>
                    </w:rPr>
                    <w:t>tel.: 577 004 931, 577 004 935</w:t>
                  </w:r>
                </w:p>
                <w:p w:rsidR="0019156A" w:rsidRPr="00B27293" w:rsidRDefault="0019156A" w:rsidP="00BD366B">
                  <w:pPr>
                    <w:spacing w:line="240" w:lineRule="auto"/>
                    <w:rPr>
                      <w:bCs/>
                    </w:rPr>
                  </w:pPr>
                  <w:r w:rsidRPr="0071229A">
                    <w:rPr>
                      <w:bCs/>
                    </w:rPr>
                    <w:t>e-mail: infoservis-zl@czso.cz</w:t>
                  </w:r>
                  <w:r>
                    <w:t xml:space="preserve"> | </w:t>
                  </w:r>
                  <w:r w:rsidRPr="0071229A">
                    <w:rPr>
                      <w:b/>
                      <w:bCs/>
                    </w:rPr>
                    <w:t>www.zlin.czso.cz</w:t>
                  </w:r>
                </w:p>
                <w:p w:rsidR="0019156A" w:rsidRPr="00B27293" w:rsidRDefault="0019156A" w:rsidP="00BD366B">
                  <w:pPr>
                    <w:spacing w:line="240" w:lineRule="auto"/>
                  </w:pPr>
                </w:p>
              </w:txbxContent>
            </v:textbox>
            <w10:wrap anchorx="page" anchory="page"/>
            <w10:anchorlock/>
          </v:shape>
        </w:pict>
      </w:r>
      <w:r w:rsidRPr="00D9769A">
        <w:rPr>
          <w:noProof/>
          <w:lang w:eastAsia="cs-CZ"/>
        </w:rPr>
        <w:pict>
          <v:shape id="_x0000_s1039" type="#_x0000_t202" style="position:absolute;margin-left:56.7pt;margin-top:56.7pt;width:481.85pt;height:33.1pt;z-index:25165363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" filled="f" stroked="f">
            <v:textbox style="mso-fit-shape-to-text:t" inset="0,0,0,0">
              <w:txbxContent>
                <w:p w:rsidR="0019156A" w:rsidRPr="004F4353" w:rsidRDefault="0019156A" w:rsidP="0060487F">
                  <w:pPr>
                    <w:rPr>
                      <w:b/>
                      <w:bCs/>
                      <w:sz w:val="24"/>
                    </w:rPr>
                  </w:pPr>
                  <w:r w:rsidRPr="004F4353">
                    <w:rPr>
                      <w:b/>
                      <w:color w:val="0071BC"/>
                      <w:sz w:val="24"/>
                    </w:rPr>
                    <w:t xml:space="preserve">Zajímají Vás nejnovější údaje o inflaci, HDP, obyvatelstvu, průměrných mzdách </w:t>
                  </w:r>
                  <w:r w:rsidRPr="004F4353">
                    <w:rPr>
                      <w:b/>
                      <w:color w:val="0071BC"/>
                      <w:sz w:val="24"/>
                    </w:rPr>
                    <w:br/>
                    <w:t xml:space="preserve">a mnohé další? Najdete je na stránkách ČSÚ na internetu: </w:t>
                  </w:r>
                  <w:r w:rsidRPr="004F4353">
                    <w:rPr>
                      <w:b/>
                      <w:bCs/>
                      <w:sz w:val="24"/>
                    </w:rPr>
                    <w:t>www.czso.cz</w:t>
                  </w:r>
                  <w:r>
                    <w:rPr>
                      <w:b/>
                      <w:bCs/>
                      <w:sz w:val="24"/>
                    </w:rPr>
                    <w:t>.</w:t>
                  </w:r>
                </w:p>
              </w:txbxContent>
            </v:textbox>
            <w10:wrap anchorx="page" anchory="page"/>
            <w10:anchorlock/>
          </v:shape>
        </w:pict>
      </w:r>
      <w:r w:rsidRPr="00D9769A">
        <w:rPr>
          <w:noProof/>
          <w:lang w:eastAsia="cs-CZ"/>
        </w:rPr>
        <w:pict>
          <v:shape id="_x0000_s1040" type="#_x0000_t202" style="position:absolute;margin-left:56.35pt;margin-top:747pt;width:481.9pt;height:28.35pt;z-index:25165465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" filled="f" stroked="f">
            <v:textbox inset="0,0,0,0">
              <w:txbxContent>
                <w:p w:rsidR="0019156A" w:rsidRPr="00841D9F" w:rsidRDefault="0019156A" w:rsidP="004F06F5"/>
                <w:p w:rsidR="0019156A" w:rsidRPr="00AF2852" w:rsidRDefault="0019156A" w:rsidP="004F06F5">
                  <w:r w:rsidRPr="00841D9F">
                    <w:t>© Český sta</w:t>
                  </w:r>
                  <w:r>
                    <w:t>tistický úřad, Praha, 2016</w:t>
                  </w:r>
                </w:p>
              </w:txbxContent>
            </v:textbox>
            <w10:wrap anchorx="page" anchory="page"/>
            <w10:anchorlock/>
          </v:shape>
        </w:pict>
      </w:r>
    </w:p>
    <w:p w:rsidR="00576A3E" w:rsidRPr="00A74192" w:rsidRDefault="00576A3E" w:rsidP="00D94859">
      <w:pPr>
        <w:pStyle w:val="Zkladnodstavec"/>
        <w:spacing w:after="240"/>
        <w:rPr>
          <w:rFonts w:ascii="Arial" w:hAnsi="Arial" w:cs="Arial"/>
          <w:b/>
          <w:color w:val="A5007B"/>
          <w:sz w:val="32"/>
          <w:szCs w:val="32"/>
        </w:rPr>
      </w:pPr>
    </w:p>
    <w:p w:rsidR="00576A3E" w:rsidRPr="00A74192" w:rsidRDefault="00576A3E" w:rsidP="00D94859">
      <w:pPr>
        <w:rPr>
          <w:rFonts w:cs="Arial"/>
          <w:b/>
          <w:color w:val="A5007B"/>
          <w:sz w:val="32"/>
          <w:szCs w:val="32"/>
        </w:rPr>
        <w:sectPr w:rsidR="00576A3E" w:rsidRPr="00A74192" w:rsidSect="00E83DAB">
          <w:pgSz w:w="11906" w:h="16838" w:code="9"/>
          <w:pgMar w:top="1134" w:right="1134" w:bottom="1418" w:left="1134" w:header="709" w:footer="709" w:gutter="0"/>
          <w:cols w:space="708"/>
          <w:titlePg/>
          <w:docGrid w:linePitch="360"/>
        </w:sectPr>
      </w:pPr>
    </w:p>
    <w:p w:rsidR="00576A3E" w:rsidRDefault="00576A3E" w:rsidP="00D94859">
      <w:pPr>
        <w:pStyle w:val="Nadpis1"/>
      </w:pPr>
      <w:bookmarkStart w:id="1" w:name="_Toc412459447"/>
      <w:bookmarkStart w:id="2" w:name="_Toc469299928"/>
      <w:bookmarkStart w:id="3" w:name="_Toc469327797"/>
      <w:r w:rsidRPr="00A74192">
        <w:lastRenderedPageBreak/>
        <w:t>Obsah</w:t>
      </w:r>
      <w:bookmarkEnd w:id="1"/>
      <w:bookmarkEnd w:id="2"/>
      <w:bookmarkEnd w:id="3"/>
    </w:p>
    <w:p w:rsidR="005B22A7" w:rsidRDefault="00D9769A">
      <w:pPr>
        <w:pStyle w:val="Obsah1"/>
        <w:rPr>
          <w:rFonts w:asciiTheme="minorHAnsi" w:eastAsiaTheme="minorEastAsia" w:hAnsiTheme="minorHAnsi" w:cstheme="minorBidi"/>
          <w:b w:val="0"/>
          <w:sz w:val="22"/>
          <w:szCs w:val="22"/>
          <w:lang w:eastAsia="cs-CZ"/>
        </w:rPr>
      </w:pPr>
      <w:r w:rsidRPr="00D9769A">
        <w:fldChar w:fldCharType="begin"/>
      </w:r>
      <w:r w:rsidR="00576A3E" w:rsidRPr="00A74192">
        <w:instrText xml:space="preserve"> TOC \o "1-3" \h \z \u </w:instrText>
      </w:r>
      <w:r w:rsidRPr="00D9769A">
        <w:fldChar w:fldCharType="separate"/>
      </w:r>
      <w:hyperlink w:anchor="_Toc469327797" w:history="1">
        <w:r w:rsidR="005B22A7" w:rsidRPr="005078C6">
          <w:rPr>
            <w:rStyle w:val="Hypertextovodkaz"/>
          </w:rPr>
          <w:t>Obsah</w:t>
        </w:r>
        <w:r w:rsidR="005B22A7">
          <w:rPr>
            <w:webHidden/>
          </w:rPr>
          <w:tab/>
        </w:r>
        <w:r w:rsidR="005B22A7">
          <w:rPr>
            <w:webHidden/>
          </w:rPr>
          <w:tab/>
        </w:r>
        <w:r>
          <w:rPr>
            <w:webHidden/>
          </w:rPr>
          <w:fldChar w:fldCharType="begin"/>
        </w:r>
        <w:r w:rsidR="005B22A7">
          <w:rPr>
            <w:webHidden/>
          </w:rPr>
          <w:instrText xml:space="preserve"> PAGEREF _Toc469327797 \h </w:instrText>
        </w:r>
        <w:r>
          <w:rPr>
            <w:webHidden/>
          </w:rPr>
        </w:r>
        <w:r>
          <w:rPr>
            <w:webHidden/>
          </w:rPr>
          <w:fldChar w:fldCharType="separate"/>
        </w:r>
        <w:r w:rsidR="00611C28">
          <w:rPr>
            <w:webHidden/>
          </w:rPr>
          <w:t>3</w:t>
        </w:r>
        <w:r>
          <w:rPr>
            <w:webHidden/>
          </w:rPr>
          <w:fldChar w:fldCharType="end"/>
        </w:r>
      </w:hyperlink>
    </w:p>
    <w:p w:rsidR="005B22A7" w:rsidRDefault="00D9769A">
      <w:pPr>
        <w:pStyle w:val="Obsah1"/>
        <w:rPr>
          <w:rFonts w:asciiTheme="minorHAnsi" w:eastAsiaTheme="minorEastAsia" w:hAnsiTheme="minorHAnsi" w:cstheme="minorBidi"/>
          <w:b w:val="0"/>
          <w:sz w:val="22"/>
          <w:szCs w:val="22"/>
          <w:lang w:eastAsia="cs-CZ"/>
        </w:rPr>
      </w:pPr>
      <w:hyperlink w:anchor="_Toc469327798" w:history="1">
        <w:r w:rsidR="005B22A7" w:rsidRPr="005078C6">
          <w:rPr>
            <w:rStyle w:val="Hypertextovodkaz"/>
          </w:rPr>
          <w:t>1.</w:t>
        </w:r>
        <w:r w:rsidR="005B22A7">
          <w:rPr>
            <w:rFonts w:asciiTheme="minorHAnsi" w:eastAsiaTheme="minorEastAsia" w:hAnsiTheme="minorHAnsi" w:cstheme="minorBidi"/>
            <w:b w:val="0"/>
            <w:sz w:val="22"/>
            <w:szCs w:val="22"/>
            <w:lang w:eastAsia="cs-CZ"/>
          </w:rPr>
          <w:tab/>
        </w:r>
        <w:r w:rsidR="005B22A7" w:rsidRPr="005078C6">
          <w:rPr>
            <w:rStyle w:val="Hypertextovodkaz"/>
          </w:rPr>
          <w:t>Shrnutí</w:t>
        </w:r>
        <w:r w:rsidR="005B22A7">
          <w:rPr>
            <w:webHidden/>
          </w:rPr>
          <w:tab/>
        </w:r>
        <w:r>
          <w:rPr>
            <w:webHidden/>
          </w:rPr>
          <w:fldChar w:fldCharType="begin"/>
        </w:r>
        <w:r w:rsidR="005B22A7">
          <w:rPr>
            <w:webHidden/>
          </w:rPr>
          <w:instrText xml:space="preserve"> PAGEREF _Toc469327798 \h </w:instrText>
        </w:r>
        <w:r>
          <w:rPr>
            <w:webHidden/>
          </w:rPr>
        </w:r>
        <w:r>
          <w:rPr>
            <w:webHidden/>
          </w:rPr>
          <w:fldChar w:fldCharType="separate"/>
        </w:r>
        <w:r w:rsidR="00611C28">
          <w:rPr>
            <w:webHidden/>
          </w:rPr>
          <w:t>4</w:t>
        </w:r>
        <w:r>
          <w:rPr>
            <w:webHidden/>
          </w:rPr>
          <w:fldChar w:fldCharType="end"/>
        </w:r>
      </w:hyperlink>
    </w:p>
    <w:p w:rsidR="005B22A7" w:rsidRDefault="00D9769A">
      <w:pPr>
        <w:pStyle w:val="Obsah1"/>
        <w:rPr>
          <w:rFonts w:asciiTheme="minorHAnsi" w:eastAsiaTheme="minorEastAsia" w:hAnsiTheme="minorHAnsi" w:cstheme="minorBidi"/>
          <w:b w:val="0"/>
          <w:sz w:val="22"/>
          <w:szCs w:val="22"/>
          <w:lang w:eastAsia="cs-CZ"/>
        </w:rPr>
      </w:pPr>
      <w:hyperlink w:anchor="_Toc469327799" w:history="1">
        <w:r w:rsidR="005B22A7" w:rsidRPr="005078C6">
          <w:rPr>
            <w:rStyle w:val="Hypertextovodkaz"/>
          </w:rPr>
          <w:t>2.</w:t>
        </w:r>
        <w:r w:rsidR="005B22A7">
          <w:rPr>
            <w:rFonts w:asciiTheme="minorHAnsi" w:eastAsiaTheme="minorEastAsia" w:hAnsiTheme="minorHAnsi" w:cstheme="minorBidi"/>
            <w:b w:val="0"/>
            <w:sz w:val="22"/>
            <w:szCs w:val="22"/>
            <w:lang w:eastAsia="cs-CZ"/>
          </w:rPr>
          <w:tab/>
        </w:r>
        <w:r w:rsidR="005B22A7" w:rsidRPr="005078C6">
          <w:rPr>
            <w:rStyle w:val="Hypertextovodkaz"/>
          </w:rPr>
          <w:t>Souhrnná výkonnost</w:t>
        </w:r>
        <w:r w:rsidR="005B22A7">
          <w:rPr>
            <w:webHidden/>
          </w:rPr>
          <w:tab/>
        </w:r>
        <w:r>
          <w:rPr>
            <w:webHidden/>
          </w:rPr>
          <w:fldChar w:fldCharType="begin"/>
        </w:r>
        <w:r w:rsidR="005B22A7">
          <w:rPr>
            <w:webHidden/>
          </w:rPr>
          <w:instrText xml:space="preserve"> PAGEREF _Toc469327799 \h </w:instrText>
        </w:r>
        <w:r>
          <w:rPr>
            <w:webHidden/>
          </w:rPr>
        </w:r>
        <w:r>
          <w:rPr>
            <w:webHidden/>
          </w:rPr>
          <w:fldChar w:fldCharType="separate"/>
        </w:r>
        <w:r w:rsidR="00611C28">
          <w:rPr>
            <w:webHidden/>
          </w:rPr>
          <w:t>5</w:t>
        </w:r>
        <w:r>
          <w:rPr>
            <w:webHidden/>
          </w:rPr>
          <w:fldChar w:fldCharType="end"/>
        </w:r>
      </w:hyperlink>
    </w:p>
    <w:p w:rsidR="005B22A7" w:rsidRDefault="00D9769A">
      <w:pPr>
        <w:pStyle w:val="Obsah1"/>
        <w:rPr>
          <w:rFonts w:asciiTheme="minorHAnsi" w:eastAsiaTheme="minorEastAsia" w:hAnsiTheme="minorHAnsi" w:cstheme="minorBidi"/>
          <w:b w:val="0"/>
          <w:sz w:val="22"/>
          <w:szCs w:val="22"/>
          <w:lang w:eastAsia="cs-CZ"/>
        </w:rPr>
      </w:pPr>
      <w:hyperlink w:anchor="_Toc469327800" w:history="1">
        <w:r w:rsidR="005B22A7" w:rsidRPr="005078C6">
          <w:rPr>
            <w:rStyle w:val="Hypertextovodkaz"/>
          </w:rPr>
          <w:t>3.</w:t>
        </w:r>
        <w:r w:rsidR="005B22A7">
          <w:rPr>
            <w:rFonts w:asciiTheme="minorHAnsi" w:eastAsiaTheme="minorEastAsia" w:hAnsiTheme="minorHAnsi" w:cstheme="minorBidi"/>
            <w:b w:val="0"/>
            <w:sz w:val="22"/>
            <w:szCs w:val="22"/>
            <w:lang w:eastAsia="cs-CZ"/>
          </w:rPr>
          <w:tab/>
        </w:r>
        <w:r w:rsidR="005B22A7" w:rsidRPr="005078C6">
          <w:rPr>
            <w:rStyle w:val="Hypertextovodkaz"/>
          </w:rPr>
          <w:t>Výkonnost odvětví</w:t>
        </w:r>
        <w:r w:rsidR="005B22A7">
          <w:rPr>
            <w:webHidden/>
          </w:rPr>
          <w:tab/>
        </w:r>
        <w:r>
          <w:rPr>
            <w:webHidden/>
          </w:rPr>
          <w:fldChar w:fldCharType="begin"/>
        </w:r>
        <w:r w:rsidR="005B22A7">
          <w:rPr>
            <w:webHidden/>
          </w:rPr>
          <w:instrText xml:space="preserve"> PAGEREF _Toc469327800 \h </w:instrText>
        </w:r>
        <w:r>
          <w:rPr>
            <w:webHidden/>
          </w:rPr>
        </w:r>
        <w:r>
          <w:rPr>
            <w:webHidden/>
          </w:rPr>
          <w:fldChar w:fldCharType="separate"/>
        </w:r>
        <w:r w:rsidR="00611C28">
          <w:rPr>
            <w:webHidden/>
          </w:rPr>
          <w:t>8</w:t>
        </w:r>
        <w:r>
          <w:rPr>
            <w:webHidden/>
          </w:rPr>
          <w:fldChar w:fldCharType="end"/>
        </w:r>
      </w:hyperlink>
    </w:p>
    <w:p w:rsidR="005B22A7" w:rsidRDefault="00D9769A">
      <w:pPr>
        <w:pStyle w:val="Obsah1"/>
        <w:rPr>
          <w:rFonts w:asciiTheme="minorHAnsi" w:eastAsiaTheme="minorEastAsia" w:hAnsiTheme="minorHAnsi" w:cstheme="minorBidi"/>
          <w:b w:val="0"/>
          <w:sz w:val="22"/>
          <w:szCs w:val="22"/>
          <w:lang w:eastAsia="cs-CZ"/>
        </w:rPr>
      </w:pPr>
      <w:hyperlink w:anchor="_Toc469327801" w:history="1">
        <w:r w:rsidR="005B22A7" w:rsidRPr="005078C6">
          <w:rPr>
            <w:rStyle w:val="Hypertextovodkaz"/>
          </w:rPr>
          <w:t>4.</w:t>
        </w:r>
        <w:r w:rsidR="005B22A7">
          <w:rPr>
            <w:rFonts w:asciiTheme="minorHAnsi" w:eastAsiaTheme="minorEastAsia" w:hAnsiTheme="minorHAnsi" w:cstheme="minorBidi"/>
            <w:b w:val="0"/>
            <w:sz w:val="22"/>
            <w:szCs w:val="22"/>
            <w:lang w:eastAsia="cs-CZ"/>
          </w:rPr>
          <w:tab/>
        </w:r>
        <w:r w:rsidR="005B22A7" w:rsidRPr="005078C6">
          <w:rPr>
            <w:rStyle w:val="Hypertextovodkaz"/>
          </w:rPr>
          <w:t>Vnější ekonomické vztahy</w:t>
        </w:r>
        <w:r w:rsidR="005B22A7">
          <w:rPr>
            <w:webHidden/>
          </w:rPr>
          <w:tab/>
        </w:r>
        <w:r>
          <w:rPr>
            <w:webHidden/>
          </w:rPr>
          <w:fldChar w:fldCharType="begin"/>
        </w:r>
        <w:r w:rsidR="005B22A7">
          <w:rPr>
            <w:webHidden/>
          </w:rPr>
          <w:instrText xml:space="preserve"> PAGEREF _Toc469327801 \h </w:instrText>
        </w:r>
        <w:r>
          <w:rPr>
            <w:webHidden/>
          </w:rPr>
        </w:r>
        <w:r>
          <w:rPr>
            <w:webHidden/>
          </w:rPr>
          <w:fldChar w:fldCharType="separate"/>
        </w:r>
        <w:r w:rsidR="00611C28">
          <w:rPr>
            <w:webHidden/>
          </w:rPr>
          <w:t>12</w:t>
        </w:r>
        <w:r>
          <w:rPr>
            <w:webHidden/>
          </w:rPr>
          <w:fldChar w:fldCharType="end"/>
        </w:r>
      </w:hyperlink>
    </w:p>
    <w:p w:rsidR="005B22A7" w:rsidRDefault="00D9769A">
      <w:pPr>
        <w:pStyle w:val="Obsah1"/>
        <w:rPr>
          <w:rFonts w:asciiTheme="minorHAnsi" w:eastAsiaTheme="minorEastAsia" w:hAnsiTheme="minorHAnsi" w:cstheme="minorBidi"/>
          <w:b w:val="0"/>
          <w:sz w:val="22"/>
          <w:szCs w:val="22"/>
          <w:lang w:eastAsia="cs-CZ"/>
        </w:rPr>
      </w:pPr>
      <w:hyperlink w:anchor="_Toc469327802" w:history="1">
        <w:r w:rsidR="005B22A7" w:rsidRPr="005078C6">
          <w:rPr>
            <w:rStyle w:val="Hypertextovodkaz"/>
          </w:rPr>
          <w:t>5.</w:t>
        </w:r>
        <w:r w:rsidR="005B22A7">
          <w:rPr>
            <w:rFonts w:asciiTheme="minorHAnsi" w:eastAsiaTheme="minorEastAsia" w:hAnsiTheme="minorHAnsi" w:cstheme="minorBidi"/>
            <w:b w:val="0"/>
            <w:sz w:val="22"/>
            <w:szCs w:val="22"/>
            <w:lang w:eastAsia="cs-CZ"/>
          </w:rPr>
          <w:tab/>
        </w:r>
        <w:r w:rsidR="005B22A7" w:rsidRPr="005078C6">
          <w:rPr>
            <w:rStyle w:val="Hypertextovodkaz"/>
          </w:rPr>
          <w:t>Ceny</w:t>
        </w:r>
        <w:r w:rsidR="005B22A7">
          <w:rPr>
            <w:webHidden/>
          </w:rPr>
          <w:tab/>
        </w:r>
        <w:r>
          <w:rPr>
            <w:webHidden/>
          </w:rPr>
          <w:fldChar w:fldCharType="begin"/>
        </w:r>
        <w:r w:rsidR="005B22A7">
          <w:rPr>
            <w:webHidden/>
          </w:rPr>
          <w:instrText xml:space="preserve"> PAGEREF _Toc469327802 \h </w:instrText>
        </w:r>
        <w:r>
          <w:rPr>
            <w:webHidden/>
          </w:rPr>
        </w:r>
        <w:r>
          <w:rPr>
            <w:webHidden/>
          </w:rPr>
          <w:fldChar w:fldCharType="separate"/>
        </w:r>
        <w:r w:rsidR="00611C28">
          <w:rPr>
            <w:webHidden/>
          </w:rPr>
          <w:t>14</w:t>
        </w:r>
        <w:r>
          <w:rPr>
            <w:webHidden/>
          </w:rPr>
          <w:fldChar w:fldCharType="end"/>
        </w:r>
      </w:hyperlink>
    </w:p>
    <w:p w:rsidR="005B22A7" w:rsidRDefault="00D9769A">
      <w:pPr>
        <w:pStyle w:val="Obsah1"/>
        <w:rPr>
          <w:rFonts w:asciiTheme="minorHAnsi" w:eastAsiaTheme="minorEastAsia" w:hAnsiTheme="minorHAnsi" w:cstheme="minorBidi"/>
          <w:b w:val="0"/>
          <w:sz w:val="22"/>
          <w:szCs w:val="22"/>
          <w:lang w:eastAsia="cs-CZ"/>
        </w:rPr>
      </w:pPr>
      <w:hyperlink w:anchor="_Toc469327803" w:history="1">
        <w:r w:rsidR="005B22A7" w:rsidRPr="005078C6">
          <w:rPr>
            <w:rStyle w:val="Hypertextovodkaz"/>
          </w:rPr>
          <w:t>6.</w:t>
        </w:r>
        <w:r w:rsidR="005B22A7">
          <w:rPr>
            <w:rFonts w:asciiTheme="minorHAnsi" w:eastAsiaTheme="minorEastAsia" w:hAnsiTheme="minorHAnsi" w:cstheme="minorBidi"/>
            <w:b w:val="0"/>
            <w:sz w:val="22"/>
            <w:szCs w:val="22"/>
            <w:lang w:eastAsia="cs-CZ"/>
          </w:rPr>
          <w:tab/>
        </w:r>
        <w:r w:rsidR="005B22A7" w:rsidRPr="005078C6">
          <w:rPr>
            <w:rStyle w:val="Hypertextovodkaz"/>
          </w:rPr>
          <w:t>Trh práce</w:t>
        </w:r>
        <w:r w:rsidR="005B22A7">
          <w:rPr>
            <w:webHidden/>
          </w:rPr>
          <w:tab/>
        </w:r>
        <w:r>
          <w:rPr>
            <w:webHidden/>
          </w:rPr>
          <w:fldChar w:fldCharType="begin"/>
        </w:r>
        <w:r w:rsidR="005B22A7">
          <w:rPr>
            <w:webHidden/>
          </w:rPr>
          <w:instrText xml:space="preserve"> PAGEREF _Toc469327803 \h </w:instrText>
        </w:r>
        <w:r>
          <w:rPr>
            <w:webHidden/>
          </w:rPr>
        </w:r>
        <w:r>
          <w:rPr>
            <w:webHidden/>
          </w:rPr>
          <w:fldChar w:fldCharType="separate"/>
        </w:r>
        <w:r w:rsidR="00611C28">
          <w:rPr>
            <w:webHidden/>
          </w:rPr>
          <w:t>17</w:t>
        </w:r>
        <w:r>
          <w:rPr>
            <w:webHidden/>
          </w:rPr>
          <w:fldChar w:fldCharType="end"/>
        </w:r>
      </w:hyperlink>
    </w:p>
    <w:p w:rsidR="005B22A7" w:rsidRDefault="00D9769A">
      <w:pPr>
        <w:pStyle w:val="Obsah1"/>
        <w:rPr>
          <w:rFonts w:asciiTheme="minorHAnsi" w:eastAsiaTheme="minorEastAsia" w:hAnsiTheme="minorHAnsi" w:cstheme="minorBidi"/>
          <w:b w:val="0"/>
          <w:sz w:val="22"/>
          <w:szCs w:val="22"/>
          <w:lang w:eastAsia="cs-CZ"/>
        </w:rPr>
      </w:pPr>
      <w:hyperlink w:anchor="_Toc469327804" w:history="1">
        <w:r w:rsidR="005B22A7" w:rsidRPr="005078C6">
          <w:rPr>
            <w:rStyle w:val="Hypertextovodkaz"/>
          </w:rPr>
          <w:t>7.</w:t>
        </w:r>
        <w:r w:rsidR="005B22A7">
          <w:rPr>
            <w:rFonts w:asciiTheme="minorHAnsi" w:eastAsiaTheme="minorEastAsia" w:hAnsiTheme="minorHAnsi" w:cstheme="minorBidi"/>
            <w:b w:val="0"/>
            <w:sz w:val="22"/>
            <w:szCs w:val="22"/>
            <w:lang w:eastAsia="cs-CZ"/>
          </w:rPr>
          <w:tab/>
        </w:r>
        <w:r w:rsidR="005B22A7" w:rsidRPr="005078C6">
          <w:rPr>
            <w:rStyle w:val="Hypertextovodkaz"/>
          </w:rPr>
          <w:t>Měnové podmínky</w:t>
        </w:r>
        <w:r w:rsidR="005B22A7">
          <w:rPr>
            <w:webHidden/>
          </w:rPr>
          <w:tab/>
        </w:r>
        <w:r>
          <w:rPr>
            <w:webHidden/>
          </w:rPr>
          <w:fldChar w:fldCharType="begin"/>
        </w:r>
        <w:r w:rsidR="005B22A7">
          <w:rPr>
            <w:webHidden/>
          </w:rPr>
          <w:instrText xml:space="preserve"> PAGEREF _Toc469327804 \h </w:instrText>
        </w:r>
        <w:r>
          <w:rPr>
            <w:webHidden/>
          </w:rPr>
        </w:r>
        <w:r>
          <w:rPr>
            <w:webHidden/>
          </w:rPr>
          <w:fldChar w:fldCharType="separate"/>
        </w:r>
        <w:r w:rsidR="00611C28">
          <w:rPr>
            <w:webHidden/>
          </w:rPr>
          <w:t>19</w:t>
        </w:r>
        <w:r>
          <w:rPr>
            <w:webHidden/>
          </w:rPr>
          <w:fldChar w:fldCharType="end"/>
        </w:r>
      </w:hyperlink>
    </w:p>
    <w:p w:rsidR="005B22A7" w:rsidRDefault="00D9769A">
      <w:pPr>
        <w:pStyle w:val="Obsah1"/>
        <w:rPr>
          <w:rFonts w:asciiTheme="minorHAnsi" w:eastAsiaTheme="minorEastAsia" w:hAnsiTheme="minorHAnsi" w:cstheme="minorBidi"/>
          <w:b w:val="0"/>
          <w:sz w:val="22"/>
          <w:szCs w:val="22"/>
          <w:lang w:eastAsia="cs-CZ"/>
        </w:rPr>
      </w:pPr>
      <w:hyperlink w:anchor="_Toc469327805" w:history="1">
        <w:r w:rsidR="005B22A7" w:rsidRPr="005078C6">
          <w:rPr>
            <w:rStyle w:val="Hypertextovodkaz"/>
          </w:rPr>
          <w:t>8.</w:t>
        </w:r>
        <w:r w:rsidR="005B22A7">
          <w:rPr>
            <w:rFonts w:asciiTheme="minorHAnsi" w:eastAsiaTheme="minorEastAsia" w:hAnsiTheme="minorHAnsi" w:cstheme="minorBidi"/>
            <w:b w:val="0"/>
            <w:sz w:val="22"/>
            <w:szCs w:val="22"/>
            <w:lang w:eastAsia="cs-CZ"/>
          </w:rPr>
          <w:tab/>
        </w:r>
        <w:r w:rsidR="005B22A7" w:rsidRPr="005078C6">
          <w:rPr>
            <w:rStyle w:val="Hypertextovodkaz"/>
          </w:rPr>
          <w:t>Státní rozpočet</w:t>
        </w:r>
        <w:r w:rsidR="005B22A7">
          <w:rPr>
            <w:webHidden/>
          </w:rPr>
          <w:tab/>
        </w:r>
        <w:r>
          <w:rPr>
            <w:webHidden/>
          </w:rPr>
          <w:fldChar w:fldCharType="begin"/>
        </w:r>
        <w:r w:rsidR="005B22A7">
          <w:rPr>
            <w:webHidden/>
          </w:rPr>
          <w:instrText xml:space="preserve"> PAGEREF _Toc469327805 \h </w:instrText>
        </w:r>
        <w:r>
          <w:rPr>
            <w:webHidden/>
          </w:rPr>
        </w:r>
        <w:r>
          <w:rPr>
            <w:webHidden/>
          </w:rPr>
          <w:fldChar w:fldCharType="separate"/>
        </w:r>
        <w:r w:rsidR="00611C28">
          <w:rPr>
            <w:webHidden/>
          </w:rPr>
          <w:t>21</w:t>
        </w:r>
        <w:r>
          <w:rPr>
            <w:webHidden/>
          </w:rPr>
          <w:fldChar w:fldCharType="end"/>
        </w:r>
      </w:hyperlink>
    </w:p>
    <w:p w:rsidR="00576A3E" w:rsidRPr="00A74192" w:rsidRDefault="00D9769A" w:rsidP="00D94859">
      <w:pPr>
        <w:pStyle w:val="Nadpis1"/>
        <w:spacing w:before="200"/>
        <w:rPr>
          <w:rFonts w:cs="Arial"/>
          <w:sz w:val="20"/>
          <w:szCs w:val="20"/>
        </w:rPr>
      </w:pPr>
      <w:r w:rsidRPr="00A74192">
        <w:fldChar w:fldCharType="end"/>
      </w:r>
    </w:p>
    <w:p w:rsidR="00576A3E" w:rsidRPr="00A74192" w:rsidRDefault="00576A3E" w:rsidP="00D94859">
      <w:pPr>
        <w:rPr>
          <w:rFonts w:cs="Arial"/>
          <w:b/>
        </w:rPr>
      </w:pPr>
      <w:r w:rsidRPr="00A74192">
        <w:rPr>
          <w:rFonts w:cs="Arial"/>
          <w:b/>
        </w:rPr>
        <w:t>Kapitoly zpracovali:</w:t>
      </w:r>
    </w:p>
    <w:p w:rsidR="00576A3E" w:rsidRPr="00A74192" w:rsidRDefault="00576A3E" w:rsidP="00D94859">
      <w:pPr>
        <w:rPr>
          <w:rFonts w:cs="Arial"/>
        </w:rPr>
      </w:pPr>
    </w:p>
    <w:p w:rsidR="00466AAE" w:rsidRPr="00A74192" w:rsidRDefault="00466AAE" w:rsidP="00D94859">
      <w:pPr>
        <w:spacing w:after="120" w:line="276" w:lineRule="auto"/>
        <w:rPr>
          <w:rFonts w:cs="Arial"/>
        </w:rPr>
      </w:pPr>
      <w:r w:rsidRPr="00A74192">
        <w:rPr>
          <w:rFonts w:cs="Arial"/>
        </w:rPr>
        <w:t>Jiří Kamenický</w:t>
      </w:r>
      <w:r w:rsidRPr="00A74192">
        <w:rPr>
          <w:rFonts w:cs="Arial"/>
        </w:rPr>
        <w:tab/>
      </w:r>
      <w:r w:rsidRPr="00A74192">
        <w:rPr>
          <w:rFonts w:cs="Arial"/>
        </w:rPr>
        <w:tab/>
        <w:t xml:space="preserve">Shrnutí (kap. 1), </w:t>
      </w:r>
      <w:r w:rsidRPr="00A74192">
        <w:rPr>
          <w:rFonts w:cs="Arial"/>
          <w:color w:val="000000"/>
        </w:rPr>
        <w:t>kap. 3,</w:t>
      </w:r>
      <w:r w:rsidRPr="00A74192">
        <w:rPr>
          <w:rFonts w:cs="Arial"/>
        </w:rPr>
        <w:t xml:space="preserve"> kap. 6, kap. 8</w:t>
      </w:r>
    </w:p>
    <w:p w:rsidR="00466AAE" w:rsidRPr="00A74192" w:rsidRDefault="004A7670" w:rsidP="00D94859">
      <w:pPr>
        <w:spacing w:after="120" w:line="276" w:lineRule="auto"/>
        <w:rPr>
          <w:rFonts w:cs="Arial"/>
        </w:rPr>
      </w:pPr>
      <w:r>
        <w:rPr>
          <w:rFonts w:cs="Arial"/>
        </w:rPr>
        <w:t>Karolína Súkupová</w:t>
      </w:r>
      <w:r>
        <w:rPr>
          <w:rFonts w:cs="Arial"/>
        </w:rPr>
        <w:tab/>
      </w:r>
      <w:r w:rsidR="00466AAE" w:rsidRPr="00A74192">
        <w:rPr>
          <w:rFonts w:cs="Arial"/>
        </w:rPr>
        <w:t>Shrnutí (kap. 1), kap. 2</w:t>
      </w:r>
      <w:r>
        <w:rPr>
          <w:rFonts w:cs="Arial"/>
        </w:rPr>
        <w:t>, kap. 4, kap. 5, kap. 7</w:t>
      </w:r>
    </w:p>
    <w:p w:rsidR="00466AAE" w:rsidRDefault="00466AAE" w:rsidP="00D94859">
      <w:pPr>
        <w:spacing w:after="120" w:line="276" w:lineRule="auto"/>
        <w:rPr>
          <w:rFonts w:cs="Arial"/>
        </w:rPr>
      </w:pPr>
    </w:p>
    <w:p w:rsidR="004A7670" w:rsidRPr="00A74192" w:rsidRDefault="004A7670" w:rsidP="00D94859">
      <w:pPr>
        <w:spacing w:after="120" w:line="276" w:lineRule="auto"/>
        <w:rPr>
          <w:rFonts w:cs="Arial"/>
        </w:rPr>
      </w:pPr>
    </w:p>
    <w:p w:rsidR="00576A3E" w:rsidRPr="00A74192" w:rsidRDefault="00576A3E" w:rsidP="00D94859"/>
    <w:p w:rsidR="00576A3E" w:rsidRPr="00A74192" w:rsidRDefault="00576A3E" w:rsidP="00D94859">
      <w:pPr>
        <w:sectPr w:rsidR="00576A3E" w:rsidRPr="00A74192" w:rsidSect="00E83DAB">
          <w:headerReference w:type="even" r:id="rId10"/>
          <w:headerReference w:type="default" r:id="rId11"/>
          <w:footerReference w:type="default" r:id="rId12"/>
          <w:pgSz w:w="11906" w:h="16838" w:code="9"/>
          <w:pgMar w:top="1134" w:right="1134" w:bottom="1418" w:left="1134" w:header="680" w:footer="680" w:gutter="0"/>
          <w:cols w:space="708"/>
          <w:docGrid w:linePitch="360"/>
        </w:sectPr>
      </w:pPr>
    </w:p>
    <w:p w:rsidR="00576A3E" w:rsidRPr="00A74192" w:rsidRDefault="00576A3E" w:rsidP="00D94859"/>
    <w:p w:rsidR="00576A3E" w:rsidRPr="00A74192" w:rsidRDefault="00576A3E" w:rsidP="00D94859"/>
    <w:p w:rsidR="00576A3E" w:rsidRPr="00A74192" w:rsidRDefault="00576A3E" w:rsidP="00D94859"/>
    <w:p w:rsidR="00576A3E" w:rsidRPr="00A74192" w:rsidRDefault="00576A3E" w:rsidP="00D94859"/>
    <w:p w:rsidR="00576A3E" w:rsidRPr="00A74192" w:rsidRDefault="00576A3E" w:rsidP="00D94859"/>
    <w:p w:rsidR="00576A3E" w:rsidRPr="00A74192" w:rsidRDefault="00576A3E" w:rsidP="00D94859"/>
    <w:p w:rsidR="00576A3E" w:rsidRPr="00A74192" w:rsidRDefault="00576A3E" w:rsidP="00D94859"/>
    <w:p w:rsidR="00576A3E" w:rsidRPr="00A74192" w:rsidRDefault="00576A3E" w:rsidP="00D94859"/>
    <w:p w:rsidR="00576A3E" w:rsidRPr="00A74192" w:rsidRDefault="00576A3E" w:rsidP="00D94859"/>
    <w:p w:rsidR="00576A3E" w:rsidRPr="00A74192" w:rsidRDefault="00576A3E" w:rsidP="00D94859"/>
    <w:p w:rsidR="00576A3E" w:rsidRPr="00A74192" w:rsidRDefault="00576A3E" w:rsidP="00D94859"/>
    <w:p w:rsidR="00576A3E" w:rsidRPr="00A74192" w:rsidRDefault="00576A3E" w:rsidP="00D94859"/>
    <w:p w:rsidR="00576A3E" w:rsidRPr="00A74192" w:rsidRDefault="00576A3E" w:rsidP="00D94859"/>
    <w:p w:rsidR="00576A3E" w:rsidRPr="00A74192" w:rsidRDefault="00576A3E" w:rsidP="00D94859"/>
    <w:p w:rsidR="00576A3E" w:rsidRPr="00A74192" w:rsidRDefault="00576A3E" w:rsidP="00D94859"/>
    <w:p w:rsidR="00576A3E" w:rsidRPr="00A74192" w:rsidRDefault="00576A3E" w:rsidP="00D94859"/>
    <w:p w:rsidR="00576A3E" w:rsidRPr="00A74192" w:rsidRDefault="00576A3E" w:rsidP="00D94859"/>
    <w:p w:rsidR="00BB0274" w:rsidRPr="00A74192" w:rsidRDefault="00BB0274" w:rsidP="00D94859"/>
    <w:p w:rsidR="00576A3E" w:rsidRPr="00A74192" w:rsidRDefault="00576A3E" w:rsidP="00D94859"/>
    <w:p w:rsidR="00576A3E" w:rsidRPr="00A74192" w:rsidRDefault="00576A3E" w:rsidP="00D94859"/>
    <w:p w:rsidR="00576A3E" w:rsidRPr="00A74192" w:rsidRDefault="00576A3E" w:rsidP="00D94859"/>
    <w:p w:rsidR="00960769" w:rsidRPr="00A74192" w:rsidRDefault="00960769" w:rsidP="009F777A">
      <w:pPr>
        <w:pStyle w:val="Nadpis1"/>
        <w:numPr>
          <w:ilvl w:val="0"/>
          <w:numId w:val="12"/>
        </w:numPr>
        <w:ind w:left="709"/>
      </w:pPr>
      <w:bookmarkStart w:id="4" w:name="_Toc469299929"/>
      <w:bookmarkStart w:id="5" w:name="_Toc469327798"/>
      <w:r w:rsidRPr="00A74192">
        <w:lastRenderedPageBreak/>
        <w:t>Shrnutí</w:t>
      </w:r>
      <w:bookmarkEnd w:id="4"/>
      <w:bookmarkEnd w:id="5"/>
    </w:p>
    <w:p w:rsidR="00CA6D0B" w:rsidRPr="00A462D9" w:rsidRDefault="00CA6D0B" w:rsidP="00D94859">
      <w:pPr>
        <w:pStyle w:val="Textpoznpodarou"/>
        <w:numPr>
          <w:ilvl w:val="0"/>
          <w:numId w:val="9"/>
        </w:numPr>
        <w:ind w:left="425"/>
        <w:jc w:val="both"/>
        <w:rPr>
          <w:spacing w:val="-2"/>
          <w:lang w:eastAsia="ar-SA"/>
        </w:rPr>
      </w:pPr>
      <w:r w:rsidRPr="000B56F9">
        <w:rPr>
          <w:spacing w:val="-2"/>
          <w:lang w:eastAsia="ar-SA"/>
        </w:rPr>
        <w:t>Zpomalení</w:t>
      </w:r>
      <w:r w:rsidR="007B2257">
        <w:rPr>
          <w:spacing w:val="-2"/>
          <w:lang w:eastAsia="ar-SA"/>
        </w:rPr>
        <w:t xml:space="preserve"> růstu</w:t>
      </w:r>
      <w:r w:rsidRPr="000B56F9">
        <w:rPr>
          <w:spacing w:val="-2"/>
          <w:lang w:eastAsia="ar-SA"/>
        </w:rPr>
        <w:t xml:space="preserve"> české ekonomiky</w:t>
      </w:r>
      <w:r>
        <w:rPr>
          <w:spacing w:val="-2"/>
          <w:lang w:eastAsia="ar-SA"/>
        </w:rPr>
        <w:t>, které se začalo projevovat na přelomu let 2015 a 2016</w:t>
      </w:r>
      <w:r w:rsidR="00377666">
        <w:rPr>
          <w:spacing w:val="-2"/>
          <w:lang w:eastAsia="ar-SA"/>
        </w:rPr>
        <w:t>,</w:t>
      </w:r>
      <w:r w:rsidRPr="000B56F9">
        <w:rPr>
          <w:spacing w:val="-2"/>
          <w:lang w:eastAsia="ar-SA"/>
        </w:rPr>
        <w:t xml:space="preserve"> </w:t>
      </w:r>
      <w:r w:rsidR="00C17E3C">
        <w:rPr>
          <w:spacing w:val="-2"/>
          <w:lang w:eastAsia="ar-SA"/>
        </w:rPr>
        <w:t>se promítlo i </w:t>
      </w:r>
      <w:r w:rsidR="009B47BE">
        <w:rPr>
          <w:spacing w:val="-2"/>
          <w:lang w:eastAsia="ar-SA"/>
        </w:rPr>
        <w:t>do</w:t>
      </w:r>
      <w:r w:rsidR="007B2257">
        <w:rPr>
          <w:spacing w:val="-2"/>
          <w:lang w:eastAsia="ar-SA"/>
        </w:rPr>
        <w:t xml:space="preserve"> </w:t>
      </w:r>
      <w:r w:rsidRPr="000B56F9">
        <w:rPr>
          <w:spacing w:val="-2"/>
          <w:lang w:eastAsia="ar-SA"/>
        </w:rPr>
        <w:t>3.</w:t>
      </w:r>
      <w:r>
        <w:rPr>
          <w:spacing w:val="-2"/>
          <w:lang w:eastAsia="ar-SA"/>
        </w:rPr>
        <w:t> </w:t>
      </w:r>
      <w:r w:rsidRPr="000B56F9">
        <w:rPr>
          <w:spacing w:val="-2"/>
          <w:lang w:eastAsia="ar-SA"/>
        </w:rPr>
        <w:t>čtvrtletí. Hrubý domácí produkt a hrubá přidaná hodnota meziročně vzrostly o 1,9 % a</w:t>
      </w:r>
      <w:r>
        <w:rPr>
          <w:spacing w:val="-2"/>
          <w:lang w:eastAsia="ar-SA"/>
        </w:rPr>
        <w:t> </w:t>
      </w:r>
      <w:r w:rsidRPr="000B56F9">
        <w:rPr>
          <w:spacing w:val="-2"/>
          <w:lang w:eastAsia="ar-SA"/>
        </w:rPr>
        <w:t xml:space="preserve">1,6 %. </w:t>
      </w:r>
      <w:r>
        <w:rPr>
          <w:spacing w:val="-2"/>
          <w:lang w:eastAsia="ar-SA"/>
        </w:rPr>
        <w:t>Utlumená dynamika je projevem</w:t>
      </w:r>
      <w:r w:rsidRPr="000B56F9">
        <w:rPr>
          <w:spacing w:val="-2"/>
          <w:lang w:eastAsia="ar-SA"/>
        </w:rPr>
        <w:t xml:space="preserve"> vysok</w:t>
      </w:r>
      <w:r>
        <w:rPr>
          <w:spacing w:val="-2"/>
          <w:lang w:eastAsia="ar-SA"/>
        </w:rPr>
        <w:t>é</w:t>
      </w:r>
      <w:r w:rsidRPr="000B56F9">
        <w:rPr>
          <w:spacing w:val="-2"/>
          <w:lang w:eastAsia="ar-SA"/>
        </w:rPr>
        <w:t xml:space="preserve"> srovnávací základn</w:t>
      </w:r>
      <w:r>
        <w:rPr>
          <w:spacing w:val="-2"/>
          <w:lang w:eastAsia="ar-SA"/>
        </w:rPr>
        <w:t>y</w:t>
      </w:r>
      <w:r w:rsidRPr="000B56F9">
        <w:rPr>
          <w:spacing w:val="-2"/>
          <w:lang w:eastAsia="ar-SA"/>
        </w:rPr>
        <w:t xml:space="preserve"> minulého roku i výpadk</w:t>
      </w:r>
      <w:r>
        <w:rPr>
          <w:spacing w:val="-2"/>
          <w:lang w:eastAsia="ar-SA"/>
        </w:rPr>
        <w:t>u</w:t>
      </w:r>
      <w:r w:rsidRPr="000B56F9">
        <w:rPr>
          <w:spacing w:val="-2"/>
          <w:lang w:eastAsia="ar-SA"/>
        </w:rPr>
        <w:t xml:space="preserve"> některých růstových faktorů. Meziroční růst české ekonomiky se srovnal s růstem celé Evropské unie</w:t>
      </w:r>
      <w:r>
        <w:rPr>
          <w:spacing w:val="-2"/>
          <w:lang w:eastAsia="ar-SA"/>
        </w:rPr>
        <w:t xml:space="preserve">. Našim hlavním exportním partnerům i většině evropských zemí se dařilo udržet stabilní růst HDP. Mezičtvrtletní vývoj HDP ukazuje na možné naplnění potenciálu české ekonomiky. Přírůstky hrubého domácího produktu v jednotlivých čtvrtletích činily 0,4 %, 0,9 % a 0,2 %. S výjimkou 2. čtvrtletí se mezičtvrtletní přírůstky HDP snížily v porovnání s rokem 2015 přibližně o 1 p.b. </w:t>
      </w:r>
      <w:r w:rsidRPr="00A462D9">
        <w:rPr>
          <w:spacing w:val="-2"/>
          <w:lang w:eastAsia="ar-SA"/>
        </w:rPr>
        <w:t xml:space="preserve">  </w:t>
      </w:r>
    </w:p>
    <w:p w:rsidR="00CA6D0B" w:rsidRPr="00C40E09" w:rsidRDefault="00CA6D0B" w:rsidP="00D94859">
      <w:pPr>
        <w:pStyle w:val="Textpoznpodarou"/>
        <w:ind w:left="425"/>
        <w:jc w:val="both"/>
        <w:rPr>
          <w:spacing w:val="-2"/>
          <w:sz w:val="16"/>
          <w:szCs w:val="16"/>
          <w:lang w:eastAsia="ar-SA"/>
        </w:rPr>
      </w:pPr>
    </w:p>
    <w:p w:rsidR="00CA6D0B" w:rsidRDefault="00CA6D0B" w:rsidP="00D94859">
      <w:pPr>
        <w:pStyle w:val="Textpoznpodarou"/>
        <w:numPr>
          <w:ilvl w:val="0"/>
          <w:numId w:val="9"/>
        </w:numPr>
        <w:ind w:left="425"/>
        <w:jc w:val="both"/>
        <w:rPr>
          <w:spacing w:val="-2"/>
          <w:lang w:eastAsia="ar-SA"/>
        </w:rPr>
      </w:pPr>
      <w:r w:rsidRPr="00797824">
        <w:rPr>
          <w:spacing w:val="-2"/>
          <w:lang w:eastAsia="ar-SA"/>
        </w:rPr>
        <w:t xml:space="preserve">Česká ekonomika byla ve 3. čtvrtletí tažena především domácí spotřebou, která byla stimulována </w:t>
      </w:r>
      <w:r w:rsidR="007B2257">
        <w:rPr>
          <w:spacing w:val="-2"/>
          <w:lang w:eastAsia="ar-SA"/>
        </w:rPr>
        <w:t xml:space="preserve">zejména </w:t>
      </w:r>
      <w:r w:rsidRPr="00797824">
        <w:rPr>
          <w:spacing w:val="-2"/>
          <w:lang w:eastAsia="ar-SA"/>
        </w:rPr>
        <w:t xml:space="preserve">nárůstem mezd a platů. Investiční aktivita, která v minulém roce patřila ke klíčovým složkám ekonomického růstu, na přelomu roku zaznamenala propad související s dočerpáním prostředků z evropských fondů udělených v programovém období 2007–2013. To potvrzuje </w:t>
      </w:r>
      <w:r w:rsidR="00F61BFE">
        <w:rPr>
          <w:spacing w:val="-2"/>
          <w:lang w:eastAsia="ar-SA"/>
        </w:rPr>
        <w:t>i</w:t>
      </w:r>
      <w:r w:rsidRPr="00797824">
        <w:rPr>
          <w:spacing w:val="-2"/>
          <w:lang w:eastAsia="ar-SA"/>
        </w:rPr>
        <w:t xml:space="preserve"> vývoj investic do ostatních staveb, které zahrnují infrastrukturní projekty závislé na dotační podpoře. Ve 3. čtvrtletí bylo patrné zmírnění propadu ve tvorbě hrubého fixního ka</w:t>
      </w:r>
      <w:r w:rsidR="0094396E">
        <w:rPr>
          <w:spacing w:val="-2"/>
          <w:lang w:eastAsia="ar-SA"/>
        </w:rPr>
        <w:t xml:space="preserve">pitálu, </w:t>
      </w:r>
      <w:r w:rsidR="00F61BFE">
        <w:rPr>
          <w:spacing w:val="-2"/>
          <w:lang w:eastAsia="ar-SA"/>
        </w:rPr>
        <w:t>hlavně</w:t>
      </w:r>
      <w:r w:rsidR="0094396E">
        <w:rPr>
          <w:spacing w:val="-2"/>
          <w:lang w:eastAsia="ar-SA"/>
        </w:rPr>
        <w:t xml:space="preserve"> díky vyšším investicím do obydlí či</w:t>
      </w:r>
      <w:r w:rsidRPr="00797824">
        <w:rPr>
          <w:spacing w:val="-2"/>
          <w:lang w:eastAsia="ar-SA"/>
        </w:rPr>
        <w:t xml:space="preserve"> dopravních prostředků a zařízení.</w:t>
      </w:r>
    </w:p>
    <w:p w:rsidR="00CA6D0B" w:rsidRPr="00C40E09" w:rsidRDefault="00CA6D0B" w:rsidP="00D94859">
      <w:pPr>
        <w:pStyle w:val="Textpoznpodarou"/>
        <w:ind w:left="425"/>
        <w:jc w:val="both"/>
        <w:rPr>
          <w:spacing w:val="-2"/>
          <w:sz w:val="16"/>
          <w:szCs w:val="16"/>
          <w:lang w:eastAsia="ar-SA"/>
        </w:rPr>
      </w:pPr>
    </w:p>
    <w:p w:rsidR="00CA6D0B" w:rsidRPr="004F7170" w:rsidRDefault="00CA6D0B" w:rsidP="004F7170">
      <w:pPr>
        <w:pStyle w:val="Textpoznpodarou"/>
        <w:numPr>
          <w:ilvl w:val="0"/>
          <w:numId w:val="9"/>
        </w:numPr>
        <w:ind w:left="425"/>
        <w:jc w:val="both"/>
        <w:rPr>
          <w:spacing w:val="-2"/>
          <w:lang w:eastAsia="ar-SA"/>
        </w:rPr>
      </w:pPr>
      <w:r w:rsidRPr="00CA6D0B">
        <w:rPr>
          <w:spacing w:val="-2"/>
          <w:lang w:eastAsia="ar-SA"/>
        </w:rPr>
        <w:t xml:space="preserve">Na růstu hrubé přidané hodnoty ve 3. čtvrtletí se nejvýrazněji podílel zpracovatelský průmysl (+1,1 p.b.). Kladný příspěvek měl i obchod, doprava, ubytování a pohostinství (+0,2 p.b.) nebo činnosti v oblasti nemovitostí (+0,3 p.b.). Stavebnictví naopak růst HPH zbrzdilo o 0,3 p.b. Zpomalení ostatních odvětví </w:t>
      </w:r>
      <w:r w:rsidR="007B2257">
        <w:rPr>
          <w:spacing w:val="-2"/>
          <w:lang w:eastAsia="ar-SA"/>
        </w:rPr>
        <w:t>zvýraznilo</w:t>
      </w:r>
      <w:r w:rsidRPr="00CA6D0B">
        <w:rPr>
          <w:spacing w:val="-2"/>
          <w:lang w:eastAsia="ar-SA"/>
        </w:rPr>
        <w:t xml:space="preserve"> vliv zpracovatelského průmyslu na českou ekonomiku. Jeho příspěvek tvořil dvě</w:t>
      </w:r>
      <w:r w:rsidR="00083D7F">
        <w:rPr>
          <w:spacing w:val="-2"/>
          <w:lang w:eastAsia="ar-SA"/>
        </w:rPr>
        <w:t xml:space="preserve"> třetiny celkového růstu HPH. Rostoucí příjmy domácností i přetrvávající pozitivní naladění spotřebitelů se přetavily do svižného růstu maloobchodních tržeb (+5,3 %), jenž byl mezi státy EU šestý nejvyšší.</w:t>
      </w:r>
    </w:p>
    <w:p w:rsidR="00CA6D0B" w:rsidRPr="00C40E09" w:rsidRDefault="00CA6D0B" w:rsidP="00D94859">
      <w:pPr>
        <w:pStyle w:val="Textpoznpodarou"/>
        <w:ind w:left="425"/>
        <w:jc w:val="both"/>
        <w:rPr>
          <w:spacing w:val="-2"/>
          <w:sz w:val="16"/>
          <w:szCs w:val="16"/>
          <w:highlight w:val="yellow"/>
          <w:lang w:eastAsia="ar-SA"/>
        </w:rPr>
      </w:pPr>
    </w:p>
    <w:p w:rsidR="00CA6D0B" w:rsidRDefault="00CA6D0B" w:rsidP="00D94859">
      <w:pPr>
        <w:pStyle w:val="Textpoznpodarou"/>
        <w:numPr>
          <w:ilvl w:val="0"/>
          <w:numId w:val="9"/>
        </w:numPr>
        <w:ind w:left="425"/>
        <w:jc w:val="both"/>
        <w:rPr>
          <w:lang w:eastAsia="ar-SA"/>
        </w:rPr>
      </w:pPr>
      <w:r w:rsidRPr="004524E6">
        <w:rPr>
          <w:lang w:eastAsia="ar-SA"/>
        </w:rPr>
        <w:t>Pokračující devizové intervence se výrazně promítaly do finančního účtu, který zaznamenal přebytek. Opačným směrem působil zájem nerezidentů o české vládní dluhopisy.</w:t>
      </w:r>
      <w:r>
        <w:rPr>
          <w:lang w:eastAsia="ar-SA"/>
        </w:rPr>
        <w:t xml:space="preserve"> </w:t>
      </w:r>
      <w:r w:rsidRPr="004524E6">
        <w:rPr>
          <w:lang w:eastAsia="ar-SA"/>
        </w:rPr>
        <w:t xml:space="preserve">Exportu </w:t>
      </w:r>
      <w:r w:rsidR="00377666">
        <w:rPr>
          <w:lang w:eastAsia="ar-SA"/>
        </w:rPr>
        <w:t xml:space="preserve">se v 1. – </w:t>
      </w:r>
      <w:r w:rsidR="00377666" w:rsidRPr="004524E6">
        <w:rPr>
          <w:lang w:eastAsia="ar-SA"/>
        </w:rPr>
        <w:t>3. čtvrtletí</w:t>
      </w:r>
      <w:r w:rsidRPr="004524E6">
        <w:rPr>
          <w:lang w:eastAsia="ar-SA"/>
        </w:rPr>
        <w:t xml:space="preserve"> dařilo</w:t>
      </w:r>
      <w:r>
        <w:rPr>
          <w:lang w:eastAsia="ar-SA"/>
        </w:rPr>
        <w:t>, p</w:t>
      </w:r>
      <w:r w:rsidRPr="004524E6">
        <w:rPr>
          <w:lang w:eastAsia="ar-SA"/>
        </w:rPr>
        <w:t>řebytek běžného účtu platební bilance oproti mi</w:t>
      </w:r>
      <w:r>
        <w:rPr>
          <w:lang w:eastAsia="ar-SA"/>
        </w:rPr>
        <w:t>nulému roku vzrostl o </w:t>
      </w:r>
      <w:r w:rsidR="007F1092">
        <w:rPr>
          <w:lang w:eastAsia="ar-SA"/>
        </w:rPr>
        <w:t>74,1</w:t>
      </w:r>
      <w:r>
        <w:rPr>
          <w:lang w:eastAsia="ar-SA"/>
        </w:rPr>
        <w:t xml:space="preserve"> mld. Přesto dynamika vývozu oproti minulému roku zpomalila. </w:t>
      </w:r>
      <w:r w:rsidRPr="004524E6">
        <w:rPr>
          <w:lang w:eastAsia="ar-SA"/>
        </w:rPr>
        <w:t>Zásluhou segmentu motorových vozidel nebo strojů a</w:t>
      </w:r>
      <w:r w:rsidR="00023FB5">
        <w:rPr>
          <w:lang w:eastAsia="ar-SA"/>
        </w:rPr>
        <w:t> </w:t>
      </w:r>
      <w:r w:rsidRPr="004524E6">
        <w:rPr>
          <w:lang w:eastAsia="ar-SA"/>
        </w:rPr>
        <w:t>zařízení vzrostl vývoz meziročně o 1,</w:t>
      </w:r>
      <w:r>
        <w:rPr>
          <w:lang w:eastAsia="ar-SA"/>
        </w:rPr>
        <w:t>7</w:t>
      </w:r>
      <w:r w:rsidRPr="004524E6">
        <w:rPr>
          <w:lang w:eastAsia="ar-SA"/>
        </w:rPr>
        <w:t xml:space="preserve"> %</w:t>
      </w:r>
      <w:r>
        <w:rPr>
          <w:lang w:eastAsia="ar-SA"/>
        </w:rPr>
        <w:t xml:space="preserve">. </w:t>
      </w:r>
      <w:r w:rsidRPr="004524E6">
        <w:rPr>
          <w:lang w:eastAsia="ar-SA"/>
        </w:rPr>
        <w:t xml:space="preserve">  </w:t>
      </w:r>
    </w:p>
    <w:p w:rsidR="00CA6D0B" w:rsidRPr="00C40E09" w:rsidRDefault="00CA6D0B" w:rsidP="00D94859">
      <w:pPr>
        <w:pStyle w:val="Textpoznpodarou"/>
        <w:ind w:left="425"/>
        <w:jc w:val="both"/>
        <w:rPr>
          <w:sz w:val="16"/>
          <w:szCs w:val="16"/>
          <w:lang w:eastAsia="ar-SA"/>
        </w:rPr>
      </w:pPr>
    </w:p>
    <w:p w:rsidR="004F7170" w:rsidRDefault="00CA6D0B" w:rsidP="004F7170">
      <w:pPr>
        <w:pStyle w:val="Bezmezer"/>
        <w:numPr>
          <w:ilvl w:val="0"/>
          <w:numId w:val="9"/>
        </w:numPr>
        <w:ind w:left="425"/>
        <w:rPr>
          <w:rFonts w:cs="Arial"/>
          <w:szCs w:val="20"/>
        </w:rPr>
      </w:pPr>
      <w:r w:rsidRPr="00CA6D0B">
        <w:rPr>
          <w:rFonts w:cs="Arial"/>
          <w:szCs w:val="20"/>
        </w:rPr>
        <w:t>Většina sledovaných cen odráží dynamiku cen ropy, které se po výrazném propadu v minulém roce ustálily. Cenová hladina měřená indexem spotřebitelských cen v 1. až 3. čtvrtletí vzrostla o 0,4 %. C</w:t>
      </w:r>
      <w:r w:rsidR="00377666">
        <w:rPr>
          <w:rFonts w:cs="Arial"/>
          <w:szCs w:val="20"/>
        </w:rPr>
        <w:t>eny v průmyslu meziročně klesly.</w:t>
      </w:r>
      <w:r w:rsidRPr="00CA6D0B">
        <w:rPr>
          <w:rFonts w:cs="Arial"/>
          <w:szCs w:val="20"/>
        </w:rPr>
        <w:t xml:space="preserve"> </w:t>
      </w:r>
      <w:r w:rsidR="00377666">
        <w:rPr>
          <w:rFonts w:cs="Arial"/>
          <w:szCs w:val="20"/>
        </w:rPr>
        <w:t>M</w:t>
      </w:r>
      <w:r w:rsidRPr="00CA6D0B">
        <w:rPr>
          <w:rFonts w:cs="Arial"/>
          <w:szCs w:val="20"/>
        </w:rPr>
        <w:t>eziměsíční vývoj však naznačuje, že se propad zastavil. Ceny zemědělských výrobců jsou nadále v deflaci, avšak ceny ve stavebnictví a tržních službách meziročně mírně rostly. Poptávka po bytech, stimulovaná rekordně nízkými hypotečními sazbami a pozitivním ekonomickým vývojem, zrychluje růst cen nemovitostí.</w:t>
      </w:r>
    </w:p>
    <w:p w:rsidR="004F7170" w:rsidRPr="00C40E09" w:rsidRDefault="004F7170" w:rsidP="004F7170">
      <w:pPr>
        <w:pStyle w:val="Bezmezer"/>
        <w:rPr>
          <w:rFonts w:cs="Arial"/>
          <w:sz w:val="16"/>
          <w:szCs w:val="16"/>
        </w:rPr>
      </w:pPr>
    </w:p>
    <w:p w:rsidR="00CA6D0B" w:rsidRPr="004F7170" w:rsidRDefault="004F7170" w:rsidP="004F7170">
      <w:pPr>
        <w:pStyle w:val="Bezmezer"/>
        <w:numPr>
          <w:ilvl w:val="0"/>
          <w:numId w:val="9"/>
        </w:numPr>
        <w:ind w:left="425"/>
        <w:rPr>
          <w:rFonts w:cs="Arial"/>
          <w:szCs w:val="20"/>
        </w:rPr>
      </w:pPr>
      <w:r>
        <w:rPr>
          <w:rFonts w:cs="Arial"/>
          <w:szCs w:val="20"/>
        </w:rPr>
        <w:t xml:space="preserve">Trh práce </w:t>
      </w:r>
      <w:r w:rsidR="00051ADE">
        <w:rPr>
          <w:rFonts w:cs="Arial"/>
          <w:szCs w:val="20"/>
        </w:rPr>
        <w:t>byl v dobré kondici. Počet pracovníků</w:t>
      </w:r>
      <w:r w:rsidR="00051ADE">
        <w:rPr>
          <w:rStyle w:val="Znakapoznpodarou"/>
          <w:szCs w:val="20"/>
        </w:rPr>
        <w:footnoteReference w:id="1"/>
      </w:r>
      <w:r w:rsidR="00051ADE">
        <w:rPr>
          <w:rFonts w:cs="Arial"/>
          <w:szCs w:val="20"/>
        </w:rPr>
        <w:t xml:space="preserve"> se v 1</w:t>
      </w:r>
      <w:r w:rsidR="00051ADE" w:rsidRPr="00CA6D0B">
        <w:rPr>
          <w:rFonts w:cs="Arial"/>
          <w:szCs w:val="20"/>
        </w:rPr>
        <w:t xml:space="preserve">. až 3. </w:t>
      </w:r>
      <w:r w:rsidR="00051ADE">
        <w:rPr>
          <w:rFonts w:cs="Arial"/>
          <w:szCs w:val="20"/>
        </w:rPr>
        <w:t>č</w:t>
      </w:r>
      <w:r w:rsidR="00051ADE" w:rsidRPr="00CA6D0B">
        <w:rPr>
          <w:rFonts w:cs="Arial"/>
          <w:szCs w:val="20"/>
        </w:rPr>
        <w:t>tvrtletí</w:t>
      </w:r>
      <w:r w:rsidR="00051ADE">
        <w:rPr>
          <w:rFonts w:cs="Arial"/>
          <w:szCs w:val="20"/>
        </w:rPr>
        <w:t xml:space="preserve"> meziročně zvýšil o 1,7 %, téměř z poloviny vlivem sílícího zpracovatelského průmyslu. Zaměstnanost se ale zvyšovala</w:t>
      </w:r>
      <w:r w:rsidR="00AA220F">
        <w:rPr>
          <w:rFonts w:cs="Arial"/>
          <w:szCs w:val="20"/>
        </w:rPr>
        <w:t xml:space="preserve"> </w:t>
      </w:r>
      <w:r w:rsidR="00051ADE">
        <w:rPr>
          <w:rFonts w:cs="Arial"/>
          <w:szCs w:val="20"/>
        </w:rPr>
        <w:t xml:space="preserve">napříč všemi významnými odvětvími služeb. Práci mělo ve 3. čtvrtletí rekordních 5,27 </w:t>
      </w:r>
      <w:r w:rsidR="0023301B">
        <w:rPr>
          <w:rFonts w:cs="Arial"/>
          <w:szCs w:val="20"/>
        </w:rPr>
        <w:t xml:space="preserve">mil. osob. </w:t>
      </w:r>
      <w:r w:rsidR="0023301B">
        <w:rPr>
          <w:rFonts w:cs="Arial"/>
          <w:color w:val="0D0D0D" w:themeColor="text1" w:themeTint="F2"/>
        </w:rPr>
        <w:t xml:space="preserve">Obecná míra nezaměstnanosti se nadále snižovala, </w:t>
      </w:r>
      <w:r w:rsidR="00377666">
        <w:rPr>
          <w:rFonts w:cs="Arial"/>
          <w:color w:val="0D0D0D" w:themeColor="text1" w:themeTint="F2"/>
        </w:rPr>
        <w:t>ovšem</w:t>
      </w:r>
      <w:r w:rsidR="0023301B">
        <w:rPr>
          <w:rFonts w:cs="Arial"/>
          <w:color w:val="0D0D0D" w:themeColor="text1" w:themeTint="F2"/>
        </w:rPr>
        <w:t xml:space="preserve"> na rozdíl od loňska již výrazně pomalejším tempem. Ve 3. čtvrtletí dosahovala 4 %, meziročně byla příznivější o 0,9 p.b. </w:t>
      </w:r>
      <w:r w:rsidR="0023301B">
        <w:rPr>
          <w:rFonts w:cs="Arial"/>
          <w:color w:val="0D0D0D" w:themeColor="text1" w:themeTint="F2"/>
          <w:spacing w:val="-4"/>
        </w:rPr>
        <w:t xml:space="preserve">Tempo růstu nabídky volných </w:t>
      </w:r>
      <w:r w:rsidR="00CE5F03">
        <w:rPr>
          <w:rFonts w:cs="Arial"/>
          <w:color w:val="0D0D0D" w:themeColor="text1" w:themeTint="F2"/>
          <w:spacing w:val="-4"/>
        </w:rPr>
        <w:t xml:space="preserve">pozic prostřednictvím </w:t>
      </w:r>
      <w:r w:rsidR="00377666">
        <w:rPr>
          <w:rFonts w:cs="Arial"/>
          <w:color w:val="0D0D0D" w:themeColor="text1" w:themeTint="F2"/>
          <w:spacing w:val="-4"/>
        </w:rPr>
        <w:t>úřadů práce</w:t>
      </w:r>
      <w:r w:rsidR="0023301B">
        <w:rPr>
          <w:rFonts w:cs="Arial"/>
          <w:color w:val="0D0D0D" w:themeColor="text1" w:themeTint="F2"/>
          <w:spacing w:val="-4"/>
        </w:rPr>
        <w:t xml:space="preserve"> </w:t>
      </w:r>
      <w:r w:rsidR="00CE5F03">
        <w:rPr>
          <w:rFonts w:cs="Arial"/>
          <w:color w:val="0D0D0D" w:themeColor="text1" w:themeTint="F2"/>
          <w:spacing w:val="-4"/>
        </w:rPr>
        <w:t xml:space="preserve">příliš </w:t>
      </w:r>
      <w:r w:rsidR="0023301B">
        <w:rPr>
          <w:rFonts w:cs="Arial"/>
          <w:color w:val="0D0D0D" w:themeColor="text1" w:themeTint="F2"/>
          <w:spacing w:val="-4"/>
        </w:rPr>
        <w:t>neoslabovalo</w:t>
      </w:r>
      <w:r w:rsidR="00377666">
        <w:rPr>
          <w:rFonts w:cs="Arial"/>
          <w:color w:val="0D0D0D" w:themeColor="text1" w:themeTint="F2"/>
          <w:spacing w:val="-4"/>
        </w:rPr>
        <w:t>. N</w:t>
      </w:r>
      <w:r w:rsidR="00C40E09">
        <w:rPr>
          <w:rFonts w:cs="Arial"/>
          <w:color w:val="0D0D0D" w:themeColor="text1" w:themeTint="F2"/>
          <w:spacing w:val="-4"/>
        </w:rPr>
        <w:t>a 1</w:t>
      </w:r>
      <w:r w:rsidR="00AA220F">
        <w:rPr>
          <w:rFonts w:cs="Arial"/>
          <w:color w:val="0D0D0D" w:themeColor="text1" w:themeTint="F2"/>
          <w:spacing w:val="-4"/>
        </w:rPr>
        <w:t xml:space="preserve"> místo </w:t>
      </w:r>
      <w:r w:rsidR="0023301B">
        <w:rPr>
          <w:rFonts w:cs="Arial"/>
          <w:color w:val="0D0D0D" w:themeColor="text1" w:themeTint="F2"/>
          <w:spacing w:val="-4"/>
        </w:rPr>
        <w:t>na konci letošního září připadalo 2,7</w:t>
      </w:r>
      <w:r w:rsidR="00377666">
        <w:rPr>
          <w:rFonts w:cs="Arial"/>
          <w:color w:val="0D0D0D" w:themeColor="text1" w:themeTint="F2"/>
          <w:spacing w:val="-4"/>
          <w:lang w:val="en-US"/>
        </w:rPr>
        <w:t> </w:t>
      </w:r>
      <w:r w:rsidR="0023301B">
        <w:rPr>
          <w:rFonts w:cs="Arial"/>
          <w:color w:val="0D0D0D" w:themeColor="text1" w:themeTint="F2"/>
          <w:spacing w:val="-4"/>
        </w:rPr>
        <w:t xml:space="preserve">uchazečů, nejméně od října 2008. Nízká nezaměstnanost doprovázená sílícím nedostatkem pracovní síly tlačí na </w:t>
      </w:r>
      <w:r w:rsidR="00C40E09">
        <w:rPr>
          <w:rFonts w:cs="Arial"/>
          <w:color w:val="0D0D0D" w:themeColor="text1" w:themeTint="F2"/>
          <w:spacing w:val="-4"/>
        </w:rPr>
        <w:t xml:space="preserve">nominální </w:t>
      </w:r>
      <w:r w:rsidR="0023301B">
        <w:rPr>
          <w:rFonts w:cs="Arial"/>
          <w:color w:val="0D0D0D" w:themeColor="text1" w:themeTint="F2"/>
          <w:spacing w:val="-4"/>
        </w:rPr>
        <w:t xml:space="preserve">růst mezd. Ty letos meziročně vzrostly o 4,3 %, </w:t>
      </w:r>
      <w:r w:rsidR="00AA220F">
        <w:rPr>
          <w:rFonts w:cs="Arial"/>
          <w:color w:val="0D0D0D" w:themeColor="text1" w:themeTint="F2"/>
          <w:spacing w:val="-4"/>
        </w:rPr>
        <w:t>nejvyšším tempem za posledních osm let.</w:t>
      </w:r>
      <w:r w:rsidR="0023301B">
        <w:rPr>
          <w:rFonts w:cs="Arial"/>
          <w:color w:val="0D0D0D" w:themeColor="text1" w:themeTint="F2"/>
          <w:spacing w:val="-4"/>
        </w:rPr>
        <w:t xml:space="preserve"> </w:t>
      </w:r>
    </w:p>
    <w:p w:rsidR="00CA6D0B" w:rsidRPr="00C40E09" w:rsidRDefault="00CA6D0B" w:rsidP="00D94859">
      <w:pPr>
        <w:pStyle w:val="Bezmezer"/>
        <w:ind w:left="425"/>
        <w:rPr>
          <w:rFonts w:cs="Arial"/>
          <w:sz w:val="16"/>
          <w:szCs w:val="16"/>
        </w:rPr>
      </w:pPr>
    </w:p>
    <w:p w:rsidR="00CA6D0B" w:rsidRDefault="00CA6D0B" w:rsidP="00D94859">
      <w:pPr>
        <w:pStyle w:val="Bezmezer"/>
        <w:numPr>
          <w:ilvl w:val="0"/>
          <w:numId w:val="9"/>
        </w:numPr>
        <w:ind w:left="425"/>
        <w:rPr>
          <w:rFonts w:cs="Arial"/>
          <w:szCs w:val="20"/>
        </w:rPr>
      </w:pPr>
      <w:r w:rsidRPr="00D44FF8">
        <w:rPr>
          <w:rFonts w:cs="Arial"/>
          <w:szCs w:val="20"/>
        </w:rPr>
        <w:t xml:space="preserve">V měnové oblasti nedošlo k výrazným změnám. Mezibankovní sazby, které se drží na téměř nulové úrovni, snižují sazby na vkladech i úvěrech komerčních bank. </w:t>
      </w:r>
      <w:r>
        <w:rPr>
          <w:rFonts w:cs="Arial"/>
          <w:szCs w:val="20"/>
        </w:rPr>
        <w:t>Průměrné meziroční tempo růstu peněžní zásoby vyjádřené agregátem M3 bylo 9,2 %</w:t>
      </w:r>
      <w:r w:rsidRPr="00D44FF8">
        <w:rPr>
          <w:rFonts w:cs="Arial"/>
          <w:szCs w:val="20"/>
        </w:rPr>
        <w:t>. V prostředí nízkých úrokových sazeb preferují domácnosti i podniky likvidnějš</w:t>
      </w:r>
      <w:r w:rsidR="00377666">
        <w:rPr>
          <w:rFonts w:cs="Arial"/>
          <w:szCs w:val="20"/>
        </w:rPr>
        <w:t>í formy peněz. Na druhou stranu</w:t>
      </w:r>
      <w:r w:rsidRPr="00D44FF8">
        <w:rPr>
          <w:rFonts w:cs="Arial"/>
          <w:szCs w:val="20"/>
        </w:rPr>
        <w:t xml:space="preserve"> nízké sazby v kombinaci s pozitivním výhledem ekonomického růstu motiv</w:t>
      </w:r>
      <w:r>
        <w:rPr>
          <w:rFonts w:cs="Arial"/>
          <w:szCs w:val="20"/>
        </w:rPr>
        <w:t>ovaly</w:t>
      </w:r>
      <w:r w:rsidRPr="00D44FF8">
        <w:rPr>
          <w:rFonts w:cs="Arial"/>
          <w:szCs w:val="20"/>
        </w:rPr>
        <w:t xml:space="preserve"> domácnosti i podniky k zadlužování.</w:t>
      </w:r>
    </w:p>
    <w:p w:rsidR="008A73DA" w:rsidRPr="00C40E09" w:rsidRDefault="008A73DA" w:rsidP="008A73DA">
      <w:pPr>
        <w:pStyle w:val="Bezmezer"/>
        <w:rPr>
          <w:rFonts w:cs="Arial"/>
          <w:sz w:val="16"/>
          <w:szCs w:val="16"/>
        </w:rPr>
      </w:pPr>
    </w:p>
    <w:p w:rsidR="0085188D" w:rsidRPr="0023301B" w:rsidRDefault="008A73DA" w:rsidP="00D94859">
      <w:pPr>
        <w:pStyle w:val="Bezmezer"/>
        <w:numPr>
          <w:ilvl w:val="0"/>
          <w:numId w:val="9"/>
        </w:numPr>
        <w:ind w:left="425"/>
        <w:rPr>
          <w:rFonts w:cs="Arial"/>
          <w:szCs w:val="20"/>
        </w:rPr>
      </w:pPr>
      <w:r>
        <w:rPr>
          <w:rFonts w:cs="Arial"/>
          <w:szCs w:val="20"/>
        </w:rPr>
        <w:t xml:space="preserve">Státní rozpočet dosáhl za tři čtvrtletí nejvyššího přebytku v historii samostatné ČR (82,3 mld. korun). Stabilní růst ekonomiky byl reflektován ve vyšším inkasu zejména přímých daní. Dosažené saldo </w:t>
      </w:r>
      <w:r w:rsidR="00643735">
        <w:rPr>
          <w:rFonts w:cs="Arial"/>
          <w:szCs w:val="20"/>
        </w:rPr>
        <w:t>p</w:t>
      </w:r>
      <w:r>
        <w:rPr>
          <w:rFonts w:cs="Arial"/>
          <w:szCs w:val="20"/>
        </w:rPr>
        <w:t xml:space="preserve">odstatně ovlivnily nepravidelnosti v čerpání prostředků z rozpočtu EU. Investice </w:t>
      </w:r>
      <w:r w:rsidR="00377666">
        <w:rPr>
          <w:rFonts w:cs="Arial"/>
          <w:szCs w:val="20"/>
        </w:rPr>
        <w:t xml:space="preserve">se </w:t>
      </w:r>
      <w:r>
        <w:rPr>
          <w:rFonts w:cs="Arial"/>
          <w:szCs w:val="20"/>
        </w:rPr>
        <w:t>meziročně propa</w:t>
      </w:r>
      <w:r w:rsidR="0087515D">
        <w:rPr>
          <w:rFonts w:cs="Arial"/>
          <w:szCs w:val="20"/>
        </w:rPr>
        <w:t>dly o </w:t>
      </w:r>
      <w:r>
        <w:rPr>
          <w:rFonts w:cs="Arial"/>
          <w:szCs w:val="20"/>
        </w:rPr>
        <w:t>41,7 % a jejich podíl na celkových výdajích rozpočtu byl nejnižší (5,8 %) od roku 2005.</w:t>
      </w:r>
    </w:p>
    <w:p w:rsidR="00DD2A62" w:rsidRPr="00A74192" w:rsidRDefault="00DD2A62" w:rsidP="008A73DA">
      <w:pPr>
        <w:pStyle w:val="Textpoznpodarou"/>
        <w:jc w:val="both"/>
        <w:rPr>
          <w:sz w:val="2"/>
          <w:szCs w:val="2"/>
        </w:rPr>
      </w:pPr>
    </w:p>
    <w:p w:rsidR="00DD2A62" w:rsidRPr="00A74192" w:rsidRDefault="00DD2A62" w:rsidP="00D94859">
      <w:pPr>
        <w:pStyle w:val="Odstavecseseznamem"/>
        <w:ind w:left="0"/>
        <w:rPr>
          <w:sz w:val="2"/>
          <w:szCs w:val="2"/>
        </w:rPr>
      </w:pPr>
    </w:p>
    <w:p w:rsidR="00960769" w:rsidRPr="00A74192" w:rsidRDefault="00CD7E35" w:rsidP="009F777A">
      <w:pPr>
        <w:pStyle w:val="Nadpis1"/>
        <w:numPr>
          <w:ilvl w:val="0"/>
          <w:numId w:val="12"/>
        </w:numPr>
        <w:ind w:left="709"/>
        <w:jc w:val="both"/>
      </w:pPr>
      <w:bookmarkStart w:id="6" w:name="_Toc469299930"/>
      <w:bookmarkStart w:id="7" w:name="_Toc469327799"/>
      <w:r w:rsidRPr="00A74192">
        <w:lastRenderedPageBreak/>
        <w:t>Souhrnná výkonnost</w:t>
      </w:r>
      <w:bookmarkEnd w:id="6"/>
      <w:bookmarkEnd w:id="7"/>
    </w:p>
    <w:tbl>
      <w:tblPr>
        <w:tblW w:w="5000" w:type="pct"/>
        <w:tblInd w:w="108" w:type="dxa"/>
        <w:tblLayout w:type="fixed"/>
        <w:tblLook w:val="00A0"/>
      </w:tblPr>
      <w:tblGrid>
        <w:gridCol w:w="987"/>
        <w:gridCol w:w="1129"/>
        <w:gridCol w:w="280"/>
        <w:gridCol w:w="2529"/>
        <w:gridCol w:w="887"/>
        <w:gridCol w:w="4042"/>
      </w:tblGrid>
      <w:tr w:rsidR="009F3F25" w:rsidRPr="00A74192" w:rsidTr="00AD4FEF">
        <w:tc>
          <w:tcPr>
            <w:tcW w:w="1074" w:type="pct"/>
            <w:gridSpan w:val="2"/>
          </w:tcPr>
          <w:p w:rsidR="001550F3" w:rsidRPr="00A74192" w:rsidRDefault="00474B94" w:rsidP="00A76EF2">
            <w:pPr>
              <w:spacing w:line="240" w:lineRule="auto"/>
              <w:rPr>
                <w:sz w:val="16"/>
                <w:szCs w:val="16"/>
                <w:highlight w:val="yellow"/>
              </w:rPr>
            </w:pPr>
            <w:r w:rsidRPr="00A74192">
              <w:rPr>
                <w:rFonts w:cs="Arial"/>
                <w:sz w:val="16"/>
                <w:szCs w:val="16"/>
              </w:rPr>
              <w:t>Růst české ekonomiky se ve 3. čtvrtletí zpomalil. Hrubý domácí produkt meziročně vzrostl o 1,9 %, hrubá přidaná hodnota o</w:t>
            </w:r>
            <w:r w:rsidR="00A76EF2">
              <w:rPr>
                <w:rFonts w:cs="Arial"/>
                <w:sz w:val="16"/>
                <w:szCs w:val="16"/>
              </w:rPr>
              <w:t> </w:t>
            </w:r>
            <w:r w:rsidRPr="00A74192">
              <w:rPr>
                <w:rFonts w:cs="Arial"/>
                <w:sz w:val="16"/>
                <w:szCs w:val="16"/>
              </w:rPr>
              <w:t>1,6 %.</w:t>
            </w:r>
          </w:p>
        </w:tc>
        <w:tc>
          <w:tcPr>
            <w:tcW w:w="142" w:type="pct"/>
          </w:tcPr>
          <w:p w:rsidR="001550F3" w:rsidRPr="00A74192" w:rsidRDefault="001550F3" w:rsidP="00D94859">
            <w:pPr>
              <w:pStyle w:val="Textpoznpodarou"/>
              <w:jc w:val="both"/>
            </w:pPr>
          </w:p>
        </w:tc>
        <w:tc>
          <w:tcPr>
            <w:tcW w:w="3784" w:type="pct"/>
            <w:gridSpan w:val="3"/>
          </w:tcPr>
          <w:p w:rsidR="00474B94" w:rsidRPr="00A74192" w:rsidRDefault="00474B94" w:rsidP="009F3F25">
            <w:pPr>
              <w:pStyle w:val="Textpoznpodarou"/>
              <w:ind w:left="35"/>
              <w:jc w:val="both"/>
              <w:rPr>
                <w:rFonts w:cs="Arial"/>
              </w:rPr>
            </w:pPr>
            <w:r w:rsidRPr="00A74192">
              <w:rPr>
                <w:rFonts w:cs="Arial"/>
              </w:rPr>
              <w:t xml:space="preserve">Vývoj české ekonomiky v 1. až 3. čtvrtletí 2016 </w:t>
            </w:r>
            <w:r w:rsidR="001752CB">
              <w:rPr>
                <w:rFonts w:cs="Arial"/>
              </w:rPr>
              <w:t>potvrdil</w:t>
            </w:r>
            <w:r w:rsidRPr="00A74192">
              <w:rPr>
                <w:rFonts w:cs="Arial"/>
              </w:rPr>
              <w:t xml:space="preserve">, že </w:t>
            </w:r>
            <w:r w:rsidR="001752CB">
              <w:rPr>
                <w:rFonts w:cs="Arial"/>
              </w:rPr>
              <w:t xml:space="preserve">za vysokou ekonomickou dynamikou roku 2015 stála výjimečná </w:t>
            </w:r>
            <w:r w:rsidRPr="00A74192">
              <w:rPr>
                <w:rFonts w:cs="Arial"/>
              </w:rPr>
              <w:t>kombinac</w:t>
            </w:r>
            <w:r w:rsidR="001752CB">
              <w:rPr>
                <w:rFonts w:cs="Arial"/>
              </w:rPr>
              <w:t>e</w:t>
            </w:r>
            <w:r w:rsidRPr="00A74192">
              <w:rPr>
                <w:rFonts w:cs="Arial"/>
              </w:rPr>
              <w:t xml:space="preserve"> růstových faktorů</w:t>
            </w:r>
            <w:r w:rsidR="001752CB">
              <w:rPr>
                <w:rFonts w:cs="Arial"/>
              </w:rPr>
              <w:t>, která se v roce 2016 neopakovala.</w:t>
            </w:r>
            <w:r w:rsidRPr="00A74192">
              <w:rPr>
                <w:rFonts w:cs="Arial"/>
              </w:rPr>
              <w:t xml:space="preserve"> Meziroční nárůst HDP v 1. až 3</w:t>
            </w:r>
            <w:r w:rsidR="001752CB">
              <w:rPr>
                <w:rFonts w:cs="Arial"/>
              </w:rPr>
              <w:t>. </w:t>
            </w:r>
            <w:r w:rsidRPr="00A74192">
              <w:rPr>
                <w:rFonts w:cs="Arial"/>
              </w:rPr>
              <w:t>čtvrtletí dosáhl průměrně 2,5 % (3,0 %, 2,6 % a 1,9 % v 1., 2. a 3. čtvrtletí)</w:t>
            </w:r>
            <w:r w:rsidRPr="00A74192">
              <w:rPr>
                <w:rStyle w:val="Znakapoznpodarou"/>
                <w:rFonts w:cs="Arial"/>
              </w:rPr>
              <w:footnoteReference w:id="2"/>
            </w:r>
            <w:r w:rsidR="001752CB">
              <w:rPr>
                <w:rFonts w:cs="Arial"/>
              </w:rPr>
              <w:t>, došlo tedy k výraznému zpomalení ve 3. čtvrtletí</w:t>
            </w:r>
            <w:r w:rsidRPr="00A74192">
              <w:rPr>
                <w:rFonts w:cs="Arial"/>
              </w:rPr>
              <w:t>.</w:t>
            </w:r>
            <w:r w:rsidR="001752CB">
              <w:rPr>
                <w:rFonts w:cs="Arial"/>
              </w:rPr>
              <w:t xml:space="preserve"> </w:t>
            </w:r>
            <w:r w:rsidRPr="00A74192">
              <w:rPr>
                <w:rFonts w:cs="Arial"/>
              </w:rPr>
              <w:t>Nárůst HPH koresponduje s růstem HDP. Je</w:t>
            </w:r>
            <w:r w:rsidR="008B634C">
              <w:rPr>
                <w:rFonts w:cs="Arial"/>
              </w:rPr>
              <w:t>jí</w:t>
            </w:r>
            <w:r w:rsidRPr="00A74192">
              <w:rPr>
                <w:rFonts w:cs="Arial"/>
              </w:rPr>
              <w:t xml:space="preserve"> meziroční přírůstky </w:t>
            </w:r>
            <w:r w:rsidR="001752CB">
              <w:rPr>
                <w:rFonts w:cs="Arial"/>
              </w:rPr>
              <w:t xml:space="preserve">v prvních třech čtvrtletích </w:t>
            </w:r>
            <w:r w:rsidRPr="00A74192">
              <w:rPr>
                <w:rFonts w:cs="Arial"/>
              </w:rPr>
              <w:t xml:space="preserve">dosáhly </w:t>
            </w:r>
            <w:r w:rsidR="001752CB">
              <w:rPr>
                <w:rFonts w:cs="Arial"/>
              </w:rPr>
              <w:t>průměrně 2,2 % (</w:t>
            </w:r>
            <w:r w:rsidRPr="00A74192">
              <w:rPr>
                <w:rFonts w:cs="Arial"/>
              </w:rPr>
              <w:t>2,7 %, 2,6 % a 1,6 % v 1., 2. a 3. čtvrtletí</w:t>
            </w:r>
            <w:r w:rsidR="001752CB">
              <w:rPr>
                <w:rFonts w:cs="Arial"/>
              </w:rPr>
              <w:t>)</w:t>
            </w:r>
            <w:r w:rsidRPr="00A74192">
              <w:rPr>
                <w:rFonts w:cs="Arial"/>
              </w:rPr>
              <w:t xml:space="preserve">. Zpomalení růstu hrubého domácího produktu (HDP) i hrubé přidané hodnoty (HPH) v roce 2016 lze přičíst vysoké srovnávací základně loňského roku i  možnému přiblížení se potenciálu české ekonomiky. Zároveň již téměř vyprchal </w:t>
            </w:r>
            <w:r w:rsidR="001752CB">
              <w:rPr>
                <w:rFonts w:cs="Arial"/>
              </w:rPr>
              <w:t xml:space="preserve">jednorázový stimul </w:t>
            </w:r>
            <w:r w:rsidR="00997ADD">
              <w:rPr>
                <w:rFonts w:cs="Arial"/>
              </w:rPr>
              <w:t>dočerpávání prostředků z</w:t>
            </w:r>
            <w:r w:rsidRPr="00A74192">
              <w:rPr>
                <w:rFonts w:cs="Arial"/>
              </w:rPr>
              <w:t xml:space="preserve"> evropských fondů. Hospodářský růst byl tažen hlavně silnou domácí poptávkou</w:t>
            </w:r>
            <w:r w:rsidR="00377666">
              <w:rPr>
                <w:rFonts w:cs="Arial"/>
              </w:rPr>
              <w:t>,</w:t>
            </w:r>
            <w:r w:rsidR="00997ADD">
              <w:rPr>
                <w:rFonts w:cs="Arial"/>
              </w:rPr>
              <w:t xml:space="preserve"> a to při výrazně nižší investiční aktivitě než v roce 2015</w:t>
            </w:r>
            <w:r w:rsidRPr="00A74192">
              <w:rPr>
                <w:rFonts w:cs="Arial"/>
              </w:rPr>
              <w:t xml:space="preserve">. </w:t>
            </w:r>
            <w:r w:rsidR="00997ADD">
              <w:rPr>
                <w:rFonts w:cs="Arial"/>
              </w:rPr>
              <w:t>K</w:t>
            </w:r>
            <w:r w:rsidRPr="00A74192">
              <w:rPr>
                <w:rFonts w:cs="Arial"/>
              </w:rPr>
              <w:t>onjunkturální</w:t>
            </w:r>
            <w:r w:rsidR="00997ADD">
              <w:rPr>
                <w:rFonts w:cs="Arial"/>
              </w:rPr>
              <w:t xml:space="preserve"> </w:t>
            </w:r>
            <w:r w:rsidRPr="00A74192">
              <w:rPr>
                <w:rFonts w:cs="Arial"/>
              </w:rPr>
              <w:t>průzkum</w:t>
            </w:r>
            <w:r w:rsidR="00997ADD">
              <w:rPr>
                <w:rFonts w:cs="Arial"/>
              </w:rPr>
              <w:t xml:space="preserve">y </w:t>
            </w:r>
            <w:r w:rsidRPr="00A74192">
              <w:rPr>
                <w:rFonts w:cs="Arial"/>
              </w:rPr>
              <w:t>mezi</w:t>
            </w:r>
            <w:r w:rsidR="00997ADD">
              <w:rPr>
                <w:rFonts w:cs="Arial"/>
              </w:rPr>
              <w:t xml:space="preserve"> </w:t>
            </w:r>
            <w:r w:rsidRPr="00A74192">
              <w:rPr>
                <w:rFonts w:cs="Arial"/>
              </w:rPr>
              <w:t>podniky</w:t>
            </w:r>
            <w:r w:rsidR="00997ADD">
              <w:rPr>
                <w:rFonts w:cs="Arial"/>
              </w:rPr>
              <w:t xml:space="preserve"> však </w:t>
            </w:r>
            <w:r w:rsidRPr="00A74192">
              <w:rPr>
                <w:rFonts w:cs="Arial"/>
              </w:rPr>
              <w:t>ukazuj</w:t>
            </w:r>
            <w:r w:rsidR="00997ADD">
              <w:rPr>
                <w:rFonts w:cs="Arial"/>
              </w:rPr>
              <w:t>í</w:t>
            </w:r>
            <w:r w:rsidRPr="00A74192">
              <w:rPr>
                <w:rFonts w:cs="Arial"/>
              </w:rPr>
              <w:t>,</w:t>
            </w:r>
            <w:r w:rsidR="00997ADD">
              <w:rPr>
                <w:rFonts w:cs="Arial"/>
              </w:rPr>
              <w:t xml:space="preserve"> </w:t>
            </w:r>
            <w:r w:rsidRPr="00997ADD">
              <w:t>že</w:t>
            </w:r>
            <w:r w:rsidR="00997ADD">
              <w:t xml:space="preserve"> </w:t>
            </w:r>
            <w:r w:rsidRPr="00997ADD">
              <w:t>důvěra</w:t>
            </w:r>
            <w:r w:rsidR="00997ADD">
              <w:t xml:space="preserve"> </w:t>
            </w:r>
            <w:r w:rsidRPr="00997ADD">
              <w:t>v</w:t>
            </w:r>
            <w:r w:rsidR="00997ADD">
              <w:t xml:space="preserve"> </w:t>
            </w:r>
            <w:r w:rsidRPr="00997ADD">
              <w:t>českou</w:t>
            </w:r>
            <w:r w:rsidR="00997ADD">
              <w:t xml:space="preserve"> </w:t>
            </w:r>
            <w:r w:rsidRPr="00A74192">
              <w:rPr>
                <w:rFonts w:cs="Arial"/>
              </w:rPr>
              <w:t xml:space="preserve">ekonomiku zůstává poměrně stabilní. </w:t>
            </w:r>
          </w:p>
          <w:p w:rsidR="001550F3" w:rsidRPr="00A74192" w:rsidRDefault="001550F3" w:rsidP="00D94859">
            <w:pPr>
              <w:pStyle w:val="Textpoznpodarou"/>
              <w:jc w:val="both"/>
              <w:rPr>
                <w:sz w:val="16"/>
                <w:szCs w:val="16"/>
                <w:highlight w:val="yellow"/>
              </w:rPr>
            </w:pPr>
          </w:p>
        </w:tc>
      </w:tr>
      <w:tr w:rsidR="009F3F25" w:rsidRPr="00A74192" w:rsidTr="00AD4FEF">
        <w:tc>
          <w:tcPr>
            <w:tcW w:w="1074" w:type="pct"/>
            <w:gridSpan w:val="2"/>
          </w:tcPr>
          <w:p w:rsidR="00474B94" w:rsidRPr="00A74192" w:rsidRDefault="00474B94" w:rsidP="00D94859">
            <w:pPr>
              <w:spacing w:line="240" w:lineRule="auto"/>
              <w:rPr>
                <w:rFonts w:cs="Arial"/>
                <w:sz w:val="16"/>
                <w:szCs w:val="16"/>
              </w:rPr>
            </w:pPr>
            <w:r w:rsidRPr="00A74192">
              <w:rPr>
                <w:rFonts w:cs="Arial"/>
                <w:sz w:val="16"/>
                <w:szCs w:val="16"/>
              </w:rPr>
              <w:t>Mezičtvrtletní přírůstky HDP i HPH se snižují.</w:t>
            </w:r>
          </w:p>
        </w:tc>
        <w:tc>
          <w:tcPr>
            <w:tcW w:w="142" w:type="pct"/>
          </w:tcPr>
          <w:p w:rsidR="00474B94" w:rsidRPr="00A74192" w:rsidRDefault="00474B94" w:rsidP="00D94859">
            <w:pPr>
              <w:pStyle w:val="Textpoznpodarou"/>
              <w:jc w:val="both"/>
            </w:pPr>
          </w:p>
        </w:tc>
        <w:tc>
          <w:tcPr>
            <w:tcW w:w="3784" w:type="pct"/>
            <w:gridSpan w:val="3"/>
          </w:tcPr>
          <w:p w:rsidR="00474B94" w:rsidRPr="00C675AF" w:rsidRDefault="00474B94" w:rsidP="00D94859">
            <w:pPr>
              <w:pStyle w:val="Textpoznpodarou"/>
              <w:jc w:val="both"/>
              <w:rPr>
                <w:rFonts w:cs="Arial"/>
                <w:spacing w:val="-2"/>
              </w:rPr>
            </w:pPr>
            <w:r w:rsidRPr="00C675AF">
              <w:rPr>
                <w:rFonts w:cs="Arial"/>
                <w:spacing w:val="-2"/>
              </w:rPr>
              <w:t xml:space="preserve">Mezičtvrtletní přírůstky HDP činily 0,4 %, 0,9 % a 0,2 % </w:t>
            </w:r>
            <w:r w:rsidR="00997ADD" w:rsidRPr="00C675AF">
              <w:rPr>
                <w:rFonts w:cs="Arial"/>
                <w:spacing w:val="-2"/>
              </w:rPr>
              <w:t xml:space="preserve">postupně </w:t>
            </w:r>
            <w:r w:rsidRPr="00C675AF">
              <w:rPr>
                <w:rFonts w:cs="Arial"/>
                <w:spacing w:val="-2"/>
              </w:rPr>
              <w:t xml:space="preserve">v jednotlivých čtvrtletích roku 2016. Hrubá přidaná hodnota rovněž kopírovala vývoj HDP (přírůstky o 0,4 %, 0,8 % a 0,1 % v jednotlivých čtvrtletích). </w:t>
            </w:r>
            <w:r w:rsidR="00997ADD" w:rsidRPr="00C675AF">
              <w:rPr>
                <w:rFonts w:cs="Arial"/>
                <w:spacing w:val="-2"/>
              </w:rPr>
              <w:t xml:space="preserve">Oproti letům 2014 a 2015 došlo k výraznému zpomalení mezičtvrtletní dynamiky ekonomického růstu. </w:t>
            </w:r>
          </w:p>
          <w:p w:rsidR="00474B94" w:rsidRPr="008A73DA" w:rsidRDefault="00474B94" w:rsidP="00D94859">
            <w:pPr>
              <w:pStyle w:val="Textpoznpodarou"/>
              <w:jc w:val="both"/>
              <w:rPr>
                <w:rFonts w:cs="Arial"/>
                <w:sz w:val="16"/>
                <w:szCs w:val="16"/>
              </w:rPr>
            </w:pPr>
          </w:p>
        </w:tc>
      </w:tr>
      <w:tr w:rsidR="009F3F25" w:rsidRPr="00A74192" w:rsidTr="00AD4FEF">
        <w:tc>
          <w:tcPr>
            <w:tcW w:w="1074" w:type="pct"/>
            <w:gridSpan w:val="2"/>
          </w:tcPr>
          <w:p w:rsidR="00474B94" w:rsidRPr="00A74192" w:rsidRDefault="00474B94" w:rsidP="00AD4FEF">
            <w:pPr>
              <w:spacing w:line="240" w:lineRule="auto"/>
              <w:rPr>
                <w:sz w:val="16"/>
                <w:szCs w:val="16"/>
              </w:rPr>
            </w:pPr>
            <w:r w:rsidRPr="00A74192">
              <w:rPr>
                <w:rFonts w:cs="Arial"/>
                <w:sz w:val="16"/>
                <w:szCs w:val="16"/>
              </w:rPr>
              <w:t xml:space="preserve">Meziroční </w:t>
            </w:r>
            <w:r w:rsidR="00997ADD">
              <w:rPr>
                <w:rFonts w:cs="Arial"/>
                <w:sz w:val="16"/>
                <w:szCs w:val="16"/>
              </w:rPr>
              <w:t>růst</w:t>
            </w:r>
            <w:r w:rsidRPr="00A74192">
              <w:rPr>
                <w:rFonts w:cs="Arial"/>
                <w:sz w:val="16"/>
                <w:szCs w:val="16"/>
              </w:rPr>
              <w:t xml:space="preserve"> HDP v České republice se dostal na úroveň Evropské unie.</w:t>
            </w:r>
          </w:p>
        </w:tc>
        <w:tc>
          <w:tcPr>
            <w:tcW w:w="142" w:type="pct"/>
          </w:tcPr>
          <w:p w:rsidR="00474B94" w:rsidRPr="00A74192" w:rsidRDefault="00474B94" w:rsidP="00D94859">
            <w:pPr>
              <w:pStyle w:val="Textpoznpodarou"/>
              <w:jc w:val="both"/>
            </w:pPr>
          </w:p>
        </w:tc>
        <w:tc>
          <w:tcPr>
            <w:tcW w:w="3784" w:type="pct"/>
            <w:gridSpan w:val="3"/>
          </w:tcPr>
          <w:p w:rsidR="00474B94" w:rsidRPr="00A74192" w:rsidRDefault="00474B94" w:rsidP="00D94859">
            <w:pPr>
              <w:pStyle w:val="Textpoznpodarou"/>
              <w:jc w:val="both"/>
              <w:rPr>
                <w:rFonts w:cs="Arial"/>
              </w:rPr>
            </w:pPr>
            <w:r w:rsidRPr="00A74192">
              <w:rPr>
                <w:rFonts w:cs="Arial"/>
              </w:rPr>
              <w:t xml:space="preserve">Meziroční růst HDP v Evropské unii ve 3. čtvrtletí rovněž dosáhl 1,9 %. Již od roku 2013, kdy se česká ekonomika vymanila z recese, rostl </w:t>
            </w:r>
            <w:r w:rsidR="00DF6CF8">
              <w:rPr>
                <w:rFonts w:cs="Arial"/>
              </w:rPr>
              <w:t>tuzemský</w:t>
            </w:r>
            <w:r w:rsidRPr="00A74192">
              <w:rPr>
                <w:rFonts w:cs="Arial"/>
              </w:rPr>
              <w:t xml:space="preserve"> HDP rychleji než v Evropské unii. Tento rozdíl se od druhé půle roku 2015 sniž</w:t>
            </w:r>
            <w:r w:rsidR="00023FB5">
              <w:rPr>
                <w:rFonts w:cs="Arial"/>
              </w:rPr>
              <w:t>oval</w:t>
            </w:r>
            <w:r w:rsidRPr="00A74192">
              <w:rPr>
                <w:rFonts w:cs="Arial"/>
              </w:rPr>
              <w:t xml:space="preserve"> a</w:t>
            </w:r>
            <w:r w:rsidR="00023FB5">
              <w:rPr>
                <w:rFonts w:cs="Arial"/>
              </w:rPr>
              <w:t> </w:t>
            </w:r>
            <w:r w:rsidRPr="00A74192">
              <w:rPr>
                <w:rFonts w:cs="Arial"/>
              </w:rPr>
              <w:t xml:space="preserve">ve třetím čtvrtletí 2016 se meziroční růst evropské osmadvacítky a Česka srovnal. Mezičtvrtletní tempo růstu </w:t>
            </w:r>
            <w:r w:rsidR="00DF6CF8">
              <w:rPr>
                <w:rFonts w:cs="Arial"/>
              </w:rPr>
              <w:t xml:space="preserve">HDP </w:t>
            </w:r>
            <w:r w:rsidRPr="00A74192">
              <w:rPr>
                <w:rFonts w:cs="Arial"/>
              </w:rPr>
              <w:t xml:space="preserve">v ČR se od 4. čtvrtletí 2015 (s výjimkou 2. čtvrtletí 2016) drží pod tempem Evropské unie.  </w:t>
            </w:r>
          </w:p>
          <w:p w:rsidR="00474B94" w:rsidRPr="00A74192" w:rsidRDefault="00474B94" w:rsidP="00D94859">
            <w:pPr>
              <w:pStyle w:val="Textpoznpodarou"/>
              <w:jc w:val="both"/>
              <w:rPr>
                <w:sz w:val="16"/>
                <w:szCs w:val="16"/>
              </w:rPr>
            </w:pPr>
          </w:p>
        </w:tc>
      </w:tr>
      <w:tr w:rsidR="009F3F25" w:rsidRPr="00A74192" w:rsidTr="00AD4FEF">
        <w:tc>
          <w:tcPr>
            <w:tcW w:w="1074" w:type="pct"/>
            <w:gridSpan w:val="2"/>
          </w:tcPr>
          <w:p w:rsidR="00474B94" w:rsidRPr="00A74192" w:rsidRDefault="00474B94" w:rsidP="00DF6CF8">
            <w:pPr>
              <w:spacing w:line="240" w:lineRule="auto"/>
              <w:rPr>
                <w:rFonts w:cs="Arial"/>
                <w:sz w:val="16"/>
                <w:szCs w:val="16"/>
              </w:rPr>
            </w:pPr>
            <w:r w:rsidRPr="00A74192">
              <w:rPr>
                <w:rFonts w:cs="Arial"/>
                <w:sz w:val="16"/>
                <w:szCs w:val="16"/>
              </w:rPr>
              <w:t>Vše</w:t>
            </w:r>
            <w:r w:rsidR="00DF6CF8">
              <w:rPr>
                <w:rFonts w:cs="Arial"/>
                <w:sz w:val="16"/>
                <w:szCs w:val="16"/>
              </w:rPr>
              <w:t>m</w:t>
            </w:r>
            <w:r w:rsidRPr="00A74192">
              <w:rPr>
                <w:rFonts w:cs="Arial"/>
                <w:sz w:val="16"/>
                <w:szCs w:val="16"/>
              </w:rPr>
              <w:t xml:space="preserve"> stát</w:t>
            </w:r>
            <w:r w:rsidR="00DF6CF8">
              <w:rPr>
                <w:rFonts w:cs="Arial"/>
                <w:sz w:val="16"/>
                <w:szCs w:val="16"/>
              </w:rPr>
              <w:t>ům</w:t>
            </w:r>
            <w:r w:rsidRPr="00A74192">
              <w:rPr>
                <w:rFonts w:cs="Arial"/>
                <w:sz w:val="16"/>
                <w:szCs w:val="16"/>
              </w:rPr>
              <w:t xml:space="preserve"> EU ve 3.</w:t>
            </w:r>
            <w:r w:rsidR="00DF6CF8">
              <w:rPr>
                <w:rFonts w:cs="Arial"/>
                <w:sz w:val="16"/>
                <w:szCs w:val="16"/>
              </w:rPr>
              <w:t> </w:t>
            </w:r>
            <w:r w:rsidRPr="00A74192">
              <w:rPr>
                <w:rFonts w:cs="Arial"/>
                <w:sz w:val="16"/>
                <w:szCs w:val="16"/>
              </w:rPr>
              <w:t>čtvrtletí</w:t>
            </w:r>
            <w:r w:rsidR="00DF6CF8">
              <w:rPr>
                <w:rFonts w:cs="Arial"/>
                <w:sz w:val="16"/>
                <w:szCs w:val="16"/>
              </w:rPr>
              <w:t xml:space="preserve"> meziročně rostl HDP</w:t>
            </w:r>
            <w:r w:rsidRPr="00A74192">
              <w:rPr>
                <w:rFonts w:cs="Arial"/>
                <w:sz w:val="16"/>
                <w:szCs w:val="16"/>
              </w:rPr>
              <w:t>. Nejvýznamnější ekonomičtí partneři Česka zažívají poměrně stabilní růst.</w:t>
            </w:r>
          </w:p>
        </w:tc>
        <w:tc>
          <w:tcPr>
            <w:tcW w:w="142" w:type="pct"/>
          </w:tcPr>
          <w:p w:rsidR="00474B94" w:rsidRPr="00A74192" w:rsidRDefault="00474B94" w:rsidP="00D94859">
            <w:pPr>
              <w:pStyle w:val="Textpoznpodarou"/>
              <w:jc w:val="both"/>
              <w:rPr>
                <w:rFonts w:cs="Arial"/>
              </w:rPr>
            </w:pPr>
          </w:p>
        </w:tc>
        <w:tc>
          <w:tcPr>
            <w:tcW w:w="3784" w:type="pct"/>
            <w:gridSpan w:val="3"/>
          </w:tcPr>
          <w:p w:rsidR="00474B94" w:rsidRPr="00A924DB" w:rsidRDefault="00474B94" w:rsidP="00D94859">
            <w:pPr>
              <w:pStyle w:val="Textpoznpodarou"/>
              <w:jc w:val="both"/>
              <w:rPr>
                <w:rFonts w:cs="Arial"/>
                <w:spacing w:val="-2"/>
              </w:rPr>
            </w:pPr>
            <w:r w:rsidRPr="00A924DB">
              <w:rPr>
                <w:rFonts w:cs="Arial"/>
                <w:spacing w:val="-2"/>
              </w:rPr>
              <w:t>Při pohledu na ekonomický růst evropských zemí</w:t>
            </w:r>
            <w:r w:rsidR="00CA5016" w:rsidRPr="00A924DB">
              <w:rPr>
                <w:rStyle w:val="Znakapoznpodarou"/>
                <w:spacing w:val="-2"/>
              </w:rPr>
              <w:footnoteReference w:id="3"/>
            </w:r>
            <w:r w:rsidRPr="00A924DB">
              <w:rPr>
                <w:rFonts w:cs="Arial"/>
                <w:spacing w:val="-2"/>
              </w:rPr>
              <w:t xml:space="preserve"> je patrné, že s</w:t>
            </w:r>
            <w:r w:rsidR="00A76EF2" w:rsidRPr="00A924DB">
              <w:rPr>
                <w:rFonts w:cs="Arial"/>
                <w:spacing w:val="-2"/>
              </w:rPr>
              <w:t xml:space="preserve"> </w:t>
            </w:r>
            <w:r w:rsidRPr="00A924DB">
              <w:rPr>
                <w:rFonts w:cs="Arial"/>
                <w:spacing w:val="-2"/>
              </w:rPr>
              <w:t>výjimkou Norska, které zaznamenalo 1% meziroční pokles, je ekonomický vývoj ve 3.</w:t>
            </w:r>
            <w:r w:rsidR="00F61BFE" w:rsidRPr="00A924DB">
              <w:rPr>
                <w:rFonts w:cs="Arial"/>
                <w:spacing w:val="-2"/>
              </w:rPr>
              <w:t> </w:t>
            </w:r>
            <w:r w:rsidRPr="00A924DB">
              <w:rPr>
                <w:rFonts w:cs="Arial"/>
                <w:spacing w:val="-2"/>
              </w:rPr>
              <w:t>čtvrtletí pozitivní. Nejvyšší hospodářský růst zaznamenalo Rumunsko</w:t>
            </w:r>
            <w:r w:rsidR="00A76EF2" w:rsidRPr="00A924DB">
              <w:rPr>
                <w:rFonts w:cs="Arial"/>
                <w:spacing w:val="-2"/>
              </w:rPr>
              <w:t xml:space="preserve"> </w:t>
            </w:r>
            <w:r w:rsidRPr="00A924DB">
              <w:rPr>
                <w:rFonts w:cs="Arial"/>
                <w:spacing w:val="-2"/>
              </w:rPr>
              <w:t>(4,6</w:t>
            </w:r>
            <w:r w:rsidR="00A76EF2" w:rsidRPr="00A924DB">
              <w:rPr>
                <w:rFonts w:cs="Arial"/>
                <w:spacing w:val="-2"/>
              </w:rPr>
              <w:t xml:space="preserve"> </w:t>
            </w:r>
            <w:r w:rsidRPr="00A924DB">
              <w:rPr>
                <w:rFonts w:cs="Arial"/>
                <w:spacing w:val="-2"/>
              </w:rPr>
              <w:t>%) následované Španělskem (3,2</w:t>
            </w:r>
            <w:r w:rsidR="00A76EF2" w:rsidRPr="00A924DB">
              <w:rPr>
                <w:rFonts w:cs="Arial"/>
                <w:spacing w:val="-2"/>
              </w:rPr>
              <w:t xml:space="preserve"> </w:t>
            </w:r>
            <w:r w:rsidRPr="00A924DB">
              <w:rPr>
                <w:rFonts w:cs="Arial"/>
                <w:spacing w:val="-2"/>
              </w:rPr>
              <w:t>%) a Slovinskem (3,0</w:t>
            </w:r>
            <w:r w:rsidR="00A76EF2" w:rsidRPr="00A924DB">
              <w:rPr>
                <w:rFonts w:cs="Arial"/>
                <w:spacing w:val="-2"/>
              </w:rPr>
              <w:t xml:space="preserve"> </w:t>
            </w:r>
            <w:r w:rsidRPr="00A924DB">
              <w:rPr>
                <w:rFonts w:cs="Arial"/>
                <w:spacing w:val="-2"/>
              </w:rPr>
              <w:t xml:space="preserve">%). Země ve středoevropském prostoru se pohybují kolem průměru EU. Německá ekonomika, která pro </w:t>
            </w:r>
            <w:r w:rsidR="00DF6CF8" w:rsidRPr="00A924DB">
              <w:rPr>
                <w:rFonts w:cs="Arial"/>
                <w:spacing w:val="-2"/>
              </w:rPr>
              <w:t>ČR</w:t>
            </w:r>
            <w:r w:rsidRPr="00A924DB">
              <w:rPr>
                <w:rFonts w:cs="Arial"/>
                <w:spacing w:val="-2"/>
              </w:rPr>
              <w:t xml:space="preserve"> představuje nejvýznamnějšího </w:t>
            </w:r>
            <w:r w:rsidR="00885EC6" w:rsidRPr="00A924DB">
              <w:rPr>
                <w:rFonts w:cs="Arial"/>
                <w:spacing w:val="-2"/>
              </w:rPr>
              <w:t>obchodního</w:t>
            </w:r>
            <w:r w:rsidRPr="00A924DB">
              <w:rPr>
                <w:rFonts w:cs="Arial"/>
                <w:spacing w:val="-2"/>
              </w:rPr>
              <w:t xml:space="preserve"> partnera, meziročně vzrostla o 1,7 %</w:t>
            </w:r>
            <w:r w:rsidR="00AD4FEF" w:rsidRPr="00A924DB">
              <w:rPr>
                <w:rFonts w:cs="Arial"/>
                <w:spacing w:val="-2"/>
              </w:rPr>
              <w:t>.</w:t>
            </w:r>
            <w:r w:rsidR="00DF6CF8" w:rsidRPr="00A924DB">
              <w:rPr>
                <w:rFonts w:cs="Arial"/>
                <w:spacing w:val="-2"/>
              </w:rPr>
              <w:t xml:space="preserve"> </w:t>
            </w:r>
            <w:r w:rsidR="00AD4FEF" w:rsidRPr="00A924DB">
              <w:rPr>
                <w:rFonts w:cs="Arial"/>
                <w:spacing w:val="-2"/>
              </w:rPr>
              <w:t>M</w:t>
            </w:r>
            <w:r w:rsidR="00DF6CF8" w:rsidRPr="00A924DB">
              <w:rPr>
                <w:rFonts w:cs="Arial"/>
                <w:spacing w:val="-2"/>
              </w:rPr>
              <w:t>ezičtvrtletně však došlo k</w:t>
            </w:r>
            <w:r w:rsidR="00A924DB" w:rsidRPr="00A924DB">
              <w:rPr>
                <w:rFonts w:cs="Arial"/>
                <w:spacing w:val="-2"/>
              </w:rPr>
              <w:t> oslabení růstu, které</w:t>
            </w:r>
            <w:r w:rsidR="00DF6CF8" w:rsidRPr="00A924DB">
              <w:rPr>
                <w:rFonts w:cs="Arial"/>
                <w:spacing w:val="-2"/>
              </w:rPr>
              <w:t xml:space="preserve"> se projevil</w:t>
            </w:r>
            <w:r w:rsidR="00A924DB" w:rsidRPr="00A924DB">
              <w:rPr>
                <w:rFonts w:cs="Arial"/>
                <w:spacing w:val="-2"/>
              </w:rPr>
              <w:t>o i </w:t>
            </w:r>
            <w:r w:rsidR="00DF6CF8" w:rsidRPr="00A924DB">
              <w:rPr>
                <w:rFonts w:cs="Arial"/>
                <w:spacing w:val="-2"/>
              </w:rPr>
              <w:t>v Česku.</w:t>
            </w:r>
            <w:r w:rsidRPr="00A924DB">
              <w:rPr>
                <w:rFonts w:cs="Arial"/>
                <w:spacing w:val="-2"/>
              </w:rPr>
              <w:t xml:space="preserve"> Polsku a Slovensku se dařilo, meziroční přírůstek HDP činil 2,2</w:t>
            </w:r>
            <w:r w:rsidR="00906F67" w:rsidRPr="00A924DB">
              <w:rPr>
                <w:rFonts w:cs="Arial"/>
                <w:spacing w:val="-2"/>
              </w:rPr>
              <w:t> </w:t>
            </w:r>
            <w:r w:rsidR="00A924DB" w:rsidRPr="00A924DB">
              <w:rPr>
                <w:rFonts w:cs="Arial"/>
                <w:spacing w:val="-2"/>
              </w:rPr>
              <w:t>% a </w:t>
            </w:r>
            <w:r w:rsidRPr="00A924DB">
              <w:rPr>
                <w:rFonts w:cs="Arial"/>
                <w:spacing w:val="-2"/>
              </w:rPr>
              <w:t>3,0 %</w:t>
            </w:r>
            <w:r w:rsidRPr="00A924DB">
              <w:rPr>
                <w:rStyle w:val="Znakapoznpodarou"/>
                <w:rFonts w:cs="Arial"/>
                <w:spacing w:val="-2"/>
              </w:rPr>
              <w:footnoteReference w:id="4"/>
            </w:r>
            <w:r w:rsidRPr="00A924DB">
              <w:rPr>
                <w:rFonts w:cs="Arial"/>
                <w:spacing w:val="-2"/>
              </w:rPr>
              <w:t xml:space="preserve">. Mírně pod evropským průměrem se pohyboval ekonomický růst Rakouska a Maďarska (1,5 % a 1,6 </w:t>
            </w:r>
            <w:r w:rsidRPr="00A924DB">
              <w:rPr>
                <w:rFonts w:cs="Arial"/>
                <w:color w:val="0D0D0D" w:themeColor="text1" w:themeTint="F2"/>
                <w:spacing w:val="-2"/>
              </w:rPr>
              <w:t xml:space="preserve">%). </w:t>
            </w:r>
            <w:r w:rsidR="007E7063" w:rsidRPr="00A924DB">
              <w:rPr>
                <w:rFonts w:cs="Arial"/>
                <w:color w:val="0D0D0D" w:themeColor="text1" w:themeTint="F2"/>
                <w:spacing w:val="-2"/>
              </w:rPr>
              <w:t xml:space="preserve">Ukončení </w:t>
            </w:r>
            <w:r w:rsidRPr="00A924DB">
              <w:rPr>
                <w:rFonts w:cs="Arial"/>
                <w:color w:val="0D0D0D" w:themeColor="text1" w:themeTint="F2"/>
                <w:spacing w:val="-2"/>
              </w:rPr>
              <w:t>čerpání evropských dotací z programového období 2007</w:t>
            </w:r>
            <w:r w:rsidR="00DF6CF8" w:rsidRPr="00A924DB">
              <w:rPr>
                <w:rFonts w:cs="Arial"/>
                <w:color w:val="0D0D0D" w:themeColor="text1" w:themeTint="F2"/>
                <w:spacing w:val="-2"/>
              </w:rPr>
              <w:t>–</w:t>
            </w:r>
            <w:r w:rsidRPr="00A924DB">
              <w:rPr>
                <w:rFonts w:cs="Arial"/>
                <w:color w:val="0D0D0D" w:themeColor="text1" w:themeTint="F2"/>
                <w:spacing w:val="-2"/>
              </w:rPr>
              <w:t>201</w:t>
            </w:r>
            <w:r w:rsidR="00DF6CF8" w:rsidRPr="00A924DB">
              <w:rPr>
                <w:rFonts w:cs="Arial"/>
                <w:color w:val="0D0D0D" w:themeColor="text1" w:themeTint="F2"/>
                <w:spacing w:val="-2"/>
              </w:rPr>
              <w:t>3</w:t>
            </w:r>
            <w:r w:rsidRPr="00A924DB">
              <w:rPr>
                <w:rFonts w:cs="Arial"/>
                <w:color w:val="0D0D0D" w:themeColor="text1" w:themeTint="F2"/>
                <w:spacing w:val="-2"/>
              </w:rPr>
              <w:t xml:space="preserve">, které </w:t>
            </w:r>
            <w:r w:rsidR="00DF6CF8" w:rsidRPr="00A924DB">
              <w:rPr>
                <w:rFonts w:cs="Arial"/>
                <w:color w:val="0D0D0D" w:themeColor="text1" w:themeTint="F2"/>
                <w:spacing w:val="-2"/>
              </w:rPr>
              <w:t>zpomalilo</w:t>
            </w:r>
            <w:r w:rsidRPr="00A924DB">
              <w:rPr>
                <w:rFonts w:cs="Arial"/>
                <w:color w:val="0D0D0D" w:themeColor="text1" w:themeTint="F2"/>
                <w:spacing w:val="-2"/>
              </w:rPr>
              <w:t xml:space="preserve"> český hospodářský růst, se</w:t>
            </w:r>
            <w:r w:rsidR="007E7063" w:rsidRPr="00A924DB">
              <w:rPr>
                <w:rFonts w:cs="Arial"/>
                <w:color w:val="0D0D0D" w:themeColor="text1" w:themeTint="F2"/>
                <w:spacing w:val="-2"/>
              </w:rPr>
              <w:t xml:space="preserve"> projev</w:t>
            </w:r>
            <w:r w:rsidR="007B2257" w:rsidRPr="00A924DB">
              <w:rPr>
                <w:rFonts w:cs="Arial"/>
                <w:color w:val="0D0D0D" w:themeColor="text1" w:themeTint="F2"/>
                <w:spacing w:val="-2"/>
              </w:rPr>
              <w:t>ilo</w:t>
            </w:r>
            <w:r w:rsidR="007E7063" w:rsidRPr="00A924DB">
              <w:rPr>
                <w:rFonts w:cs="Arial"/>
                <w:color w:val="0D0D0D" w:themeColor="text1" w:themeTint="F2"/>
                <w:spacing w:val="-2"/>
              </w:rPr>
              <w:t xml:space="preserve"> rovněž i v ostatních</w:t>
            </w:r>
            <w:r w:rsidRPr="00A924DB">
              <w:rPr>
                <w:rFonts w:cs="Arial"/>
                <w:color w:val="0D0D0D" w:themeColor="text1" w:themeTint="F2"/>
                <w:spacing w:val="-2"/>
              </w:rPr>
              <w:t xml:space="preserve"> zemích</w:t>
            </w:r>
            <w:r w:rsidR="007E7063" w:rsidRPr="00A924DB">
              <w:rPr>
                <w:rFonts w:cs="Arial"/>
                <w:color w:val="0D0D0D" w:themeColor="text1" w:themeTint="F2"/>
                <w:spacing w:val="-2"/>
              </w:rPr>
              <w:t>, které vstoupily do EU až po roce 2000</w:t>
            </w:r>
            <w:r w:rsidRPr="00A924DB">
              <w:rPr>
                <w:rFonts w:cs="Arial"/>
                <w:color w:val="0D0D0D" w:themeColor="text1" w:themeTint="F2"/>
                <w:spacing w:val="-2"/>
              </w:rPr>
              <w:t>. Pokles dynam</w:t>
            </w:r>
            <w:r w:rsidRPr="00A924DB">
              <w:rPr>
                <w:rFonts w:cs="Arial"/>
                <w:spacing w:val="-2"/>
              </w:rPr>
              <w:t>iky hospodářského růstu me</w:t>
            </w:r>
            <w:r w:rsidR="00A924DB" w:rsidRPr="00A924DB">
              <w:rPr>
                <w:rFonts w:cs="Arial"/>
                <w:spacing w:val="-2"/>
              </w:rPr>
              <w:t>zi lety 2015 a 2016 je patrný u </w:t>
            </w:r>
            <w:r w:rsidRPr="00A924DB">
              <w:rPr>
                <w:rFonts w:cs="Arial"/>
                <w:spacing w:val="-2"/>
              </w:rPr>
              <w:t xml:space="preserve">Lotyšska, Maďarska, Polska i Slovenska. </w:t>
            </w:r>
          </w:p>
          <w:p w:rsidR="00474B94" w:rsidRPr="008A73DA" w:rsidRDefault="00474B94" w:rsidP="00D94859">
            <w:pPr>
              <w:pStyle w:val="Textpoznpodarou"/>
              <w:jc w:val="both"/>
              <w:rPr>
                <w:rFonts w:cs="Arial"/>
                <w:sz w:val="16"/>
                <w:szCs w:val="16"/>
                <w:highlight w:val="yellow"/>
              </w:rPr>
            </w:pPr>
          </w:p>
        </w:tc>
      </w:tr>
      <w:tr w:rsidR="009F3F25" w:rsidRPr="00A74192" w:rsidTr="00AD4FEF">
        <w:tc>
          <w:tcPr>
            <w:tcW w:w="1074" w:type="pct"/>
            <w:gridSpan w:val="2"/>
          </w:tcPr>
          <w:p w:rsidR="00474B94" w:rsidRPr="00A74192" w:rsidRDefault="00474B94" w:rsidP="00AD4FEF">
            <w:pPr>
              <w:spacing w:line="240" w:lineRule="auto"/>
              <w:rPr>
                <w:rFonts w:cs="Arial"/>
                <w:sz w:val="16"/>
                <w:szCs w:val="16"/>
              </w:rPr>
            </w:pPr>
            <w:r w:rsidRPr="00A74192">
              <w:rPr>
                <w:rFonts w:cs="Arial"/>
                <w:sz w:val="16"/>
                <w:szCs w:val="16"/>
              </w:rPr>
              <w:t xml:space="preserve">Hlavním tahounem českého ekonomického růstu byla domácí poptávka. Naopak, </w:t>
            </w:r>
            <w:r w:rsidR="00AD4FEF">
              <w:rPr>
                <w:rFonts w:cs="Arial"/>
                <w:sz w:val="16"/>
                <w:szCs w:val="16"/>
              </w:rPr>
              <w:t>chladnoucí</w:t>
            </w:r>
            <w:r w:rsidRPr="00A74192">
              <w:rPr>
                <w:rFonts w:cs="Arial"/>
                <w:sz w:val="16"/>
                <w:szCs w:val="16"/>
              </w:rPr>
              <w:t xml:space="preserve"> investiční aktivita ekonomiku zpomaluje. </w:t>
            </w:r>
          </w:p>
        </w:tc>
        <w:tc>
          <w:tcPr>
            <w:tcW w:w="142" w:type="pct"/>
          </w:tcPr>
          <w:p w:rsidR="00474B94" w:rsidRPr="00A74192" w:rsidRDefault="00474B94" w:rsidP="00D94859">
            <w:pPr>
              <w:pStyle w:val="Textpoznpodarou"/>
              <w:jc w:val="both"/>
              <w:rPr>
                <w:rFonts w:cs="Arial"/>
              </w:rPr>
            </w:pPr>
          </w:p>
        </w:tc>
        <w:tc>
          <w:tcPr>
            <w:tcW w:w="3784" w:type="pct"/>
            <w:gridSpan w:val="3"/>
          </w:tcPr>
          <w:p w:rsidR="00474B94" w:rsidRPr="00A74192" w:rsidRDefault="00474B94" w:rsidP="00D94859">
            <w:pPr>
              <w:pStyle w:val="Textpoznpodarou"/>
              <w:jc w:val="both"/>
              <w:rPr>
                <w:rFonts w:cs="Arial"/>
              </w:rPr>
            </w:pPr>
            <w:r w:rsidRPr="00A74192">
              <w:rPr>
                <w:rFonts w:cs="Arial"/>
              </w:rPr>
              <w:t>V</w:t>
            </w:r>
            <w:r w:rsidR="00023FB5">
              <w:rPr>
                <w:rFonts w:cs="Arial"/>
              </w:rPr>
              <w:t>ýdaje na konečnou spotřebu zůstaly</w:t>
            </w:r>
            <w:r w:rsidRPr="00A74192">
              <w:rPr>
                <w:rFonts w:cs="Arial"/>
              </w:rPr>
              <w:t xml:space="preserve"> hlavním determinantem meziročního růstu a jejich příspěvek k růstu HDP</w:t>
            </w:r>
            <w:r w:rsidRPr="00A74192">
              <w:rPr>
                <w:rStyle w:val="Znakapoznpodarou"/>
                <w:rFonts w:cs="Arial"/>
              </w:rPr>
              <w:footnoteReference w:id="5"/>
            </w:r>
            <w:r w:rsidRPr="00A74192">
              <w:rPr>
                <w:rFonts w:cs="Arial"/>
              </w:rPr>
              <w:t xml:space="preserve"> v průběhu roku rostl (+1,3 p.b., +1,6 p.b. a</w:t>
            </w:r>
            <w:r w:rsidR="00906F67">
              <w:rPr>
                <w:rFonts w:cs="Arial"/>
              </w:rPr>
              <w:t> </w:t>
            </w:r>
            <w:r w:rsidRPr="00A74192">
              <w:rPr>
                <w:rFonts w:cs="Arial"/>
              </w:rPr>
              <w:t>+1,6</w:t>
            </w:r>
            <w:r w:rsidR="00906F67">
              <w:rPr>
                <w:rFonts w:cs="Arial"/>
              </w:rPr>
              <w:t> </w:t>
            </w:r>
            <w:r w:rsidRPr="00A74192">
              <w:rPr>
                <w:rFonts w:cs="Arial"/>
              </w:rPr>
              <w:t>p.b. v 1., 2. a 3. čtvrtletí). Slábnoucí příspěvek k růstu ze strany výdajů na konečnou spotřebu vládních institucí (+0,3 p.b. ve 3. čtvrtletí) vykompenzov</w:t>
            </w:r>
            <w:r w:rsidR="00885EC6">
              <w:rPr>
                <w:rFonts w:cs="Arial"/>
              </w:rPr>
              <w:t>ala</w:t>
            </w:r>
            <w:r w:rsidRPr="00A74192">
              <w:rPr>
                <w:rFonts w:cs="Arial"/>
              </w:rPr>
              <w:t xml:space="preserve"> rostoucí spotřeb</w:t>
            </w:r>
            <w:r w:rsidR="00885EC6">
              <w:rPr>
                <w:rFonts w:cs="Arial"/>
              </w:rPr>
              <w:t>a</w:t>
            </w:r>
            <w:r w:rsidRPr="00A74192">
              <w:rPr>
                <w:rFonts w:cs="Arial"/>
              </w:rPr>
              <w:t xml:space="preserve"> domácností (+1,3 p.b.)</w:t>
            </w:r>
            <w:r w:rsidR="00885EC6">
              <w:rPr>
                <w:rFonts w:cs="Arial"/>
              </w:rPr>
              <w:t xml:space="preserve">, která </w:t>
            </w:r>
            <w:r w:rsidR="00023FB5">
              <w:rPr>
                <w:rFonts w:cs="Arial"/>
              </w:rPr>
              <w:t>byla</w:t>
            </w:r>
            <w:r w:rsidR="00885EC6">
              <w:rPr>
                <w:rFonts w:cs="Arial"/>
              </w:rPr>
              <w:t xml:space="preserve"> </w:t>
            </w:r>
            <w:r w:rsidRPr="00A74192">
              <w:rPr>
                <w:rFonts w:cs="Arial"/>
              </w:rPr>
              <w:t>p</w:t>
            </w:r>
            <w:r w:rsidR="00885EC6">
              <w:rPr>
                <w:rFonts w:cs="Arial"/>
              </w:rPr>
              <w:t>odpořena</w:t>
            </w:r>
            <w:r w:rsidRPr="00A74192">
              <w:rPr>
                <w:rFonts w:cs="Arial"/>
              </w:rPr>
              <w:t xml:space="preserve"> růstem mezd a</w:t>
            </w:r>
            <w:r w:rsidR="00A76EF2">
              <w:rPr>
                <w:rFonts w:cs="Arial"/>
              </w:rPr>
              <w:t> </w:t>
            </w:r>
            <w:r w:rsidRPr="00A74192">
              <w:rPr>
                <w:rFonts w:cs="Arial"/>
              </w:rPr>
              <w:t>platů i</w:t>
            </w:r>
            <w:r w:rsidR="00A76EF2">
              <w:rPr>
                <w:rFonts w:cs="Arial"/>
              </w:rPr>
              <w:t xml:space="preserve"> </w:t>
            </w:r>
            <w:r w:rsidRPr="00A74192">
              <w:rPr>
                <w:rFonts w:cs="Arial"/>
              </w:rPr>
              <w:t xml:space="preserve">pozitivním ekonomickým sentimentem. Příspěvek zahraničního obchodu (saldo), který je v kontextu české ekonomiky klíčovým faktorem, ve 3. čtvrtletí výrazně oslabil (+1,2 p.b., +1,9 p.b., +0,4 p.b.). Negativně na </w:t>
            </w:r>
            <w:r w:rsidR="00885EC6">
              <w:rPr>
                <w:rFonts w:cs="Arial"/>
              </w:rPr>
              <w:t xml:space="preserve">meziroční </w:t>
            </w:r>
            <w:r w:rsidRPr="00A74192">
              <w:rPr>
                <w:rFonts w:cs="Arial"/>
              </w:rPr>
              <w:t>růst HDP působila tvorba hrubého kapitálu. Investiční aktivita, která v minulém roce táhla růst HDP, v 1. čtvrtletí výrazně zpomalila a v 2. i 3. čtvrtletí růst brzdila (</w:t>
            </w:r>
            <w:r w:rsidR="008B634C">
              <w:rPr>
                <w:rFonts w:cs="Arial"/>
              </w:rPr>
              <w:t xml:space="preserve">příspěvek k růstu HDP </w:t>
            </w:r>
            <w:r w:rsidRPr="00A74192">
              <w:rPr>
                <w:rFonts w:cs="Arial"/>
              </w:rPr>
              <w:t xml:space="preserve">+0,6 p.b., −0,9 p.b., −0,4 p.b.). Srovnání </w:t>
            </w:r>
            <w:r w:rsidR="007B2257">
              <w:rPr>
                <w:rFonts w:cs="Arial"/>
              </w:rPr>
              <w:t>s rozkladem bez vyloučení dovozu</w:t>
            </w:r>
            <w:r w:rsidRPr="00A74192">
              <w:rPr>
                <w:rFonts w:cs="Arial"/>
              </w:rPr>
              <w:t xml:space="preserve"> pro konečné užití ukazuje, že na rozdíl od minulých čtvrtletí růst spotřeby </w:t>
            </w:r>
            <w:r w:rsidR="00885EC6">
              <w:rPr>
                <w:rFonts w:cs="Arial"/>
              </w:rPr>
              <w:t>uspokoj</w:t>
            </w:r>
            <w:r w:rsidR="008B634C">
              <w:rPr>
                <w:rFonts w:cs="Arial"/>
              </w:rPr>
              <w:t>ovala více</w:t>
            </w:r>
            <w:r w:rsidRPr="00A74192">
              <w:rPr>
                <w:rFonts w:cs="Arial"/>
              </w:rPr>
              <w:t xml:space="preserve"> domácí produkce. </w:t>
            </w:r>
          </w:p>
          <w:p w:rsidR="00474B94" w:rsidRPr="00511BF9" w:rsidRDefault="00474B94" w:rsidP="00D94859">
            <w:pPr>
              <w:pStyle w:val="Textpoznpodarou"/>
              <w:jc w:val="both"/>
              <w:rPr>
                <w:rFonts w:cs="Arial"/>
                <w:sz w:val="16"/>
                <w:szCs w:val="16"/>
                <w:highlight w:val="yellow"/>
              </w:rPr>
            </w:pPr>
          </w:p>
        </w:tc>
      </w:tr>
      <w:tr w:rsidR="009F3F25" w:rsidRPr="00A74192" w:rsidTr="00AD4FEF">
        <w:tc>
          <w:tcPr>
            <w:tcW w:w="1074" w:type="pct"/>
            <w:gridSpan w:val="2"/>
          </w:tcPr>
          <w:p w:rsidR="00474B94" w:rsidRPr="00A74192" w:rsidRDefault="00474B94" w:rsidP="00A76EF2">
            <w:pPr>
              <w:spacing w:line="240" w:lineRule="auto"/>
              <w:rPr>
                <w:rFonts w:cs="Arial"/>
                <w:sz w:val="16"/>
                <w:szCs w:val="16"/>
              </w:rPr>
            </w:pPr>
            <w:r w:rsidRPr="00A74192">
              <w:rPr>
                <w:rFonts w:cs="Arial"/>
                <w:sz w:val="16"/>
                <w:szCs w:val="16"/>
              </w:rPr>
              <w:lastRenderedPageBreak/>
              <w:t>Výdaje na spotřebu domácností rostou a</w:t>
            </w:r>
            <w:r w:rsidR="00A76EF2">
              <w:rPr>
                <w:rFonts w:cs="Arial"/>
                <w:sz w:val="16"/>
                <w:szCs w:val="16"/>
              </w:rPr>
              <w:t> </w:t>
            </w:r>
            <w:r w:rsidRPr="00A74192">
              <w:rPr>
                <w:rFonts w:cs="Arial"/>
                <w:sz w:val="16"/>
                <w:szCs w:val="16"/>
              </w:rPr>
              <w:t xml:space="preserve">z hlediska trvanlivosti stále roste objem pořízených předmětů dlouhodobé spotřeby. </w:t>
            </w:r>
          </w:p>
        </w:tc>
        <w:tc>
          <w:tcPr>
            <w:tcW w:w="142" w:type="pct"/>
          </w:tcPr>
          <w:p w:rsidR="00474B94" w:rsidRPr="00A74192" w:rsidRDefault="00474B94" w:rsidP="00D94859">
            <w:pPr>
              <w:pStyle w:val="Textpoznpodarou"/>
              <w:jc w:val="both"/>
              <w:rPr>
                <w:rFonts w:cs="Arial"/>
              </w:rPr>
            </w:pPr>
          </w:p>
        </w:tc>
        <w:tc>
          <w:tcPr>
            <w:tcW w:w="3784" w:type="pct"/>
            <w:gridSpan w:val="3"/>
          </w:tcPr>
          <w:p w:rsidR="00474B94" w:rsidRPr="00A74192" w:rsidRDefault="00474B94" w:rsidP="00D94859">
            <w:pPr>
              <w:pStyle w:val="Textpoznpodarou"/>
              <w:jc w:val="both"/>
              <w:rPr>
                <w:rFonts w:cs="Arial"/>
              </w:rPr>
            </w:pPr>
            <w:r w:rsidRPr="00A74192">
              <w:rPr>
                <w:rFonts w:cs="Arial"/>
              </w:rPr>
              <w:t xml:space="preserve">Spotřeba domácností </w:t>
            </w:r>
            <w:r w:rsidR="00023FB5">
              <w:rPr>
                <w:rFonts w:cs="Arial"/>
              </w:rPr>
              <w:t>je</w:t>
            </w:r>
            <w:r w:rsidRPr="00A74192">
              <w:rPr>
                <w:rFonts w:cs="Arial"/>
              </w:rPr>
              <w:t xml:space="preserve"> jedním z tahounů současného hospodářského růstu. </w:t>
            </w:r>
            <w:r w:rsidR="007B2257">
              <w:rPr>
                <w:rFonts w:cs="Arial"/>
              </w:rPr>
              <w:t>Z hlediska délky užití</w:t>
            </w:r>
            <w:r w:rsidRPr="00A74192">
              <w:rPr>
                <w:rFonts w:cs="Arial"/>
              </w:rPr>
              <w:t xml:space="preserve"> zboží rost</w:t>
            </w:r>
            <w:r w:rsidR="00023FB5">
              <w:rPr>
                <w:rFonts w:cs="Arial"/>
              </w:rPr>
              <w:t>la</w:t>
            </w:r>
            <w:r w:rsidRPr="00A74192">
              <w:rPr>
                <w:rFonts w:cs="Arial"/>
              </w:rPr>
              <w:t xml:space="preserve"> spotřeba ve všech segmentech, </w:t>
            </w:r>
            <w:r w:rsidR="00885EC6">
              <w:rPr>
                <w:rFonts w:cs="Arial"/>
              </w:rPr>
              <w:t>nejsilněji</w:t>
            </w:r>
            <w:r w:rsidRPr="00A74192">
              <w:rPr>
                <w:rFonts w:cs="Arial"/>
              </w:rPr>
              <w:t xml:space="preserve"> však </w:t>
            </w:r>
            <w:r w:rsidR="00AD4FEF">
              <w:rPr>
                <w:rFonts w:cs="Arial"/>
              </w:rPr>
              <w:t xml:space="preserve">u </w:t>
            </w:r>
            <w:r w:rsidRPr="00A74192">
              <w:rPr>
                <w:rFonts w:cs="Arial"/>
              </w:rPr>
              <w:t>předmět</w:t>
            </w:r>
            <w:r w:rsidR="00AD4FEF">
              <w:rPr>
                <w:rFonts w:cs="Arial"/>
              </w:rPr>
              <w:t>ů</w:t>
            </w:r>
            <w:r w:rsidRPr="00A74192">
              <w:rPr>
                <w:rFonts w:cs="Arial"/>
              </w:rPr>
              <w:t xml:space="preserve"> dlouhodobé spotřeby. Meziroční přírůstky v tomto oddílu spotřeby v</w:t>
            </w:r>
            <w:r w:rsidR="007B2257">
              <w:rPr>
                <w:rFonts w:cs="Arial"/>
              </w:rPr>
              <w:t> </w:t>
            </w:r>
            <w:r w:rsidRPr="00A74192">
              <w:rPr>
                <w:rFonts w:cs="Arial"/>
              </w:rPr>
              <w:t>roce 2016 činily 6,4 %, 9,2 % a 6,4 % v 1., 2. a 3. čtvrtletí. Mírně zpomal</w:t>
            </w:r>
            <w:r w:rsidR="00635818">
              <w:rPr>
                <w:rFonts w:cs="Arial"/>
              </w:rPr>
              <w:t>oval</w:t>
            </w:r>
            <w:r w:rsidRPr="00A74192">
              <w:rPr>
                <w:rFonts w:cs="Arial"/>
              </w:rPr>
              <w:t xml:space="preserve"> růst váhově nejvýznamnějších předmětů krátkodobé spotřeby (3,5 %, 3,3 % a 2,6</w:t>
            </w:r>
            <w:r w:rsidR="007B2257">
              <w:rPr>
                <w:rFonts w:cs="Arial"/>
              </w:rPr>
              <w:t> </w:t>
            </w:r>
            <w:r w:rsidRPr="00A74192">
              <w:rPr>
                <w:rFonts w:cs="Arial"/>
              </w:rPr>
              <w:t xml:space="preserve">%). </w:t>
            </w:r>
          </w:p>
          <w:p w:rsidR="00474B94" w:rsidRPr="00511BF9" w:rsidRDefault="00474B94" w:rsidP="00D94859">
            <w:pPr>
              <w:pStyle w:val="Textpoznpodarou"/>
              <w:jc w:val="both"/>
              <w:rPr>
                <w:rFonts w:cs="Arial"/>
                <w:sz w:val="16"/>
                <w:szCs w:val="16"/>
                <w:highlight w:val="yellow"/>
              </w:rPr>
            </w:pPr>
          </w:p>
        </w:tc>
      </w:tr>
      <w:tr w:rsidR="009F3F25" w:rsidRPr="00A74192" w:rsidTr="00AD4FEF">
        <w:tc>
          <w:tcPr>
            <w:tcW w:w="1074" w:type="pct"/>
            <w:gridSpan w:val="2"/>
          </w:tcPr>
          <w:p w:rsidR="009B0975" w:rsidRPr="00A74192" w:rsidRDefault="00885EC6" w:rsidP="00885EC6">
            <w:pPr>
              <w:spacing w:line="240" w:lineRule="auto"/>
              <w:rPr>
                <w:rFonts w:cs="Arial"/>
                <w:sz w:val="16"/>
                <w:szCs w:val="16"/>
              </w:rPr>
            </w:pPr>
            <w:r>
              <w:rPr>
                <w:rFonts w:cs="Arial"/>
                <w:sz w:val="16"/>
                <w:szCs w:val="16"/>
              </w:rPr>
              <w:t xml:space="preserve">Růst mezd </w:t>
            </w:r>
            <w:r w:rsidR="009B0975" w:rsidRPr="00A74192">
              <w:rPr>
                <w:rFonts w:cs="Arial"/>
                <w:sz w:val="16"/>
                <w:szCs w:val="16"/>
              </w:rPr>
              <w:t xml:space="preserve">stimuluje </w:t>
            </w:r>
            <w:r>
              <w:rPr>
                <w:rFonts w:cs="Arial"/>
                <w:sz w:val="16"/>
                <w:szCs w:val="16"/>
              </w:rPr>
              <w:t>spotřebu.</w:t>
            </w:r>
          </w:p>
        </w:tc>
        <w:tc>
          <w:tcPr>
            <w:tcW w:w="142" w:type="pct"/>
          </w:tcPr>
          <w:p w:rsidR="009B0975" w:rsidRPr="00A74192" w:rsidRDefault="009B0975" w:rsidP="00D94859">
            <w:pPr>
              <w:pStyle w:val="Textpoznpodarou"/>
              <w:jc w:val="both"/>
              <w:rPr>
                <w:rFonts w:cs="Arial"/>
              </w:rPr>
            </w:pPr>
          </w:p>
        </w:tc>
        <w:tc>
          <w:tcPr>
            <w:tcW w:w="3784" w:type="pct"/>
            <w:gridSpan w:val="3"/>
          </w:tcPr>
          <w:p w:rsidR="009B0975" w:rsidRPr="007E7063" w:rsidRDefault="009B0975" w:rsidP="00D94859">
            <w:pPr>
              <w:pStyle w:val="Textpoznpodarou"/>
              <w:jc w:val="both"/>
              <w:rPr>
                <w:rFonts w:cs="Arial"/>
                <w:spacing w:val="-2"/>
              </w:rPr>
            </w:pPr>
            <w:r w:rsidRPr="007E7063">
              <w:rPr>
                <w:rFonts w:cs="Arial"/>
                <w:spacing w:val="-2"/>
              </w:rPr>
              <w:t>Na r</w:t>
            </w:r>
            <w:r w:rsidR="00AD4FEF">
              <w:rPr>
                <w:rFonts w:cs="Arial"/>
                <w:spacing w:val="-2"/>
              </w:rPr>
              <w:t>ostoucí spotřebu domácností měla</w:t>
            </w:r>
            <w:r w:rsidRPr="007E7063">
              <w:rPr>
                <w:rFonts w:cs="Arial"/>
                <w:spacing w:val="-2"/>
              </w:rPr>
              <w:t xml:space="preserve"> bezprostřední vliv pozitivní očekávání spotřebitelů a rostoucí výdělky. Objem vyplácených mezd a platů meziročně </w:t>
            </w:r>
            <w:r w:rsidR="00BE15B9" w:rsidRPr="007E7063">
              <w:rPr>
                <w:rFonts w:cs="Arial"/>
                <w:spacing w:val="-2"/>
              </w:rPr>
              <w:t xml:space="preserve">vzrostl o 5,7 % </w:t>
            </w:r>
            <w:r w:rsidRPr="007E7063">
              <w:rPr>
                <w:rFonts w:cs="Arial"/>
                <w:spacing w:val="-2"/>
              </w:rPr>
              <w:t xml:space="preserve">(6,0 %, 5,4 % a 5,7 % v 1., 2. a 3. čtvrtletí), přičemž se jeho dynamika v porovnání s rokem 2015 zvýšila. V reálném vyjádření </w:t>
            </w:r>
            <w:r w:rsidR="00BE15B9" w:rsidRPr="007E7063">
              <w:rPr>
                <w:rFonts w:cs="Arial"/>
                <w:spacing w:val="-2"/>
              </w:rPr>
              <w:t xml:space="preserve">vzrostl objem vyplácených mezd o </w:t>
            </w:r>
            <w:r w:rsidRPr="007E7063">
              <w:rPr>
                <w:rFonts w:cs="Arial"/>
                <w:spacing w:val="-2"/>
              </w:rPr>
              <w:t>5,9 %, 5,4 % a 4,7 %</w:t>
            </w:r>
            <w:r w:rsidRPr="007E7063">
              <w:rPr>
                <w:rStyle w:val="Znakapoznpodarou"/>
                <w:rFonts w:cs="Arial"/>
                <w:spacing w:val="-2"/>
              </w:rPr>
              <w:footnoteReference w:id="6"/>
            </w:r>
            <w:r w:rsidRPr="007E7063">
              <w:rPr>
                <w:rFonts w:cs="Arial"/>
                <w:spacing w:val="-2"/>
              </w:rPr>
              <w:t xml:space="preserve"> </w:t>
            </w:r>
            <w:r w:rsidR="00BE15B9" w:rsidRPr="007E7063">
              <w:rPr>
                <w:rFonts w:cs="Arial"/>
                <w:spacing w:val="-2"/>
              </w:rPr>
              <w:t xml:space="preserve">postupně </w:t>
            </w:r>
            <w:r w:rsidRPr="007E7063">
              <w:rPr>
                <w:rFonts w:cs="Arial"/>
                <w:spacing w:val="-2"/>
              </w:rPr>
              <w:t xml:space="preserve">v jednotlivých čtvrtletích roku 2016. Nad celkový průměr se dostal růst mezd ve zpracovatelském průmyslu, který </w:t>
            </w:r>
            <w:r w:rsidR="00BE15B9" w:rsidRPr="007E7063">
              <w:rPr>
                <w:rFonts w:cs="Arial"/>
                <w:spacing w:val="-2"/>
              </w:rPr>
              <w:t>rostl stejně jako v roce 2015</w:t>
            </w:r>
            <w:r w:rsidRPr="007E7063">
              <w:rPr>
                <w:rFonts w:cs="Arial"/>
                <w:spacing w:val="-2"/>
              </w:rPr>
              <w:t xml:space="preserve"> (7,0 %). V porovnání s rokem 2015 se zvýšil růst objemu mezd v obchodě, dopravě, ubytování a pohostinství (6,4 %) a rovněž v informačních a komunikačních činnostech (7,4 %)</w:t>
            </w:r>
            <w:r w:rsidR="008B634C">
              <w:rPr>
                <w:rFonts w:cs="Arial"/>
                <w:spacing w:val="-2"/>
              </w:rPr>
              <w:t xml:space="preserve"> a dále v</w:t>
            </w:r>
            <w:r w:rsidRPr="007E7063">
              <w:rPr>
                <w:rFonts w:cs="Arial"/>
                <w:spacing w:val="-2"/>
              </w:rPr>
              <w:t> oblasti profesních vědeckých, technických a administrativních činností (6,2</w:t>
            </w:r>
            <w:r w:rsidR="00906F67" w:rsidRPr="007E7063">
              <w:rPr>
                <w:rFonts w:cs="Arial"/>
                <w:spacing w:val="-2"/>
              </w:rPr>
              <w:t> </w:t>
            </w:r>
            <w:r w:rsidR="00AD4FEF">
              <w:rPr>
                <w:rFonts w:cs="Arial"/>
                <w:spacing w:val="-2"/>
              </w:rPr>
              <w:t>%). Naopak</w:t>
            </w:r>
            <w:r w:rsidRPr="007E7063">
              <w:rPr>
                <w:rFonts w:cs="Arial"/>
                <w:spacing w:val="-2"/>
              </w:rPr>
              <w:t xml:space="preserve"> pod průměrem zůstává růst m</w:t>
            </w:r>
            <w:r w:rsidR="007E7063" w:rsidRPr="007E7063">
              <w:rPr>
                <w:rFonts w:cs="Arial"/>
                <w:spacing w:val="-2"/>
              </w:rPr>
              <w:t xml:space="preserve">ezd ve stavebnictví (2,9 %). </w:t>
            </w:r>
          </w:p>
          <w:p w:rsidR="009B0975" w:rsidRPr="00511BF9" w:rsidRDefault="009B0975" w:rsidP="00D94859">
            <w:pPr>
              <w:pStyle w:val="Textpoznpodarou"/>
              <w:jc w:val="both"/>
              <w:rPr>
                <w:rFonts w:cs="Arial"/>
                <w:sz w:val="16"/>
                <w:szCs w:val="16"/>
              </w:rPr>
            </w:pPr>
          </w:p>
        </w:tc>
      </w:tr>
      <w:tr w:rsidR="009F3F25" w:rsidRPr="00A74192" w:rsidTr="00AD4FEF">
        <w:tc>
          <w:tcPr>
            <w:tcW w:w="1074" w:type="pct"/>
            <w:gridSpan w:val="2"/>
          </w:tcPr>
          <w:p w:rsidR="009B0975" w:rsidRPr="00A74192" w:rsidRDefault="009B0975" w:rsidP="00D94859">
            <w:pPr>
              <w:spacing w:line="240" w:lineRule="auto"/>
              <w:rPr>
                <w:rFonts w:cs="Arial"/>
                <w:sz w:val="16"/>
                <w:szCs w:val="16"/>
              </w:rPr>
            </w:pPr>
            <w:r w:rsidRPr="00A74192">
              <w:rPr>
                <w:rFonts w:cs="Arial"/>
                <w:sz w:val="16"/>
                <w:szCs w:val="16"/>
              </w:rPr>
              <w:t>Výdaje na spotřebu vládních institucí stagnují.</w:t>
            </w:r>
          </w:p>
        </w:tc>
        <w:tc>
          <w:tcPr>
            <w:tcW w:w="142" w:type="pct"/>
          </w:tcPr>
          <w:p w:rsidR="009B0975" w:rsidRPr="00A74192" w:rsidRDefault="009B0975" w:rsidP="00D94859">
            <w:pPr>
              <w:pStyle w:val="Textpoznpodarou"/>
              <w:jc w:val="both"/>
              <w:rPr>
                <w:rFonts w:cs="Arial"/>
              </w:rPr>
            </w:pPr>
          </w:p>
        </w:tc>
        <w:tc>
          <w:tcPr>
            <w:tcW w:w="3784" w:type="pct"/>
            <w:gridSpan w:val="3"/>
          </w:tcPr>
          <w:p w:rsidR="009B0975" w:rsidRPr="00A74192" w:rsidRDefault="009B0975" w:rsidP="00D94859">
            <w:pPr>
              <w:pStyle w:val="Textpoznpodarou"/>
              <w:jc w:val="both"/>
              <w:rPr>
                <w:rFonts w:cs="Arial"/>
              </w:rPr>
            </w:pPr>
            <w:r w:rsidRPr="00A74192">
              <w:rPr>
                <w:rFonts w:cs="Arial"/>
              </w:rPr>
              <w:t xml:space="preserve">Dynamika spotřeby vládních institucí zpočátku roku rostla a naznačovala pokračování trendu z roku 2015. Výdaje na konečnou spotřebu vládních institucí zaznamenaly </w:t>
            </w:r>
            <w:r w:rsidR="00AD4FEF" w:rsidRPr="00A74192">
              <w:rPr>
                <w:rFonts w:cs="Arial"/>
              </w:rPr>
              <w:t xml:space="preserve">svůj vrchol </w:t>
            </w:r>
            <w:r w:rsidRPr="00A74192">
              <w:rPr>
                <w:rFonts w:cs="Arial"/>
              </w:rPr>
              <w:t>ve 2. čtvrtletí 2016, kdy vzrostly meziročně o 3,1 %. Ve 3.</w:t>
            </w:r>
            <w:r w:rsidR="00906F67">
              <w:rPr>
                <w:rFonts w:cs="Arial"/>
              </w:rPr>
              <w:t> </w:t>
            </w:r>
            <w:r w:rsidRPr="00A74192">
              <w:rPr>
                <w:rFonts w:cs="Arial"/>
              </w:rPr>
              <w:t xml:space="preserve">čtvrtletí se meziroční růst výrazně zpomalil (1,5 %) a mezičtvrtletně </w:t>
            </w:r>
            <w:r w:rsidR="008B634C">
              <w:rPr>
                <w:rFonts w:cs="Arial"/>
              </w:rPr>
              <w:t xml:space="preserve">výdaje vlády </w:t>
            </w:r>
            <w:r w:rsidRPr="00A74192">
              <w:rPr>
                <w:rFonts w:cs="Arial"/>
              </w:rPr>
              <w:t>poklesl</w:t>
            </w:r>
            <w:r w:rsidR="008B634C">
              <w:rPr>
                <w:rFonts w:cs="Arial"/>
              </w:rPr>
              <w:t>y</w:t>
            </w:r>
            <w:r w:rsidRPr="00A74192">
              <w:rPr>
                <w:rFonts w:cs="Arial"/>
              </w:rPr>
              <w:t xml:space="preserve"> o 0,4</w:t>
            </w:r>
            <w:r w:rsidR="00906F67">
              <w:rPr>
                <w:rFonts w:cs="Arial"/>
              </w:rPr>
              <w:t> </w:t>
            </w:r>
            <w:r w:rsidRPr="00A74192">
              <w:rPr>
                <w:rFonts w:cs="Arial"/>
              </w:rPr>
              <w:t>p.b.</w:t>
            </w:r>
          </w:p>
          <w:p w:rsidR="009B0975" w:rsidRPr="00511BF9" w:rsidRDefault="009B0975" w:rsidP="00D94859">
            <w:pPr>
              <w:pStyle w:val="Textpoznpodarou"/>
              <w:jc w:val="both"/>
              <w:rPr>
                <w:rFonts w:cs="Arial"/>
                <w:sz w:val="16"/>
                <w:szCs w:val="16"/>
                <w:highlight w:val="yellow"/>
              </w:rPr>
            </w:pPr>
          </w:p>
        </w:tc>
      </w:tr>
      <w:tr w:rsidR="009F3F25" w:rsidRPr="00A74192" w:rsidTr="00AD4FEF">
        <w:tc>
          <w:tcPr>
            <w:tcW w:w="1074" w:type="pct"/>
            <w:gridSpan w:val="2"/>
          </w:tcPr>
          <w:p w:rsidR="009B0975" w:rsidRPr="00A74192" w:rsidRDefault="009B0975" w:rsidP="00BE15B9">
            <w:pPr>
              <w:spacing w:line="240" w:lineRule="auto"/>
              <w:rPr>
                <w:rFonts w:cs="Arial"/>
                <w:sz w:val="16"/>
                <w:szCs w:val="16"/>
              </w:rPr>
            </w:pPr>
            <w:r w:rsidRPr="00A74192">
              <w:rPr>
                <w:rFonts w:cs="Arial"/>
                <w:sz w:val="16"/>
                <w:szCs w:val="16"/>
              </w:rPr>
              <w:t>Investiční aktivita, která táhla hospodářský růst v minulém roce se výrazně zpomalila v souvislosti s</w:t>
            </w:r>
            <w:r w:rsidR="00BE15B9">
              <w:rPr>
                <w:rFonts w:cs="Arial"/>
                <w:sz w:val="16"/>
                <w:szCs w:val="16"/>
              </w:rPr>
              <w:t> ukončením m</w:t>
            </w:r>
            <w:r w:rsidRPr="00A74192">
              <w:rPr>
                <w:rFonts w:cs="Arial"/>
                <w:sz w:val="16"/>
                <w:szCs w:val="16"/>
              </w:rPr>
              <w:t>inulého programového období evropských dotací.</w:t>
            </w:r>
          </w:p>
        </w:tc>
        <w:tc>
          <w:tcPr>
            <w:tcW w:w="142" w:type="pct"/>
          </w:tcPr>
          <w:p w:rsidR="009B0975" w:rsidRPr="00A74192" w:rsidRDefault="009B0975" w:rsidP="00D94859">
            <w:pPr>
              <w:pStyle w:val="Textpoznpodarou"/>
              <w:jc w:val="both"/>
              <w:rPr>
                <w:rFonts w:cs="Arial"/>
              </w:rPr>
            </w:pPr>
          </w:p>
        </w:tc>
        <w:tc>
          <w:tcPr>
            <w:tcW w:w="3784" w:type="pct"/>
            <w:gridSpan w:val="3"/>
          </w:tcPr>
          <w:p w:rsidR="009B0975" w:rsidRPr="00A74192" w:rsidRDefault="009B0975" w:rsidP="00D94859">
            <w:pPr>
              <w:pStyle w:val="Textpoznpodarou"/>
              <w:jc w:val="both"/>
              <w:rPr>
                <w:rFonts w:cs="Arial"/>
              </w:rPr>
            </w:pPr>
            <w:r w:rsidRPr="00A74192">
              <w:rPr>
                <w:rFonts w:cs="Arial"/>
              </w:rPr>
              <w:t xml:space="preserve">Investiční aktivita, vyjádřená tvorbou hrubého fixního kapitálu, </w:t>
            </w:r>
            <w:r w:rsidR="00BE15B9">
              <w:rPr>
                <w:rFonts w:cs="Arial"/>
              </w:rPr>
              <w:t>byla</w:t>
            </w:r>
            <w:r w:rsidRPr="00A74192">
              <w:rPr>
                <w:rFonts w:cs="Arial"/>
              </w:rPr>
              <w:t xml:space="preserve"> od začátku roku utlumena. V 1. čtvrtletí byl ještě zaznamenán </w:t>
            </w:r>
            <w:r w:rsidR="00BE15B9">
              <w:rPr>
                <w:rFonts w:cs="Arial"/>
              </w:rPr>
              <w:t>mírný meziroční nárůst o</w:t>
            </w:r>
            <w:r w:rsidR="00F15309">
              <w:rPr>
                <w:rFonts w:cs="Arial"/>
              </w:rPr>
              <w:t> </w:t>
            </w:r>
            <w:r w:rsidR="00BE15B9">
              <w:rPr>
                <w:rFonts w:cs="Arial"/>
              </w:rPr>
              <w:t>2,6</w:t>
            </w:r>
            <w:r w:rsidR="00F15309">
              <w:rPr>
                <w:rFonts w:cs="Arial"/>
              </w:rPr>
              <w:t> </w:t>
            </w:r>
            <w:r w:rsidR="00BE15B9">
              <w:rPr>
                <w:rFonts w:cs="Arial"/>
              </w:rPr>
              <w:t>% (menší než v minulém roce)</w:t>
            </w:r>
            <w:r w:rsidRPr="00A74192">
              <w:rPr>
                <w:rFonts w:cs="Arial"/>
              </w:rPr>
              <w:t xml:space="preserve">. V následujících čtvrtletích </w:t>
            </w:r>
            <w:r w:rsidR="008B634C">
              <w:rPr>
                <w:rFonts w:cs="Arial"/>
              </w:rPr>
              <w:t>už byly investice nižší</w:t>
            </w:r>
            <w:r w:rsidRPr="00A74192">
              <w:rPr>
                <w:rFonts w:cs="Arial"/>
              </w:rPr>
              <w:t xml:space="preserve"> (</w:t>
            </w:r>
            <w:r w:rsidR="008B634C">
              <w:rPr>
                <w:rFonts w:cs="Arial"/>
              </w:rPr>
              <w:t xml:space="preserve">o </w:t>
            </w:r>
            <w:r w:rsidRPr="00A74192">
              <w:rPr>
                <w:rFonts w:cs="Arial"/>
              </w:rPr>
              <w:t xml:space="preserve">−3,4 % a −2,3 %). Mezičtvrtletní dynamika však </w:t>
            </w:r>
            <w:r w:rsidR="008B634C">
              <w:rPr>
                <w:rFonts w:cs="Arial"/>
              </w:rPr>
              <w:t xml:space="preserve">ve 3, čtvrtletí </w:t>
            </w:r>
            <w:r w:rsidRPr="00A74192">
              <w:rPr>
                <w:rFonts w:cs="Arial"/>
              </w:rPr>
              <w:t>naznač</w:t>
            </w:r>
            <w:r w:rsidR="00F15309">
              <w:rPr>
                <w:rFonts w:cs="Arial"/>
              </w:rPr>
              <w:t>ila</w:t>
            </w:r>
            <w:r w:rsidRPr="00A74192">
              <w:rPr>
                <w:rFonts w:cs="Arial"/>
              </w:rPr>
              <w:t xml:space="preserve"> možné oživení investic</w:t>
            </w:r>
            <w:r w:rsidR="00F15309">
              <w:rPr>
                <w:rFonts w:cs="Arial"/>
              </w:rPr>
              <w:t xml:space="preserve">, když </w:t>
            </w:r>
            <w:r w:rsidRPr="00A74192">
              <w:rPr>
                <w:rFonts w:cs="Arial"/>
              </w:rPr>
              <w:t>investice</w:t>
            </w:r>
            <w:r w:rsidR="00BE15B9">
              <w:rPr>
                <w:rFonts w:cs="Arial"/>
              </w:rPr>
              <w:t xml:space="preserve"> </w:t>
            </w:r>
            <w:r w:rsidRPr="00A74192">
              <w:rPr>
                <w:rFonts w:cs="Arial"/>
              </w:rPr>
              <w:t>vzrostly</w:t>
            </w:r>
            <w:r w:rsidR="00BE15B9">
              <w:rPr>
                <w:rFonts w:cs="Arial"/>
              </w:rPr>
              <w:t xml:space="preserve"> </w:t>
            </w:r>
            <w:r w:rsidRPr="00A74192">
              <w:rPr>
                <w:rFonts w:cs="Arial"/>
              </w:rPr>
              <w:t>o</w:t>
            </w:r>
            <w:r w:rsidR="00BE15B9">
              <w:rPr>
                <w:rFonts w:cs="Arial"/>
              </w:rPr>
              <w:t xml:space="preserve"> </w:t>
            </w:r>
            <w:r w:rsidRPr="00A74192">
              <w:rPr>
                <w:rFonts w:cs="Arial"/>
              </w:rPr>
              <w:t>2,5</w:t>
            </w:r>
            <w:r w:rsidR="00F15309">
              <w:rPr>
                <w:rFonts w:cs="Arial"/>
              </w:rPr>
              <w:t> </w:t>
            </w:r>
            <w:r w:rsidRPr="00A74192">
              <w:rPr>
                <w:rFonts w:cs="Arial"/>
              </w:rPr>
              <w:t>%</w:t>
            </w:r>
            <w:r w:rsidR="008B634C">
              <w:rPr>
                <w:rFonts w:cs="Arial"/>
              </w:rPr>
              <w:t xml:space="preserve"> oproti předchozímu čtvrtletí</w:t>
            </w:r>
            <w:r w:rsidRPr="00A74192">
              <w:rPr>
                <w:rFonts w:cs="Arial"/>
              </w:rPr>
              <w:t>.</w:t>
            </w:r>
            <w:r w:rsidR="00BE15B9">
              <w:rPr>
                <w:rFonts w:cs="Arial"/>
              </w:rPr>
              <w:t xml:space="preserve"> U</w:t>
            </w:r>
            <w:r w:rsidRPr="00A74192">
              <w:rPr>
                <w:rFonts w:cs="Arial"/>
              </w:rPr>
              <w:t>končení programového období 2007</w:t>
            </w:r>
            <w:r w:rsidR="00BE15B9">
              <w:rPr>
                <w:rFonts w:cs="Arial"/>
              </w:rPr>
              <w:t>–</w:t>
            </w:r>
            <w:r w:rsidRPr="00A74192">
              <w:rPr>
                <w:rFonts w:cs="Arial"/>
              </w:rPr>
              <w:t>2013 evropských dotací a</w:t>
            </w:r>
            <w:r w:rsidR="00A76EF2">
              <w:rPr>
                <w:rFonts w:cs="Arial"/>
              </w:rPr>
              <w:t> </w:t>
            </w:r>
            <w:r w:rsidRPr="00A74192">
              <w:rPr>
                <w:rFonts w:cs="Arial"/>
              </w:rPr>
              <w:t xml:space="preserve">pomalý náběh čerpání prostředků z nového období </w:t>
            </w:r>
            <w:r w:rsidR="00BE15B9">
              <w:rPr>
                <w:rFonts w:cs="Arial"/>
              </w:rPr>
              <w:t xml:space="preserve">postihl zejména </w:t>
            </w:r>
            <w:r w:rsidRPr="00A74192">
              <w:rPr>
                <w:rFonts w:cs="Arial"/>
              </w:rPr>
              <w:t xml:space="preserve">investice do ostatních staveb. </w:t>
            </w:r>
            <w:r w:rsidR="008B634C">
              <w:rPr>
                <w:rFonts w:cs="Arial"/>
              </w:rPr>
              <w:t xml:space="preserve">Vývoj této </w:t>
            </w:r>
            <w:r w:rsidRPr="00A74192">
              <w:rPr>
                <w:rFonts w:cs="Arial"/>
              </w:rPr>
              <w:t xml:space="preserve">kategorie, která zahrnuje </w:t>
            </w:r>
            <w:r w:rsidR="008B634C">
              <w:rPr>
                <w:rFonts w:cs="Arial"/>
              </w:rPr>
              <w:t xml:space="preserve">mimo jiné </w:t>
            </w:r>
            <w:r w:rsidR="00E05EAD">
              <w:rPr>
                <w:rFonts w:cs="Arial"/>
              </w:rPr>
              <w:t xml:space="preserve">i </w:t>
            </w:r>
            <w:r w:rsidRPr="00A74192">
              <w:rPr>
                <w:rFonts w:cs="Arial"/>
              </w:rPr>
              <w:t xml:space="preserve">infrastrukturní projekty, </w:t>
            </w:r>
            <w:r w:rsidR="008B634C">
              <w:rPr>
                <w:rFonts w:cs="Arial"/>
              </w:rPr>
              <w:t>dokládá, že vysoký objem investic byl ve 3, čtvrtletí 2016 o 16,4 % nižší než ve stejném čtvrtletí roku 2015, ale jen o 2 % nižší než v roce 2014 (b</w:t>
            </w:r>
            <w:r w:rsidRPr="00A74192">
              <w:rPr>
                <w:rFonts w:cs="Arial"/>
              </w:rPr>
              <w:t xml:space="preserve">ez sezónního očištění). </w:t>
            </w:r>
            <w:r w:rsidR="008B634C">
              <w:rPr>
                <w:rFonts w:cs="Arial"/>
              </w:rPr>
              <w:t xml:space="preserve">Každopádně, vzhledem </w:t>
            </w:r>
            <w:r w:rsidRPr="00A74192">
              <w:rPr>
                <w:rFonts w:cs="Arial"/>
              </w:rPr>
              <w:t>ke svému objemu jsou právě investice do ostatních staveb kategorií, která má podstatný vliv na celkový pokles tvorby hrubého fixního kapitálu</w:t>
            </w:r>
            <w:r w:rsidR="008B634C">
              <w:rPr>
                <w:rFonts w:cs="Arial"/>
              </w:rPr>
              <w:t xml:space="preserve"> oproti roku 2015</w:t>
            </w:r>
            <w:r w:rsidRPr="00A74192">
              <w:rPr>
                <w:rFonts w:cs="Arial"/>
              </w:rPr>
              <w:t xml:space="preserve">.   </w:t>
            </w:r>
          </w:p>
          <w:p w:rsidR="009B0975" w:rsidRPr="00511BF9" w:rsidRDefault="009B0975" w:rsidP="00D94859">
            <w:pPr>
              <w:pStyle w:val="Textpoznpodarou"/>
              <w:jc w:val="both"/>
              <w:rPr>
                <w:rFonts w:cs="Arial"/>
                <w:sz w:val="16"/>
                <w:szCs w:val="16"/>
                <w:highlight w:val="yellow"/>
              </w:rPr>
            </w:pPr>
          </w:p>
        </w:tc>
      </w:tr>
      <w:tr w:rsidR="009F3F25" w:rsidRPr="00A74192" w:rsidTr="00AD4FEF">
        <w:tc>
          <w:tcPr>
            <w:tcW w:w="1074" w:type="pct"/>
            <w:gridSpan w:val="2"/>
          </w:tcPr>
          <w:p w:rsidR="009B0975" w:rsidRPr="00A74192" w:rsidRDefault="009B0975" w:rsidP="00A76EF2">
            <w:pPr>
              <w:spacing w:line="240" w:lineRule="auto"/>
              <w:rPr>
                <w:rFonts w:cs="Arial"/>
                <w:sz w:val="16"/>
                <w:szCs w:val="16"/>
              </w:rPr>
            </w:pPr>
            <w:r w:rsidRPr="00A74192">
              <w:rPr>
                <w:rFonts w:cs="Arial"/>
                <w:sz w:val="16"/>
                <w:szCs w:val="16"/>
              </w:rPr>
              <w:t>Rostly investice do obydlí  a dopravních prostředků a</w:t>
            </w:r>
            <w:r w:rsidR="00A76EF2">
              <w:rPr>
                <w:rFonts w:cs="Arial"/>
                <w:sz w:val="16"/>
                <w:szCs w:val="16"/>
              </w:rPr>
              <w:t> </w:t>
            </w:r>
            <w:r w:rsidRPr="00A74192">
              <w:rPr>
                <w:rFonts w:cs="Arial"/>
                <w:sz w:val="16"/>
                <w:szCs w:val="16"/>
              </w:rPr>
              <w:t xml:space="preserve">zařízení. </w:t>
            </w:r>
          </w:p>
        </w:tc>
        <w:tc>
          <w:tcPr>
            <w:tcW w:w="142" w:type="pct"/>
          </w:tcPr>
          <w:p w:rsidR="009B0975" w:rsidRPr="00A74192" w:rsidRDefault="009B0975" w:rsidP="00D94859">
            <w:pPr>
              <w:pStyle w:val="Textpoznpodarou"/>
              <w:jc w:val="both"/>
              <w:rPr>
                <w:rFonts w:cs="Arial"/>
              </w:rPr>
            </w:pPr>
          </w:p>
        </w:tc>
        <w:tc>
          <w:tcPr>
            <w:tcW w:w="3784" w:type="pct"/>
            <w:gridSpan w:val="3"/>
          </w:tcPr>
          <w:p w:rsidR="009B0975" w:rsidRPr="00A74192" w:rsidRDefault="009B0975" w:rsidP="00D94859">
            <w:pPr>
              <w:pStyle w:val="Textpoznpodarou"/>
              <w:jc w:val="both"/>
              <w:rPr>
                <w:rFonts w:cs="Arial"/>
              </w:rPr>
            </w:pPr>
            <w:r w:rsidRPr="00A74192">
              <w:rPr>
                <w:rFonts w:cs="Arial"/>
              </w:rPr>
              <w:t>Váhově nejvýznamnější investice do ICT, ostatních strojů a zařízení a</w:t>
            </w:r>
            <w:r w:rsidR="00A76EF2">
              <w:rPr>
                <w:rFonts w:cs="Arial"/>
              </w:rPr>
              <w:t> </w:t>
            </w:r>
            <w:r w:rsidRPr="00A74192">
              <w:rPr>
                <w:rFonts w:cs="Arial"/>
              </w:rPr>
              <w:t>zbraňových systémů meziročně mírně kles</w:t>
            </w:r>
            <w:r w:rsidR="00635818">
              <w:rPr>
                <w:rFonts w:cs="Arial"/>
              </w:rPr>
              <w:t>aly</w:t>
            </w:r>
            <w:r w:rsidRPr="00A74192">
              <w:rPr>
                <w:rFonts w:cs="Arial"/>
              </w:rPr>
              <w:t xml:space="preserve"> (−0,9 %, −0,4 %, −1,4 % v 1., 2., a 3. čtvrtletí bez sezonního očištění), především kvůli velmi vysoké základně minulého roku</w:t>
            </w:r>
            <w:r w:rsidR="008B634C">
              <w:rPr>
                <w:rFonts w:cs="Arial"/>
              </w:rPr>
              <w:t xml:space="preserve"> (oproti 2014 byly tyto investice o 5,9 % výšší)</w:t>
            </w:r>
            <w:r w:rsidR="008B634C" w:rsidRPr="00A74192">
              <w:rPr>
                <w:rFonts w:cs="Arial"/>
              </w:rPr>
              <w:t xml:space="preserve">. </w:t>
            </w:r>
            <w:r w:rsidR="008B634C">
              <w:rPr>
                <w:rFonts w:cs="Arial"/>
              </w:rPr>
              <w:t>Meziroční p</w:t>
            </w:r>
            <w:r w:rsidRPr="00A74192">
              <w:rPr>
                <w:rFonts w:cs="Arial"/>
              </w:rPr>
              <w:t>ropad v kategorii ostatních budov a staveb částečně kompenz</w:t>
            </w:r>
            <w:r w:rsidR="00635818">
              <w:rPr>
                <w:rFonts w:cs="Arial"/>
              </w:rPr>
              <w:t>ovaly</w:t>
            </w:r>
            <w:r w:rsidRPr="00A74192">
              <w:rPr>
                <w:rFonts w:cs="Arial"/>
              </w:rPr>
              <w:t xml:space="preserve"> investice do obydlí, které po poklesu v 1. čtvrtletí</w:t>
            </w:r>
            <w:r w:rsidR="00AD4FEF" w:rsidRPr="00A74192">
              <w:rPr>
                <w:rFonts w:cs="Arial"/>
              </w:rPr>
              <w:t xml:space="preserve"> rostly o 2,8 % a 2,3 %</w:t>
            </w:r>
            <w:r w:rsidR="00AD4FEF">
              <w:rPr>
                <w:rFonts w:cs="Arial"/>
              </w:rPr>
              <w:t xml:space="preserve"> </w:t>
            </w:r>
            <w:r w:rsidRPr="00A74192">
              <w:rPr>
                <w:rFonts w:cs="Arial"/>
              </w:rPr>
              <w:t>ve</w:t>
            </w:r>
            <w:r w:rsidR="00AD4FEF">
              <w:rPr>
                <w:rFonts w:cs="Arial"/>
              </w:rPr>
              <w:t xml:space="preserve"> </w:t>
            </w:r>
            <w:r w:rsidRPr="00A74192">
              <w:rPr>
                <w:rFonts w:cs="Arial"/>
              </w:rPr>
              <w:t>2</w:t>
            </w:r>
            <w:r w:rsidR="00A76EF2">
              <w:rPr>
                <w:rFonts w:cs="Arial"/>
              </w:rPr>
              <w:t>.</w:t>
            </w:r>
            <w:r w:rsidR="00AD4FEF">
              <w:rPr>
                <w:rFonts w:cs="Arial"/>
              </w:rPr>
              <w:t xml:space="preserve"> </w:t>
            </w:r>
            <w:r w:rsidRPr="00A74192">
              <w:rPr>
                <w:rFonts w:cs="Arial"/>
              </w:rPr>
              <w:t>a</w:t>
            </w:r>
            <w:r w:rsidR="00AD4FEF">
              <w:rPr>
                <w:rFonts w:cs="Arial"/>
              </w:rPr>
              <w:t xml:space="preserve"> </w:t>
            </w:r>
            <w:r w:rsidRPr="00A74192">
              <w:rPr>
                <w:rFonts w:cs="Arial"/>
              </w:rPr>
              <w:t>3. čtvrtletí. Nejvýraznější přírůstek ze sledovaných kategorií zaznamenaly investice do dopravních prostředků a zařízení, které ve 3. čtvrtletí meziročně vzrostly o 16,4 %</w:t>
            </w:r>
            <w:r w:rsidR="008B634C">
              <w:rPr>
                <w:rFonts w:cs="Arial"/>
              </w:rPr>
              <w:t xml:space="preserve"> (a o 28,5 % oproti stejnému čtvrtletí roku 2014)</w:t>
            </w:r>
            <w:r w:rsidRPr="00A74192">
              <w:rPr>
                <w:rFonts w:cs="Arial"/>
              </w:rPr>
              <w:t xml:space="preserve">.   </w:t>
            </w:r>
          </w:p>
          <w:p w:rsidR="009B0975" w:rsidRPr="00511BF9" w:rsidRDefault="009B0975" w:rsidP="00D94859">
            <w:pPr>
              <w:pStyle w:val="Textpoznpodarou"/>
              <w:jc w:val="both"/>
              <w:rPr>
                <w:rFonts w:cs="Arial"/>
                <w:sz w:val="16"/>
                <w:szCs w:val="16"/>
                <w:highlight w:val="yellow"/>
              </w:rPr>
            </w:pPr>
          </w:p>
        </w:tc>
      </w:tr>
      <w:tr w:rsidR="009F3F25" w:rsidRPr="00A74192" w:rsidTr="00AD4FEF">
        <w:tc>
          <w:tcPr>
            <w:tcW w:w="1074" w:type="pct"/>
            <w:gridSpan w:val="2"/>
          </w:tcPr>
          <w:p w:rsidR="009B0975" w:rsidRPr="00A74192" w:rsidRDefault="009B0975" w:rsidP="00A76EF2">
            <w:pPr>
              <w:spacing w:line="240" w:lineRule="auto"/>
              <w:rPr>
                <w:rFonts w:cs="Arial"/>
                <w:sz w:val="16"/>
                <w:szCs w:val="16"/>
              </w:rPr>
            </w:pPr>
            <w:r w:rsidRPr="00A74192">
              <w:rPr>
                <w:rFonts w:cs="Arial"/>
                <w:sz w:val="16"/>
                <w:szCs w:val="16"/>
              </w:rPr>
              <w:t>Směnné relace ve službách vzrostly a s nimi i</w:t>
            </w:r>
            <w:r w:rsidR="00A76EF2">
              <w:rPr>
                <w:rFonts w:cs="Arial"/>
                <w:sz w:val="16"/>
                <w:szCs w:val="16"/>
              </w:rPr>
              <w:t> </w:t>
            </w:r>
            <w:r w:rsidRPr="00A74192">
              <w:rPr>
                <w:rFonts w:cs="Arial"/>
                <w:sz w:val="16"/>
                <w:szCs w:val="16"/>
              </w:rPr>
              <w:t>bilance zahraničního obchodu se službami. Celková bilance zahraničního obchodu se mezičtvrtletně mírně snížila.</w:t>
            </w:r>
          </w:p>
        </w:tc>
        <w:tc>
          <w:tcPr>
            <w:tcW w:w="142" w:type="pct"/>
          </w:tcPr>
          <w:p w:rsidR="009B0975" w:rsidRPr="00A74192" w:rsidRDefault="009B0975" w:rsidP="00D94859">
            <w:pPr>
              <w:pStyle w:val="Textpoznpodarou"/>
              <w:jc w:val="both"/>
              <w:rPr>
                <w:rFonts w:cs="Arial"/>
              </w:rPr>
            </w:pPr>
          </w:p>
        </w:tc>
        <w:tc>
          <w:tcPr>
            <w:tcW w:w="3784" w:type="pct"/>
            <w:gridSpan w:val="3"/>
          </w:tcPr>
          <w:p w:rsidR="009B0975" w:rsidRPr="00A74192" w:rsidRDefault="009B0975" w:rsidP="00D94859">
            <w:pPr>
              <w:pStyle w:val="Textpoznpodarou"/>
              <w:jc w:val="both"/>
              <w:rPr>
                <w:rFonts w:cs="Arial"/>
              </w:rPr>
            </w:pPr>
            <w:r w:rsidRPr="00A74192">
              <w:rPr>
                <w:rFonts w:cs="Arial"/>
              </w:rPr>
              <w:t xml:space="preserve">Bilance zahraničního obchodu dosáhla ve 3. čtvrtletí 78,4 mld. korun. To znamenalo snížení o 4,2 mld. oproti předchozímu čtvrtletí, kdy dosáhl přebytek své nejvyšší hodnoty za dobu existence České republiky. I směnné relace se v porovnání s 1. a 2. čtvrtletím snížily o 0,3 p.b. Přebytek obchodu se zbožím dosáhl 55,8 mld. korun a mezičtvrtletně se snížil o 5,4 mld. Naopak přebytek obchodu se službami se po poklesu na přelomu roku zvyšoval a ve 3. čtvrtletí dosáhl hodnoty 22,6 mld. korun. Vzrostly i směnné relace ve službách – ve 3. čtvrtletí dosáhly 101,8 % a mezičtvrtletně vzrostly o 1,7 p.b.     </w:t>
            </w:r>
          </w:p>
          <w:p w:rsidR="009B0975" w:rsidRPr="00511BF9" w:rsidRDefault="009B0975" w:rsidP="00D94859">
            <w:pPr>
              <w:pStyle w:val="Textpoznpodarou"/>
              <w:jc w:val="both"/>
              <w:rPr>
                <w:rFonts w:cs="Arial"/>
                <w:sz w:val="16"/>
                <w:szCs w:val="16"/>
              </w:rPr>
            </w:pPr>
          </w:p>
        </w:tc>
      </w:tr>
      <w:tr w:rsidR="009F3F25" w:rsidRPr="00A74192" w:rsidTr="00AD4FEF">
        <w:tc>
          <w:tcPr>
            <w:tcW w:w="1074" w:type="pct"/>
            <w:gridSpan w:val="2"/>
          </w:tcPr>
          <w:p w:rsidR="009B0975" w:rsidRPr="00A74192" w:rsidRDefault="009B0975" w:rsidP="00D94859">
            <w:pPr>
              <w:spacing w:line="240" w:lineRule="auto"/>
              <w:rPr>
                <w:rFonts w:cs="Arial"/>
                <w:sz w:val="16"/>
                <w:szCs w:val="16"/>
              </w:rPr>
            </w:pPr>
            <w:r w:rsidRPr="00A74192">
              <w:rPr>
                <w:rFonts w:cs="Arial"/>
                <w:sz w:val="16"/>
                <w:szCs w:val="16"/>
              </w:rPr>
              <w:t>Zisky z vývoje cen v zahraničním obchodě klesly oproti předchozímu čtvrtletí o 2,6 mld. korun.</w:t>
            </w:r>
          </w:p>
        </w:tc>
        <w:tc>
          <w:tcPr>
            <w:tcW w:w="142" w:type="pct"/>
          </w:tcPr>
          <w:p w:rsidR="009B0975" w:rsidRPr="00A74192" w:rsidRDefault="009B0975" w:rsidP="00D94859">
            <w:pPr>
              <w:pStyle w:val="Textpoznpodarou"/>
              <w:jc w:val="both"/>
              <w:rPr>
                <w:rFonts w:cs="Arial"/>
              </w:rPr>
            </w:pPr>
          </w:p>
        </w:tc>
        <w:tc>
          <w:tcPr>
            <w:tcW w:w="3784" w:type="pct"/>
            <w:gridSpan w:val="3"/>
          </w:tcPr>
          <w:p w:rsidR="009B0975" w:rsidRPr="00A74192" w:rsidRDefault="009B0975" w:rsidP="00D94859">
            <w:pPr>
              <w:pStyle w:val="Textpoznpodarou"/>
              <w:jc w:val="both"/>
            </w:pPr>
            <w:r w:rsidRPr="00A74192">
              <w:t xml:space="preserve">Reálný hrubý domácí důchod (RHDD), který na rozdíl od HDP zohledňuje dodatečné zisky, nebo ztráty z vývoje cen v zahraničním obchodě, resp. zisky, nebo ztráty ze směnných relací, vzrostl v 3. čtvrtletí 2016 meziročně o 2,0 % (bez </w:t>
            </w:r>
            <w:r w:rsidRPr="00A74192">
              <w:lastRenderedPageBreak/>
              <w:t>očištění o sezónní a kalendářní vlivy). Růst HDP tak zaostáv</w:t>
            </w:r>
            <w:r w:rsidR="00635818">
              <w:t>al</w:t>
            </w:r>
            <w:r w:rsidRPr="00A74192">
              <w:t xml:space="preserve"> za RHDD o</w:t>
            </w:r>
            <w:r w:rsidR="00A76EF2">
              <w:t> </w:t>
            </w:r>
            <w:r w:rsidRPr="00A74192">
              <w:t>0,1</w:t>
            </w:r>
            <w:r w:rsidR="00A76EF2">
              <w:t> </w:t>
            </w:r>
            <w:r w:rsidRPr="00A74192">
              <w:t xml:space="preserve">p.b. V předchozích dvou čtvrtletích činil rozdíl mezi oběma ukazateli 0,9 p.b. a 1,8 p.b. </w:t>
            </w:r>
            <w:r w:rsidR="008B634C">
              <w:t>Z</w:t>
            </w:r>
            <w:r w:rsidRPr="00A74192">
              <w:t xml:space="preserve">isk ze směnných relací </w:t>
            </w:r>
            <w:r w:rsidR="008B634C">
              <w:t xml:space="preserve">totiž zeslábl </w:t>
            </w:r>
            <w:r w:rsidRPr="00A74192">
              <w:t>z</w:t>
            </w:r>
            <w:r w:rsidR="008B634C">
              <w:t>e</w:t>
            </w:r>
            <w:r w:rsidRPr="00A74192">
              <w:t xml:space="preserve"> 14,1 mld. korun v 1. čtvrtletí na 11,3 mld. ve 2. </w:t>
            </w:r>
            <w:r w:rsidR="00A76EF2">
              <w:t xml:space="preserve">čtvrtletí </w:t>
            </w:r>
            <w:r w:rsidRPr="00A74192">
              <w:t>a 8,7 mld. ve 3. čtvrtletí 2016.</w:t>
            </w:r>
          </w:p>
          <w:p w:rsidR="009B0975" w:rsidRPr="008A73DA" w:rsidRDefault="009B0975" w:rsidP="00D94859">
            <w:pPr>
              <w:pStyle w:val="Textpoznpodarou"/>
              <w:jc w:val="both"/>
              <w:rPr>
                <w:rFonts w:cs="Arial"/>
                <w:sz w:val="16"/>
                <w:szCs w:val="16"/>
                <w:highlight w:val="yellow"/>
              </w:rPr>
            </w:pPr>
          </w:p>
        </w:tc>
      </w:tr>
      <w:tr w:rsidR="009F3F25" w:rsidRPr="00A74192" w:rsidTr="00AD4FEF">
        <w:tc>
          <w:tcPr>
            <w:tcW w:w="1074" w:type="pct"/>
            <w:gridSpan w:val="2"/>
          </w:tcPr>
          <w:p w:rsidR="009B0975" w:rsidRPr="00A74192" w:rsidRDefault="009B0975" w:rsidP="00D94859">
            <w:pPr>
              <w:spacing w:line="240" w:lineRule="auto"/>
              <w:rPr>
                <w:rFonts w:cs="Arial"/>
                <w:sz w:val="16"/>
                <w:szCs w:val="16"/>
              </w:rPr>
            </w:pPr>
            <w:r w:rsidRPr="00A74192">
              <w:rPr>
                <w:rFonts w:cs="Arial"/>
                <w:sz w:val="16"/>
                <w:szCs w:val="16"/>
              </w:rPr>
              <w:lastRenderedPageBreak/>
              <w:t>Na růstu hrubé přidané hodnoty se nejvýznamněji podílel zpracovatelský průmysl, …</w:t>
            </w:r>
          </w:p>
        </w:tc>
        <w:tc>
          <w:tcPr>
            <w:tcW w:w="142" w:type="pct"/>
          </w:tcPr>
          <w:p w:rsidR="009B0975" w:rsidRPr="00A74192" w:rsidRDefault="009B0975" w:rsidP="00D94859">
            <w:pPr>
              <w:pStyle w:val="Textpoznpodarou"/>
              <w:jc w:val="both"/>
              <w:rPr>
                <w:rFonts w:cs="Arial"/>
              </w:rPr>
            </w:pPr>
          </w:p>
        </w:tc>
        <w:tc>
          <w:tcPr>
            <w:tcW w:w="3784" w:type="pct"/>
            <w:gridSpan w:val="3"/>
          </w:tcPr>
          <w:p w:rsidR="009B0975" w:rsidRPr="00A74192" w:rsidRDefault="009B0975" w:rsidP="00D94859">
            <w:pPr>
              <w:pStyle w:val="Textpoznpodarou"/>
              <w:jc w:val="both"/>
              <w:rPr>
                <w:rFonts w:cs="Arial"/>
              </w:rPr>
            </w:pPr>
            <w:r w:rsidRPr="00A74192">
              <w:rPr>
                <w:rFonts w:cs="Arial"/>
              </w:rPr>
              <w:t xml:space="preserve">Pokud jde o nabídkovou stranu ekonomiky, na růstu HDP se nejvýrazněji podílel zpracovatelský průmysl. Jeho hrubá přidaná hodnota ve 3. čtvrtletí vzrostla o 3,9 % a k celkovému růstu přispěl 1,1 p.b. </w:t>
            </w:r>
            <w:r w:rsidR="008B634C">
              <w:rPr>
                <w:rFonts w:cs="Arial"/>
              </w:rPr>
              <w:t>M</w:t>
            </w:r>
            <w:r w:rsidRPr="00A74192">
              <w:rPr>
                <w:rFonts w:cs="Arial"/>
              </w:rPr>
              <w:t>eziroční dynamika tohoto odvětví</w:t>
            </w:r>
            <w:r w:rsidR="008B634C">
              <w:rPr>
                <w:rFonts w:cs="Arial"/>
              </w:rPr>
              <w:t xml:space="preserve"> však</w:t>
            </w:r>
            <w:r w:rsidRPr="00A74192">
              <w:rPr>
                <w:rFonts w:cs="Arial"/>
              </w:rPr>
              <w:t xml:space="preserve"> zpomaluje (+4,9 %, +4,6 % a +3,9 %). K úspěšným odvětvím ve 3. čtvrtletí patřilo peněžnictví a pojišťovnictví (+2,4 %, příspěvek +0,1 p.b.) a činnosti v oblasti nemovitostí (+3,2 %, příspěvek +0,3 p.b.). Slábnoucí dynamika v obchodě, dopravě, ubytování a pohostinství měla za následek nejnižší příspěvek k růstu od konce roku 2013 (+0,2 p.b.). </w:t>
            </w:r>
          </w:p>
          <w:p w:rsidR="009B0975" w:rsidRPr="008A73DA" w:rsidRDefault="009B0975" w:rsidP="00D94859">
            <w:pPr>
              <w:pStyle w:val="Textpoznpodarou"/>
              <w:jc w:val="both"/>
              <w:rPr>
                <w:rFonts w:cs="Arial"/>
                <w:sz w:val="16"/>
                <w:szCs w:val="16"/>
                <w:highlight w:val="yellow"/>
              </w:rPr>
            </w:pPr>
          </w:p>
        </w:tc>
      </w:tr>
      <w:tr w:rsidR="009F3F25" w:rsidRPr="00A74192" w:rsidTr="00AD4FEF">
        <w:tc>
          <w:tcPr>
            <w:tcW w:w="1074" w:type="pct"/>
            <w:gridSpan w:val="2"/>
          </w:tcPr>
          <w:p w:rsidR="009B0975" w:rsidRPr="00A74192" w:rsidRDefault="009B0975" w:rsidP="00D94859">
            <w:pPr>
              <w:spacing w:line="240" w:lineRule="auto"/>
              <w:rPr>
                <w:rFonts w:cs="Arial"/>
                <w:sz w:val="16"/>
                <w:szCs w:val="16"/>
              </w:rPr>
            </w:pPr>
            <w:r w:rsidRPr="00A74192">
              <w:rPr>
                <w:rFonts w:cs="Arial"/>
                <w:sz w:val="16"/>
                <w:szCs w:val="16"/>
              </w:rPr>
              <w:t>… který kvůli zpomalení nebo propadu ostatních odvětví přispěl k růstu ze dvou třetin.</w:t>
            </w:r>
          </w:p>
        </w:tc>
        <w:tc>
          <w:tcPr>
            <w:tcW w:w="142" w:type="pct"/>
          </w:tcPr>
          <w:p w:rsidR="009B0975" w:rsidRPr="00A74192" w:rsidRDefault="009B0975" w:rsidP="00D94859">
            <w:pPr>
              <w:pStyle w:val="Textpoznpodarou"/>
              <w:jc w:val="both"/>
              <w:rPr>
                <w:rFonts w:cs="Arial"/>
              </w:rPr>
            </w:pPr>
          </w:p>
        </w:tc>
        <w:tc>
          <w:tcPr>
            <w:tcW w:w="3784" w:type="pct"/>
            <w:gridSpan w:val="3"/>
          </w:tcPr>
          <w:p w:rsidR="009B0975" w:rsidRPr="00A74192" w:rsidRDefault="009B0975" w:rsidP="00D94859">
            <w:pPr>
              <w:pStyle w:val="Textpoznpodarou"/>
              <w:jc w:val="both"/>
              <w:rPr>
                <w:rFonts w:cs="Arial"/>
              </w:rPr>
            </w:pPr>
            <w:r w:rsidRPr="00A74192">
              <w:rPr>
                <w:rFonts w:cs="Arial"/>
              </w:rPr>
              <w:t xml:space="preserve">Výrazný propad ve stavebnictví ve 2. čtvrtletí roku 2016 se </w:t>
            </w:r>
            <w:r w:rsidR="00A76EF2">
              <w:rPr>
                <w:rFonts w:cs="Arial"/>
              </w:rPr>
              <w:t>ve 3. čtvrtletí stabilizoval</w:t>
            </w:r>
            <w:r w:rsidRPr="00A74192">
              <w:rPr>
                <w:rFonts w:cs="Arial"/>
              </w:rPr>
              <w:t>, přesto ve 3. čtvrtletí došlo k meziročnímu poklesu o 5,9 % a</w:t>
            </w:r>
            <w:r w:rsidR="00A76EF2">
              <w:rPr>
                <w:rFonts w:cs="Arial"/>
              </w:rPr>
              <w:t> </w:t>
            </w:r>
            <w:r w:rsidRPr="00A74192">
              <w:rPr>
                <w:rFonts w:cs="Arial"/>
              </w:rPr>
              <w:t>příspěvek k růstu byl negativní (−0,3 p.b.). Zpomalení, nebo propad v ostatních odvětvích zvýraznil klíčovou roli zpracovatelského průmyslu pro českou ekonomiku</w:t>
            </w:r>
            <w:r w:rsidR="00A76EF2">
              <w:rPr>
                <w:rFonts w:cs="Arial"/>
              </w:rPr>
              <w:t xml:space="preserve"> ve 3. čtvrtletí</w:t>
            </w:r>
            <w:r w:rsidRPr="00A74192">
              <w:rPr>
                <w:rFonts w:cs="Arial"/>
              </w:rPr>
              <w:t xml:space="preserve">. Jeho příspěvek tvořil dvě třetiny z celkového růstu. </w:t>
            </w:r>
          </w:p>
          <w:p w:rsidR="009B0975" w:rsidRPr="00A74192" w:rsidRDefault="009B0975" w:rsidP="00D94859">
            <w:pPr>
              <w:pStyle w:val="Textpoznpodarou"/>
              <w:jc w:val="both"/>
              <w:rPr>
                <w:rFonts w:cs="Arial"/>
                <w:highlight w:val="yellow"/>
              </w:rPr>
            </w:pPr>
          </w:p>
        </w:tc>
      </w:tr>
      <w:tr w:rsidR="00393D74" w:rsidRPr="00A74192" w:rsidTr="00AD4FEF">
        <w:tc>
          <w:tcPr>
            <w:tcW w:w="501" w:type="pct"/>
          </w:tcPr>
          <w:p w:rsidR="007430AB" w:rsidRDefault="00393D74" w:rsidP="00BE2C15">
            <w:pPr>
              <w:pStyle w:val="Textpoznpodarou"/>
              <w:rPr>
                <w:rFonts w:cs="Arial"/>
                <w:lang w:eastAsia="en-US"/>
              </w:rPr>
            </w:pPr>
            <w:r w:rsidRPr="00A74192">
              <w:rPr>
                <w:rFonts w:cs="Arial"/>
                <w:lang w:eastAsia="en-US"/>
              </w:rPr>
              <w:t xml:space="preserve">Graf č. </w:t>
            </w:r>
          </w:p>
          <w:p w:rsidR="00393D74" w:rsidRPr="00A74192" w:rsidRDefault="00393D74" w:rsidP="00BE2C15">
            <w:pPr>
              <w:pStyle w:val="Textpoznpodarou"/>
              <w:rPr>
                <w:rFonts w:cs="Arial"/>
                <w:lang w:eastAsia="en-US"/>
              </w:rPr>
            </w:pPr>
            <w:r w:rsidRPr="00A74192">
              <w:rPr>
                <w:rFonts w:cs="Arial"/>
                <w:lang w:eastAsia="en-US"/>
              </w:rPr>
              <w:t>1</w:t>
            </w:r>
          </w:p>
        </w:tc>
        <w:tc>
          <w:tcPr>
            <w:tcW w:w="1998" w:type="pct"/>
            <w:gridSpan w:val="3"/>
          </w:tcPr>
          <w:p w:rsidR="00393D74" w:rsidRPr="00A74192" w:rsidRDefault="00393D74" w:rsidP="00AD4FEF">
            <w:pPr>
              <w:pStyle w:val="Textpoznpodarou"/>
              <w:jc w:val="both"/>
              <w:rPr>
                <w:rFonts w:cs="Arial"/>
                <w:lang w:eastAsia="en-US"/>
              </w:rPr>
            </w:pPr>
            <w:r w:rsidRPr="00A74192">
              <w:rPr>
                <w:rFonts w:cs="Arial"/>
                <w:b/>
                <w:lang w:eastAsia="en-US"/>
              </w:rPr>
              <w:t>HDP</w:t>
            </w:r>
            <w:r w:rsidR="00AD4FEF">
              <w:rPr>
                <w:rFonts w:cs="Arial"/>
                <w:b/>
                <w:lang w:eastAsia="en-US"/>
              </w:rPr>
              <w:t> </w:t>
            </w:r>
            <w:r w:rsidRPr="00A74192">
              <w:rPr>
                <w:rFonts w:cs="Arial"/>
                <w:lang w:eastAsia="en-US"/>
              </w:rPr>
              <w:t>(stálé</w:t>
            </w:r>
            <w:r w:rsidR="00AD4FEF">
              <w:rPr>
                <w:rFonts w:cs="Arial"/>
                <w:lang w:eastAsia="en-US"/>
              </w:rPr>
              <w:t> </w:t>
            </w:r>
            <w:r w:rsidRPr="00A74192">
              <w:rPr>
                <w:rFonts w:cs="Arial"/>
                <w:lang w:eastAsia="en-US"/>
              </w:rPr>
              <w:t>ceny,</w:t>
            </w:r>
            <w:r w:rsidR="00AD4FEF">
              <w:rPr>
                <w:rFonts w:cs="Arial"/>
                <w:lang w:eastAsia="en-US"/>
              </w:rPr>
              <w:t> </w:t>
            </w:r>
            <w:r w:rsidRPr="00A74192">
              <w:rPr>
                <w:rFonts w:cs="Arial"/>
                <w:lang w:eastAsia="en-US"/>
              </w:rPr>
              <w:t>očištěno</w:t>
            </w:r>
            <w:r w:rsidR="00AD4FEF">
              <w:rPr>
                <w:rFonts w:cs="Arial"/>
                <w:lang w:eastAsia="en-US"/>
              </w:rPr>
              <w:t> </w:t>
            </w:r>
            <w:r w:rsidRPr="00A74192">
              <w:rPr>
                <w:rFonts w:cs="Arial"/>
                <w:lang w:eastAsia="en-US"/>
              </w:rPr>
              <w:t>o</w:t>
            </w:r>
            <w:r w:rsidR="00AD4FEF">
              <w:rPr>
                <w:rFonts w:cs="Arial"/>
                <w:lang w:eastAsia="en-US"/>
              </w:rPr>
              <w:t> </w:t>
            </w:r>
            <w:r w:rsidRPr="00A74192">
              <w:rPr>
                <w:rFonts w:cs="Arial"/>
                <w:lang w:eastAsia="en-US"/>
              </w:rPr>
              <w:t>sezónní a kalendářní vlivy, v %)</w:t>
            </w:r>
          </w:p>
        </w:tc>
        <w:tc>
          <w:tcPr>
            <w:tcW w:w="450" w:type="pct"/>
          </w:tcPr>
          <w:p w:rsidR="007430AB" w:rsidRDefault="00393D74" w:rsidP="00AD4FEF">
            <w:pPr>
              <w:pStyle w:val="Textpoznpodarou"/>
              <w:ind w:left="-71" w:right="-250"/>
              <w:rPr>
                <w:rFonts w:cs="Arial"/>
                <w:lang w:eastAsia="en-US"/>
              </w:rPr>
            </w:pPr>
            <w:r w:rsidRPr="00A74192">
              <w:rPr>
                <w:rFonts w:cs="Arial"/>
                <w:lang w:eastAsia="en-US"/>
              </w:rPr>
              <w:t xml:space="preserve">Graf č. </w:t>
            </w:r>
          </w:p>
          <w:p w:rsidR="00393D74" w:rsidRPr="00A74192" w:rsidRDefault="00393D74" w:rsidP="00AD4FEF">
            <w:pPr>
              <w:pStyle w:val="Textpoznpodarou"/>
              <w:ind w:left="-71" w:right="-250"/>
              <w:rPr>
                <w:rFonts w:cs="Arial"/>
                <w:lang w:eastAsia="en-US"/>
              </w:rPr>
            </w:pPr>
            <w:r w:rsidRPr="00A74192">
              <w:rPr>
                <w:rFonts w:cs="Arial"/>
                <w:lang w:eastAsia="en-US"/>
              </w:rPr>
              <w:t>2</w:t>
            </w:r>
          </w:p>
        </w:tc>
        <w:tc>
          <w:tcPr>
            <w:tcW w:w="2051" w:type="pct"/>
          </w:tcPr>
          <w:p w:rsidR="00393D74" w:rsidRPr="00A74192" w:rsidRDefault="00393D74" w:rsidP="001752CB">
            <w:pPr>
              <w:pStyle w:val="Textpoznpodarou"/>
              <w:ind w:right="34"/>
              <w:jc w:val="both"/>
              <w:rPr>
                <w:rFonts w:cs="Arial"/>
                <w:lang w:eastAsia="en-US"/>
              </w:rPr>
            </w:pPr>
            <w:r w:rsidRPr="00A74192">
              <w:rPr>
                <w:rFonts w:cs="Arial"/>
                <w:b/>
                <w:lang w:eastAsia="en-US"/>
              </w:rPr>
              <w:t xml:space="preserve">HDP </w:t>
            </w:r>
            <w:r w:rsidRPr="00A74192">
              <w:rPr>
                <w:rFonts w:cs="Arial"/>
                <w:lang w:eastAsia="en-US"/>
              </w:rPr>
              <w:t xml:space="preserve">(stálé ceny, očištěno o sezónní a kalendářní vlivy, y/y v %, pravá osa) </w:t>
            </w:r>
            <w:r w:rsidRPr="00A74192">
              <w:rPr>
                <w:rFonts w:cs="Arial"/>
                <w:b/>
                <w:lang w:eastAsia="en-US"/>
              </w:rPr>
              <w:t>a indikátory důvěry</w:t>
            </w:r>
            <w:r w:rsidRPr="00A74192">
              <w:rPr>
                <w:rFonts w:cs="Arial"/>
                <w:lang w:eastAsia="en-US"/>
              </w:rPr>
              <w:t xml:space="preserve"> (2005=100, levá osa)</w:t>
            </w:r>
          </w:p>
        </w:tc>
      </w:tr>
      <w:tr w:rsidR="00393D74" w:rsidRPr="00A74192" w:rsidTr="00AD4FEF">
        <w:tc>
          <w:tcPr>
            <w:tcW w:w="2499" w:type="pct"/>
            <w:gridSpan w:val="4"/>
          </w:tcPr>
          <w:p w:rsidR="00393D74" w:rsidRPr="00A74192" w:rsidRDefault="00505989" w:rsidP="00BE2C15">
            <w:pPr>
              <w:pStyle w:val="Textpoznpodarou"/>
              <w:ind w:left="-108"/>
              <w:jc w:val="both"/>
              <w:rPr>
                <w:rFonts w:cs="Arial"/>
                <w:color w:val="FF0000"/>
                <w:lang w:eastAsia="en-US"/>
              </w:rPr>
            </w:pPr>
            <w:r>
              <w:rPr>
                <w:rFonts w:cs="Arial"/>
                <w:noProof/>
                <w:color w:val="FF0000"/>
              </w:rPr>
              <w:drawing>
                <wp:inline distT="0" distB="0" distL="0" distR="0">
                  <wp:extent cx="3078000" cy="2294626"/>
                  <wp:effectExtent l="19050" t="0" r="8100" b="0"/>
                  <wp:docPr id="42" name="obrázek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rrowheads="1"/>
                          </pic:cNvPicPr>
                        </pic:nvPicPr>
                        <pic:blipFill>
                          <a:blip r:embed="rId13"/>
                          <a:srcRect/>
                          <a:stretch>
                            <a:fillRect/>
                          </a:stretch>
                        </pic:blipFill>
                        <pic:spPr bwMode="auto">
                          <a:xfrm>
                            <a:off x="0" y="0"/>
                            <a:ext cx="3078000" cy="2294626"/>
                          </a:xfrm>
                          <a:prstGeom prst="rect">
                            <a:avLst/>
                          </a:prstGeom>
                          <a:noFill/>
                          <a:ln w="9525">
                            <a:noFill/>
                            <a:miter lim="800000"/>
                            <a:headEnd/>
                            <a:tailEnd/>
                          </a:ln>
                        </pic:spPr>
                      </pic:pic>
                    </a:graphicData>
                  </a:graphic>
                </wp:inline>
              </w:drawing>
            </w:r>
          </w:p>
        </w:tc>
        <w:tc>
          <w:tcPr>
            <w:tcW w:w="2501" w:type="pct"/>
            <w:gridSpan w:val="2"/>
          </w:tcPr>
          <w:p w:rsidR="00393D74" w:rsidRDefault="00505989" w:rsidP="00BE2C15">
            <w:pPr>
              <w:pStyle w:val="Textpoznpodarou"/>
              <w:ind w:left="-109"/>
              <w:jc w:val="both"/>
              <w:rPr>
                <w:rFonts w:cs="Arial"/>
                <w:color w:val="FF0000"/>
                <w:sz w:val="6"/>
                <w:szCs w:val="6"/>
                <w:lang w:eastAsia="en-US"/>
              </w:rPr>
            </w:pPr>
            <w:r>
              <w:rPr>
                <w:rFonts w:cs="Arial"/>
                <w:noProof/>
                <w:color w:val="FF0000"/>
              </w:rPr>
              <w:drawing>
                <wp:inline distT="0" distB="0" distL="0" distR="0">
                  <wp:extent cx="3078000" cy="2294626"/>
                  <wp:effectExtent l="19050" t="0" r="8100" b="0"/>
                  <wp:docPr id="41" name="obrázek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rrowheads="1"/>
                          </pic:cNvPicPr>
                        </pic:nvPicPr>
                        <pic:blipFill>
                          <a:blip r:embed="rId14"/>
                          <a:srcRect/>
                          <a:stretch>
                            <a:fillRect/>
                          </a:stretch>
                        </pic:blipFill>
                        <pic:spPr bwMode="auto">
                          <a:xfrm>
                            <a:off x="0" y="0"/>
                            <a:ext cx="3078000" cy="2294626"/>
                          </a:xfrm>
                          <a:prstGeom prst="rect">
                            <a:avLst/>
                          </a:prstGeom>
                          <a:noFill/>
                          <a:ln w="9525">
                            <a:noFill/>
                            <a:miter lim="800000"/>
                            <a:headEnd/>
                            <a:tailEnd/>
                          </a:ln>
                        </pic:spPr>
                      </pic:pic>
                    </a:graphicData>
                  </a:graphic>
                </wp:inline>
              </w:drawing>
            </w:r>
          </w:p>
          <w:p w:rsidR="00393D74" w:rsidRPr="0085188D" w:rsidRDefault="00393D74" w:rsidP="00BE2C15">
            <w:pPr>
              <w:pStyle w:val="Textpoznpodarou"/>
              <w:jc w:val="both"/>
              <w:rPr>
                <w:rFonts w:cs="Arial"/>
                <w:color w:val="FF0000"/>
                <w:sz w:val="6"/>
                <w:szCs w:val="6"/>
                <w:lang w:eastAsia="en-US"/>
              </w:rPr>
            </w:pPr>
          </w:p>
        </w:tc>
      </w:tr>
      <w:tr w:rsidR="00393D74" w:rsidRPr="00A74192" w:rsidTr="00AD4FEF">
        <w:tc>
          <w:tcPr>
            <w:tcW w:w="501" w:type="pct"/>
          </w:tcPr>
          <w:p w:rsidR="007430AB" w:rsidRDefault="00393D74" w:rsidP="00BE2C15">
            <w:pPr>
              <w:pStyle w:val="Textpoznpodarou"/>
              <w:rPr>
                <w:rFonts w:cs="Arial"/>
                <w:lang w:eastAsia="en-US"/>
              </w:rPr>
            </w:pPr>
            <w:r w:rsidRPr="00A74192">
              <w:rPr>
                <w:rFonts w:cs="Arial"/>
                <w:lang w:eastAsia="en-US"/>
              </w:rPr>
              <w:t xml:space="preserve">Graf č. </w:t>
            </w:r>
          </w:p>
          <w:p w:rsidR="00393D74" w:rsidRPr="00A74192" w:rsidRDefault="00393D74" w:rsidP="00BE2C15">
            <w:pPr>
              <w:pStyle w:val="Textpoznpodarou"/>
              <w:rPr>
                <w:rFonts w:cs="Arial"/>
                <w:lang w:eastAsia="en-US"/>
              </w:rPr>
            </w:pPr>
            <w:r w:rsidRPr="00A74192">
              <w:rPr>
                <w:rFonts w:cs="Arial"/>
                <w:lang w:eastAsia="en-US"/>
              </w:rPr>
              <w:t>3</w:t>
            </w:r>
          </w:p>
        </w:tc>
        <w:tc>
          <w:tcPr>
            <w:tcW w:w="1998" w:type="pct"/>
            <w:gridSpan w:val="3"/>
          </w:tcPr>
          <w:p w:rsidR="00393D74" w:rsidRPr="00A74192" w:rsidRDefault="00393D74" w:rsidP="00AD4FEF">
            <w:pPr>
              <w:pStyle w:val="Textpoznpodarou"/>
              <w:ind w:right="139"/>
              <w:rPr>
                <w:rFonts w:cs="Arial"/>
                <w:lang w:eastAsia="en-US"/>
              </w:rPr>
            </w:pPr>
            <w:r w:rsidRPr="00A74192">
              <w:rPr>
                <w:rFonts w:cs="Arial"/>
                <w:b/>
                <w:lang w:eastAsia="en-US"/>
              </w:rPr>
              <w:t>Příspěvky výdajových složek ke změně HDP*</w:t>
            </w:r>
            <w:r w:rsidRPr="00A74192">
              <w:rPr>
                <w:rFonts w:cs="Arial"/>
                <w:lang w:eastAsia="en-US"/>
              </w:rPr>
              <w:t xml:space="preserve"> (stálé ceny, y/y, příspěvky v p.b., HDP v %)</w:t>
            </w:r>
          </w:p>
        </w:tc>
        <w:tc>
          <w:tcPr>
            <w:tcW w:w="450" w:type="pct"/>
          </w:tcPr>
          <w:p w:rsidR="007430AB" w:rsidRDefault="00393D74" w:rsidP="001752CB">
            <w:pPr>
              <w:pStyle w:val="Textpoznpodarou"/>
              <w:ind w:left="-71" w:right="-108"/>
              <w:rPr>
                <w:rFonts w:cs="Arial"/>
                <w:lang w:eastAsia="en-US"/>
              </w:rPr>
            </w:pPr>
            <w:r w:rsidRPr="00A74192">
              <w:rPr>
                <w:rFonts w:cs="Arial"/>
                <w:lang w:eastAsia="en-US"/>
              </w:rPr>
              <w:t xml:space="preserve">Graf č. </w:t>
            </w:r>
          </w:p>
          <w:p w:rsidR="00393D74" w:rsidRPr="00A74192" w:rsidRDefault="00393D74" w:rsidP="001752CB">
            <w:pPr>
              <w:pStyle w:val="Textpoznpodarou"/>
              <w:ind w:left="-71" w:right="-108"/>
              <w:rPr>
                <w:rFonts w:cs="Arial"/>
                <w:lang w:eastAsia="en-US"/>
              </w:rPr>
            </w:pPr>
            <w:r w:rsidRPr="00A74192">
              <w:rPr>
                <w:rFonts w:cs="Arial"/>
                <w:lang w:eastAsia="en-US"/>
              </w:rPr>
              <w:t>4</w:t>
            </w:r>
          </w:p>
        </w:tc>
        <w:tc>
          <w:tcPr>
            <w:tcW w:w="2051" w:type="pct"/>
          </w:tcPr>
          <w:p w:rsidR="00393D74" w:rsidRPr="00A74192" w:rsidRDefault="00393D74" w:rsidP="001752CB">
            <w:pPr>
              <w:pStyle w:val="Textpoznpodarou"/>
              <w:rPr>
                <w:rFonts w:cs="Arial"/>
                <w:lang w:eastAsia="en-US"/>
              </w:rPr>
            </w:pPr>
            <w:r w:rsidRPr="00A74192">
              <w:rPr>
                <w:rFonts w:cs="Arial"/>
                <w:b/>
                <w:lang w:eastAsia="en-US"/>
              </w:rPr>
              <w:t>Příspěvky odvětví ke změně HPH</w:t>
            </w:r>
            <w:r w:rsidRPr="00A74192">
              <w:rPr>
                <w:rFonts w:cs="Arial"/>
                <w:lang w:eastAsia="en-US"/>
              </w:rPr>
              <w:t xml:space="preserve"> (stálé ceny, y/y, příspěvky v p.b., HPH v %)</w:t>
            </w:r>
          </w:p>
        </w:tc>
      </w:tr>
      <w:tr w:rsidR="00393D74" w:rsidRPr="00A74192" w:rsidTr="00AD4FEF">
        <w:tc>
          <w:tcPr>
            <w:tcW w:w="2499" w:type="pct"/>
            <w:gridSpan w:val="4"/>
          </w:tcPr>
          <w:p w:rsidR="00393D74" w:rsidRPr="00A74192" w:rsidRDefault="00A92916" w:rsidP="00BE2C15">
            <w:pPr>
              <w:pStyle w:val="Textpoznpodarou"/>
              <w:ind w:left="-108"/>
              <w:jc w:val="both"/>
              <w:rPr>
                <w:rFonts w:cs="Arial"/>
                <w:color w:val="FF0000"/>
                <w:sz w:val="22"/>
                <w:lang w:eastAsia="en-US"/>
              </w:rPr>
            </w:pPr>
            <w:r>
              <w:rPr>
                <w:rFonts w:cs="Arial"/>
                <w:noProof/>
                <w:color w:val="FF0000"/>
                <w:sz w:val="22"/>
              </w:rPr>
              <w:drawing>
                <wp:inline distT="0" distB="0" distL="0" distR="0">
                  <wp:extent cx="3078000" cy="2294626"/>
                  <wp:effectExtent l="19050" t="0" r="8100" b="0"/>
                  <wp:docPr id="68" name="obrázek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5"/>
                          <a:srcRect/>
                          <a:stretch>
                            <a:fillRect/>
                          </a:stretch>
                        </pic:blipFill>
                        <pic:spPr bwMode="auto">
                          <a:xfrm>
                            <a:off x="0" y="0"/>
                            <a:ext cx="3078000" cy="2294626"/>
                          </a:xfrm>
                          <a:prstGeom prst="rect">
                            <a:avLst/>
                          </a:prstGeom>
                          <a:noFill/>
                          <a:ln w="9525">
                            <a:noFill/>
                            <a:miter lim="800000"/>
                            <a:headEnd/>
                            <a:tailEnd/>
                          </a:ln>
                        </pic:spPr>
                      </pic:pic>
                    </a:graphicData>
                  </a:graphic>
                </wp:inline>
              </w:drawing>
            </w:r>
          </w:p>
        </w:tc>
        <w:tc>
          <w:tcPr>
            <w:tcW w:w="2501" w:type="pct"/>
            <w:gridSpan w:val="2"/>
          </w:tcPr>
          <w:p w:rsidR="00393D74" w:rsidRPr="00A74192" w:rsidRDefault="00505989" w:rsidP="00BE2C15">
            <w:pPr>
              <w:pStyle w:val="Textpoznpodarou"/>
              <w:ind w:left="-109"/>
              <w:jc w:val="both"/>
              <w:rPr>
                <w:rFonts w:cs="Arial"/>
                <w:color w:val="FF0000"/>
                <w:sz w:val="22"/>
                <w:lang w:eastAsia="en-US"/>
              </w:rPr>
            </w:pPr>
            <w:r>
              <w:rPr>
                <w:rFonts w:cs="Arial"/>
                <w:noProof/>
                <w:color w:val="FF0000"/>
                <w:sz w:val="22"/>
              </w:rPr>
              <w:drawing>
                <wp:inline distT="0" distB="0" distL="0" distR="0">
                  <wp:extent cx="3078000" cy="2294626"/>
                  <wp:effectExtent l="19050" t="0" r="8100" b="0"/>
                  <wp:docPr id="64" name="obrázek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rrowheads="1"/>
                          </pic:cNvPicPr>
                        </pic:nvPicPr>
                        <pic:blipFill>
                          <a:blip r:embed="rId16"/>
                          <a:srcRect/>
                          <a:stretch>
                            <a:fillRect/>
                          </a:stretch>
                        </pic:blipFill>
                        <pic:spPr bwMode="auto">
                          <a:xfrm>
                            <a:off x="0" y="0"/>
                            <a:ext cx="3078000" cy="2294626"/>
                          </a:xfrm>
                          <a:prstGeom prst="rect">
                            <a:avLst/>
                          </a:prstGeom>
                          <a:noFill/>
                          <a:ln w="9525">
                            <a:noFill/>
                            <a:miter lim="800000"/>
                            <a:headEnd/>
                            <a:tailEnd/>
                          </a:ln>
                        </pic:spPr>
                      </pic:pic>
                    </a:graphicData>
                  </a:graphic>
                </wp:inline>
              </w:drawing>
            </w:r>
          </w:p>
        </w:tc>
      </w:tr>
      <w:tr w:rsidR="00393D74" w:rsidRPr="00A74192" w:rsidTr="00AD4FEF">
        <w:tc>
          <w:tcPr>
            <w:tcW w:w="2499" w:type="pct"/>
            <w:gridSpan w:val="4"/>
          </w:tcPr>
          <w:p w:rsidR="00393D74" w:rsidRPr="00F31D53" w:rsidRDefault="00F31D53" w:rsidP="00BE2C15">
            <w:pPr>
              <w:pStyle w:val="Textpoznpodarou"/>
              <w:ind w:left="-108"/>
              <w:jc w:val="both"/>
              <w:rPr>
                <w:rFonts w:cs="Arial"/>
                <w:sz w:val="18"/>
                <w:szCs w:val="18"/>
                <w:lang w:eastAsia="en-US"/>
              </w:rPr>
            </w:pPr>
            <w:r w:rsidRPr="00F31D53">
              <w:rPr>
                <w:rFonts w:cs="Arial"/>
                <w:sz w:val="18"/>
                <w:szCs w:val="18"/>
                <w:lang w:eastAsia="en-US"/>
              </w:rPr>
              <w:t>*</w:t>
            </w:r>
            <w:r w:rsidR="00393D74" w:rsidRPr="00F31D53">
              <w:rPr>
                <w:rFonts w:cs="Arial"/>
                <w:sz w:val="18"/>
                <w:szCs w:val="18"/>
                <w:lang w:eastAsia="en-US"/>
              </w:rPr>
              <w:t>po vyloučení dovozu pro konečné užití</w:t>
            </w:r>
          </w:p>
        </w:tc>
        <w:tc>
          <w:tcPr>
            <w:tcW w:w="2501" w:type="pct"/>
            <w:gridSpan w:val="2"/>
          </w:tcPr>
          <w:p w:rsidR="00393D74" w:rsidRPr="00F31D53" w:rsidRDefault="00393D74" w:rsidP="00393D74">
            <w:pPr>
              <w:pStyle w:val="Textpoznpodarou"/>
              <w:ind w:left="-109"/>
              <w:jc w:val="right"/>
              <w:rPr>
                <w:rFonts w:cs="Arial"/>
                <w:sz w:val="18"/>
                <w:szCs w:val="18"/>
                <w:lang w:eastAsia="en-US"/>
              </w:rPr>
            </w:pPr>
            <w:r w:rsidRPr="00F31D53">
              <w:rPr>
                <w:rFonts w:cs="Arial"/>
                <w:sz w:val="18"/>
                <w:szCs w:val="18"/>
                <w:lang w:eastAsia="en-US"/>
              </w:rPr>
              <w:t>Zdroj:ČSÚ</w:t>
            </w:r>
          </w:p>
        </w:tc>
      </w:tr>
    </w:tbl>
    <w:p w:rsidR="00ED3A94" w:rsidRPr="00A74192" w:rsidRDefault="00ED3A94" w:rsidP="00D94859">
      <w:pPr>
        <w:pStyle w:val="Textpoznpodarou"/>
        <w:jc w:val="both"/>
        <w:rPr>
          <w:sz w:val="2"/>
          <w:szCs w:val="2"/>
        </w:rPr>
      </w:pPr>
    </w:p>
    <w:p w:rsidR="005E4483" w:rsidRDefault="005E4483" w:rsidP="005D073B">
      <w:pPr>
        <w:pStyle w:val="Nadpis1"/>
        <w:numPr>
          <w:ilvl w:val="0"/>
          <w:numId w:val="12"/>
        </w:numPr>
        <w:ind w:left="709" w:hanging="357"/>
        <w:jc w:val="both"/>
      </w:pPr>
      <w:bookmarkStart w:id="8" w:name="_Toc454185150"/>
      <w:bookmarkStart w:id="9" w:name="_Toc469327800"/>
      <w:r>
        <w:lastRenderedPageBreak/>
        <w:t>Výkonnost odvětví</w:t>
      </w:r>
      <w:bookmarkEnd w:id="8"/>
      <w:bookmarkEnd w:id="9"/>
    </w:p>
    <w:tbl>
      <w:tblPr>
        <w:tblW w:w="4995" w:type="pct"/>
        <w:tblInd w:w="108" w:type="dxa"/>
        <w:tblLayout w:type="fixed"/>
        <w:tblLook w:val="00A0"/>
      </w:tblPr>
      <w:tblGrid>
        <w:gridCol w:w="2000"/>
        <w:gridCol w:w="284"/>
        <w:gridCol w:w="7560"/>
      </w:tblGrid>
      <w:tr w:rsidR="00815F10" w:rsidRPr="00A74192" w:rsidTr="00815F10">
        <w:trPr>
          <w:trHeight w:val="145"/>
        </w:trPr>
        <w:tc>
          <w:tcPr>
            <w:tcW w:w="1016" w:type="pct"/>
          </w:tcPr>
          <w:p w:rsidR="00815F10" w:rsidRPr="005E4483" w:rsidRDefault="00815F10" w:rsidP="00815F10">
            <w:pPr>
              <w:spacing w:line="240" w:lineRule="auto"/>
              <w:rPr>
                <w:color w:val="0D0D0D" w:themeColor="text1" w:themeTint="F2"/>
                <w:spacing w:val="-4"/>
                <w:sz w:val="16"/>
                <w:szCs w:val="16"/>
              </w:rPr>
            </w:pPr>
            <w:r w:rsidRPr="005E4483">
              <w:rPr>
                <w:color w:val="0D0D0D" w:themeColor="text1" w:themeTint="F2"/>
                <w:spacing w:val="-4"/>
                <w:sz w:val="16"/>
                <w:szCs w:val="16"/>
              </w:rPr>
              <w:t>Meziroční růst HPH v celé ekonomice se v úhrnu od počátku roku proti loňskému tempu ztenčil bezmála na polovinu</w:t>
            </w:r>
            <w:r w:rsidR="005D073B">
              <w:rPr>
                <w:color w:val="0D0D0D" w:themeColor="text1" w:themeTint="F2"/>
                <w:spacing w:val="-4"/>
                <w:sz w:val="16"/>
                <w:szCs w:val="16"/>
              </w:rPr>
              <w:t>.</w:t>
            </w:r>
          </w:p>
          <w:p w:rsidR="00815F10" w:rsidRPr="005E4483" w:rsidRDefault="00815F10" w:rsidP="00815F10">
            <w:pPr>
              <w:spacing w:line="240" w:lineRule="auto"/>
              <w:rPr>
                <w:color w:val="0D0D0D" w:themeColor="text1" w:themeTint="F2"/>
                <w:spacing w:val="-4"/>
                <w:sz w:val="16"/>
                <w:szCs w:val="16"/>
              </w:rPr>
            </w:pPr>
          </w:p>
          <w:p w:rsidR="00815F10" w:rsidRPr="005E4483" w:rsidRDefault="00815F10" w:rsidP="00815F10">
            <w:pPr>
              <w:spacing w:line="240" w:lineRule="auto"/>
              <w:rPr>
                <w:color w:val="0D0D0D" w:themeColor="text1" w:themeTint="F2"/>
                <w:spacing w:val="-4"/>
                <w:sz w:val="16"/>
                <w:szCs w:val="16"/>
              </w:rPr>
            </w:pPr>
            <w:r>
              <w:rPr>
                <w:color w:val="0D0D0D" w:themeColor="text1" w:themeTint="F2"/>
                <w:spacing w:val="-4"/>
                <w:sz w:val="16"/>
                <w:szCs w:val="16"/>
              </w:rPr>
              <w:t xml:space="preserve">Mezičtvrtletní růst </w:t>
            </w:r>
            <w:r w:rsidRPr="005E4483">
              <w:rPr>
                <w:color w:val="0D0D0D" w:themeColor="text1" w:themeTint="F2"/>
                <w:spacing w:val="-4"/>
                <w:sz w:val="16"/>
                <w:szCs w:val="16"/>
              </w:rPr>
              <w:t xml:space="preserve">byl </w:t>
            </w:r>
            <w:r>
              <w:rPr>
                <w:color w:val="0D0D0D" w:themeColor="text1" w:themeTint="F2"/>
                <w:spacing w:val="-4"/>
                <w:sz w:val="16"/>
                <w:szCs w:val="16"/>
              </w:rPr>
              <w:t xml:space="preserve">ve 3. kvartálu </w:t>
            </w:r>
            <w:r w:rsidRPr="005E4483">
              <w:rPr>
                <w:color w:val="0D0D0D" w:themeColor="text1" w:themeTint="F2"/>
                <w:spacing w:val="-4"/>
                <w:sz w:val="16"/>
                <w:szCs w:val="16"/>
              </w:rPr>
              <w:t>nejslabší od poslední recese</w:t>
            </w:r>
            <w:r>
              <w:rPr>
                <w:color w:val="0D0D0D" w:themeColor="text1" w:themeTint="F2"/>
                <w:spacing w:val="-4"/>
                <w:sz w:val="16"/>
                <w:szCs w:val="16"/>
              </w:rPr>
              <w:t>, průmysl po jedenácti čtvrtích růstu dokonce o 0,4 % oslabil</w:t>
            </w:r>
            <w:r w:rsidR="005D073B">
              <w:rPr>
                <w:color w:val="0D0D0D" w:themeColor="text1" w:themeTint="F2"/>
                <w:spacing w:val="-4"/>
                <w:sz w:val="16"/>
                <w:szCs w:val="16"/>
              </w:rPr>
              <w:t>.</w:t>
            </w:r>
          </w:p>
        </w:tc>
        <w:tc>
          <w:tcPr>
            <w:tcW w:w="144" w:type="pct"/>
          </w:tcPr>
          <w:p w:rsidR="00815F10" w:rsidRPr="005E4483" w:rsidRDefault="00815F10" w:rsidP="00815F10">
            <w:pPr>
              <w:pStyle w:val="Textpoznpodarou"/>
              <w:jc w:val="both"/>
              <w:rPr>
                <w:spacing w:val="-4"/>
              </w:rPr>
            </w:pPr>
          </w:p>
        </w:tc>
        <w:tc>
          <w:tcPr>
            <w:tcW w:w="3840" w:type="pct"/>
          </w:tcPr>
          <w:p w:rsidR="00815F10" w:rsidRPr="005E4483" w:rsidRDefault="00815F10" w:rsidP="00815F10">
            <w:pPr>
              <w:pStyle w:val="Textpoznpodarou"/>
              <w:jc w:val="both"/>
              <w:rPr>
                <w:spacing w:val="-4"/>
              </w:rPr>
            </w:pPr>
            <w:r w:rsidRPr="005E4483">
              <w:rPr>
                <w:spacing w:val="-4"/>
              </w:rPr>
              <w:t>Výkon všech odvětví ekonomiky – optikou hrubé přidané hodnoty (HPH)</w:t>
            </w:r>
            <w:r w:rsidRPr="005E4483">
              <w:rPr>
                <w:rStyle w:val="Znakapoznpodarou"/>
                <w:spacing w:val="-4"/>
              </w:rPr>
              <w:footnoteReference w:id="7"/>
            </w:r>
            <w:r w:rsidRPr="005E4483">
              <w:rPr>
                <w:spacing w:val="-4"/>
              </w:rPr>
              <w:t xml:space="preserve"> – se za tři letošní kvartály meziročně navýšil o 2,3 %. V samotném 3. čtvrtletí činil 1,6 %</w:t>
            </w:r>
            <w:r w:rsidR="00AB0BB9">
              <w:rPr>
                <w:spacing w:val="-4"/>
              </w:rPr>
              <w:t>,</w:t>
            </w:r>
            <w:r w:rsidRPr="005E4483">
              <w:rPr>
                <w:spacing w:val="-4"/>
              </w:rPr>
              <w:t xml:space="preserve"> růst tak slábl již počtvrté v řadě, když efekt kombinace mimořádných stimulujících faktorů loňského roku postupně vyprchával. Na základě mezičtvrtletních temp bylo patrné výrazné ochlazení již na sklonku předešlého roku (+0,3 %), ve 3. čtvrtletí 2016 se růst zmírnil na 0,1 % (nejslabší tempo od konce recese, resp. počá</w:t>
            </w:r>
            <w:r>
              <w:rPr>
                <w:spacing w:val="-4"/>
              </w:rPr>
              <w:t>tku roku 2013). N</w:t>
            </w:r>
            <w:r w:rsidRPr="005E4483">
              <w:rPr>
                <w:spacing w:val="-4"/>
              </w:rPr>
              <w:t xml:space="preserve">a </w:t>
            </w:r>
            <w:r>
              <w:rPr>
                <w:spacing w:val="-4"/>
              </w:rPr>
              <w:t>zvolňování růstu HPH</w:t>
            </w:r>
            <w:r w:rsidRPr="005E4483">
              <w:rPr>
                <w:spacing w:val="-4"/>
              </w:rPr>
              <w:t xml:space="preserve"> mají významný vliv </w:t>
            </w:r>
            <w:r>
              <w:rPr>
                <w:spacing w:val="-4"/>
              </w:rPr>
              <w:t xml:space="preserve">i </w:t>
            </w:r>
            <w:r w:rsidRPr="005E4483">
              <w:rPr>
                <w:spacing w:val="-4"/>
              </w:rPr>
              <w:t>nepravidelnosti v čerpání prostředků z evropských fon</w:t>
            </w:r>
            <w:r>
              <w:rPr>
                <w:spacing w:val="-4"/>
              </w:rPr>
              <w:t>dů</w:t>
            </w:r>
            <w:r w:rsidRPr="005E4483">
              <w:rPr>
                <w:spacing w:val="-4"/>
              </w:rPr>
              <w:t xml:space="preserve">, </w:t>
            </w:r>
            <w:r>
              <w:rPr>
                <w:spacing w:val="-4"/>
              </w:rPr>
              <w:t>což nepřímo dokládá letošní slab</w:t>
            </w:r>
            <w:r w:rsidRPr="005E4483">
              <w:rPr>
                <w:spacing w:val="-4"/>
              </w:rPr>
              <w:t>ší mezič</w:t>
            </w:r>
            <w:r>
              <w:rPr>
                <w:spacing w:val="-4"/>
              </w:rPr>
              <w:t>tvrtletní růst HPH i</w:t>
            </w:r>
            <w:r w:rsidRPr="005E4483">
              <w:rPr>
                <w:spacing w:val="-4"/>
              </w:rPr>
              <w:t> v ostatních středoevropských ekonomikách (zatímco v Německu či v úhrnu za všechny staré členské s</w:t>
            </w:r>
            <w:r w:rsidR="00AB0BB9">
              <w:rPr>
                <w:spacing w:val="-4"/>
              </w:rPr>
              <w:t>táty</w:t>
            </w:r>
            <w:r w:rsidRPr="005E4483">
              <w:rPr>
                <w:spacing w:val="-4"/>
              </w:rPr>
              <w:t xml:space="preserve"> Unie zůstala loňská růstová tempa prakticky zachována).</w:t>
            </w:r>
          </w:p>
          <w:p w:rsidR="00815F10" w:rsidRPr="005D073B" w:rsidRDefault="00815F10" w:rsidP="00815F10">
            <w:pPr>
              <w:pStyle w:val="Textpoznpodarou"/>
              <w:jc w:val="both"/>
              <w:rPr>
                <w:spacing w:val="-4"/>
                <w:sz w:val="13"/>
                <w:szCs w:val="13"/>
              </w:rPr>
            </w:pPr>
          </w:p>
        </w:tc>
      </w:tr>
      <w:tr w:rsidR="00815F10" w:rsidRPr="00A74192" w:rsidTr="00815F10">
        <w:trPr>
          <w:trHeight w:val="145"/>
        </w:trPr>
        <w:tc>
          <w:tcPr>
            <w:tcW w:w="1016" w:type="pct"/>
            <w:shd w:val="clear" w:color="auto" w:fill="auto"/>
          </w:tcPr>
          <w:p w:rsidR="00815F10" w:rsidRPr="005E4483" w:rsidRDefault="00815F10" w:rsidP="00815F10">
            <w:pPr>
              <w:spacing w:line="240" w:lineRule="auto"/>
              <w:rPr>
                <w:spacing w:val="-4"/>
                <w:sz w:val="16"/>
                <w:szCs w:val="16"/>
              </w:rPr>
            </w:pPr>
            <w:r w:rsidRPr="005E4483">
              <w:rPr>
                <w:spacing w:val="-4"/>
                <w:sz w:val="16"/>
                <w:szCs w:val="16"/>
              </w:rPr>
              <w:t>Díky silné zahraniční poptávce udržel zpracovatelský průmysl dominantní pozici, bez něj by letos HPH v celé ekonomce rostla o 1,2 p.b. pomaleji</w:t>
            </w:r>
            <w:r w:rsidR="005D073B">
              <w:rPr>
                <w:spacing w:val="-4"/>
                <w:sz w:val="16"/>
                <w:szCs w:val="16"/>
              </w:rPr>
              <w:t>.</w:t>
            </w:r>
          </w:p>
        </w:tc>
        <w:tc>
          <w:tcPr>
            <w:tcW w:w="144" w:type="pct"/>
          </w:tcPr>
          <w:p w:rsidR="00815F10" w:rsidRPr="005E4483" w:rsidRDefault="00815F10" w:rsidP="00815F10">
            <w:pPr>
              <w:pStyle w:val="Textpoznpodarou"/>
              <w:jc w:val="both"/>
              <w:rPr>
                <w:spacing w:val="-4"/>
              </w:rPr>
            </w:pPr>
          </w:p>
        </w:tc>
        <w:tc>
          <w:tcPr>
            <w:tcW w:w="3840" w:type="pct"/>
          </w:tcPr>
          <w:p w:rsidR="00815F10" w:rsidRPr="005E4483" w:rsidRDefault="00AB0BB9" w:rsidP="00815F10">
            <w:pPr>
              <w:pStyle w:val="Textpoznpodarou"/>
              <w:jc w:val="both"/>
              <w:rPr>
                <w:spacing w:val="-4"/>
              </w:rPr>
            </w:pPr>
            <w:r>
              <w:rPr>
                <w:spacing w:val="-4"/>
              </w:rPr>
              <w:t xml:space="preserve">Meziroční dynamika HPH se v 1. až </w:t>
            </w:r>
            <w:r w:rsidR="00815F10" w:rsidRPr="005E4483">
              <w:rPr>
                <w:spacing w:val="-4"/>
              </w:rPr>
              <w:t>3. čtvrtletí ve všech deseti hla</w:t>
            </w:r>
            <w:r>
              <w:rPr>
                <w:spacing w:val="-4"/>
              </w:rPr>
              <w:t xml:space="preserve">vních odvětvových uskupeních </w:t>
            </w:r>
            <w:r w:rsidR="00815F10" w:rsidRPr="005E4483">
              <w:rPr>
                <w:spacing w:val="-4"/>
              </w:rPr>
              <w:t>zhoršila, vyjma peněžnictví a pojišťovnictví, kde z hlubšího loňskéh</w:t>
            </w:r>
            <w:r>
              <w:rPr>
                <w:spacing w:val="-4"/>
              </w:rPr>
              <w:t xml:space="preserve">o poklesu (-5,8 %) přešla </w:t>
            </w:r>
            <w:r w:rsidR="00815F10" w:rsidRPr="005E4483">
              <w:rPr>
                <w:spacing w:val="-4"/>
              </w:rPr>
              <w:t>v</w:t>
            </w:r>
            <w:r>
              <w:rPr>
                <w:spacing w:val="-4"/>
              </w:rPr>
              <w:t xml:space="preserve"> letošní </w:t>
            </w:r>
            <w:r w:rsidR="00815F10" w:rsidRPr="005E4483">
              <w:rPr>
                <w:spacing w:val="-4"/>
              </w:rPr>
              <w:t xml:space="preserve">mírný růst (+2,3 %). Rozhodující roli si dlouhodobě udržuje zpracovatelský průmysl, který i přes velmi vysokou loňskou základnu vzrostl o významných 4,5 % a na růstu HPH v celé ekonomice se letos podílel více než z poloviny. O dobré kondici tohoto odvětví svědčil o vysoký růst celkové zaměstnanosti, který letos podobně </w:t>
            </w:r>
            <w:r>
              <w:rPr>
                <w:spacing w:val="-4"/>
              </w:rPr>
              <w:t xml:space="preserve">jako v loňském 1. až </w:t>
            </w:r>
            <w:r w:rsidR="00815F10">
              <w:rPr>
                <w:spacing w:val="-4"/>
              </w:rPr>
              <w:t xml:space="preserve">3. čtvrtletí </w:t>
            </w:r>
            <w:r w:rsidR="00815F10" w:rsidRPr="005E4483">
              <w:rPr>
                <w:spacing w:val="-4"/>
              </w:rPr>
              <w:t>mírně převyšoval 3 % (v obou případech rostl dvojnásobným tempem oproti celé ekonomice)</w:t>
            </w:r>
            <w:r w:rsidR="00815F10" w:rsidRPr="005E4483">
              <w:rPr>
                <w:rStyle w:val="Znakapoznpodarou"/>
                <w:spacing w:val="-4"/>
              </w:rPr>
              <w:footnoteReference w:id="8"/>
            </w:r>
            <w:r w:rsidR="00815F10" w:rsidRPr="005E4483">
              <w:rPr>
                <w:spacing w:val="-4"/>
              </w:rPr>
              <w:t xml:space="preserve">. </w:t>
            </w:r>
          </w:p>
          <w:p w:rsidR="00815F10" w:rsidRPr="005D073B" w:rsidRDefault="00815F10" w:rsidP="00815F10">
            <w:pPr>
              <w:pStyle w:val="Textpoznpodarou"/>
              <w:jc w:val="both"/>
              <w:rPr>
                <w:spacing w:val="-4"/>
                <w:sz w:val="13"/>
                <w:szCs w:val="13"/>
              </w:rPr>
            </w:pPr>
          </w:p>
        </w:tc>
      </w:tr>
      <w:tr w:rsidR="00815F10" w:rsidRPr="00A74192" w:rsidTr="00815F10">
        <w:trPr>
          <w:trHeight w:val="145"/>
        </w:trPr>
        <w:tc>
          <w:tcPr>
            <w:tcW w:w="1016" w:type="pct"/>
            <w:shd w:val="clear" w:color="auto" w:fill="auto"/>
          </w:tcPr>
          <w:p w:rsidR="00815F10" w:rsidRPr="005E4483" w:rsidRDefault="00815F10" w:rsidP="005D073B">
            <w:pPr>
              <w:spacing w:line="240" w:lineRule="auto"/>
              <w:rPr>
                <w:spacing w:val="-4"/>
                <w:sz w:val="16"/>
                <w:szCs w:val="16"/>
              </w:rPr>
            </w:pPr>
            <w:r w:rsidRPr="005E4483">
              <w:rPr>
                <w:spacing w:val="-4"/>
                <w:sz w:val="16"/>
                <w:szCs w:val="16"/>
              </w:rPr>
              <w:t>HPH v zemědělství, lesnictví a </w:t>
            </w:r>
            <w:r w:rsidR="005D073B">
              <w:rPr>
                <w:spacing w:val="-4"/>
                <w:sz w:val="16"/>
                <w:szCs w:val="16"/>
              </w:rPr>
              <w:t>rybářství vzrostla</w:t>
            </w:r>
            <w:r w:rsidRPr="005E4483">
              <w:rPr>
                <w:spacing w:val="-4"/>
                <w:sz w:val="16"/>
                <w:szCs w:val="16"/>
              </w:rPr>
              <w:t xml:space="preserve"> </w:t>
            </w:r>
            <w:r>
              <w:rPr>
                <w:spacing w:val="-4"/>
                <w:sz w:val="16"/>
                <w:szCs w:val="16"/>
              </w:rPr>
              <w:t>za tři roky o 21 %</w:t>
            </w:r>
            <w:r w:rsidR="005D073B">
              <w:rPr>
                <w:spacing w:val="-4"/>
                <w:sz w:val="16"/>
                <w:szCs w:val="16"/>
              </w:rPr>
              <w:t>, nepatrně více než zpracovatelský průmysl</w:t>
            </w:r>
          </w:p>
        </w:tc>
        <w:tc>
          <w:tcPr>
            <w:tcW w:w="144" w:type="pct"/>
          </w:tcPr>
          <w:p w:rsidR="00815F10" w:rsidRPr="005E4483" w:rsidRDefault="00815F10" w:rsidP="00815F10">
            <w:pPr>
              <w:pStyle w:val="Textpoznpodarou"/>
              <w:jc w:val="both"/>
              <w:rPr>
                <w:spacing w:val="-4"/>
              </w:rPr>
            </w:pPr>
          </w:p>
        </w:tc>
        <w:tc>
          <w:tcPr>
            <w:tcW w:w="3840" w:type="pct"/>
          </w:tcPr>
          <w:p w:rsidR="00815F10" w:rsidRPr="005E4483" w:rsidRDefault="00815F10" w:rsidP="00815F10">
            <w:pPr>
              <w:pStyle w:val="Textpoznpodarou"/>
              <w:jc w:val="both"/>
              <w:rPr>
                <w:spacing w:val="-4"/>
              </w:rPr>
            </w:pPr>
            <w:r w:rsidRPr="005E4483">
              <w:rPr>
                <w:spacing w:val="-4"/>
              </w:rPr>
              <w:t>Velmi dobré výsledky zaznamenalo odvětví zemědělství, lesnictví a rybářství. K</w:t>
            </w:r>
            <w:r w:rsidR="005D073B">
              <w:rPr>
                <w:spacing w:val="-4"/>
              </w:rPr>
              <w:t> meziročně vyšší HPH</w:t>
            </w:r>
            <w:r w:rsidRPr="005E4483">
              <w:rPr>
                <w:spacing w:val="-4"/>
              </w:rPr>
              <w:t xml:space="preserve"> (o 5,8 %) přispěla především dobrá úroda všech základníc</w:t>
            </w:r>
            <w:r w:rsidR="005D073B">
              <w:rPr>
                <w:spacing w:val="-4"/>
              </w:rPr>
              <w:t>h zemědělských plodin (u</w:t>
            </w:r>
            <w:r w:rsidRPr="005E4483">
              <w:rPr>
                <w:spacing w:val="-4"/>
              </w:rPr>
              <w:t xml:space="preserve"> obilovin byla dokonce třetí nejvyšší v historii samostatné ČR). Vlivem vyššího počtu sebezaměstnaných se celkový pokles počtu pracovníků v tomto odvětví po dvou předchozích letech zastavil.</w:t>
            </w:r>
            <w:r w:rsidR="005D073B">
              <w:rPr>
                <w:spacing w:val="-4"/>
              </w:rPr>
              <w:t xml:space="preserve"> </w:t>
            </w:r>
            <w:r w:rsidR="005D073B" w:rsidRPr="005D073B">
              <w:rPr>
                <w:spacing w:val="-4"/>
              </w:rPr>
              <w:t>HPH v zemědělství, lesnictví a rybářství vzrostla v 1. až 3 čtvrtletí vlivem dobrých úrod z let 2014 a 2016 za tři roky o 21 %.</w:t>
            </w:r>
          </w:p>
          <w:p w:rsidR="00815F10" w:rsidRPr="005D073B" w:rsidRDefault="00815F10" w:rsidP="00815F10">
            <w:pPr>
              <w:pStyle w:val="Textpoznpodarou"/>
              <w:jc w:val="both"/>
              <w:rPr>
                <w:spacing w:val="-4"/>
                <w:sz w:val="13"/>
                <w:szCs w:val="13"/>
              </w:rPr>
            </w:pPr>
          </w:p>
        </w:tc>
      </w:tr>
      <w:tr w:rsidR="00815F10" w:rsidRPr="00A74192" w:rsidTr="00815F10">
        <w:trPr>
          <w:trHeight w:val="145"/>
        </w:trPr>
        <w:tc>
          <w:tcPr>
            <w:tcW w:w="1016" w:type="pct"/>
            <w:shd w:val="clear" w:color="auto" w:fill="auto"/>
          </w:tcPr>
          <w:p w:rsidR="00815F10" w:rsidRPr="005E4483" w:rsidRDefault="00815F10" w:rsidP="00815F10">
            <w:pPr>
              <w:spacing w:line="240" w:lineRule="auto"/>
              <w:rPr>
                <w:spacing w:val="-4"/>
                <w:sz w:val="16"/>
                <w:szCs w:val="16"/>
              </w:rPr>
            </w:pPr>
            <w:r w:rsidRPr="005E4483">
              <w:rPr>
                <w:spacing w:val="-4"/>
                <w:sz w:val="16"/>
                <w:szCs w:val="16"/>
              </w:rPr>
              <w:t>Sektor služeb přispěl letos k meziročnímu růstu HPH v celé ekonomice 1,3 p.b., polovinu příspěvku služeb zajistily odvětv</w:t>
            </w:r>
            <w:r>
              <w:rPr>
                <w:spacing w:val="-4"/>
                <w:sz w:val="16"/>
                <w:szCs w:val="16"/>
              </w:rPr>
              <w:t>í obchod, doprava, ubytování, pohostinství a také</w:t>
            </w:r>
            <w:r w:rsidRPr="005E4483">
              <w:rPr>
                <w:spacing w:val="-4"/>
                <w:sz w:val="16"/>
                <w:szCs w:val="16"/>
              </w:rPr>
              <w:t xml:space="preserve"> činnosti v oblasti nemovitostí</w:t>
            </w:r>
            <w:r w:rsidR="005D073B">
              <w:rPr>
                <w:spacing w:val="-4"/>
                <w:sz w:val="16"/>
                <w:szCs w:val="16"/>
              </w:rPr>
              <w:t>.</w:t>
            </w:r>
          </w:p>
          <w:p w:rsidR="00815F10" w:rsidRPr="005E4483" w:rsidRDefault="00815F10" w:rsidP="00815F10">
            <w:pPr>
              <w:spacing w:line="240" w:lineRule="auto"/>
              <w:rPr>
                <w:spacing w:val="-4"/>
                <w:sz w:val="16"/>
                <w:szCs w:val="16"/>
              </w:rPr>
            </w:pPr>
          </w:p>
          <w:p w:rsidR="00815F10" w:rsidRPr="005E4483" w:rsidRDefault="00815F10" w:rsidP="00815F10">
            <w:pPr>
              <w:spacing w:line="240" w:lineRule="auto"/>
              <w:rPr>
                <w:spacing w:val="-4"/>
                <w:sz w:val="16"/>
                <w:szCs w:val="16"/>
              </w:rPr>
            </w:pPr>
          </w:p>
          <w:p w:rsidR="00815F10" w:rsidRPr="005E4483" w:rsidRDefault="00815F10" w:rsidP="00815F10">
            <w:pPr>
              <w:spacing w:line="240" w:lineRule="auto"/>
              <w:rPr>
                <w:spacing w:val="-4"/>
                <w:sz w:val="16"/>
                <w:szCs w:val="16"/>
              </w:rPr>
            </w:pPr>
            <w:r w:rsidRPr="005E4483">
              <w:rPr>
                <w:spacing w:val="-4"/>
                <w:sz w:val="16"/>
                <w:szCs w:val="16"/>
              </w:rPr>
              <w:t xml:space="preserve">Meziroční růst HPH v průběhu roku 2016 slábl ve službách viditelněji </w:t>
            </w:r>
            <w:r w:rsidR="005D073B">
              <w:rPr>
                <w:spacing w:val="-4"/>
                <w:sz w:val="16"/>
                <w:szCs w:val="16"/>
              </w:rPr>
              <w:t>než ve zpracovatelském průmyslu.</w:t>
            </w:r>
          </w:p>
        </w:tc>
        <w:tc>
          <w:tcPr>
            <w:tcW w:w="144" w:type="pct"/>
          </w:tcPr>
          <w:p w:rsidR="00815F10" w:rsidRPr="005E4483" w:rsidRDefault="00815F10" w:rsidP="00815F10">
            <w:pPr>
              <w:pStyle w:val="Textpoznpodarou"/>
              <w:jc w:val="both"/>
              <w:rPr>
                <w:spacing w:val="-4"/>
              </w:rPr>
            </w:pPr>
          </w:p>
        </w:tc>
        <w:tc>
          <w:tcPr>
            <w:tcW w:w="3840" w:type="pct"/>
          </w:tcPr>
          <w:p w:rsidR="00815F10" w:rsidRPr="005E4483" w:rsidRDefault="00815F10" w:rsidP="00815F10">
            <w:pPr>
              <w:pStyle w:val="Textpoznpodarou"/>
              <w:jc w:val="both"/>
              <w:rPr>
                <w:color w:val="0D0D0D" w:themeColor="text1" w:themeTint="F2"/>
                <w:spacing w:val="-4"/>
              </w:rPr>
            </w:pPr>
            <w:r w:rsidRPr="005E4483">
              <w:rPr>
                <w:spacing w:val="-4"/>
              </w:rPr>
              <w:t xml:space="preserve">V </w:t>
            </w:r>
            <w:r w:rsidRPr="00AB0BB9">
              <w:rPr>
                <w:rFonts w:cs="Arial"/>
                <w:spacing w:val="-4"/>
              </w:rPr>
              <w:t xml:space="preserve">sektoru služeb </w:t>
            </w:r>
            <w:r w:rsidR="00AB0BB9" w:rsidRPr="00AB0BB9">
              <w:rPr>
                <w:rFonts w:cs="Arial"/>
                <w:color w:val="000000" w:themeColor="text1"/>
                <w:spacing w:val="-4"/>
              </w:rPr>
              <w:t xml:space="preserve">se HPH v 1. až </w:t>
            </w:r>
            <w:r w:rsidRPr="00AB0BB9">
              <w:rPr>
                <w:rFonts w:cs="Arial"/>
                <w:color w:val="000000" w:themeColor="text1"/>
                <w:spacing w:val="-4"/>
              </w:rPr>
              <w:t>3. čtvrtletí meziročně navýšila o</w:t>
            </w:r>
            <w:r w:rsidRPr="00AB0BB9">
              <w:rPr>
                <w:rFonts w:cs="Arial"/>
                <w:spacing w:val="-4"/>
              </w:rPr>
              <w:t xml:space="preserve"> skromnějších </w:t>
            </w:r>
            <w:r w:rsidRPr="00AB0BB9">
              <w:rPr>
                <w:rFonts w:cs="Arial"/>
                <w:color w:val="000000" w:themeColor="text1"/>
                <w:spacing w:val="-4"/>
              </w:rPr>
              <w:t>2,2</w:t>
            </w:r>
            <w:r w:rsidRPr="00AB0BB9">
              <w:rPr>
                <w:rFonts w:cs="Arial"/>
                <w:spacing w:val="-4"/>
              </w:rPr>
              <w:t> </w:t>
            </w:r>
            <w:r w:rsidRPr="00AB0BB9">
              <w:rPr>
                <w:rFonts w:cs="Arial"/>
                <w:color w:val="000000" w:themeColor="text1"/>
                <w:spacing w:val="-4"/>
              </w:rPr>
              <w:t>%. Přesto k růstu celé ekonomiky přispěl (na rozdíl od loňského roku) nepatrně více než zpracovatelský průmysl. Růstová tempa ve službách však letos viditelně oslabovala. Zatímco na počátku roku dosahovala 2,7 %, ve 3.čtvrtletí již jen 1,5 % (nejslabší meziroční tempo od 2. čtvrtletí</w:t>
            </w:r>
            <w:r w:rsidR="00AB0BB9">
              <w:rPr>
                <w:color w:val="000000" w:themeColor="text1"/>
                <w:spacing w:val="-4"/>
              </w:rPr>
              <w:t xml:space="preserve"> 2013). Z</w:t>
            </w:r>
            <w:r w:rsidRPr="005E4483">
              <w:rPr>
                <w:spacing w:val="-4"/>
              </w:rPr>
              <w:t>a zpomalováním stál především vývoj ve váhově dominantním seskupení odvětví obchod, doprava, ubytování a pohostinství. Podobně tomu bylo i v informačních a komunikačních činnostech (v</w:t>
            </w:r>
            <w:r w:rsidR="00AB0BB9">
              <w:rPr>
                <w:spacing w:val="-4"/>
              </w:rPr>
              <w:t xml:space="preserve"> </w:t>
            </w:r>
            <w:r w:rsidRPr="005E4483">
              <w:rPr>
                <w:spacing w:val="-4"/>
              </w:rPr>
              <w:t xml:space="preserve">1. čtvrtletí +3,4 %, ve 3. </w:t>
            </w:r>
            <w:r w:rsidRPr="005E4483">
              <w:rPr>
                <w:color w:val="0D0D0D" w:themeColor="text1" w:themeTint="F2"/>
                <w:spacing w:val="-4"/>
              </w:rPr>
              <w:t>čtvrtletí +0,4 %) i v profesních, vědeckých, technických a administrativních činnostech</w:t>
            </w:r>
            <w:r w:rsidR="00AB0BB9">
              <w:rPr>
                <w:color w:val="0D0D0D" w:themeColor="text1" w:themeTint="F2"/>
                <w:spacing w:val="-4"/>
              </w:rPr>
              <w:t>.</w:t>
            </w:r>
            <w:r w:rsidR="00AB0BB9">
              <w:rPr>
                <w:spacing w:val="-4"/>
              </w:rPr>
              <w:t xml:space="preserve"> V</w:t>
            </w:r>
            <w:r w:rsidRPr="005E4483">
              <w:rPr>
                <w:spacing w:val="-4"/>
              </w:rPr>
              <w:t xml:space="preserve"> obou případech šlo o </w:t>
            </w:r>
            <w:r w:rsidR="00AB0BB9">
              <w:rPr>
                <w:spacing w:val="-4"/>
              </w:rPr>
              <w:t xml:space="preserve">odvětví, jejichž dynamika za 1. až </w:t>
            </w:r>
            <w:r w:rsidRPr="005E4483">
              <w:rPr>
                <w:spacing w:val="-4"/>
              </w:rPr>
              <w:t>3. loňské čt</w:t>
            </w:r>
            <w:r w:rsidR="00AB0BB9">
              <w:rPr>
                <w:spacing w:val="-4"/>
              </w:rPr>
              <w:t xml:space="preserve">vrtletí (shodně +8 %) patřila </w:t>
            </w:r>
            <w:r w:rsidRPr="005E4483">
              <w:rPr>
                <w:spacing w:val="-4"/>
              </w:rPr>
              <w:t xml:space="preserve">společně se zpracovatelským průmyslem k nejvyšším v celé ekonomice. </w:t>
            </w:r>
            <w:r w:rsidRPr="005E4483">
              <w:rPr>
                <w:color w:val="0D0D0D" w:themeColor="text1" w:themeTint="F2"/>
                <w:spacing w:val="-4"/>
              </w:rPr>
              <w:t>Ve váhově významných odvětvích s dominancí státu</w:t>
            </w:r>
            <w:r w:rsidRPr="005E4483">
              <w:rPr>
                <w:rStyle w:val="Znakapoznpodarou"/>
                <w:color w:val="0D0D0D" w:themeColor="text1" w:themeTint="F2"/>
                <w:spacing w:val="-4"/>
              </w:rPr>
              <w:footnoteReference w:id="9"/>
            </w:r>
            <w:r w:rsidRPr="005E4483">
              <w:rPr>
                <w:color w:val="0D0D0D" w:themeColor="text1" w:themeTint="F2"/>
                <w:spacing w:val="-4"/>
              </w:rPr>
              <w:t xml:space="preserve"> pokračoval střídmý růst HPH již čtvrtý rok v řadě (za tři letošní čtvrtletí o 1,5 %), na podprůměrné dynamice se podílel primárně nízký růst objemu vyplacených platů ve školství. </w:t>
            </w:r>
          </w:p>
          <w:p w:rsidR="00815F10" w:rsidRPr="005D073B" w:rsidRDefault="00815F10" w:rsidP="00815F10">
            <w:pPr>
              <w:pStyle w:val="Textpoznpodarou"/>
              <w:jc w:val="both"/>
              <w:rPr>
                <w:spacing w:val="-4"/>
                <w:sz w:val="13"/>
                <w:szCs w:val="13"/>
              </w:rPr>
            </w:pPr>
          </w:p>
        </w:tc>
      </w:tr>
      <w:tr w:rsidR="00815F10" w:rsidRPr="00A74192" w:rsidTr="00815F10">
        <w:trPr>
          <w:trHeight w:val="145"/>
        </w:trPr>
        <w:tc>
          <w:tcPr>
            <w:tcW w:w="1016" w:type="pct"/>
            <w:shd w:val="clear" w:color="auto" w:fill="auto"/>
          </w:tcPr>
          <w:p w:rsidR="00815F10" w:rsidRPr="005E4483" w:rsidRDefault="00815F10" w:rsidP="00815F10">
            <w:pPr>
              <w:spacing w:line="240" w:lineRule="auto"/>
              <w:rPr>
                <w:spacing w:val="-4"/>
                <w:sz w:val="16"/>
                <w:szCs w:val="16"/>
              </w:rPr>
            </w:pPr>
            <w:r w:rsidRPr="005E4483">
              <w:rPr>
                <w:spacing w:val="-4"/>
                <w:sz w:val="16"/>
                <w:szCs w:val="16"/>
              </w:rPr>
              <w:t>Stavebnictví, oslabené úbytkem veřejných zakázek, na rozdíl od loňska již k růstu HPH v ekonomice nepřispívalo, negativně působily i nezpracovatelské průmyslové obory vliv</w:t>
            </w:r>
            <w:r>
              <w:rPr>
                <w:spacing w:val="-4"/>
                <w:sz w:val="16"/>
                <w:szCs w:val="16"/>
              </w:rPr>
              <w:t>em dlouhodobé redukce v těžbě a</w:t>
            </w:r>
            <w:r w:rsidR="005D073B">
              <w:rPr>
                <w:spacing w:val="-4"/>
                <w:sz w:val="16"/>
                <w:szCs w:val="16"/>
              </w:rPr>
              <w:t> dobývání.</w:t>
            </w:r>
          </w:p>
        </w:tc>
        <w:tc>
          <w:tcPr>
            <w:tcW w:w="144" w:type="pct"/>
          </w:tcPr>
          <w:p w:rsidR="00815F10" w:rsidRPr="005E4483" w:rsidRDefault="00815F10" w:rsidP="00815F10">
            <w:pPr>
              <w:pStyle w:val="Textpoznpodarou"/>
              <w:jc w:val="both"/>
              <w:rPr>
                <w:spacing w:val="-4"/>
              </w:rPr>
            </w:pPr>
          </w:p>
        </w:tc>
        <w:tc>
          <w:tcPr>
            <w:tcW w:w="3840" w:type="pct"/>
          </w:tcPr>
          <w:p w:rsidR="00815F10" w:rsidRPr="005E4483" w:rsidRDefault="00815F10" w:rsidP="00815F10">
            <w:pPr>
              <w:pStyle w:val="Textpoznpodarou"/>
              <w:jc w:val="both"/>
              <w:rPr>
                <w:spacing w:val="-4"/>
              </w:rPr>
            </w:pPr>
            <w:r w:rsidRPr="005E4483">
              <w:rPr>
                <w:spacing w:val="-4"/>
              </w:rPr>
              <w:t>Na úspěšný loň</w:t>
            </w:r>
            <w:r w:rsidR="00595035">
              <w:rPr>
                <w:spacing w:val="-4"/>
              </w:rPr>
              <w:t>ský rok nenavázalo stavebnictví. J</w:t>
            </w:r>
            <w:r w:rsidRPr="005E4483">
              <w:rPr>
                <w:spacing w:val="-4"/>
              </w:rPr>
              <w:t xml:space="preserve">eho HPH se letos o 2,8 % snížila. V mezikvartálním vyjádření došlo po třech po sobě jdoucích poklesech (v úhrnu o 6,5 %) ve 3. čtvrtletí ke stabilizaci (+0,6 %). Dlouhodobě nejistá situace v odvětví se ale negativně odráží ve stavech pracovníků (letos hlavně u sebezaměstnaných). Počet odpracovaných hodin klesal již </w:t>
            </w:r>
            <w:r w:rsidR="00595035">
              <w:rPr>
                <w:spacing w:val="-4"/>
              </w:rPr>
              <w:t xml:space="preserve">šestý rok v řadě, proti 1. až </w:t>
            </w:r>
            <w:r w:rsidRPr="005E4483">
              <w:rPr>
                <w:spacing w:val="-4"/>
              </w:rPr>
              <w:t>3.</w:t>
            </w:r>
            <w:r w:rsidR="00595035">
              <w:rPr>
                <w:spacing w:val="-4"/>
              </w:rPr>
              <w:t xml:space="preserve"> </w:t>
            </w:r>
            <w:r w:rsidRPr="005E4483">
              <w:rPr>
                <w:spacing w:val="-4"/>
              </w:rPr>
              <w:t>čtvrtletí 2010 byl letos nižší o téměř šestinu. K meziroční dynamice HPH v celé ekonomice letos stave</w:t>
            </w:r>
            <w:r w:rsidR="00595035">
              <w:rPr>
                <w:spacing w:val="-4"/>
              </w:rPr>
              <w:t>bnictví přispělo -0,2 p.b. – shodným</w:t>
            </w:r>
            <w:r w:rsidRPr="005E4483">
              <w:rPr>
                <w:spacing w:val="-4"/>
              </w:rPr>
              <w:t xml:space="preserve"> rozsahem jako odvětví těžby a energetiky, jehož negativní příspěvek se však proti loňsku (-0,8 p.b.) zmírnil.</w:t>
            </w:r>
          </w:p>
          <w:p w:rsidR="00815F10" w:rsidRPr="005D073B" w:rsidRDefault="00815F10" w:rsidP="00815F10">
            <w:pPr>
              <w:pStyle w:val="Textpoznpodarou"/>
              <w:jc w:val="both"/>
              <w:rPr>
                <w:spacing w:val="-4"/>
                <w:sz w:val="13"/>
                <w:szCs w:val="13"/>
              </w:rPr>
            </w:pPr>
          </w:p>
        </w:tc>
      </w:tr>
      <w:tr w:rsidR="00815F10" w:rsidRPr="00A74192" w:rsidTr="00815F10">
        <w:trPr>
          <w:trHeight w:val="145"/>
        </w:trPr>
        <w:tc>
          <w:tcPr>
            <w:tcW w:w="1016" w:type="pct"/>
          </w:tcPr>
          <w:p w:rsidR="00815F10" w:rsidRPr="005E4483" w:rsidRDefault="00815F10" w:rsidP="00815F10">
            <w:pPr>
              <w:spacing w:line="240" w:lineRule="auto"/>
              <w:rPr>
                <w:spacing w:val="-4"/>
                <w:sz w:val="16"/>
                <w:szCs w:val="16"/>
              </w:rPr>
            </w:pPr>
            <w:r w:rsidRPr="005E4483">
              <w:rPr>
                <w:spacing w:val="-4"/>
                <w:sz w:val="16"/>
                <w:szCs w:val="16"/>
              </w:rPr>
              <w:t>Meziroční růst průmyslové produkce zpomaloval vlivem velmi vysoké loňské základny, ale i slabší</w:t>
            </w:r>
            <w:r w:rsidR="005D073B">
              <w:rPr>
                <w:spacing w:val="-4"/>
                <w:sz w:val="16"/>
                <w:szCs w:val="16"/>
              </w:rPr>
              <w:t>ch výsledků v letošním letním období.</w:t>
            </w:r>
          </w:p>
        </w:tc>
        <w:tc>
          <w:tcPr>
            <w:tcW w:w="144" w:type="pct"/>
          </w:tcPr>
          <w:p w:rsidR="00815F10" w:rsidRPr="005E4483" w:rsidRDefault="00815F10" w:rsidP="00815F10">
            <w:pPr>
              <w:pStyle w:val="Textpoznpodarou"/>
              <w:jc w:val="both"/>
              <w:rPr>
                <w:spacing w:val="-4"/>
              </w:rPr>
            </w:pPr>
          </w:p>
        </w:tc>
        <w:tc>
          <w:tcPr>
            <w:tcW w:w="3840" w:type="pct"/>
          </w:tcPr>
          <w:p w:rsidR="00815F10" w:rsidRPr="005E4483" w:rsidRDefault="00815F10" w:rsidP="00815F10">
            <w:pPr>
              <w:pStyle w:val="Textpoznpodarou"/>
              <w:jc w:val="both"/>
              <w:rPr>
                <w:color w:val="000000" w:themeColor="text1"/>
                <w:spacing w:val="-4"/>
              </w:rPr>
            </w:pPr>
            <w:r w:rsidRPr="005E4483">
              <w:rPr>
                <w:color w:val="000000" w:themeColor="text1"/>
                <w:spacing w:val="-4"/>
              </w:rPr>
              <w:t>Výkon průmyslu</w:t>
            </w:r>
            <w:r w:rsidRPr="005E4483">
              <w:rPr>
                <w:color w:val="000000" w:themeColor="text1"/>
                <w:spacing w:val="-4"/>
                <w:vertAlign w:val="superscript"/>
              </w:rPr>
              <w:footnoteReference w:id="10"/>
            </w:r>
            <w:r w:rsidRPr="005E4483">
              <w:rPr>
                <w:color w:val="000000" w:themeColor="text1"/>
                <w:spacing w:val="-4"/>
              </w:rPr>
              <w:t xml:space="preserve"> (dle i</w:t>
            </w:r>
            <w:r w:rsidR="00595035">
              <w:rPr>
                <w:color w:val="000000" w:themeColor="text1"/>
                <w:spacing w:val="-4"/>
              </w:rPr>
              <w:t>ndexu průmyslové produkce) za tři</w:t>
            </w:r>
            <w:r w:rsidRPr="005E4483">
              <w:rPr>
                <w:color w:val="000000" w:themeColor="text1"/>
                <w:spacing w:val="-4"/>
              </w:rPr>
              <w:t xml:space="preserve"> čtvrtletí meziročně vzrostl o</w:t>
            </w:r>
            <w:r w:rsidR="00595035" w:rsidRPr="005E4483">
              <w:rPr>
                <w:spacing w:val="-4"/>
              </w:rPr>
              <w:t> </w:t>
            </w:r>
            <w:r w:rsidR="0019156A">
              <w:rPr>
                <w:color w:val="000000" w:themeColor="text1"/>
                <w:spacing w:val="-4"/>
              </w:rPr>
              <w:t>3</w:t>
            </w:r>
            <w:r w:rsidRPr="005E4483">
              <w:rPr>
                <w:color w:val="000000" w:themeColor="text1"/>
                <w:spacing w:val="-4"/>
              </w:rPr>
              <w:t>,</w:t>
            </w:r>
            <w:r w:rsidR="0019156A">
              <w:rPr>
                <w:color w:val="000000" w:themeColor="text1"/>
                <w:spacing w:val="-4"/>
              </w:rPr>
              <w:t>0</w:t>
            </w:r>
            <w:r w:rsidRPr="005E4483">
              <w:rPr>
                <w:color w:val="0D0D0D" w:themeColor="text1" w:themeTint="F2"/>
                <w:spacing w:val="-4"/>
              </w:rPr>
              <w:t> </w:t>
            </w:r>
            <w:r>
              <w:rPr>
                <w:color w:val="000000" w:themeColor="text1"/>
                <w:spacing w:val="-4"/>
              </w:rPr>
              <w:t>% (resp. 2,2</w:t>
            </w:r>
            <w:r w:rsidRPr="005E4483">
              <w:rPr>
                <w:color w:val="000000" w:themeColor="text1"/>
                <w:spacing w:val="-4"/>
              </w:rPr>
              <w:t xml:space="preserve"> % po očištění o kalendářní efekty)</w:t>
            </w:r>
            <w:r w:rsidRPr="005E4483">
              <w:rPr>
                <w:rStyle w:val="Znakapoznpodarou"/>
                <w:color w:val="000000" w:themeColor="text1"/>
                <w:spacing w:val="-4"/>
              </w:rPr>
              <w:footnoteReference w:id="11"/>
            </w:r>
            <w:r w:rsidRPr="005E4483">
              <w:rPr>
                <w:color w:val="000000" w:themeColor="text1"/>
                <w:spacing w:val="-4"/>
              </w:rPr>
              <w:t xml:space="preserve">. </w:t>
            </w:r>
            <w:r w:rsidRPr="005E4483">
              <w:rPr>
                <w:spacing w:val="-4"/>
              </w:rPr>
              <w:t xml:space="preserve">Projevil se vliv vyšší loňské základny, kdy očištěná tempa produkce po všechna tři čtvrtletí přesáhla 5% hranici. V pozadí letošního zpomalení však stál, navzdory stále </w:t>
            </w:r>
            <w:r w:rsidR="00595035">
              <w:rPr>
                <w:spacing w:val="-4"/>
              </w:rPr>
              <w:t>rostoucí zahraniční poptávce, i</w:t>
            </w:r>
            <w:r w:rsidR="00595035" w:rsidRPr="005E4483">
              <w:rPr>
                <w:spacing w:val="-4"/>
              </w:rPr>
              <w:t> </w:t>
            </w:r>
            <w:r w:rsidRPr="005E4483">
              <w:rPr>
                <w:spacing w:val="-4"/>
              </w:rPr>
              <w:t xml:space="preserve">slabší výkon průmyslu v letních měsících. Během nich se produkce snížila o téměř </w:t>
            </w:r>
            <w:r w:rsidRPr="005E4483">
              <w:rPr>
                <w:spacing w:val="-4"/>
              </w:rPr>
              <w:lastRenderedPageBreak/>
              <w:t>2 % a zaznamenala tak nejhlubší mezičtvrtletní pokles od konce roku 2012. Stranou této redukce nezůstal ani tradiční lídr českého průmyslu – výroba motorových vozidel.</w:t>
            </w:r>
          </w:p>
          <w:p w:rsidR="00815F10" w:rsidRPr="00C17089" w:rsidRDefault="00815F10" w:rsidP="00815F10">
            <w:pPr>
              <w:pStyle w:val="Textpoznpodarou"/>
              <w:jc w:val="both"/>
              <w:rPr>
                <w:spacing w:val="-4"/>
                <w:sz w:val="13"/>
                <w:szCs w:val="13"/>
              </w:rPr>
            </w:pPr>
          </w:p>
        </w:tc>
      </w:tr>
      <w:tr w:rsidR="00815F10" w:rsidRPr="00A74192" w:rsidTr="00815F10">
        <w:tc>
          <w:tcPr>
            <w:tcW w:w="1016" w:type="pct"/>
          </w:tcPr>
          <w:p w:rsidR="00815F10" w:rsidRPr="005E4483" w:rsidRDefault="00815F10" w:rsidP="00815F10">
            <w:pPr>
              <w:spacing w:line="240" w:lineRule="auto"/>
              <w:rPr>
                <w:spacing w:val="-4"/>
                <w:sz w:val="16"/>
                <w:szCs w:val="16"/>
              </w:rPr>
            </w:pPr>
            <w:r w:rsidRPr="005E4483">
              <w:rPr>
                <w:spacing w:val="-4"/>
                <w:sz w:val="16"/>
                <w:szCs w:val="16"/>
              </w:rPr>
              <w:lastRenderedPageBreak/>
              <w:t>Pokles produkce v nezpracovatelských průmyslových odvětvích nadále pokračoval</w:t>
            </w:r>
            <w:r w:rsidR="005D073B">
              <w:rPr>
                <w:spacing w:val="-4"/>
                <w:sz w:val="16"/>
                <w:szCs w:val="16"/>
              </w:rPr>
              <w:t>.</w:t>
            </w:r>
          </w:p>
        </w:tc>
        <w:tc>
          <w:tcPr>
            <w:tcW w:w="144" w:type="pct"/>
          </w:tcPr>
          <w:p w:rsidR="00815F10" w:rsidRPr="005E4483" w:rsidRDefault="00815F10" w:rsidP="00815F10">
            <w:pPr>
              <w:pStyle w:val="Textpoznpodarou"/>
              <w:jc w:val="both"/>
              <w:rPr>
                <w:spacing w:val="-4"/>
              </w:rPr>
            </w:pPr>
          </w:p>
        </w:tc>
        <w:tc>
          <w:tcPr>
            <w:tcW w:w="3840" w:type="pct"/>
          </w:tcPr>
          <w:p w:rsidR="00815F10" w:rsidRDefault="00815F10" w:rsidP="00815F10">
            <w:pPr>
              <w:pStyle w:val="Textpoznpodarou"/>
              <w:jc w:val="both"/>
              <w:rPr>
                <w:spacing w:val="-4"/>
              </w:rPr>
            </w:pPr>
            <w:r>
              <w:rPr>
                <w:spacing w:val="-4"/>
              </w:rPr>
              <w:t>Stejně jako v</w:t>
            </w:r>
            <w:r w:rsidRPr="005E4483">
              <w:rPr>
                <w:spacing w:val="-4"/>
              </w:rPr>
              <w:t xml:space="preserve"> letech </w:t>
            </w:r>
            <w:r>
              <w:rPr>
                <w:spacing w:val="-4"/>
              </w:rPr>
              <w:t xml:space="preserve">2015 a 2016 táhl průmyslovou produkcí </w:t>
            </w:r>
            <w:r w:rsidRPr="005E4483">
              <w:rPr>
                <w:spacing w:val="-4"/>
              </w:rPr>
              <w:t xml:space="preserve">výhradně zpracovatelský průmysl, neboť výkony ostatních průmyslových odvětví </w:t>
            </w:r>
            <w:r>
              <w:rPr>
                <w:spacing w:val="-4"/>
              </w:rPr>
              <w:t xml:space="preserve">meziročně </w:t>
            </w:r>
            <w:r w:rsidRPr="005E4483">
              <w:rPr>
                <w:spacing w:val="-4"/>
              </w:rPr>
              <w:t>klesaly. Ve váhově významnější energetice se produkce m</w:t>
            </w:r>
            <w:r>
              <w:rPr>
                <w:spacing w:val="-4"/>
              </w:rPr>
              <w:t>írně snížila (o 1</w:t>
            </w:r>
            <w:r w:rsidRPr="005E4483">
              <w:rPr>
                <w:spacing w:val="-4"/>
              </w:rPr>
              <w:t>%, obdobně jako za první tři loňská čtvrtletí) vlivem pokračujících neplánovaných odstávek jaderných i tepelných elektráren. Naopak vnější vlivy (ceny komodit na světových trzích) se negativně promítají v těžebním průmyslu, kde produkce o</w:t>
            </w:r>
            <w:r w:rsidR="0019156A">
              <w:rPr>
                <w:spacing w:val="-4"/>
              </w:rPr>
              <w:t>slabila (o 6,7</w:t>
            </w:r>
            <w:r w:rsidRPr="005E4483">
              <w:rPr>
                <w:spacing w:val="-4"/>
              </w:rPr>
              <w:t xml:space="preserve"> %), a to nejen ve stále dominantní těžbě uhlí, ale i u ostatních surovin (např. stavebních materiálů)</w:t>
            </w:r>
            <w:r>
              <w:rPr>
                <w:rStyle w:val="Znakapoznpodarou"/>
                <w:spacing w:val="-4"/>
              </w:rPr>
              <w:footnoteReference w:id="12"/>
            </w:r>
            <w:r w:rsidRPr="005E4483">
              <w:rPr>
                <w:spacing w:val="-4"/>
              </w:rPr>
              <w:t>.</w:t>
            </w:r>
          </w:p>
          <w:p w:rsidR="00815F10" w:rsidRPr="00C17089" w:rsidRDefault="00815F10" w:rsidP="00815F10">
            <w:pPr>
              <w:pStyle w:val="Textpoznpodarou"/>
              <w:jc w:val="both"/>
              <w:rPr>
                <w:spacing w:val="-4"/>
                <w:sz w:val="13"/>
                <w:szCs w:val="13"/>
              </w:rPr>
            </w:pPr>
          </w:p>
        </w:tc>
      </w:tr>
      <w:tr w:rsidR="00815F10" w:rsidRPr="00A74192" w:rsidTr="00815F10">
        <w:tc>
          <w:tcPr>
            <w:tcW w:w="1016" w:type="pct"/>
          </w:tcPr>
          <w:p w:rsidR="00815F10" w:rsidRPr="005E4483" w:rsidRDefault="00815F10" w:rsidP="00815F10">
            <w:pPr>
              <w:spacing w:line="240" w:lineRule="auto"/>
              <w:rPr>
                <w:spacing w:val="-4"/>
                <w:sz w:val="16"/>
                <w:szCs w:val="16"/>
              </w:rPr>
            </w:pPr>
            <w:r w:rsidRPr="005E4483">
              <w:rPr>
                <w:spacing w:val="-4"/>
                <w:sz w:val="16"/>
                <w:szCs w:val="16"/>
              </w:rPr>
              <w:t>Dlouhodobě dominantní postavení výroby motorových vozidel v rámci průmyslu bylo letos ještě umocněno…</w:t>
            </w:r>
          </w:p>
          <w:p w:rsidR="00815F10" w:rsidRPr="005E4483" w:rsidRDefault="00815F10" w:rsidP="00815F10">
            <w:pPr>
              <w:spacing w:line="240" w:lineRule="auto"/>
              <w:rPr>
                <w:spacing w:val="-4"/>
                <w:sz w:val="16"/>
                <w:szCs w:val="16"/>
              </w:rPr>
            </w:pPr>
          </w:p>
          <w:p w:rsidR="00815F10" w:rsidRPr="005E4483" w:rsidRDefault="00815F10" w:rsidP="00815F10">
            <w:pPr>
              <w:spacing w:line="240" w:lineRule="auto"/>
              <w:rPr>
                <w:spacing w:val="-4"/>
                <w:sz w:val="16"/>
                <w:szCs w:val="16"/>
              </w:rPr>
            </w:pPr>
            <w:r w:rsidRPr="005E4483">
              <w:rPr>
                <w:spacing w:val="-4"/>
                <w:sz w:val="16"/>
                <w:szCs w:val="16"/>
              </w:rPr>
              <w:t>…bez tohoto oboru by průmyslová produkce ve 3. čtvrtletí meziročně klesla</w:t>
            </w:r>
            <w:r w:rsidR="005D073B">
              <w:rPr>
                <w:spacing w:val="-4"/>
                <w:sz w:val="16"/>
                <w:szCs w:val="16"/>
              </w:rPr>
              <w:t>.</w:t>
            </w:r>
          </w:p>
        </w:tc>
        <w:tc>
          <w:tcPr>
            <w:tcW w:w="144" w:type="pct"/>
          </w:tcPr>
          <w:p w:rsidR="00815F10" w:rsidRPr="005E4483" w:rsidRDefault="00815F10" w:rsidP="00815F10">
            <w:pPr>
              <w:rPr>
                <w:color w:val="000000" w:themeColor="text1"/>
                <w:spacing w:val="-4"/>
                <w:szCs w:val="16"/>
              </w:rPr>
            </w:pPr>
          </w:p>
        </w:tc>
        <w:tc>
          <w:tcPr>
            <w:tcW w:w="3840" w:type="pct"/>
          </w:tcPr>
          <w:p w:rsidR="00815F10" w:rsidRPr="005E4483" w:rsidRDefault="00815F10" w:rsidP="00815F10">
            <w:pPr>
              <w:pStyle w:val="Textpoznpodarou"/>
              <w:jc w:val="both"/>
              <w:rPr>
                <w:color w:val="000000" w:themeColor="text1"/>
                <w:spacing w:val="-4"/>
              </w:rPr>
            </w:pPr>
            <w:r w:rsidRPr="005E4483">
              <w:rPr>
                <w:color w:val="000000" w:themeColor="text1"/>
                <w:spacing w:val="-4"/>
              </w:rPr>
              <w:t xml:space="preserve">Ačkoliv </w:t>
            </w:r>
            <w:r>
              <w:rPr>
                <w:color w:val="000000" w:themeColor="text1"/>
                <w:spacing w:val="-4"/>
              </w:rPr>
              <w:t>výroba motorových vozidel</w:t>
            </w:r>
            <w:r w:rsidRPr="005E4483">
              <w:rPr>
                <w:color w:val="000000" w:themeColor="text1"/>
                <w:spacing w:val="-4"/>
              </w:rPr>
              <w:t xml:space="preserve"> tvoří jen mírně přes čtvrtinu produkce všech </w:t>
            </w:r>
            <w:r>
              <w:rPr>
                <w:color w:val="000000" w:themeColor="text1"/>
                <w:spacing w:val="-4"/>
              </w:rPr>
              <w:t xml:space="preserve">průmyslových </w:t>
            </w:r>
            <w:r w:rsidRPr="005E4483">
              <w:rPr>
                <w:color w:val="000000" w:themeColor="text1"/>
                <w:spacing w:val="-4"/>
              </w:rPr>
              <w:t>zpracovatelů, bez jejich přičinění by se letošní meziroční růst cel</w:t>
            </w:r>
            <w:r w:rsidR="00595035">
              <w:rPr>
                <w:color w:val="000000" w:themeColor="text1"/>
                <w:spacing w:val="-4"/>
              </w:rPr>
              <w:t>ého průmyslu zredukoval na pouhá</w:t>
            </w:r>
            <w:r w:rsidRPr="005E4483">
              <w:rPr>
                <w:color w:val="000000" w:themeColor="text1"/>
                <w:spacing w:val="-4"/>
              </w:rPr>
              <w:t xml:space="preserve"> 0,5 % (a v samotném 3. čtvrtletí by již o 0,5 % poklesl). Vlivem rostoucí poptávky na evropských i asijských trzích se letošní produkce výrobců motorových vozidel zvýš</w:t>
            </w:r>
            <w:r>
              <w:rPr>
                <w:color w:val="000000" w:themeColor="text1"/>
                <w:spacing w:val="-4"/>
              </w:rPr>
              <w:t>ila o celou osminu, hlavně</w:t>
            </w:r>
            <w:r w:rsidRPr="005E4483">
              <w:rPr>
                <w:color w:val="000000" w:themeColor="text1"/>
                <w:spacing w:val="-4"/>
              </w:rPr>
              <w:t xml:space="preserve"> zásluhou silné dy</w:t>
            </w:r>
            <w:r w:rsidR="00595035">
              <w:rPr>
                <w:color w:val="000000" w:themeColor="text1"/>
                <w:spacing w:val="-4"/>
              </w:rPr>
              <w:t>namiky v 1. </w:t>
            </w:r>
            <w:r>
              <w:rPr>
                <w:color w:val="000000" w:themeColor="text1"/>
                <w:spacing w:val="-4"/>
              </w:rPr>
              <w:t>pololetí. Ve</w:t>
            </w:r>
            <w:r w:rsidRPr="005E4483">
              <w:rPr>
                <w:color w:val="000000" w:themeColor="text1"/>
                <w:spacing w:val="-4"/>
              </w:rPr>
              <w:t xml:space="preserve"> 3. čtvrtletí činil </w:t>
            </w:r>
            <w:r w:rsidR="0019156A">
              <w:rPr>
                <w:color w:val="000000" w:themeColor="text1"/>
                <w:spacing w:val="-4"/>
              </w:rPr>
              <w:t>meziroční</w:t>
            </w:r>
            <w:r>
              <w:rPr>
                <w:color w:val="000000" w:themeColor="text1"/>
                <w:spacing w:val="-4"/>
              </w:rPr>
              <w:t xml:space="preserve"> r</w:t>
            </w:r>
            <w:r w:rsidR="00595035">
              <w:rPr>
                <w:color w:val="000000" w:themeColor="text1"/>
                <w:spacing w:val="-4"/>
              </w:rPr>
              <w:t>ůst již jen</w:t>
            </w:r>
            <w:r>
              <w:rPr>
                <w:color w:val="000000" w:themeColor="text1"/>
                <w:spacing w:val="-4"/>
              </w:rPr>
              <w:t xml:space="preserve"> 5</w:t>
            </w:r>
            <w:r w:rsidRPr="005E4483">
              <w:rPr>
                <w:color w:val="000000" w:themeColor="text1"/>
                <w:spacing w:val="-4"/>
              </w:rPr>
              <w:t>,</w:t>
            </w:r>
            <w:r>
              <w:rPr>
                <w:color w:val="000000" w:themeColor="text1"/>
                <w:spacing w:val="-4"/>
              </w:rPr>
              <w:t>2</w:t>
            </w:r>
            <w:r w:rsidRPr="005E4483">
              <w:rPr>
                <w:spacing w:val="-4"/>
              </w:rPr>
              <w:t> </w:t>
            </w:r>
            <w:r w:rsidRPr="005E4483">
              <w:rPr>
                <w:color w:val="000000" w:themeColor="text1"/>
                <w:spacing w:val="-4"/>
              </w:rPr>
              <w:t xml:space="preserve">%, </w:t>
            </w:r>
            <w:r w:rsidRPr="005E4483">
              <w:rPr>
                <w:spacing w:val="-4"/>
              </w:rPr>
              <w:t>od konce poslední recese (1. čtvrtletí 2013) se produkce navýšila již o 49 %</w:t>
            </w:r>
            <w:r w:rsidRPr="005E4483">
              <w:rPr>
                <w:rStyle w:val="Znakapoznpodarou"/>
                <w:spacing w:val="-4"/>
              </w:rPr>
              <w:footnoteReference w:id="13"/>
            </w:r>
            <w:r w:rsidRPr="005E4483">
              <w:rPr>
                <w:spacing w:val="-4"/>
              </w:rPr>
              <w:t>. Reko</w:t>
            </w:r>
            <w:r w:rsidR="00595035">
              <w:rPr>
                <w:spacing w:val="-4"/>
              </w:rPr>
              <w:t xml:space="preserve">rdní hodnoty dosáhlo letos </w:t>
            </w:r>
            <w:r w:rsidRPr="005E4483">
              <w:rPr>
                <w:spacing w:val="-4"/>
              </w:rPr>
              <w:t>fyzické množství vyrobených osobních automobilů</w:t>
            </w:r>
            <w:r w:rsidR="00595035">
              <w:rPr>
                <w:spacing w:val="-4"/>
              </w:rPr>
              <w:t xml:space="preserve"> </w:t>
            </w:r>
            <w:r w:rsidR="00E6582D">
              <w:rPr>
                <w:spacing w:val="-4"/>
              </w:rPr>
              <w:t xml:space="preserve">podniky </w:t>
            </w:r>
            <w:r w:rsidR="00595035">
              <w:rPr>
                <w:spacing w:val="-4"/>
              </w:rPr>
              <w:t>v Česku</w:t>
            </w:r>
            <w:r w:rsidRPr="005E4483">
              <w:rPr>
                <w:rStyle w:val="Znakapoznpodarou"/>
                <w:spacing w:val="-4"/>
              </w:rPr>
              <w:footnoteReference w:id="14"/>
            </w:r>
            <w:r w:rsidRPr="005E4483">
              <w:rPr>
                <w:spacing w:val="-4"/>
              </w:rPr>
              <w:t>.</w:t>
            </w:r>
            <w:r w:rsidRPr="005E4483">
              <w:rPr>
                <w:color w:val="000000" w:themeColor="text1"/>
                <w:spacing w:val="-4"/>
              </w:rPr>
              <w:t xml:space="preserve"> </w:t>
            </w:r>
          </w:p>
          <w:p w:rsidR="00815F10" w:rsidRPr="00C17089" w:rsidRDefault="00815F10" w:rsidP="00815F10">
            <w:pPr>
              <w:pStyle w:val="Textpoznpodarou"/>
              <w:jc w:val="both"/>
              <w:rPr>
                <w:color w:val="000000" w:themeColor="text1"/>
                <w:spacing w:val="-4"/>
                <w:sz w:val="13"/>
                <w:szCs w:val="13"/>
              </w:rPr>
            </w:pPr>
          </w:p>
        </w:tc>
      </w:tr>
      <w:tr w:rsidR="00815F10" w:rsidRPr="00A74192" w:rsidTr="00815F10">
        <w:tc>
          <w:tcPr>
            <w:tcW w:w="1016" w:type="pct"/>
          </w:tcPr>
          <w:p w:rsidR="00815F10" w:rsidRPr="005E4483" w:rsidRDefault="00815F10" w:rsidP="00815F10">
            <w:pPr>
              <w:spacing w:line="240" w:lineRule="auto"/>
              <w:rPr>
                <w:color w:val="000000" w:themeColor="text1"/>
                <w:spacing w:val="-4"/>
                <w:sz w:val="16"/>
                <w:szCs w:val="16"/>
              </w:rPr>
            </w:pPr>
            <w:r w:rsidRPr="005E4483">
              <w:rPr>
                <w:color w:val="000000" w:themeColor="text1"/>
                <w:spacing w:val="-4"/>
                <w:sz w:val="16"/>
                <w:szCs w:val="16"/>
              </w:rPr>
              <w:t>Tempo růstu produkce ve výrobě elektrických zařízení letos výrazně zvolnilo navzdory dobrým výsledkům „bl</w:t>
            </w:r>
            <w:r w:rsidR="005D073B">
              <w:rPr>
                <w:color w:val="000000" w:themeColor="text1"/>
                <w:spacing w:val="-4"/>
                <w:sz w:val="16"/>
                <w:szCs w:val="16"/>
              </w:rPr>
              <w:t>ízkého“ automobilového průmyslu.</w:t>
            </w:r>
          </w:p>
        </w:tc>
        <w:tc>
          <w:tcPr>
            <w:tcW w:w="144" w:type="pct"/>
          </w:tcPr>
          <w:p w:rsidR="00815F10" w:rsidRPr="005E4483" w:rsidRDefault="00815F10" w:rsidP="00815F10">
            <w:pPr>
              <w:pStyle w:val="Textpoznpodarou"/>
              <w:jc w:val="both"/>
              <w:rPr>
                <w:color w:val="000000" w:themeColor="text1"/>
                <w:spacing w:val="-4"/>
              </w:rPr>
            </w:pPr>
          </w:p>
        </w:tc>
        <w:tc>
          <w:tcPr>
            <w:tcW w:w="3840" w:type="pct"/>
          </w:tcPr>
          <w:p w:rsidR="00815F10" w:rsidRPr="005E4483" w:rsidRDefault="00815F10" w:rsidP="00815F10">
            <w:pPr>
              <w:pStyle w:val="Textpoznpodarou"/>
              <w:jc w:val="both"/>
              <w:rPr>
                <w:color w:val="000000" w:themeColor="text1"/>
                <w:spacing w:val="-4"/>
              </w:rPr>
            </w:pPr>
            <w:r w:rsidRPr="005E4483">
              <w:rPr>
                <w:color w:val="000000" w:themeColor="text1"/>
                <w:spacing w:val="-4"/>
              </w:rPr>
              <w:t xml:space="preserve">Dařilo se i </w:t>
            </w:r>
            <w:r w:rsidRPr="005E4483">
              <w:rPr>
                <w:spacing w:val="-4"/>
              </w:rPr>
              <w:t>výrobcům ostatních (především</w:t>
            </w:r>
            <w:r>
              <w:rPr>
                <w:spacing w:val="-4"/>
              </w:rPr>
              <w:t xml:space="preserve"> kolejových) dopravních vozidel. Ti</w:t>
            </w:r>
            <w:r w:rsidRPr="005E4483">
              <w:rPr>
                <w:spacing w:val="-4"/>
              </w:rPr>
              <w:t xml:space="preserve"> letos svou p</w:t>
            </w:r>
            <w:r w:rsidR="0019156A">
              <w:rPr>
                <w:spacing w:val="-4"/>
              </w:rPr>
              <w:t>rodukci navýšili meziročně o 7,9</w:t>
            </w:r>
            <w:r w:rsidRPr="005E4483">
              <w:rPr>
                <w:spacing w:val="-4"/>
              </w:rPr>
              <w:t xml:space="preserve"> % (lon</w:t>
            </w:r>
            <w:r w:rsidR="0019156A">
              <w:rPr>
                <w:spacing w:val="-4"/>
              </w:rPr>
              <w:t>i o 3,2</w:t>
            </w:r>
            <w:r w:rsidRPr="005E4483">
              <w:rPr>
                <w:spacing w:val="-4"/>
              </w:rPr>
              <w:t xml:space="preserve"> %). Za loňskými tempy zaostalo gumárenství i plastikářství, přesto i letos rostlo svižněji (o</w:t>
            </w:r>
            <w:r w:rsidRPr="005E4483">
              <w:rPr>
                <w:color w:val="000000" w:themeColor="text1"/>
                <w:spacing w:val="-4"/>
              </w:rPr>
              <w:t> </w:t>
            </w:r>
            <w:r w:rsidRPr="005E4483">
              <w:rPr>
                <w:spacing w:val="-4"/>
              </w:rPr>
              <w:t>1,</w:t>
            </w:r>
            <w:r>
              <w:rPr>
                <w:spacing w:val="-4"/>
              </w:rPr>
              <w:t>5</w:t>
            </w:r>
            <w:r w:rsidRPr="005E4483">
              <w:rPr>
                <w:color w:val="000000" w:themeColor="text1"/>
                <w:spacing w:val="-4"/>
              </w:rPr>
              <w:t> </w:t>
            </w:r>
            <w:r w:rsidRPr="005E4483">
              <w:rPr>
                <w:spacing w:val="-4"/>
              </w:rPr>
              <w:t>p.b.) než zpracovatelský průmysl. Citelnější zpomalení bylo patrné v dalším oboru silně navázaném na automobilový průmysl – výrobě elektrických zařízení. Vlivem poklesu domácích i</w:t>
            </w:r>
            <w:r w:rsidRPr="005E4483">
              <w:rPr>
                <w:color w:val="000000" w:themeColor="text1"/>
                <w:spacing w:val="-4"/>
              </w:rPr>
              <w:t> </w:t>
            </w:r>
            <w:r w:rsidRPr="005E4483">
              <w:rPr>
                <w:spacing w:val="-4"/>
              </w:rPr>
              <w:t>zahraničních zakázek se</w:t>
            </w:r>
            <w:r>
              <w:rPr>
                <w:spacing w:val="-4"/>
              </w:rPr>
              <w:t xml:space="preserve"> růst produkce zredukoval na 0,7</w:t>
            </w:r>
            <w:r w:rsidRPr="005E4483">
              <w:rPr>
                <w:spacing w:val="-4"/>
              </w:rPr>
              <w:t xml:space="preserve"> % (z</w:t>
            </w:r>
            <w:r w:rsidRPr="005E4483">
              <w:rPr>
                <w:color w:val="000000" w:themeColor="text1"/>
                <w:spacing w:val="-4"/>
              </w:rPr>
              <w:t> </w:t>
            </w:r>
            <w:r w:rsidRPr="005E4483">
              <w:rPr>
                <w:spacing w:val="-4"/>
              </w:rPr>
              <w:t xml:space="preserve">loňských 8,4 %). </w:t>
            </w:r>
          </w:p>
          <w:p w:rsidR="00815F10" w:rsidRPr="00C17089" w:rsidRDefault="00815F10" w:rsidP="00815F10">
            <w:pPr>
              <w:pStyle w:val="Textpoznpodarou"/>
              <w:jc w:val="both"/>
              <w:rPr>
                <w:color w:val="000000" w:themeColor="text1"/>
                <w:spacing w:val="-4"/>
                <w:sz w:val="13"/>
                <w:szCs w:val="13"/>
              </w:rPr>
            </w:pPr>
          </w:p>
        </w:tc>
      </w:tr>
      <w:tr w:rsidR="00815F10" w:rsidRPr="00A74192" w:rsidTr="00815F10">
        <w:tc>
          <w:tcPr>
            <w:tcW w:w="1016" w:type="pct"/>
            <w:shd w:val="clear" w:color="auto" w:fill="auto"/>
          </w:tcPr>
          <w:p w:rsidR="00815F10" w:rsidRPr="005E4483" w:rsidRDefault="00815F10" w:rsidP="00815F10">
            <w:pPr>
              <w:spacing w:line="240" w:lineRule="auto"/>
              <w:rPr>
                <w:spacing w:val="-4"/>
                <w:sz w:val="16"/>
                <w:szCs w:val="16"/>
              </w:rPr>
            </w:pPr>
            <w:r w:rsidRPr="005E4483">
              <w:rPr>
                <w:spacing w:val="-4"/>
                <w:sz w:val="16"/>
                <w:szCs w:val="16"/>
              </w:rPr>
              <w:t>Pokračoval růst produkce ve váhově významném strojírenství, z menších oborů se dařilo zejména výrobcům nábytku</w:t>
            </w:r>
            <w:r w:rsidR="005D073B">
              <w:rPr>
                <w:spacing w:val="-4"/>
                <w:sz w:val="16"/>
                <w:szCs w:val="16"/>
              </w:rPr>
              <w:t>.</w:t>
            </w:r>
          </w:p>
        </w:tc>
        <w:tc>
          <w:tcPr>
            <w:tcW w:w="144" w:type="pct"/>
          </w:tcPr>
          <w:p w:rsidR="00815F10" w:rsidRPr="005E4483" w:rsidRDefault="00815F10" w:rsidP="00815F10">
            <w:pPr>
              <w:pStyle w:val="Textpoznpodarou"/>
              <w:jc w:val="both"/>
              <w:rPr>
                <w:spacing w:val="-4"/>
              </w:rPr>
            </w:pPr>
          </w:p>
        </w:tc>
        <w:tc>
          <w:tcPr>
            <w:tcW w:w="3840" w:type="pct"/>
          </w:tcPr>
          <w:p w:rsidR="00815F10" w:rsidRPr="005E4483" w:rsidRDefault="00815F10" w:rsidP="00815F10">
            <w:pPr>
              <w:pStyle w:val="Textpoznpodarou"/>
              <w:jc w:val="both"/>
              <w:rPr>
                <w:spacing w:val="-4"/>
              </w:rPr>
            </w:pPr>
            <w:r w:rsidRPr="005E4483">
              <w:rPr>
                <w:spacing w:val="-4"/>
              </w:rPr>
              <w:t>Z ostatn</w:t>
            </w:r>
            <w:r w:rsidR="00595035">
              <w:rPr>
                <w:spacing w:val="-4"/>
              </w:rPr>
              <w:t>ích významnějších oborů si letos</w:t>
            </w:r>
            <w:r w:rsidRPr="005E4483">
              <w:rPr>
                <w:spacing w:val="-4"/>
              </w:rPr>
              <w:t xml:space="preserve"> udržely r</w:t>
            </w:r>
            <w:r>
              <w:rPr>
                <w:spacing w:val="-4"/>
              </w:rPr>
              <w:t>ůst produkce strojírenství (+1,4</w:t>
            </w:r>
            <w:r w:rsidRPr="005E4483">
              <w:rPr>
                <w:spacing w:val="-4"/>
              </w:rPr>
              <w:t xml:space="preserve"> %), výroba počítačů, elektronických a optický</w:t>
            </w:r>
            <w:r w:rsidR="0019156A">
              <w:rPr>
                <w:spacing w:val="-4"/>
              </w:rPr>
              <w:t>ch přístrojů (3,7</w:t>
            </w:r>
            <w:r w:rsidRPr="005E4483">
              <w:rPr>
                <w:spacing w:val="-4"/>
              </w:rPr>
              <w:t xml:space="preserve"> %) a na domácí trh v</w:t>
            </w:r>
            <w:r>
              <w:rPr>
                <w:spacing w:val="-4"/>
              </w:rPr>
              <w:t>íce orientovaná kovovýroba (+5,2</w:t>
            </w:r>
            <w:r w:rsidRPr="005E4483">
              <w:rPr>
                <w:spacing w:val="-4"/>
              </w:rPr>
              <w:t xml:space="preserve"> %). Z menších odvětví se dařilo výrobcům nábytku (jejichž produkce za tři roky vzrostla o pětinu) či tiskárenství (těžící z vyšší tuzemské poptávky). Pokračovalo mírné oživení produkce dlouhodobě utlumeného oděvního průmyslu. Letošní produkce v textilním průmyslu se poprvé vyrovnala úrovni stejného období konjunkturního roku 2008 (této „mety“ bezmála polovina především menších zpracovatelských oborů </w:t>
            </w:r>
            <w:r w:rsidR="00595035" w:rsidRPr="005E4483">
              <w:rPr>
                <w:spacing w:val="-4"/>
              </w:rPr>
              <w:t xml:space="preserve">stále </w:t>
            </w:r>
            <w:r w:rsidRPr="005E4483">
              <w:rPr>
                <w:spacing w:val="-4"/>
              </w:rPr>
              <w:t>nedosáhla).</w:t>
            </w:r>
          </w:p>
          <w:p w:rsidR="00815F10" w:rsidRPr="00C17089" w:rsidRDefault="00815F10" w:rsidP="00815F10">
            <w:pPr>
              <w:pStyle w:val="Textpoznpodarou"/>
              <w:jc w:val="both"/>
              <w:rPr>
                <w:spacing w:val="-4"/>
                <w:sz w:val="13"/>
                <w:szCs w:val="13"/>
              </w:rPr>
            </w:pPr>
          </w:p>
        </w:tc>
      </w:tr>
      <w:tr w:rsidR="00815F10" w:rsidRPr="00A74192" w:rsidTr="00815F10">
        <w:tc>
          <w:tcPr>
            <w:tcW w:w="1016" w:type="pct"/>
            <w:shd w:val="clear" w:color="auto" w:fill="auto"/>
          </w:tcPr>
          <w:p w:rsidR="00815F10" w:rsidRPr="005E4483" w:rsidRDefault="00815F10" w:rsidP="00815F10">
            <w:pPr>
              <w:spacing w:line="240" w:lineRule="auto"/>
              <w:rPr>
                <w:spacing w:val="-4"/>
                <w:sz w:val="16"/>
                <w:szCs w:val="16"/>
              </w:rPr>
            </w:pPr>
            <w:r w:rsidRPr="005E4483">
              <w:rPr>
                <w:spacing w:val="-4"/>
                <w:sz w:val="16"/>
                <w:szCs w:val="16"/>
              </w:rPr>
              <w:t>Z významnějších zpracovatelských oborů klesala produkce jen v hutnictví, chemickém průmyslu a potravinářství</w:t>
            </w:r>
          </w:p>
          <w:p w:rsidR="00815F10" w:rsidRPr="005E4483" w:rsidRDefault="00815F10" w:rsidP="00815F10">
            <w:pPr>
              <w:spacing w:line="240" w:lineRule="auto"/>
              <w:rPr>
                <w:spacing w:val="-4"/>
                <w:sz w:val="16"/>
                <w:szCs w:val="16"/>
              </w:rPr>
            </w:pPr>
          </w:p>
        </w:tc>
        <w:tc>
          <w:tcPr>
            <w:tcW w:w="144" w:type="pct"/>
          </w:tcPr>
          <w:p w:rsidR="00815F10" w:rsidRPr="005E4483" w:rsidRDefault="00815F10" w:rsidP="00815F10">
            <w:pPr>
              <w:rPr>
                <w:spacing w:val="-4"/>
                <w:szCs w:val="20"/>
              </w:rPr>
            </w:pPr>
          </w:p>
        </w:tc>
        <w:tc>
          <w:tcPr>
            <w:tcW w:w="3840" w:type="pct"/>
          </w:tcPr>
          <w:p w:rsidR="00815F10" w:rsidRPr="005E4483" w:rsidRDefault="00815F10" w:rsidP="00815F10">
            <w:pPr>
              <w:pStyle w:val="Textpoznpodarou"/>
              <w:jc w:val="both"/>
              <w:rPr>
                <w:color w:val="000000" w:themeColor="text1"/>
                <w:spacing w:val="-4"/>
              </w:rPr>
            </w:pPr>
            <w:r w:rsidRPr="005E4483">
              <w:rPr>
                <w:spacing w:val="-4"/>
              </w:rPr>
              <w:t>Výkony celého zpracovatelského průmyslu letos srážel především chemický a</w:t>
            </w:r>
            <w:r w:rsidRPr="005E4483">
              <w:rPr>
                <w:color w:val="000000" w:themeColor="text1"/>
                <w:spacing w:val="-4"/>
              </w:rPr>
              <w:t> </w:t>
            </w:r>
            <w:r w:rsidRPr="005E4483">
              <w:rPr>
                <w:spacing w:val="-4"/>
              </w:rPr>
              <w:t>petrochemický průmysl, jejichž produkce byla po čtyři čtvrtletí omezena vinou havárií</w:t>
            </w:r>
            <w:r w:rsidRPr="005E4483">
              <w:rPr>
                <w:rStyle w:val="Znakapoznpodarou"/>
                <w:spacing w:val="-4"/>
              </w:rPr>
              <w:footnoteReference w:id="15"/>
            </w:r>
            <w:r w:rsidRPr="005E4483">
              <w:rPr>
                <w:spacing w:val="-4"/>
              </w:rPr>
              <w:t xml:space="preserve">. Samotný chemický průmysl </w:t>
            </w:r>
            <w:r>
              <w:rPr>
                <w:spacing w:val="-4"/>
              </w:rPr>
              <w:t>klesl</w:t>
            </w:r>
            <w:r w:rsidR="00595035">
              <w:rPr>
                <w:spacing w:val="-4"/>
              </w:rPr>
              <w:t xml:space="preserve"> proti loňskému 1.</w:t>
            </w:r>
            <w:r w:rsidR="00E6582D">
              <w:rPr>
                <w:spacing w:val="-4"/>
              </w:rPr>
              <w:t xml:space="preserve"> až </w:t>
            </w:r>
            <w:r w:rsidRPr="005E4483">
              <w:rPr>
                <w:spacing w:val="-4"/>
              </w:rPr>
              <w:t xml:space="preserve">3. čtvrtletí </w:t>
            </w:r>
            <w:r>
              <w:rPr>
                <w:spacing w:val="-4"/>
              </w:rPr>
              <w:t xml:space="preserve">o </w:t>
            </w:r>
            <w:r w:rsidR="0019156A">
              <w:rPr>
                <w:spacing w:val="-4"/>
              </w:rPr>
              <w:t>12,0</w:t>
            </w:r>
            <w:r>
              <w:rPr>
                <w:spacing w:val="-4"/>
              </w:rPr>
              <w:t>%</w:t>
            </w:r>
            <w:r w:rsidRPr="005E4483">
              <w:rPr>
                <w:spacing w:val="-4"/>
              </w:rPr>
              <w:t xml:space="preserve">. </w:t>
            </w:r>
            <w:r w:rsidRPr="005E4483">
              <w:rPr>
                <w:color w:val="000000" w:themeColor="text1"/>
                <w:spacing w:val="-4"/>
              </w:rPr>
              <w:t>Jednalo se přitom společně s váhově slabým dřevozpracujícím průmyslem o jediný zpracovatelský obor, jehož produkce svou úroveň z počátku roku 2013 (dno poslední recese ekonomiky) dosud nepřekonala. Naopak zahraniční vlivy (pokles cen vlivem přetlaku nabídky oceli na evropský</w:t>
            </w:r>
            <w:r>
              <w:rPr>
                <w:color w:val="000000" w:themeColor="text1"/>
                <w:spacing w:val="-4"/>
              </w:rPr>
              <w:t>ch trzích) vyústily v mírné (1,6</w:t>
            </w:r>
            <w:r w:rsidRPr="005E4483">
              <w:rPr>
                <w:color w:val="000000" w:themeColor="text1"/>
                <w:spacing w:val="-4"/>
              </w:rPr>
              <w:t xml:space="preserve">%) snížení produkce hutnictví a slévárenství. </w:t>
            </w:r>
            <w:r>
              <w:rPr>
                <w:color w:val="000000" w:themeColor="text1"/>
                <w:spacing w:val="-4"/>
              </w:rPr>
              <w:t xml:space="preserve">Nejslabší výsledek za posledních pět let dosáhlo letos </w:t>
            </w:r>
            <w:r>
              <w:rPr>
                <w:color w:val="000000"/>
                <w:spacing w:val="-4"/>
              </w:rPr>
              <w:t>stabilní</w:t>
            </w:r>
            <w:r w:rsidRPr="005E4483">
              <w:rPr>
                <w:color w:val="000000"/>
                <w:spacing w:val="-4"/>
              </w:rPr>
              <w:t xml:space="preserve"> (před</w:t>
            </w:r>
            <w:r>
              <w:rPr>
                <w:color w:val="000000"/>
                <w:spacing w:val="-4"/>
              </w:rPr>
              <w:t>evším na domácí trh orientované</w:t>
            </w:r>
            <w:r w:rsidRPr="005E4483">
              <w:rPr>
                <w:color w:val="000000"/>
                <w:spacing w:val="-4"/>
              </w:rPr>
              <w:t xml:space="preserve">) odvětví </w:t>
            </w:r>
            <w:r>
              <w:rPr>
                <w:color w:val="000000"/>
                <w:spacing w:val="-4"/>
              </w:rPr>
              <w:t>potravinářského průmyslu</w:t>
            </w:r>
            <w:r w:rsidRPr="005E4483">
              <w:rPr>
                <w:color w:val="000000"/>
                <w:spacing w:val="-4"/>
              </w:rPr>
              <w:t>.</w:t>
            </w:r>
          </w:p>
          <w:p w:rsidR="00815F10" w:rsidRPr="00C17089" w:rsidRDefault="00815F10" w:rsidP="00815F10">
            <w:pPr>
              <w:pStyle w:val="Textpoznpodarou"/>
              <w:jc w:val="both"/>
              <w:rPr>
                <w:spacing w:val="-4"/>
                <w:sz w:val="13"/>
                <w:szCs w:val="13"/>
              </w:rPr>
            </w:pPr>
          </w:p>
        </w:tc>
      </w:tr>
      <w:tr w:rsidR="00815F10" w:rsidRPr="00A74192" w:rsidTr="00815F10">
        <w:tc>
          <w:tcPr>
            <w:tcW w:w="1016" w:type="pct"/>
            <w:shd w:val="clear" w:color="auto" w:fill="auto"/>
          </w:tcPr>
          <w:p w:rsidR="00815F10" w:rsidRPr="002F3882" w:rsidRDefault="00815F10" w:rsidP="00815F10">
            <w:pPr>
              <w:spacing w:line="240" w:lineRule="auto"/>
              <w:rPr>
                <w:color w:val="0D0D0D" w:themeColor="text1" w:themeTint="F2"/>
                <w:spacing w:val="-4"/>
                <w:sz w:val="16"/>
                <w:szCs w:val="16"/>
              </w:rPr>
            </w:pPr>
            <w:r w:rsidRPr="002F3882">
              <w:rPr>
                <w:color w:val="0D0D0D" w:themeColor="text1" w:themeTint="F2"/>
                <w:spacing w:val="-4"/>
                <w:sz w:val="16"/>
                <w:szCs w:val="16"/>
              </w:rPr>
              <w:t>Meziroční tempa růstu nových průmyslo</w:t>
            </w:r>
            <w:r w:rsidR="00E6582D">
              <w:rPr>
                <w:color w:val="0D0D0D" w:themeColor="text1" w:themeTint="F2"/>
                <w:spacing w:val="-4"/>
                <w:sz w:val="16"/>
                <w:szCs w:val="16"/>
              </w:rPr>
              <w:t>vých zakázek oslabila v 1.i</w:t>
            </w:r>
            <w:r w:rsidR="00E6582D" w:rsidRPr="002F3882">
              <w:rPr>
                <w:color w:val="0D0D0D" w:themeColor="text1" w:themeTint="F2"/>
                <w:spacing w:val="-4"/>
                <w:sz w:val="16"/>
                <w:szCs w:val="16"/>
              </w:rPr>
              <w:t> </w:t>
            </w:r>
            <w:r w:rsidR="00E6582D">
              <w:rPr>
                <w:color w:val="0D0D0D" w:themeColor="text1" w:themeTint="F2"/>
                <w:spacing w:val="-4"/>
                <w:sz w:val="16"/>
                <w:szCs w:val="16"/>
              </w:rPr>
              <w:t>3.</w:t>
            </w:r>
            <w:r w:rsidR="00E6582D" w:rsidRPr="002F3882">
              <w:rPr>
                <w:color w:val="0D0D0D" w:themeColor="text1" w:themeTint="F2"/>
                <w:spacing w:val="-4"/>
                <w:sz w:val="16"/>
                <w:szCs w:val="16"/>
              </w:rPr>
              <w:t> </w:t>
            </w:r>
            <w:r w:rsidRPr="002F3882">
              <w:rPr>
                <w:color w:val="0D0D0D" w:themeColor="text1" w:themeTint="F2"/>
                <w:spacing w:val="-4"/>
                <w:sz w:val="16"/>
                <w:szCs w:val="16"/>
              </w:rPr>
              <w:t>čtvrtletí na nejnižší hodnoty od konce recese</w:t>
            </w:r>
          </w:p>
        </w:tc>
        <w:tc>
          <w:tcPr>
            <w:tcW w:w="144" w:type="pct"/>
          </w:tcPr>
          <w:p w:rsidR="00815F10" w:rsidRPr="005E4483" w:rsidRDefault="00815F10" w:rsidP="00815F10">
            <w:pPr>
              <w:pStyle w:val="Textpoznpodarou"/>
              <w:jc w:val="both"/>
              <w:rPr>
                <w:spacing w:val="-4"/>
              </w:rPr>
            </w:pPr>
          </w:p>
        </w:tc>
        <w:tc>
          <w:tcPr>
            <w:tcW w:w="3840" w:type="pct"/>
          </w:tcPr>
          <w:p w:rsidR="00815F10" w:rsidRPr="00D073BB" w:rsidRDefault="00815F10" w:rsidP="00DD2BD0">
            <w:pPr>
              <w:pStyle w:val="Textpoznpodarou"/>
              <w:jc w:val="both"/>
              <w:rPr>
                <w:spacing w:val="-4"/>
              </w:rPr>
            </w:pPr>
            <w:r w:rsidRPr="005E4483">
              <w:rPr>
                <w:color w:val="000000" w:themeColor="text1"/>
                <w:spacing w:val="-4"/>
              </w:rPr>
              <w:t>Tempo růstu nových průmyslových zakázek leto</w:t>
            </w:r>
            <w:r>
              <w:rPr>
                <w:color w:val="000000" w:themeColor="text1"/>
                <w:spacing w:val="-4"/>
              </w:rPr>
              <w:t xml:space="preserve">s zpomalovalo. </w:t>
            </w:r>
            <w:r w:rsidR="00DD2BD0">
              <w:rPr>
                <w:color w:val="000000" w:themeColor="text1"/>
                <w:spacing w:val="-4"/>
              </w:rPr>
              <w:t xml:space="preserve">(z 10,1 % </w:t>
            </w:r>
            <w:r>
              <w:rPr>
                <w:color w:val="000000" w:themeColor="text1"/>
                <w:spacing w:val="-4"/>
              </w:rPr>
              <w:t>ve</w:t>
            </w:r>
            <w:r w:rsidR="007D3CF7">
              <w:rPr>
                <w:color w:val="000000" w:themeColor="text1"/>
                <w:spacing w:val="-4"/>
              </w:rPr>
              <w:t xml:space="preserve"> 2.</w:t>
            </w:r>
            <w:r w:rsidR="007D3CF7" w:rsidRPr="005E4483">
              <w:rPr>
                <w:color w:val="000000" w:themeColor="text1"/>
                <w:spacing w:val="-4"/>
              </w:rPr>
              <w:t> </w:t>
            </w:r>
            <w:r w:rsidR="00DD2BD0">
              <w:rPr>
                <w:color w:val="000000" w:themeColor="text1"/>
                <w:spacing w:val="-4"/>
              </w:rPr>
              <w:t>čtvrtletí na 1,3 % v následujícím kvartálu).</w:t>
            </w:r>
            <w:r>
              <w:rPr>
                <w:color w:val="000000" w:themeColor="text1"/>
                <w:spacing w:val="-4"/>
              </w:rPr>
              <w:t xml:space="preserve"> </w:t>
            </w:r>
            <w:r w:rsidRPr="005E4483">
              <w:rPr>
                <w:spacing w:val="-4"/>
              </w:rPr>
              <w:t>Dlouhodobě se příznivěji vyvíjely zahraniční zakázky, neboť hodnota objednávek z tuzemska již fakticky pět čtvrtletí v řadě stagnovala. Zatímco ve 2. čtvrtletí (podobně jako v celém předchozím roce) táhla růst zahraničních zakázek primárně výroba motorových vozidel, v letním období byl mírný růst zahraniční poptávky rozprostřen do více dílčích odvětví. V</w:t>
            </w:r>
            <w:r>
              <w:rPr>
                <w:spacing w:val="-4"/>
              </w:rPr>
              <w:t>edle producentů automobilů (+6,8</w:t>
            </w:r>
            <w:r w:rsidRPr="005E4483">
              <w:rPr>
                <w:spacing w:val="-4"/>
              </w:rPr>
              <w:t xml:space="preserve"> % 3. čtvrtletí) se dařilo také vý</w:t>
            </w:r>
            <w:r>
              <w:rPr>
                <w:spacing w:val="-4"/>
              </w:rPr>
              <w:t>robcům kolejových vozidel (+17 %)</w:t>
            </w:r>
            <w:r w:rsidRPr="005E4483">
              <w:rPr>
                <w:spacing w:val="-4"/>
              </w:rPr>
              <w:t xml:space="preserve">, zahraniční poptávka meziročně sílila také ve </w:t>
            </w:r>
            <w:r>
              <w:rPr>
                <w:spacing w:val="-4"/>
              </w:rPr>
              <w:t xml:space="preserve">výrobě </w:t>
            </w:r>
            <w:r w:rsidRPr="005E4483">
              <w:rPr>
                <w:spacing w:val="-4"/>
              </w:rPr>
              <w:t>počítačů, elektronických a</w:t>
            </w:r>
            <w:r>
              <w:rPr>
                <w:color w:val="000000" w:themeColor="text1"/>
                <w:spacing w:val="-4"/>
              </w:rPr>
              <w:t> </w:t>
            </w:r>
            <w:r w:rsidRPr="005E4483">
              <w:rPr>
                <w:spacing w:val="-4"/>
              </w:rPr>
              <w:t>optický</w:t>
            </w:r>
            <w:r>
              <w:rPr>
                <w:spacing w:val="-4"/>
              </w:rPr>
              <w:t xml:space="preserve">ch přístrojů, jakož i ve </w:t>
            </w:r>
            <w:r w:rsidRPr="005E4483">
              <w:rPr>
                <w:spacing w:val="-4"/>
              </w:rPr>
              <w:t>farmaceutickém průmyslu. Hlubší poklesy se zastavily v hutnictví a slévárenství, byť jen v případě zahraničních zakázek.</w:t>
            </w:r>
            <w:r>
              <w:rPr>
                <w:spacing w:val="-4"/>
              </w:rPr>
              <w:t xml:space="preserve"> Dlouhodobě omezené výrobní kapacity v chemickém průmyslu se odrazily v hlubokých propadech nových zakázek, především z tuzemska </w:t>
            </w:r>
          </w:p>
        </w:tc>
      </w:tr>
      <w:tr w:rsidR="00815F10" w:rsidRPr="00A74192" w:rsidTr="00815F10">
        <w:tc>
          <w:tcPr>
            <w:tcW w:w="1016" w:type="pct"/>
            <w:shd w:val="clear" w:color="auto" w:fill="auto"/>
          </w:tcPr>
          <w:p w:rsidR="00815F10" w:rsidRPr="005E4483" w:rsidRDefault="00815F10" w:rsidP="00815F10">
            <w:pPr>
              <w:spacing w:line="240" w:lineRule="auto"/>
              <w:rPr>
                <w:spacing w:val="-4"/>
                <w:sz w:val="16"/>
                <w:szCs w:val="16"/>
              </w:rPr>
            </w:pPr>
            <w:r w:rsidRPr="005E4483">
              <w:rPr>
                <w:spacing w:val="-4"/>
                <w:sz w:val="16"/>
                <w:szCs w:val="16"/>
              </w:rPr>
              <w:lastRenderedPageBreak/>
              <w:t>Mírně pozitivní krátkodobá očekáván</w:t>
            </w:r>
            <w:r w:rsidR="007D3CF7">
              <w:rPr>
                <w:spacing w:val="-4"/>
                <w:sz w:val="16"/>
                <w:szCs w:val="16"/>
              </w:rPr>
              <w:t>í průmyslových podniků přetrvávají</w:t>
            </w:r>
            <w:r w:rsidRPr="005E4483">
              <w:rPr>
                <w:spacing w:val="-4"/>
                <w:sz w:val="16"/>
                <w:szCs w:val="16"/>
              </w:rPr>
              <w:t xml:space="preserve"> již od konce roku 2013</w:t>
            </w:r>
          </w:p>
          <w:p w:rsidR="00815F10" w:rsidRDefault="00815F10" w:rsidP="00815F10">
            <w:pPr>
              <w:spacing w:line="240" w:lineRule="auto"/>
              <w:rPr>
                <w:spacing w:val="-4"/>
                <w:sz w:val="16"/>
                <w:szCs w:val="16"/>
              </w:rPr>
            </w:pPr>
          </w:p>
          <w:p w:rsidR="00B75700" w:rsidRPr="005E4483" w:rsidRDefault="00B75700" w:rsidP="00815F10">
            <w:pPr>
              <w:spacing w:line="240" w:lineRule="auto"/>
              <w:rPr>
                <w:spacing w:val="-4"/>
                <w:sz w:val="16"/>
                <w:szCs w:val="16"/>
              </w:rPr>
            </w:pPr>
          </w:p>
          <w:p w:rsidR="00815F10" w:rsidRPr="005E4483" w:rsidRDefault="00815F10" w:rsidP="00815F10">
            <w:pPr>
              <w:spacing w:line="240" w:lineRule="auto"/>
              <w:rPr>
                <w:spacing w:val="-4"/>
                <w:sz w:val="16"/>
                <w:szCs w:val="16"/>
              </w:rPr>
            </w:pPr>
            <w:r w:rsidRPr="005E4483">
              <w:rPr>
                <w:spacing w:val="-4"/>
                <w:sz w:val="16"/>
                <w:szCs w:val="16"/>
              </w:rPr>
              <w:t xml:space="preserve">Ve 4. čtvrtletí prudce vzrostl podíl podniků považujících nedostatek pracovní </w:t>
            </w:r>
            <w:r w:rsidR="007D3CF7">
              <w:rPr>
                <w:spacing w:val="-4"/>
                <w:sz w:val="16"/>
                <w:szCs w:val="16"/>
              </w:rPr>
              <w:t>síly za významnou bariéru růstu</w:t>
            </w:r>
            <w:r w:rsidRPr="005E4483">
              <w:rPr>
                <w:spacing w:val="-4"/>
                <w:sz w:val="16"/>
                <w:szCs w:val="16"/>
              </w:rPr>
              <w:t xml:space="preserve"> </w:t>
            </w:r>
          </w:p>
        </w:tc>
        <w:tc>
          <w:tcPr>
            <w:tcW w:w="144" w:type="pct"/>
          </w:tcPr>
          <w:p w:rsidR="00815F10" w:rsidRPr="005E4483" w:rsidRDefault="00815F10" w:rsidP="00815F10">
            <w:pPr>
              <w:pStyle w:val="Textpoznpodarou"/>
              <w:jc w:val="both"/>
              <w:rPr>
                <w:spacing w:val="-4"/>
              </w:rPr>
            </w:pPr>
          </w:p>
        </w:tc>
        <w:tc>
          <w:tcPr>
            <w:tcW w:w="3840" w:type="pct"/>
          </w:tcPr>
          <w:p w:rsidR="00815F10" w:rsidRPr="005E4483" w:rsidRDefault="00815F10" w:rsidP="00815F10">
            <w:pPr>
              <w:pStyle w:val="Textpoznpodarou"/>
              <w:jc w:val="both"/>
              <w:rPr>
                <w:color w:val="000000" w:themeColor="text1"/>
                <w:spacing w:val="-4"/>
              </w:rPr>
            </w:pPr>
            <w:r w:rsidRPr="005E4483">
              <w:rPr>
                <w:spacing w:val="-4"/>
              </w:rPr>
              <w:t>Pozitivní nálada podnikatelů v průmyslu, která se s mí</w:t>
            </w:r>
            <w:r w:rsidR="007D3CF7">
              <w:rPr>
                <w:spacing w:val="-4"/>
              </w:rPr>
              <w:t xml:space="preserve">rnými výkyvy projevuje již od </w:t>
            </w:r>
            <w:r w:rsidRPr="005E4483">
              <w:rPr>
                <w:spacing w:val="-4"/>
              </w:rPr>
              <w:t>konce roku 2013</w:t>
            </w:r>
            <w:r w:rsidR="007D3CF7">
              <w:rPr>
                <w:spacing w:val="-4"/>
              </w:rPr>
              <w:t>,</w:t>
            </w:r>
            <w:r w:rsidRPr="005E4483">
              <w:rPr>
                <w:spacing w:val="-4"/>
              </w:rPr>
              <w:t xml:space="preserve"> nadále přetrvává. </w:t>
            </w:r>
            <w:r w:rsidRPr="005E4483">
              <w:rPr>
                <w:color w:val="000000" w:themeColor="text1"/>
                <w:spacing w:val="-4"/>
              </w:rPr>
              <w:t>V říjnu očekávala růst u výrobní činnosti v příštích třech měsících pětina průmyslových podniků (podobně jako vloni). Přibírat zaměstnance se chystalo 19 % (loni v říjnu 15 %), snižovat stavy plánovalo 7 % podniků (především těžebních). Již osm čtvrtletí v řadě se zvyšuje podíl podniků, které považují nedostatek pracovní síly za bariéru růstu</w:t>
            </w:r>
            <w:r w:rsidRPr="005E4483">
              <w:rPr>
                <w:rStyle w:val="Znakapoznpodarou"/>
                <w:color w:val="000000" w:themeColor="text1"/>
                <w:spacing w:val="-4"/>
              </w:rPr>
              <w:footnoteReference w:id="16"/>
            </w:r>
            <w:r w:rsidRPr="005E4483">
              <w:rPr>
                <w:color w:val="000000" w:themeColor="text1"/>
                <w:spacing w:val="-4"/>
              </w:rPr>
              <w:t xml:space="preserve">. Na počátku 4. </w:t>
            </w:r>
            <w:r w:rsidR="007D3CF7">
              <w:rPr>
                <w:color w:val="000000" w:themeColor="text1"/>
                <w:spacing w:val="-4"/>
              </w:rPr>
              <w:t>čtvrtletí dosáhl tento podíl</w:t>
            </w:r>
            <w:r w:rsidRPr="005E4483">
              <w:rPr>
                <w:color w:val="000000" w:themeColor="text1"/>
                <w:spacing w:val="-4"/>
              </w:rPr>
              <w:t xml:space="preserve"> 29 %. Proti sklonku minulého roku byl již dvojnásobný a zároveň se</w:t>
            </w:r>
            <w:r w:rsidR="00C40E09">
              <w:rPr>
                <w:color w:val="000000" w:themeColor="text1"/>
                <w:spacing w:val="-4"/>
              </w:rPr>
              <w:t xml:space="preserve"> blížil dosud rekordní úrovni </w:t>
            </w:r>
            <w:r w:rsidRPr="005E4483">
              <w:rPr>
                <w:color w:val="000000" w:themeColor="text1"/>
                <w:spacing w:val="-4"/>
              </w:rPr>
              <w:t xml:space="preserve">z doby konjunktury. </w:t>
            </w:r>
            <w:r w:rsidR="00C40E09">
              <w:rPr>
                <w:color w:val="000000" w:themeColor="text1"/>
                <w:spacing w:val="-4"/>
              </w:rPr>
              <w:t xml:space="preserve">Počet pracovníků v automobilovém průmyslu </w:t>
            </w:r>
            <w:r w:rsidR="006B23D8">
              <w:rPr>
                <w:color w:val="000000" w:themeColor="text1"/>
                <w:spacing w:val="-4"/>
              </w:rPr>
              <w:t xml:space="preserve">letos </w:t>
            </w:r>
            <w:r w:rsidR="00C40E09">
              <w:rPr>
                <w:color w:val="000000" w:themeColor="text1"/>
                <w:spacing w:val="-4"/>
              </w:rPr>
              <w:t>rostl</w:t>
            </w:r>
            <w:r w:rsidR="006B23D8">
              <w:rPr>
                <w:color w:val="000000" w:themeColor="text1"/>
                <w:spacing w:val="-4"/>
              </w:rPr>
              <w:t xml:space="preserve"> meziročně dvojnásobným tempem než v celém zpracovatelském průmyslu. Průměrné mzdy se podobně jako loni relativně nejvíce navýšily </w:t>
            </w:r>
            <w:r w:rsidR="00B75700">
              <w:rPr>
                <w:color w:val="000000" w:themeColor="text1"/>
                <w:spacing w:val="-4"/>
              </w:rPr>
              <w:t xml:space="preserve">především </w:t>
            </w:r>
            <w:r w:rsidR="006B23D8">
              <w:rPr>
                <w:color w:val="000000" w:themeColor="text1"/>
                <w:spacing w:val="-4"/>
              </w:rPr>
              <w:t>v menších zpracovatelských oborech s dlouhodobě nízkou úrovní výdělků.</w:t>
            </w:r>
          </w:p>
          <w:p w:rsidR="00815F10" w:rsidRPr="00E53C14" w:rsidRDefault="00815F10" w:rsidP="00815F10">
            <w:pPr>
              <w:pStyle w:val="Textpoznpodarou"/>
              <w:jc w:val="both"/>
              <w:rPr>
                <w:spacing w:val="-4"/>
                <w:sz w:val="14"/>
                <w:szCs w:val="14"/>
              </w:rPr>
            </w:pPr>
          </w:p>
        </w:tc>
      </w:tr>
      <w:tr w:rsidR="00815F10" w:rsidRPr="00A74192" w:rsidTr="00815F10">
        <w:tc>
          <w:tcPr>
            <w:tcW w:w="1016" w:type="pct"/>
          </w:tcPr>
          <w:p w:rsidR="00815F10" w:rsidRDefault="00F80D1E" w:rsidP="00815F10">
            <w:pPr>
              <w:spacing w:line="240" w:lineRule="auto"/>
              <w:rPr>
                <w:color w:val="000000" w:themeColor="text1"/>
                <w:spacing w:val="-4"/>
                <w:sz w:val="16"/>
                <w:szCs w:val="16"/>
              </w:rPr>
            </w:pPr>
            <w:r>
              <w:rPr>
                <w:color w:val="000000" w:themeColor="text1"/>
                <w:spacing w:val="-4"/>
                <w:sz w:val="16"/>
                <w:szCs w:val="16"/>
              </w:rPr>
              <w:t>Po odeznění prorůstového efektu</w:t>
            </w:r>
            <w:r w:rsidR="00815F10" w:rsidRPr="005E4483">
              <w:rPr>
                <w:color w:val="000000" w:themeColor="text1"/>
                <w:spacing w:val="-4"/>
                <w:sz w:val="16"/>
                <w:szCs w:val="16"/>
              </w:rPr>
              <w:t xml:space="preserve"> evropských dotací </w:t>
            </w:r>
            <w:r>
              <w:rPr>
                <w:color w:val="000000" w:themeColor="text1"/>
                <w:spacing w:val="-4"/>
                <w:sz w:val="16"/>
                <w:szCs w:val="16"/>
              </w:rPr>
              <w:t xml:space="preserve">setrvávalo stavebnictví v hlubokých </w:t>
            </w:r>
            <w:r w:rsidR="00815F10" w:rsidRPr="005E4483">
              <w:rPr>
                <w:color w:val="000000" w:themeColor="text1"/>
                <w:spacing w:val="-4"/>
                <w:sz w:val="16"/>
                <w:szCs w:val="16"/>
              </w:rPr>
              <w:t>poklesech,</w:t>
            </w:r>
            <w:r>
              <w:rPr>
                <w:color w:val="000000" w:themeColor="text1"/>
                <w:spacing w:val="-4"/>
                <w:sz w:val="16"/>
                <w:szCs w:val="16"/>
              </w:rPr>
              <w:t xml:space="preserve"> stavební produkce mezičtvrtletně</w:t>
            </w:r>
            <w:r w:rsidR="00815F10" w:rsidRPr="005E4483">
              <w:rPr>
                <w:color w:val="000000" w:themeColor="text1"/>
                <w:spacing w:val="-4"/>
                <w:sz w:val="16"/>
                <w:szCs w:val="16"/>
              </w:rPr>
              <w:t xml:space="preserve"> klesala již popáté v</w:t>
            </w:r>
            <w:r w:rsidR="007430AB">
              <w:rPr>
                <w:color w:val="000000" w:themeColor="text1"/>
                <w:spacing w:val="-4"/>
                <w:sz w:val="16"/>
                <w:szCs w:val="16"/>
              </w:rPr>
              <w:t> </w:t>
            </w:r>
            <w:r w:rsidR="00815F10" w:rsidRPr="005E4483">
              <w:rPr>
                <w:color w:val="000000" w:themeColor="text1"/>
                <w:spacing w:val="-4"/>
                <w:sz w:val="16"/>
                <w:szCs w:val="16"/>
              </w:rPr>
              <w:t>řadě</w:t>
            </w:r>
          </w:p>
          <w:p w:rsidR="007430AB" w:rsidRDefault="007430AB" w:rsidP="00815F10">
            <w:pPr>
              <w:spacing w:line="240" w:lineRule="auto"/>
              <w:rPr>
                <w:color w:val="000000" w:themeColor="text1"/>
                <w:spacing w:val="-4"/>
                <w:sz w:val="16"/>
                <w:szCs w:val="16"/>
              </w:rPr>
            </w:pPr>
          </w:p>
          <w:p w:rsidR="007430AB" w:rsidRPr="005E4483" w:rsidRDefault="007430AB" w:rsidP="00815F10">
            <w:pPr>
              <w:spacing w:line="240" w:lineRule="auto"/>
              <w:rPr>
                <w:color w:val="000000" w:themeColor="text1"/>
                <w:spacing w:val="-4"/>
                <w:sz w:val="16"/>
                <w:szCs w:val="16"/>
              </w:rPr>
            </w:pPr>
            <w:r w:rsidRPr="005E4483">
              <w:rPr>
                <w:color w:val="000000" w:themeColor="text1"/>
                <w:spacing w:val="-4"/>
                <w:sz w:val="16"/>
                <w:szCs w:val="16"/>
              </w:rPr>
              <w:t>Letošní stavební produkce byla blízká úrovni prvních tří čtvrtletí roku 2014</w:t>
            </w:r>
          </w:p>
        </w:tc>
        <w:tc>
          <w:tcPr>
            <w:tcW w:w="144" w:type="pct"/>
          </w:tcPr>
          <w:p w:rsidR="00815F10" w:rsidRPr="005E4483" w:rsidRDefault="00815F10" w:rsidP="00815F10">
            <w:pPr>
              <w:pStyle w:val="Textpoznpodarou"/>
              <w:jc w:val="both"/>
              <w:rPr>
                <w:spacing w:val="-4"/>
              </w:rPr>
            </w:pPr>
          </w:p>
        </w:tc>
        <w:tc>
          <w:tcPr>
            <w:tcW w:w="3840" w:type="pct"/>
          </w:tcPr>
          <w:p w:rsidR="00815F10" w:rsidRPr="007430AB" w:rsidRDefault="00815F10" w:rsidP="00815F10">
            <w:pPr>
              <w:pStyle w:val="Textpoznpodarou"/>
              <w:jc w:val="both"/>
              <w:rPr>
                <w:spacing w:val="-4"/>
              </w:rPr>
            </w:pPr>
            <w:r w:rsidRPr="005E4483">
              <w:rPr>
                <w:spacing w:val="-4"/>
              </w:rPr>
              <w:t xml:space="preserve">Produkce </w:t>
            </w:r>
            <w:r w:rsidR="00517567">
              <w:rPr>
                <w:spacing w:val="-4"/>
              </w:rPr>
              <w:t xml:space="preserve">ve stavebnictví se po </w:t>
            </w:r>
            <w:r w:rsidRPr="005E4483">
              <w:rPr>
                <w:spacing w:val="-4"/>
              </w:rPr>
              <w:t>růstu z předchozích dvou let letos opět vrátila k hlubším meziročním poklesům</w:t>
            </w:r>
            <w:r w:rsidRPr="005E4483">
              <w:rPr>
                <w:rStyle w:val="Znakapoznpodarou"/>
                <w:spacing w:val="-4"/>
              </w:rPr>
              <w:footnoteReference w:id="17"/>
            </w:r>
            <w:r w:rsidRPr="005E4483">
              <w:rPr>
                <w:spacing w:val="-4"/>
              </w:rPr>
              <w:t xml:space="preserve">. Za </w:t>
            </w:r>
            <w:r w:rsidR="00517567">
              <w:rPr>
                <w:spacing w:val="-4"/>
              </w:rPr>
              <w:t>tři čtvrtletí se snížila o téměř</w:t>
            </w:r>
            <w:r w:rsidRPr="005E4483">
              <w:rPr>
                <w:spacing w:val="-4"/>
              </w:rPr>
              <w:t xml:space="preserve"> desetinu. Šlo </w:t>
            </w:r>
            <w:r w:rsidR="00517567">
              <w:rPr>
                <w:spacing w:val="-4"/>
              </w:rPr>
              <w:t>(společně s rokem 2010)</w:t>
            </w:r>
            <w:r w:rsidRPr="005E4483">
              <w:rPr>
                <w:spacing w:val="-4"/>
              </w:rPr>
              <w:t xml:space="preserve"> o nejhlubší meziroční pokles celého odvětví po roce 2000. Meziroční dynamika se v jednotlivých čtvrtletích 2016 příliš neměnila. V mezičtvrtletním vyjádření se produkce snížila již popáté v řadě. Za loňskou úrovní v letošním </w:t>
            </w:r>
            <w:r w:rsidR="007D3CF7">
              <w:rPr>
                <w:spacing w:val="-4"/>
              </w:rPr>
              <w:t>1. až 3. čtvrtletí výrazně zaostalo</w:t>
            </w:r>
            <w:r w:rsidRPr="005E4483">
              <w:rPr>
                <w:spacing w:val="-4"/>
              </w:rPr>
              <w:t xml:space="preserve"> ja</w:t>
            </w:r>
            <w:r w:rsidR="00517567">
              <w:rPr>
                <w:spacing w:val="-4"/>
              </w:rPr>
              <w:t>k inženýrské stavitelství (-16,3</w:t>
            </w:r>
            <w:r w:rsidRPr="005E4483">
              <w:rPr>
                <w:spacing w:val="-4"/>
              </w:rPr>
              <w:t xml:space="preserve"> %), tak i váhově významnější pozemní stavitelství</w:t>
            </w:r>
            <w:r w:rsidR="00517567">
              <w:rPr>
                <w:spacing w:val="-4"/>
              </w:rPr>
              <w:t xml:space="preserve"> (-6,4</w:t>
            </w:r>
            <w:r w:rsidRPr="005E4483">
              <w:rPr>
                <w:spacing w:val="-4"/>
              </w:rPr>
              <w:t xml:space="preserve"> %). </w:t>
            </w:r>
            <w:r w:rsidR="007430AB" w:rsidRPr="005E4483">
              <w:rPr>
                <w:spacing w:val="-4"/>
              </w:rPr>
              <w:t xml:space="preserve">Výkon </w:t>
            </w:r>
            <w:r w:rsidR="007430AB">
              <w:rPr>
                <w:spacing w:val="-4"/>
              </w:rPr>
              <w:t xml:space="preserve">celého </w:t>
            </w:r>
            <w:r w:rsidR="007430AB" w:rsidRPr="005E4483">
              <w:rPr>
                <w:spacing w:val="-4"/>
              </w:rPr>
              <w:t>stavebnictví se letos nac</w:t>
            </w:r>
            <w:r w:rsidR="00517567">
              <w:rPr>
                <w:spacing w:val="-4"/>
              </w:rPr>
              <w:t>házel o 22,7</w:t>
            </w:r>
            <w:r w:rsidR="007430AB">
              <w:rPr>
                <w:spacing w:val="-4"/>
              </w:rPr>
              <w:t xml:space="preserve"> % pod úrovní 1. až 3. čtvr</w:t>
            </w:r>
            <w:r w:rsidR="007430AB" w:rsidRPr="005E4483">
              <w:rPr>
                <w:spacing w:val="-4"/>
              </w:rPr>
              <w:t>tletí roku 2008. Proti předloňské úrovni produkce (ve které se už částečně projevoval efekt dočerpávání evrops</w:t>
            </w:r>
            <w:r w:rsidR="00517567">
              <w:rPr>
                <w:spacing w:val="-4"/>
              </w:rPr>
              <w:t>kých dotací) ale zaostal jen o 0,6 %</w:t>
            </w:r>
            <w:r w:rsidR="007430AB" w:rsidRPr="005E4483">
              <w:rPr>
                <w:spacing w:val="-4"/>
              </w:rPr>
              <w:t>. Loňský rok je třeba vnímat jako mimořádný a z hlediska rozsahu zapojením veřejných investic obtížně opakovatelný.</w:t>
            </w:r>
          </w:p>
          <w:p w:rsidR="00815F10" w:rsidRPr="00E53C14" w:rsidRDefault="00815F10" w:rsidP="00815F10">
            <w:pPr>
              <w:pStyle w:val="Textpoznpodarou"/>
              <w:jc w:val="both"/>
              <w:rPr>
                <w:spacing w:val="-4"/>
                <w:sz w:val="14"/>
                <w:szCs w:val="14"/>
              </w:rPr>
            </w:pPr>
          </w:p>
        </w:tc>
      </w:tr>
      <w:tr w:rsidR="00815F10" w:rsidRPr="00A74192" w:rsidTr="00815F10">
        <w:tc>
          <w:tcPr>
            <w:tcW w:w="1016" w:type="pct"/>
          </w:tcPr>
          <w:p w:rsidR="00815F10" w:rsidRPr="005E4483" w:rsidRDefault="00815F10" w:rsidP="00F80D1E">
            <w:pPr>
              <w:pStyle w:val="Textpoznpodarou"/>
              <w:rPr>
                <w:spacing w:val="-4"/>
                <w:sz w:val="16"/>
                <w:szCs w:val="16"/>
              </w:rPr>
            </w:pPr>
            <w:r w:rsidRPr="005E4483">
              <w:rPr>
                <w:spacing w:val="-4"/>
                <w:sz w:val="16"/>
                <w:szCs w:val="16"/>
              </w:rPr>
              <w:t>Hodnota nových stavebních zakázek byla mez</w:t>
            </w:r>
            <w:r w:rsidR="007D3CF7">
              <w:rPr>
                <w:spacing w:val="-4"/>
                <w:sz w:val="16"/>
                <w:szCs w:val="16"/>
              </w:rPr>
              <w:t>iročně slabší již páté čtvrtletí</w:t>
            </w:r>
            <w:r w:rsidRPr="005E4483">
              <w:rPr>
                <w:spacing w:val="-4"/>
                <w:sz w:val="16"/>
                <w:szCs w:val="16"/>
              </w:rPr>
              <w:t xml:space="preserve"> v řadě</w:t>
            </w:r>
          </w:p>
          <w:p w:rsidR="00815F10" w:rsidRPr="005E4483" w:rsidRDefault="00815F10" w:rsidP="00815F10">
            <w:pPr>
              <w:pStyle w:val="Textpoznpodarou"/>
              <w:jc w:val="both"/>
              <w:rPr>
                <w:spacing w:val="-4"/>
                <w:sz w:val="16"/>
                <w:szCs w:val="16"/>
              </w:rPr>
            </w:pPr>
          </w:p>
          <w:p w:rsidR="00815F10" w:rsidRPr="005E4483" w:rsidRDefault="00815F10" w:rsidP="00815F10">
            <w:pPr>
              <w:pStyle w:val="Textpoznpodarou"/>
              <w:jc w:val="both"/>
              <w:rPr>
                <w:spacing w:val="-4"/>
                <w:sz w:val="16"/>
                <w:szCs w:val="16"/>
              </w:rPr>
            </w:pPr>
          </w:p>
          <w:p w:rsidR="00815F10" w:rsidRPr="005E4483" w:rsidRDefault="00815F10" w:rsidP="00815F10">
            <w:pPr>
              <w:pStyle w:val="Textpoznpodarou"/>
              <w:jc w:val="both"/>
              <w:rPr>
                <w:spacing w:val="-4"/>
                <w:sz w:val="16"/>
                <w:szCs w:val="16"/>
              </w:rPr>
            </w:pPr>
          </w:p>
          <w:p w:rsidR="00815F10" w:rsidRPr="005E4483" w:rsidRDefault="00815F10" w:rsidP="00815F10">
            <w:pPr>
              <w:pStyle w:val="Textpoznpodarou"/>
              <w:jc w:val="both"/>
              <w:rPr>
                <w:spacing w:val="-4"/>
                <w:sz w:val="16"/>
                <w:szCs w:val="16"/>
              </w:rPr>
            </w:pPr>
          </w:p>
          <w:p w:rsidR="00815F10" w:rsidRPr="005E4483" w:rsidRDefault="00815F10" w:rsidP="00815F10">
            <w:pPr>
              <w:pStyle w:val="Textpoznpodarou"/>
              <w:rPr>
                <w:spacing w:val="-4"/>
                <w:sz w:val="16"/>
                <w:szCs w:val="16"/>
              </w:rPr>
            </w:pPr>
            <w:r w:rsidRPr="005E4483">
              <w:rPr>
                <w:spacing w:val="-4"/>
                <w:sz w:val="16"/>
                <w:szCs w:val="16"/>
              </w:rPr>
              <w:t xml:space="preserve">Snížila se i celková zásoba práce, především vlivem veřejných zakázek – hodnotově meziročně o pětinu nižších </w:t>
            </w:r>
          </w:p>
          <w:p w:rsidR="00815F10" w:rsidRPr="005E4483" w:rsidRDefault="00815F10" w:rsidP="00815F10">
            <w:pPr>
              <w:pStyle w:val="Textpoznpodarou"/>
              <w:rPr>
                <w:spacing w:val="-4"/>
                <w:sz w:val="16"/>
                <w:szCs w:val="16"/>
              </w:rPr>
            </w:pPr>
          </w:p>
          <w:p w:rsidR="00815F10" w:rsidRPr="005E4483" w:rsidRDefault="00815F10" w:rsidP="00815F10">
            <w:pPr>
              <w:pStyle w:val="Textpoznpodarou"/>
              <w:rPr>
                <w:spacing w:val="-4"/>
                <w:sz w:val="16"/>
                <w:szCs w:val="16"/>
              </w:rPr>
            </w:pPr>
          </w:p>
          <w:p w:rsidR="00815F10" w:rsidRPr="005E4483" w:rsidRDefault="00815F10" w:rsidP="00815F10">
            <w:pPr>
              <w:pStyle w:val="Textpoznpodarou"/>
              <w:rPr>
                <w:spacing w:val="-4"/>
                <w:sz w:val="16"/>
                <w:szCs w:val="16"/>
              </w:rPr>
            </w:pPr>
          </w:p>
          <w:p w:rsidR="00815F10" w:rsidRPr="005E4483" w:rsidRDefault="00815F10" w:rsidP="00815F10">
            <w:pPr>
              <w:pStyle w:val="Textpoznpodarou"/>
              <w:rPr>
                <w:spacing w:val="-4"/>
                <w:sz w:val="16"/>
                <w:szCs w:val="16"/>
              </w:rPr>
            </w:pPr>
          </w:p>
          <w:p w:rsidR="00815F10" w:rsidRPr="005E4483" w:rsidRDefault="00815F10" w:rsidP="00815F10">
            <w:pPr>
              <w:pStyle w:val="Textpoznpodarou"/>
              <w:rPr>
                <w:spacing w:val="-4"/>
                <w:sz w:val="16"/>
                <w:szCs w:val="16"/>
              </w:rPr>
            </w:pPr>
            <w:r w:rsidRPr="005E4483">
              <w:rPr>
                <w:spacing w:val="-4"/>
                <w:sz w:val="16"/>
                <w:szCs w:val="16"/>
              </w:rPr>
              <w:t>Přetrvával nedostatek větších staveb, průměrná hodnota nově uzavřené zakázky letos oscilovala kolem 3 mil. korun</w:t>
            </w:r>
          </w:p>
        </w:tc>
        <w:tc>
          <w:tcPr>
            <w:tcW w:w="144" w:type="pct"/>
          </w:tcPr>
          <w:p w:rsidR="00815F10" w:rsidRPr="005E4483" w:rsidRDefault="00815F10" w:rsidP="00815F10">
            <w:pPr>
              <w:pStyle w:val="Textpoznpodarou"/>
              <w:jc w:val="both"/>
              <w:rPr>
                <w:spacing w:val="-4"/>
              </w:rPr>
            </w:pPr>
          </w:p>
        </w:tc>
        <w:tc>
          <w:tcPr>
            <w:tcW w:w="3840" w:type="pct"/>
          </w:tcPr>
          <w:p w:rsidR="00815F10" w:rsidRPr="005E4483" w:rsidRDefault="00815F10" w:rsidP="00815F10">
            <w:pPr>
              <w:pStyle w:val="Textpoznpodarou"/>
              <w:jc w:val="both"/>
              <w:rPr>
                <w:color w:val="000000" w:themeColor="text1"/>
                <w:spacing w:val="-4"/>
              </w:rPr>
            </w:pPr>
            <w:r w:rsidRPr="005E4483">
              <w:rPr>
                <w:spacing w:val="-4"/>
              </w:rPr>
              <w:t>Hodnota nových tuzemských zakázek (stavebních podniků s 50 a</w:t>
            </w:r>
            <w:r w:rsidR="007D3CF7">
              <w:rPr>
                <w:spacing w:val="-4"/>
              </w:rPr>
              <w:t xml:space="preserve"> více zaměstnanci) klesla již </w:t>
            </w:r>
            <w:r w:rsidRPr="005E4483">
              <w:rPr>
                <w:spacing w:val="-4"/>
              </w:rPr>
              <w:t>páté čtvrtletí v řadě. V samotném 3. čtvrtletí 2016 byla nižší meziročně o </w:t>
            </w:r>
            <w:r w:rsidR="00517567">
              <w:rPr>
                <w:spacing w:val="-4"/>
              </w:rPr>
              <w:t>7,3</w:t>
            </w:r>
            <w:r w:rsidR="00517567" w:rsidRPr="005E4483">
              <w:rPr>
                <w:spacing w:val="-4"/>
              </w:rPr>
              <w:t> </w:t>
            </w:r>
            <w:r w:rsidR="00517567">
              <w:rPr>
                <w:spacing w:val="-4"/>
              </w:rPr>
              <w:t>%</w:t>
            </w:r>
            <w:r w:rsidRPr="005E4483">
              <w:rPr>
                <w:spacing w:val="-4"/>
              </w:rPr>
              <w:t>, když hluboký pokles v</w:t>
            </w:r>
            <w:r w:rsidR="00517567">
              <w:rPr>
                <w:spacing w:val="-4"/>
              </w:rPr>
              <w:t> inženýrském stavitelství (o čtvrtinu</w:t>
            </w:r>
            <w:r w:rsidRPr="005E4483">
              <w:rPr>
                <w:spacing w:val="-4"/>
              </w:rPr>
              <w:t>) nebyl dosud vykompenzován oživující poptávkou v pozemním stavitelství (kde hodnota nových zakázek za tři čtvrtletí byla v rámci tohoto období roku nejvyšší za posledních šest let). Tyto trendy se promítly i do celkové zásoby práce (ve formě všech dosud nerealizovaných stavebních zakázek</w:t>
            </w:r>
            <w:r w:rsidR="00195335">
              <w:rPr>
                <w:spacing w:val="-4"/>
              </w:rPr>
              <w:t xml:space="preserve"> za 139 mld. korun</w:t>
            </w:r>
            <w:r w:rsidRPr="005E4483">
              <w:rPr>
                <w:spacing w:val="-4"/>
              </w:rPr>
              <w:t>), jež byla na konci 3. čtvrtletí meziročn</w:t>
            </w:r>
            <w:r w:rsidR="00195335">
              <w:rPr>
                <w:spacing w:val="-4"/>
              </w:rPr>
              <w:t>ě o devítinu nižší</w:t>
            </w:r>
            <w:r w:rsidRPr="005E4483">
              <w:rPr>
                <w:spacing w:val="-4"/>
              </w:rPr>
              <w:t>. Stavebním podnikům chybí především veř</w:t>
            </w:r>
            <w:r w:rsidR="00195335">
              <w:rPr>
                <w:spacing w:val="-4"/>
              </w:rPr>
              <w:t>ejné zakázky, jejichž zásoba (68 mld. korun) byla</w:t>
            </w:r>
            <w:r w:rsidRPr="005E4483">
              <w:rPr>
                <w:spacing w:val="-4"/>
              </w:rPr>
              <w:t xml:space="preserve"> v rámci třetích </w:t>
            </w:r>
            <w:r w:rsidR="00195335">
              <w:rPr>
                <w:spacing w:val="-4"/>
              </w:rPr>
              <w:t>čtvrtletí nejslabší od roku 2000. I</w:t>
            </w:r>
            <w:r w:rsidR="00195335" w:rsidRPr="005E4483">
              <w:rPr>
                <w:spacing w:val="-4"/>
              </w:rPr>
              <w:t> </w:t>
            </w:r>
            <w:r w:rsidRPr="005E4483">
              <w:rPr>
                <w:spacing w:val="-4"/>
              </w:rPr>
              <w:t xml:space="preserve">přesto veřejné zakázky </w:t>
            </w:r>
            <w:r w:rsidR="007D3CF7" w:rsidRPr="005E4483">
              <w:rPr>
                <w:spacing w:val="-4"/>
              </w:rPr>
              <w:t xml:space="preserve">stále tvořily </w:t>
            </w:r>
            <w:r w:rsidRPr="005E4483">
              <w:rPr>
                <w:spacing w:val="-4"/>
              </w:rPr>
              <w:t>nejdůležitější část celkové zásoby práce. Hodnota soukromých tuzemských zakázek v posledních čty</w:t>
            </w:r>
            <w:r w:rsidR="00283C61">
              <w:rPr>
                <w:spacing w:val="-4"/>
              </w:rPr>
              <w:t>řech letech spíše stagnovala, v</w:t>
            </w:r>
            <w:r w:rsidR="00283C61" w:rsidRPr="005E4483">
              <w:rPr>
                <w:spacing w:val="-4"/>
              </w:rPr>
              <w:t> </w:t>
            </w:r>
            <w:r w:rsidRPr="005E4483">
              <w:rPr>
                <w:spacing w:val="-4"/>
              </w:rPr>
              <w:t>relativně okrajovém segmentu zahraničních zakázek pokračoval</w:t>
            </w:r>
            <w:r w:rsidR="007D3CF7">
              <w:rPr>
                <w:spacing w:val="-4"/>
              </w:rPr>
              <w:t>a</w:t>
            </w:r>
            <w:r w:rsidRPr="005E4483">
              <w:rPr>
                <w:spacing w:val="-4"/>
              </w:rPr>
              <w:t xml:space="preserve"> v loňském poklesu a ve 3. čtvrtletí se meziročně snížila o </w:t>
            </w:r>
            <w:r w:rsidR="00283C61">
              <w:rPr>
                <w:spacing w:val="-4"/>
              </w:rPr>
              <w:t xml:space="preserve">více než </w:t>
            </w:r>
            <w:r w:rsidRPr="005E4483">
              <w:rPr>
                <w:spacing w:val="-4"/>
              </w:rPr>
              <w:t>pětinu. O optimističtějších vyhlídkách odvětví může vypovídat mírně rostoucí průměrná orientační hodnota stavebních povolení (ve 3. čtvrtletí 3,4 mil. korun, o rok dříve 3,1 mil</w:t>
            </w:r>
            <w:r w:rsidR="007D3CF7">
              <w:rPr>
                <w:spacing w:val="-4"/>
              </w:rPr>
              <w:t>.</w:t>
            </w:r>
            <w:r w:rsidRPr="005E4483">
              <w:rPr>
                <w:spacing w:val="-4"/>
              </w:rPr>
              <w:t>), a to především zásluhou svižnějšího růstu u nové výstavby nebytových budov.</w:t>
            </w:r>
            <w:r w:rsidRPr="005E4483">
              <w:rPr>
                <w:color w:val="000000" w:themeColor="text1"/>
                <w:spacing w:val="-4"/>
              </w:rPr>
              <w:t xml:space="preserve"> Sezónně očištěné saldo důvěry podnikatelů ve stavebnictví, setrvávající dlouhodobě v negativním pásmu, se v průběhu letošního roku snížilo a jeho zářijová hodnota byla nejnižší za posledních 23</w:t>
            </w:r>
            <w:r w:rsidR="00770931" w:rsidRPr="005E4483">
              <w:rPr>
                <w:spacing w:val="-4"/>
              </w:rPr>
              <w:t> </w:t>
            </w:r>
            <w:r w:rsidRPr="005E4483">
              <w:rPr>
                <w:color w:val="000000" w:themeColor="text1"/>
                <w:spacing w:val="-4"/>
              </w:rPr>
              <w:t>měsíců. Podíl podniků očekávajících v příštích třech měsících pokles výrobní činnosti, resp. snižování počtu zaměstnanců byl v listopadu meziročně vyšší.</w:t>
            </w:r>
          </w:p>
          <w:p w:rsidR="00815F10" w:rsidRPr="00E53C14" w:rsidRDefault="00815F10" w:rsidP="00815F10">
            <w:pPr>
              <w:pStyle w:val="Textpoznpodarou"/>
              <w:jc w:val="both"/>
              <w:rPr>
                <w:spacing w:val="-4"/>
                <w:sz w:val="14"/>
                <w:szCs w:val="14"/>
              </w:rPr>
            </w:pPr>
          </w:p>
        </w:tc>
      </w:tr>
      <w:tr w:rsidR="00815F10" w:rsidRPr="00A74192" w:rsidTr="00815F10">
        <w:tc>
          <w:tcPr>
            <w:tcW w:w="1016" w:type="pct"/>
          </w:tcPr>
          <w:p w:rsidR="00815F10" w:rsidRPr="005E4483" w:rsidRDefault="00815F10" w:rsidP="00815F10">
            <w:pPr>
              <w:pStyle w:val="Textpoznpodarou"/>
              <w:rPr>
                <w:spacing w:val="-4"/>
                <w:sz w:val="16"/>
                <w:szCs w:val="16"/>
              </w:rPr>
            </w:pPr>
            <w:r w:rsidRPr="005E4483">
              <w:rPr>
                <w:spacing w:val="-4"/>
                <w:sz w:val="16"/>
                <w:szCs w:val="16"/>
              </w:rPr>
              <w:t>Počet zahájených bytů meziročně o 1% poklesl ´</w:t>
            </w:r>
          </w:p>
          <w:p w:rsidR="00815F10" w:rsidRPr="005E4483" w:rsidRDefault="00815F10" w:rsidP="00815F10">
            <w:pPr>
              <w:pStyle w:val="Textpoznpodarou"/>
              <w:rPr>
                <w:spacing w:val="-4"/>
                <w:sz w:val="16"/>
                <w:szCs w:val="16"/>
              </w:rPr>
            </w:pPr>
          </w:p>
          <w:p w:rsidR="00815F10" w:rsidRPr="005E4483" w:rsidRDefault="00815F10" w:rsidP="00815F10">
            <w:pPr>
              <w:pStyle w:val="Textpoznpodarou"/>
              <w:rPr>
                <w:spacing w:val="-4"/>
                <w:sz w:val="16"/>
                <w:szCs w:val="16"/>
              </w:rPr>
            </w:pPr>
            <w:r w:rsidRPr="005E4483">
              <w:rPr>
                <w:spacing w:val="-4"/>
                <w:sz w:val="16"/>
                <w:szCs w:val="16"/>
              </w:rPr>
              <w:t>Prudký propad výsta</w:t>
            </w:r>
            <w:r w:rsidR="007D3CF7">
              <w:rPr>
                <w:spacing w:val="-4"/>
                <w:sz w:val="16"/>
                <w:szCs w:val="16"/>
              </w:rPr>
              <w:t xml:space="preserve">vby zahájených bytů v Praze se </w:t>
            </w:r>
            <w:r w:rsidRPr="005E4483">
              <w:rPr>
                <w:spacing w:val="-4"/>
                <w:sz w:val="16"/>
                <w:szCs w:val="16"/>
              </w:rPr>
              <w:t>o</w:t>
            </w:r>
            <w:r w:rsidR="007D3CF7">
              <w:rPr>
                <w:spacing w:val="-4"/>
                <w:sz w:val="16"/>
                <w:szCs w:val="16"/>
              </w:rPr>
              <w:t>d</w:t>
            </w:r>
            <w:r w:rsidRPr="005E4483">
              <w:rPr>
                <w:spacing w:val="-4"/>
                <w:sz w:val="16"/>
                <w:szCs w:val="16"/>
              </w:rPr>
              <w:t xml:space="preserve">ráží i na </w:t>
            </w:r>
            <w:r w:rsidR="007D3CF7">
              <w:rPr>
                <w:spacing w:val="-4"/>
                <w:sz w:val="16"/>
                <w:szCs w:val="16"/>
              </w:rPr>
              <w:t xml:space="preserve">rychle </w:t>
            </w:r>
            <w:r w:rsidRPr="005E4483">
              <w:rPr>
                <w:spacing w:val="-4"/>
                <w:sz w:val="16"/>
                <w:szCs w:val="16"/>
              </w:rPr>
              <w:t xml:space="preserve">rostoucích cenách rezidenčních nemovitostí </w:t>
            </w:r>
          </w:p>
        </w:tc>
        <w:tc>
          <w:tcPr>
            <w:tcW w:w="144" w:type="pct"/>
          </w:tcPr>
          <w:p w:rsidR="00815F10" w:rsidRPr="005E4483" w:rsidRDefault="00815F10" w:rsidP="00815F10">
            <w:pPr>
              <w:pStyle w:val="Textpoznpodarou"/>
              <w:jc w:val="both"/>
              <w:rPr>
                <w:spacing w:val="-4"/>
              </w:rPr>
            </w:pPr>
          </w:p>
        </w:tc>
        <w:tc>
          <w:tcPr>
            <w:tcW w:w="3840" w:type="pct"/>
          </w:tcPr>
          <w:p w:rsidR="00815F10" w:rsidRPr="005E4483" w:rsidRDefault="00815F10" w:rsidP="00815F10">
            <w:pPr>
              <w:pStyle w:val="Textpoznpodarou"/>
              <w:jc w:val="both"/>
              <w:rPr>
                <w:spacing w:val="-4"/>
              </w:rPr>
            </w:pPr>
            <w:r w:rsidRPr="005E4483">
              <w:rPr>
                <w:spacing w:val="-4"/>
              </w:rPr>
              <w:t>Bez náznaků výraznějších oživení pokračovala bytová výstavba. Počet zahájených bytů za tři čtvrtletí (19,5 tis.) zůstal těsně pod loňskou úrovní, proti rekordně nízkým hodnotám stejného období roku 2013 byl vyšší jen o sedminu. Četnost výstavby rodinných domů se již druhým rokem mírně zvyšovala, bytových domů však bylo meziročně zahájeno o 27 % méně, předevší</w:t>
            </w:r>
            <w:r w:rsidR="007D3CF7">
              <w:rPr>
                <w:spacing w:val="-4"/>
              </w:rPr>
              <w:t>m vlivem Prahy, kde po příznivějších</w:t>
            </w:r>
            <w:r w:rsidRPr="005E4483">
              <w:rPr>
                <w:spacing w:val="-4"/>
              </w:rPr>
              <w:t xml:space="preserve"> letech 2014 a 2015 letos počet zahájených bytů prudce </w:t>
            </w:r>
            <w:r w:rsidR="007D3CF7">
              <w:rPr>
                <w:spacing w:val="-4"/>
              </w:rPr>
              <w:t>propadl na 862 (nejníže</w:t>
            </w:r>
            <w:r w:rsidRPr="005E4483">
              <w:rPr>
                <w:spacing w:val="-4"/>
              </w:rPr>
              <w:t xml:space="preserve"> po roce 1999). Rekordně nízká byl letos v Česku i výstavba bytů v domech pro seniory.</w:t>
            </w:r>
          </w:p>
          <w:p w:rsidR="00815F10" w:rsidRPr="00E53C14" w:rsidRDefault="00815F10" w:rsidP="00815F10">
            <w:pPr>
              <w:pStyle w:val="Textpoznpodarou"/>
              <w:jc w:val="both"/>
              <w:rPr>
                <w:spacing w:val="-4"/>
                <w:sz w:val="14"/>
                <w:szCs w:val="14"/>
              </w:rPr>
            </w:pPr>
          </w:p>
        </w:tc>
      </w:tr>
      <w:tr w:rsidR="00815F10" w:rsidRPr="00A74192" w:rsidTr="00815F10">
        <w:tc>
          <w:tcPr>
            <w:tcW w:w="1016" w:type="pct"/>
            <w:shd w:val="clear" w:color="auto" w:fill="auto"/>
          </w:tcPr>
          <w:p w:rsidR="00815F10" w:rsidRPr="005E4483" w:rsidRDefault="00815F10" w:rsidP="00815F10">
            <w:pPr>
              <w:pStyle w:val="Textpoznpodarou"/>
              <w:rPr>
                <w:spacing w:val="-4"/>
                <w:sz w:val="16"/>
                <w:szCs w:val="16"/>
              </w:rPr>
            </w:pPr>
            <w:r w:rsidRPr="005E4483">
              <w:rPr>
                <w:spacing w:val="-4"/>
                <w:sz w:val="16"/>
                <w:szCs w:val="16"/>
              </w:rPr>
              <w:t>Meziroční tempo růstu tržeb ve službác</w:t>
            </w:r>
            <w:r w:rsidR="004B1F58">
              <w:rPr>
                <w:spacing w:val="-4"/>
                <w:sz w:val="16"/>
                <w:szCs w:val="16"/>
              </w:rPr>
              <w:t>h za tři čtvrtletí zvolnilo na 1,1</w:t>
            </w:r>
            <w:r w:rsidRPr="005E4483">
              <w:rPr>
                <w:spacing w:val="-4"/>
                <w:sz w:val="16"/>
                <w:szCs w:val="16"/>
              </w:rPr>
              <w:t xml:space="preserve"> % z loňských 3,1 %, především vlivem 3%  snížení v profesních, vědeckých a technických činnostech</w:t>
            </w:r>
          </w:p>
          <w:p w:rsidR="00815F10" w:rsidRPr="005E4483" w:rsidRDefault="00815F10" w:rsidP="00815F10">
            <w:pPr>
              <w:pStyle w:val="Textpoznpodarou"/>
              <w:rPr>
                <w:spacing w:val="-4"/>
                <w:sz w:val="16"/>
                <w:szCs w:val="16"/>
              </w:rPr>
            </w:pPr>
            <w:r w:rsidRPr="005E4483">
              <w:rPr>
                <w:spacing w:val="-4"/>
                <w:sz w:val="16"/>
                <w:szCs w:val="16"/>
              </w:rPr>
              <w:lastRenderedPageBreak/>
              <w:t>Pokračoval svižný růst tržeb v</w:t>
            </w:r>
            <w:r w:rsidR="00112BB2">
              <w:rPr>
                <w:spacing w:val="-4"/>
                <w:sz w:val="16"/>
                <w:szCs w:val="16"/>
              </w:rPr>
              <w:t> ubytování i stravování a také u </w:t>
            </w:r>
            <w:r w:rsidRPr="005E4483">
              <w:rPr>
                <w:spacing w:val="-4"/>
                <w:sz w:val="16"/>
                <w:szCs w:val="16"/>
              </w:rPr>
              <w:t xml:space="preserve">pracovních agentur, s dlouhodobou redukcí tržeb se </w:t>
            </w:r>
            <w:r w:rsidR="00112BB2">
              <w:rPr>
                <w:spacing w:val="-4"/>
                <w:sz w:val="16"/>
                <w:szCs w:val="16"/>
              </w:rPr>
              <w:t xml:space="preserve">naopak </w:t>
            </w:r>
            <w:r w:rsidRPr="005E4483">
              <w:rPr>
                <w:spacing w:val="-4"/>
                <w:sz w:val="16"/>
                <w:szCs w:val="16"/>
              </w:rPr>
              <w:t>potýkají cestovní kanceláře či poštovní a kurýrní činnosti</w:t>
            </w:r>
          </w:p>
          <w:p w:rsidR="00815F10" w:rsidRPr="005E4483" w:rsidRDefault="00815F10" w:rsidP="00815F10">
            <w:pPr>
              <w:pStyle w:val="Textpoznpodarou"/>
              <w:rPr>
                <w:spacing w:val="-4"/>
                <w:sz w:val="16"/>
                <w:szCs w:val="16"/>
              </w:rPr>
            </w:pPr>
            <w:r w:rsidRPr="005E4483">
              <w:rPr>
                <w:spacing w:val="-4"/>
                <w:sz w:val="16"/>
                <w:szCs w:val="16"/>
              </w:rPr>
              <w:t xml:space="preserve"> </w:t>
            </w:r>
          </w:p>
        </w:tc>
        <w:tc>
          <w:tcPr>
            <w:tcW w:w="144" w:type="pct"/>
          </w:tcPr>
          <w:p w:rsidR="00815F10" w:rsidRPr="005E4483" w:rsidRDefault="00815F10" w:rsidP="00815F10">
            <w:pPr>
              <w:pStyle w:val="Textpoznpodarou"/>
              <w:jc w:val="both"/>
              <w:rPr>
                <w:spacing w:val="-4"/>
              </w:rPr>
            </w:pPr>
          </w:p>
        </w:tc>
        <w:tc>
          <w:tcPr>
            <w:tcW w:w="3840" w:type="pct"/>
          </w:tcPr>
          <w:p w:rsidR="00815F10" w:rsidRPr="005E4483" w:rsidRDefault="00815F10" w:rsidP="00815F10">
            <w:pPr>
              <w:pStyle w:val="Textpoznpodarou"/>
              <w:jc w:val="both"/>
              <w:rPr>
                <w:color w:val="000000" w:themeColor="text1"/>
                <w:spacing w:val="-4"/>
              </w:rPr>
            </w:pPr>
            <w:r w:rsidRPr="005E4483">
              <w:rPr>
                <w:color w:val="000000" w:themeColor="text1"/>
                <w:spacing w:val="-4"/>
              </w:rPr>
              <w:t>Tržby ve vybraných službách</w:t>
            </w:r>
            <w:r w:rsidRPr="005E4483">
              <w:rPr>
                <w:color w:val="000000" w:themeColor="text1"/>
                <w:spacing w:val="-4"/>
                <w:vertAlign w:val="superscript"/>
              </w:rPr>
              <w:footnoteReference w:id="18"/>
            </w:r>
            <w:r w:rsidR="007D3CF7">
              <w:rPr>
                <w:color w:val="000000" w:themeColor="text1"/>
                <w:spacing w:val="-4"/>
              </w:rPr>
              <w:t xml:space="preserve"> v 1. až </w:t>
            </w:r>
            <w:r w:rsidR="00A76B12">
              <w:rPr>
                <w:color w:val="000000" w:themeColor="text1"/>
                <w:spacing w:val="-4"/>
              </w:rPr>
              <w:t>3.</w:t>
            </w:r>
            <w:r w:rsidR="00112BB2">
              <w:rPr>
                <w:color w:val="000000" w:themeColor="text1"/>
                <w:spacing w:val="-4"/>
              </w:rPr>
              <w:t xml:space="preserve"> </w:t>
            </w:r>
            <w:r w:rsidR="00A76B12">
              <w:rPr>
                <w:color w:val="000000" w:themeColor="text1"/>
                <w:spacing w:val="-4"/>
              </w:rPr>
              <w:t>čtvrtletí rostly o 1,1</w:t>
            </w:r>
            <w:r w:rsidRPr="005E4483">
              <w:rPr>
                <w:color w:val="000000" w:themeColor="text1"/>
                <w:spacing w:val="-4"/>
              </w:rPr>
              <w:t xml:space="preserve"> % (po očištění o vliv počtu pra</w:t>
            </w:r>
            <w:r w:rsidR="00A76B12">
              <w:rPr>
                <w:color w:val="000000" w:themeColor="text1"/>
                <w:spacing w:val="-4"/>
              </w:rPr>
              <w:t>covních dní se zvýšily jen o 0,6</w:t>
            </w:r>
            <w:r w:rsidRPr="005E4483">
              <w:rPr>
                <w:color w:val="000000" w:themeColor="text1"/>
                <w:spacing w:val="-4"/>
              </w:rPr>
              <w:t xml:space="preserve"> %, v samotném 3. čt</w:t>
            </w:r>
            <w:r w:rsidR="00B57CC4">
              <w:rPr>
                <w:color w:val="000000" w:themeColor="text1"/>
                <w:spacing w:val="-4"/>
              </w:rPr>
              <w:t>vrtletí o 1,6</w:t>
            </w:r>
            <w:r w:rsidRPr="005E4483">
              <w:rPr>
                <w:color w:val="000000" w:themeColor="text1"/>
                <w:spacing w:val="-4"/>
              </w:rPr>
              <w:t xml:space="preserve"> %). Letošní dynamika tržeb byla nejslabší </w:t>
            </w:r>
            <w:r w:rsidR="00B57CC4">
              <w:rPr>
                <w:color w:val="000000" w:themeColor="text1"/>
                <w:spacing w:val="-4"/>
              </w:rPr>
              <w:t>za poslední tři roky</w:t>
            </w:r>
            <w:r w:rsidRPr="005E4483">
              <w:rPr>
                <w:color w:val="000000" w:themeColor="text1"/>
                <w:spacing w:val="-4"/>
              </w:rPr>
              <w:t>. Celý sektor táhly dolů profesní, vědecké a technické činnosti, jejichž loňský 4,5% růst byl v dlouhém období od konjunktury ojedinělý. Souvisel s rozvojem projektové činnosti vázané do zna</w:t>
            </w:r>
            <w:r w:rsidR="007D3CF7">
              <w:rPr>
                <w:color w:val="000000" w:themeColor="text1"/>
                <w:spacing w:val="-4"/>
              </w:rPr>
              <w:t>č</w:t>
            </w:r>
            <w:r w:rsidRPr="005E4483">
              <w:rPr>
                <w:color w:val="000000" w:themeColor="text1"/>
                <w:spacing w:val="-4"/>
              </w:rPr>
              <w:t xml:space="preserve">né míry na dočerpávání prostředků z EU. V rámci tohoto odvětví letos rostly jen právní </w:t>
            </w:r>
            <w:r w:rsidRPr="005E4483">
              <w:rPr>
                <w:color w:val="000000" w:themeColor="text1"/>
                <w:spacing w:val="-4"/>
              </w:rPr>
              <w:lastRenderedPageBreak/>
              <w:t>a účetnické činnosti. S vysokou loňskou základnou se potýkala také pozemní a potrubní doprava, jež</w:t>
            </w:r>
            <w:r w:rsidR="00B57CC4">
              <w:rPr>
                <w:color w:val="000000" w:themeColor="text1"/>
                <w:spacing w:val="-4"/>
              </w:rPr>
              <w:t xml:space="preserve"> za tři čtvrtletí poklesla (-0,4</w:t>
            </w:r>
            <w:r w:rsidRPr="005E4483">
              <w:rPr>
                <w:color w:val="000000" w:themeColor="text1"/>
                <w:spacing w:val="-4"/>
              </w:rPr>
              <w:t xml:space="preserve"> %) poprvé od krizového roku 2009. Meziroční</w:t>
            </w:r>
            <w:r w:rsidR="004470AE">
              <w:rPr>
                <w:color w:val="000000" w:themeColor="text1"/>
                <w:spacing w:val="-4"/>
              </w:rPr>
              <w:t>ho</w:t>
            </w:r>
            <w:r w:rsidRPr="005E4483">
              <w:rPr>
                <w:color w:val="000000" w:themeColor="text1"/>
                <w:spacing w:val="-4"/>
              </w:rPr>
              <w:t xml:space="preserve"> růst</w:t>
            </w:r>
            <w:r w:rsidR="004470AE">
              <w:rPr>
                <w:color w:val="000000" w:themeColor="text1"/>
                <w:spacing w:val="-4"/>
              </w:rPr>
              <w:t>u</w:t>
            </w:r>
            <w:r w:rsidRPr="005E4483">
              <w:rPr>
                <w:color w:val="000000" w:themeColor="text1"/>
                <w:spacing w:val="-4"/>
              </w:rPr>
              <w:t xml:space="preserve"> letos docílilo skladování</w:t>
            </w:r>
            <w:r w:rsidR="00B57CC4">
              <w:rPr>
                <w:color w:val="000000" w:themeColor="text1"/>
                <w:spacing w:val="-4"/>
              </w:rPr>
              <w:t xml:space="preserve"> (vč. </w:t>
            </w:r>
            <w:r w:rsidR="00B57CC4" w:rsidRPr="00B57CC4">
              <w:rPr>
                <w:color w:val="000000" w:themeColor="text1"/>
                <w:spacing w:val="-4"/>
              </w:rPr>
              <w:t>vedlejší</w:t>
            </w:r>
            <w:r w:rsidR="00B57CC4">
              <w:rPr>
                <w:color w:val="000000" w:themeColor="text1"/>
                <w:spacing w:val="-4"/>
              </w:rPr>
              <w:t>ch činností</w:t>
            </w:r>
            <w:r w:rsidR="00B57CC4" w:rsidRPr="00B57CC4">
              <w:rPr>
                <w:color w:val="000000" w:themeColor="text1"/>
                <w:spacing w:val="-4"/>
              </w:rPr>
              <w:t xml:space="preserve"> v</w:t>
            </w:r>
            <w:r w:rsidR="00B57CC4">
              <w:rPr>
                <w:color w:val="000000" w:themeColor="text1"/>
                <w:spacing w:val="-4"/>
              </w:rPr>
              <w:t> </w:t>
            </w:r>
            <w:r w:rsidR="00B57CC4" w:rsidRPr="00B57CC4">
              <w:rPr>
                <w:color w:val="000000" w:themeColor="text1"/>
                <w:spacing w:val="-4"/>
              </w:rPr>
              <w:t>dopravě</w:t>
            </w:r>
            <w:r w:rsidR="00B57CC4">
              <w:rPr>
                <w:color w:val="000000" w:themeColor="text1"/>
                <w:spacing w:val="-4"/>
              </w:rPr>
              <w:t>)</w:t>
            </w:r>
            <w:r w:rsidRPr="005E4483">
              <w:rPr>
                <w:color w:val="000000" w:themeColor="text1"/>
                <w:spacing w:val="-4"/>
              </w:rPr>
              <w:t xml:space="preserve">, proti roku 2014 se však nacházelo o 2,3 % níže. Dařilo se stravování a pohostinství, kde vysoký loňský </w:t>
            </w:r>
            <w:r w:rsidR="00B57CC4">
              <w:rPr>
                <w:color w:val="000000" w:themeColor="text1"/>
                <w:spacing w:val="-4"/>
              </w:rPr>
              <w:t>růst letos ještě zrychlil na 5,5 % (nejvyšší tempo od roku 2001</w:t>
            </w:r>
            <w:r w:rsidRPr="005E4483">
              <w:rPr>
                <w:color w:val="000000" w:themeColor="text1"/>
                <w:spacing w:val="-4"/>
              </w:rPr>
              <w:t xml:space="preserve">). Pokračující růst příjezdů </w:t>
            </w:r>
            <w:r w:rsidR="00A62BC7">
              <w:rPr>
                <w:color w:val="000000" w:themeColor="text1"/>
                <w:spacing w:val="-4"/>
              </w:rPr>
              <w:t>domácích i zahraničních hostů z</w:t>
            </w:r>
            <w:r w:rsidRPr="005E4483">
              <w:rPr>
                <w:color w:val="000000" w:themeColor="text1"/>
                <w:spacing w:val="-4"/>
              </w:rPr>
              <w:t>výši</w:t>
            </w:r>
            <w:r w:rsidR="00A62BC7">
              <w:rPr>
                <w:color w:val="000000" w:themeColor="text1"/>
                <w:spacing w:val="-4"/>
              </w:rPr>
              <w:t>l tržby v ubytování (+3,7</w:t>
            </w:r>
            <w:r w:rsidR="00A62BC7" w:rsidRPr="005E4483">
              <w:rPr>
                <w:color w:val="000000" w:themeColor="text1"/>
                <w:spacing w:val="-4"/>
              </w:rPr>
              <w:t> </w:t>
            </w:r>
            <w:r w:rsidR="00181938">
              <w:rPr>
                <w:color w:val="000000" w:themeColor="text1"/>
                <w:spacing w:val="-4"/>
              </w:rPr>
              <w:t>%).</w:t>
            </w:r>
            <w:r w:rsidR="00A62BC7">
              <w:rPr>
                <w:color w:val="000000" w:themeColor="text1"/>
                <w:spacing w:val="-4"/>
              </w:rPr>
              <w:t xml:space="preserve"> O</w:t>
            </w:r>
            <w:r w:rsidRPr="005E4483">
              <w:rPr>
                <w:color w:val="000000" w:themeColor="text1"/>
                <w:spacing w:val="-4"/>
              </w:rPr>
              <w:t>b</w:t>
            </w:r>
            <w:r w:rsidR="00A62BC7">
              <w:rPr>
                <w:color w:val="000000" w:themeColor="text1"/>
                <w:spacing w:val="-4"/>
              </w:rPr>
              <w:t>dobným tempem sílily i</w:t>
            </w:r>
            <w:r w:rsidRPr="005E4483">
              <w:rPr>
                <w:color w:val="000000" w:themeColor="text1"/>
                <w:spacing w:val="-4"/>
              </w:rPr>
              <w:t xml:space="preserve"> administrativní a podpůrné činnosti, tažené rychle se rozvíjejícími pracovními agenturami. V celém sektoru služeb byly letošní tržby proti konjunkturnímu roku 2008 </w:t>
            </w:r>
            <w:r w:rsidR="00181938">
              <w:rPr>
                <w:color w:val="000000" w:themeColor="text1"/>
                <w:spacing w:val="-4"/>
              </w:rPr>
              <w:t>nadále nižší (o 8,6 %)</w:t>
            </w:r>
            <w:r w:rsidRPr="005E4483">
              <w:rPr>
                <w:color w:val="000000" w:themeColor="text1"/>
                <w:spacing w:val="-4"/>
              </w:rPr>
              <w:t xml:space="preserve">. Tuto úroveň již </w:t>
            </w:r>
            <w:r w:rsidR="004470AE">
              <w:rPr>
                <w:color w:val="000000" w:themeColor="text1"/>
                <w:spacing w:val="-4"/>
              </w:rPr>
              <w:t>překonaly doprava a</w:t>
            </w:r>
            <w:r w:rsidR="004470AE" w:rsidRPr="005E4483">
              <w:rPr>
                <w:color w:val="000000" w:themeColor="text1"/>
                <w:spacing w:val="-4"/>
              </w:rPr>
              <w:t> </w:t>
            </w:r>
            <w:r w:rsidR="004470AE">
              <w:rPr>
                <w:color w:val="000000" w:themeColor="text1"/>
                <w:spacing w:val="-4"/>
              </w:rPr>
              <w:t>skladování,</w:t>
            </w:r>
            <w:r w:rsidRPr="005E4483">
              <w:rPr>
                <w:color w:val="000000" w:themeColor="text1"/>
                <w:spacing w:val="-4"/>
              </w:rPr>
              <w:t xml:space="preserve"> informační a komunikační činnosti a administrativní a podpůrné činnosti. </w:t>
            </w:r>
          </w:p>
          <w:p w:rsidR="00815F10" w:rsidRPr="006E2D21" w:rsidRDefault="00815F10" w:rsidP="00815F10">
            <w:pPr>
              <w:pStyle w:val="Textpoznpodarou"/>
              <w:jc w:val="both"/>
              <w:rPr>
                <w:spacing w:val="-4"/>
                <w:sz w:val="13"/>
                <w:szCs w:val="13"/>
              </w:rPr>
            </w:pPr>
          </w:p>
        </w:tc>
      </w:tr>
      <w:tr w:rsidR="00815F10" w:rsidRPr="00A74192" w:rsidTr="00815F10">
        <w:tc>
          <w:tcPr>
            <w:tcW w:w="1016" w:type="pct"/>
            <w:shd w:val="clear" w:color="auto" w:fill="auto"/>
          </w:tcPr>
          <w:p w:rsidR="00815F10" w:rsidRPr="005E4483" w:rsidRDefault="00815F10" w:rsidP="00815F10">
            <w:pPr>
              <w:pStyle w:val="Textpoznpodarou"/>
              <w:rPr>
                <w:spacing w:val="-4"/>
                <w:sz w:val="16"/>
                <w:szCs w:val="16"/>
              </w:rPr>
            </w:pPr>
            <w:r w:rsidRPr="005E4483">
              <w:rPr>
                <w:spacing w:val="-4"/>
                <w:sz w:val="16"/>
                <w:szCs w:val="16"/>
              </w:rPr>
              <w:lastRenderedPageBreak/>
              <w:t>Přetrvávající pozitivní spotřebitelská důvěra podpořená příznivým vývojem na trhu práce udržovala více než 5%</w:t>
            </w:r>
            <w:r w:rsidR="007F7C60">
              <w:rPr>
                <w:spacing w:val="-4"/>
                <w:sz w:val="16"/>
                <w:szCs w:val="16"/>
              </w:rPr>
              <w:t>*</w:t>
            </w:r>
            <w:r w:rsidRPr="005E4483">
              <w:rPr>
                <w:spacing w:val="-4"/>
                <w:sz w:val="16"/>
                <w:szCs w:val="16"/>
              </w:rPr>
              <w:t xml:space="preserve"> meziroční růst maloobchodních tržeb již sedmé čtvrtletí v řadě</w:t>
            </w:r>
          </w:p>
          <w:p w:rsidR="00815F10" w:rsidRDefault="00815F10" w:rsidP="00815F10">
            <w:pPr>
              <w:pStyle w:val="Textpoznpodarou"/>
              <w:rPr>
                <w:spacing w:val="-4"/>
                <w:sz w:val="16"/>
                <w:szCs w:val="16"/>
              </w:rPr>
            </w:pPr>
          </w:p>
          <w:p w:rsidR="000419AE" w:rsidRPr="005E4483" w:rsidRDefault="000419AE" w:rsidP="00815F10">
            <w:pPr>
              <w:pStyle w:val="Textpoznpodarou"/>
              <w:rPr>
                <w:spacing w:val="-4"/>
                <w:sz w:val="16"/>
                <w:szCs w:val="16"/>
              </w:rPr>
            </w:pPr>
          </w:p>
          <w:p w:rsidR="00815F10" w:rsidRPr="005E4483" w:rsidRDefault="007F7C60" w:rsidP="00A62BC7">
            <w:pPr>
              <w:pStyle w:val="Textpoznpodarou"/>
              <w:rPr>
                <w:spacing w:val="-4"/>
                <w:sz w:val="16"/>
                <w:szCs w:val="16"/>
              </w:rPr>
            </w:pPr>
            <w:r>
              <w:rPr>
                <w:spacing w:val="-4"/>
                <w:sz w:val="16"/>
                <w:szCs w:val="16"/>
              </w:rPr>
              <w:t>Č</w:t>
            </w:r>
            <w:r w:rsidR="00A5408A">
              <w:rPr>
                <w:spacing w:val="-4"/>
                <w:sz w:val="16"/>
                <w:szCs w:val="16"/>
              </w:rPr>
              <w:t xml:space="preserve">esko </w:t>
            </w:r>
            <w:r>
              <w:rPr>
                <w:spacing w:val="-4"/>
                <w:sz w:val="16"/>
                <w:szCs w:val="16"/>
              </w:rPr>
              <w:t xml:space="preserve">patřilo </w:t>
            </w:r>
            <w:r w:rsidR="000D1F52">
              <w:rPr>
                <w:spacing w:val="-4"/>
                <w:sz w:val="16"/>
                <w:szCs w:val="16"/>
              </w:rPr>
              <w:t xml:space="preserve">letos </w:t>
            </w:r>
            <w:r>
              <w:rPr>
                <w:spacing w:val="-4"/>
                <w:sz w:val="16"/>
                <w:szCs w:val="16"/>
              </w:rPr>
              <w:t>do pětice zemí EU s</w:t>
            </w:r>
            <w:r w:rsidR="000D1F52">
              <w:rPr>
                <w:spacing w:val="-4"/>
                <w:sz w:val="16"/>
                <w:szCs w:val="16"/>
              </w:rPr>
              <w:t> </w:t>
            </w:r>
            <w:r>
              <w:rPr>
                <w:spacing w:val="-4"/>
                <w:sz w:val="16"/>
                <w:szCs w:val="16"/>
              </w:rPr>
              <w:t>nejvyšším růstem</w:t>
            </w:r>
            <w:r w:rsidR="00815F10" w:rsidRPr="005E4483">
              <w:rPr>
                <w:spacing w:val="-4"/>
                <w:sz w:val="16"/>
                <w:szCs w:val="16"/>
              </w:rPr>
              <w:t xml:space="preserve"> maloobchodních </w:t>
            </w:r>
            <w:r w:rsidR="00815F10" w:rsidRPr="005B0B8F">
              <w:rPr>
                <w:spacing w:val="-4"/>
                <w:sz w:val="16"/>
                <w:szCs w:val="16"/>
              </w:rPr>
              <w:t>tržeb</w:t>
            </w:r>
            <w:r w:rsidR="005B0B8F" w:rsidRPr="005B0B8F">
              <w:rPr>
                <w:spacing w:val="-4"/>
                <w:sz w:val="16"/>
                <w:szCs w:val="16"/>
              </w:rPr>
              <w:t>, ze střed</w:t>
            </w:r>
            <w:r w:rsidR="005B0B8F">
              <w:rPr>
                <w:spacing w:val="-4"/>
                <w:sz w:val="16"/>
                <w:szCs w:val="16"/>
              </w:rPr>
              <w:t>oevropských zemí rostly rychleji</w:t>
            </w:r>
            <w:r w:rsidR="005B0B8F" w:rsidRPr="005B0B8F">
              <w:rPr>
                <w:spacing w:val="-4"/>
                <w:sz w:val="16"/>
                <w:szCs w:val="16"/>
              </w:rPr>
              <w:t xml:space="preserve"> jen v Polsku (+6,5 %)</w:t>
            </w:r>
            <w:r w:rsidR="00815F10" w:rsidRPr="005E4483">
              <w:rPr>
                <w:spacing w:val="-4"/>
                <w:sz w:val="16"/>
                <w:szCs w:val="16"/>
              </w:rPr>
              <w:t xml:space="preserve"> </w:t>
            </w:r>
          </w:p>
        </w:tc>
        <w:tc>
          <w:tcPr>
            <w:tcW w:w="144" w:type="pct"/>
          </w:tcPr>
          <w:p w:rsidR="00815F10" w:rsidRPr="005E4483" w:rsidRDefault="00815F10" w:rsidP="00815F10">
            <w:pPr>
              <w:pStyle w:val="Textpoznpodarou"/>
              <w:jc w:val="both"/>
              <w:rPr>
                <w:spacing w:val="-4"/>
              </w:rPr>
            </w:pPr>
          </w:p>
        </w:tc>
        <w:tc>
          <w:tcPr>
            <w:tcW w:w="3840" w:type="pct"/>
          </w:tcPr>
          <w:p w:rsidR="00815F10" w:rsidRPr="00EA77CA" w:rsidRDefault="00815F10" w:rsidP="00A62BC7">
            <w:pPr>
              <w:pStyle w:val="Textpoznpodarou"/>
              <w:jc w:val="both"/>
              <w:rPr>
                <w:color w:val="000000" w:themeColor="text1"/>
                <w:spacing w:val="-4"/>
              </w:rPr>
            </w:pPr>
            <w:r w:rsidRPr="005E4483">
              <w:rPr>
                <w:color w:val="000000" w:themeColor="text1"/>
                <w:spacing w:val="-4"/>
              </w:rPr>
              <w:t>Maloobchodní tržby (bez motor</w:t>
            </w:r>
            <w:r w:rsidR="007D3CF7">
              <w:rPr>
                <w:color w:val="000000" w:themeColor="text1"/>
                <w:spacing w:val="-4"/>
              </w:rPr>
              <w:t xml:space="preserve">istického segmentu) rostly v 1.až </w:t>
            </w:r>
            <w:r w:rsidRPr="005E4483">
              <w:rPr>
                <w:color w:val="000000" w:themeColor="text1"/>
                <w:spacing w:val="-4"/>
              </w:rPr>
              <w:t>3. čtvrtletí o 6,1 % (po očištění o kalendářní vlivy o 5,5 %). K růstu maloobchodu tradičně nejvíce přispěl prodej n</w:t>
            </w:r>
            <w:r w:rsidR="00EA77CA">
              <w:rPr>
                <w:color w:val="000000" w:themeColor="text1"/>
                <w:spacing w:val="-4"/>
              </w:rPr>
              <w:t>epotravinářského zboží (růst</w:t>
            </w:r>
            <w:r w:rsidRPr="005E4483">
              <w:rPr>
                <w:color w:val="000000" w:themeColor="text1"/>
                <w:spacing w:val="-4"/>
              </w:rPr>
              <w:t xml:space="preserve"> tržeb o 6,8 %). Pr</w:t>
            </w:r>
            <w:r w:rsidR="007F7C60">
              <w:rPr>
                <w:color w:val="000000" w:themeColor="text1"/>
                <w:spacing w:val="-4"/>
              </w:rPr>
              <w:t>odejci potravin utržili o 4,4 %</w:t>
            </w:r>
            <w:r w:rsidRPr="005E4483">
              <w:rPr>
                <w:color w:val="000000" w:themeColor="text1"/>
                <w:spacing w:val="-4"/>
              </w:rPr>
              <w:t xml:space="preserve"> ví</w:t>
            </w:r>
            <w:r w:rsidR="00EA77CA">
              <w:rPr>
                <w:color w:val="000000" w:themeColor="text1"/>
                <w:spacing w:val="-4"/>
              </w:rPr>
              <w:t xml:space="preserve">ce (v samotném 3. čtvrtletí již </w:t>
            </w:r>
            <w:r w:rsidRPr="005E4483">
              <w:rPr>
                <w:color w:val="000000" w:themeColor="text1"/>
                <w:spacing w:val="-4"/>
              </w:rPr>
              <w:t>jen o 2,6 %). Vyšší tržby vykázaly všechny segmenty specializovaného pr</w:t>
            </w:r>
            <w:r w:rsidR="00EA77CA">
              <w:rPr>
                <w:color w:val="000000" w:themeColor="text1"/>
                <w:spacing w:val="-4"/>
              </w:rPr>
              <w:t>odeje – hlavně</w:t>
            </w:r>
            <w:r w:rsidRPr="005E4483">
              <w:rPr>
                <w:color w:val="000000" w:themeColor="text1"/>
                <w:spacing w:val="-4"/>
              </w:rPr>
              <w:t xml:space="preserve"> výrobky pro kulturu a rekreaci či výrobky pro domácnosti (např. </w:t>
            </w:r>
            <w:r w:rsidR="00EA77CA">
              <w:rPr>
                <w:color w:val="000000" w:themeColor="text1"/>
                <w:spacing w:val="-4"/>
              </w:rPr>
              <w:t>elektrospotřebiče a elektronika</w:t>
            </w:r>
            <w:r w:rsidRPr="005E4483">
              <w:rPr>
                <w:color w:val="000000" w:themeColor="text1"/>
                <w:spacing w:val="-4"/>
              </w:rPr>
              <w:t>, nábytek). Růst ekonomiky i příznivé ceny PHM se odrážely v silném růstu tržeb čerpacích stanic, jenž trval již sedm čtvrtletí v řadě (naposledy o 6</w:t>
            </w:r>
            <w:r w:rsidR="004470AE">
              <w:rPr>
                <w:color w:val="000000" w:themeColor="text1"/>
                <w:spacing w:val="-4"/>
              </w:rPr>
              <w:t>,0</w:t>
            </w:r>
            <w:r w:rsidRPr="005E4483">
              <w:rPr>
                <w:color w:val="000000" w:themeColor="text1"/>
                <w:spacing w:val="-4"/>
              </w:rPr>
              <w:t xml:space="preserve"> %). Podobně se vyvíjely i tržby za prodej</w:t>
            </w:r>
            <w:r w:rsidR="007F7C60">
              <w:rPr>
                <w:color w:val="000000" w:themeColor="text1"/>
                <w:spacing w:val="-4"/>
              </w:rPr>
              <w:t xml:space="preserve"> a </w:t>
            </w:r>
            <w:r w:rsidR="007D3CF7">
              <w:rPr>
                <w:color w:val="000000" w:themeColor="text1"/>
                <w:spacing w:val="-4"/>
              </w:rPr>
              <w:t>za opravy motorových vozidel. J</w:t>
            </w:r>
            <w:r w:rsidRPr="005E4483">
              <w:rPr>
                <w:color w:val="000000" w:themeColor="text1"/>
                <w:spacing w:val="-4"/>
              </w:rPr>
              <w:t>ejich meziroční tempo ve 3. čtv</w:t>
            </w:r>
            <w:r w:rsidR="00B7544D">
              <w:rPr>
                <w:color w:val="000000" w:themeColor="text1"/>
                <w:spacing w:val="-4"/>
              </w:rPr>
              <w:t>rtletí však zvolnilo na 5,4 % a</w:t>
            </w:r>
            <w:r w:rsidR="00B7544D" w:rsidRPr="005E4483">
              <w:rPr>
                <w:color w:val="000000" w:themeColor="text1"/>
                <w:spacing w:val="-4"/>
              </w:rPr>
              <w:t> </w:t>
            </w:r>
            <w:r w:rsidRPr="005E4483">
              <w:rPr>
                <w:color w:val="000000" w:themeColor="text1"/>
                <w:spacing w:val="-4"/>
              </w:rPr>
              <w:t xml:space="preserve">dosáhlo nejslabší dynamiky od poloviny roku 2013. </w:t>
            </w:r>
            <w:r w:rsidRPr="00815F10">
              <w:rPr>
                <w:spacing w:val="-4"/>
              </w:rPr>
              <w:t>Tempo růstu maloobchodních tržeb zařadilo letos ČR na 5. místo v EU</w:t>
            </w:r>
            <w:r w:rsidR="00EA77CA">
              <w:rPr>
                <w:spacing w:val="-4"/>
              </w:rPr>
              <w:t>. K nejdynamičtěji rostoucím zemím patř</w:t>
            </w:r>
            <w:r w:rsidR="005B0B8F">
              <w:rPr>
                <w:spacing w:val="-4"/>
              </w:rPr>
              <w:t>ila</w:t>
            </w:r>
            <w:r w:rsidR="00EA77CA">
              <w:rPr>
                <w:spacing w:val="-4"/>
              </w:rPr>
              <w:t xml:space="preserve"> Č</w:t>
            </w:r>
            <w:r w:rsidR="005B0B8F">
              <w:rPr>
                <w:spacing w:val="-4"/>
              </w:rPr>
              <w:t>R</w:t>
            </w:r>
            <w:r w:rsidR="00EA77CA">
              <w:rPr>
                <w:spacing w:val="-4"/>
              </w:rPr>
              <w:t xml:space="preserve"> i</w:t>
            </w:r>
            <w:r w:rsidR="005B0B8F">
              <w:rPr>
                <w:color w:val="000000" w:themeColor="text1"/>
                <w:spacing w:val="-4"/>
              </w:rPr>
              <w:t> </w:t>
            </w:r>
            <w:r w:rsidR="00EA77CA">
              <w:rPr>
                <w:spacing w:val="-4"/>
              </w:rPr>
              <w:t>u</w:t>
            </w:r>
            <w:r w:rsidR="005B0B8F">
              <w:rPr>
                <w:color w:val="000000" w:themeColor="text1"/>
                <w:spacing w:val="-4"/>
              </w:rPr>
              <w:t> </w:t>
            </w:r>
            <w:r w:rsidR="005B0B8F">
              <w:rPr>
                <w:spacing w:val="-4"/>
              </w:rPr>
              <w:t>prodeje potravin či PHM, ale</w:t>
            </w:r>
            <w:r w:rsidR="00EA77CA">
              <w:rPr>
                <w:spacing w:val="-4"/>
              </w:rPr>
              <w:t xml:space="preserve"> </w:t>
            </w:r>
            <w:r w:rsidR="005B0B8F">
              <w:rPr>
                <w:spacing w:val="-4"/>
              </w:rPr>
              <w:t>v</w:t>
            </w:r>
            <w:r w:rsidR="00EA77CA">
              <w:rPr>
                <w:spacing w:val="-4"/>
              </w:rPr>
              <w:t xml:space="preserve"> nepotravinářské</w:t>
            </w:r>
            <w:r w:rsidR="005B0B8F">
              <w:rPr>
                <w:spacing w:val="-4"/>
              </w:rPr>
              <w:t>m</w:t>
            </w:r>
            <w:r w:rsidR="00EA77CA">
              <w:rPr>
                <w:spacing w:val="-4"/>
              </w:rPr>
              <w:t xml:space="preserve"> zboží</w:t>
            </w:r>
            <w:r w:rsidR="005B0B8F">
              <w:rPr>
                <w:spacing w:val="-4"/>
              </w:rPr>
              <w:t xml:space="preserve"> </w:t>
            </w:r>
            <w:r w:rsidR="00A62BC7">
              <w:rPr>
                <w:spacing w:val="-4"/>
              </w:rPr>
              <w:t xml:space="preserve">se pohybovala </w:t>
            </w:r>
            <w:r w:rsidR="006E2D21">
              <w:rPr>
                <w:spacing w:val="-4"/>
              </w:rPr>
              <w:t xml:space="preserve">až </w:t>
            </w:r>
            <w:r w:rsidR="00A62BC7">
              <w:rPr>
                <w:spacing w:val="-4"/>
              </w:rPr>
              <w:t>na rozhraní první a druhé desítky zemí</w:t>
            </w:r>
            <w:r w:rsidR="005B0B8F">
              <w:rPr>
                <w:spacing w:val="-4"/>
              </w:rPr>
              <w:t>, byť</w:t>
            </w:r>
            <w:r w:rsidR="00EA77CA">
              <w:rPr>
                <w:spacing w:val="-4"/>
              </w:rPr>
              <w:t xml:space="preserve"> meziroční tempo tržeb </w:t>
            </w:r>
            <w:r w:rsidR="006E2D21">
              <w:rPr>
                <w:spacing w:val="-4"/>
              </w:rPr>
              <w:t xml:space="preserve">v Česku </w:t>
            </w:r>
            <w:r w:rsidR="00EA77CA">
              <w:rPr>
                <w:spacing w:val="-4"/>
              </w:rPr>
              <w:t>převyšovalo</w:t>
            </w:r>
            <w:r w:rsidR="000D1F52">
              <w:rPr>
                <w:spacing w:val="-4"/>
              </w:rPr>
              <w:t xml:space="preserve"> dynamku </w:t>
            </w:r>
            <w:r w:rsidR="00EA77CA">
              <w:rPr>
                <w:spacing w:val="-4"/>
              </w:rPr>
              <w:t>EU téměř dvojnásobně.</w:t>
            </w:r>
          </w:p>
        </w:tc>
      </w:tr>
    </w:tbl>
    <w:p w:rsidR="00815F10" w:rsidRPr="006E2D21" w:rsidRDefault="00815F10" w:rsidP="00016033">
      <w:pPr>
        <w:pStyle w:val="Textpoznpodarou"/>
        <w:jc w:val="both"/>
        <w:rPr>
          <w:sz w:val="10"/>
          <w:szCs w:val="10"/>
        </w:rPr>
      </w:pPr>
    </w:p>
    <w:tbl>
      <w:tblPr>
        <w:tblW w:w="5059" w:type="pct"/>
        <w:tblLayout w:type="fixed"/>
        <w:tblCellMar>
          <w:left w:w="28" w:type="dxa"/>
          <w:right w:w="28" w:type="dxa"/>
        </w:tblCellMar>
        <w:tblLook w:val="04A0"/>
      </w:tblPr>
      <w:tblGrid>
        <w:gridCol w:w="735"/>
        <w:gridCol w:w="4180"/>
        <w:gridCol w:w="783"/>
        <w:gridCol w:w="4110"/>
      </w:tblGrid>
      <w:tr w:rsidR="00016033" w:rsidTr="00815F10">
        <w:tc>
          <w:tcPr>
            <w:tcW w:w="375" w:type="pct"/>
          </w:tcPr>
          <w:p w:rsidR="00016033" w:rsidRDefault="00016033" w:rsidP="00815F10">
            <w:pPr>
              <w:spacing w:line="240" w:lineRule="auto"/>
            </w:pPr>
            <w:r>
              <w:t>Graf č. 5</w:t>
            </w:r>
          </w:p>
        </w:tc>
        <w:tc>
          <w:tcPr>
            <w:tcW w:w="2131" w:type="pct"/>
          </w:tcPr>
          <w:p w:rsidR="00016033" w:rsidRPr="001D04BA" w:rsidRDefault="00016033" w:rsidP="00815F10">
            <w:pPr>
              <w:pStyle w:val="Textpoznpodarou"/>
              <w:rPr>
                <w:b/>
              </w:rPr>
            </w:pPr>
            <w:r w:rsidRPr="001D04BA">
              <w:rPr>
                <w:b/>
              </w:rPr>
              <w:t>Produkce v průmyslu a</w:t>
            </w:r>
            <w:r>
              <w:rPr>
                <w:b/>
              </w:rPr>
              <w:t xml:space="preserve"> ve</w:t>
            </w:r>
            <w:r w:rsidRPr="001D04BA">
              <w:rPr>
                <w:b/>
              </w:rPr>
              <w:t xml:space="preserve"> vyb</w:t>
            </w:r>
            <w:r>
              <w:rPr>
                <w:b/>
              </w:rPr>
              <w:t>raných zpracovatelských odvětvích</w:t>
            </w:r>
          </w:p>
          <w:p w:rsidR="00016033" w:rsidRDefault="00016033" w:rsidP="00815F10">
            <w:pPr>
              <w:pStyle w:val="Textpoznpodarou"/>
              <w:rPr>
                <w:b/>
              </w:rPr>
            </w:pPr>
            <w:r>
              <w:t>(reálně, y/y, očištěno o kalendářní vlivy,</w:t>
            </w:r>
            <w:r w:rsidRPr="001D04BA">
              <w:t xml:space="preserve"> v %)</w:t>
            </w:r>
          </w:p>
        </w:tc>
        <w:tc>
          <w:tcPr>
            <w:tcW w:w="399" w:type="pct"/>
          </w:tcPr>
          <w:p w:rsidR="00016033" w:rsidRDefault="00016033" w:rsidP="00815F10">
            <w:pPr>
              <w:spacing w:line="240" w:lineRule="auto"/>
              <w:ind w:left="-8" w:right="-28"/>
            </w:pPr>
            <w:r>
              <w:t>Graf č. 6</w:t>
            </w:r>
          </w:p>
        </w:tc>
        <w:tc>
          <w:tcPr>
            <w:tcW w:w="2095" w:type="pct"/>
          </w:tcPr>
          <w:p w:rsidR="00016033" w:rsidRDefault="00016033" w:rsidP="00815F10">
            <w:pPr>
              <w:spacing w:line="240" w:lineRule="auto"/>
              <w:ind w:left="-28"/>
              <w:rPr>
                <w:b/>
              </w:rPr>
            </w:pPr>
            <w:r w:rsidRPr="004B22DA">
              <w:rPr>
                <w:b/>
                <w:spacing w:val="-2"/>
              </w:rPr>
              <w:t>Nové zakázky v automobilovém průmyslu</w:t>
            </w:r>
            <w:r>
              <w:rPr>
                <w:b/>
              </w:rPr>
              <w:t xml:space="preserve">, v průmyslu celkem </w:t>
            </w:r>
            <w:r>
              <w:rPr>
                <w:bCs/>
              </w:rPr>
              <w:t xml:space="preserve">(b.c., y/y v %) </w:t>
            </w:r>
            <w:r w:rsidRPr="006B4FFB">
              <w:rPr>
                <w:b/>
              </w:rPr>
              <w:t>a</w:t>
            </w:r>
            <w:r>
              <w:rPr>
                <w:b/>
              </w:rPr>
              <w:t xml:space="preserve"> saldo indikátoru důvěry v průmyslu </w:t>
            </w:r>
            <w:r w:rsidRPr="00C1711F">
              <w:t>(pravá osa)</w:t>
            </w:r>
          </w:p>
        </w:tc>
      </w:tr>
      <w:tr w:rsidR="00016033" w:rsidTr="00815F10">
        <w:tc>
          <w:tcPr>
            <w:tcW w:w="2506" w:type="pct"/>
            <w:gridSpan w:val="2"/>
          </w:tcPr>
          <w:p w:rsidR="00016033" w:rsidRPr="00D07B05" w:rsidRDefault="00016033" w:rsidP="00815F10">
            <w:pPr>
              <w:pStyle w:val="Textpoznpodarou"/>
              <w:jc w:val="both"/>
              <w:rPr>
                <w:sz w:val="6"/>
                <w:szCs w:val="6"/>
              </w:rPr>
            </w:pPr>
            <w:r w:rsidRPr="007E1EF7">
              <w:rPr>
                <w:noProof/>
                <w:sz w:val="6"/>
                <w:szCs w:val="6"/>
              </w:rPr>
              <w:drawing>
                <wp:inline distT="0" distB="0" distL="0" distR="0">
                  <wp:extent cx="3058094" cy="2182218"/>
                  <wp:effectExtent l="19050" t="0" r="8956" b="0"/>
                  <wp:docPr id="24"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srcRect/>
                          <a:stretch>
                            <a:fillRect/>
                          </a:stretch>
                        </pic:blipFill>
                        <pic:spPr bwMode="auto">
                          <a:xfrm>
                            <a:off x="0" y="0"/>
                            <a:ext cx="3058160" cy="2182265"/>
                          </a:xfrm>
                          <a:prstGeom prst="rect">
                            <a:avLst/>
                          </a:prstGeom>
                          <a:noFill/>
                          <a:ln w="9525">
                            <a:noFill/>
                            <a:miter lim="800000"/>
                            <a:headEnd/>
                            <a:tailEnd/>
                          </a:ln>
                        </pic:spPr>
                      </pic:pic>
                    </a:graphicData>
                  </a:graphic>
                </wp:inline>
              </w:drawing>
            </w:r>
          </w:p>
        </w:tc>
        <w:tc>
          <w:tcPr>
            <w:tcW w:w="2494" w:type="pct"/>
            <w:gridSpan w:val="2"/>
          </w:tcPr>
          <w:p w:rsidR="00016033" w:rsidRDefault="00016033" w:rsidP="00815F10">
            <w:pPr>
              <w:pStyle w:val="Textpoznpodarou"/>
              <w:jc w:val="both"/>
            </w:pPr>
            <w:r w:rsidRPr="00E9446C">
              <w:rPr>
                <w:noProof/>
              </w:rPr>
              <w:drawing>
                <wp:inline distT="0" distB="0" distL="0" distR="0">
                  <wp:extent cx="3071959" cy="2182218"/>
                  <wp:effectExtent l="19050" t="0" r="0" b="0"/>
                  <wp:docPr id="25"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srcRect/>
                          <a:stretch>
                            <a:fillRect/>
                          </a:stretch>
                        </pic:blipFill>
                        <pic:spPr bwMode="auto">
                          <a:xfrm>
                            <a:off x="0" y="0"/>
                            <a:ext cx="3075940" cy="2185046"/>
                          </a:xfrm>
                          <a:prstGeom prst="rect">
                            <a:avLst/>
                          </a:prstGeom>
                          <a:noFill/>
                          <a:ln w="9525">
                            <a:noFill/>
                            <a:miter lim="800000"/>
                            <a:headEnd/>
                            <a:tailEnd/>
                          </a:ln>
                        </pic:spPr>
                      </pic:pic>
                    </a:graphicData>
                  </a:graphic>
                </wp:inline>
              </w:drawing>
            </w:r>
          </w:p>
        </w:tc>
      </w:tr>
      <w:tr w:rsidR="00016033" w:rsidTr="00815F10">
        <w:tc>
          <w:tcPr>
            <w:tcW w:w="375" w:type="pct"/>
          </w:tcPr>
          <w:p w:rsidR="00016033" w:rsidRDefault="00016033" w:rsidP="00815F10">
            <w:pPr>
              <w:spacing w:before="20" w:line="240" w:lineRule="auto"/>
            </w:pPr>
            <w:r>
              <w:t>Graf č. 7</w:t>
            </w:r>
          </w:p>
        </w:tc>
        <w:tc>
          <w:tcPr>
            <w:tcW w:w="2131" w:type="pct"/>
          </w:tcPr>
          <w:p w:rsidR="00016033" w:rsidRDefault="00016033" w:rsidP="00815F10">
            <w:pPr>
              <w:spacing w:before="20" w:line="240" w:lineRule="auto"/>
              <w:rPr>
                <w:b/>
              </w:rPr>
            </w:pPr>
            <w:r>
              <w:rPr>
                <w:b/>
              </w:rPr>
              <w:t xml:space="preserve">Stavební produkce*, hodnota nových zakázek </w:t>
            </w:r>
            <w:r>
              <w:rPr>
                <w:bCs/>
              </w:rPr>
              <w:t xml:space="preserve">(y/y v %) </w:t>
            </w:r>
            <w:r w:rsidRPr="006B4FFB">
              <w:rPr>
                <w:b/>
              </w:rPr>
              <w:t>a</w:t>
            </w:r>
            <w:r>
              <w:rPr>
                <w:b/>
              </w:rPr>
              <w:t xml:space="preserve"> saldo indikátoru    důvěry ve stavebnictví </w:t>
            </w:r>
            <w:r w:rsidRPr="00C1711F">
              <w:t>(pravá osa)</w:t>
            </w:r>
          </w:p>
        </w:tc>
        <w:tc>
          <w:tcPr>
            <w:tcW w:w="399" w:type="pct"/>
          </w:tcPr>
          <w:p w:rsidR="00016033" w:rsidRDefault="00016033" w:rsidP="00815F10">
            <w:pPr>
              <w:spacing w:before="20" w:line="240" w:lineRule="auto"/>
            </w:pPr>
            <w:r>
              <w:t>Graf č. 8</w:t>
            </w:r>
          </w:p>
        </w:tc>
        <w:tc>
          <w:tcPr>
            <w:tcW w:w="2095" w:type="pct"/>
          </w:tcPr>
          <w:p w:rsidR="00016033" w:rsidRPr="0036011F" w:rsidRDefault="00016033" w:rsidP="00815F10">
            <w:pPr>
              <w:spacing w:before="20" w:line="240" w:lineRule="auto"/>
              <w:rPr>
                <w:b/>
                <w:spacing w:val="-2"/>
              </w:rPr>
            </w:pPr>
            <w:r w:rsidRPr="0036011F">
              <w:rPr>
                <w:b/>
                <w:spacing w:val="-2"/>
              </w:rPr>
              <w:t xml:space="preserve">Tržby v maloobchodě vč. motoristického segmentu* </w:t>
            </w:r>
            <w:r w:rsidRPr="0036011F">
              <w:rPr>
                <w:bCs/>
                <w:spacing w:val="-2"/>
              </w:rPr>
              <w:t xml:space="preserve">(reálně, y/y v %) </w:t>
            </w:r>
            <w:r w:rsidRPr="0036011F">
              <w:rPr>
                <w:b/>
                <w:spacing w:val="-2"/>
              </w:rPr>
              <w:t xml:space="preserve">saldo indikátoru důvěry spotřebitelů </w:t>
            </w:r>
            <w:r w:rsidRPr="0036011F">
              <w:rPr>
                <w:spacing w:val="-2"/>
              </w:rPr>
              <w:t>(pravá osa)</w:t>
            </w:r>
          </w:p>
        </w:tc>
      </w:tr>
      <w:tr w:rsidR="00016033" w:rsidTr="00815F10">
        <w:tc>
          <w:tcPr>
            <w:tcW w:w="2506" w:type="pct"/>
            <w:gridSpan w:val="2"/>
          </w:tcPr>
          <w:p w:rsidR="00016033" w:rsidRPr="00B00F42" w:rsidRDefault="005F42F4" w:rsidP="00815F10">
            <w:pPr>
              <w:pStyle w:val="Textpoznpodarou"/>
              <w:jc w:val="both"/>
              <w:rPr>
                <w:sz w:val="6"/>
                <w:szCs w:val="6"/>
              </w:rPr>
            </w:pPr>
            <w:r>
              <w:rPr>
                <w:noProof/>
                <w:sz w:val="6"/>
                <w:szCs w:val="6"/>
              </w:rPr>
              <w:drawing>
                <wp:inline distT="0" distB="0" distL="0" distR="0">
                  <wp:extent cx="3024541" cy="2187829"/>
                  <wp:effectExtent l="19050" t="0" r="4409" b="0"/>
                  <wp:docPr id="20"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srcRect/>
                          <a:stretch>
                            <a:fillRect/>
                          </a:stretch>
                        </pic:blipFill>
                        <pic:spPr bwMode="auto">
                          <a:xfrm>
                            <a:off x="0" y="0"/>
                            <a:ext cx="3028315" cy="2190559"/>
                          </a:xfrm>
                          <a:prstGeom prst="rect">
                            <a:avLst/>
                          </a:prstGeom>
                          <a:noFill/>
                          <a:ln w="9525">
                            <a:noFill/>
                            <a:miter lim="800000"/>
                            <a:headEnd/>
                            <a:tailEnd/>
                          </a:ln>
                        </pic:spPr>
                      </pic:pic>
                    </a:graphicData>
                  </a:graphic>
                </wp:inline>
              </w:drawing>
            </w:r>
          </w:p>
        </w:tc>
        <w:tc>
          <w:tcPr>
            <w:tcW w:w="2494" w:type="pct"/>
            <w:gridSpan w:val="2"/>
          </w:tcPr>
          <w:p w:rsidR="00016033" w:rsidRDefault="00016033" w:rsidP="00815F10">
            <w:pPr>
              <w:pStyle w:val="Textpoznpodarou"/>
              <w:jc w:val="both"/>
            </w:pPr>
            <w:r>
              <w:rPr>
                <w:noProof/>
              </w:rPr>
              <w:drawing>
                <wp:inline distT="0" distB="0" distL="0" distR="0">
                  <wp:extent cx="3041119" cy="2187829"/>
                  <wp:effectExtent l="19050" t="0" r="6881" b="0"/>
                  <wp:docPr id="2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srcRect/>
                          <a:stretch>
                            <a:fillRect/>
                          </a:stretch>
                        </pic:blipFill>
                        <pic:spPr bwMode="auto">
                          <a:xfrm>
                            <a:off x="0" y="0"/>
                            <a:ext cx="3040380" cy="2187298"/>
                          </a:xfrm>
                          <a:prstGeom prst="rect">
                            <a:avLst/>
                          </a:prstGeom>
                          <a:noFill/>
                          <a:ln w="9525">
                            <a:noFill/>
                            <a:miter lim="800000"/>
                            <a:headEnd/>
                            <a:tailEnd/>
                          </a:ln>
                        </pic:spPr>
                      </pic:pic>
                    </a:graphicData>
                  </a:graphic>
                </wp:inline>
              </w:drawing>
            </w:r>
          </w:p>
        </w:tc>
      </w:tr>
      <w:tr w:rsidR="00016033" w:rsidTr="00815F10">
        <w:trPr>
          <w:trHeight w:val="58"/>
        </w:trPr>
        <w:tc>
          <w:tcPr>
            <w:tcW w:w="5000" w:type="pct"/>
            <w:gridSpan w:val="4"/>
          </w:tcPr>
          <w:p w:rsidR="00016033" w:rsidRDefault="00016033" w:rsidP="00815F10">
            <w:pPr>
              <w:pStyle w:val="Zhlav"/>
              <w:spacing w:line="240" w:lineRule="auto"/>
              <w:rPr>
                <w:rFonts w:ascii="Arial" w:eastAsia="Times New Roman" w:hAnsi="Arial" w:cs="Arial"/>
                <w:sz w:val="18"/>
                <w:szCs w:val="18"/>
              </w:rPr>
            </w:pPr>
            <w:r>
              <w:rPr>
                <w:rFonts w:ascii="Arial" w:hAnsi="Arial" w:cs="Arial"/>
                <w:sz w:val="18"/>
                <w:szCs w:val="18"/>
                <w:lang w:eastAsia="cs-CZ"/>
              </w:rPr>
              <w:t xml:space="preserve">*očištěno o kalendářní vlivy                                                                                                                                     </w:t>
            </w:r>
            <w:r w:rsidRPr="000F401E">
              <w:rPr>
                <w:rFonts w:ascii="Arial" w:hAnsi="Arial" w:cs="Arial"/>
                <w:sz w:val="18"/>
                <w:szCs w:val="18"/>
                <w:lang w:eastAsia="cs-CZ"/>
              </w:rPr>
              <w:t>Zdroj: ČSÚ</w:t>
            </w:r>
          </w:p>
        </w:tc>
      </w:tr>
    </w:tbl>
    <w:p w:rsidR="00016033" w:rsidRPr="006B23D8" w:rsidRDefault="00016033" w:rsidP="005E4483">
      <w:pPr>
        <w:pStyle w:val="Textpoznpodarou"/>
        <w:jc w:val="both"/>
        <w:rPr>
          <w:sz w:val="6"/>
          <w:szCs w:val="6"/>
        </w:rPr>
      </w:pPr>
    </w:p>
    <w:p w:rsidR="00576A3E" w:rsidRPr="00A74192" w:rsidRDefault="00576A3E" w:rsidP="009F777A">
      <w:pPr>
        <w:pStyle w:val="Nadpis1"/>
        <w:numPr>
          <w:ilvl w:val="0"/>
          <w:numId w:val="12"/>
        </w:numPr>
        <w:ind w:left="709"/>
        <w:jc w:val="both"/>
      </w:pPr>
      <w:bookmarkStart w:id="10" w:name="_Toc469299932"/>
      <w:bookmarkStart w:id="11" w:name="_Toc469327801"/>
      <w:r w:rsidRPr="00A74192">
        <w:t>Vnější ekonomické vztahy</w:t>
      </w:r>
      <w:bookmarkEnd w:id="10"/>
      <w:bookmarkEnd w:id="11"/>
    </w:p>
    <w:tbl>
      <w:tblPr>
        <w:tblW w:w="4963" w:type="pct"/>
        <w:tblInd w:w="108" w:type="dxa"/>
        <w:tblLayout w:type="fixed"/>
        <w:tblLook w:val="00A0"/>
      </w:tblPr>
      <w:tblGrid>
        <w:gridCol w:w="818"/>
        <w:gridCol w:w="1279"/>
        <w:gridCol w:w="278"/>
        <w:gridCol w:w="2504"/>
        <w:gridCol w:w="1107"/>
        <w:gridCol w:w="3795"/>
      </w:tblGrid>
      <w:tr w:rsidR="005A3210" w:rsidRPr="00A74192" w:rsidTr="00E67611">
        <w:tc>
          <w:tcPr>
            <w:tcW w:w="1072" w:type="pct"/>
            <w:gridSpan w:val="2"/>
          </w:tcPr>
          <w:p w:rsidR="00BD5298" w:rsidRPr="00A74192" w:rsidRDefault="00BD5298" w:rsidP="005A3210">
            <w:pPr>
              <w:spacing w:line="240" w:lineRule="auto"/>
              <w:rPr>
                <w:sz w:val="16"/>
                <w:szCs w:val="16"/>
              </w:rPr>
            </w:pPr>
            <w:r w:rsidRPr="00A74192">
              <w:rPr>
                <w:sz w:val="16"/>
                <w:szCs w:val="16"/>
              </w:rPr>
              <w:t>Ve statistice platební bilance se projevoval růst přímých investic ze zahraničí i nárůst devizových rezerv.</w:t>
            </w:r>
          </w:p>
        </w:tc>
        <w:tc>
          <w:tcPr>
            <w:tcW w:w="142" w:type="pct"/>
          </w:tcPr>
          <w:p w:rsidR="00BD5298" w:rsidRPr="00A74192" w:rsidRDefault="00BD5298" w:rsidP="00D94859">
            <w:pPr>
              <w:pStyle w:val="Textpoznpodarou"/>
              <w:jc w:val="both"/>
              <w:rPr>
                <w:color w:val="FF0000"/>
              </w:rPr>
            </w:pPr>
          </w:p>
        </w:tc>
        <w:tc>
          <w:tcPr>
            <w:tcW w:w="3785" w:type="pct"/>
            <w:gridSpan w:val="3"/>
          </w:tcPr>
          <w:p w:rsidR="00BD5298" w:rsidRPr="00A74192" w:rsidRDefault="00BD5298" w:rsidP="005A3210">
            <w:pPr>
              <w:pStyle w:val="Textpoznpodarou"/>
              <w:ind w:right="-35"/>
              <w:jc w:val="both"/>
            </w:pPr>
            <w:r w:rsidRPr="00A74192">
              <w:t>Vývoj běžného účtu platební bilance v 1. až 3. čtvrtletí 2016 měl tradiční dynamiku. Po mimořádně vysokém přebytku v 1. čtvrtletí 2016 došlo k deficitu −</w:t>
            </w:r>
            <w:r w:rsidR="003750CF">
              <w:t>13,2</w:t>
            </w:r>
            <w:r w:rsidRPr="00A74192">
              <w:t xml:space="preserve"> mld. korun ve 2. čtvrtletí a −2</w:t>
            </w:r>
            <w:r w:rsidR="003750CF">
              <w:t>2</w:t>
            </w:r>
            <w:r w:rsidRPr="00A74192">
              <w:t>,</w:t>
            </w:r>
            <w:r w:rsidR="003750CF">
              <w:t>4</w:t>
            </w:r>
            <w:r w:rsidRPr="00A74192">
              <w:t xml:space="preserve"> mld. korun ve 3. čtvrtletí 2016. V položce kapitálového účtu doznívaly transfery z EU, které jej </w:t>
            </w:r>
            <w:r w:rsidR="00D80E07">
              <w:t xml:space="preserve">výrazněji </w:t>
            </w:r>
            <w:r w:rsidRPr="00A74192">
              <w:t>ovlivňovaly v předchozím roce. Finanční účet zaznamenal přebytek a byl ovlivněn především nárůstem devizových rezerv. V opačném směru působil nadprůměrný příliv přímých investic.</w:t>
            </w:r>
          </w:p>
          <w:p w:rsidR="00BD5298" w:rsidRPr="008A73DA" w:rsidRDefault="00BD5298" w:rsidP="005A3210">
            <w:pPr>
              <w:pStyle w:val="Textpoznpodarou"/>
              <w:ind w:right="-35"/>
              <w:jc w:val="both"/>
              <w:rPr>
                <w:color w:val="FF0000"/>
                <w:sz w:val="16"/>
                <w:szCs w:val="16"/>
              </w:rPr>
            </w:pPr>
            <w:r w:rsidRPr="00A74192">
              <w:rPr>
                <w:highlight w:val="yellow"/>
              </w:rPr>
              <w:t xml:space="preserve"> </w:t>
            </w:r>
          </w:p>
        </w:tc>
      </w:tr>
      <w:tr w:rsidR="005A3210" w:rsidRPr="00A74192" w:rsidTr="00E67611">
        <w:tc>
          <w:tcPr>
            <w:tcW w:w="1072" w:type="pct"/>
            <w:gridSpan w:val="2"/>
          </w:tcPr>
          <w:p w:rsidR="00BD5298" w:rsidRPr="00A74192" w:rsidRDefault="00BD5298" w:rsidP="005A3210">
            <w:pPr>
              <w:spacing w:line="240" w:lineRule="auto"/>
              <w:rPr>
                <w:sz w:val="16"/>
                <w:szCs w:val="16"/>
              </w:rPr>
            </w:pPr>
            <w:r w:rsidRPr="00A74192">
              <w:rPr>
                <w:sz w:val="16"/>
                <w:szCs w:val="16"/>
              </w:rPr>
              <w:t>Přebytek běžného účtu byl o 56,9 mld. korun vyšší než v minulém roce.</w:t>
            </w:r>
          </w:p>
        </w:tc>
        <w:tc>
          <w:tcPr>
            <w:tcW w:w="142" w:type="pct"/>
          </w:tcPr>
          <w:p w:rsidR="00BD5298" w:rsidRPr="00A74192" w:rsidRDefault="00BD5298" w:rsidP="00D94859">
            <w:pPr>
              <w:pStyle w:val="Textpoznpodarou"/>
              <w:jc w:val="both"/>
              <w:rPr>
                <w:color w:val="FF0000"/>
              </w:rPr>
            </w:pPr>
          </w:p>
        </w:tc>
        <w:tc>
          <w:tcPr>
            <w:tcW w:w="3785" w:type="pct"/>
            <w:gridSpan w:val="3"/>
          </w:tcPr>
          <w:p w:rsidR="00BD5298" w:rsidRPr="00A74192" w:rsidRDefault="00BD5298" w:rsidP="005A3210">
            <w:pPr>
              <w:pStyle w:val="Textpoznpodarou"/>
              <w:ind w:right="-35"/>
              <w:jc w:val="both"/>
            </w:pPr>
            <w:r w:rsidRPr="00A74192">
              <w:t xml:space="preserve">Přebytek běžného účtu (BÚ) kumulovaný za 1. až 3. čtvrtletí 2016 dosáhl </w:t>
            </w:r>
            <w:r w:rsidR="003750CF">
              <w:t>74,1 </w:t>
            </w:r>
            <w:r w:rsidRPr="00A74192">
              <w:t xml:space="preserve">mld. korun a byl o </w:t>
            </w:r>
            <w:r w:rsidR="003750CF">
              <w:t>47</w:t>
            </w:r>
            <w:r w:rsidRPr="00A74192">
              <w:t>,</w:t>
            </w:r>
            <w:r w:rsidR="003750CF">
              <w:t>4</w:t>
            </w:r>
            <w:r w:rsidRPr="00A74192">
              <w:t xml:space="preserve"> mld. vyšší než ve stejném období roku 2015. Podepsal se na tom nadprůměrný přebytek salda zboží a služeb (2</w:t>
            </w:r>
            <w:r w:rsidR="003750CF">
              <w:t>86,3</w:t>
            </w:r>
            <w:r w:rsidRPr="00A74192">
              <w:t xml:space="preserve"> mld.) i</w:t>
            </w:r>
            <w:r w:rsidR="005E6AB8">
              <w:t> </w:t>
            </w:r>
            <w:r w:rsidRPr="00A74192">
              <w:t xml:space="preserve">snížený deficit salda prvotních důchodů (o </w:t>
            </w:r>
            <w:r w:rsidR="003750CF">
              <w:t>15,6</w:t>
            </w:r>
            <w:r w:rsidRPr="00A74192">
              <w:t xml:space="preserve"> mld.). Obvyklá sezónnost, kdy v 1.</w:t>
            </w:r>
            <w:r w:rsidR="003750CF">
              <w:t> </w:t>
            </w:r>
            <w:r w:rsidRPr="00A74192">
              <w:t xml:space="preserve">čtvrtletí BÚ dosahuje přebytku a následně je v deficitu vlivem odlivu dividend do zahraničí, zůstala zachována. Negativní vliv na saldo běžného účtu mělo meziroční zvýšení deficitu druhotných důchodů o </w:t>
            </w:r>
            <w:r w:rsidR="003750CF">
              <w:t>25</w:t>
            </w:r>
            <w:r w:rsidRPr="00A74192">
              <w:t>,</w:t>
            </w:r>
            <w:r w:rsidR="003750CF">
              <w:t>1</w:t>
            </w:r>
            <w:r w:rsidRPr="00A74192">
              <w:t xml:space="preserve"> mld</w:t>
            </w:r>
            <w:r w:rsidR="005E6AB8">
              <w:t>.</w:t>
            </w:r>
            <w:r w:rsidRPr="00A74192">
              <w:t xml:space="preserve"> korun.  </w:t>
            </w:r>
          </w:p>
          <w:p w:rsidR="00BD5298" w:rsidRPr="008A73DA" w:rsidRDefault="00BD5298" w:rsidP="005A3210">
            <w:pPr>
              <w:pStyle w:val="Textpoznpodarou"/>
              <w:ind w:right="-35"/>
              <w:jc w:val="both"/>
              <w:rPr>
                <w:color w:val="FF0000"/>
                <w:sz w:val="16"/>
                <w:szCs w:val="16"/>
              </w:rPr>
            </w:pPr>
          </w:p>
        </w:tc>
      </w:tr>
      <w:tr w:rsidR="005A3210" w:rsidRPr="00A74192" w:rsidTr="00E67611">
        <w:tc>
          <w:tcPr>
            <w:tcW w:w="1072" w:type="pct"/>
            <w:gridSpan w:val="2"/>
          </w:tcPr>
          <w:p w:rsidR="00BD5298" w:rsidRPr="00A74192" w:rsidRDefault="00BD5298" w:rsidP="005A3210">
            <w:pPr>
              <w:spacing w:line="240" w:lineRule="auto"/>
              <w:rPr>
                <w:sz w:val="16"/>
                <w:szCs w:val="16"/>
              </w:rPr>
            </w:pPr>
            <w:r w:rsidRPr="00A74192">
              <w:rPr>
                <w:sz w:val="16"/>
                <w:szCs w:val="16"/>
              </w:rPr>
              <w:t xml:space="preserve">Poprvé od roku 2011 se snížilo celkové množství přímých investic rezidentů v zahraničí. </w:t>
            </w:r>
          </w:p>
        </w:tc>
        <w:tc>
          <w:tcPr>
            <w:tcW w:w="142" w:type="pct"/>
          </w:tcPr>
          <w:p w:rsidR="00BD5298" w:rsidRPr="00A74192" w:rsidRDefault="00BD5298" w:rsidP="00D94859">
            <w:pPr>
              <w:pStyle w:val="Textpoznpodarou"/>
              <w:rPr>
                <w:color w:val="FF0000"/>
              </w:rPr>
            </w:pPr>
          </w:p>
        </w:tc>
        <w:tc>
          <w:tcPr>
            <w:tcW w:w="3785" w:type="pct"/>
            <w:gridSpan w:val="3"/>
          </w:tcPr>
          <w:p w:rsidR="00BD5298" w:rsidRPr="00A74192" w:rsidRDefault="00BD5298" w:rsidP="005A3210">
            <w:pPr>
              <w:pStyle w:val="Textpoznpodarou"/>
              <w:ind w:right="-35"/>
              <w:jc w:val="both"/>
            </w:pPr>
            <w:r w:rsidRPr="00A74192">
              <w:t xml:space="preserve">Podobně jako v minulém roce byl finanční účet v přebytku díky devizovým intervencím ČNB. Rezervní aktiva za první tři čtvrtletí narostla o 389,7 mld. korun. Během prvních devíti měsíců roku 2016 byl příliv přímých zahraničních investic meziročně vyšší o </w:t>
            </w:r>
            <w:r w:rsidR="003750CF">
              <w:t>60</w:t>
            </w:r>
            <w:r w:rsidRPr="00A74192">
              <w:t>,</w:t>
            </w:r>
            <w:r w:rsidR="003750CF">
              <w:t>0</w:t>
            </w:r>
            <w:r w:rsidRPr="00A74192">
              <w:t xml:space="preserve"> mld. korun. I když byl objem investic zahraničních investorů v 1.</w:t>
            </w:r>
            <w:r w:rsidR="003750CF">
              <w:t xml:space="preserve"> </w:t>
            </w:r>
            <w:r w:rsidRPr="00A74192">
              <w:t>čtvrtletí nejnižší od roku 2011</w:t>
            </w:r>
            <w:r w:rsidRPr="00A74192">
              <w:rPr>
                <w:rStyle w:val="Znakapoznpodarou"/>
              </w:rPr>
              <w:footnoteReference w:id="19"/>
            </w:r>
            <w:r w:rsidRPr="00A74192">
              <w:t>, ve 2. čtvrtletí byl propad vykompenzován a</w:t>
            </w:r>
            <w:r w:rsidR="00EC0EC1">
              <w:t> </w:t>
            </w:r>
            <w:r w:rsidRPr="00A74192">
              <w:t>3.</w:t>
            </w:r>
            <w:r w:rsidR="00EC0EC1">
              <w:t> </w:t>
            </w:r>
            <w:r w:rsidR="007B2257">
              <w:t>čtvrtletí mírný růst</w:t>
            </w:r>
            <w:r w:rsidRPr="00A74192">
              <w:t xml:space="preserve"> potvrdilo. Během 2. a 3. čtvrtletí docházelo ke stahování investic tuzemských investorů ze zahraničí, což v úhrnu za 1. až 3.</w:t>
            </w:r>
            <w:r w:rsidR="005E6AB8">
              <w:t> </w:t>
            </w:r>
            <w:r w:rsidRPr="00A74192">
              <w:t>čtvrtletí znamenalo snížení o 1</w:t>
            </w:r>
            <w:r w:rsidR="006150EA">
              <w:t>9</w:t>
            </w:r>
            <w:r w:rsidRPr="00A74192">
              <w:t>,</w:t>
            </w:r>
            <w:r w:rsidR="006150EA">
              <w:t>8</w:t>
            </w:r>
            <w:r w:rsidRPr="00A74192">
              <w:t xml:space="preserve"> mld. Při podrobnějším pohledu je zřejmé, že propad na aktivní straně finančního účtu lze připsat výhradně položce dluhových nástrojů (−4</w:t>
            </w:r>
            <w:r w:rsidR="006150EA">
              <w:t>7</w:t>
            </w:r>
            <w:r w:rsidRPr="00A74192">
              <w:t>,</w:t>
            </w:r>
            <w:r w:rsidR="006150EA">
              <w:t>7</w:t>
            </w:r>
            <w:r w:rsidRPr="00A74192">
              <w:t xml:space="preserve"> mld. korun).     </w:t>
            </w:r>
          </w:p>
          <w:p w:rsidR="00BD5298" w:rsidRPr="008A73DA" w:rsidRDefault="00BD5298" w:rsidP="005A3210">
            <w:pPr>
              <w:pStyle w:val="Textpoznpodarou"/>
              <w:ind w:right="-35"/>
              <w:jc w:val="both"/>
              <w:rPr>
                <w:color w:val="FF0000"/>
                <w:sz w:val="16"/>
                <w:szCs w:val="16"/>
              </w:rPr>
            </w:pPr>
          </w:p>
        </w:tc>
      </w:tr>
      <w:tr w:rsidR="005A3210" w:rsidRPr="00A74192" w:rsidTr="00E67611">
        <w:tc>
          <w:tcPr>
            <w:tcW w:w="1072" w:type="pct"/>
            <w:gridSpan w:val="2"/>
          </w:tcPr>
          <w:p w:rsidR="00BD5298" w:rsidRPr="00A74192" w:rsidRDefault="00BD5298" w:rsidP="005A3210">
            <w:pPr>
              <w:spacing w:line="240" w:lineRule="auto"/>
              <w:rPr>
                <w:sz w:val="16"/>
                <w:szCs w:val="16"/>
              </w:rPr>
            </w:pPr>
            <w:r w:rsidRPr="00A74192">
              <w:rPr>
                <w:sz w:val="16"/>
                <w:szCs w:val="16"/>
              </w:rPr>
              <w:t xml:space="preserve">Zájem o české vládní dluhopisy pokračuje. Podíl nerezidentů na celkovém počtu držitelů se od září 2015 zvýšil o 9,6 p.b. </w:t>
            </w:r>
          </w:p>
        </w:tc>
        <w:tc>
          <w:tcPr>
            <w:tcW w:w="142" w:type="pct"/>
          </w:tcPr>
          <w:p w:rsidR="00BD5298" w:rsidRPr="00A74192" w:rsidRDefault="00BD5298" w:rsidP="00D94859">
            <w:pPr>
              <w:pStyle w:val="Textpoznpodarou"/>
              <w:jc w:val="both"/>
              <w:rPr>
                <w:color w:val="FF0000"/>
              </w:rPr>
            </w:pPr>
          </w:p>
        </w:tc>
        <w:tc>
          <w:tcPr>
            <w:tcW w:w="3785" w:type="pct"/>
            <w:gridSpan w:val="3"/>
          </w:tcPr>
          <w:p w:rsidR="00BD5298" w:rsidRPr="00A74192" w:rsidRDefault="00BD5298" w:rsidP="005A3210">
            <w:pPr>
              <w:pStyle w:val="Textpoznpodarou"/>
              <w:jc w:val="both"/>
            </w:pPr>
            <w:r w:rsidRPr="00A74192">
              <w:t xml:space="preserve">Položka portfoliových investic zaznamenala deficit ve výši </w:t>
            </w:r>
            <w:r w:rsidR="006150EA">
              <w:t>78</w:t>
            </w:r>
            <w:r w:rsidRPr="00A74192">
              <w:t>,</w:t>
            </w:r>
            <w:r w:rsidR="006150EA">
              <w:t>9</w:t>
            </w:r>
            <w:r w:rsidRPr="00A74192">
              <w:t xml:space="preserve"> mld. korun. Oproti stejnému období roku 2015 se prohloubil o </w:t>
            </w:r>
            <w:r w:rsidR="006150EA">
              <w:t>46</w:t>
            </w:r>
            <w:r w:rsidRPr="00A74192">
              <w:t>,</w:t>
            </w:r>
            <w:r w:rsidR="006150EA">
              <w:t>7</w:t>
            </w:r>
            <w:r w:rsidRPr="00A74192">
              <w:t xml:space="preserve"> mld., což lze připsat hlavně útlumu portfoliových investic českých rezidentů v zahraničí. Významným faktorem, který působil proti přebytku finančního účtu, byly nákupy českých státních dluhopisů. Za první tři čtvrtletí zahraniční investoři nakoupili státní dluhopisy za 11</w:t>
            </w:r>
            <w:r w:rsidR="006150EA">
              <w:t>2,7</w:t>
            </w:r>
            <w:r w:rsidRPr="00A74192">
              <w:t xml:space="preserve"> mld. korun a</w:t>
            </w:r>
            <w:r w:rsidR="00EC0EC1">
              <w:t> </w:t>
            </w:r>
            <w:r w:rsidRPr="00A74192">
              <w:t>podíl hodnoty domácích dluhopisů v rukou nerezidentů na celkové hodnotě českých dluhopisů v oběhu se zvýšil na 28,4</w:t>
            </w:r>
            <w:r w:rsidR="00D6345E">
              <w:t> </w:t>
            </w:r>
            <w:r w:rsidRPr="00A74192">
              <w:t>%</w:t>
            </w:r>
            <w:r w:rsidRPr="00A74192">
              <w:rPr>
                <w:rStyle w:val="Znakapoznpodarou"/>
              </w:rPr>
              <w:footnoteReference w:id="20"/>
            </w:r>
            <w:r w:rsidRPr="00A74192">
              <w:t>.</w:t>
            </w:r>
            <w:r w:rsidR="00D6345E">
              <w:t xml:space="preserve"> To představuje poměrně výrazný nárůst</w:t>
            </w:r>
            <w:r w:rsidR="00D6345E" w:rsidRPr="00D6345E">
              <w:t xml:space="preserve"> </w:t>
            </w:r>
            <w:r w:rsidR="00D6345E">
              <w:t>–</w:t>
            </w:r>
            <w:r w:rsidR="00D6345E" w:rsidRPr="00D6345E">
              <w:t xml:space="preserve"> </w:t>
            </w:r>
            <w:r w:rsidR="00D6345E">
              <w:t xml:space="preserve">podíl </w:t>
            </w:r>
            <w:r w:rsidR="00D6345E" w:rsidRPr="00D6345E">
              <w:t>hodnoty domácích dluhopisů v rukou nerezidentů k 30. 9. 2015 byl 18,8 %.</w:t>
            </w:r>
            <w:r w:rsidRPr="00A74192">
              <w:t xml:space="preserve"> Právě velký zájem o</w:t>
            </w:r>
            <w:r w:rsidR="005E6AB8">
              <w:t> </w:t>
            </w:r>
            <w:r w:rsidRPr="00A74192">
              <w:t xml:space="preserve">české dluhopisy ze strany nerezidentů je jedním z důvodů historicky nejnižších výnosů. Zvýšenou poptávku lze připisovat nízkému kreditnímu riziku ČR, z velké části jde však o spekulativní kapitál využívající očekávaného uvolnění a posílení směnného kurzu vůči euru.  </w:t>
            </w:r>
          </w:p>
          <w:p w:rsidR="00BD5298" w:rsidRPr="008A73DA" w:rsidRDefault="00BD5298" w:rsidP="005A3210">
            <w:pPr>
              <w:pStyle w:val="Textpoznpodarou"/>
              <w:ind w:right="-35"/>
              <w:jc w:val="both"/>
              <w:rPr>
                <w:color w:val="FF0000"/>
                <w:sz w:val="16"/>
                <w:szCs w:val="16"/>
              </w:rPr>
            </w:pPr>
          </w:p>
        </w:tc>
      </w:tr>
      <w:tr w:rsidR="005A3210" w:rsidRPr="00A74192" w:rsidTr="00E67611">
        <w:tc>
          <w:tcPr>
            <w:tcW w:w="1072" w:type="pct"/>
            <w:gridSpan w:val="2"/>
          </w:tcPr>
          <w:p w:rsidR="00BD5298" w:rsidRPr="00A74192" w:rsidRDefault="00D6345E" w:rsidP="005A3210">
            <w:pPr>
              <w:spacing w:line="240" w:lineRule="auto"/>
              <w:rPr>
                <w:sz w:val="16"/>
                <w:szCs w:val="16"/>
              </w:rPr>
            </w:pPr>
            <w:r>
              <w:rPr>
                <w:sz w:val="16"/>
                <w:szCs w:val="16"/>
              </w:rPr>
              <w:t xml:space="preserve">Dynamika exportu se ve 3. čtvrtletí zpomalila a došlo k mírnému meziročnímu poklesu. </w:t>
            </w:r>
          </w:p>
        </w:tc>
        <w:tc>
          <w:tcPr>
            <w:tcW w:w="142" w:type="pct"/>
          </w:tcPr>
          <w:p w:rsidR="00BD5298" w:rsidRPr="00A74192" w:rsidRDefault="00BD5298" w:rsidP="00D94859">
            <w:pPr>
              <w:pStyle w:val="Textpoznpodarou"/>
              <w:jc w:val="both"/>
            </w:pPr>
          </w:p>
        </w:tc>
        <w:tc>
          <w:tcPr>
            <w:tcW w:w="3785" w:type="pct"/>
            <w:gridSpan w:val="3"/>
          </w:tcPr>
          <w:p w:rsidR="00BD5298" w:rsidRPr="00A74192" w:rsidRDefault="00BD5298" w:rsidP="005A3210">
            <w:pPr>
              <w:pStyle w:val="Textpoznpodarou"/>
              <w:ind w:right="-35"/>
              <w:jc w:val="both"/>
            </w:pPr>
            <w:r w:rsidRPr="00A74192">
              <w:t xml:space="preserve">Během 1. až 3. čtvrtletí 2016 dosáhl český export </w:t>
            </w:r>
            <w:r w:rsidR="005308E4">
              <w:t>hodnoty</w:t>
            </w:r>
            <w:r w:rsidRPr="00A74192">
              <w:t xml:space="preserve"> 2</w:t>
            </w:r>
            <w:r w:rsidR="005308E4">
              <w:t> </w:t>
            </w:r>
            <w:r w:rsidRPr="00A74192">
              <w:t>473 mld</w:t>
            </w:r>
            <w:r w:rsidR="00E80E31">
              <w:t>.</w:t>
            </w:r>
            <w:r w:rsidRPr="00A74192">
              <w:t xml:space="preserve"> korun a zvýšil se meziročně o 1,7 %</w:t>
            </w:r>
            <w:r w:rsidRPr="00A74192">
              <w:rPr>
                <w:rStyle w:val="Znakapoznpodarou"/>
              </w:rPr>
              <w:footnoteReference w:id="21"/>
            </w:r>
            <w:r w:rsidRPr="00A74192">
              <w:t xml:space="preserve">. Meziroční srovnání exportní výkonnosti České republiky je poznamenáno vysokou základnou roku 2015. Ve 2. čtvrtletí 2016 dosáhl vývoz pomyslného vrcholu (meziroční nárůst o 4,1 %), ale ve 3. čtvrtletí zaznamenal 0,9% meziroční pokles (poprvé od 1. čtvrtletí 2013). </w:t>
            </w:r>
          </w:p>
          <w:p w:rsidR="00BD5298" w:rsidRPr="008A73DA" w:rsidRDefault="00BD5298" w:rsidP="005A3210">
            <w:pPr>
              <w:pStyle w:val="Textpoznpodarou"/>
              <w:ind w:right="-35"/>
              <w:jc w:val="both"/>
              <w:rPr>
                <w:sz w:val="16"/>
                <w:szCs w:val="16"/>
              </w:rPr>
            </w:pPr>
          </w:p>
        </w:tc>
      </w:tr>
      <w:tr w:rsidR="005A3210" w:rsidRPr="00A74192" w:rsidTr="00E67611">
        <w:tc>
          <w:tcPr>
            <w:tcW w:w="1072" w:type="pct"/>
            <w:gridSpan w:val="2"/>
          </w:tcPr>
          <w:p w:rsidR="00BD5298" w:rsidRPr="00A74192" w:rsidRDefault="00BD5298" w:rsidP="007B2257">
            <w:pPr>
              <w:spacing w:line="240" w:lineRule="auto"/>
              <w:rPr>
                <w:sz w:val="16"/>
                <w:szCs w:val="16"/>
              </w:rPr>
            </w:pPr>
            <w:r w:rsidRPr="00A74192">
              <w:rPr>
                <w:sz w:val="16"/>
                <w:szCs w:val="16"/>
              </w:rPr>
              <w:t>Vývoz do EU vzrostl o 2,4</w:t>
            </w:r>
            <w:r w:rsidR="007B2257">
              <w:rPr>
                <w:sz w:val="16"/>
                <w:szCs w:val="16"/>
              </w:rPr>
              <w:t> </w:t>
            </w:r>
            <w:r w:rsidRPr="00A74192">
              <w:rPr>
                <w:sz w:val="16"/>
                <w:szCs w:val="16"/>
              </w:rPr>
              <w:t>%. Poklesl vývoz na Slov</w:t>
            </w:r>
            <w:r w:rsidR="007B2257">
              <w:rPr>
                <w:sz w:val="16"/>
                <w:szCs w:val="16"/>
              </w:rPr>
              <w:t>ensko, změny v dynamice vykazuje</w:t>
            </w:r>
            <w:r w:rsidRPr="00A74192">
              <w:rPr>
                <w:sz w:val="16"/>
                <w:szCs w:val="16"/>
              </w:rPr>
              <w:t xml:space="preserve"> export do Číny a Ruska. </w:t>
            </w:r>
          </w:p>
        </w:tc>
        <w:tc>
          <w:tcPr>
            <w:tcW w:w="142" w:type="pct"/>
          </w:tcPr>
          <w:p w:rsidR="00BD5298" w:rsidRPr="00A74192" w:rsidRDefault="00BD5298" w:rsidP="00D94859">
            <w:pPr>
              <w:pStyle w:val="Textpoznpodarou"/>
              <w:jc w:val="both"/>
            </w:pPr>
          </w:p>
        </w:tc>
        <w:tc>
          <w:tcPr>
            <w:tcW w:w="3785" w:type="pct"/>
            <w:gridSpan w:val="3"/>
          </w:tcPr>
          <w:p w:rsidR="00BD5298" w:rsidRPr="00A74192" w:rsidRDefault="00BD5298" w:rsidP="005A3210">
            <w:pPr>
              <w:pStyle w:val="Textpoznpodarou"/>
              <w:ind w:right="-35"/>
              <w:jc w:val="both"/>
            </w:pPr>
            <w:r w:rsidRPr="00A74192">
              <w:t>Zp</w:t>
            </w:r>
            <w:r w:rsidR="007B2257">
              <w:t>omalení dynamiky vývozu</w:t>
            </w:r>
            <w:r w:rsidRPr="00A74192">
              <w:t xml:space="preserve"> v 1. až 3. čtvrtletí 2016 </w:t>
            </w:r>
            <w:r w:rsidR="007B2257">
              <w:t>se podepsalo i na hodnotě vývozu</w:t>
            </w:r>
            <w:r w:rsidRPr="00A74192">
              <w:t xml:space="preserve"> do zemí našich tradičních partnerů. Vývoz do Německa vzrostl o 1,5 %, do Polska exportéři vyvezli o 0,3 % méně zboží než v minulém roce. Mimořádně silný pokles vývozu na Slovensko zaznamenaný ve 3. čtvrtletí (o 13,2 %) ovlivnil i</w:t>
            </w:r>
            <w:r w:rsidR="00EC0EC1">
              <w:t> </w:t>
            </w:r>
            <w:r w:rsidRPr="00A74192">
              <w:t>výsledky za celé sledované období (−0,8 %). Vývoz do zemí mimo EU v 1. až 3.</w:t>
            </w:r>
            <w:r w:rsidR="00EC0EC1">
              <w:t> </w:t>
            </w:r>
            <w:r w:rsidRPr="00A74192">
              <w:t xml:space="preserve">čtvrtletí poklesl o 1,4 %. Obrat naznačil vývoz do Ruska, který se po </w:t>
            </w:r>
            <w:r w:rsidR="005E6AB8">
              <w:t>sedmi </w:t>
            </w:r>
            <w:r w:rsidRPr="00A74192">
              <w:t xml:space="preserve">čtvrtletích poklesu zvýšil o 4,3 % meziročně.     </w:t>
            </w:r>
          </w:p>
          <w:p w:rsidR="00BD5298" w:rsidRPr="008A73DA" w:rsidRDefault="00BD5298" w:rsidP="005A3210">
            <w:pPr>
              <w:pStyle w:val="Textpoznpodarou"/>
              <w:ind w:right="-35"/>
              <w:jc w:val="both"/>
              <w:rPr>
                <w:sz w:val="16"/>
                <w:szCs w:val="16"/>
              </w:rPr>
            </w:pPr>
          </w:p>
        </w:tc>
      </w:tr>
      <w:tr w:rsidR="005A3210" w:rsidRPr="00A74192" w:rsidTr="00E67611">
        <w:tc>
          <w:tcPr>
            <w:tcW w:w="1072" w:type="pct"/>
            <w:gridSpan w:val="2"/>
          </w:tcPr>
          <w:p w:rsidR="00BD5298" w:rsidRPr="00A74192" w:rsidRDefault="00BD5298" w:rsidP="005A3210">
            <w:pPr>
              <w:spacing w:line="240" w:lineRule="auto"/>
              <w:rPr>
                <w:sz w:val="16"/>
                <w:szCs w:val="16"/>
              </w:rPr>
            </w:pPr>
            <w:r w:rsidRPr="00A74192">
              <w:rPr>
                <w:sz w:val="16"/>
                <w:szCs w:val="16"/>
              </w:rPr>
              <w:lastRenderedPageBreak/>
              <w:t>Vývoz motorových vozidel stále roste, i když naráží na vysokou základnu předchozích období.</w:t>
            </w:r>
          </w:p>
        </w:tc>
        <w:tc>
          <w:tcPr>
            <w:tcW w:w="142" w:type="pct"/>
          </w:tcPr>
          <w:p w:rsidR="00BD5298" w:rsidRPr="00A74192" w:rsidRDefault="00BD5298" w:rsidP="00D94859">
            <w:pPr>
              <w:pStyle w:val="Textpoznpodarou"/>
              <w:jc w:val="both"/>
            </w:pPr>
          </w:p>
        </w:tc>
        <w:tc>
          <w:tcPr>
            <w:tcW w:w="3785" w:type="pct"/>
            <w:gridSpan w:val="3"/>
          </w:tcPr>
          <w:p w:rsidR="00BD5298" w:rsidRPr="00A74192" w:rsidRDefault="00BD5298" w:rsidP="005A3210">
            <w:pPr>
              <w:pStyle w:val="Textpoznpodarou"/>
              <w:ind w:right="-35"/>
              <w:jc w:val="both"/>
            </w:pPr>
            <w:r w:rsidRPr="00A74192">
              <w:t>Z hlediska struktury vývozu</w:t>
            </w:r>
            <w:r w:rsidRPr="00A74192">
              <w:rPr>
                <w:rStyle w:val="Znakapoznpodarou"/>
              </w:rPr>
              <w:footnoteReference w:id="22"/>
            </w:r>
            <w:r w:rsidRPr="00A74192">
              <w:t xml:space="preserve"> se dařilo nejvýznamnějšímu segmentu</w:t>
            </w:r>
            <w:r w:rsidR="005E6AB8">
              <w:t xml:space="preserve">, tedy </w:t>
            </w:r>
            <w:r w:rsidRPr="00A74192">
              <w:t>motorovým vozidlům. Hodnota exportu v této kategorii se zvýšila během ledna až září 2016 o</w:t>
            </w:r>
            <w:r w:rsidR="00EC0EC1">
              <w:t> </w:t>
            </w:r>
            <w:r w:rsidRPr="00A74192">
              <w:t>10,0 % meziročně, i když vývoj ve 3. čtvrtletí 2016 naznačil zpomalení dynamiky (+3,4 %). Nárůst zaznamenaly i kovodělné výrobky (8,9 %) a také stroje a zařízení (3,8 %). Pokles u chemických látek a přípravků, který trvá již sedm čtvrtletí, zpomalil na −5,5 % ve 3. čtvrtletí (celkem za 1. až 3. čtvrtletí −8,8 %) a vzhledem k obnově kapacit poškozených při havárii lze čekat příznivější vývoj než v minulých obdobích. Výrazný byl meziroční propad u</w:t>
            </w:r>
            <w:r w:rsidR="005E6AB8">
              <w:t> </w:t>
            </w:r>
            <w:r w:rsidRPr="00A74192">
              <w:t>základních kovů (−12,7 %), poklesl i</w:t>
            </w:r>
            <w:r w:rsidR="00EC0EC1">
              <w:t> </w:t>
            </w:r>
            <w:r w:rsidRPr="00A74192">
              <w:t>vývoz počítačů, elektronických a optických přístrojů (o 2,6 %).</w:t>
            </w:r>
          </w:p>
          <w:p w:rsidR="00BD5298" w:rsidRPr="008A73DA" w:rsidRDefault="00BD5298" w:rsidP="005A3210">
            <w:pPr>
              <w:pStyle w:val="Textpoznpodarou"/>
              <w:ind w:right="-35"/>
              <w:jc w:val="both"/>
              <w:rPr>
                <w:sz w:val="16"/>
                <w:szCs w:val="16"/>
              </w:rPr>
            </w:pPr>
          </w:p>
        </w:tc>
      </w:tr>
      <w:tr w:rsidR="005A3210" w:rsidRPr="00A74192" w:rsidTr="00E67611">
        <w:tc>
          <w:tcPr>
            <w:tcW w:w="1072" w:type="pct"/>
            <w:gridSpan w:val="2"/>
          </w:tcPr>
          <w:p w:rsidR="00BD5298" w:rsidRPr="00A74192" w:rsidRDefault="00BD5298" w:rsidP="007B2257">
            <w:pPr>
              <w:spacing w:line="240" w:lineRule="auto"/>
              <w:rPr>
                <w:sz w:val="16"/>
                <w:szCs w:val="16"/>
              </w:rPr>
            </w:pPr>
            <w:r w:rsidRPr="00A74192">
              <w:rPr>
                <w:sz w:val="16"/>
                <w:szCs w:val="16"/>
              </w:rPr>
              <w:t>I dynamika dovoz</w:t>
            </w:r>
            <w:r w:rsidR="007B2257">
              <w:rPr>
                <w:sz w:val="16"/>
                <w:szCs w:val="16"/>
              </w:rPr>
              <w:t>u</w:t>
            </w:r>
            <w:r w:rsidRPr="00A74192">
              <w:rPr>
                <w:sz w:val="16"/>
                <w:szCs w:val="16"/>
              </w:rPr>
              <w:t xml:space="preserve"> se změnila. Mírně rostl dovoz z EU.</w:t>
            </w:r>
          </w:p>
        </w:tc>
        <w:tc>
          <w:tcPr>
            <w:tcW w:w="142" w:type="pct"/>
          </w:tcPr>
          <w:p w:rsidR="00BD5298" w:rsidRPr="00A74192" w:rsidRDefault="00BD5298" w:rsidP="00D94859">
            <w:pPr>
              <w:pStyle w:val="Textpoznpodarou"/>
              <w:jc w:val="both"/>
            </w:pPr>
          </w:p>
        </w:tc>
        <w:tc>
          <w:tcPr>
            <w:tcW w:w="3785" w:type="pct"/>
            <w:gridSpan w:val="3"/>
          </w:tcPr>
          <w:p w:rsidR="00BD5298" w:rsidRPr="00A74192" w:rsidRDefault="00BD5298" w:rsidP="005A3210">
            <w:pPr>
              <w:pStyle w:val="Textpoznpodarou"/>
              <w:ind w:right="-35"/>
              <w:jc w:val="both"/>
            </w:pPr>
            <w:r w:rsidRPr="00A74192">
              <w:t>Dovoz v 1. až 3. čtvrtletí 2016 meziročně klesl o 0,6 %. Podobně jako u</w:t>
            </w:r>
            <w:r w:rsidR="007E0D49">
              <w:t> </w:t>
            </w:r>
            <w:r w:rsidRPr="00A74192">
              <w:t>export</w:t>
            </w:r>
            <w:r w:rsidR="007B2257">
              <w:t>u</w:t>
            </w:r>
            <w:r w:rsidR="005E6AB8">
              <w:t xml:space="preserve"> se</w:t>
            </w:r>
            <w:r w:rsidRPr="00A74192">
              <w:t xml:space="preserve"> hlavní část poklesu odehrála ve 3. čtvrtletí. Mírně vzrostl dovoz ze zemí EU (o</w:t>
            </w:r>
            <w:r w:rsidR="00EC0EC1">
              <w:t> </w:t>
            </w:r>
            <w:r w:rsidRPr="00A74192">
              <w:t>1,8 %), především zásluhou importu z Polska (6,1 %), Francie (3,7</w:t>
            </w:r>
            <w:r w:rsidR="007E0D49">
              <w:t> </w:t>
            </w:r>
            <w:r w:rsidRPr="00A74192">
              <w:t xml:space="preserve">%) nebo Velké Británie (12,7 %). Meziročně stagnoval dovoz z Německa (0,3 %). Klesl dovoz ze Slovenska (o 2,4 %) a Rakouska (o 5,0 %). Import ze zemí mimo EU se snížil o 6,0 %. Zde </w:t>
            </w:r>
            <w:r w:rsidR="007B2257">
              <w:t>se projevuje stálý propad dovozu</w:t>
            </w:r>
            <w:r w:rsidR="00E56AF7">
              <w:t xml:space="preserve"> z Ruské federace (o 36,2 </w:t>
            </w:r>
            <w:r w:rsidRPr="00A74192">
              <w:t>%). Hospodářské sankce uvalené na Rusko snížily jeho podíl na celkovém dovozu do ČR ze 4,5 % ve 3. čtvrtletí 2014 na 2,</w:t>
            </w:r>
            <w:r w:rsidR="005308E4">
              <w:t>1</w:t>
            </w:r>
            <w:r w:rsidRPr="00A74192">
              <w:t> % ve 3. čtvrtletí 2016. Ve sledovaném období poklesl i import z Číny (o 2,5 %).</w:t>
            </w:r>
            <w:r w:rsidR="001B2143">
              <w:t xml:space="preserve"> Nejvýznamnější importovanou položkou byla motorová vozidla (kromě motocyklů), přívěsy a</w:t>
            </w:r>
            <w:r w:rsidR="007E0D49">
              <w:t> </w:t>
            </w:r>
            <w:r w:rsidR="001B2143">
              <w:t>návěsy. Během ledna až září 2015 jejich dovoz dosáhl objemu 339,4 mld. korun a oproti stejnému obdob</w:t>
            </w:r>
            <w:r w:rsidR="00E56AF7">
              <w:t>í roku 2015 se zvýšil o 10,2 %.</w:t>
            </w:r>
          </w:p>
          <w:p w:rsidR="00BD5298" w:rsidRPr="008A73DA" w:rsidRDefault="00BD5298" w:rsidP="005A3210">
            <w:pPr>
              <w:pStyle w:val="Textpoznpodarou"/>
              <w:ind w:right="-35"/>
              <w:jc w:val="both"/>
              <w:rPr>
                <w:sz w:val="16"/>
                <w:szCs w:val="16"/>
              </w:rPr>
            </w:pPr>
          </w:p>
        </w:tc>
      </w:tr>
      <w:tr w:rsidR="005A3210" w:rsidRPr="00A74192" w:rsidTr="00E67611">
        <w:tc>
          <w:tcPr>
            <w:tcW w:w="1072" w:type="pct"/>
            <w:gridSpan w:val="2"/>
          </w:tcPr>
          <w:p w:rsidR="00BD5298" w:rsidRPr="00A74192" w:rsidRDefault="00BD5298" w:rsidP="005A3210">
            <w:pPr>
              <w:spacing w:line="240" w:lineRule="auto"/>
              <w:rPr>
                <w:sz w:val="16"/>
                <w:szCs w:val="16"/>
              </w:rPr>
            </w:pPr>
            <w:r w:rsidRPr="00A74192">
              <w:rPr>
                <w:sz w:val="16"/>
                <w:szCs w:val="16"/>
              </w:rPr>
              <w:t>Přebytek obchodu v roce 2016 dosahuje rekordních hodnot. Zvýšil se přebytek se státy EU, zmírnil se deficit se zeměmi mimo EU.</w:t>
            </w:r>
          </w:p>
        </w:tc>
        <w:tc>
          <w:tcPr>
            <w:tcW w:w="142" w:type="pct"/>
          </w:tcPr>
          <w:p w:rsidR="00BD5298" w:rsidRPr="00A74192" w:rsidRDefault="00BD5298" w:rsidP="00D94859">
            <w:pPr>
              <w:pStyle w:val="Textpoznpodarou"/>
              <w:jc w:val="both"/>
            </w:pPr>
          </w:p>
        </w:tc>
        <w:tc>
          <w:tcPr>
            <w:tcW w:w="3785" w:type="pct"/>
            <w:gridSpan w:val="3"/>
          </w:tcPr>
          <w:p w:rsidR="00BD5298" w:rsidRPr="00A74192" w:rsidRDefault="00BD5298" w:rsidP="005A3210">
            <w:pPr>
              <w:pStyle w:val="Textpoznpodarou"/>
              <w:ind w:right="-35"/>
              <w:jc w:val="both"/>
            </w:pPr>
            <w:r w:rsidRPr="00A74192">
              <w:t>Díky rekordním přebytkům v 1. a 2. čtvrtletí 2016 dosáhlo kladné saldo zahraničního obchodu v lednu až září 162,6 mld. korun a převýšilo tak přebytek bilance za stejné období roku 2015 o 55,3 mld.</w:t>
            </w:r>
            <w:r w:rsidR="005308E4">
              <w:t xml:space="preserve"> korun</w:t>
            </w:r>
            <w:r w:rsidRPr="00A74192">
              <w:rPr>
                <w:rStyle w:val="Znakapoznpodarou"/>
              </w:rPr>
              <w:footnoteReference w:id="23"/>
            </w:r>
            <w:r w:rsidRPr="00A74192">
              <w:t xml:space="preserve"> Hlavní zásluhu na těchto výsledcích mělo zvýšení přebytku bilance obchodu se státy Eurozóny o 36,1 mld. i</w:t>
            </w:r>
            <w:r w:rsidR="00EC0EC1">
              <w:t> </w:t>
            </w:r>
            <w:r w:rsidRPr="00A74192">
              <w:t>snížení deficitu bilance se státy mimo EU o 37,7 mld.</w:t>
            </w:r>
            <w:r w:rsidR="005308E4">
              <w:t xml:space="preserve"> korun.</w:t>
            </w:r>
            <w:r w:rsidRPr="00A74192">
              <w:t xml:space="preserve"> Přebytek bilance s Německem se navýšil o 9,6 mld.</w:t>
            </w:r>
            <w:r w:rsidR="005308E4">
              <w:t xml:space="preserve"> korun</w:t>
            </w:r>
            <w:r w:rsidRPr="00A74192">
              <w:t>, s Rakouskem o 4,8 mld.</w:t>
            </w:r>
            <w:r w:rsidR="005308E4">
              <w:t xml:space="preserve"> korun.</w:t>
            </w:r>
            <w:r w:rsidRPr="00A74192">
              <w:t xml:space="preserve"> Naopak, deficit obchodu s Polskem se prohloubil o 12,3 mld.</w:t>
            </w:r>
            <w:r w:rsidR="005308E4">
              <w:t xml:space="preserve"> korun.</w:t>
            </w:r>
            <w:r w:rsidRPr="00A74192">
              <w:t xml:space="preserve"> Deficit </w:t>
            </w:r>
            <w:r w:rsidR="005308E4">
              <w:t xml:space="preserve">bilance obchodu Česka s </w:t>
            </w:r>
            <w:r w:rsidRPr="00A74192">
              <w:t>Ruskou federací se snížil o 29,9 mld.</w:t>
            </w:r>
            <w:r w:rsidR="005308E4">
              <w:t xml:space="preserve"> korun</w:t>
            </w:r>
            <w:r w:rsidRPr="00A74192">
              <w:t xml:space="preserve"> na 5,3 mld.</w:t>
            </w:r>
            <w:r w:rsidR="005308E4">
              <w:t xml:space="preserve">, přičemž se </w:t>
            </w:r>
            <w:r w:rsidRPr="00A74192">
              <w:t xml:space="preserve">ve 3. čtvrtletí </w:t>
            </w:r>
            <w:r w:rsidR="005308E4">
              <w:t xml:space="preserve">bilance </w:t>
            </w:r>
            <w:r w:rsidRPr="00A74192">
              <w:t>dostal</w:t>
            </w:r>
            <w:r w:rsidR="005308E4">
              <w:t>a</w:t>
            </w:r>
            <w:r w:rsidRPr="00A74192">
              <w:t xml:space="preserve"> do mírného přebytku. Schodek bilance s Čínou, který se prohluboval v letech 2014 a 2015, se </w:t>
            </w:r>
            <w:r w:rsidR="00DF4FD2" w:rsidRPr="00A74192">
              <w:t xml:space="preserve">v 1. až 3. čtvrtletí </w:t>
            </w:r>
            <w:r w:rsidRPr="00A74192">
              <w:t>zmírnil o 6,6 mld.</w:t>
            </w:r>
            <w:r w:rsidR="005308E4">
              <w:t xml:space="preserve"> korun</w:t>
            </w:r>
            <w:r w:rsidR="00D85886">
              <w:t>.</w:t>
            </w:r>
            <w:r w:rsidRPr="00A74192">
              <w:t xml:space="preserve"> </w:t>
            </w:r>
          </w:p>
          <w:p w:rsidR="00BD5298" w:rsidRPr="00A74192" w:rsidRDefault="00BD5298" w:rsidP="005A3210">
            <w:pPr>
              <w:pStyle w:val="Textpoznpodarou"/>
              <w:ind w:right="-35"/>
              <w:jc w:val="both"/>
            </w:pPr>
          </w:p>
        </w:tc>
      </w:tr>
      <w:tr w:rsidR="005A3210" w:rsidRPr="00A74192" w:rsidTr="00E67611">
        <w:tblPrEx>
          <w:tblCellMar>
            <w:left w:w="70" w:type="dxa"/>
            <w:right w:w="70" w:type="dxa"/>
          </w:tblCellMar>
          <w:tblLook w:val="0000"/>
        </w:tblPrEx>
        <w:tc>
          <w:tcPr>
            <w:tcW w:w="418" w:type="pct"/>
          </w:tcPr>
          <w:p w:rsidR="00BD5298" w:rsidRPr="00A74192" w:rsidRDefault="007430AB" w:rsidP="00D94859">
            <w:pPr>
              <w:pStyle w:val="Textpoznpodarou"/>
            </w:pPr>
            <w:r>
              <w:t xml:space="preserve">Graf č. </w:t>
            </w:r>
            <w:r w:rsidR="00BD5298" w:rsidRPr="00A74192">
              <w:t>9</w:t>
            </w:r>
          </w:p>
        </w:tc>
        <w:tc>
          <w:tcPr>
            <w:tcW w:w="2076" w:type="pct"/>
            <w:gridSpan w:val="3"/>
          </w:tcPr>
          <w:p w:rsidR="00BD5298" w:rsidRPr="00A74192" w:rsidRDefault="00BD5298" w:rsidP="00D94859">
            <w:pPr>
              <w:pStyle w:val="Textpoznpodarou"/>
              <w:rPr>
                <w:b/>
              </w:rPr>
            </w:pPr>
            <w:r w:rsidRPr="00A74192">
              <w:rPr>
                <w:b/>
              </w:rPr>
              <w:t>Běžný účet platební bilance</w:t>
            </w:r>
          </w:p>
          <w:p w:rsidR="00BD5298" w:rsidRPr="00A74192" w:rsidRDefault="00BD5298" w:rsidP="00D94859">
            <w:pPr>
              <w:pStyle w:val="Textpoznpodarou"/>
            </w:pPr>
            <w:r w:rsidRPr="00A74192">
              <w:t>(kumulace za 1. až 3. čtvrtletí v mld. korun)</w:t>
            </w:r>
          </w:p>
        </w:tc>
        <w:tc>
          <w:tcPr>
            <w:tcW w:w="566" w:type="pct"/>
          </w:tcPr>
          <w:p w:rsidR="007430AB" w:rsidRDefault="007430AB" w:rsidP="00D94859">
            <w:pPr>
              <w:pStyle w:val="Textpoznpodarou"/>
            </w:pPr>
            <w:r>
              <w:t>Graf č.</w:t>
            </w:r>
          </w:p>
          <w:p w:rsidR="00BD5298" w:rsidRPr="00A74192" w:rsidRDefault="00BD5298" w:rsidP="00D94859">
            <w:pPr>
              <w:pStyle w:val="Textpoznpodarou"/>
            </w:pPr>
            <w:r w:rsidRPr="00A74192">
              <w:t>10</w:t>
            </w:r>
          </w:p>
        </w:tc>
        <w:tc>
          <w:tcPr>
            <w:tcW w:w="1939" w:type="pct"/>
          </w:tcPr>
          <w:p w:rsidR="00BD5298" w:rsidRPr="00A74192" w:rsidRDefault="00BD5298" w:rsidP="005308E4">
            <w:pPr>
              <w:pStyle w:val="Textpoznpodarou"/>
              <w:rPr>
                <w:b/>
              </w:rPr>
            </w:pPr>
            <w:r w:rsidRPr="00A74192">
              <w:rPr>
                <w:b/>
              </w:rPr>
              <w:t xml:space="preserve">Bilance zahraničního obchodu v národním pojetí v 1. až 3. čtvrtletí 2016 a 2015 </w:t>
            </w:r>
            <w:r w:rsidRPr="00A74192">
              <w:t>(v mld. korun)</w:t>
            </w:r>
          </w:p>
        </w:tc>
      </w:tr>
      <w:tr w:rsidR="00CF107E" w:rsidRPr="00A74192" w:rsidTr="00E67611">
        <w:tblPrEx>
          <w:tblCellMar>
            <w:left w:w="70" w:type="dxa"/>
            <w:right w:w="70" w:type="dxa"/>
          </w:tblCellMar>
          <w:tblLook w:val="0000"/>
        </w:tblPrEx>
        <w:trPr>
          <w:trHeight w:val="47"/>
        </w:trPr>
        <w:tc>
          <w:tcPr>
            <w:tcW w:w="2494" w:type="pct"/>
            <w:gridSpan w:val="4"/>
          </w:tcPr>
          <w:p w:rsidR="00BD5298" w:rsidRPr="00A74192" w:rsidRDefault="00505989" w:rsidP="008C6D92">
            <w:pPr>
              <w:pStyle w:val="Textpoznpodarou"/>
              <w:ind w:left="-70"/>
              <w:jc w:val="both"/>
              <w:rPr>
                <w:color w:val="FF0000"/>
              </w:rPr>
            </w:pPr>
            <w:r>
              <w:rPr>
                <w:noProof/>
                <w:color w:val="FF0000"/>
              </w:rPr>
              <w:drawing>
                <wp:inline distT="0" distB="0" distL="0" distR="0">
                  <wp:extent cx="3079750" cy="2294890"/>
                  <wp:effectExtent l="19050" t="0" r="6350" b="0"/>
                  <wp:docPr id="9" name="obrázek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rrowheads="1"/>
                          </pic:cNvPicPr>
                        </pic:nvPicPr>
                        <pic:blipFill>
                          <a:blip r:embed="rId21"/>
                          <a:srcRect/>
                          <a:stretch>
                            <a:fillRect/>
                          </a:stretch>
                        </pic:blipFill>
                        <pic:spPr bwMode="auto">
                          <a:xfrm>
                            <a:off x="0" y="0"/>
                            <a:ext cx="3079750" cy="2294890"/>
                          </a:xfrm>
                          <a:prstGeom prst="rect">
                            <a:avLst/>
                          </a:prstGeom>
                          <a:noFill/>
                          <a:ln w="9525">
                            <a:noFill/>
                            <a:miter lim="800000"/>
                            <a:headEnd/>
                            <a:tailEnd/>
                          </a:ln>
                        </pic:spPr>
                      </pic:pic>
                    </a:graphicData>
                  </a:graphic>
                </wp:inline>
              </w:drawing>
            </w:r>
          </w:p>
        </w:tc>
        <w:tc>
          <w:tcPr>
            <w:tcW w:w="2506" w:type="pct"/>
            <w:gridSpan w:val="2"/>
          </w:tcPr>
          <w:p w:rsidR="00BD5298" w:rsidRPr="00A74192" w:rsidRDefault="00505989" w:rsidP="00E67611">
            <w:pPr>
              <w:pStyle w:val="Textpoznpodarou"/>
              <w:jc w:val="both"/>
              <w:rPr>
                <w:color w:val="FF0000"/>
              </w:rPr>
            </w:pPr>
            <w:r>
              <w:rPr>
                <w:noProof/>
                <w:color w:val="FF0000"/>
              </w:rPr>
              <w:drawing>
                <wp:inline distT="0" distB="0" distL="0" distR="0">
                  <wp:extent cx="3035300" cy="2292350"/>
                  <wp:effectExtent l="19050" t="0" r="0" b="0"/>
                  <wp:docPr id="10" name="obrázek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rrowheads="1"/>
                          </pic:cNvPicPr>
                        </pic:nvPicPr>
                        <pic:blipFill>
                          <a:blip r:embed="rId22"/>
                          <a:srcRect/>
                          <a:stretch>
                            <a:fillRect/>
                          </a:stretch>
                        </pic:blipFill>
                        <pic:spPr bwMode="auto">
                          <a:xfrm>
                            <a:off x="0" y="0"/>
                            <a:ext cx="3038663" cy="2294890"/>
                          </a:xfrm>
                          <a:prstGeom prst="rect">
                            <a:avLst/>
                          </a:prstGeom>
                          <a:noFill/>
                          <a:ln w="9525">
                            <a:noFill/>
                            <a:miter lim="800000"/>
                            <a:headEnd/>
                            <a:tailEnd/>
                          </a:ln>
                        </pic:spPr>
                      </pic:pic>
                    </a:graphicData>
                  </a:graphic>
                </wp:inline>
              </w:drawing>
            </w:r>
          </w:p>
        </w:tc>
      </w:tr>
      <w:tr w:rsidR="00CF107E" w:rsidRPr="00A74192" w:rsidTr="00E67611">
        <w:tblPrEx>
          <w:tblCellMar>
            <w:left w:w="70" w:type="dxa"/>
            <w:right w:w="70" w:type="dxa"/>
          </w:tblCellMar>
          <w:tblLook w:val="0000"/>
        </w:tblPrEx>
        <w:trPr>
          <w:trHeight w:val="47"/>
        </w:trPr>
        <w:tc>
          <w:tcPr>
            <w:tcW w:w="2494" w:type="pct"/>
            <w:gridSpan w:val="4"/>
          </w:tcPr>
          <w:p w:rsidR="00BE2C15" w:rsidRPr="00A74192" w:rsidRDefault="00BE2C15" w:rsidP="00D94859">
            <w:pPr>
              <w:pStyle w:val="Textpoznpodarou"/>
              <w:jc w:val="both"/>
              <w:rPr>
                <w:noProof/>
                <w:color w:val="FF0000"/>
              </w:rPr>
            </w:pPr>
          </w:p>
        </w:tc>
        <w:tc>
          <w:tcPr>
            <w:tcW w:w="2506" w:type="pct"/>
            <w:gridSpan w:val="2"/>
          </w:tcPr>
          <w:p w:rsidR="00BD5298" w:rsidRPr="00A74192" w:rsidRDefault="00BD5298" w:rsidP="00D94859">
            <w:pPr>
              <w:pStyle w:val="Textpoznpodarou"/>
              <w:jc w:val="right"/>
              <w:rPr>
                <w:noProof/>
              </w:rPr>
            </w:pPr>
            <w:r w:rsidRPr="00A74192">
              <w:rPr>
                <w:noProof/>
              </w:rPr>
              <w:t>Zdroj: ČNB, ČSÚ</w:t>
            </w:r>
          </w:p>
        </w:tc>
      </w:tr>
      <w:tr w:rsidR="005308E4" w:rsidRPr="00A74192" w:rsidTr="00E67611">
        <w:tblPrEx>
          <w:tblCellMar>
            <w:left w:w="70" w:type="dxa"/>
            <w:right w:w="70" w:type="dxa"/>
          </w:tblCellMar>
          <w:tblLook w:val="0000"/>
        </w:tblPrEx>
        <w:trPr>
          <w:trHeight w:val="47"/>
        </w:trPr>
        <w:tc>
          <w:tcPr>
            <w:tcW w:w="2494" w:type="pct"/>
            <w:gridSpan w:val="4"/>
          </w:tcPr>
          <w:p w:rsidR="005308E4" w:rsidRPr="00A74192" w:rsidRDefault="005308E4" w:rsidP="00D94859">
            <w:pPr>
              <w:pStyle w:val="Textpoznpodarou"/>
              <w:jc w:val="both"/>
              <w:rPr>
                <w:noProof/>
                <w:color w:val="FF0000"/>
              </w:rPr>
            </w:pPr>
          </w:p>
        </w:tc>
        <w:tc>
          <w:tcPr>
            <w:tcW w:w="2506" w:type="pct"/>
            <w:gridSpan w:val="2"/>
          </w:tcPr>
          <w:p w:rsidR="005308E4" w:rsidRPr="00A74192" w:rsidRDefault="005308E4" w:rsidP="00D94859">
            <w:pPr>
              <w:pStyle w:val="Textpoznpodarou"/>
              <w:jc w:val="right"/>
              <w:rPr>
                <w:noProof/>
              </w:rPr>
            </w:pPr>
          </w:p>
        </w:tc>
      </w:tr>
    </w:tbl>
    <w:p w:rsidR="007D4281" w:rsidRPr="00A74192" w:rsidRDefault="007D4281" w:rsidP="009F777A">
      <w:pPr>
        <w:pStyle w:val="Nadpis1"/>
        <w:numPr>
          <w:ilvl w:val="0"/>
          <w:numId w:val="12"/>
        </w:numPr>
        <w:ind w:left="709"/>
        <w:jc w:val="both"/>
      </w:pPr>
      <w:bookmarkStart w:id="12" w:name="_Toc469299933"/>
      <w:bookmarkStart w:id="13" w:name="_Toc469327802"/>
      <w:r w:rsidRPr="00A74192">
        <w:lastRenderedPageBreak/>
        <w:t>Ceny</w:t>
      </w:r>
      <w:bookmarkEnd w:id="12"/>
      <w:bookmarkEnd w:id="13"/>
    </w:p>
    <w:tbl>
      <w:tblPr>
        <w:tblW w:w="4963" w:type="pct"/>
        <w:tblInd w:w="108" w:type="dxa"/>
        <w:tblLayout w:type="fixed"/>
        <w:tblLook w:val="00A0"/>
      </w:tblPr>
      <w:tblGrid>
        <w:gridCol w:w="1122"/>
        <w:gridCol w:w="810"/>
        <w:gridCol w:w="282"/>
        <w:gridCol w:w="2606"/>
        <w:gridCol w:w="992"/>
        <w:gridCol w:w="143"/>
        <w:gridCol w:w="3826"/>
      </w:tblGrid>
      <w:tr w:rsidR="007C6EBA" w:rsidRPr="00A74192" w:rsidTr="005B0262">
        <w:tc>
          <w:tcPr>
            <w:tcW w:w="988" w:type="pct"/>
            <w:gridSpan w:val="2"/>
          </w:tcPr>
          <w:p w:rsidR="007C6EBA" w:rsidRPr="00A74192" w:rsidRDefault="007C6EBA" w:rsidP="00D94859">
            <w:pPr>
              <w:spacing w:line="240" w:lineRule="auto"/>
              <w:ind w:right="-132"/>
              <w:rPr>
                <w:sz w:val="16"/>
                <w:szCs w:val="16"/>
              </w:rPr>
            </w:pPr>
            <w:r w:rsidRPr="00A74192">
              <w:rPr>
                <w:sz w:val="16"/>
                <w:szCs w:val="16"/>
              </w:rPr>
              <w:t>Celková cenová hladina vzrostla o 1,3 %. Po delším období stagnace se zvýšily ceny zboží spotřebovaného domácnostmi.</w:t>
            </w:r>
          </w:p>
        </w:tc>
        <w:tc>
          <w:tcPr>
            <w:tcW w:w="144" w:type="pct"/>
          </w:tcPr>
          <w:p w:rsidR="007C6EBA" w:rsidRPr="00A74192" w:rsidRDefault="007C6EBA" w:rsidP="00D94859">
            <w:pPr>
              <w:pStyle w:val="Textpoznpodarou"/>
              <w:jc w:val="both"/>
            </w:pPr>
          </w:p>
        </w:tc>
        <w:tc>
          <w:tcPr>
            <w:tcW w:w="3868" w:type="pct"/>
            <w:gridSpan w:val="4"/>
          </w:tcPr>
          <w:p w:rsidR="007C6EBA" w:rsidRPr="00A74192" w:rsidRDefault="007C6EBA" w:rsidP="00E83DAB">
            <w:pPr>
              <w:pStyle w:val="Textpoznpodarou"/>
              <w:ind w:right="-35"/>
              <w:jc w:val="both"/>
            </w:pPr>
            <w:r w:rsidRPr="00A74192">
              <w:t xml:space="preserve">Celková cenová hladina měřená implicitním deflátorem HDP ve 3. čtvrtletí meziročně vzrostla o 1,3 %. To je stejná hodnota jako v 1. čtvrtletí a o 0,4 p.b. vyšší růst než ve 2. čtvrtletí. Ve směru růstu působily celkové výdaje na konečnou spotřebu. Důležitým faktorem je nárůst cen výrobků </w:t>
            </w:r>
            <w:r w:rsidR="00A74192" w:rsidRPr="00A74192">
              <w:t xml:space="preserve">a služeb </w:t>
            </w:r>
            <w:r w:rsidRPr="00A74192">
              <w:t>spotřebovaných domácnostmi o 0,9 %. Jde o nejvyšší nárůst od 2. čtvrtletí roku 2013. Směnné relace, které dosáhly hodnoty 101,0 %, rovněž přispěly k růstu celkové cenové hladiny, i když se mírně snížily v porovnání s prvními dvěma čtvrtletími roku 2016.</w:t>
            </w:r>
            <w:r w:rsidR="00F15309">
              <w:t xml:space="preserve"> Podstatným zlomem ve vývoji cen je mezičtvrtletní nárůst cen </w:t>
            </w:r>
            <w:r w:rsidR="007B2257">
              <w:t>importu</w:t>
            </w:r>
            <w:r w:rsidR="00993D9C">
              <w:t xml:space="preserve"> o 0,7 %. Ceny import</w:t>
            </w:r>
            <w:r w:rsidR="007B2257">
              <w:t>u</w:t>
            </w:r>
            <w:r w:rsidR="00993D9C">
              <w:t xml:space="preserve"> klesaly nebo stagnovaly od 4. čtvrtletí roku 2015 a tím vnášely vnější deflační tlaky do české ekonomiky.</w:t>
            </w:r>
          </w:p>
          <w:p w:rsidR="007C6EBA" w:rsidRPr="008A73DA" w:rsidRDefault="007C6EBA" w:rsidP="00E83DAB">
            <w:pPr>
              <w:pStyle w:val="Textpoznpodarou"/>
              <w:ind w:right="-35"/>
              <w:jc w:val="both"/>
              <w:rPr>
                <w:sz w:val="16"/>
                <w:szCs w:val="16"/>
              </w:rPr>
            </w:pPr>
          </w:p>
        </w:tc>
      </w:tr>
      <w:tr w:rsidR="007C6EBA" w:rsidRPr="00A74192" w:rsidTr="005B0262">
        <w:tc>
          <w:tcPr>
            <w:tcW w:w="988" w:type="pct"/>
            <w:gridSpan w:val="2"/>
          </w:tcPr>
          <w:p w:rsidR="007C6EBA" w:rsidRPr="00A74192" w:rsidRDefault="007C6EBA" w:rsidP="005E6AB8">
            <w:pPr>
              <w:spacing w:line="240" w:lineRule="auto"/>
              <w:ind w:right="-132"/>
              <w:rPr>
                <w:sz w:val="16"/>
                <w:szCs w:val="16"/>
              </w:rPr>
            </w:pPr>
            <w:r w:rsidRPr="00A74192">
              <w:rPr>
                <w:sz w:val="16"/>
                <w:szCs w:val="16"/>
              </w:rPr>
              <w:t>Meziroční růst spotřebitelských cen zůstává na úrovni předchozích období…</w:t>
            </w:r>
          </w:p>
        </w:tc>
        <w:tc>
          <w:tcPr>
            <w:tcW w:w="144" w:type="pct"/>
          </w:tcPr>
          <w:p w:rsidR="007C6EBA" w:rsidRPr="00A74192" w:rsidRDefault="007C6EBA" w:rsidP="00D94859">
            <w:pPr>
              <w:pStyle w:val="Textpoznpodarou"/>
              <w:jc w:val="both"/>
            </w:pPr>
          </w:p>
        </w:tc>
        <w:tc>
          <w:tcPr>
            <w:tcW w:w="3868" w:type="pct"/>
            <w:gridSpan w:val="4"/>
          </w:tcPr>
          <w:p w:rsidR="007C6EBA" w:rsidRPr="00A74192" w:rsidRDefault="007C6EBA" w:rsidP="00E83DAB">
            <w:pPr>
              <w:pStyle w:val="Textpoznpodarou"/>
              <w:ind w:right="-35"/>
              <w:jc w:val="both"/>
            </w:pPr>
            <w:r w:rsidRPr="00A74192">
              <w:t>Meziroční růst spotřebitelských cen v prvních devíti měsících roku 2016 činil průměrně 0,4 % (0,5 %, 0,2 % a 0,5 % v 1., 2. a 3. čtvrtletí). Cenová hladina setrvává pod hodnotou dolního pásma cíle ČNB (1 %) již jedenáctým čtvrtletím, pod 2% cílem se drží 15 čtvrtletí. Míra inflace vyjádřená přírůstkem průměrného indexu spotřebitelských cen za posledních dvanáct měsíců oproti průměru předchozích 12 měsíců se od ledna po květen 2016 rovnala 0,4 % a od června po září se snížila na 0,3 %.</w:t>
            </w:r>
          </w:p>
          <w:p w:rsidR="007C6EBA" w:rsidRPr="008A73DA" w:rsidRDefault="007C6EBA" w:rsidP="00E83DAB">
            <w:pPr>
              <w:pStyle w:val="Textpoznpodarou"/>
              <w:ind w:right="-35"/>
              <w:jc w:val="both"/>
              <w:rPr>
                <w:sz w:val="16"/>
                <w:szCs w:val="16"/>
              </w:rPr>
            </w:pPr>
          </w:p>
        </w:tc>
      </w:tr>
      <w:tr w:rsidR="007C6EBA" w:rsidRPr="00A74192" w:rsidTr="005B0262">
        <w:tc>
          <w:tcPr>
            <w:tcW w:w="988" w:type="pct"/>
            <w:gridSpan w:val="2"/>
          </w:tcPr>
          <w:p w:rsidR="007C6EBA" w:rsidRPr="00A74192" w:rsidRDefault="007C6EBA" w:rsidP="000534FD">
            <w:pPr>
              <w:spacing w:line="240" w:lineRule="auto"/>
              <w:ind w:right="-132"/>
              <w:rPr>
                <w:sz w:val="16"/>
                <w:szCs w:val="16"/>
              </w:rPr>
            </w:pPr>
            <w:r w:rsidRPr="00A74192">
              <w:rPr>
                <w:sz w:val="16"/>
                <w:szCs w:val="16"/>
              </w:rPr>
              <w:t>… především kvůli klesajícím cenám ropy, které se promítají do cen pohonných hmot i konečných výrobků</w:t>
            </w:r>
            <w:r w:rsidR="000534FD">
              <w:rPr>
                <w:sz w:val="16"/>
                <w:szCs w:val="16"/>
              </w:rPr>
              <w:t>.</w:t>
            </w:r>
          </w:p>
        </w:tc>
        <w:tc>
          <w:tcPr>
            <w:tcW w:w="144" w:type="pct"/>
          </w:tcPr>
          <w:p w:rsidR="007C6EBA" w:rsidRPr="00A74192" w:rsidRDefault="007C6EBA" w:rsidP="00D94859">
            <w:pPr>
              <w:pStyle w:val="Textpoznpodarou"/>
              <w:jc w:val="both"/>
            </w:pPr>
          </w:p>
        </w:tc>
        <w:tc>
          <w:tcPr>
            <w:tcW w:w="3868" w:type="pct"/>
            <w:gridSpan w:val="4"/>
          </w:tcPr>
          <w:p w:rsidR="007C6EBA" w:rsidRDefault="007C6EBA" w:rsidP="000534FD">
            <w:pPr>
              <w:pStyle w:val="Textpoznpodarou"/>
              <w:jc w:val="both"/>
            </w:pPr>
            <w:r w:rsidRPr="00A74192">
              <w:t>Hlavními faktory, které dlouhodobě tlum</w:t>
            </w:r>
            <w:r w:rsidR="00E3288A">
              <w:t>ily</w:t>
            </w:r>
            <w:r w:rsidRPr="00A74192">
              <w:t xml:space="preserve"> růst cenové hladiny, jsou ceny potravin a</w:t>
            </w:r>
            <w:r w:rsidR="00EC0EC1">
              <w:t> </w:t>
            </w:r>
            <w:r w:rsidRPr="00A74192">
              <w:t>pohonných hmot. Vývoj ceny ropy Brent</w:t>
            </w:r>
            <w:r w:rsidR="008C6D92">
              <w:t xml:space="preserve"> </w:t>
            </w:r>
            <w:r w:rsidRPr="00A74192">
              <w:t>nebyl tak dramatický jako v předchozích obdobích, její meziroční pokles ve 3. čtvrtletí činil 8,7 %.</w:t>
            </w:r>
            <w:r w:rsidR="008C6D92">
              <w:rPr>
                <w:rStyle w:val="Znakapoznpodarou"/>
              </w:rPr>
              <w:footnoteReference w:id="24"/>
            </w:r>
            <w:r w:rsidRPr="00A74192">
              <w:t xml:space="preserve"> </w:t>
            </w:r>
            <w:r w:rsidR="008C6D92" w:rsidRPr="008C6D92">
              <w:t>Po snížení ceny v 1.</w:t>
            </w:r>
            <w:r w:rsidR="008C6D92">
              <w:t> </w:t>
            </w:r>
            <w:r w:rsidR="008C6D92" w:rsidRPr="008C6D92">
              <w:t>čtvrtletí na průměrnou hodnotu 33,7 dolarů se barel ropy prodával za 45,5</w:t>
            </w:r>
            <w:r w:rsidR="005E6AB8">
              <w:t> </w:t>
            </w:r>
            <w:r w:rsidR="008C6D92" w:rsidRPr="008C6D92">
              <w:t>dolarů ve 2. čtvrtletí.  Na podobné hladině se udržela cena i ve 3. čtvrtletí 2016 (45,9 dolarů).</w:t>
            </w:r>
            <w:r w:rsidR="008C6D92">
              <w:t xml:space="preserve"> </w:t>
            </w:r>
            <w:r w:rsidRPr="00A74192">
              <w:t>Spotřebitelé pocítili pokles cen ropy nejen v přímých nákladech na pohonné hmoty, ale i v cenách zboží, do kterého se promítají snížené náklady na dopravu, či vstupní surovinu.</w:t>
            </w:r>
            <w:r w:rsidR="001B2143">
              <w:t xml:space="preserve"> </w:t>
            </w:r>
            <w:r w:rsidRPr="00A74192">
              <w:t xml:space="preserve"> </w:t>
            </w:r>
          </w:p>
          <w:p w:rsidR="000534FD" w:rsidRPr="008A73DA" w:rsidRDefault="000534FD" w:rsidP="000534FD">
            <w:pPr>
              <w:pStyle w:val="Textpoznpodarou"/>
              <w:jc w:val="both"/>
              <w:rPr>
                <w:sz w:val="16"/>
                <w:szCs w:val="16"/>
              </w:rPr>
            </w:pPr>
          </w:p>
        </w:tc>
      </w:tr>
      <w:tr w:rsidR="000534FD" w:rsidRPr="00A74192" w:rsidTr="005B0262">
        <w:tc>
          <w:tcPr>
            <w:tcW w:w="988" w:type="pct"/>
            <w:gridSpan w:val="2"/>
          </w:tcPr>
          <w:p w:rsidR="000534FD" w:rsidRPr="00A74192" w:rsidRDefault="000534FD" w:rsidP="00D94859">
            <w:pPr>
              <w:spacing w:line="240" w:lineRule="auto"/>
              <w:ind w:right="-132"/>
              <w:rPr>
                <w:sz w:val="16"/>
                <w:szCs w:val="16"/>
              </w:rPr>
            </w:pPr>
            <w:r w:rsidRPr="00A74192">
              <w:rPr>
                <w:sz w:val="16"/>
                <w:szCs w:val="16"/>
              </w:rPr>
              <w:t xml:space="preserve"> Bez zahrnutí topných olejů, pohonných hmot a olejů by byla meziroční dynamika cen vyšší o 0,4 p.b.</w:t>
            </w:r>
          </w:p>
        </w:tc>
        <w:tc>
          <w:tcPr>
            <w:tcW w:w="144" w:type="pct"/>
          </w:tcPr>
          <w:p w:rsidR="000534FD" w:rsidRPr="00A74192" w:rsidRDefault="000534FD" w:rsidP="00D94859">
            <w:pPr>
              <w:pStyle w:val="Textpoznpodarou"/>
              <w:jc w:val="both"/>
            </w:pPr>
          </w:p>
        </w:tc>
        <w:tc>
          <w:tcPr>
            <w:tcW w:w="3868" w:type="pct"/>
            <w:gridSpan w:val="4"/>
          </w:tcPr>
          <w:p w:rsidR="000534FD" w:rsidRPr="00A74192" w:rsidRDefault="000534FD" w:rsidP="000534FD">
            <w:pPr>
              <w:pStyle w:val="Textpoznpodarou"/>
              <w:jc w:val="both"/>
            </w:pPr>
            <w:r w:rsidRPr="00A74192">
              <w:t>Meziroční růst indexu cen bez topných olejů, pohonných hmot a</w:t>
            </w:r>
            <w:r>
              <w:t> </w:t>
            </w:r>
            <w:r w:rsidRPr="00A74192">
              <w:t>olejů ukazuje význam cen ropy ve spotřebitelských cenách. Za prvních devět měsíců roku 2016 dosáhl průměrné hodnoty meziročního růstu 0,8 %, což překonává růst celkového indexu o 0,4 p.b. Stejných hodnot dosahuje index bez cen potravin a</w:t>
            </w:r>
            <w:r w:rsidR="005F5916">
              <w:t> </w:t>
            </w:r>
            <w:r w:rsidRPr="00A74192">
              <w:t>nealkoholických nápojů.</w:t>
            </w:r>
          </w:p>
          <w:p w:rsidR="000534FD" w:rsidRPr="00A74192" w:rsidRDefault="000534FD" w:rsidP="008C6D92">
            <w:pPr>
              <w:pStyle w:val="Textpoznpodarou"/>
              <w:jc w:val="both"/>
            </w:pPr>
          </w:p>
        </w:tc>
      </w:tr>
      <w:tr w:rsidR="007C6EBA" w:rsidRPr="00A74192" w:rsidTr="005B0262">
        <w:tc>
          <w:tcPr>
            <w:tcW w:w="988" w:type="pct"/>
            <w:gridSpan w:val="2"/>
          </w:tcPr>
          <w:p w:rsidR="007C6EBA" w:rsidRPr="00A74192" w:rsidRDefault="007C6EBA" w:rsidP="005E6AB8">
            <w:pPr>
              <w:spacing w:line="240" w:lineRule="auto"/>
              <w:ind w:right="-132"/>
              <w:rPr>
                <w:sz w:val="16"/>
                <w:szCs w:val="16"/>
              </w:rPr>
            </w:pPr>
            <w:r w:rsidRPr="00A74192">
              <w:rPr>
                <w:sz w:val="16"/>
                <w:szCs w:val="16"/>
              </w:rPr>
              <w:t>Náklady na spotřební koš jsou mírně zvyšovány položkou bydlení, voda, energie a paliva. Silný kladný vliv mají ceny alkoholických nápojů a</w:t>
            </w:r>
            <w:r w:rsidR="005E6AB8">
              <w:rPr>
                <w:sz w:val="16"/>
                <w:szCs w:val="16"/>
              </w:rPr>
              <w:t> </w:t>
            </w:r>
            <w:r w:rsidRPr="00A74192">
              <w:rPr>
                <w:sz w:val="16"/>
                <w:szCs w:val="16"/>
              </w:rPr>
              <w:t>tabáku.</w:t>
            </w:r>
          </w:p>
        </w:tc>
        <w:tc>
          <w:tcPr>
            <w:tcW w:w="144" w:type="pct"/>
          </w:tcPr>
          <w:p w:rsidR="007C6EBA" w:rsidRPr="00A74192" w:rsidRDefault="007C6EBA" w:rsidP="00D94859">
            <w:pPr>
              <w:pStyle w:val="Textpoznpodarou"/>
              <w:jc w:val="both"/>
            </w:pPr>
          </w:p>
        </w:tc>
        <w:tc>
          <w:tcPr>
            <w:tcW w:w="3868" w:type="pct"/>
            <w:gridSpan w:val="4"/>
          </w:tcPr>
          <w:p w:rsidR="007C6EBA" w:rsidRPr="00A74192" w:rsidRDefault="007C6EBA" w:rsidP="00E83DAB">
            <w:pPr>
              <w:pStyle w:val="Textpoznpodarou"/>
              <w:ind w:right="-35"/>
              <w:jc w:val="both"/>
            </w:pPr>
            <w:r w:rsidRPr="00A74192">
              <w:t>Z váhově nejvýznamnějších složek spotřebního koše ve 3. čtvrtletí 2016 zaznamenaly nárůst pouze ceny bydlení, vody, energií a paliv (o 0,4 %). Ceny v této kategorii rostou již druhým rokem, meziroční přírůstky se však setrvale snižují. Ceny v oddílu potravin a nealkoholických nápojů klesly ve 3. čtvrtletí o 0,8</w:t>
            </w:r>
            <w:r w:rsidR="00EC0EC1">
              <w:t> </w:t>
            </w:r>
            <w:r w:rsidRPr="00A74192">
              <w:t>%. Zároveň se zpomalil propad cen v této kategorii v porovnání s</w:t>
            </w:r>
            <w:r w:rsidR="005F5916">
              <w:t> </w:t>
            </w:r>
            <w:r w:rsidRPr="00A74192">
              <w:t>1.</w:t>
            </w:r>
            <w:r w:rsidR="005F5916">
              <w:t> </w:t>
            </w:r>
            <w:r w:rsidRPr="00A74192">
              <w:t>a</w:t>
            </w:r>
            <w:r w:rsidR="005F5916">
              <w:t> </w:t>
            </w:r>
            <w:r w:rsidRPr="00A74192">
              <w:t>2.</w:t>
            </w:r>
            <w:r w:rsidR="005F5916">
              <w:t> </w:t>
            </w:r>
            <w:r w:rsidRPr="00A74192">
              <w:t>čtvrtletím 2016 (−1,7 % a −2,4 %). Třetí nejvýznamnější složka spotřebního koše (výdaje na dopravu) klesla ve třetím čtvrtletí 2016 o 2,3 %. Do cen dopravy se stále významně promítaly nízké ceny pohonných hmot, zároveň stabilizace cen ropy zpomaluje pokles. Pro českou ekonomiku je specifická položka cen alkoholických nápojů a tabáku, která má poměrně vysokou váhu ve spotřebním koši</w:t>
            </w:r>
            <w:r w:rsidR="0047728F">
              <w:rPr>
                <w:rStyle w:val="Znakapoznpodarou"/>
              </w:rPr>
              <w:footnoteReference w:id="25"/>
            </w:r>
            <w:r w:rsidRPr="00A74192">
              <w:t>. Ve 3. čtvrtletí 2016 byl průměrný meziroční nárůst cen v této kategorii 4,5 % a celkový růst spotřebitelských cen byl touto složkou koše v 1. až 3.</w:t>
            </w:r>
            <w:r w:rsidR="00EC0EC1">
              <w:t> </w:t>
            </w:r>
            <w:r w:rsidRPr="00A74192">
              <w:t>čtvrtletí navýšen o 0</w:t>
            </w:r>
            <w:r w:rsidR="005A3687">
              <w:t>,</w:t>
            </w:r>
            <w:r w:rsidRPr="00A74192">
              <w:t>4 p.b.</w:t>
            </w:r>
          </w:p>
          <w:p w:rsidR="007C6EBA" w:rsidRPr="008A73DA" w:rsidRDefault="007C6EBA" w:rsidP="00E83DAB">
            <w:pPr>
              <w:pStyle w:val="Textpoznpodarou"/>
              <w:ind w:right="-35"/>
              <w:jc w:val="both"/>
              <w:rPr>
                <w:sz w:val="16"/>
                <w:szCs w:val="16"/>
              </w:rPr>
            </w:pPr>
          </w:p>
        </w:tc>
      </w:tr>
      <w:tr w:rsidR="007C6EBA" w:rsidRPr="00A74192" w:rsidTr="005B0262">
        <w:tc>
          <w:tcPr>
            <w:tcW w:w="988" w:type="pct"/>
            <w:gridSpan w:val="2"/>
          </w:tcPr>
          <w:p w:rsidR="007C6EBA" w:rsidRPr="00A74192" w:rsidRDefault="007C6EBA" w:rsidP="00D94859">
            <w:pPr>
              <w:spacing w:line="240" w:lineRule="auto"/>
              <w:ind w:right="-132"/>
              <w:rPr>
                <w:sz w:val="16"/>
                <w:szCs w:val="16"/>
              </w:rPr>
            </w:pPr>
            <w:r w:rsidRPr="00A74192">
              <w:rPr>
                <w:sz w:val="16"/>
                <w:szCs w:val="16"/>
              </w:rPr>
              <w:t>Ceny nemovitostí nadále rostou dvouciferným tempem, růst cen nemovitostí mimo Prahu se vyrovnal hlavnímu městu.</w:t>
            </w:r>
          </w:p>
        </w:tc>
        <w:tc>
          <w:tcPr>
            <w:tcW w:w="144" w:type="pct"/>
          </w:tcPr>
          <w:p w:rsidR="007C6EBA" w:rsidRPr="00A74192" w:rsidRDefault="007C6EBA" w:rsidP="00D94859">
            <w:pPr>
              <w:pStyle w:val="Textpoznpodarou"/>
              <w:jc w:val="both"/>
            </w:pPr>
          </w:p>
        </w:tc>
        <w:tc>
          <w:tcPr>
            <w:tcW w:w="3868" w:type="pct"/>
            <w:gridSpan w:val="4"/>
          </w:tcPr>
          <w:p w:rsidR="007C6EBA" w:rsidRPr="00A74192" w:rsidRDefault="007C6EBA" w:rsidP="00E83DAB">
            <w:pPr>
              <w:pStyle w:val="Textpoznpodarou"/>
              <w:ind w:right="-35"/>
              <w:jc w:val="both"/>
            </w:pPr>
            <w:r w:rsidRPr="00A74192">
              <w:t>Růst reálných mezd, nízké úrokové sazby promítající se do cen hypoték i pozitivní očekávání ohledně dalšího ekonomického vývoje zvyšují poptávku po nemovitostech, která v řadě lokalit převyšuje nabídku. To mělo za následek růst cen ne</w:t>
            </w:r>
            <w:r w:rsidR="005A3687">
              <w:t>movitostí, nejvyšší od roku 2008</w:t>
            </w:r>
            <w:r w:rsidRPr="00A74192">
              <w:t xml:space="preserve">. V 1. až 3. čtvrtletí roku 2016 dosáhl meziroční růst nabídkových cen nemovitostí v České republice průměrně 10,1 %, což je o čtyři p.b. více než v roce 2015. Index nabídkových cen nemovitostí v ČR </w:t>
            </w:r>
            <w:r w:rsidRPr="00A74192">
              <w:lastRenderedPageBreak/>
              <w:t>bez Prahy i index cen nemovitostí v Praze rostly velmi podobně (10,0 % a 10,2 %).</w:t>
            </w:r>
            <w:r w:rsidR="00F76563">
              <w:t xml:space="preserve"> </w:t>
            </w:r>
            <w:r w:rsidR="00B07372">
              <w:t xml:space="preserve">Realizované ceny starších bytů, které tradičně zaostávají za nabídkovými cenami bytů jak </w:t>
            </w:r>
            <w:r w:rsidR="000B2ADE">
              <w:t>úrovní, tak</w:t>
            </w:r>
            <w:r w:rsidR="00B07372">
              <w:t xml:space="preserve"> růstem, zaznamenaly v roce 2016 silný stimul vyvolaný nedostatkem nových bytů.</w:t>
            </w:r>
            <w:r w:rsidR="000B2ADE">
              <w:t xml:space="preserve"> Celkově v ČR tyto ceny rostly meziročně o 10,4 %. Meziroční přírůstky mimo Prahu byly vyšší než v metropoli a činily 10,0 %, 11,3 % a 13,1 % postupně v jednotlivých čtvrtletích. Ceny v Praze rostly rovněž silným tempem (5,8 %, 7,5 % a 8,3 % v jednotlivých čtvrtletích).</w:t>
            </w:r>
            <w:r w:rsidR="005B0262">
              <w:t xml:space="preserve"> Index realizovaných cen nových bytů (sledovaný pouze za Prahu) ve 2. čtvrtletí 2016 překonal původní maximum z 1. čtvrtletí 2009 a ve 3. čtvrtletí dále rostl. Meziroční růst cen byl stabilní a dosáhl průměrně 3,8 %.</w:t>
            </w:r>
            <w:r w:rsidR="000B2ADE">
              <w:t xml:space="preserve">    </w:t>
            </w:r>
            <w:r w:rsidR="00B07372">
              <w:t xml:space="preserve">   </w:t>
            </w:r>
            <w:r w:rsidR="00F76563">
              <w:t xml:space="preserve"> </w:t>
            </w:r>
          </w:p>
          <w:p w:rsidR="007C6EBA" w:rsidRPr="008A73DA" w:rsidRDefault="007C6EBA" w:rsidP="00E83DAB">
            <w:pPr>
              <w:pStyle w:val="Textpoznpodarou"/>
              <w:ind w:right="-35"/>
              <w:jc w:val="both"/>
              <w:rPr>
                <w:sz w:val="16"/>
                <w:szCs w:val="16"/>
              </w:rPr>
            </w:pPr>
          </w:p>
        </w:tc>
      </w:tr>
      <w:tr w:rsidR="007C6EBA" w:rsidRPr="00A74192" w:rsidTr="005B0262">
        <w:tc>
          <w:tcPr>
            <w:tcW w:w="988" w:type="pct"/>
            <w:gridSpan w:val="2"/>
          </w:tcPr>
          <w:p w:rsidR="007C6EBA" w:rsidRPr="00A74192" w:rsidRDefault="007C6EBA" w:rsidP="00D94859">
            <w:pPr>
              <w:spacing w:line="240" w:lineRule="auto"/>
              <w:ind w:right="-132"/>
              <w:rPr>
                <w:sz w:val="16"/>
                <w:szCs w:val="16"/>
              </w:rPr>
            </w:pPr>
            <w:r w:rsidRPr="00A74192">
              <w:rPr>
                <w:sz w:val="16"/>
                <w:szCs w:val="16"/>
              </w:rPr>
              <w:lastRenderedPageBreak/>
              <w:t>Evropská unie se i nadále potýká s deflací. Cenová hladina klesala v patnácti zemích.</w:t>
            </w:r>
          </w:p>
        </w:tc>
        <w:tc>
          <w:tcPr>
            <w:tcW w:w="144" w:type="pct"/>
          </w:tcPr>
          <w:p w:rsidR="007C6EBA" w:rsidRPr="00A74192" w:rsidRDefault="007C6EBA" w:rsidP="00D94859">
            <w:pPr>
              <w:pStyle w:val="Textpoznpodarou"/>
              <w:jc w:val="both"/>
            </w:pPr>
          </w:p>
        </w:tc>
        <w:tc>
          <w:tcPr>
            <w:tcW w:w="3868" w:type="pct"/>
            <w:gridSpan w:val="4"/>
          </w:tcPr>
          <w:p w:rsidR="007C6EBA" w:rsidRPr="00A74192" w:rsidRDefault="007C6EBA" w:rsidP="00E83DAB">
            <w:pPr>
              <w:pStyle w:val="Textpoznpodarou"/>
              <w:ind w:right="-35"/>
              <w:jc w:val="both"/>
            </w:pPr>
            <w:r w:rsidRPr="00A74192">
              <w:t>Harmonizovaný index spotřebitelských cen pro Česko během 1. až 3. čtvrtletí meziročně rostl o 0,4 %. S deflací se potýká 13 zemí Evropské unie. V rámci středoevropského prostoru patří Česko k zemím s vyšší inflací. Slovensko i Polsko se potýkají s deflací, v Německu a Maďarsku ceny vzrostly meziročně o 0,2 %. Míra inflace v Eurozóně byla 0,0 % v 1. čtvrtletí, −0,1 % ve 2. čtvrtletí a 0,3 % ve 3.</w:t>
            </w:r>
            <w:r w:rsidR="00EC0EC1">
              <w:t> </w:t>
            </w:r>
            <w:r w:rsidRPr="00A74192">
              <w:t>čtvrtletí 2016.</w:t>
            </w:r>
          </w:p>
          <w:p w:rsidR="007C6EBA" w:rsidRPr="008A73DA" w:rsidRDefault="007C6EBA" w:rsidP="00E83DAB">
            <w:pPr>
              <w:pStyle w:val="Textpoznpodarou"/>
              <w:ind w:right="-35"/>
              <w:jc w:val="both"/>
              <w:rPr>
                <w:sz w:val="16"/>
                <w:szCs w:val="16"/>
              </w:rPr>
            </w:pPr>
          </w:p>
        </w:tc>
      </w:tr>
      <w:tr w:rsidR="007C6EBA" w:rsidRPr="00A74192" w:rsidTr="005B0262">
        <w:tc>
          <w:tcPr>
            <w:tcW w:w="988" w:type="pct"/>
            <w:gridSpan w:val="2"/>
          </w:tcPr>
          <w:p w:rsidR="007C6EBA" w:rsidRPr="00A74192" w:rsidRDefault="007C6EBA" w:rsidP="005E6AB8">
            <w:pPr>
              <w:spacing w:line="240" w:lineRule="auto"/>
              <w:ind w:right="-132"/>
              <w:rPr>
                <w:rFonts w:cs="Arial"/>
                <w:sz w:val="16"/>
                <w:szCs w:val="16"/>
              </w:rPr>
            </w:pPr>
            <w:r w:rsidRPr="00A74192">
              <w:rPr>
                <w:rFonts w:cs="Arial"/>
                <w:sz w:val="16"/>
                <w:szCs w:val="16"/>
              </w:rPr>
              <w:t>Vývoj cen průmyslových výrobců stále odráží klesající ceny ropy, po výrazném propadu v</w:t>
            </w:r>
            <w:r w:rsidR="005E6AB8">
              <w:rPr>
                <w:rFonts w:cs="Arial"/>
                <w:sz w:val="16"/>
                <w:szCs w:val="16"/>
              </w:rPr>
              <w:t> </w:t>
            </w:r>
            <w:r w:rsidRPr="00A74192">
              <w:rPr>
                <w:rFonts w:cs="Arial"/>
                <w:sz w:val="16"/>
                <w:szCs w:val="16"/>
              </w:rPr>
              <w:t>1</w:t>
            </w:r>
            <w:r w:rsidR="005E6AB8">
              <w:rPr>
                <w:rFonts w:cs="Arial"/>
                <w:sz w:val="16"/>
                <w:szCs w:val="16"/>
              </w:rPr>
              <w:t>. č</w:t>
            </w:r>
            <w:r w:rsidRPr="00A74192">
              <w:rPr>
                <w:rFonts w:cs="Arial"/>
                <w:sz w:val="16"/>
                <w:szCs w:val="16"/>
              </w:rPr>
              <w:t>tvrtletí ceny mezičtvrtletně spíše stagnují.</w:t>
            </w:r>
          </w:p>
        </w:tc>
        <w:tc>
          <w:tcPr>
            <w:tcW w:w="144" w:type="pct"/>
          </w:tcPr>
          <w:p w:rsidR="007C6EBA" w:rsidRPr="00A74192" w:rsidRDefault="007C6EBA" w:rsidP="00D94859">
            <w:pPr>
              <w:pStyle w:val="Textpoznpodarou"/>
              <w:jc w:val="both"/>
            </w:pPr>
          </w:p>
        </w:tc>
        <w:tc>
          <w:tcPr>
            <w:tcW w:w="3868" w:type="pct"/>
            <w:gridSpan w:val="4"/>
          </w:tcPr>
          <w:p w:rsidR="007C6EBA" w:rsidRPr="00A74192" w:rsidRDefault="007C6EBA" w:rsidP="00E83DAB">
            <w:pPr>
              <w:pStyle w:val="Textpoznpodarou"/>
              <w:ind w:right="-35"/>
              <w:jc w:val="both"/>
            </w:pPr>
            <w:r w:rsidRPr="00A74192">
              <w:t>Klesající ceny ropy se výrazně promítají do cen průmyslových výrobců, jejichž meziroční pokles během 1. až 3. čtvrtletí 2016 dosáhl průměrně 4 %. Meziroční srovnání odráží silný pokles na přelomu roku, meziměsíční změny indexu ukazují, že ceny spíše stagnují. Po výraznějším poklesu cen v 1. čtvrtletí průměrné meziměsíční tempo růstu v dubnu až září dosáhlo 0,14 %. Ve 3. čtvrtletí 2016 zpomalil meziroční pokles v oddíle těžby a dobývání na 5,8 % (6,4 % a 7,1 % v 1.</w:t>
            </w:r>
            <w:r w:rsidR="00EC0EC1">
              <w:t> </w:t>
            </w:r>
            <w:r w:rsidRPr="00A74192">
              <w:t>a</w:t>
            </w:r>
            <w:r w:rsidR="00EC0EC1">
              <w:t> </w:t>
            </w:r>
            <w:r w:rsidRPr="00A74192">
              <w:t>2. čtvrtletí). Podobný vývoj cen pozorujeme ve zpracovatelském průmyslu, který je zasažen poklesem cen v kategorii koksu a ropných produktů. Meziroční pokles cen ve zpracovatelském průmyslu byl ve 3. čtvrtletí 3,1 %, ve srovnání s</w:t>
            </w:r>
            <w:r w:rsidR="00EC0EC1">
              <w:t> </w:t>
            </w:r>
            <w:r w:rsidRPr="00A74192">
              <w:t>2.</w:t>
            </w:r>
            <w:r w:rsidR="00EC0EC1">
              <w:t> </w:t>
            </w:r>
            <w:r w:rsidRPr="00A74192">
              <w:t xml:space="preserve">čtvrtletím 2016 se propad zmírnil o 1,7 p.b.   </w:t>
            </w:r>
          </w:p>
          <w:p w:rsidR="007C6EBA" w:rsidRPr="008A73DA" w:rsidRDefault="007C6EBA" w:rsidP="00E83DAB">
            <w:pPr>
              <w:pStyle w:val="Textpoznpodarou"/>
              <w:ind w:right="-35"/>
              <w:jc w:val="both"/>
              <w:rPr>
                <w:sz w:val="16"/>
                <w:szCs w:val="16"/>
              </w:rPr>
            </w:pPr>
          </w:p>
        </w:tc>
      </w:tr>
      <w:tr w:rsidR="007C6EBA" w:rsidRPr="00A74192" w:rsidTr="005B0262">
        <w:tc>
          <w:tcPr>
            <w:tcW w:w="988" w:type="pct"/>
            <w:gridSpan w:val="2"/>
          </w:tcPr>
          <w:p w:rsidR="007C6EBA" w:rsidRPr="00A74192" w:rsidRDefault="007C6EBA" w:rsidP="00D94859">
            <w:pPr>
              <w:spacing w:line="240" w:lineRule="auto"/>
              <w:ind w:right="-132"/>
              <w:rPr>
                <w:sz w:val="16"/>
                <w:szCs w:val="16"/>
              </w:rPr>
            </w:pPr>
            <w:r w:rsidRPr="00A74192">
              <w:rPr>
                <w:sz w:val="16"/>
                <w:szCs w:val="16"/>
              </w:rPr>
              <w:t>Ceny výrobců meziročně klesly i v Evropě, poslední vývoj naznačuje zastavení propadu a mírný meziměsíční růst.</w:t>
            </w:r>
          </w:p>
        </w:tc>
        <w:tc>
          <w:tcPr>
            <w:tcW w:w="144" w:type="pct"/>
          </w:tcPr>
          <w:p w:rsidR="007C6EBA" w:rsidRPr="00A74192" w:rsidRDefault="007C6EBA" w:rsidP="00D94859">
            <w:pPr>
              <w:pStyle w:val="Textpoznpodarou"/>
              <w:jc w:val="both"/>
            </w:pPr>
          </w:p>
        </w:tc>
        <w:tc>
          <w:tcPr>
            <w:tcW w:w="3868" w:type="pct"/>
            <w:gridSpan w:val="4"/>
          </w:tcPr>
          <w:p w:rsidR="007C6EBA" w:rsidRPr="00A74192" w:rsidRDefault="007C6EBA" w:rsidP="00E83DAB">
            <w:pPr>
              <w:pStyle w:val="Textpoznpodarou"/>
              <w:ind w:right="-35"/>
              <w:jc w:val="both"/>
            </w:pPr>
            <w:r w:rsidRPr="00A74192">
              <w:t>Vývoj cen výrobců v české ekonomice nevybočuje z evropského průměru. Ceny výrobců klesají od poloviny roku 2012 a pokles zrychlil v roce 2015, kdy se do indexu promítl propad cen ropy. Ve 2. a 3. čtvrtletí 2016 se ceny výrobců ustálily a</w:t>
            </w:r>
            <w:r w:rsidR="00EC0EC1">
              <w:t> </w:t>
            </w:r>
            <w:r w:rsidRPr="00A74192">
              <w:t xml:space="preserve">meziměsíční pohled ukazuje na mírný růst. Meziročně poklesly ceny ve většině zemí Evropské unie, </w:t>
            </w:r>
            <w:r w:rsidR="00F61BFE">
              <w:t xml:space="preserve">s výjimkou </w:t>
            </w:r>
            <w:r w:rsidRPr="00A74192">
              <w:t>Malt</w:t>
            </w:r>
            <w:r w:rsidR="00F61BFE">
              <w:t>y.</w:t>
            </w:r>
            <w:r w:rsidRPr="00A74192">
              <w:t xml:space="preserve"> </w:t>
            </w:r>
            <w:r w:rsidR="00F61BFE">
              <w:t>R</w:t>
            </w:r>
            <w:r w:rsidRPr="00A74192">
              <w:t>ůstové tendence započaly ve Švédsku a</w:t>
            </w:r>
            <w:r w:rsidR="007E0D49">
              <w:t> </w:t>
            </w:r>
            <w:r w:rsidRPr="00A74192">
              <w:t xml:space="preserve">Velké Británii. </w:t>
            </w:r>
          </w:p>
          <w:p w:rsidR="007C6EBA" w:rsidRPr="008A73DA" w:rsidRDefault="007C6EBA" w:rsidP="00E83DAB">
            <w:pPr>
              <w:pStyle w:val="Textpoznpodarou"/>
              <w:ind w:right="-35"/>
              <w:jc w:val="both"/>
              <w:rPr>
                <w:sz w:val="16"/>
                <w:szCs w:val="16"/>
              </w:rPr>
            </w:pPr>
          </w:p>
        </w:tc>
      </w:tr>
      <w:tr w:rsidR="007C6EBA" w:rsidRPr="00A74192" w:rsidTr="005B0262">
        <w:tc>
          <w:tcPr>
            <w:tcW w:w="988" w:type="pct"/>
            <w:gridSpan w:val="2"/>
          </w:tcPr>
          <w:p w:rsidR="007C6EBA" w:rsidRPr="00A74192" w:rsidRDefault="007C6EBA" w:rsidP="00D94859">
            <w:pPr>
              <w:spacing w:line="240" w:lineRule="auto"/>
              <w:ind w:right="-132"/>
              <w:rPr>
                <w:sz w:val="16"/>
                <w:szCs w:val="16"/>
              </w:rPr>
            </w:pPr>
            <w:r w:rsidRPr="00A74192">
              <w:rPr>
                <w:sz w:val="16"/>
                <w:szCs w:val="16"/>
              </w:rPr>
              <w:t>I nadále klesají ceny zemědělských výr</w:t>
            </w:r>
            <w:r w:rsidR="000419AE">
              <w:rPr>
                <w:sz w:val="16"/>
                <w:szCs w:val="16"/>
              </w:rPr>
              <w:t>obců, hlavně ceny mléka. Naopak</w:t>
            </w:r>
            <w:r w:rsidRPr="00A74192">
              <w:rPr>
                <w:sz w:val="16"/>
                <w:szCs w:val="16"/>
              </w:rPr>
              <w:t xml:space="preserve"> vzrostly ceny prasat.</w:t>
            </w:r>
          </w:p>
        </w:tc>
        <w:tc>
          <w:tcPr>
            <w:tcW w:w="144" w:type="pct"/>
          </w:tcPr>
          <w:p w:rsidR="007C6EBA" w:rsidRPr="00A74192" w:rsidRDefault="007C6EBA" w:rsidP="00D94859">
            <w:pPr>
              <w:pStyle w:val="Textpoznpodarou"/>
              <w:jc w:val="both"/>
            </w:pPr>
          </w:p>
        </w:tc>
        <w:tc>
          <w:tcPr>
            <w:tcW w:w="3868" w:type="pct"/>
            <w:gridSpan w:val="4"/>
          </w:tcPr>
          <w:p w:rsidR="007C6EBA" w:rsidRPr="00A74192" w:rsidRDefault="007C6EBA" w:rsidP="00E83DAB">
            <w:pPr>
              <w:pStyle w:val="Textpoznpodarou"/>
              <w:ind w:right="-35"/>
              <w:jc w:val="both"/>
            </w:pPr>
            <w:r w:rsidRPr="00A74192">
              <w:t>Ceny zemědělských výrobců během 1. až 3. čtvrtletí meziročně klesaly průměrně o</w:t>
            </w:r>
            <w:r w:rsidR="00EC0EC1">
              <w:t> </w:t>
            </w:r>
            <w:r w:rsidRPr="00A74192">
              <w:t>5,2 %. Hlavním determinantem tohoto vývoje se staly ceny hospodářských zvířat a živočišných výrobků – meziroční pokles o 2,1 % a 16,3 %. Ceny skotu klesly o</w:t>
            </w:r>
            <w:r w:rsidR="00EC0EC1">
              <w:t> </w:t>
            </w:r>
            <w:r w:rsidRPr="00A74192">
              <w:t>1,3 %, ceny mléka o 17,1 %.  Ceny jatečných prasat klesly o 2,9 %, ale podrobnější pohled ukazuje, že se zastavil dlouhodobý pokles</w:t>
            </w:r>
            <w:r w:rsidRPr="00A74192">
              <w:rPr>
                <w:rStyle w:val="Znakapoznpodarou"/>
              </w:rPr>
              <w:footnoteReference w:id="26"/>
            </w:r>
            <w:r w:rsidRPr="00A74192">
              <w:t>. Pokles cen rostlinné výroby o 1,8 % byl zapříčiněn i meziročním propadem cen pšenice o</w:t>
            </w:r>
            <w:r w:rsidR="00EC0EC1">
              <w:t> </w:t>
            </w:r>
            <w:r w:rsidRPr="00A74192">
              <w:t>15,1</w:t>
            </w:r>
            <w:r w:rsidR="00EC0EC1">
              <w:t> </w:t>
            </w:r>
            <w:r w:rsidRPr="00A74192">
              <w:t>% ve 3. čtvrtletí. Tento faktor nedokázal vyvážit ani nárůst cen zeleniny a</w:t>
            </w:r>
            <w:r w:rsidR="00EC0EC1">
              <w:t> </w:t>
            </w:r>
            <w:r w:rsidRPr="00A74192">
              <w:t xml:space="preserve">zahradnických produktů o 11,6 %.     </w:t>
            </w:r>
          </w:p>
          <w:p w:rsidR="007C6EBA" w:rsidRPr="008A73DA" w:rsidRDefault="007C6EBA" w:rsidP="00E83DAB">
            <w:pPr>
              <w:pStyle w:val="Textpoznpodarou"/>
              <w:ind w:right="-35"/>
              <w:jc w:val="both"/>
              <w:rPr>
                <w:sz w:val="16"/>
                <w:szCs w:val="16"/>
              </w:rPr>
            </w:pPr>
            <w:r w:rsidRPr="00A74192">
              <w:t xml:space="preserve"> </w:t>
            </w:r>
          </w:p>
        </w:tc>
      </w:tr>
      <w:tr w:rsidR="007C6EBA" w:rsidRPr="00A74192" w:rsidTr="005B0262">
        <w:tc>
          <w:tcPr>
            <w:tcW w:w="988" w:type="pct"/>
            <w:gridSpan w:val="2"/>
          </w:tcPr>
          <w:p w:rsidR="007C6EBA" w:rsidRPr="00A74192" w:rsidRDefault="007C6EBA" w:rsidP="006F2280">
            <w:pPr>
              <w:spacing w:line="240" w:lineRule="auto"/>
              <w:ind w:right="-132"/>
              <w:rPr>
                <w:sz w:val="16"/>
                <w:szCs w:val="16"/>
              </w:rPr>
            </w:pPr>
            <w:r w:rsidRPr="00A74192">
              <w:rPr>
                <w:sz w:val="16"/>
                <w:szCs w:val="16"/>
              </w:rPr>
              <w:t xml:space="preserve">Ceny </w:t>
            </w:r>
            <w:r w:rsidR="006F2280">
              <w:rPr>
                <w:sz w:val="16"/>
                <w:szCs w:val="16"/>
              </w:rPr>
              <w:t>ve stavebnictví</w:t>
            </w:r>
            <w:r w:rsidRPr="00A74192">
              <w:rPr>
                <w:sz w:val="16"/>
                <w:szCs w:val="16"/>
              </w:rPr>
              <w:t xml:space="preserve"> pokračují v mírném růstu.</w:t>
            </w:r>
          </w:p>
        </w:tc>
        <w:tc>
          <w:tcPr>
            <w:tcW w:w="144" w:type="pct"/>
          </w:tcPr>
          <w:p w:rsidR="007C6EBA" w:rsidRPr="00A74192" w:rsidRDefault="007C6EBA" w:rsidP="00D94859">
            <w:pPr>
              <w:pStyle w:val="Textpoznpodarou"/>
              <w:jc w:val="both"/>
            </w:pPr>
          </w:p>
        </w:tc>
        <w:tc>
          <w:tcPr>
            <w:tcW w:w="3868" w:type="pct"/>
            <w:gridSpan w:val="4"/>
          </w:tcPr>
          <w:p w:rsidR="007C6EBA" w:rsidRPr="00A74192" w:rsidRDefault="007C6EBA" w:rsidP="00E83DAB">
            <w:pPr>
              <w:pStyle w:val="Textpoznpodarou"/>
              <w:ind w:right="-35"/>
              <w:jc w:val="both"/>
            </w:pPr>
            <w:r w:rsidRPr="00A74192">
              <w:t>Ceny stavebních děl během 1. až 3. čtvrtletí rostly meziročně</w:t>
            </w:r>
            <w:r w:rsidR="005E6AB8">
              <w:t xml:space="preserve"> o</w:t>
            </w:r>
            <w:r w:rsidRPr="00A74192">
              <w:t xml:space="preserve"> 1,1 % a</w:t>
            </w:r>
            <w:r w:rsidR="005E6AB8">
              <w:t xml:space="preserve"> </w:t>
            </w:r>
            <w:r w:rsidRPr="00A74192">
              <w:t>cenový vývoj jednotlivých druhů budov se příliš nelišil od celkového indexu. Podobný růst zaznamenaly bytové i nebytové budovy (1,0 % a 1,2 %). Ceny inženýrských děl vzrostly o 1,2 %.</w:t>
            </w:r>
          </w:p>
          <w:p w:rsidR="007C6EBA" w:rsidRPr="008A73DA" w:rsidRDefault="007C6EBA" w:rsidP="00E83DAB">
            <w:pPr>
              <w:pStyle w:val="Textpoznpodarou"/>
              <w:ind w:right="-35"/>
              <w:jc w:val="both"/>
              <w:rPr>
                <w:sz w:val="16"/>
                <w:szCs w:val="16"/>
                <w:highlight w:val="yellow"/>
              </w:rPr>
            </w:pPr>
          </w:p>
        </w:tc>
      </w:tr>
      <w:tr w:rsidR="007C6EBA" w:rsidRPr="00A74192" w:rsidTr="005B0262">
        <w:tc>
          <w:tcPr>
            <w:tcW w:w="988" w:type="pct"/>
            <w:gridSpan w:val="2"/>
          </w:tcPr>
          <w:p w:rsidR="007C6EBA" w:rsidRPr="00A74192" w:rsidRDefault="007C6EBA" w:rsidP="00D94859">
            <w:pPr>
              <w:spacing w:line="240" w:lineRule="auto"/>
              <w:ind w:right="-132"/>
              <w:rPr>
                <w:sz w:val="16"/>
                <w:szCs w:val="16"/>
              </w:rPr>
            </w:pPr>
            <w:r w:rsidRPr="00A74192">
              <w:rPr>
                <w:sz w:val="16"/>
                <w:szCs w:val="16"/>
              </w:rPr>
              <w:t>Ceny tržních služeb mírně rostly.</w:t>
            </w:r>
          </w:p>
        </w:tc>
        <w:tc>
          <w:tcPr>
            <w:tcW w:w="144" w:type="pct"/>
          </w:tcPr>
          <w:p w:rsidR="007C6EBA" w:rsidRPr="00A74192" w:rsidRDefault="007C6EBA" w:rsidP="00D94859">
            <w:pPr>
              <w:pStyle w:val="Textpoznpodarou"/>
              <w:jc w:val="both"/>
            </w:pPr>
          </w:p>
        </w:tc>
        <w:tc>
          <w:tcPr>
            <w:tcW w:w="3868" w:type="pct"/>
            <w:gridSpan w:val="4"/>
          </w:tcPr>
          <w:p w:rsidR="007C6EBA" w:rsidRPr="00A74192" w:rsidRDefault="007C6EBA" w:rsidP="00E83DAB">
            <w:pPr>
              <w:pStyle w:val="Textpoznpodarou"/>
              <w:ind w:right="-35"/>
              <w:jc w:val="both"/>
            </w:pPr>
            <w:r w:rsidRPr="00A74192">
              <w:t xml:space="preserve">Ceny tržních služeb v podnikatelské sféře od začátku roku 2014 stagnují a nejinak tomu bylo v 1. až 3. čtvrtletí roku 2016. Průměrný meziroční růst cen během sledovaného období byl 0,1 %. Ceny klesaly především v segmentu pojištění (průměrně o 3,6 %) a v sektoru služeb v oblasti pronájmu a operativního leasingu (2,1 %). Naopak výrazněji rostly ceny poštovních a kurýrních služeb (o 3,8 %), ceny architektonických a inženýrských služeb </w:t>
            </w:r>
            <w:r w:rsidR="005E6AB8">
              <w:t>(</w:t>
            </w:r>
            <w:r w:rsidRPr="00A74192">
              <w:t>o 1,8 %</w:t>
            </w:r>
            <w:r w:rsidR="005E6AB8">
              <w:t>)</w:t>
            </w:r>
            <w:r w:rsidRPr="00A74192">
              <w:t xml:space="preserve"> a ceny reklamních služeb a</w:t>
            </w:r>
            <w:r w:rsidR="00EC0EC1">
              <w:t> </w:t>
            </w:r>
            <w:r w:rsidRPr="00A74192">
              <w:t xml:space="preserve">průzkumu trhu </w:t>
            </w:r>
            <w:r w:rsidR="005E6AB8">
              <w:t>(</w:t>
            </w:r>
            <w:r w:rsidRPr="00A74192">
              <w:t>o 1,7 %</w:t>
            </w:r>
            <w:r w:rsidR="005E6AB8">
              <w:t>)</w:t>
            </w:r>
            <w:r w:rsidRPr="00A74192">
              <w:t xml:space="preserve">. </w:t>
            </w:r>
          </w:p>
          <w:p w:rsidR="007C6EBA" w:rsidRPr="008A73DA" w:rsidRDefault="007C6EBA" w:rsidP="00E83DAB">
            <w:pPr>
              <w:pStyle w:val="Textpoznpodarou"/>
              <w:ind w:right="-35"/>
              <w:jc w:val="both"/>
              <w:rPr>
                <w:sz w:val="16"/>
                <w:szCs w:val="16"/>
              </w:rPr>
            </w:pPr>
          </w:p>
        </w:tc>
      </w:tr>
      <w:tr w:rsidR="007C6EBA" w:rsidRPr="00A74192" w:rsidTr="005B0262">
        <w:tc>
          <w:tcPr>
            <w:tcW w:w="988" w:type="pct"/>
            <w:gridSpan w:val="2"/>
          </w:tcPr>
          <w:p w:rsidR="007C6EBA" w:rsidRPr="00A74192" w:rsidRDefault="007C6EBA" w:rsidP="00D94859">
            <w:pPr>
              <w:spacing w:line="240" w:lineRule="auto"/>
              <w:ind w:right="-132"/>
              <w:rPr>
                <w:sz w:val="16"/>
                <w:szCs w:val="16"/>
              </w:rPr>
            </w:pPr>
            <w:r w:rsidRPr="00A74192">
              <w:rPr>
                <w:sz w:val="16"/>
                <w:szCs w:val="16"/>
              </w:rPr>
              <w:t>Pokles cen zahraničního obchodu prostřednictvím posilování kurzu slábne.</w:t>
            </w:r>
          </w:p>
        </w:tc>
        <w:tc>
          <w:tcPr>
            <w:tcW w:w="144" w:type="pct"/>
          </w:tcPr>
          <w:p w:rsidR="007C6EBA" w:rsidRPr="00A74192" w:rsidRDefault="007C6EBA" w:rsidP="00D94859">
            <w:pPr>
              <w:pStyle w:val="Textpoznpodarou"/>
              <w:jc w:val="both"/>
            </w:pPr>
          </w:p>
        </w:tc>
        <w:tc>
          <w:tcPr>
            <w:tcW w:w="3868" w:type="pct"/>
            <w:gridSpan w:val="4"/>
          </w:tcPr>
          <w:p w:rsidR="007C6EBA" w:rsidRPr="00A74192" w:rsidRDefault="007C6EBA" w:rsidP="00E83DAB">
            <w:pPr>
              <w:pStyle w:val="Textpoznpodarou"/>
              <w:ind w:right="-35"/>
              <w:jc w:val="both"/>
            </w:pPr>
            <w:r w:rsidRPr="00A74192">
              <w:t xml:space="preserve">Kurz koruny ve třetím čtvrtletí roku 2015 narazil na hranici asymetrického závazku ČNB a v roce 2016 se od něj nevzdálil. Proto bylo meziroční posílení koruny vůči euru ve 3. čtvrtletí 2016 jen 0,2 %. Posilování kurzu vůči dolaru bylo výraznější </w:t>
            </w:r>
            <w:r w:rsidRPr="00A74192">
              <w:lastRenderedPageBreak/>
              <w:t xml:space="preserve">hlavně ve druhém čtvrtletí, kdy koruna meziročně posílila o 3,5 %. Ve třetím čtvrtletí posílila koruna vůči dolaru o 1,4 %. Vývoj kurzu má stále za následek dovoz deflačních tlaků ze zahraničí, význam tohoto faktoru však slábne kvůli závazku ČNB. Posílení dolaru se neprojevuje tak výrazně vzhledem k nižšímu zastoupení dolarových obchodů na celkovém zahraničním obchodu ČR. </w:t>
            </w:r>
          </w:p>
          <w:p w:rsidR="007C6EBA" w:rsidRPr="008A73DA" w:rsidRDefault="007C6EBA" w:rsidP="00E83DAB">
            <w:pPr>
              <w:pStyle w:val="Textpoznpodarou"/>
              <w:ind w:right="-35"/>
              <w:jc w:val="both"/>
              <w:rPr>
                <w:sz w:val="16"/>
                <w:szCs w:val="16"/>
              </w:rPr>
            </w:pPr>
          </w:p>
        </w:tc>
      </w:tr>
      <w:tr w:rsidR="007C6EBA" w:rsidRPr="00A74192" w:rsidTr="005B0262">
        <w:tc>
          <w:tcPr>
            <w:tcW w:w="988" w:type="pct"/>
            <w:gridSpan w:val="2"/>
          </w:tcPr>
          <w:p w:rsidR="007C6EBA" w:rsidRPr="00A74192" w:rsidRDefault="007C6EBA" w:rsidP="005E6AB8">
            <w:pPr>
              <w:spacing w:line="240" w:lineRule="auto"/>
              <w:ind w:right="-132"/>
              <w:rPr>
                <w:sz w:val="16"/>
                <w:szCs w:val="16"/>
              </w:rPr>
            </w:pPr>
            <w:r w:rsidRPr="00A74192">
              <w:rPr>
                <w:sz w:val="16"/>
                <w:szCs w:val="16"/>
              </w:rPr>
              <w:lastRenderedPageBreak/>
              <w:t>Ceny vývozu klesly o 2,7</w:t>
            </w:r>
            <w:r w:rsidR="005E6AB8">
              <w:rPr>
                <w:sz w:val="16"/>
                <w:szCs w:val="16"/>
              </w:rPr>
              <w:t> </w:t>
            </w:r>
            <w:r w:rsidRPr="00A74192">
              <w:rPr>
                <w:sz w:val="16"/>
                <w:szCs w:val="16"/>
              </w:rPr>
              <w:t>%, nejméně za poslední rok.</w:t>
            </w:r>
          </w:p>
        </w:tc>
        <w:tc>
          <w:tcPr>
            <w:tcW w:w="144" w:type="pct"/>
          </w:tcPr>
          <w:p w:rsidR="007C6EBA" w:rsidRPr="00A74192" w:rsidRDefault="007C6EBA" w:rsidP="00D94859">
            <w:pPr>
              <w:pStyle w:val="Textpoznpodarou"/>
              <w:jc w:val="both"/>
            </w:pPr>
          </w:p>
        </w:tc>
        <w:tc>
          <w:tcPr>
            <w:tcW w:w="3868" w:type="pct"/>
            <w:gridSpan w:val="4"/>
          </w:tcPr>
          <w:p w:rsidR="007C6EBA" w:rsidRPr="00A74192" w:rsidRDefault="007C6EBA" w:rsidP="00E83DAB">
            <w:pPr>
              <w:pStyle w:val="Textpoznpodarou"/>
              <w:ind w:right="-35"/>
              <w:jc w:val="both"/>
            </w:pPr>
            <w:r w:rsidRPr="00A74192">
              <w:t>Vývozní ceny pokračuj</w:t>
            </w:r>
            <w:r w:rsidR="000419AE">
              <w:t xml:space="preserve">í v dlouhodobém trendu a v 1. až </w:t>
            </w:r>
            <w:r w:rsidRPr="00A74192">
              <w:t>3. čtvrtletí se snižovaly meziročně o 3,7 %. Zároveň došlo ke zpomalení poklesu cen na 2,7 % ve 3. čtvrtletí. Ceny klesaly ve všech kategoriích s výjimkou cen tabáku a nápojů, které se meziročně zvyšovaly o 2,2 %, a cen živočišných a rostlinných olejů (+2,7</w:t>
            </w:r>
            <w:r w:rsidR="00EC0EC1">
              <w:t> </w:t>
            </w:r>
            <w:r w:rsidRPr="00A74192">
              <w:t>%). Pokles v kategorii minerálních paliv byl nadále výrazný (o 16,7 %), v průběhu sledovaného období se však zpomaloval. Významně se snížily ceny chemikálií a příbuzných výrobků (−7,1 %) a </w:t>
            </w:r>
            <w:r w:rsidR="006F2280">
              <w:t xml:space="preserve">ostatních </w:t>
            </w:r>
            <w:r w:rsidRPr="00A74192">
              <w:t xml:space="preserve">surovin (−11,0 %).  </w:t>
            </w:r>
          </w:p>
          <w:p w:rsidR="007C6EBA" w:rsidRPr="008A73DA" w:rsidRDefault="007C6EBA" w:rsidP="00E83DAB">
            <w:pPr>
              <w:pStyle w:val="Textpoznpodarou"/>
              <w:ind w:right="-35"/>
              <w:jc w:val="both"/>
              <w:rPr>
                <w:sz w:val="16"/>
                <w:szCs w:val="16"/>
              </w:rPr>
            </w:pPr>
          </w:p>
        </w:tc>
      </w:tr>
      <w:tr w:rsidR="007C6EBA" w:rsidRPr="00A74192" w:rsidTr="005B0262">
        <w:tc>
          <w:tcPr>
            <w:tcW w:w="988" w:type="pct"/>
            <w:gridSpan w:val="2"/>
          </w:tcPr>
          <w:p w:rsidR="007C6EBA" w:rsidRPr="00A74192" w:rsidRDefault="007C6EBA" w:rsidP="005E6AB8">
            <w:pPr>
              <w:spacing w:line="240" w:lineRule="auto"/>
              <w:ind w:right="-132"/>
              <w:rPr>
                <w:sz w:val="16"/>
                <w:szCs w:val="16"/>
              </w:rPr>
            </w:pPr>
            <w:r w:rsidRPr="00A74192">
              <w:rPr>
                <w:sz w:val="16"/>
                <w:szCs w:val="16"/>
              </w:rPr>
              <w:t>Dovozní ceny klesly o</w:t>
            </w:r>
            <w:r w:rsidR="005E6AB8">
              <w:rPr>
                <w:sz w:val="16"/>
                <w:szCs w:val="16"/>
              </w:rPr>
              <w:t> </w:t>
            </w:r>
            <w:r w:rsidRPr="00A74192">
              <w:rPr>
                <w:sz w:val="16"/>
                <w:szCs w:val="16"/>
              </w:rPr>
              <w:t>4</w:t>
            </w:r>
            <w:r w:rsidR="005E6AB8">
              <w:rPr>
                <w:sz w:val="16"/>
                <w:szCs w:val="16"/>
              </w:rPr>
              <w:t> </w:t>
            </w:r>
            <w:r w:rsidRPr="00A74192">
              <w:rPr>
                <w:sz w:val="16"/>
                <w:szCs w:val="16"/>
              </w:rPr>
              <w:t xml:space="preserve">% a zpomalily letošní propad. </w:t>
            </w:r>
          </w:p>
        </w:tc>
        <w:tc>
          <w:tcPr>
            <w:tcW w:w="144" w:type="pct"/>
          </w:tcPr>
          <w:p w:rsidR="007C6EBA" w:rsidRPr="00A74192" w:rsidRDefault="007C6EBA" w:rsidP="00D94859">
            <w:pPr>
              <w:pStyle w:val="Textpoznpodarou"/>
              <w:jc w:val="both"/>
            </w:pPr>
          </w:p>
        </w:tc>
        <w:tc>
          <w:tcPr>
            <w:tcW w:w="3868" w:type="pct"/>
            <w:gridSpan w:val="4"/>
          </w:tcPr>
          <w:p w:rsidR="007C6EBA" w:rsidRPr="00A74192" w:rsidRDefault="007C6EBA" w:rsidP="00E83DAB">
            <w:pPr>
              <w:pStyle w:val="Textpoznpodarou"/>
              <w:ind w:right="-35"/>
              <w:jc w:val="both"/>
            </w:pPr>
            <w:r w:rsidRPr="00A74192">
              <w:t>Dovozní ceny za uplynulá tři čtvrtletí zaznamenaly meziroční pokles o 5,2 %. Dynamika cen byla ovlivněna především cenami ropy</w:t>
            </w:r>
            <w:r w:rsidR="006F2280">
              <w:t>.</w:t>
            </w:r>
            <w:r w:rsidRPr="00A74192">
              <w:t xml:space="preserve"> </w:t>
            </w:r>
            <w:r w:rsidR="006F2280">
              <w:t>P</w:t>
            </w:r>
            <w:r w:rsidR="007B2257">
              <w:t>odobně jako ony, i ceny dovozu</w:t>
            </w:r>
            <w:r w:rsidRPr="00A74192">
              <w:t xml:space="preserve"> zpomalují propad a meziměsíčně stagnují. Největší pokles zaznamenaly ceny minerálních paliv, meziroční propad byl 28,5 %. Ceny chemikálií klesly o</w:t>
            </w:r>
            <w:r w:rsidR="00EC0EC1">
              <w:t> </w:t>
            </w:r>
            <w:r w:rsidRPr="00A74192">
              <w:t>5,4</w:t>
            </w:r>
            <w:r w:rsidR="00EC0EC1">
              <w:t> </w:t>
            </w:r>
            <w:r w:rsidRPr="00A74192">
              <w:t xml:space="preserve">%. Ceny nápojů a tabáku zaznamenaly nárůst o 0,1 % daný především změnou dynamiky ve 3. čtvrtletí. </w:t>
            </w:r>
          </w:p>
          <w:p w:rsidR="007C6EBA" w:rsidRPr="008A73DA" w:rsidRDefault="007C6EBA" w:rsidP="00E83DAB">
            <w:pPr>
              <w:pStyle w:val="Textpoznpodarou"/>
              <w:ind w:right="-35"/>
              <w:jc w:val="both"/>
              <w:rPr>
                <w:sz w:val="16"/>
                <w:szCs w:val="16"/>
              </w:rPr>
            </w:pPr>
          </w:p>
        </w:tc>
      </w:tr>
      <w:tr w:rsidR="007C6EBA" w:rsidRPr="00A74192" w:rsidTr="005B0262">
        <w:tc>
          <w:tcPr>
            <w:tcW w:w="988" w:type="pct"/>
            <w:gridSpan w:val="2"/>
          </w:tcPr>
          <w:p w:rsidR="007C6EBA" w:rsidRPr="00A74192" w:rsidRDefault="007C6EBA" w:rsidP="00D94859">
            <w:pPr>
              <w:spacing w:line="240" w:lineRule="auto"/>
              <w:ind w:right="-132"/>
              <w:rPr>
                <w:sz w:val="16"/>
                <w:szCs w:val="16"/>
              </w:rPr>
            </w:pPr>
            <w:r w:rsidRPr="00A74192">
              <w:rPr>
                <w:sz w:val="16"/>
                <w:szCs w:val="16"/>
              </w:rPr>
              <w:t>Směnné relace v zahraničním obchodě přetrvaly pozitivní.</w:t>
            </w:r>
          </w:p>
        </w:tc>
        <w:tc>
          <w:tcPr>
            <w:tcW w:w="144" w:type="pct"/>
          </w:tcPr>
          <w:p w:rsidR="007C6EBA" w:rsidRPr="00A74192" w:rsidRDefault="007C6EBA" w:rsidP="00D94859">
            <w:pPr>
              <w:pStyle w:val="Textpoznpodarou"/>
              <w:jc w:val="both"/>
            </w:pPr>
          </w:p>
        </w:tc>
        <w:tc>
          <w:tcPr>
            <w:tcW w:w="3868" w:type="pct"/>
            <w:gridSpan w:val="4"/>
          </w:tcPr>
          <w:p w:rsidR="007C6EBA" w:rsidRPr="00A74192" w:rsidRDefault="007C6EBA" w:rsidP="00E83DAB">
            <w:pPr>
              <w:pStyle w:val="Textpoznpodarou"/>
              <w:ind w:right="-35"/>
              <w:jc w:val="both"/>
            </w:pPr>
            <w:r w:rsidRPr="00A74192">
              <w:t xml:space="preserve">Směnné relace </w:t>
            </w:r>
            <w:r w:rsidR="005E6AB8" w:rsidRPr="00A74192">
              <w:t xml:space="preserve">byly </w:t>
            </w:r>
            <w:r w:rsidRPr="00A74192">
              <w:t xml:space="preserve">meziročně od ledna do září 2016 kladné a dosáhly hodnoty 101,6 %. Snížení směnných relací u minerálních paliv a váhově významných strojů a dopravních prostředků vedlo ke snížení úhrnných směnných relací v závěru sledovaného období na 101,0 %.  </w:t>
            </w:r>
          </w:p>
          <w:p w:rsidR="007C6EBA" w:rsidRPr="008A73DA" w:rsidRDefault="007C6EBA" w:rsidP="00E83DAB">
            <w:pPr>
              <w:pStyle w:val="Textpoznpodarou"/>
              <w:ind w:right="-35"/>
              <w:jc w:val="both"/>
              <w:rPr>
                <w:sz w:val="16"/>
                <w:szCs w:val="16"/>
              </w:rPr>
            </w:pPr>
          </w:p>
        </w:tc>
      </w:tr>
      <w:tr w:rsidR="00F06C6F" w:rsidRPr="00A74192" w:rsidTr="005B0262">
        <w:tblPrEx>
          <w:tblLook w:val="04A0"/>
        </w:tblPrEx>
        <w:tc>
          <w:tcPr>
            <w:tcW w:w="574" w:type="pct"/>
          </w:tcPr>
          <w:p w:rsidR="007430AB" w:rsidRDefault="007430AB" w:rsidP="00D94859">
            <w:pPr>
              <w:pStyle w:val="Textpoznpodarou"/>
              <w:rPr>
                <w:sz w:val="18"/>
                <w:szCs w:val="18"/>
              </w:rPr>
            </w:pPr>
            <w:r>
              <w:rPr>
                <w:sz w:val="18"/>
                <w:szCs w:val="18"/>
              </w:rPr>
              <w:t>Graf č.</w:t>
            </w:r>
          </w:p>
          <w:p w:rsidR="0033229B" w:rsidRPr="005B0262" w:rsidRDefault="0033229B" w:rsidP="00D94859">
            <w:pPr>
              <w:pStyle w:val="Textpoznpodarou"/>
              <w:rPr>
                <w:sz w:val="18"/>
                <w:szCs w:val="18"/>
              </w:rPr>
            </w:pPr>
            <w:r w:rsidRPr="005B0262">
              <w:rPr>
                <w:sz w:val="18"/>
                <w:szCs w:val="18"/>
              </w:rPr>
              <w:t>11</w:t>
            </w:r>
          </w:p>
        </w:tc>
        <w:tc>
          <w:tcPr>
            <w:tcW w:w="1890" w:type="pct"/>
            <w:gridSpan w:val="3"/>
          </w:tcPr>
          <w:p w:rsidR="0033229B" w:rsidRPr="005B0262" w:rsidRDefault="0033229B" w:rsidP="00D94859">
            <w:pPr>
              <w:pStyle w:val="Textpoznpodarou"/>
              <w:rPr>
                <w:sz w:val="18"/>
                <w:szCs w:val="18"/>
              </w:rPr>
            </w:pPr>
            <w:r w:rsidRPr="005B0262">
              <w:rPr>
                <w:b/>
                <w:sz w:val="18"/>
                <w:szCs w:val="18"/>
              </w:rPr>
              <w:t>Spotřebitelské ceny jednotlivých typů domácností</w:t>
            </w:r>
            <w:r w:rsidRPr="005B0262">
              <w:rPr>
                <w:sz w:val="18"/>
                <w:szCs w:val="18"/>
              </w:rPr>
              <w:t xml:space="preserve"> (y/y v %)</w:t>
            </w:r>
          </w:p>
        </w:tc>
        <w:tc>
          <w:tcPr>
            <w:tcW w:w="580" w:type="pct"/>
            <w:gridSpan w:val="2"/>
          </w:tcPr>
          <w:p w:rsidR="007430AB" w:rsidRDefault="007430AB" w:rsidP="00D94859">
            <w:pPr>
              <w:pStyle w:val="Textpoznpodarou"/>
              <w:rPr>
                <w:sz w:val="18"/>
                <w:szCs w:val="18"/>
              </w:rPr>
            </w:pPr>
            <w:r>
              <w:rPr>
                <w:sz w:val="18"/>
                <w:szCs w:val="18"/>
              </w:rPr>
              <w:t>Graf č.</w:t>
            </w:r>
          </w:p>
          <w:p w:rsidR="0033229B" w:rsidRPr="005B0262" w:rsidRDefault="0033229B" w:rsidP="00D94859">
            <w:pPr>
              <w:pStyle w:val="Textpoznpodarou"/>
              <w:rPr>
                <w:sz w:val="18"/>
                <w:szCs w:val="18"/>
              </w:rPr>
            </w:pPr>
            <w:r w:rsidRPr="005B0262">
              <w:rPr>
                <w:sz w:val="18"/>
                <w:szCs w:val="18"/>
              </w:rPr>
              <w:t>12</w:t>
            </w:r>
          </w:p>
        </w:tc>
        <w:tc>
          <w:tcPr>
            <w:tcW w:w="1956" w:type="pct"/>
          </w:tcPr>
          <w:p w:rsidR="0033229B" w:rsidRPr="005B0262" w:rsidRDefault="0033229B" w:rsidP="005B0262">
            <w:pPr>
              <w:pStyle w:val="Textpoznpodarou"/>
              <w:rPr>
                <w:sz w:val="18"/>
                <w:szCs w:val="18"/>
              </w:rPr>
            </w:pPr>
            <w:r w:rsidRPr="005B0262">
              <w:rPr>
                <w:b/>
                <w:sz w:val="18"/>
                <w:szCs w:val="18"/>
              </w:rPr>
              <w:t>Ceny ve vybraných oddílech indexu spotřebitelských cen</w:t>
            </w:r>
            <w:r w:rsidRPr="005B0262">
              <w:rPr>
                <w:sz w:val="18"/>
                <w:szCs w:val="18"/>
              </w:rPr>
              <w:t xml:space="preserve"> (y/y v %)</w:t>
            </w:r>
          </w:p>
        </w:tc>
      </w:tr>
      <w:tr w:rsidR="007C32B6" w:rsidRPr="00A74192" w:rsidTr="005B0262">
        <w:tblPrEx>
          <w:tblLook w:val="04A0"/>
        </w:tblPrEx>
        <w:tc>
          <w:tcPr>
            <w:tcW w:w="2464" w:type="pct"/>
            <w:gridSpan w:val="4"/>
          </w:tcPr>
          <w:p w:rsidR="0033229B" w:rsidRPr="00A74192" w:rsidRDefault="00505989" w:rsidP="00E83DAB">
            <w:pPr>
              <w:pStyle w:val="Textpoznpodarou"/>
              <w:ind w:left="-108"/>
              <w:jc w:val="both"/>
            </w:pPr>
            <w:r>
              <w:rPr>
                <w:noProof/>
              </w:rPr>
              <w:drawing>
                <wp:inline distT="0" distB="0" distL="0" distR="0">
                  <wp:extent cx="3079750" cy="2294890"/>
                  <wp:effectExtent l="19050" t="0" r="6350" b="0"/>
                  <wp:docPr id="11" name="obrázek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rrowheads="1"/>
                          </pic:cNvPicPr>
                        </pic:nvPicPr>
                        <pic:blipFill>
                          <a:blip r:embed="rId23"/>
                          <a:srcRect/>
                          <a:stretch>
                            <a:fillRect/>
                          </a:stretch>
                        </pic:blipFill>
                        <pic:spPr bwMode="auto">
                          <a:xfrm>
                            <a:off x="0" y="0"/>
                            <a:ext cx="3079750" cy="2294890"/>
                          </a:xfrm>
                          <a:prstGeom prst="rect">
                            <a:avLst/>
                          </a:prstGeom>
                          <a:noFill/>
                          <a:ln w="9525">
                            <a:noFill/>
                            <a:miter lim="800000"/>
                            <a:headEnd/>
                            <a:tailEnd/>
                          </a:ln>
                        </pic:spPr>
                      </pic:pic>
                    </a:graphicData>
                  </a:graphic>
                </wp:inline>
              </w:drawing>
            </w:r>
          </w:p>
        </w:tc>
        <w:tc>
          <w:tcPr>
            <w:tcW w:w="2536" w:type="pct"/>
            <w:gridSpan w:val="3"/>
          </w:tcPr>
          <w:p w:rsidR="0033229B" w:rsidRDefault="00505989" w:rsidP="00F06C6F">
            <w:pPr>
              <w:pStyle w:val="Textpoznpodarou"/>
              <w:ind w:left="-77"/>
              <w:jc w:val="both"/>
              <w:rPr>
                <w:sz w:val="6"/>
                <w:szCs w:val="6"/>
              </w:rPr>
            </w:pPr>
            <w:r>
              <w:rPr>
                <w:noProof/>
              </w:rPr>
              <w:drawing>
                <wp:inline distT="0" distB="0" distL="0" distR="0">
                  <wp:extent cx="3079750" cy="2294890"/>
                  <wp:effectExtent l="19050" t="0" r="6350" b="0"/>
                  <wp:docPr id="12" name="obrázek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rrowheads="1"/>
                          </pic:cNvPicPr>
                        </pic:nvPicPr>
                        <pic:blipFill>
                          <a:blip r:embed="rId24"/>
                          <a:srcRect/>
                          <a:stretch>
                            <a:fillRect/>
                          </a:stretch>
                        </pic:blipFill>
                        <pic:spPr bwMode="auto">
                          <a:xfrm>
                            <a:off x="0" y="0"/>
                            <a:ext cx="3079750" cy="2294890"/>
                          </a:xfrm>
                          <a:prstGeom prst="rect">
                            <a:avLst/>
                          </a:prstGeom>
                          <a:noFill/>
                          <a:ln w="9525">
                            <a:noFill/>
                            <a:miter lim="800000"/>
                            <a:headEnd/>
                            <a:tailEnd/>
                          </a:ln>
                        </pic:spPr>
                      </pic:pic>
                    </a:graphicData>
                  </a:graphic>
                </wp:inline>
              </w:drawing>
            </w:r>
          </w:p>
          <w:p w:rsidR="0085188D" w:rsidRPr="0085188D" w:rsidRDefault="0085188D" w:rsidP="00D94859">
            <w:pPr>
              <w:pStyle w:val="Textpoznpodarou"/>
              <w:jc w:val="both"/>
              <w:rPr>
                <w:sz w:val="6"/>
                <w:szCs w:val="6"/>
              </w:rPr>
            </w:pPr>
          </w:p>
        </w:tc>
      </w:tr>
      <w:tr w:rsidR="00F06C6F" w:rsidRPr="00A74192" w:rsidTr="005B0262">
        <w:tblPrEx>
          <w:tblLook w:val="04A0"/>
        </w:tblPrEx>
        <w:tc>
          <w:tcPr>
            <w:tcW w:w="574" w:type="pct"/>
          </w:tcPr>
          <w:p w:rsidR="007430AB" w:rsidRDefault="007430AB" w:rsidP="00D94859">
            <w:pPr>
              <w:pStyle w:val="Textpoznpodarou"/>
              <w:rPr>
                <w:sz w:val="18"/>
                <w:szCs w:val="18"/>
                <w:lang w:eastAsia="en-US"/>
              </w:rPr>
            </w:pPr>
            <w:r>
              <w:rPr>
                <w:sz w:val="18"/>
                <w:szCs w:val="18"/>
                <w:lang w:eastAsia="en-US"/>
              </w:rPr>
              <w:t>Graf č.</w:t>
            </w:r>
          </w:p>
          <w:p w:rsidR="0033229B" w:rsidRPr="005B0262" w:rsidRDefault="0033229B" w:rsidP="00D94859">
            <w:pPr>
              <w:pStyle w:val="Textpoznpodarou"/>
              <w:rPr>
                <w:sz w:val="18"/>
                <w:szCs w:val="18"/>
                <w:lang w:eastAsia="en-US"/>
              </w:rPr>
            </w:pPr>
            <w:r w:rsidRPr="005B0262">
              <w:rPr>
                <w:sz w:val="18"/>
                <w:szCs w:val="18"/>
                <w:lang w:eastAsia="en-US"/>
              </w:rPr>
              <w:t>13</w:t>
            </w:r>
          </w:p>
        </w:tc>
        <w:tc>
          <w:tcPr>
            <w:tcW w:w="1890" w:type="pct"/>
            <w:gridSpan w:val="3"/>
          </w:tcPr>
          <w:p w:rsidR="0033229B" w:rsidRPr="005B0262" w:rsidRDefault="0033229B" w:rsidP="00D94859">
            <w:pPr>
              <w:pStyle w:val="Textpoznpodarou"/>
              <w:rPr>
                <w:color w:val="FF0000"/>
                <w:sz w:val="18"/>
                <w:szCs w:val="18"/>
                <w:lang w:eastAsia="en-US"/>
              </w:rPr>
            </w:pPr>
            <w:r w:rsidRPr="005B0262">
              <w:rPr>
                <w:b/>
                <w:sz w:val="18"/>
                <w:szCs w:val="18"/>
                <w:lang w:eastAsia="en-US"/>
              </w:rPr>
              <w:t>Deflátory</w:t>
            </w:r>
            <w:r w:rsidRPr="005B0262">
              <w:rPr>
                <w:sz w:val="18"/>
                <w:szCs w:val="18"/>
                <w:lang w:eastAsia="en-US"/>
              </w:rPr>
              <w:t xml:space="preserve"> (očištěn</w:t>
            </w:r>
            <w:r w:rsidR="00A05B91" w:rsidRPr="005B0262">
              <w:rPr>
                <w:sz w:val="18"/>
                <w:szCs w:val="18"/>
                <w:lang w:eastAsia="en-US"/>
              </w:rPr>
              <w:t>o</w:t>
            </w:r>
            <w:r w:rsidRPr="005B0262">
              <w:rPr>
                <w:sz w:val="18"/>
                <w:szCs w:val="18"/>
                <w:lang w:eastAsia="en-US"/>
              </w:rPr>
              <w:t xml:space="preserve"> o sezónní a kalendářní vlivy, y/y v %)</w:t>
            </w:r>
          </w:p>
        </w:tc>
        <w:tc>
          <w:tcPr>
            <w:tcW w:w="507" w:type="pct"/>
          </w:tcPr>
          <w:p w:rsidR="007430AB" w:rsidRDefault="007430AB" w:rsidP="005B0262">
            <w:pPr>
              <w:pStyle w:val="Textpoznpodarou"/>
              <w:ind w:left="-77" w:right="-108"/>
              <w:rPr>
                <w:sz w:val="18"/>
                <w:szCs w:val="18"/>
                <w:lang w:eastAsia="en-US"/>
              </w:rPr>
            </w:pPr>
            <w:r>
              <w:rPr>
                <w:sz w:val="18"/>
                <w:szCs w:val="18"/>
                <w:lang w:eastAsia="en-US"/>
              </w:rPr>
              <w:t>Graf č.</w:t>
            </w:r>
          </w:p>
          <w:p w:rsidR="0033229B" w:rsidRPr="005B0262" w:rsidRDefault="0033229B" w:rsidP="005B0262">
            <w:pPr>
              <w:pStyle w:val="Textpoznpodarou"/>
              <w:ind w:left="-77" w:right="-108"/>
              <w:rPr>
                <w:sz w:val="18"/>
                <w:szCs w:val="18"/>
                <w:lang w:eastAsia="en-US"/>
              </w:rPr>
            </w:pPr>
            <w:r w:rsidRPr="005B0262">
              <w:rPr>
                <w:sz w:val="18"/>
                <w:szCs w:val="18"/>
                <w:lang w:eastAsia="en-US"/>
              </w:rPr>
              <w:t>14</w:t>
            </w:r>
          </w:p>
        </w:tc>
        <w:tc>
          <w:tcPr>
            <w:tcW w:w="2029" w:type="pct"/>
            <w:gridSpan w:val="2"/>
          </w:tcPr>
          <w:p w:rsidR="0033229B" w:rsidRPr="005B0262" w:rsidRDefault="0033229B" w:rsidP="005B0262">
            <w:pPr>
              <w:pStyle w:val="Textpoznpodarou"/>
              <w:ind w:right="-108"/>
              <w:rPr>
                <w:sz w:val="18"/>
                <w:szCs w:val="18"/>
                <w:lang w:eastAsia="en-US"/>
              </w:rPr>
            </w:pPr>
            <w:r w:rsidRPr="005B0262">
              <w:rPr>
                <w:b/>
                <w:sz w:val="18"/>
                <w:szCs w:val="18"/>
                <w:lang w:eastAsia="en-US"/>
              </w:rPr>
              <w:t>Ceny výrobců</w:t>
            </w:r>
            <w:r w:rsidR="004F2A4D" w:rsidRPr="005B0262">
              <w:rPr>
                <w:sz w:val="18"/>
                <w:szCs w:val="18"/>
                <w:lang w:eastAsia="en-US"/>
              </w:rPr>
              <w:t xml:space="preserve"> (y/y v %, ceny zem</w:t>
            </w:r>
            <w:r w:rsidR="005B0262" w:rsidRPr="005B0262">
              <w:rPr>
                <w:sz w:val="18"/>
                <w:szCs w:val="18"/>
                <w:lang w:eastAsia="en-US"/>
              </w:rPr>
              <w:t>.</w:t>
            </w:r>
            <w:r w:rsidR="004F2A4D" w:rsidRPr="005B0262">
              <w:rPr>
                <w:sz w:val="18"/>
                <w:szCs w:val="18"/>
                <w:lang w:eastAsia="en-US"/>
              </w:rPr>
              <w:t xml:space="preserve"> </w:t>
            </w:r>
            <w:r w:rsidRPr="005B0262">
              <w:rPr>
                <w:sz w:val="18"/>
                <w:szCs w:val="18"/>
                <w:lang w:eastAsia="en-US"/>
              </w:rPr>
              <w:t>výrobců na pravé ose, ostatní na levé ose)</w:t>
            </w:r>
          </w:p>
        </w:tc>
      </w:tr>
      <w:tr w:rsidR="00A05B91" w:rsidRPr="00A74192" w:rsidTr="005B0262">
        <w:tblPrEx>
          <w:tblLook w:val="04A0"/>
        </w:tblPrEx>
        <w:tc>
          <w:tcPr>
            <w:tcW w:w="2464" w:type="pct"/>
            <w:gridSpan w:val="4"/>
          </w:tcPr>
          <w:p w:rsidR="0033229B" w:rsidRPr="00A74192" w:rsidRDefault="00505989" w:rsidP="00F06C6F">
            <w:pPr>
              <w:pStyle w:val="Textpoznpodarou"/>
              <w:ind w:left="-108"/>
              <w:jc w:val="both"/>
              <w:rPr>
                <w:lang w:eastAsia="en-US"/>
              </w:rPr>
            </w:pPr>
            <w:r>
              <w:rPr>
                <w:noProof/>
              </w:rPr>
              <w:drawing>
                <wp:inline distT="0" distB="0" distL="0" distR="0">
                  <wp:extent cx="3079750" cy="2294890"/>
                  <wp:effectExtent l="19050" t="0" r="6350" b="0"/>
                  <wp:docPr id="13" name="obrázek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rrowheads="1"/>
                          </pic:cNvPicPr>
                        </pic:nvPicPr>
                        <pic:blipFill>
                          <a:blip r:embed="rId25"/>
                          <a:srcRect/>
                          <a:stretch>
                            <a:fillRect/>
                          </a:stretch>
                        </pic:blipFill>
                        <pic:spPr bwMode="auto">
                          <a:xfrm>
                            <a:off x="0" y="0"/>
                            <a:ext cx="3079750" cy="2294890"/>
                          </a:xfrm>
                          <a:prstGeom prst="rect">
                            <a:avLst/>
                          </a:prstGeom>
                          <a:noFill/>
                          <a:ln w="9525">
                            <a:noFill/>
                            <a:miter lim="800000"/>
                            <a:headEnd/>
                            <a:tailEnd/>
                          </a:ln>
                        </pic:spPr>
                      </pic:pic>
                    </a:graphicData>
                  </a:graphic>
                </wp:inline>
              </w:drawing>
            </w:r>
          </w:p>
        </w:tc>
        <w:tc>
          <w:tcPr>
            <w:tcW w:w="2536" w:type="pct"/>
            <w:gridSpan w:val="3"/>
          </w:tcPr>
          <w:p w:rsidR="0033229B" w:rsidRPr="00A74192" w:rsidRDefault="00505989" w:rsidP="00F06C6F">
            <w:pPr>
              <w:pStyle w:val="Textpoznpodarou"/>
              <w:ind w:left="-77"/>
              <w:jc w:val="both"/>
              <w:rPr>
                <w:lang w:eastAsia="en-US"/>
              </w:rPr>
            </w:pPr>
            <w:r>
              <w:rPr>
                <w:noProof/>
              </w:rPr>
              <w:drawing>
                <wp:inline distT="0" distB="0" distL="0" distR="0">
                  <wp:extent cx="3079750" cy="2294890"/>
                  <wp:effectExtent l="19050" t="0" r="6350" b="0"/>
                  <wp:docPr id="14" name="obrázek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rrowheads="1"/>
                          </pic:cNvPicPr>
                        </pic:nvPicPr>
                        <pic:blipFill>
                          <a:blip r:embed="rId26"/>
                          <a:srcRect/>
                          <a:stretch>
                            <a:fillRect/>
                          </a:stretch>
                        </pic:blipFill>
                        <pic:spPr bwMode="auto">
                          <a:xfrm>
                            <a:off x="0" y="0"/>
                            <a:ext cx="3079750" cy="2294890"/>
                          </a:xfrm>
                          <a:prstGeom prst="rect">
                            <a:avLst/>
                          </a:prstGeom>
                          <a:noFill/>
                          <a:ln w="9525">
                            <a:noFill/>
                            <a:miter lim="800000"/>
                            <a:headEnd/>
                            <a:tailEnd/>
                          </a:ln>
                        </pic:spPr>
                      </pic:pic>
                    </a:graphicData>
                  </a:graphic>
                </wp:inline>
              </w:drawing>
            </w:r>
          </w:p>
        </w:tc>
      </w:tr>
      <w:tr w:rsidR="0033229B" w:rsidRPr="005B0262" w:rsidTr="005B0262">
        <w:tblPrEx>
          <w:tblLook w:val="04A0"/>
        </w:tblPrEx>
        <w:tc>
          <w:tcPr>
            <w:tcW w:w="5000" w:type="pct"/>
            <w:gridSpan w:val="7"/>
          </w:tcPr>
          <w:p w:rsidR="0033229B" w:rsidRPr="005B0262" w:rsidRDefault="0033229B" w:rsidP="00D94859">
            <w:pPr>
              <w:pStyle w:val="Textpoznpodarou"/>
              <w:jc w:val="right"/>
              <w:rPr>
                <w:sz w:val="18"/>
                <w:szCs w:val="18"/>
                <w:lang w:eastAsia="en-US"/>
              </w:rPr>
            </w:pPr>
            <w:r w:rsidRPr="005B0262">
              <w:rPr>
                <w:sz w:val="18"/>
                <w:szCs w:val="18"/>
                <w:lang w:eastAsia="en-US"/>
              </w:rPr>
              <w:t>Zdroj: ČSÚ</w:t>
            </w:r>
          </w:p>
        </w:tc>
      </w:tr>
    </w:tbl>
    <w:p w:rsidR="005752EB" w:rsidRDefault="005752EB" w:rsidP="005752EB">
      <w:pPr>
        <w:pStyle w:val="Nadpis1"/>
        <w:numPr>
          <w:ilvl w:val="0"/>
          <w:numId w:val="12"/>
        </w:numPr>
        <w:ind w:left="709"/>
      </w:pPr>
      <w:bookmarkStart w:id="14" w:name="_Toc454185153"/>
      <w:bookmarkStart w:id="15" w:name="_Toc469327803"/>
      <w:r w:rsidRPr="0051593C">
        <w:lastRenderedPageBreak/>
        <w:t>Trh práce</w:t>
      </w:r>
      <w:bookmarkEnd w:id="14"/>
      <w:bookmarkEnd w:id="15"/>
    </w:p>
    <w:tbl>
      <w:tblPr>
        <w:tblW w:w="4986" w:type="pct"/>
        <w:tblLayout w:type="fixed"/>
        <w:tblCellMar>
          <w:left w:w="28" w:type="dxa"/>
          <w:right w:w="28" w:type="dxa"/>
        </w:tblCellMar>
        <w:tblLook w:val="04A0"/>
      </w:tblPr>
      <w:tblGrid>
        <w:gridCol w:w="759"/>
        <w:gridCol w:w="1284"/>
        <w:gridCol w:w="275"/>
        <w:gridCol w:w="2531"/>
        <w:gridCol w:w="829"/>
        <w:gridCol w:w="3989"/>
      </w:tblGrid>
      <w:tr w:rsidR="005752EB" w:rsidTr="00B6553E">
        <w:tc>
          <w:tcPr>
            <w:tcW w:w="1057" w:type="pct"/>
            <w:gridSpan w:val="2"/>
          </w:tcPr>
          <w:p w:rsidR="005752EB" w:rsidRPr="00D45A25" w:rsidRDefault="005752EB" w:rsidP="003D4FB5">
            <w:pPr>
              <w:spacing w:line="240" w:lineRule="auto"/>
              <w:rPr>
                <w:rFonts w:cs="Arial"/>
                <w:bCs/>
                <w:iCs/>
                <w:color w:val="0D0D0D" w:themeColor="text1" w:themeTint="F2"/>
                <w:spacing w:val="-2"/>
                <w:sz w:val="16"/>
                <w:szCs w:val="16"/>
              </w:rPr>
            </w:pPr>
            <w:r w:rsidRPr="00D45A25">
              <w:rPr>
                <w:rFonts w:cs="Arial"/>
                <w:bCs/>
                <w:iCs/>
                <w:color w:val="0D0D0D" w:themeColor="text1" w:themeTint="F2"/>
                <w:spacing w:val="-2"/>
                <w:sz w:val="16"/>
                <w:szCs w:val="16"/>
              </w:rPr>
              <w:t xml:space="preserve">Počet pracovníků </w:t>
            </w:r>
            <w:r>
              <w:rPr>
                <w:rFonts w:cs="Arial"/>
                <w:bCs/>
                <w:iCs/>
                <w:color w:val="0D0D0D" w:themeColor="text1" w:themeTint="F2"/>
                <w:spacing w:val="-2"/>
                <w:sz w:val="16"/>
                <w:szCs w:val="16"/>
              </w:rPr>
              <w:t>byl nejvyšší od roku</w:t>
            </w:r>
            <w:r w:rsidRPr="00D45A25">
              <w:rPr>
                <w:rFonts w:cs="Arial"/>
                <w:bCs/>
                <w:iCs/>
                <w:color w:val="0D0D0D" w:themeColor="text1" w:themeTint="F2"/>
                <w:spacing w:val="-2"/>
                <w:sz w:val="16"/>
                <w:szCs w:val="16"/>
              </w:rPr>
              <w:t xml:space="preserve"> 1993, mezičtvrtletní přírůstky zaměstnanosti se letos ale tenčí</w:t>
            </w:r>
            <w:r w:rsidR="005D073B">
              <w:rPr>
                <w:rFonts w:cs="Arial"/>
                <w:bCs/>
                <w:iCs/>
                <w:color w:val="0D0D0D" w:themeColor="text1" w:themeTint="F2"/>
                <w:spacing w:val="-2"/>
                <w:sz w:val="16"/>
                <w:szCs w:val="16"/>
              </w:rPr>
              <w:t>.</w:t>
            </w:r>
          </w:p>
          <w:p w:rsidR="005752EB" w:rsidRDefault="005752EB" w:rsidP="003D4FB5">
            <w:pPr>
              <w:spacing w:line="240" w:lineRule="auto"/>
              <w:rPr>
                <w:rFonts w:cs="Arial"/>
                <w:bCs/>
                <w:iCs/>
                <w:color w:val="0D0D0D" w:themeColor="text1" w:themeTint="F2"/>
                <w:sz w:val="16"/>
                <w:szCs w:val="16"/>
              </w:rPr>
            </w:pPr>
          </w:p>
          <w:p w:rsidR="005752EB" w:rsidRPr="00D45A25" w:rsidRDefault="005752EB" w:rsidP="003D4FB5">
            <w:pPr>
              <w:spacing w:line="240" w:lineRule="auto"/>
              <w:rPr>
                <w:rFonts w:cs="Arial"/>
                <w:bCs/>
                <w:iCs/>
                <w:color w:val="0D0D0D" w:themeColor="text1" w:themeTint="F2"/>
                <w:spacing w:val="-4"/>
                <w:sz w:val="16"/>
                <w:szCs w:val="16"/>
              </w:rPr>
            </w:pPr>
            <w:r w:rsidRPr="00D45A25">
              <w:rPr>
                <w:rFonts w:cs="Arial"/>
                <w:bCs/>
                <w:iCs/>
                <w:color w:val="0D0D0D" w:themeColor="text1" w:themeTint="F2"/>
                <w:spacing w:val="-4"/>
                <w:sz w:val="16"/>
                <w:szCs w:val="16"/>
              </w:rPr>
              <w:t>Dosažená úroveň i meziroční růst míry zaměstnanosti v ČR patřil</w:t>
            </w:r>
            <w:r>
              <w:rPr>
                <w:rFonts w:cs="Arial"/>
                <w:bCs/>
                <w:iCs/>
                <w:color w:val="0D0D0D" w:themeColor="text1" w:themeTint="F2"/>
                <w:spacing w:val="-4"/>
                <w:sz w:val="16"/>
                <w:szCs w:val="16"/>
              </w:rPr>
              <w:t>y</w:t>
            </w:r>
            <w:r w:rsidRPr="00D45A25">
              <w:rPr>
                <w:rFonts w:cs="Arial"/>
                <w:bCs/>
                <w:iCs/>
                <w:color w:val="0D0D0D" w:themeColor="text1" w:themeTint="F2"/>
                <w:spacing w:val="-4"/>
                <w:sz w:val="16"/>
                <w:szCs w:val="16"/>
              </w:rPr>
              <w:t xml:space="preserve"> v rámci </w:t>
            </w:r>
            <w:r>
              <w:rPr>
                <w:rFonts w:cs="Arial"/>
                <w:bCs/>
                <w:iCs/>
                <w:color w:val="0D0D0D" w:themeColor="text1" w:themeTint="F2"/>
                <w:spacing w:val="-4"/>
                <w:sz w:val="16"/>
                <w:szCs w:val="16"/>
              </w:rPr>
              <w:t>států Unie k</w:t>
            </w:r>
            <w:r w:rsidR="005D073B">
              <w:rPr>
                <w:rFonts w:cs="Arial"/>
                <w:bCs/>
                <w:iCs/>
                <w:color w:val="0D0D0D" w:themeColor="text1" w:themeTint="F2"/>
                <w:spacing w:val="-4"/>
                <w:sz w:val="16"/>
                <w:szCs w:val="16"/>
              </w:rPr>
              <w:t> </w:t>
            </w:r>
            <w:r w:rsidRPr="00D45A25">
              <w:rPr>
                <w:rFonts w:cs="Arial"/>
                <w:bCs/>
                <w:iCs/>
                <w:color w:val="0D0D0D" w:themeColor="text1" w:themeTint="F2"/>
                <w:spacing w:val="-4"/>
                <w:sz w:val="16"/>
                <w:szCs w:val="16"/>
              </w:rPr>
              <w:t>nejvyšším</w:t>
            </w:r>
            <w:r w:rsidR="005D073B">
              <w:rPr>
                <w:rFonts w:cs="Arial"/>
                <w:bCs/>
                <w:iCs/>
                <w:color w:val="0D0D0D" w:themeColor="text1" w:themeTint="F2"/>
                <w:spacing w:val="-4"/>
                <w:sz w:val="16"/>
                <w:szCs w:val="16"/>
              </w:rPr>
              <w:t>.</w:t>
            </w:r>
          </w:p>
          <w:p w:rsidR="005752EB" w:rsidRPr="00B041BD" w:rsidRDefault="005752EB" w:rsidP="003D4FB5">
            <w:pPr>
              <w:spacing w:line="240" w:lineRule="auto"/>
              <w:rPr>
                <w:rFonts w:cs="Arial"/>
                <w:bCs/>
                <w:iCs/>
                <w:color w:val="0D0D0D" w:themeColor="text1" w:themeTint="F2"/>
                <w:sz w:val="16"/>
                <w:szCs w:val="16"/>
              </w:rPr>
            </w:pPr>
            <w:r w:rsidRPr="00B041BD">
              <w:rPr>
                <w:rFonts w:cs="Arial"/>
                <w:bCs/>
                <w:iCs/>
                <w:color w:val="0D0D0D" w:themeColor="text1" w:themeTint="F2"/>
                <w:sz w:val="16"/>
                <w:szCs w:val="16"/>
              </w:rPr>
              <w:t xml:space="preserve"> </w:t>
            </w:r>
          </w:p>
        </w:tc>
        <w:tc>
          <w:tcPr>
            <w:tcW w:w="142" w:type="pct"/>
          </w:tcPr>
          <w:p w:rsidR="005752EB" w:rsidRPr="00B041BD" w:rsidRDefault="005752EB" w:rsidP="003D4FB5">
            <w:pPr>
              <w:pStyle w:val="Textpoznpodarou"/>
              <w:jc w:val="both"/>
              <w:rPr>
                <w:color w:val="0D0D0D" w:themeColor="text1" w:themeTint="F2"/>
              </w:rPr>
            </w:pPr>
          </w:p>
        </w:tc>
        <w:tc>
          <w:tcPr>
            <w:tcW w:w="3801" w:type="pct"/>
            <w:gridSpan w:val="3"/>
          </w:tcPr>
          <w:p w:rsidR="005752EB" w:rsidRPr="00B041BD" w:rsidRDefault="00E53C14" w:rsidP="003D4FB5">
            <w:pPr>
              <w:pStyle w:val="Textpoznpodarou"/>
              <w:jc w:val="both"/>
              <w:rPr>
                <w:rFonts w:cs="Arial"/>
                <w:color w:val="0D0D0D" w:themeColor="text1" w:themeTint="F2"/>
              </w:rPr>
            </w:pPr>
            <w:r>
              <w:rPr>
                <w:rFonts w:cs="Arial"/>
                <w:color w:val="0D0D0D" w:themeColor="text1" w:themeTint="F2"/>
              </w:rPr>
              <w:t xml:space="preserve">Na trhu práce nadále převažovaly výrazně pozitivní tendence. </w:t>
            </w:r>
            <w:r w:rsidR="005752EB">
              <w:rPr>
                <w:rFonts w:cs="Arial"/>
                <w:color w:val="0D0D0D" w:themeColor="text1" w:themeTint="F2"/>
              </w:rPr>
              <w:t xml:space="preserve">Svižně rostoucí ekonomika generovala nové pracovní příležitosti. Mezičtvrtletní </w:t>
            </w:r>
            <w:r w:rsidR="005752EB">
              <w:rPr>
                <w:spacing w:val="-4"/>
              </w:rPr>
              <w:t xml:space="preserve">tempo růstu </w:t>
            </w:r>
            <w:r w:rsidR="005752EB">
              <w:rPr>
                <w:rFonts w:cs="Arial"/>
                <w:color w:val="0D0D0D" w:themeColor="text1" w:themeTint="F2"/>
                <w:spacing w:val="-4"/>
              </w:rPr>
              <w:t>zaměstnanosti</w:t>
            </w:r>
            <w:r w:rsidR="005752EB">
              <w:rPr>
                <w:rStyle w:val="Znakapoznpodarou"/>
                <w:color w:val="0D0D0D" w:themeColor="text1" w:themeTint="F2"/>
                <w:spacing w:val="-4"/>
              </w:rPr>
              <w:footnoteReference w:id="27"/>
            </w:r>
            <w:r w:rsidR="005752EB">
              <w:rPr>
                <w:rFonts w:cs="Arial"/>
                <w:color w:val="0D0D0D" w:themeColor="text1" w:themeTint="F2"/>
                <w:spacing w:val="-4"/>
              </w:rPr>
              <w:t xml:space="preserve"> v prvních třech měsících roku akcelerovalo na 1,2 %, (nejvyšší růst od počátku roku 2008). V následujících čtvrtletích již sláblo a ve 3. čtvrtletí zaměstnanost stagnovala. V meziročním vyjádření však silný růst přetrvával, práci mělo nejvíce lidí v historii samostatné </w:t>
            </w:r>
            <w:r w:rsidR="005752EB" w:rsidRPr="00EF1787">
              <w:rPr>
                <w:rFonts w:cs="Arial"/>
                <w:color w:val="0D0D0D" w:themeColor="text1" w:themeTint="F2"/>
                <w:spacing w:val="-4"/>
              </w:rPr>
              <w:t>ČR (5,27 mil.). To se promítalo i do vysoké míry</w:t>
            </w:r>
            <w:r w:rsidR="00EC4941">
              <w:rPr>
                <w:rFonts w:cs="Arial"/>
                <w:color w:val="0D0D0D" w:themeColor="text1" w:themeTint="F2"/>
                <w:spacing w:val="-4"/>
              </w:rPr>
              <w:t xml:space="preserve"> zaměstnanosti (osob ve věku 15</w:t>
            </w:r>
            <w:r w:rsidR="005D073B" w:rsidRPr="008B5159">
              <w:rPr>
                <w:rFonts w:cs="Arial"/>
                <w:color w:val="0D0D0D" w:themeColor="text1" w:themeTint="F2"/>
                <w:spacing w:val="-4"/>
              </w:rPr>
              <w:t>–</w:t>
            </w:r>
            <w:r w:rsidR="005752EB" w:rsidRPr="00EF1787">
              <w:rPr>
                <w:rFonts w:cs="Arial"/>
                <w:color w:val="0D0D0D" w:themeColor="text1" w:themeTint="F2"/>
                <w:spacing w:val="-4"/>
              </w:rPr>
              <w:t xml:space="preserve">64 let). Ta </w:t>
            </w:r>
            <w:r w:rsidR="00EC4941">
              <w:rPr>
                <w:rFonts w:cs="Arial"/>
                <w:color w:val="0D0D0D" w:themeColor="text1" w:themeTint="F2"/>
                <w:spacing w:val="-4"/>
              </w:rPr>
              <w:t>v září 2016</w:t>
            </w:r>
            <w:r w:rsidR="00EC4941" w:rsidRPr="00EC4941">
              <w:rPr>
                <w:rFonts w:cs="Arial"/>
                <w:color w:val="0D0D0D" w:themeColor="text1" w:themeTint="F2"/>
                <w:spacing w:val="-4"/>
              </w:rPr>
              <w:t xml:space="preserve"> dosáhla</w:t>
            </w:r>
            <w:r w:rsidR="00EC4941">
              <w:rPr>
                <w:rFonts w:cs="Arial"/>
                <w:color w:val="0D0D0D" w:themeColor="text1" w:themeTint="F2"/>
                <w:spacing w:val="-4"/>
              </w:rPr>
              <w:t xml:space="preserve"> již 72,2</w:t>
            </w:r>
            <w:r w:rsidR="005752EB" w:rsidRPr="00EF1787">
              <w:rPr>
                <w:rFonts w:cs="Arial"/>
                <w:color w:val="0D0D0D" w:themeColor="text1" w:themeTint="F2"/>
                <w:spacing w:val="-4"/>
              </w:rPr>
              <w:t xml:space="preserve"> % (u mužů mezi stát</w:t>
            </w:r>
            <w:r w:rsidR="00EC4941">
              <w:rPr>
                <w:rFonts w:cs="Arial"/>
                <w:color w:val="0D0D0D" w:themeColor="text1" w:themeTint="F2"/>
                <w:spacing w:val="-4"/>
              </w:rPr>
              <w:t>y EU dokonce rekordních 79,6</w:t>
            </w:r>
            <w:r w:rsidR="005752EB">
              <w:rPr>
                <w:rFonts w:cs="Arial"/>
                <w:color w:val="0D0D0D" w:themeColor="text1" w:themeTint="F2"/>
                <w:spacing w:val="-4"/>
              </w:rPr>
              <w:t xml:space="preserve"> %) a</w:t>
            </w:r>
            <w:r w:rsidR="00EC4941">
              <w:rPr>
                <w:rFonts w:cs="Arial"/>
                <w:color w:val="0D0D0D" w:themeColor="text1" w:themeTint="F2"/>
                <w:spacing w:val="-4"/>
              </w:rPr>
              <w:t xml:space="preserve"> meziročně stoupla o 1,8</w:t>
            </w:r>
            <w:r w:rsidR="005752EB" w:rsidRPr="00EF1787">
              <w:rPr>
                <w:rFonts w:cs="Arial"/>
                <w:color w:val="0D0D0D" w:themeColor="text1" w:themeTint="F2"/>
                <w:spacing w:val="-4"/>
              </w:rPr>
              <w:t xml:space="preserve"> p.b. </w:t>
            </w:r>
          </w:p>
          <w:p w:rsidR="005752EB" w:rsidRPr="002D5C3D" w:rsidRDefault="005752EB" w:rsidP="003D4FB5">
            <w:pPr>
              <w:pStyle w:val="Textpoznpodarou"/>
              <w:jc w:val="both"/>
              <w:rPr>
                <w:rFonts w:cs="Arial"/>
                <w:color w:val="0D0D0D" w:themeColor="text1" w:themeTint="F2"/>
                <w:sz w:val="13"/>
                <w:szCs w:val="13"/>
              </w:rPr>
            </w:pPr>
          </w:p>
        </w:tc>
      </w:tr>
      <w:tr w:rsidR="005752EB" w:rsidTr="00B6553E">
        <w:tc>
          <w:tcPr>
            <w:tcW w:w="1057" w:type="pct"/>
            <w:gridSpan w:val="2"/>
          </w:tcPr>
          <w:p w:rsidR="005752EB" w:rsidRPr="00E33606" w:rsidRDefault="005752EB" w:rsidP="003D4FB5">
            <w:pPr>
              <w:spacing w:line="240" w:lineRule="auto"/>
              <w:rPr>
                <w:rFonts w:cs="Arial"/>
                <w:bCs/>
                <w:iCs/>
                <w:color w:val="0D0D0D" w:themeColor="text1" w:themeTint="F2"/>
                <w:spacing w:val="-2"/>
                <w:sz w:val="16"/>
                <w:szCs w:val="16"/>
              </w:rPr>
            </w:pPr>
            <w:r>
              <w:rPr>
                <w:rFonts w:cs="Arial"/>
                <w:bCs/>
                <w:iCs/>
                <w:color w:val="0D0D0D" w:themeColor="text1" w:themeTint="F2"/>
                <w:spacing w:val="-2"/>
                <w:sz w:val="16"/>
                <w:szCs w:val="16"/>
              </w:rPr>
              <w:t>V</w:t>
            </w:r>
            <w:r w:rsidRPr="00E33606">
              <w:rPr>
                <w:rFonts w:cs="Arial"/>
                <w:bCs/>
                <w:iCs/>
                <w:color w:val="0D0D0D" w:themeColor="text1" w:themeTint="F2"/>
                <w:spacing w:val="-2"/>
                <w:sz w:val="16"/>
                <w:szCs w:val="16"/>
              </w:rPr>
              <w:t>yšší zaměstnanost táhne již tři roky především zpracovatelský průmysl</w:t>
            </w:r>
            <w:r>
              <w:rPr>
                <w:rFonts w:cs="Arial"/>
                <w:bCs/>
                <w:iCs/>
                <w:color w:val="0D0D0D" w:themeColor="text1" w:themeTint="F2"/>
                <w:spacing w:val="-2"/>
                <w:sz w:val="16"/>
                <w:szCs w:val="16"/>
              </w:rPr>
              <w:t>, jeho role však letos slábne ve prospěch služeb</w:t>
            </w:r>
            <w:r w:rsidR="005D073B">
              <w:rPr>
                <w:rFonts w:cs="Arial"/>
                <w:bCs/>
                <w:iCs/>
                <w:color w:val="0D0D0D" w:themeColor="text1" w:themeTint="F2"/>
                <w:spacing w:val="-2"/>
                <w:sz w:val="16"/>
                <w:szCs w:val="16"/>
              </w:rPr>
              <w:t>.</w:t>
            </w:r>
          </w:p>
          <w:p w:rsidR="005752EB" w:rsidRPr="00E33606" w:rsidRDefault="005752EB" w:rsidP="003D4FB5">
            <w:pPr>
              <w:spacing w:line="240" w:lineRule="auto"/>
              <w:rPr>
                <w:rFonts w:cs="Arial"/>
                <w:bCs/>
                <w:iCs/>
                <w:color w:val="0D0D0D" w:themeColor="text1" w:themeTint="F2"/>
                <w:spacing w:val="-2"/>
                <w:sz w:val="16"/>
                <w:szCs w:val="16"/>
              </w:rPr>
            </w:pPr>
          </w:p>
          <w:p w:rsidR="005752EB" w:rsidRPr="00E33606" w:rsidRDefault="005752EB" w:rsidP="003D4FB5">
            <w:pPr>
              <w:spacing w:line="240" w:lineRule="auto"/>
              <w:rPr>
                <w:rFonts w:cs="Arial"/>
                <w:bCs/>
                <w:iCs/>
                <w:color w:val="0D0D0D" w:themeColor="text1" w:themeTint="F2"/>
                <w:spacing w:val="-2"/>
                <w:sz w:val="16"/>
                <w:szCs w:val="16"/>
              </w:rPr>
            </w:pPr>
          </w:p>
          <w:p w:rsidR="005752EB" w:rsidRPr="00B041BD" w:rsidRDefault="005752EB" w:rsidP="003D4FB5">
            <w:pPr>
              <w:spacing w:line="240" w:lineRule="auto"/>
              <w:rPr>
                <w:rFonts w:cs="Arial"/>
                <w:bCs/>
                <w:iCs/>
                <w:color w:val="0D0D0D" w:themeColor="text1" w:themeTint="F2"/>
                <w:sz w:val="16"/>
                <w:szCs w:val="16"/>
              </w:rPr>
            </w:pPr>
            <w:r w:rsidRPr="00E33606">
              <w:rPr>
                <w:rFonts w:cs="Arial"/>
                <w:bCs/>
                <w:iCs/>
                <w:color w:val="0D0D0D" w:themeColor="text1" w:themeTint="F2"/>
                <w:spacing w:val="-2"/>
                <w:sz w:val="16"/>
                <w:szCs w:val="16"/>
              </w:rPr>
              <w:t xml:space="preserve">Ve službách se projevil výraznější růst v profesních, vědeckých, technických </w:t>
            </w:r>
            <w:r>
              <w:rPr>
                <w:rFonts w:cs="Arial"/>
                <w:bCs/>
                <w:iCs/>
                <w:color w:val="0D0D0D" w:themeColor="text1" w:themeTint="F2"/>
                <w:spacing w:val="-2"/>
                <w:sz w:val="16"/>
                <w:szCs w:val="16"/>
              </w:rPr>
              <w:t>a</w:t>
            </w:r>
            <w:r w:rsidRPr="00E33606">
              <w:rPr>
                <w:rFonts w:cs="Arial"/>
                <w:bCs/>
                <w:iCs/>
                <w:color w:val="0D0D0D" w:themeColor="text1" w:themeTint="F2"/>
                <w:spacing w:val="-2"/>
                <w:sz w:val="16"/>
                <w:szCs w:val="16"/>
              </w:rPr>
              <w:t xml:space="preserve"> administrativních činnostech, dařilo se </w:t>
            </w:r>
            <w:r>
              <w:rPr>
                <w:rFonts w:cs="Arial"/>
                <w:bCs/>
                <w:iCs/>
                <w:color w:val="0D0D0D" w:themeColor="text1" w:themeTint="F2"/>
                <w:spacing w:val="-2"/>
                <w:sz w:val="16"/>
                <w:szCs w:val="16"/>
              </w:rPr>
              <w:t>také</w:t>
            </w:r>
            <w:r w:rsidRPr="00E33606">
              <w:rPr>
                <w:rFonts w:cs="Arial"/>
                <w:bCs/>
                <w:iCs/>
                <w:color w:val="0D0D0D" w:themeColor="text1" w:themeTint="F2"/>
                <w:spacing w:val="-2"/>
                <w:sz w:val="16"/>
                <w:szCs w:val="16"/>
              </w:rPr>
              <w:t xml:space="preserve"> dlouhodoběji </w:t>
            </w:r>
            <w:r>
              <w:rPr>
                <w:rFonts w:cs="Arial"/>
                <w:bCs/>
                <w:iCs/>
                <w:color w:val="0D0D0D" w:themeColor="text1" w:themeTint="F2"/>
                <w:spacing w:val="-2"/>
                <w:sz w:val="16"/>
                <w:szCs w:val="16"/>
              </w:rPr>
              <w:t>dynamickým</w:t>
            </w:r>
            <w:r w:rsidRPr="00E33606">
              <w:rPr>
                <w:rFonts w:cs="Arial"/>
                <w:bCs/>
                <w:iCs/>
                <w:color w:val="0D0D0D" w:themeColor="text1" w:themeTint="F2"/>
                <w:spacing w:val="-2"/>
                <w:sz w:val="16"/>
                <w:szCs w:val="16"/>
              </w:rPr>
              <w:t xml:space="preserve"> info</w:t>
            </w:r>
            <w:r>
              <w:rPr>
                <w:rFonts w:cs="Arial"/>
                <w:bCs/>
                <w:iCs/>
                <w:color w:val="0D0D0D" w:themeColor="text1" w:themeTint="F2"/>
                <w:spacing w:val="-2"/>
                <w:sz w:val="16"/>
                <w:szCs w:val="16"/>
              </w:rPr>
              <w:t>rmačním</w:t>
            </w:r>
            <w:r w:rsidRPr="00E33606">
              <w:rPr>
                <w:rFonts w:cs="Arial"/>
                <w:bCs/>
                <w:iCs/>
                <w:color w:val="0D0D0D" w:themeColor="text1" w:themeTint="F2"/>
                <w:spacing w:val="-2"/>
                <w:sz w:val="16"/>
                <w:szCs w:val="16"/>
              </w:rPr>
              <w:t xml:space="preserve"> </w:t>
            </w:r>
            <w:r>
              <w:rPr>
                <w:rFonts w:cs="Arial"/>
                <w:bCs/>
                <w:iCs/>
                <w:color w:val="0D0D0D" w:themeColor="text1" w:themeTint="F2"/>
                <w:spacing w:val="-2"/>
                <w:sz w:val="16"/>
                <w:szCs w:val="16"/>
              </w:rPr>
              <w:t>i komunikačním</w:t>
            </w:r>
            <w:r w:rsidRPr="00E33606">
              <w:rPr>
                <w:rFonts w:cs="Arial"/>
                <w:bCs/>
                <w:iCs/>
                <w:color w:val="0D0D0D" w:themeColor="text1" w:themeTint="F2"/>
                <w:spacing w:val="-2"/>
                <w:sz w:val="16"/>
                <w:szCs w:val="16"/>
              </w:rPr>
              <w:t xml:space="preserve"> činnostem</w:t>
            </w:r>
            <w:r w:rsidR="005D073B">
              <w:rPr>
                <w:rFonts w:cs="Arial"/>
                <w:bCs/>
                <w:iCs/>
                <w:color w:val="0D0D0D" w:themeColor="text1" w:themeTint="F2"/>
                <w:spacing w:val="-2"/>
                <w:sz w:val="16"/>
                <w:szCs w:val="16"/>
              </w:rPr>
              <w:t>.</w:t>
            </w:r>
          </w:p>
        </w:tc>
        <w:tc>
          <w:tcPr>
            <w:tcW w:w="142" w:type="pct"/>
          </w:tcPr>
          <w:p w:rsidR="005752EB" w:rsidRPr="00B041BD" w:rsidRDefault="005752EB" w:rsidP="003D4FB5">
            <w:pPr>
              <w:pStyle w:val="Textpoznpodarou"/>
              <w:jc w:val="both"/>
              <w:rPr>
                <w:color w:val="0D0D0D" w:themeColor="text1" w:themeTint="F2"/>
              </w:rPr>
            </w:pPr>
          </w:p>
        </w:tc>
        <w:tc>
          <w:tcPr>
            <w:tcW w:w="3801" w:type="pct"/>
            <w:gridSpan w:val="3"/>
          </w:tcPr>
          <w:p w:rsidR="005752EB" w:rsidRPr="008B5159" w:rsidRDefault="005752EB" w:rsidP="003D4FB5">
            <w:pPr>
              <w:pStyle w:val="Textpoznpodarou"/>
              <w:jc w:val="both"/>
              <w:rPr>
                <w:rFonts w:cs="Arial"/>
                <w:color w:val="0D0D0D" w:themeColor="text1" w:themeTint="F2"/>
                <w:spacing w:val="-4"/>
              </w:rPr>
            </w:pPr>
            <w:r w:rsidRPr="008B5159">
              <w:rPr>
                <w:rFonts w:cs="Arial"/>
                <w:color w:val="0D0D0D" w:themeColor="text1" w:themeTint="F2"/>
                <w:spacing w:val="-4"/>
              </w:rPr>
              <w:t xml:space="preserve">O vyšší zaměstnanost se rozhodující měrou zasloužil dynamicky rostoucí zpracovatelský průmysl, jenž se letos na celkovém meziročním růstu všech odvětví podílel téměř z poloviny. Ostatní odvětví sekundárního sektoru pracovní místa naopak nadále ztrácela (především vlivem stavebnictví). Ve službách, na rozdíl od předchozích let, se zaměstnanost navyšovala celoplošně, dynamika v jednotlivých odvětvích ale značně kolísala. Obdobně jako loni se dařilo váhově nejvýznamnějšímu seskupení odvětví – </w:t>
            </w:r>
            <w:r w:rsidRPr="008B5159">
              <w:rPr>
                <w:spacing w:val="-4"/>
              </w:rPr>
              <w:t>obchod, doprava, ubytování a</w:t>
            </w:r>
            <w:r w:rsidRPr="008B5159">
              <w:rPr>
                <w:rFonts w:cs="Arial"/>
                <w:color w:val="0D0D0D" w:themeColor="text1" w:themeTint="F2"/>
                <w:spacing w:val="-4"/>
              </w:rPr>
              <w:t> </w:t>
            </w:r>
            <w:r w:rsidRPr="008B5159">
              <w:rPr>
                <w:spacing w:val="-4"/>
              </w:rPr>
              <w:t>pohostinství, kde našlo uplatnění meziročně o 19 tis. osob více. Zaměstnanost zrychlovala v </w:t>
            </w:r>
            <w:r w:rsidRPr="008B5159">
              <w:rPr>
                <w:color w:val="0D0D0D" w:themeColor="text1" w:themeTint="F2"/>
                <w:spacing w:val="-4"/>
              </w:rPr>
              <w:t>profesních, vědeckých, technických a</w:t>
            </w:r>
            <w:r w:rsidRPr="008B5159">
              <w:rPr>
                <w:rFonts w:cs="Arial"/>
                <w:color w:val="0D0D0D" w:themeColor="text1" w:themeTint="F2"/>
                <w:spacing w:val="-4"/>
              </w:rPr>
              <w:t> </w:t>
            </w:r>
            <w:r w:rsidRPr="008B5159">
              <w:rPr>
                <w:color w:val="0D0D0D" w:themeColor="text1" w:themeTint="F2"/>
                <w:spacing w:val="-4"/>
              </w:rPr>
              <w:t>administrativních činnostech (na 4,4 %). Dařilo se i informačním a</w:t>
            </w:r>
            <w:r w:rsidR="005D073B" w:rsidRPr="008B5159">
              <w:rPr>
                <w:spacing w:val="-4"/>
              </w:rPr>
              <w:t> </w:t>
            </w:r>
            <w:r w:rsidRPr="008B5159">
              <w:rPr>
                <w:color w:val="0D0D0D" w:themeColor="text1" w:themeTint="F2"/>
                <w:spacing w:val="-4"/>
              </w:rPr>
              <w:t>komunikačním činnostem, u nichž celková zaměstnanost od konce recese (3.</w:t>
            </w:r>
            <w:r w:rsidRPr="008B5159">
              <w:rPr>
                <w:rFonts w:cs="Arial"/>
                <w:color w:val="0D0D0D" w:themeColor="text1" w:themeTint="F2"/>
                <w:spacing w:val="-4"/>
              </w:rPr>
              <w:t> </w:t>
            </w:r>
            <w:r w:rsidRPr="008B5159">
              <w:rPr>
                <w:color w:val="0D0D0D" w:themeColor="text1" w:themeTint="F2"/>
                <w:spacing w:val="-4"/>
              </w:rPr>
              <w:t xml:space="preserve">čtvrtletí 2013) posílila nejvíce. Nejnižším tempem za poslední čtyři roky se naopak navýšily stavy pracovníků </w:t>
            </w:r>
            <w:r w:rsidRPr="008B5159">
              <w:rPr>
                <w:spacing w:val="-4"/>
              </w:rPr>
              <w:t>v uskupení odvětví veřejná správa, obrana, vzdělávání, zdravotní a</w:t>
            </w:r>
            <w:r w:rsidRPr="008B5159">
              <w:rPr>
                <w:rFonts w:cs="Arial"/>
                <w:color w:val="0D0D0D" w:themeColor="text1" w:themeTint="F2"/>
                <w:spacing w:val="-4"/>
              </w:rPr>
              <w:t> </w:t>
            </w:r>
            <w:r w:rsidRPr="008B5159">
              <w:rPr>
                <w:spacing w:val="-4"/>
              </w:rPr>
              <w:t>sociální péče. Projevila se zde stagnace zaměstnanosti ve vzdělávání.</w:t>
            </w:r>
          </w:p>
          <w:p w:rsidR="005752EB" w:rsidRPr="002D5C3D" w:rsidRDefault="005752EB" w:rsidP="003D4FB5">
            <w:pPr>
              <w:pStyle w:val="Textpoznpodarou"/>
              <w:jc w:val="both"/>
              <w:rPr>
                <w:rFonts w:cs="Arial"/>
                <w:color w:val="0D0D0D" w:themeColor="text1" w:themeTint="F2"/>
                <w:sz w:val="13"/>
                <w:szCs w:val="13"/>
              </w:rPr>
            </w:pPr>
          </w:p>
        </w:tc>
      </w:tr>
      <w:tr w:rsidR="005752EB" w:rsidTr="00B6553E">
        <w:tc>
          <w:tcPr>
            <w:tcW w:w="1057" w:type="pct"/>
            <w:gridSpan w:val="2"/>
          </w:tcPr>
          <w:p w:rsidR="005752EB" w:rsidRPr="00B041BD" w:rsidRDefault="005752EB" w:rsidP="003D4FB5">
            <w:pPr>
              <w:spacing w:line="240" w:lineRule="auto"/>
              <w:rPr>
                <w:rFonts w:cs="Arial"/>
                <w:bCs/>
                <w:iCs/>
                <w:color w:val="0D0D0D" w:themeColor="text1" w:themeTint="F2"/>
                <w:sz w:val="16"/>
                <w:szCs w:val="16"/>
              </w:rPr>
            </w:pPr>
            <w:r>
              <w:rPr>
                <w:rFonts w:cs="Arial"/>
                <w:bCs/>
                <w:iCs/>
                <w:color w:val="0D0D0D" w:themeColor="text1" w:themeTint="F2"/>
                <w:sz w:val="16"/>
                <w:szCs w:val="16"/>
              </w:rPr>
              <w:t>Zvyšovaly se hlavně počty zaměstnanců, podnikatelé bez zaměstnanců svůj loňský propad zastavili, avšak zaměstnavatelů bylo letos nejméně od roku 1993</w:t>
            </w:r>
            <w:r w:rsidR="005D073B">
              <w:rPr>
                <w:rFonts w:cs="Arial"/>
                <w:bCs/>
                <w:iCs/>
                <w:color w:val="0D0D0D" w:themeColor="text1" w:themeTint="F2"/>
                <w:sz w:val="16"/>
                <w:szCs w:val="16"/>
              </w:rPr>
              <w:t>.</w:t>
            </w:r>
          </w:p>
        </w:tc>
        <w:tc>
          <w:tcPr>
            <w:tcW w:w="142" w:type="pct"/>
          </w:tcPr>
          <w:p w:rsidR="005752EB" w:rsidRPr="00B041BD" w:rsidRDefault="005752EB" w:rsidP="003D4FB5">
            <w:pPr>
              <w:pStyle w:val="Textpoznpodarou"/>
              <w:jc w:val="both"/>
              <w:rPr>
                <w:color w:val="0D0D0D" w:themeColor="text1" w:themeTint="F2"/>
              </w:rPr>
            </w:pPr>
          </w:p>
        </w:tc>
        <w:tc>
          <w:tcPr>
            <w:tcW w:w="3801" w:type="pct"/>
            <w:gridSpan w:val="3"/>
          </w:tcPr>
          <w:p w:rsidR="005752EB" w:rsidRPr="002D3157" w:rsidRDefault="005752EB" w:rsidP="003D4FB5">
            <w:pPr>
              <w:pStyle w:val="Textpoznpodarou"/>
              <w:jc w:val="both"/>
              <w:rPr>
                <w:rFonts w:cs="Arial"/>
                <w:color w:val="0D0D0D" w:themeColor="text1" w:themeTint="F2"/>
                <w:spacing w:val="-2"/>
              </w:rPr>
            </w:pPr>
            <w:r w:rsidRPr="002D3157">
              <w:rPr>
                <w:rFonts w:cs="Arial"/>
                <w:color w:val="0D0D0D" w:themeColor="text1" w:themeTint="F2"/>
                <w:spacing w:val="-2"/>
              </w:rPr>
              <w:t xml:space="preserve">Proměnilo se i složení osob dle postavení v zaměstnání. Počet zaměstnanců se meziročně zvyšuje dynamičtěji než stavy sebezaměstnaných již od poloviny roku 2012. Souvisí to především s příznivým vývojem průmyslu, kde se tradičně uplatňují především osoby v zaměstnaneckém postavení. Z podrobnějších údajů VŠPS plyne, </w:t>
            </w:r>
            <w:r w:rsidR="005D073B">
              <w:rPr>
                <w:rFonts w:cs="Arial"/>
                <w:color w:val="0D0D0D" w:themeColor="text1" w:themeTint="F2"/>
                <w:spacing w:val="-2"/>
              </w:rPr>
              <w:t xml:space="preserve">že počty zaměstnavatelů se v 1. až </w:t>
            </w:r>
            <w:r w:rsidRPr="002D3157">
              <w:rPr>
                <w:rFonts w:cs="Arial"/>
                <w:color w:val="0D0D0D" w:themeColor="text1" w:themeTint="F2"/>
                <w:spacing w:val="-2"/>
              </w:rPr>
              <w:t xml:space="preserve">3. čtvrtletí citelně snížily (o desetinu). Podnikatelů bez zaměstnanců naopak mírně přibylo, primárně vlivem nízké loňské základny. Proti roku 2014 byly letošní počty drobných podnikatelů vyšší. </w:t>
            </w:r>
          </w:p>
          <w:p w:rsidR="005752EB" w:rsidRPr="002D5C3D" w:rsidRDefault="005752EB" w:rsidP="003D4FB5">
            <w:pPr>
              <w:pStyle w:val="Textpoznpodarou"/>
              <w:jc w:val="both"/>
              <w:rPr>
                <w:rFonts w:cs="Arial"/>
                <w:color w:val="0D0D0D" w:themeColor="text1" w:themeTint="F2"/>
                <w:sz w:val="13"/>
                <w:szCs w:val="13"/>
              </w:rPr>
            </w:pPr>
          </w:p>
        </w:tc>
      </w:tr>
      <w:tr w:rsidR="005752EB" w:rsidRPr="003A21DC" w:rsidTr="00B6553E">
        <w:tc>
          <w:tcPr>
            <w:tcW w:w="1057" w:type="pct"/>
            <w:gridSpan w:val="2"/>
          </w:tcPr>
          <w:p w:rsidR="005752EB" w:rsidRPr="00E23B96" w:rsidRDefault="005752EB" w:rsidP="003D4FB5">
            <w:pPr>
              <w:spacing w:line="240" w:lineRule="auto"/>
              <w:rPr>
                <w:rFonts w:cs="Arial"/>
                <w:bCs/>
                <w:iCs/>
                <w:color w:val="0D0D0D" w:themeColor="text1" w:themeTint="F2"/>
                <w:spacing w:val="-4"/>
                <w:sz w:val="16"/>
                <w:szCs w:val="16"/>
              </w:rPr>
            </w:pPr>
            <w:r>
              <w:rPr>
                <w:rFonts w:cs="Arial"/>
                <w:bCs/>
                <w:iCs/>
                <w:color w:val="0D0D0D" w:themeColor="text1" w:themeTint="F2"/>
                <w:spacing w:val="-4"/>
                <w:sz w:val="16"/>
                <w:szCs w:val="16"/>
              </w:rPr>
              <w:t>Růst produktivity práce se po dvou letech zastavil</w:t>
            </w:r>
            <w:r w:rsidR="005D073B">
              <w:rPr>
                <w:rFonts w:cs="Arial"/>
                <w:bCs/>
                <w:iCs/>
                <w:color w:val="0D0D0D" w:themeColor="text1" w:themeTint="F2"/>
                <w:spacing w:val="-4"/>
                <w:sz w:val="16"/>
                <w:szCs w:val="16"/>
              </w:rPr>
              <w:t>.</w:t>
            </w:r>
          </w:p>
        </w:tc>
        <w:tc>
          <w:tcPr>
            <w:tcW w:w="142" w:type="pct"/>
          </w:tcPr>
          <w:p w:rsidR="005752EB" w:rsidRPr="009720D9" w:rsidRDefault="005752EB" w:rsidP="003D4FB5">
            <w:pPr>
              <w:pStyle w:val="Textpoznpodarou"/>
              <w:jc w:val="both"/>
              <w:rPr>
                <w:color w:val="0D0D0D" w:themeColor="text1" w:themeTint="F2"/>
              </w:rPr>
            </w:pPr>
          </w:p>
        </w:tc>
        <w:tc>
          <w:tcPr>
            <w:tcW w:w="3801" w:type="pct"/>
            <w:gridSpan w:val="3"/>
          </w:tcPr>
          <w:p w:rsidR="005752EB" w:rsidRPr="002D3157" w:rsidRDefault="005752EB" w:rsidP="003D4FB5">
            <w:pPr>
              <w:pStyle w:val="Textpoznpodarou"/>
              <w:jc w:val="both"/>
              <w:rPr>
                <w:rFonts w:cs="Arial"/>
                <w:color w:val="0D0D0D" w:themeColor="text1" w:themeTint="F2"/>
                <w:spacing w:val="-2"/>
              </w:rPr>
            </w:pPr>
            <w:r>
              <w:rPr>
                <w:rFonts w:cs="Arial"/>
                <w:color w:val="0D0D0D" w:themeColor="text1" w:themeTint="F2"/>
                <w:spacing w:val="-2"/>
              </w:rPr>
              <w:t>Více jak 2% růst produktivity práce z předchozích dvou let se letos již neopakoval. Hrubá přidaná hodnota (HPH) na 1 pracovníka se za tři čtvrtletí meziročně zvýšila jen o</w:t>
            </w:r>
            <w:r w:rsidRPr="002D3157">
              <w:rPr>
                <w:rFonts w:cs="Arial"/>
                <w:color w:val="0D0D0D" w:themeColor="text1" w:themeTint="F2"/>
                <w:spacing w:val="-2"/>
              </w:rPr>
              <w:t> </w:t>
            </w:r>
            <w:r>
              <w:rPr>
                <w:rFonts w:cs="Arial"/>
                <w:color w:val="0D0D0D" w:themeColor="text1" w:themeTint="F2"/>
                <w:spacing w:val="-2"/>
              </w:rPr>
              <w:t>0,2</w:t>
            </w:r>
            <w:r w:rsidRPr="002D3157">
              <w:rPr>
                <w:rFonts w:cs="Arial"/>
                <w:color w:val="0D0D0D" w:themeColor="text1" w:themeTint="F2"/>
                <w:spacing w:val="-2"/>
              </w:rPr>
              <w:t> </w:t>
            </w:r>
            <w:r w:rsidRPr="008B5159">
              <w:rPr>
                <w:rFonts w:cs="Arial"/>
                <w:color w:val="0D0D0D" w:themeColor="text1" w:themeTint="F2"/>
                <w:spacing w:val="-2"/>
              </w:rPr>
              <w:t xml:space="preserve">%. </w:t>
            </w:r>
            <w:r w:rsidRPr="008B5159">
              <w:rPr>
                <w:rFonts w:cs="Arial"/>
                <w:color w:val="0D0D0D" w:themeColor="text1" w:themeTint="F2"/>
                <w:spacing w:val="-4"/>
              </w:rPr>
              <w:t>HPH v relaci na odpracovanou hodinu letos dokonce o 0,4 % poklesla</w:t>
            </w:r>
            <w:r>
              <w:rPr>
                <w:rFonts w:cs="Arial"/>
                <w:color w:val="0D0D0D" w:themeColor="text1" w:themeTint="F2"/>
                <w:spacing w:val="-4"/>
              </w:rPr>
              <w:t>. V</w:t>
            </w:r>
            <w:r w:rsidRPr="008B5159">
              <w:rPr>
                <w:rFonts w:cs="Arial"/>
                <w:color w:val="0D0D0D" w:themeColor="text1" w:themeTint="F2"/>
                <w:spacing w:val="-4"/>
              </w:rPr>
              <w:t>ýraznější růst zaznamenala jen ve váhově mén</w:t>
            </w:r>
            <w:r w:rsidR="005D073B">
              <w:rPr>
                <w:rFonts w:cs="Arial"/>
                <w:color w:val="0D0D0D" w:themeColor="text1" w:themeTint="F2"/>
                <w:spacing w:val="-4"/>
              </w:rPr>
              <w:t xml:space="preserve">ě významných odvětvích </w:t>
            </w:r>
            <w:r w:rsidR="005D073B" w:rsidRPr="008B5159">
              <w:rPr>
                <w:rFonts w:cs="Arial"/>
                <w:color w:val="0D0D0D" w:themeColor="text1" w:themeTint="F2"/>
                <w:spacing w:val="-4"/>
              </w:rPr>
              <w:t>–</w:t>
            </w:r>
            <w:r w:rsidRPr="008B5159">
              <w:rPr>
                <w:rFonts w:cs="Arial"/>
                <w:color w:val="0D0D0D" w:themeColor="text1" w:themeTint="F2"/>
                <w:spacing w:val="-4"/>
              </w:rPr>
              <w:t xml:space="preserve"> činnosti v oblasti nemovitostí (+3 %), zemědělství, lesnictví a rybářství (+2,9 %). </w:t>
            </w:r>
          </w:p>
          <w:p w:rsidR="005752EB" w:rsidRPr="002D5C3D" w:rsidRDefault="005752EB" w:rsidP="003D4FB5">
            <w:pPr>
              <w:pStyle w:val="Textpoznpodarou"/>
              <w:jc w:val="both"/>
              <w:rPr>
                <w:rFonts w:cs="Arial"/>
                <w:color w:val="0D0D0D" w:themeColor="text1" w:themeTint="F2"/>
                <w:spacing w:val="-2"/>
                <w:sz w:val="13"/>
                <w:szCs w:val="13"/>
              </w:rPr>
            </w:pPr>
          </w:p>
        </w:tc>
      </w:tr>
      <w:tr w:rsidR="005752EB" w:rsidTr="00B6553E">
        <w:tc>
          <w:tcPr>
            <w:tcW w:w="1057" w:type="pct"/>
            <w:gridSpan w:val="2"/>
          </w:tcPr>
          <w:p w:rsidR="005752EB" w:rsidRDefault="005752EB" w:rsidP="003D4FB5">
            <w:pPr>
              <w:spacing w:line="240" w:lineRule="auto"/>
              <w:rPr>
                <w:rFonts w:cs="Arial"/>
                <w:bCs/>
                <w:iCs/>
                <w:color w:val="0D0D0D" w:themeColor="text1" w:themeTint="F2"/>
                <w:sz w:val="16"/>
                <w:szCs w:val="16"/>
              </w:rPr>
            </w:pPr>
            <w:r>
              <w:rPr>
                <w:rFonts w:cs="Arial"/>
                <w:bCs/>
                <w:iCs/>
                <w:color w:val="0D0D0D" w:themeColor="text1" w:themeTint="F2"/>
                <w:sz w:val="16"/>
                <w:szCs w:val="16"/>
              </w:rPr>
              <w:t>Míra nezaměstnanosti nadále klesla, zjevně však narážela na své limity dané především vyšším zastoupení</w:t>
            </w:r>
            <w:r w:rsidR="005D073B">
              <w:rPr>
                <w:rFonts w:cs="Arial"/>
                <w:bCs/>
                <w:iCs/>
                <w:color w:val="0D0D0D" w:themeColor="text1" w:themeTint="F2"/>
                <w:sz w:val="16"/>
                <w:szCs w:val="16"/>
              </w:rPr>
              <w:t>m osob s nízkou úrovní vzdělání, jež</w:t>
            </w:r>
            <w:r>
              <w:rPr>
                <w:rFonts w:cs="Arial"/>
                <w:bCs/>
                <w:iCs/>
                <w:color w:val="0D0D0D" w:themeColor="text1" w:themeTint="F2"/>
                <w:sz w:val="16"/>
                <w:szCs w:val="16"/>
              </w:rPr>
              <w:t xml:space="preserve"> bývají </w:t>
            </w:r>
            <w:r w:rsidR="005D073B">
              <w:rPr>
                <w:rFonts w:cs="Arial"/>
                <w:bCs/>
                <w:iCs/>
                <w:color w:val="0D0D0D" w:themeColor="text1" w:themeTint="F2"/>
                <w:sz w:val="16"/>
                <w:szCs w:val="16"/>
              </w:rPr>
              <w:t>ohroženi dlouhodobou nezaměstnaností.</w:t>
            </w:r>
          </w:p>
          <w:p w:rsidR="005752EB" w:rsidRDefault="005752EB" w:rsidP="003D4FB5">
            <w:pPr>
              <w:spacing w:line="240" w:lineRule="auto"/>
              <w:rPr>
                <w:rFonts w:cs="Arial"/>
                <w:bCs/>
                <w:iCs/>
                <w:color w:val="0D0D0D" w:themeColor="text1" w:themeTint="F2"/>
                <w:sz w:val="16"/>
                <w:szCs w:val="16"/>
              </w:rPr>
            </w:pPr>
          </w:p>
          <w:p w:rsidR="005752EB" w:rsidRPr="00B041BD" w:rsidRDefault="005752EB" w:rsidP="003D4FB5">
            <w:pPr>
              <w:spacing w:line="240" w:lineRule="auto"/>
              <w:rPr>
                <w:rFonts w:cs="Arial"/>
                <w:bCs/>
                <w:iCs/>
                <w:color w:val="0D0D0D" w:themeColor="text1" w:themeTint="F2"/>
                <w:sz w:val="16"/>
                <w:szCs w:val="16"/>
              </w:rPr>
            </w:pPr>
            <w:r>
              <w:rPr>
                <w:rFonts w:cs="Arial"/>
                <w:bCs/>
                <w:iCs/>
                <w:color w:val="0D0D0D" w:themeColor="text1" w:themeTint="F2"/>
                <w:sz w:val="16"/>
                <w:szCs w:val="16"/>
              </w:rPr>
              <w:t>Rozdíl v míře nezaměstna-nosti osob se základním vzděláním proti osobám se středním vzděláním bez maturity byl v ČR společně se Slovenskem nejvyšší v celé EU</w:t>
            </w:r>
            <w:r w:rsidR="005D073B">
              <w:rPr>
                <w:rFonts w:cs="Arial"/>
                <w:bCs/>
                <w:iCs/>
                <w:color w:val="0D0D0D" w:themeColor="text1" w:themeTint="F2"/>
                <w:sz w:val="16"/>
                <w:szCs w:val="16"/>
              </w:rPr>
              <w:t>.</w:t>
            </w:r>
          </w:p>
        </w:tc>
        <w:tc>
          <w:tcPr>
            <w:tcW w:w="142" w:type="pct"/>
          </w:tcPr>
          <w:p w:rsidR="005752EB" w:rsidRPr="00B041BD" w:rsidRDefault="005752EB" w:rsidP="003D4FB5">
            <w:pPr>
              <w:pStyle w:val="Textpoznpodarou"/>
              <w:jc w:val="both"/>
              <w:rPr>
                <w:color w:val="0D0D0D" w:themeColor="text1" w:themeTint="F2"/>
              </w:rPr>
            </w:pPr>
          </w:p>
        </w:tc>
        <w:tc>
          <w:tcPr>
            <w:tcW w:w="3801" w:type="pct"/>
            <w:gridSpan w:val="3"/>
          </w:tcPr>
          <w:p w:rsidR="005752EB" w:rsidRPr="00670401" w:rsidRDefault="005752EB" w:rsidP="003D4FB5">
            <w:pPr>
              <w:pStyle w:val="Textpoznpodarou"/>
              <w:jc w:val="both"/>
              <w:rPr>
                <w:rFonts w:cs="Arial"/>
                <w:color w:val="0D0D0D" w:themeColor="text1" w:themeTint="F2"/>
              </w:rPr>
            </w:pPr>
            <w:r>
              <w:rPr>
                <w:rFonts w:cs="Arial"/>
                <w:color w:val="0D0D0D" w:themeColor="text1" w:themeTint="F2"/>
              </w:rPr>
              <w:t>Obecná míra n</w:t>
            </w:r>
            <w:r w:rsidR="005D073B">
              <w:rPr>
                <w:rFonts w:cs="Arial"/>
                <w:color w:val="0D0D0D" w:themeColor="text1" w:themeTint="F2"/>
              </w:rPr>
              <w:t>ezaměstnanosti (osob ve věku 15</w:t>
            </w:r>
            <w:r w:rsidR="005D073B" w:rsidRPr="008B5159">
              <w:rPr>
                <w:rFonts w:cs="Arial"/>
                <w:color w:val="0D0D0D" w:themeColor="text1" w:themeTint="F2"/>
                <w:spacing w:val="-4"/>
              </w:rPr>
              <w:t>–</w:t>
            </w:r>
            <w:r>
              <w:rPr>
                <w:rFonts w:cs="Arial"/>
                <w:color w:val="0D0D0D" w:themeColor="text1" w:themeTint="F2"/>
              </w:rPr>
              <w:t>64 let) se v průběhu roku nadále snižovala, avšak na rozdíl od loňska již výrazně pomalejším tempem. Ve 3. čtvrtletí dosahovala 4 %, meziročně byla příznivější o 0,9 p.b. V mezikvartálním vyjádření</w:t>
            </w:r>
            <w:r>
              <w:rPr>
                <w:rStyle w:val="Znakapoznpodarou"/>
                <w:color w:val="0D0D0D" w:themeColor="text1" w:themeTint="F2"/>
              </w:rPr>
              <w:footnoteReference w:id="28"/>
            </w:r>
            <w:r w:rsidR="004F77AE">
              <w:rPr>
                <w:rFonts w:cs="Arial"/>
                <w:color w:val="0D0D0D" w:themeColor="text1" w:themeTint="F2"/>
              </w:rPr>
              <w:t xml:space="preserve"> se</w:t>
            </w:r>
            <w:r>
              <w:rPr>
                <w:rFonts w:cs="Arial"/>
                <w:color w:val="0D0D0D" w:themeColor="text1" w:themeTint="F2"/>
              </w:rPr>
              <w:t xml:space="preserve"> již v průběhu 2. i 3. čt</w:t>
            </w:r>
            <w:r w:rsidR="004F77AE">
              <w:rPr>
                <w:rFonts w:cs="Arial"/>
                <w:color w:val="0D0D0D" w:themeColor="text1" w:themeTint="F2"/>
              </w:rPr>
              <w:t>vrtletí 2016 zredukovala o mírných 0,1 </w:t>
            </w:r>
            <w:r>
              <w:rPr>
                <w:rFonts w:cs="Arial"/>
                <w:color w:val="0D0D0D" w:themeColor="text1" w:themeTint="F2"/>
              </w:rPr>
              <w:t xml:space="preserve">p.b. Nezaměstnanost tak </w:t>
            </w:r>
            <w:r w:rsidRPr="002D3157">
              <w:rPr>
                <w:rFonts w:cs="Arial"/>
                <w:color w:val="0D0D0D" w:themeColor="text1" w:themeTint="F2"/>
              </w:rPr>
              <w:t>naráží na své limity dané strukturálními vlivy. Míra nezaměstnanosti žen dlouhodobě převyšuje obdobnou hodnotu</w:t>
            </w:r>
            <w:r>
              <w:rPr>
                <w:rFonts w:cs="Arial"/>
                <w:color w:val="0D0D0D" w:themeColor="text1" w:themeTint="F2"/>
              </w:rPr>
              <w:t xml:space="preserve"> u mužů. Tato diskrepance se však meziročně mírně snížila a ve 3. čtvrtletí činila 1,2 p.b. I tak však byla v evropském kontextu významná (v EU dosahovala jen 0,2 p.b.). To nadále platilo také pro rozdíly měr nezaměstnanosti dle vzdělání. Zatímco mezi</w:t>
            </w:r>
            <w:r w:rsidR="00F06944">
              <w:rPr>
                <w:rFonts w:cs="Arial"/>
                <w:color w:val="0D0D0D" w:themeColor="text1" w:themeTint="F2"/>
              </w:rPr>
              <w:t xml:space="preserve"> vysokoškoláky (2,1 %) a lidmi</w:t>
            </w:r>
            <w:r>
              <w:rPr>
                <w:rFonts w:cs="Arial"/>
                <w:color w:val="0D0D0D" w:themeColor="text1" w:themeTint="F2"/>
              </w:rPr>
              <w:t xml:space="preserve"> se středním vzděláním bez maturity (4,1 %) byly difere</w:t>
            </w:r>
            <w:r w:rsidR="00F06944">
              <w:rPr>
                <w:rFonts w:cs="Arial"/>
                <w:color w:val="0D0D0D" w:themeColor="text1" w:themeTint="F2"/>
              </w:rPr>
              <w:t xml:space="preserve">nce velmi nízké, postavení výrazně méně četné </w:t>
            </w:r>
            <w:r>
              <w:rPr>
                <w:rFonts w:cs="Arial"/>
                <w:color w:val="0D0D0D" w:themeColor="text1" w:themeTint="F2"/>
              </w:rPr>
              <w:t>s</w:t>
            </w:r>
            <w:r w:rsidR="00F06944">
              <w:rPr>
                <w:rFonts w:cs="Arial"/>
                <w:color w:val="0D0D0D" w:themeColor="text1" w:themeTint="F2"/>
              </w:rPr>
              <w:t>kupiny osob s</w:t>
            </w:r>
            <w:r>
              <w:rPr>
                <w:rFonts w:cs="Arial"/>
                <w:color w:val="0D0D0D" w:themeColor="text1" w:themeTint="F2"/>
              </w:rPr>
              <w:t> maximálně základním vzděláním na trhu práce v Č</w:t>
            </w:r>
            <w:r w:rsidR="00F06944">
              <w:rPr>
                <w:rFonts w:cs="Arial"/>
                <w:color w:val="0D0D0D" w:themeColor="text1" w:themeTint="F2"/>
              </w:rPr>
              <w:t>R bylo nadále neuspokojivé, neboť</w:t>
            </w:r>
            <w:r>
              <w:rPr>
                <w:rFonts w:cs="Arial"/>
                <w:color w:val="0D0D0D" w:themeColor="text1" w:themeTint="F2"/>
              </w:rPr>
              <w:t xml:space="preserve"> jejich vysoká míra nezaměstnanosti (20,3 %) se za poslední tři roky snížila jen o 3,6 p.b.</w:t>
            </w:r>
            <w:r w:rsidR="002D5C3D">
              <w:rPr>
                <w:rFonts w:cs="Arial"/>
                <w:color w:val="0D0D0D" w:themeColor="text1" w:themeTint="F2"/>
              </w:rPr>
              <w:t xml:space="preserve"> V samotném 3. čtvrtletí výrazně ubylo osob, jež byly bez práce déle než rok (meziročně o třetinu). Podíl dlouhodobě nezaměstnaných se tak snížil pod 40 %, tj. na nejnižší hodnotu od počátku roku 2010.</w:t>
            </w:r>
          </w:p>
          <w:p w:rsidR="005752EB" w:rsidRPr="002D5C3D" w:rsidRDefault="005752EB" w:rsidP="003D4FB5">
            <w:pPr>
              <w:pStyle w:val="Textpoznpodarou"/>
              <w:jc w:val="both"/>
              <w:rPr>
                <w:rFonts w:cs="Arial"/>
                <w:color w:val="0D0D0D" w:themeColor="text1" w:themeTint="F2"/>
                <w:sz w:val="13"/>
                <w:szCs w:val="13"/>
              </w:rPr>
            </w:pPr>
          </w:p>
        </w:tc>
      </w:tr>
      <w:tr w:rsidR="005752EB" w:rsidTr="00B6553E">
        <w:tc>
          <w:tcPr>
            <w:tcW w:w="1057" w:type="pct"/>
            <w:gridSpan w:val="2"/>
          </w:tcPr>
          <w:p w:rsidR="005752EB" w:rsidRDefault="005752EB" w:rsidP="003D4FB5">
            <w:pPr>
              <w:spacing w:line="240" w:lineRule="auto"/>
              <w:rPr>
                <w:rFonts w:cs="Arial"/>
                <w:bCs/>
                <w:iCs/>
                <w:color w:val="0D0D0D" w:themeColor="text1" w:themeTint="F2"/>
                <w:spacing w:val="-4"/>
                <w:sz w:val="16"/>
                <w:szCs w:val="16"/>
              </w:rPr>
            </w:pPr>
            <w:r>
              <w:rPr>
                <w:rFonts w:cs="Arial"/>
                <w:bCs/>
                <w:iCs/>
                <w:color w:val="0D0D0D" w:themeColor="text1" w:themeTint="F2"/>
                <w:spacing w:val="-4"/>
                <w:sz w:val="16"/>
                <w:szCs w:val="16"/>
              </w:rPr>
              <w:t>Nabídka neobsazených pracovních pozic prostřednictvím úřadů práce se nadále rozšiřovala</w:t>
            </w:r>
            <w:r w:rsidR="00F06944">
              <w:rPr>
                <w:rFonts w:cs="Arial"/>
                <w:bCs/>
                <w:iCs/>
                <w:color w:val="0D0D0D" w:themeColor="text1" w:themeTint="F2"/>
                <w:spacing w:val="-4"/>
                <w:sz w:val="16"/>
                <w:szCs w:val="16"/>
              </w:rPr>
              <w:t>,</w:t>
            </w:r>
            <w:r>
              <w:rPr>
                <w:rFonts w:cs="Arial"/>
                <w:bCs/>
                <w:iCs/>
                <w:color w:val="0D0D0D" w:themeColor="text1" w:themeTint="F2"/>
                <w:spacing w:val="-4"/>
                <w:sz w:val="16"/>
                <w:szCs w:val="16"/>
              </w:rPr>
              <w:t>…</w:t>
            </w:r>
          </w:p>
          <w:p w:rsidR="005752EB" w:rsidRDefault="005752EB" w:rsidP="003D4FB5">
            <w:pPr>
              <w:spacing w:line="240" w:lineRule="auto"/>
              <w:rPr>
                <w:rFonts w:cs="Arial"/>
                <w:bCs/>
                <w:iCs/>
                <w:color w:val="0D0D0D" w:themeColor="text1" w:themeTint="F2"/>
                <w:spacing w:val="-4"/>
                <w:sz w:val="16"/>
                <w:szCs w:val="16"/>
              </w:rPr>
            </w:pPr>
          </w:p>
          <w:p w:rsidR="005752EB" w:rsidRDefault="005752EB" w:rsidP="003D4FB5">
            <w:pPr>
              <w:spacing w:line="240" w:lineRule="auto"/>
              <w:rPr>
                <w:rFonts w:cs="Arial"/>
                <w:bCs/>
                <w:iCs/>
                <w:color w:val="0D0D0D" w:themeColor="text1" w:themeTint="F2"/>
                <w:spacing w:val="-4"/>
                <w:sz w:val="16"/>
                <w:szCs w:val="16"/>
              </w:rPr>
            </w:pPr>
          </w:p>
          <w:p w:rsidR="005752EB" w:rsidRDefault="005752EB" w:rsidP="003D4FB5">
            <w:pPr>
              <w:spacing w:line="240" w:lineRule="auto"/>
              <w:rPr>
                <w:rFonts w:cs="Arial"/>
                <w:bCs/>
                <w:iCs/>
                <w:color w:val="0D0D0D" w:themeColor="text1" w:themeTint="F2"/>
                <w:spacing w:val="-4"/>
                <w:sz w:val="16"/>
                <w:szCs w:val="16"/>
              </w:rPr>
            </w:pPr>
          </w:p>
          <w:p w:rsidR="00C15CEB" w:rsidRDefault="00C15CEB" w:rsidP="003D4FB5">
            <w:pPr>
              <w:spacing w:line="240" w:lineRule="auto"/>
              <w:rPr>
                <w:rFonts w:cs="Arial"/>
                <w:bCs/>
                <w:iCs/>
                <w:color w:val="0D0D0D" w:themeColor="text1" w:themeTint="F2"/>
                <w:spacing w:val="-4"/>
                <w:sz w:val="16"/>
                <w:szCs w:val="16"/>
              </w:rPr>
            </w:pPr>
          </w:p>
          <w:p w:rsidR="005752EB" w:rsidRDefault="005752EB" w:rsidP="003D4FB5">
            <w:pPr>
              <w:spacing w:line="240" w:lineRule="auto"/>
              <w:rPr>
                <w:rFonts w:cs="Arial"/>
                <w:bCs/>
                <w:iCs/>
                <w:color w:val="0D0D0D" w:themeColor="text1" w:themeTint="F2"/>
                <w:spacing w:val="-4"/>
                <w:sz w:val="16"/>
                <w:szCs w:val="16"/>
              </w:rPr>
            </w:pPr>
            <w:r>
              <w:rPr>
                <w:rFonts w:cs="Arial"/>
                <w:bCs/>
                <w:iCs/>
                <w:color w:val="0D0D0D" w:themeColor="text1" w:themeTint="F2"/>
                <w:spacing w:val="-4"/>
                <w:sz w:val="16"/>
                <w:szCs w:val="16"/>
              </w:rPr>
              <w:t>…na konci září připadalo na jedno volné místo 2,7 registrovaných uchazečů, nejméně od konjunktury</w:t>
            </w:r>
            <w:r w:rsidR="005D073B">
              <w:rPr>
                <w:rFonts w:cs="Arial"/>
                <w:bCs/>
                <w:iCs/>
                <w:color w:val="0D0D0D" w:themeColor="text1" w:themeTint="F2"/>
                <w:spacing w:val="-4"/>
                <w:sz w:val="16"/>
                <w:szCs w:val="16"/>
              </w:rPr>
              <w:t>.</w:t>
            </w:r>
          </w:p>
          <w:p w:rsidR="005752EB" w:rsidRDefault="005752EB" w:rsidP="003D4FB5">
            <w:pPr>
              <w:spacing w:line="240" w:lineRule="auto"/>
              <w:rPr>
                <w:rFonts w:cs="Arial"/>
                <w:bCs/>
                <w:iCs/>
                <w:color w:val="0D0D0D" w:themeColor="text1" w:themeTint="F2"/>
                <w:spacing w:val="-4"/>
                <w:sz w:val="16"/>
                <w:szCs w:val="16"/>
              </w:rPr>
            </w:pPr>
          </w:p>
          <w:p w:rsidR="005752EB" w:rsidRDefault="005752EB" w:rsidP="003D4FB5">
            <w:pPr>
              <w:spacing w:line="240" w:lineRule="auto"/>
              <w:rPr>
                <w:rFonts w:cs="Arial"/>
                <w:bCs/>
                <w:iCs/>
                <w:color w:val="0D0D0D" w:themeColor="text1" w:themeTint="F2"/>
                <w:spacing w:val="-4"/>
                <w:sz w:val="16"/>
                <w:szCs w:val="16"/>
              </w:rPr>
            </w:pPr>
          </w:p>
          <w:p w:rsidR="005752EB" w:rsidRDefault="005752EB" w:rsidP="003D4FB5">
            <w:pPr>
              <w:spacing w:line="240" w:lineRule="auto"/>
              <w:rPr>
                <w:rFonts w:cs="Arial"/>
                <w:bCs/>
                <w:iCs/>
                <w:color w:val="0D0D0D" w:themeColor="text1" w:themeTint="F2"/>
                <w:spacing w:val="-4"/>
                <w:sz w:val="16"/>
                <w:szCs w:val="16"/>
              </w:rPr>
            </w:pPr>
            <w:r>
              <w:rPr>
                <w:rFonts w:cs="Arial"/>
                <w:bCs/>
                <w:iCs/>
                <w:color w:val="0D0D0D" w:themeColor="text1" w:themeTint="F2"/>
                <w:spacing w:val="-4"/>
                <w:sz w:val="16"/>
                <w:szCs w:val="16"/>
              </w:rPr>
              <w:t>Šance na uplatnění (prostřednictv</w:t>
            </w:r>
            <w:r w:rsidR="00F06944">
              <w:rPr>
                <w:rFonts w:cs="Arial"/>
                <w:bCs/>
                <w:iCs/>
                <w:color w:val="0D0D0D" w:themeColor="text1" w:themeTint="F2"/>
                <w:spacing w:val="-4"/>
                <w:sz w:val="16"/>
                <w:szCs w:val="16"/>
              </w:rPr>
              <w:t>ím úřadů práce) byla nejvyšší u</w:t>
            </w:r>
            <w:r w:rsidR="00F06944">
              <w:rPr>
                <w:rFonts w:cs="Arial"/>
                <w:bCs/>
                <w:iCs/>
                <w:color w:val="0D0D0D" w:themeColor="text1" w:themeTint="F2"/>
                <w:sz w:val="16"/>
                <w:szCs w:val="16"/>
              </w:rPr>
              <w:t> </w:t>
            </w:r>
            <w:r>
              <w:rPr>
                <w:rFonts w:cs="Arial"/>
                <w:bCs/>
                <w:iCs/>
                <w:color w:val="0D0D0D" w:themeColor="text1" w:themeTint="F2"/>
                <w:spacing w:val="-4"/>
                <w:sz w:val="16"/>
                <w:szCs w:val="16"/>
              </w:rPr>
              <w:t>kvalifikova</w:t>
            </w:r>
            <w:r w:rsidR="00F06944">
              <w:rPr>
                <w:rFonts w:cs="Arial"/>
                <w:bCs/>
                <w:iCs/>
                <w:color w:val="0D0D0D" w:themeColor="text1" w:themeTint="F2"/>
                <w:spacing w:val="-4"/>
                <w:sz w:val="16"/>
                <w:szCs w:val="16"/>
              </w:rPr>
              <w:t>-</w:t>
            </w:r>
            <w:r>
              <w:rPr>
                <w:rFonts w:cs="Arial"/>
                <w:bCs/>
                <w:iCs/>
                <w:color w:val="0D0D0D" w:themeColor="text1" w:themeTint="F2"/>
                <w:spacing w:val="-4"/>
                <w:sz w:val="16"/>
                <w:szCs w:val="16"/>
              </w:rPr>
              <w:t>ných manuálních pracovníků, výrazně se však meziročně zlepšila rovněž u</w:t>
            </w:r>
            <w:r w:rsidR="00F06944">
              <w:rPr>
                <w:rFonts w:cs="Arial"/>
                <w:bCs/>
                <w:iCs/>
                <w:color w:val="0D0D0D" w:themeColor="text1" w:themeTint="F2"/>
                <w:sz w:val="16"/>
                <w:szCs w:val="16"/>
              </w:rPr>
              <w:t> </w:t>
            </w:r>
            <w:r>
              <w:rPr>
                <w:rFonts w:cs="Arial"/>
                <w:bCs/>
                <w:iCs/>
                <w:color w:val="0D0D0D" w:themeColor="text1" w:themeTint="F2"/>
                <w:spacing w:val="-4"/>
                <w:sz w:val="16"/>
                <w:szCs w:val="16"/>
              </w:rPr>
              <w:t>nekv</w:t>
            </w:r>
            <w:r w:rsidR="005D073B">
              <w:rPr>
                <w:rFonts w:cs="Arial"/>
                <w:bCs/>
                <w:iCs/>
                <w:color w:val="0D0D0D" w:themeColor="text1" w:themeTint="F2"/>
                <w:spacing w:val="-4"/>
                <w:sz w:val="16"/>
                <w:szCs w:val="16"/>
              </w:rPr>
              <w:t>alifiko</w:t>
            </w:r>
            <w:r w:rsidR="00F06944">
              <w:rPr>
                <w:rFonts w:cs="Arial"/>
                <w:bCs/>
                <w:iCs/>
                <w:color w:val="0D0D0D" w:themeColor="text1" w:themeTint="F2"/>
                <w:spacing w:val="-4"/>
                <w:sz w:val="16"/>
                <w:szCs w:val="16"/>
              </w:rPr>
              <w:t>-</w:t>
            </w:r>
            <w:r w:rsidR="005D073B">
              <w:rPr>
                <w:rFonts w:cs="Arial"/>
                <w:bCs/>
                <w:iCs/>
                <w:color w:val="0D0D0D" w:themeColor="text1" w:themeTint="F2"/>
                <w:spacing w:val="-4"/>
                <w:sz w:val="16"/>
                <w:szCs w:val="16"/>
              </w:rPr>
              <w:t>vaných osob.</w:t>
            </w:r>
          </w:p>
          <w:p w:rsidR="005752EB" w:rsidRPr="00FF497C" w:rsidRDefault="005752EB" w:rsidP="003D4FB5">
            <w:pPr>
              <w:spacing w:line="240" w:lineRule="auto"/>
              <w:rPr>
                <w:rFonts w:cs="Arial"/>
                <w:bCs/>
                <w:iCs/>
                <w:color w:val="0D0D0D" w:themeColor="text1" w:themeTint="F2"/>
                <w:spacing w:val="-4"/>
                <w:sz w:val="16"/>
                <w:szCs w:val="16"/>
              </w:rPr>
            </w:pPr>
            <w:r>
              <w:rPr>
                <w:rFonts w:cs="Arial"/>
                <w:bCs/>
                <w:iCs/>
                <w:color w:val="0D0D0D" w:themeColor="text1" w:themeTint="F2"/>
                <w:spacing w:val="-4"/>
                <w:sz w:val="16"/>
                <w:szCs w:val="16"/>
              </w:rPr>
              <w:t xml:space="preserve"> </w:t>
            </w:r>
          </w:p>
        </w:tc>
        <w:tc>
          <w:tcPr>
            <w:tcW w:w="142" w:type="pct"/>
          </w:tcPr>
          <w:p w:rsidR="005752EB" w:rsidRPr="009720D9" w:rsidRDefault="005752EB" w:rsidP="003D4FB5">
            <w:pPr>
              <w:pStyle w:val="Textpoznpodarou"/>
              <w:jc w:val="both"/>
              <w:rPr>
                <w:color w:val="0D0D0D" w:themeColor="text1" w:themeTint="F2"/>
              </w:rPr>
            </w:pPr>
          </w:p>
        </w:tc>
        <w:tc>
          <w:tcPr>
            <w:tcW w:w="3801" w:type="pct"/>
            <w:gridSpan w:val="3"/>
          </w:tcPr>
          <w:p w:rsidR="005752EB" w:rsidRPr="001746D1" w:rsidRDefault="005752EB" w:rsidP="003D4FB5">
            <w:pPr>
              <w:pStyle w:val="Textpoznpodarou"/>
              <w:jc w:val="both"/>
              <w:rPr>
                <w:rFonts w:cs="Arial"/>
                <w:color w:val="0D0D0D" w:themeColor="text1" w:themeTint="F2"/>
              </w:rPr>
            </w:pPr>
            <w:r>
              <w:rPr>
                <w:rFonts w:cs="Arial"/>
                <w:color w:val="0D0D0D" w:themeColor="text1" w:themeTint="F2"/>
              </w:rPr>
              <w:t xml:space="preserve">Šance nezaměstnaných na uplatnění na pracovním trhu se stále zlepšovala. </w:t>
            </w:r>
            <w:r w:rsidR="004F77AE">
              <w:rPr>
                <w:rFonts w:cs="Arial"/>
                <w:color w:val="0D0D0D" w:themeColor="text1" w:themeTint="F2"/>
                <w:spacing w:val="-4"/>
              </w:rPr>
              <w:t>Ú</w:t>
            </w:r>
            <w:r w:rsidRPr="00AA16F1">
              <w:rPr>
                <w:rFonts w:cs="Arial"/>
                <w:color w:val="0D0D0D" w:themeColor="text1" w:themeTint="F2"/>
                <w:spacing w:val="-4"/>
              </w:rPr>
              <w:t>řady práce (ÚP</w:t>
            </w:r>
            <w:r>
              <w:rPr>
                <w:rFonts w:cs="Arial"/>
                <w:color w:val="0D0D0D" w:themeColor="text1" w:themeTint="F2"/>
                <w:spacing w:val="-4"/>
              </w:rPr>
              <w:t>) nabízely na konci září již 1</w:t>
            </w:r>
            <w:r w:rsidRPr="00AA16F1">
              <w:rPr>
                <w:rFonts w:cs="Arial"/>
                <w:color w:val="0D0D0D" w:themeColor="text1" w:themeTint="F2"/>
                <w:spacing w:val="-4"/>
              </w:rPr>
              <w:t>4</w:t>
            </w:r>
            <w:r>
              <w:rPr>
                <w:rFonts w:cs="Arial"/>
                <w:color w:val="0D0D0D" w:themeColor="text1" w:themeTint="F2"/>
                <w:spacing w:val="-4"/>
              </w:rPr>
              <w:t>1</w:t>
            </w:r>
            <w:r w:rsidRPr="00AA16F1">
              <w:rPr>
                <w:rFonts w:cs="Arial"/>
                <w:color w:val="0D0D0D" w:themeColor="text1" w:themeTint="F2"/>
                <w:spacing w:val="-4"/>
              </w:rPr>
              <w:t xml:space="preserve"> tis. neobsazených míst (meziročně o</w:t>
            </w:r>
            <w:r>
              <w:rPr>
                <w:rFonts w:cs="Arial"/>
                <w:color w:val="0D0D0D" w:themeColor="text1" w:themeTint="F2"/>
              </w:rPr>
              <w:t> </w:t>
            </w:r>
            <w:r>
              <w:rPr>
                <w:rFonts w:cs="Arial"/>
                <w:color w:val="0D0D0D" w:themeColor="text1" w:themeTint="F2"/>
                <w:spacing w:val="-4"/>
              </w:rPr>
              <w:t xml:space="preserve">bezmála třetinu </w:t>
            </w:r>
            <w:r w:rsidRPr="00AA16F1">
              <w:rPr>
                <w:rFonts w:cs="Arial"/>
                <w:color w:val="0D0D0D" w:themeColor="text1" w:themeTint="F2"/>
                <w:spacing w:val="-4"/>
              </w:rPr>
              <w:t>více)</w:t>
            </w:r>
            <w:r>
              <w:rPr>
                <w:rFonts w:cs="Arial"/>
                <w:color w:val="0D0D0D" w:themeColor="text1" w:themeTint="F2"/>
                <w:spacing w:val="-4"/>
              </w:rPr>
              <w:t xml:space="preserve">. Tempo růstu nabídky volných pozic přitom zásadně neoslabovalo. Od počátku roku se rozrostlo o 38 tis. míst, za prvních devět měsíců </w:t>
            </w:r>
            <w:r>
              <w:rPr>
                <w:rFonts w:cs="Arial"/>
                <w:color w:val="0D0D0D" w:themeColor="text1" w:themeTint="F2"/>
                <w:spacing w:val="-4"/>
              </w:rPr>
              <w:lastRenderedPageBreak/>
              <w:t>loňského roku o necelých 50</w:t>
            </w:r>
            <w:r w:rsidR="002D5C3D">
              <w:rPr>
                <w:rFonts w:cs="Arial"/>
                <w:color w:val="0D0D0D" w:themeColor="text1" w:themeTint="F2"/>
                <w:spacing w:val="-4"/>
              </w:rPr>
              <w:t xml:space="preserve"> tis. Na jednu volnou pozici tak</w:t>
            </w:r>
            <w:r>
              <w:rPr>
                <w:rFonts w:cs="Arial"/>
                <w:color w:val="0D0D0D" w:themeColor="text1" w:themeTint="F2"/>
                <w:spacing w:val="-4"/>
              </w:rPr>
              <w:t xml:space="preserve"> na konci letošního září připadalo 2,7 uchazečů, nejméně od října 2008. </w:t>
            </w:r>
            <w:r w:rsidR="002D5C3D">
              <w:rPr>
                <w:rFonts w:cs="Arial"/>
                <w:color w:val="0D0D0D" w:themeColor="text1" w:themeTint="F2"/>
                <w:spacing w:val="-4"/>
              </w:rPr>
              <w:t>V</w:t>
            </w:r>
            <w:r>
              <w:rPr>
                <w:rFonts w:cs="Arial"/>
                <w:color w:val="0D0D0D" w:themeColor="text1" w:themeTint="F2"/>
                <w:spacing w:val="-4"/>
              </w:rPr>
              <w:t>olná místa byla stále častěji nabízena i v regionech dlouhodobě sužovaných nadprůměrnou nezaměstnaností. Podobně se rozšiřovala nabídka i pro manuálně pracující osoby s nižší kvalifikací. V Plzeňském a Pardubickém kraji se v září 2016 o jedno volné místo na ÚP ucházelo pouze 1,3 uchazečů a i v nejvíce postižených regionech (Ústecko, Moravskoslezsko) se tato prop</w:t>
            </w:r>
            <w:r w:rsidR="00E56AF7">
              <w:rPr>
                <w:rFonts w:cs="Arial"/>
                <w:color w:val="0D0D0D" w:themeColor="text1" w:themeTint="F2"/>
                <w:spacing w:val="-4"/>
              </w:rPr>
              <w:t>orce pohybovala v intervalu 5,1</w:t>
            </w:r>
            <w:r w:rsidR="00E56AF7" w:rsidRPr="00A74192">
              <w:t>−</w:t>
            </w:r>
            <w:r>
              <w:rPr>
                <w:rFonts w:cs="Arial"/>
                <w:color w:val="0D0D0D" w:themeColor="text1" w:themeTint="F2"/>
                <w:spacing w:val="-4"/>
              </w:rPr>
              <w:t xml:space="preserve">5,8. Šance na uplatnění se zvýšily uchazečům ve všech kvalifikačních třídách, nejvíce u kvalifikovaných manuálních pracovníků. U řemeslníků a opravářů připadlo na jedno volné místo 1,4 uchazečů, ve skupině „obsluhy strojů, zařízení, montéři“ byl tento poměr prakticky vyrovnaný </w:t>
            </w:r>
            <w:r w:rsidRPr="003425BB">
              <w:rPr>
                <w:rFonts w:cs="Arial"/>
                <w:color w:val="0D0D0D" w:themeColor="text1" w:themeTint="F2"/>
                <w:spacing w:val="-4"/>
              </w:rPr>
              <w:t>(1,1)</w:t>
            </w:r>
            <w:r>
              <w:rPr>
                <w:rFonts w:cs="Arial"/>
                <w:color w:val="0D0D0D" w:themeColor="text1" w:themeTint="F2"/>
                <w:spacing w:val="-4"/>
              </w:rPr>
              <w:t>. Meziročně se výrazněji zlepšilo i postavení pomocných a nekvalifikovaných pracovníků (z 6,1 na 4,0), v Praze dokonce nabídka volných pozic pro tyto osoby na konci září převyšovala počty registrovaných uchazečů v této kvalifikační třídě.</w:t>
            </w:r>
          </w:p>
          <w:p w:rsidR="005752EB" w:rsidRPr="002D5C3D" w:rsidRDefault="005752EB" w:rsidP="003D4FB5">
            <w:pPr>
              <w:pStyle w:val="Textpoznpodarou"/>
              <w:jc w:val="both"/>
              <w:rPr>
                <w:spacing w:val="-4"/>
                <w:sz w:val="13"/>
                <w:szCs w:val="13"/>
              </w:rPr>
            </w:pPr>
          </w:p>
        </w:tc>
      </w:tr>
      <w:tr w:rsidR="005752EB" w:rsidTr="00B6553E">
        <w:tc>
          <w:tcPr>
            <w:tcW w:w="1057" w:type="pct"/>
            <w:gridSpan w:val="2"/>
          </w:tcPr>
          <w:p w:rsidR="005752EB" w:rsidRPr="00B041BD" w:rsidRDefault="005752EB" w:rsidP="003D4FB5">
            <w:pPr>
              <w:spacing w:line="240" w:lineRule="auto"/>
              <w:rPr>
                <w:rFonts w:cs="Arial"/>
                <w:bCs/>
                <w:iCs/>
                <w:color w:val="0D0D0D" w:themeColor="text1" w:themeTint="F2"/>
                <w:sz w:val="16"/>
                <w:szCs w:val="16"/>
              </w:rPr>
            </w:pPr>
            <w:r>
              <w:rPr>
                <w:rFonts w:cs="Arial"/>
                <w:bCs/>
                <w:iCs/>
                <w:color w:val="0D0D0D" w:themeColor="text1" w:themeTint="F2"/>
                <w:sz w:val="16"/>
                <w:szCs w:val="16"/>
              </w:rPr>
              <w:lastRenderedPageBreak/>
              <w:t>Meziroční t</w:t>
            </w:r>
            <w:r w:rsidR="00F06944">
              <w:rPr>
                <w:rFonts w:cs="Arial"/>
                <w:bCs/>
                <w:iCs/>
                <w:color w:val="0D0D0D" w:themeColor="text1" w:themeTint="F2"/>
                <w:sz w:val="16"/>
                <w:szCs w:val="16"/>
              </w:rPr>
              <w:t xml:space="preserve">empo růstu průměrných mezd v 1. až </w:t>
            </w:r>
            <w:r w:rsidR="004F77AE">
              <w:rPr>
                <w:rFonts w:cs="Arial"/>
                <w:bCs/>
                <w:iCs/>
                <w:color w:val="0D0D0D" w:themeColor="text1" w:themeTint="F2"/>
                <w:sz w:val="16"/>
                <w:szCs w:val="16"/>
              </w:rPr>
              <w:t xml:space="preserve"> 3.  </w:t>
            </w:r>
            <w:r>
              <w:rPr>
                <w:rFonts w:cs="Arial"/>
                <w:bCs/>
                <w:iCs/>
                <w:color w:val="0D0D0D" w:themeColor="text1" w:themeTint="F2"/>
                <w:sz w:val="16"/>
                <w:szCs w:val="16"/>
              </w:rPr>
              <w:t>čtvrtletí bylo nejvyšší za posledních osm let</w:t>
            </w:r>
            <w:r w:rsidR="005D073B">
              <w:rPr>
                <w:rFonts w:cs="Arial"/>
                <w:bCs/>
                <w:iCs/>
                <w:color w:val="0D0D0D" w:themeColor="text1" w:themeTint="F2"/>
                <w:sz w:val="16"/>
                <w:szCs w:val="16"/>
              </w:rPr>
              <w:t>.</w:t>
            </w:r>
          </w:p>
        </w:tc>
        <w:tc>
          <w:tcPr>
            <w:tcW w:w="142" w:type="pct"/>
          </w:tcPr>
          <w:p w:rsidR="005752EB" w:rsidRPr="00B041BD" w:rsidRDefault="005752EB" w:rsidP="003D4FB5">
            <w:pPr>
              <w:pStyle w:val="Textpoznpodarou"/>
              <w:jc w:val="both"/>
              <w:rPr>
                <w:color w:val="0D0D0D" w:themeColor="text1" w:themeTint="F2"/>
              </w:rPr>
            </w:pPr>
          </w:p>
        </w:tc>
        <w:tc>
          <w:tcPr>
            <w:tcW w:w="3801" w:type="pct"/>
            <w:gridSpan w:val="3"/>
          </w:tcPr>
          <w:p w:rsidR="005752EB" w:rsidRPr="003425BB" w:rsidRDefault="005752EB" w:rsidP="003D4FB5">
            <w:pPr>
              <w:pStyle w:val="Textpoznpodarou"/>
              <w:jc w:val="both"/>
              <w:rPr>
                <w:rFonts w:cs="Arial"/>
                <w:color w:val="0D0D0D" w:themeColor="text1" w:themeTint="F2"/>
                <w:spacing w:val="-2"/>
              </w:rPr>
            </w:pPr>
            <w:r w:rsidRPr="003425BB">
              <w:rPr>
                <w:rFonts w:cs="Arial"/>
                <w:color w:val="0D0D0D" w:themeColor="text1" w:themeTint="F2"/>
                <w:spacing w:val="-2"/>
              </w:rPr>
              <w:t xml:space="preserve">Průměrná </w:t>
            </w:r>
            <w:r>
              <w:rPr>
                <w:rFonts w:cs="Arial"/>
                <w:color w:val="0D0D0D" w:themeColor="text1" w:themeTint="F2"/>
                <w:spacing w:val="-2"/>
              </w:rPr>
              <w:t xml:space="preserve">hrubá mzda (při zohlednění délky úvazků </w:t>
            </w:r>
            <w:r w:rsidR="00F06944">
              <w:rPr>
                <w:rFonts w:cs="Arial"/>
                <w:color w:val="0D0D0D" w:themeColor="text1" w:themeTint="F2"/>
                <w:spacing w:val="-2"/>
              </w:rPr>
              <w:t>zaměstnanců)</w:t>
            </w:r>
            <w:r w:rsidRPr="003425BB">
              <w:rPr>
                <w:rFonts w:cs="Arial"/>
                <w:color w:val="0D0D0D" w:themeColor="text1" w:themeTint="F2"/>
                <w:spacing w:val="-2"/>
              </w:rPr>
              <w:t xml:space="preserve"> za tři letošní </w:t>
            </w:r>
            <w:r>
              <w:rPr>
                <w:rFonts w:cs="Arial"/>
                <w:color w:val="0D0D0D" w:themeColor="text1" w:themeTint="F2"/>
                <w:spacing w:val="-2"/>
              </w:rPr>
              <w:t>čtvrtletí meziročně vzrostl</w:t>
            </w:r>
            <w:r w:rsidRPr="003425BB">
              <w:rPr>
                <w:rFonts w:cs="Arial"/>
                <w:color w:val="0D0D0D" w:themeColor="text1" w:themeTint="F2"/>
                <w:spacing w:val="-2"/>
              </w:rPr>
              <w:t xml:space="preserve">a o 4,3 %. Mzdy se zvyšovaly dvojnásobným tempem než vloni. V průběhu roku 2016 však již jejich tempo nezrychlovalo (meziroční dynamika byla v 1. i 3. čtvrtletí totožná). Výrazný mzdový růst souvisel </w:t>
            </w:r>
            <w:r>
              <w:rPr>
                <w:rFonts w:cs="Arial"/>
                <w:color w:val="0D0D0D" w:themeColor="text1" w:themeTint="F2"/>
                <w:spacing w:val="-2"/>
              </w:rPr>
              <w:t xml:space="preserve">s </w:t>
            </w:r>
            <w:r w:rsidRPr="003425BB">
              <w:rPr>
                <w:rFonts w:cs="Arial"/>
                <w:color w:val="0D0D0D" w:themeColor="text1" w:themeTint="F2"/>
                <w:spacing w:val="-2"/>
              </w:rPr>
              <w:t xml:space="preserve">dobrou kondicí firem (vysoká míra ziskovosti, převažující optimistické výhledy ve většině odvětví), důležitou roli sehrála i velmi nízká </w:t>
            </w:r>
            <w:r>
              <w:rPr>
                <w:rFonts w:cs="Arial"/>
                <w:color w:val="0D0D0D" w:themeColor="text1" w:themeTint="F2"/>
                <w:spacing w:val="-2"/>
              </w:rPr>
              <w:t xml:space="preserve">úroveň </w:t>
            </w:r>
            <w:r w:rsidRPr="003425BB">
              <w:rPr>
                <w:rFonts w:cs="Arial"/>
                <w:color w:val="0D0D0D" w:themeColor="text1" w:themeTint="F2"/>
                <w:spacing w:val="-2"/>
              </w:rPr>
              <w:t>nezaměstnanosti doprovázená rostoucím nedostatkem kvalifikovaných pracovníků (ve zpraco</w:t>
            </w:r>
            <w:r w:rsidR="00F06944">
              <w:rPr>
                <w:rFonts w:cs="Arial"/>
                <w:color w:val="0D0D0D" w:themeColor="text1" w:themeTint="F2"/>
                <w:spacing w:val="-2"/>
              </w:rPr>
              <w:t>vatelském průmyslu, ale např. i</w:t>
            </w:r>
            <w:r w:rsidR="00F06944" w:rsidRPr="003425BB">
              <w:rPr>
                <w:rFonts w:cs="Arial"/>
                <w:color w:val="0D0D0D" w:themeColor="text1" w:themeTint="F2"/>
                <w:spacing w:val="-2"/>
              </w:rPr>
              <w:t> </w:t>
            </w:r>
            <w:r w:rsidRPr="003425BB">
              <w:rPr>
                <w:rFonts w:cs="Arial"/>
                <w:color w:val="0D0D0D" w:themeColor="text1" w:themeTint="F2"/>
                <w:spacing w:val="-2"/>
              </w:rPr>
              <w:t>v obchodu či dopravě). Růstová tempa průměrných výdělků v podnikatelské sféře a v odvětvích s domina</w:t>
            </w:r>
            <w:r w:rsidR="00F06944">
              <w:rPr>
                <w:rFonts w:cs="Arial"/>
                <w:color w:val="0D0D0D" w:themeColor="text1" w:themeTint="F2"/>
                <w:spacing w:val="-2"/>
              </w:rPr>
              <w:t>n</w:t>
            </w:r>
            <w:r w:rsidRPr="003425BB">
              <w:rPr>
                <w:rFonts w:cs="Arial"/>
                <w:color w:val="0D0D0D" w:themeColor="text1" w:themeTint="F2"/>
                <w:spacing w:val="-2"/>
              </w:rPr>
              <w:t xml:space="preserve">cí státu byla na rozdíl od předchozích let téměř totožná (celkový objem vyplacených mezd </w:t>
            </w:r>
            <w:r>
              <w:rPr>
                <w:rFonts w:cs="Arial"/>
                <w:color w:val="0D0D0D" w:themeColor="text1" w:themeTint="F2"/>
                <w:spacing w:val="-2"/>
              </w:rPr>
              <w:t>byl</w:t>
            </w:r>
            <w:r w:rsidRPr="003425BB">
              <w:rPr>
                <w:rFonts w:cs="Arial"/>
                <w:color w:val="0D0D0D" w:themeColor="text1" w:themeTint="F2"/>
                <w:spacing w:val="-2"/>
              </w:rPr>
              <w:t xml:space="preserve"> ale letos v podnikatelské sféře vlivem silnějšího růstu zaměstnanosti o téměř 2 p.b. vyšší).</w:t>
            </w:r>
            <w:r>
              <w:rPr>
                <w:rFonts w:cs="Arial"/>
                <w:color w:val="0D0D0D" w:themeColor="text1" w:themeTint="F2"/>
                <w:spacing w:val="-2"/>
              </w:rPr>
              <w:t xml:space="preserve"> </w:t>
            </w:r>
          </w:p>
          <w:p w:rsidR="005752EB" w:rsidRPr="002D5C3D" w:rsidRDefault="005752EB" w:rsidP="003D4FB5">
            <w:pPr>
              <w:pStyle w:val="Textpoznpodarou"/>
              <w:jc w:val="both"/>
              <w:rPr>
                <w:rFonts w:cs="Arial"/>
                <w:color w:val="0D0D0D" w:themeColor="text1" w:themeTint="F2"/>
                <w:sz w:val="13"/>
                <w:szCs w:val="13"/>
              </w:rPr>
            </w:pPr>
          </w:p>
        </w:tc>
      </w:tr>
      <w:tr w:rsidR="005752EB" w:rsidTr="00B6553E">
        <w:tc>
          <w:tcPr>
            <w:tcW w:w="1057" w:type="pct"/>
            <w:gridSpan w:val="2"/>
          </w:tcPr>
          <w:p w:rsidR="005752EB" w:rsidRDefault="005752EB" w:rsidP="003D4FB5">
            <w:pPr>
              <w:spacing w:line="240" w:lineRule="auto"/>
              <w:rPr>
                <w:rFonts w:cs="Arial"/>
                <w:bCs/>
                <w:iCs/>
                <w:color w:val="0D0D0D" w:themeColor="text1" w:themeTint="F2"/>
                <w:spacing w:val="-2"/>
                <w:sz w:val="16"/>
                <w:szCs w:val="16"/>
              </w:rPr>
            </w:pPr>
            <w:r>
              <w:rPr>
                <w:rFonts w:cs="Arial"/>
                <w:bCs/>
                <w:iCs/>
                <w:color w:val="0D0D0D" w:themeColor="text1" w:themeTint="F2"/>
                <w:spacing w:val="-2"/>
                <w:sz w:val="16"/>
                <w:szCs w:val="16"/>
              </w:rPr>
              <w:t xml:space="preserve">Mzdový růst ve zpracovatelském průmyslu </w:t>
            </w:r>
            <w:r w:rsidR="00F06944">
              <w:rPr>
                <w:rFonts w:cs="Arial"/>
                <w:bCs/>
                <w:iCs/>
                <w:color w:val="0D0D0D" w:themeColor="text1" w:themeTint="F2"/>
                <w:spacing w:val="-2"/>
                <w:sz w:val="16"/>
                <w:szCs w:val="16"/>
              </w:rPr>
              <w:t>kopíroval podobně jako loni dynamiku v celé ekonomice.</w:t>
            </w:r>
          </w:p>
          <w:p w:rsidR="005752EB" w:rsidRDefault="005752EB" w:rsidP="003D4FB5">
            <w:pPr>
              <w:spacing w:line="240" w:lineRule="auto"/>
              <w:rPr>
                <w:rFonts w:cs="Arial"/>
                <w:bCs/>
                <w:iCs/>
                <w:color w:val="0D0D0D" w:themeColor="text1" w:themeTint="F2"/>
                <w:spacing w:val="-2"/>
                <w:sz w:val="16"/>
                <w:szCs w:val="16"/>
              </w:rPr>
            </w:pPr>
          </w:p>
          <w:p w:rsidR="005752EB" w:rsidRDefault="005752EB" w:rsidP="003D4FB5">
            <w:pPr>
              <w:spacing w:line="240" w:lineRule="auto"/>
              <w:rPr>
                <w:rFonts w:cs="Arial"/>
                <w:bCs/>
                <w:iCs/>
                <w:color w:val="0D0D0D" w:themeColor="text1" w:themeTint="F2"/>
                <w:spacing w:val="-2"/>
                <w:sz w:val="16"/>
                <w:szCs w:val="16"/>
              </w:rPr>
            </w:pPr>
          </w:p>
          <w:p w:rsidR="005752EB" w:rsidRDefault="005752EB" w:rsidP="003D4FB5">
            <w:pPr>
              <w:spacing w:line="240" w:lineRule="auto"/>
              <w:rPr>
                <w:rFonts w:cs="Arial"/>
                <w:bCs/>
                <w:iCs/>
                <w:color w:val="0D0D0D" w:themeColor="text1" w:themeTint="F2"/>
                <w:spacing w:val="-2"/>
                <w:sz w:val="16"/>
                <w:szCs w:val="16"/>
              </w:rPr>
            </w:pPr>
          </w:p>
          <w:p w:rsidR="005752EB" w:rsidRPr="00F62622" w:rsidRDefault="00F06944" w:rsidP="003D4FB5">
            <w:pPr>
              <w:spacing w:line="240" w:lineRule="auto"/>
              <w:rPr>
                <w:rFonts w:cs="Arial"/>
                <w:bCs/>
                <w:iCs/>
                <w:color w:val="0D0D0D" w:themeColor="text1" w:themeTint="F2"/>
                <w:spacing w:val="-2"/>
                <w:sz w:val="16"/>
                <w:szCs w:val="16"/>
              </w:rPr>
            </w:pPr>
            <w:r>
              <w:rPr>
                <w:rFonts w:cs="Arial"/>
                <w:bCs/>
                <w:iCs/>
                <w:color w:val="0D0D0D" w:themeColor="text1" w:themeTint="F2"/>
                <w:spacing w:val="-2"/>
                <w:sz w:val="16"/>
                <w:szCs w:val="16"/>
              </w:rPr>
              <w:t xml:space="preserve">Relativně nejvíce si polepšili zaměstnanci </w:t>
            </w:r>
            <w:r w:rsidR="005752EB">
              <w:rPr>
                <w:rFonts w:cs="Arial"/>
                <w:bCs/>
                <w:iCs/>
                <w:color w:val="0D0D0D" w:themeColor="text1" w:themeTint="F2"/>
                <w:spacing w:val="-2"/>
                <w:sz w:val="16"/>
                <w:szCs w:val="16"/>
              </w:rPr>
              <w:t>v odvětvích s nízkou úrovní výdělků (vlivem navyšování minimální mzdy)</w:t>
            </w:r>
            <w:r w:rsidR="005D073B">
              <w:rPr>
                <w:rFonts w:cs="Arial"/>
                <w:bCs/>
                <w:iCs/>
                <w:color w:val="0D0D0D" w:themeColor="text1" w:themeTint="F2"/>
                <w:spacing w:val="-2"/>
                <w:sz w:val="16"/>
                <w:szCs w:val="16"/>
              </w:rPr>
              <w:t>.</w:t>
            </w:r>
          </w:p>
        </w:tc>
        <w:tc>
          <w:tcPr>
            <w:tcW w:w="142" w:type="pct"/>
          </w:tcPr>
          <w:p w:rsidR="005752EB" w:rsidRPr="00F62622" w:rsidRDefault="005752EB" w:rsidP="003D4FB5">
            <w:pPr>
              <w:pStyle w:val="Textpoznpodarou"/>
              <w:jc w:val="both"/>
              <w:rPr>
                <w:color w:val="0D0D0D" w:themeColor="text1" w:themeTint="F2"/>
              </w:rPr>
            </w:pPr>
          </w:p>
        </w:tc>
        <w:tc>
          <w:tcPr>
            <w:tcW w:w="3801" w:type="pct"/>
            <w:gridSpan w:val="3"/>
          </w:tcPr>
          <w:p w:rsidR="005752EB" w:rsidRDefault="005752EB" w:rsidP="003D4FB5">
            <w:pPr>
              <w:pStyle w:val="Textpoznpodarou"/>
              <w:ind w:left="-17"/>
              <w:jc w:val="both"/>
              <w:rPr>
                <w:rFonts w:cs="Arial"/>
                <w:color w:val="0D0D0D" w:themeColor="text1" w:themeTint="F2"/>
                <w:spacing w:val="-2"/>
              </w:rPr>
            </w:pPr>
            <w:r>
              <w:rPr>
                <w:rFonts w:cs="Arial"/>
                <w:color w:val="0D0D0D" w:themeColor="text1" w:themeTint="F2"/>
                <w:spacing w:val="-2"/>
              </w:rPr>
              <w:t>Polepšili si zaměstnanci ve všech odvětvích. Ve váhově nejvýznamnějším zpracovatelském průmyslu dynamika průměrných mezd kopírovala (podobně jako loni) tempa v celé ekonomice. Jen mírně podprůměrný byl růst v odvětvích s nejvyšší úrovní mezd – peněžnictví a pojišťovnictví, resp. i</w:t>
            </w:r>
            <w:r w:rsidR="00F06944">
              <w:rPr>
                <w:rFonts w:cs="Arial"/>
                <w:color w:val="0D0D0D" w:themeColor="text1" w:themeTint="F2"/>
                <w:spacing w:val="-2"/>
              </w:rPr>
              <w:t>nformační a komunikační činnosti. Více než 5% tempem</w:t>
            </w:r>
            <w:r>
              <w:rPr>
                <w:rFonts w:cs="Arial"/>
                <w:color w:val="0D0D0D" w:themeColor="text1" w:themeTint="F2"/>
                <w:spacing w:val="-2"/>
              </w:rPr>
              <w:t xml:space="preserve"> se navýšily průměrné platy ve zdravotní a sociální péči a v odvětví veřejná správa, obraná a sociální zabezpečení. Zvýšení tarifů ve vzdělávání (od září 2016) se zatím v průměrných platech tohoto odvětví příliš neodrazilo (ve 3. čtvrtletí +3,8 %, od počátku roku +2,7 %). Naopak relativně nejvíce si polepšili zaměstnanci v kulturních, zábavních a rekreačních činnostech, administrativních a podpůrných činnostech a zejména v ubytování, stravování a pohostinství (za tři čtvrtletí o 7,2 %, v </w:t>
            </w:r>
            <w:r w:rsidR="00E56AF7">
              <w:rPr>
                <w:rFonts w:cs="Arial"/>
                <w:color w:val="0D0D0D" w:themeColor="text1" w:themeTint="F2"/>
                <w:spacing w:val="-2"/>
              </w:rPr>
              <w:t>absolutním vyjádření však jen o </w:t>
            </w:r>
            <w:r>
              <w:rPr>
                <w:rFonts w:cs="Arial"/>
                <w:color w:val="0D0D0D" w:themeColor="text1" w:themeTint="F2"/>
                <w:spacing w:val="-2"/>
              </w:rPr>
              <w:t>1042 korun, tj. polovinu toho, co pracovníci ve finančnictví).</w:t>
            </w:r>
          </w:p>
          <w:p w:rsidR="005752EB" w:rsidRPr="00F62622" w:rsidRDefault="005752EB" w:rsidP="003D4FB5">
            <w:pPr>
              <w:pStyle w:val="Textpoznpodarou"/>
              <w:jc w:val="both"/>
              <w:rPr>
                <w:rFonts w:cs="Arial"/>
                <w:color w:val="0D0D0D" w:themeColor="text1" w:themeTint="F2"/>
                <w:spacing w:val="-4"/>
                <w:sz w:val="14"/>
                <w:szCs w:val="14"/>
              </w:rPr>
            </w:pPr>
          </w:p>
        </w:tc>
      </w:tr>
      <w:tr w:rsidR="005752EB" w:rsidTr="00B6553E">
        <w:tc>
          <w:tcPr>
            <w:tcW w:w="1057" w:type="pct"/>
            <w:gridSpan w:val="2"/>
          </w:tcPr>
          <w:p w:rsidR="005752EB" w:rsidRPr="00437B63" w:rsidRDefault="00F06944" w:rsidP="003D4FB5">
            <w:pPr>
              <w:spacing w:line="240" w:lineRule="auto"/>
              <w:rPr>
                <w:rFonts w:cs="Arial"/>
                <w:bCs/>
                <w:iCs/>
                <w:color w:val="0D0D0D" w:themeColor="text1" w:themeTint="F2"/>
                <w:spacing w:val="-2"/>
                <w:sz w:val="16"/>
                <w:szCs w:val="16"/>
              </w:rPr>
            </w:pPr>
            <w:r>
              <w:rPr>
                <w:rFonts w:cs="Arial"/>
                <w:bCs/>
                <w:iCs/>
                <w:color w:val="0D0D0D" w:themeColor="text1" w:themeTint="F2"/>
                <w:spacing w:val="-2"/>
                <w:sz w:val="16"/>
                <w:szCs w:val="16"/>
              </w:rPr>
              <w:t xml:space="preserve">Reálné mzdy letos rostly </w:t>
            </w:r>
            <w:r w:rsidR="008508A9">
              <w:rPr>
                <w:rFonts w:cs="Arial"/>
                <w:bCs/>
                <w:iCs/>
                <w:color w:val="0D0D0D" w:themeColor="text1" w:themeTint="F2"/>
                <w:spacing w:val="-2"/>
                <w:sz w:val="16"/>
                <w:szCs w:val="16"/>
              </w:rPr>
              <w:t>i </w:t>
            </w:r>
            <w:r>
              <w:rPr>
                <w:rFonts w:cs="Arial"/>
                <w:bCs/>
                <w:iCs/>
                <w:color w:val="0D0D0D" w:themeColor="text1" w:themeTint="F2"/>
                <w:spacing w:val="-2"/>
                <w:sz w:val="16"/>
                <w:szCs w:val="16"/>
              </w:rPr>
              <w:t xml:space="preserve">díky </w:t>
            </w:r>
            <w:r w:rsidR="008508A9">
              <w:rPr>
                <w:rFonts w:cs="Arial"/>
                <w:bCs/>
                <w:iCs/>
                <w:color w:val="0D0D0D" w:themeColor="text1" w:themeTint="F2"/>
                <w:spacing w:val="-2"/>
                <w:sz w:val="16"/>
                <w:szCs w:val="16"/>
              </w:rPr>
              <w:t xml:space="preserve">přetrvávajícímu </w:t>
            </w:r>
            <w:r>
              <w:rPr>
                <w:rFonts w:cs="Arial"/>
                <w:bCs/>
                <w:iCs/>
                <w:color w:val="0D0D0D" w:themeColor="text1" w:themeTint="F2"/>
                <w:spacing w:val="-2"/>
                <w:sz w:val="16"/>
                <w:szCs w:val="16"/>
              </w:rPr>
              <w:t>n</w:t>
            </w:r>
            <w:r w:rsidR="005752EB" w:rsidRPr="00437B63">
              <w:rPr>
                <w:rFonts w:cs="Arial"/>
                <w:bCs/>
                <w:iCs/>
                <w:color w:val="0D0D0D" w:themeColor="text1" w:themeTint="F2"/>
                <w:spacing w:val="-2"/>
                <w:sz w:val="16"/>
                <w:szCs w:val="16"/>
              </w:rPr>
              <w:t>ízko</w:t>
            </w:r>
            <w:r w:rsidR="008508A9">
              <w:rPr>
                <w:rFonts w:cs="Arial"/>
                <w:bCs/>
                <w:iCs/>
                <w:color w:val="0D0D0D" w:themeColor="text1" w:themeTint="F2"/>
                <w:spacing w:val="-2"/>
                <w:sz w:val="16"/>
                <w:szCs w:val="16"/>
              </w:rPr>
              <w:t>-</w:t>
            </w:r>
            <w:r w:rsidR="005752EB" w:rsidRPr="00437B63">
              <w:rPr>
                <w:rFonts w:cs="Arial"/>
                <w:bCs/>
                <w:iCs/>
                <w:color w:val="0D0D0D" w:themeColor="text1" w:themeTint="F2"/>
                <w:spacing w:val="-2"/>
                <w:sz w:val="16"/>
                <w:szCs w:val="16"/>
              </w:rPr>
              <w:t>inflační</w:t>
            </w:r>
            <w:r>
              <w:rPr>
                <w:rFonts w:cs="Arial"/>
                <w:bCs/>
                <w:iCs/>
                <w:color w:val="0D0D0D" w:themeColor="text1" w:themeTint="F2"/>
                <w:spacing w:val="-2"/>
                <w:sz w:val="16"/>
                <w:szCs w:val="16"/>
              </w:rPr>
              <w:t>mu</w:t>
            </w:r>
            <w:r w:rsidR="005752EB" w:rsidRPr="00437B63">
              <w:rPr>
                <w:rFonts w:cs="Arial"/>
                <w:bCs/>
                <w:iCs/>
                <w:color w:val="0D0D0D" w:themeColor="text1" w:themeTint="F2"/>
                <w:spacing w:val="-2"/>
                <w:sz w:val="16"/>
                <w:szCs w:val="16"/>
              </w:rPr>
              <w:t xml:space="preserve"> prost</w:t>
            </w:r>
            <w:r w:rsidR="008508A9">
              <w:rPr>
                <w:rFonts w:cs="Arial"/>
                <w:bCs/>
                <w:iCs/>
                <w:color w:val="0D0D0D" w:themeColor="text1" w:themeTint="F2"/>
                <w:spacing w:val="-2"/>
                <w:sz w:val="16"/>
                <w:szCs w:val="16"/>
              </w:rPr>
              <w:t>ředí nejvyšším tempem od konce roku 2007</w:t>
            </w:r>
          </w:p>
        </w:tc>
        <w:tc>
          <w:tcPr>
            <w:tcW w:w="142" w:type="pct"/>
          </w:tcPr>
          <w:p w:rsidR="005752EB" w:rsidRPr="00437B63" w:rsidRDefault="005752EB" w:rsidP="003D4FB5">
            <w:pPr>
              <w:pStyle w:val="Textpoznpodarou"/>
              <w:jc w:val="both"/>
              <w:rPr>
                <w:color w:val="0D0D0D" w:themeColor="text1" w:themeTint="F2"/>
              </w:rPr>
            </w:pPr>
          </w:p>
        </w:tc>
        <w:tc>
          <w:tcPr>
            <w:tcW w:w="3801" w:type="pct"/>
            <w:gridSpan w:val="3"/>
          </w:tcPr>
          <w:p w:rsidR="005752EB" w:rsidRDefault="005752EB" w:rsidP="003D4FB5">
            <w:pPr>
              <w:pStyle w:val="Textpoznpodarou"/>
              <w:jc w:val="both"/>
              <w:rPr>
                <w:rFonts w:cs="Arial"/>
                <w:color w:val="0D0D0D" w:themeColor="text1" w:themeTint="F2"/>
                <w:spacing w:val="-4"/>
                <w:sz w:val="14"/>
                <w:szCs w:val="14"/>
              </w:rPr>
            </w:pPr>
            <w:r w:rsidRPr="00437B63">
              <w:rPr>
                <w:color w:val="0D0D0D" w:themeColor="text1" w:themeTint="F2"/>
                <w:spacing w:val="-4"/>
              </w:rPr>
              <w:t>Mzdová diferenciace se mírně snižovala. Růst mzdového mediánu převyšoval dynamiku průměrných mezd již pět čtvrtletí v řadě. Nízká míra inflace a zrychlující růst průměrné mzdy se příznivě odrazily ve vývoji kupní síly zaměstnaneckých výdělků. Dyna</w:t>
            </w:r>
            <w:r w:rsidR="00F06944">
              <w:rPr>
                <w:color w:val="0D0D0D" w:themeColor="text1" w:themeTint="F2"/>
                <w:spacing w:val="-4"/>
              </w:rPr>
              <w:t>mika reálných mezd v 1.</w:t>
            </w:r>
            <w:r w:rsidR="00E56AF7">
              <w:rPr>
                <w:color w:val="0D0D0D" w:themeColor="text1" w:themeTint="F2"/>
                <w:spacing w:val="-4"/>
              </w:rPr>
              <w:t xml:space="preserve"> </w:t>
            </w:r>
            <w:r w:rsidR="00F06944">
              <w:rPr>
                <w:color w:val="0D0D0D" w:themeColor="text1" w:themeTint="F2"/>
                <w:spacing w:val="-4"/>
              </w:rPr>
              <w:t xml:space="preserve">až </w:t>
            </w:r>
            <w:r>
              <w:rPr>
                <w:color w:val="0D0D0D" w:themeColor="text1" w:themeTint="F2"/>
                <w:spacing w:val="-4"/>
              </w:rPr>
              <w:t>3. čtvrtletí zrychlila na 3,9</w:t>
            </w:r>
            <w:r w:rsidRPr="00437B63">
              <w:rPr>
                <w:color w:val="0D0D0D" w:themeColor="text1" w:themeTint="F2"/>
                <w:spacing w:val="-4"/>
              </w:rPr>
              <w:t xml:space="preserve"> %, tedy nejvyšším meziročním tempem od </w:t>
            </w:r>
            <w:r>
              <w:rPr>
                <w:color w:val="0D0D0D" w:themeColor="text1" w:themeTint="F2"/>
                <w:spacing w:val="-4"/>
              </w:rPr>
              <w:t>roku 2007</w:t>
            </w:r>
            <w:r w:rsidRPr="00437B63">
              <w:rPr>
                <w:color w:val="0D0D0D" w:themeColor="text1" w:themeTint="F2"/>
                <w:spacing w:val="-4"/>
              </w:rPr>
              <w:t>.</w:t>
            </w:r>
            <w:r w:rsidRPr="00437B63">
              <w:rPr>
                <w:rFonts w:cs="Arial"/>
                <w:color w:val="0D0D0D" w:themeColor="text1" w:themeTint="F2"/>
                <w:spacing w:val="-4"/>
                <w:sz w:val="14"/>
                <w:szCs w:val="14"/>
              </w:rPr>
              <w:t xml:space="preserve"> </w:t>
            </w:r>
          </w:p>
          <w:p w:rsidR="00466808" w:rsidRPr="002D5C3D" w:rsidRDefault="00466808" w:rsidP="003D4FB5">
            <w:pPr>
              <w:pStyle w:val="Textpoznpodarou"/>
              <w:jc w:val="both"/>
              <w:rPr>
                <w:rFonts w:cs="Arial"/>
                <w:color w:val="0D0D0D" w:themeColor="text1" w:themeTint="F2"/>
                <w:spacing w:val="-4"/>
                <w:sz w:val="12"/>
                <w:szCs w:val="12"/>
              </w:rPr>
            </w:pPr>
          </w:p>
        </w:tc>
      </w:tr>
      <w:tr w:rsidR="005752EB" w:rsidTr="00B6553E">
        <w:tc>
          <w:tcPr>
            <w:tcW w:w="393" w:type="pct"/>
          </w:tcPr>
          <w:p w:rsidR="005752EB" w:rsidRPr="007E77FB" w:rsidRDefault="005752EB" w:rsidP="003D4FB5">
            <w:pPr>
              <w:pStyle w:val="Textpoznpodarou"/>
              <w:rPr>
                <w:lang w:eastAsia="en-US"/>
              </w:rPr>
            </w:pPr>
            <w:r w:rsidRPr="007E77FB">
              <w:rPr>
                <w:lang w:eastAsia="en-US"/>
              </w:rPr>
              <w:t>Graf č. 15</w:t>
            </w:r>
          </w:p>
        </w:tc>
        <w:tc>
          <w:tcPr>
            <w:tcW w:w="2115" w:type="pct"/>
            <w:gridSpan w:val="3"/>
          </w:tcPr>
          <w:p w:rsidR="005752EB" w:rsidRPr="007E77FB" w:rsidRDefault="005752EB" w:rsidP="003D4FB5">
            <w:pPr>
              <w:pStyle w:val="Textpoznpodarou"/>
              <w:rPr>
                <w:lang w:eastAsia="en-US"/>
              </w:rPr>
            </w:pPr>
            <w:r w:rsidRPr="00886A8F">
              <w:rPr>
                <w:b/>
                <w:lang w:eastAsia="en-US"/>
              </w:rPr>
              <w:t xml:space="preserve">Počty zaměstnaných osob a zaměstnanců </w:t>
            </w:r>
            <w:r w:rsidRPr="00582DA0">
              <w:rPr>
                <w:spacing w:val="-4"/>
                <w:lang w:eastAsia="en-US"/>
              </w:rPr>
              <w:t>(</w:t>
            </w:r>
            <w:r>
              <w:rPr>
                <w:spacing w:val="-4"/>
                <w:lang w:eastAsia="en-US"/>
              </w:rPr>
              <w:t>po</w:t>
            </w:r>
            <w:r w:rsidRPr="00582DA0">
              <w:rPr>
                <w:spacing w:val="-4"/>
                <w:lang w:eastAsia="en-US"/>
              </w:rPr>
              <w:t>dle</w:t>
            </w:r>
            <w:r>
              <w:rPr>
                <w:spacing w:val="-4"/>
                <w:lang w:eastAsia="en-US"/>
              </w:rPr>
              <w:t xml:space="preserve"> národních účtů</w:t>
            </w:r>
            <w:r w:rsidRPr="00582DA0">
              <w:rPr>
                <w:spacing w:val="-4"/>
                <w:lang w:eastAsia="en-US"/>
              </w:rPr>
              <w:t xml:space="preserve">, </w:t>
            </w:r>
            <w:r>
              <w:rPr>
                <w:spacing w:val="-4"/>
                <w:lang w:eastAsia="en-US"/>
              </w:rPr>
              <w:t xml:space="preserve">sezónně oč., </w:t>
            </w:r>
            <w:r w:rsidRPr="00582DA0">
              <w:rPr>
                <w:spacing w:val="-4"/>
                <w:lang w:eastAsia="en-US"/>
              </w:rPr>
              <w:t>y/y v %)</w:t>
            </w:r>
          </w:p>
        </w:tc>
        <w:tc>
          <w:tcPr>
            <w:tcW w:w="429" w:type="pct"/>
          </w:tcPr>
          <w:p w:rsidR="005752EB" w:rsidRPr="007E77FB" w:rsidRDefault="005752EB" w:rsidP="003D4FB5">
            <w:pPr>
              <w:pStyle w:val="Textpoznpodarou"/>
              <w:rPr>
                <w:lang w:eastAsia="en-US"/>
              </w:rPr>
            </w:pPr>
            <w:r w:rsidRPr="007E77FB">
              <w:rPr>
                <w:lang w:eastAsia="en-US"/>
              </w:rPr>
              <w:t>Graf č. 16</w:t>
            </w:r>
          </w:p>
        </w:tc>
        <w:tc>
          <w:tcPr>
            <w:tcW w:w="2063" w:type="pct"/>
          </w:tcPr>
          <w:p w:rsidR="005752EB" w:rsidRPr="00886A8F" w:rsidRDefault="005752EB" w:rsidP="003D4FB5">
            <w:pPr>
              <w:pStyle w:val="Textpoznpodarou"/>
              <w:rPr>
                <w:spacing w:val="-2"/>
                <w:lang w:eastAsia="en-US"/>
              </w:rPr>
            </w:pPr>
            <w:r>
              <w:rPr>
                <w:b/>
                <w:spacing w:val="-2"/>
                <w:lang w:eastAsia="en-US"/>
              </w:rPr>
              <w:t>H</w:t>
            </w:r>
            <w:r w:rsidRPr="00886A8F">
              <w:rPr>
                <w:b/>
                <w:spacing w:val="-2"/>
                <w:lang w:eastAsia="en-US"/>
              </w:rPr>
              <w:t xml:space="preserve">rubá měsíční mzda nominálně a reálně </w:t>
            </w:r>
            <w:r w:rsidRPr="00582DA0">
              <w:rPr>
                <w:spacing w:val="-6"/>
                <w:lang w:eastAsia="en-US"/>
              </w:rPr>
              <w:t>(přepočtené počty zaměstnanců, y/y v %)</w:t>
            </w:r>
          </w:p>
        </w:tc>
      </w:tr>
      <w:tr w:rsidR="005752EB" w:rsidTr="00B6553E">
        <w:tc>
          <w:tcPr>
            <w:tcW w:w="2508" w:type="pct"/>
            <w:gridSpan w:val="4"/>
          </w:tcPr>
          <w:p w:rsidR="005752EB" w:rsidRDefault="00505989" w:rsidP="003D4FB5">
            <w:pPr>
              <w:pStyle w:val="Textpoznpodarou"/>
              <w:jc w:val="both"/>
            </w:pPr>
            <w:r>
              <w:rPr>
                <w:noProof/>
              </w:rPr>
              <w:drawing>
                <wp:inline distT="0" distB="0" distL="0" distR="0">
                  <wp:extent cx="3046578" cy="2256312"/>
                  <wp:effectExtent l="19050" t="0" r="1422"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a:srcRect/>
                          <a:stretch>
                            <a:fillRect/>
                          </a:stretch>
                        </pic:blipFill>
                        <pic:spPr bwMode="auto">
                          <a:xfrm>
                            <a:off x="0" y="0"/>
                            <a:ext cx="3044825" cy="2255014"/>
                          </a:xfrm>
                          <a:prstGeom prst="rect">
                            <a:avLst/>
                          </a:prstGeom>
                          <a:noFill/>
                          <a:ln w="9525">
                            <a:noFill/>
                            <a:miter lim="800000"/>
                            <a:headEnd/>
                            <a:tailEnd/>
                          </a:ln>
                        </pic:spPr>
                      </pic:pic>
                    </a:graphicData>
                  </a:graphic>
                </wp:inline>
              </w:drawing>
            </w:r>
          </w:p>
        </w:tc>
        <w:tc>
          <w:tcPr>
            <w:tcW w:w="2492" w:type="pct"/>
            <w:gridSpan w:val="2"/>
          </w:tcPr>
          <w:p w:rsidR="005752EB" w:rsidRDefault="00505989" w:rsidP="003D4FB5">
            <w:pPr>
              <w:pStyle w:val="Textpoznpodarou"/>
              <w:jc w:val="both"/>
            </w:pPr>
            <w:r>
              <w:rPr>
                <w:noProof/>
              </w:rPr>
              <w:drawing>
                <wp:inline distT="0" distB="0" distL="0" distR="0">
                  <wp:extent cx="3023796" cy="2256312"/>
                  <wp:effectExtent l="19050" t="0" r="5154" b="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a:srcRect/>
                          <a:stretch>
                            <a:fillRect/>
                          </a:stretch>
                        </pic:blipFill>
                        <pic:spPr bwMode="auto">
                          <a:xfrm>
                            <a:off x="0" y="0"/>
                            <a:ext cx="3027680" cy="2259210"/>
                          </a:xfrm>
                          <a:prstGeom prst="rect">
                            <a:avLst/>
                          </a:prstGeom>
                          <a:noFill/>
                          <a:ln w="9525">
                            <a:noFill/>
                            <a:miter lim="800000"/>
                            <a:headEnd/>
                            <a:tailEnd/>
                          </a:ln>
                        </pic:spPr>
                      </pic:pic>
                    </a:graphicData>
                  </a:graphic>
                </wp:inline>
              </w:drawing>
            </w:r>
          </w:p>
        </w:tc>
      </w:tr>
      <w:tr w:rsidR="005752EB" w:rsidTr="00B6553E">
        <w:tc>
          <w:tcPr>
            <w:tcW w:w="5000" w:type="pct"/>
            <w:gridSpan w:val="6"/>
          </w:tcPr>
          <w:p w:rsidR="005752EB" w:rsidRPr="004C5813" w:rsidRDefault="005752EB" w:rsidP="003D4FB5">
            <w:pPr>
              <w:autoSpaceDE w:val="0"/>
              <w:autoSpaceDN w:val="0"/>
              <w:adjustRightInd w:val="0"/>
              <w:spacing w:line="240" w:lineRule="auto"/>
              <w:jc w:val="right"/>
              <w:rPr>
                <w:rFonts w:cs="Arial"/>
                <w:color w:val="000000" w:themeColor="text1"/>
                <w:spacing w:val="-2"/>
                <w:sz w:val="18"/>
                <w:szCs w:val="18"/>
              </w:rPr>
            </w:pPr>
            <w:r w:rsidRPr="00B6553E">
              <w:rPr>
                <w:sz w:val="17"/>
                <w:szCs w:val="17"/>
                <w:lang w:eastAsia="en-US"/>
              </w:rPr>
              <w:t>Zdroj</w:t>
            </w:r>
            <w:r w:rsidRPr="00886A8F">
              <w:rPr>
                <w:sz w:val="18"/>
                <w:szCs w:val="18"/>
                <w:lang w:eastAsia="en-US"/>
              </w:rPr>
              <w:t>: ČSÚ</w:t>
            </w:r>
          </w:p>
        </w:tc>
      </w:tr>
    </w:tbl>
    <w:p w:rsidR="005752EB" w:rsidRDefault="005752EB" w:rsidP="00D94859">
      <w:pPr>
        <w:rPr>
          <w:sz w:val="2"/>
          <w:szCs w:val="2"/>
          <w:lang w:eastAsia="ar-SA"/>
        </w:rPr>
      </w:pPr>
    </w:p>
    <w:p w:rsidR="005752EB" w:rsidRPr="00A74192" w:rsidRDefault="005752EB" w:rsidP="00D94859">
      <w:pPr>
        <w:rPr>
          <w:sz w:val="2"/>
          <w:szCs w:val="2"/>
          <w:lang w:eastAsia="ar-SA"/>
        </w:rPr>
      </w:pPr>
    </w:p>
    <w:p w:rsidR="00576A3E" w:rsidRPr="00A74192" w:rsidRDefault="00576A3E" w:rsidP="00941339">
      <w:pPr>
        <w:pStyle w:val="Nadpis1"/>
        <w:numPr>
          <w:ilvl w:val="0"/>
          <w:numId w:val="12"/>
        </w:numPr>
        <w:ind w:left="709"/>
        <w:jc w:val="both"/>
      </w:pPr>
      <w:bookmarkStart w:id="16" w:name="_Toc469299935"/>
      <w:bookmarkStart w:id="17" w:name="_Toc469327804"/>
      <w:r w:rsidRPr="00A74192">
        <w:t>Měnové podmínky</w:t>
      </w:r>
      <w:bookmarkEnd w:id="16"/>
      <w:bookmarkEnd w:id="17"/>
    </w:p>
    <w:tbl>
      <w:tblPr>
        <w:tblW w:w="4995" w:type="pct"/>
        <w:tblInd w:w="108" w:type="dxa"/>
        <w:tblLayout w:type="fixed"/>
        <w:tblLook w:val="00A0"/>
      </w:tblPr>
      <w:tblGrid>
        <w:gridCol w:w="1134"/>
        <w:gridCol w:w="866"/>
        <w:gridCol w:w="284"/>
        <w:gridCol w:w="2589"/>
        <w:gridCol w:w="1150"/>
        <w:gridCol w:w="3821"/>
      </w:tblGrid>
      <w:tr w:rsidR="00EE0473" w:rsidRPr="00A74192" w:rsidTr="00F06C6F">
        <w:trPr>
          <w:trHeight w:val="145"/>
        </w:trPr>
        <w:tc>
          <w:tcPr>
            <w:tcW w:w="1016" w:type="pct"/>
            <w:gridSpan w:val="2"/>
          </w:tcPr>
          <w:p w:rsidR="00EE0473" w:rsidRPr="00A74192" w:rsidRDefault="00EE0473" w:rsidP="008869D2">
            <w:pPr>
              <w:spacing w:line="240" w:lineRule="auto"/>
              <w:rPr>
                <w:color w:val="000000" w:themeColor="text1"/>
                <w:sz w:val="16"/>
                <w:szCs w:val="16"/>
              </w:rPr>
            </w:pPr>
            <w:r w:rsidRPr="00A74192">
              <w:rPr>
                <w:color w:val="000000" w:themeColor="text1"/>
                <w:sz w:val="16"/>
                <w:szCs w:val="16"/>
              </w:rPr>
              <w:t>Nastavení měnové politiky se nezměnilo. Nadále platil kurzový závazek ČNB.</w:t>
            </w:r>
          </w:p>
        </w:tc>
        <w:tc>
          <w:tcPr>
            <w:tcW w:w="144" w:type="pct"/>
          </w:tcPr>
          <w:p w:rsidR="00EE0473" w:rsidRPr="00A74192" w:rsidRDefault="00EE0473" w:rsidP="00D94859">
            <w:pPr>
              <w:pStyle w:val="Textpoznpodarou"/>
              <w:jc w:val="both"/>
            </w:pPr>
          </w:p>
        </w:tc>
        <w:tc>
          <w:tcPr>
            <w:tcW w:w="3840" w:type="pct"/>
            <w:gridSpan w:val="3"/>
          </w:tcPr>
          <w:p w:rsidR="00EE0473" w:rsidRPr="00A74192" w:rsidRDefault="00EE0473" w:rsidP="00D94859">
            <w:pPr>
              <w:pStyle w:val="Textpoznpodarou"/>
              <w:jc w:val="both"/>
            </w:pPr>
            <w:r w:rsidRPr="00A74192">
              <w:t>Uvolněná měnová politika ČR přetrvávala i v 1. až 3. čtvrtletí 2016. Měnověpolitické sazby zůstaly nezměněny – 2T repo sazba a diskontní sazba jsou stále na úrovni blízké nule (0,05 %), podobně jako lombardní sazba (0,25 %). Měnový kurz koruny k euru je od listopadu 2013 usměrňovaný závazkem České národní banky (ČNB). Ve 3. čtvrtletí 2015 kurz koruny dosáhl hranice kurzového závazku a od té doby ji neopustil. Kurz koruny k americkému dolaru se během prvních devíti měsíců držel pod 25 korunami za dolar. Meziročně kurz posiloval, nejvíce ve druhém čtvrtletí, kdy se dostal průměrně pod 24 korun. Jeho průměrná hodnota dosáhla 24,23 korun za dolar a vůči průměrnému kurzu za stejné období roku 2015 měna posílila o 1,3 %. Peněžní zásoba vyjádřená harmonizovaným měnovým agregátem M3 nadále rostla, průměrné tempo růstu se ustálilo těsně nad 9 %.</w:t>
            </w:r>
          </w:p>
          <w:p w:rsidR="00EE0473" w:rsidRPr="008A73DA" w:rsidRDefault="00EE0473" w:rsidP="00D94859">
            <w:pPr>
              <w:pStyle w:val="Textpoznpodarou"/>
              <w:jc w:val="both"/>
              <w:rPr>
                <w:sz w:val="15"/>
                <w:szCs w:val="15"/>
              </w:rPr>
            </w:pPr>
          </w:p>
        </w:tc>
      </w:tr>
      <w:tr w:rsidR="00EE0473" w:rsidRPr="00A74192" w:rsidTr="00F06C6F">
        <w:trPr>
          <w:trHeight w:val="145"/>
        </w:trPr>
        <w:tc>
          <w:tcPr>
            <w:tcW w:w="1016" w:type="pct"/>
            <w:gridSpan w:val="2"/>
            <w:shd w:val="clear" w:color="auto" w:fill="auto"/>
          </w:tcPr>
          <w:p w:rsidR="00EE0473" w:rsidRPr="00A74192" w:rsidRDefault="00EE0473" w:rsidP="00D94859">
            <w:pPr>
              <w:spacing w:line="240" w:lineRule="auto"/>
              <w:rPr>
                <w:color w:val="000000" w:themeColor="text1"/>
                <w:sz w:val="16"/>
                <w:szCs w:val="16"/>
              </w:rPr>
            </w:pPr>
            <w:r w:rsidRPr="00A74192">
              <w:rPr>
                <w:color w:val="000000" w:themeColor="text1"/>
                <w:sz w:val="16"/>
                <w:szCs w:val="16"/>
              </w:rPr>
              <w:t>Vzhledem k bankovním podmínkám stále klesá objem vkladů s domluvenou splatností a zvyšuje se objem jednodenních vkladů. Ty tvořily 75,5 % z celkového objemu peněz v ekonomice.</w:t>
            </w:r>
          </w:p>
        </w:tc>
        <w:tc>
          <w:tcPr>
            <w:tcW w:w="144" w:type="pct"/>
          </w:tcPr>
          <w:p w:rsidR="00EE0473" w:rsidRPr="00A74192" w:rsidRDefault="00EE0473" w:rsidP="00D94859">
            <w:pPr>
              <w:pStyle w:val="Textpoznpodarou"/>
              <w:jc w:val="both"/>
            </w:pPr>
          </w:p>
        </w:tc>
        <w:tc>
          <w:tcPr>
            <w:tcW w:w="3840" w:type="pct"/>
            <w:gridSpan w:val="3"/>
          </w:tcPr>
          <w:p w:rsidR="00EE0473" w:rsidRPr="00A74192" w:rsidRDefault="00EE0473" w:rsidP="00D94859">
            <w:pPr>
              <w:pStyle w:val="Textpoznpodarou"/>
              <w:jc w:val="both"/>
            </w:pPr>
            <w:r w:rsidRPr="00A74192">
              <w:t>Harmonizovaný měnový agregát M3 dosáhl na konci 3. čtvrtletí 2016 hodnoty 3776 mld. korun. Na jeho nárůstu se podílí především jednodenní vklady, které vzrostly k 30. 9. meziročně o 12,5 %. Podíl těchto vkladů stabilně roste od roku 2010 a v září 2016 dosáhl 75,5 %</w:t>
            </w:r>
            <w:r w:rsidRPr="00A74192">
              <w:rPr>
                <w:rStyle w:val="Znakapoznpodarou"/>
              </w:rPr>
              <w:footnoteReference w:id="29"/>
            </w:r>
            <w:r w:rsidRPr="00A74192">
              <w:t xml:space="preserve">. Od ledna 2016 se zvýšil o 2,5 p.b. Jednodenních vkladů přibývá na úkor vkladů se splatností do dvou let a vkladů s výpovědní lhůtou do tří měsíců. Za prvních devět měsíců roku 2016 se jejich objem snížil o 75,9 mld. korun. Položky repo operací, cenných papírů, fondů peněžního trhu a dluhopisů se splatností do dvou let, které jsou co do objemu prakticky bezvýznamné, kolísaly během roku mezi 15 až 25 miliardami korun. </w:t>
            </w:r>
          </w:p>
          <w:p w:rsidR="00EE0473" w:rsidRPr="008A73DA" w:rsidRDefault="00EE0473" w:rsidP="00D94859">
            <w:pPr>
              <w:pStyle w:val="Textpoznpodarou"/>
              <w:jc w:val="both"/>
              <w:rPr>
                <w:sz w:val="15"/>
                <w:szCs w:val="15"/>
              </w:rPr>
            </w:pPr>
          </w:p>
        </w:tc>
      </w:tr>
      <w:tr w:rsidR="00EE0473" w:rsidRPr="00A74192" w:rsidTr="00F06C6F">
        <w:trPr>
          <w:trHeight w:val="145"/>
        </w:trPr>
        <w:tc>
          <w:tcPr>
            <w:tcW w:w="1016" w:type="pct"/>
            <w:gridSpan w:val="2"/>
            <w:shd w:val="clear" w:color="auto" w:fill="auto"/>
          </w:tcPr>
          <w:p w:rsidR="00EE0473" w:rsidRPr="00A74192" w:rsidRDefault="00EE0473" w:rsidP="00D94859">
            <w:pPr>
              <w:spacing w:line="240" w:lineRule="auto"/>
              <w:rPr>
                <w:color w:val="000000" w:themeColor="text1"/>
                <w:sz w:val="16"/>
                <w:szCs w:val="16"/>
              </w:rPr>
            </w:pPr>
            <w:r w:rsidRPr="00A74192">
              <w:rPr>
                <w:color w:val="000000" w:themeColor="text1"/>
                <w:sz w:val="16"/>
                <w:szCs w:val="16"/>
              </w:rPr>
              <w:t>Tržní úrokové sazby nezaznamenaly výraznější pohyb. Do záporných hodnot klesly výnosy dvouletých i</w:t>
            </w:r>
            <w:r w:rsidR="005E6AB8">
              <w:rPr>
                <w:color w:val="000000" w:themeColor="text1"/>
                <w:sz w:val="16"/>
                <w:szCs w:val="16"/>
              </w:rPr>
              <w:t> </w:t>
            </w:r>
            <w:r w:rsidRPr="00A74192">
              <w:rPr>
                <w:color w:val="000000" w:themeColor="text1"/>
                <w:sz w:val="16"/>
                <w:szCs w:val="16"/>
              </w:rPr>
              <w:t xml:space="preserve">pětiletých dluhopisů. </w:t>
            </w:r>
          </w:p>
          <w:p w:rsidR="00EE0473" w:rsidRPr="00A74192" w:rsidRDefault="00EE0473" w:rsidP="00D94859">
            <w:pPr>
              <w:spacing w:line="240" w:lineRule="auto"/>
              <w:rPr>
                <w:color w:val="000000" w:themeColor="text1"/>
                <w:sz w:val="16"/>
                <w:szCs w:val="16"/>
              </w:rPr>
            </w:pPr>
          </w:p>
          <w:p w:rsidR="00EE0473" w:rsidRPr="00A74192" w:rsidRDefault="00EE0473" w:rsidP="00D94859">
            <w:pPr>
              <w:spacing w:line="240" w:lineRule="auto"/>
              <w:rPr>
                <w:color w:val="000000" w:themeColor="text1"/>
                <w:sz w:val="16"/>
                <w:szCs w:val="16"/>
              </w:rPr>
            </w:pPr>
          </w:p>
        </w:tc>
        <w:tc>
          <w:tcPr>
            <w:tcW w:w="144" w:type="pct"/>
          </w:tcPr>
          <w:p w:rsidR="00EE0473" w:rsidRPr="00A74192" w:rsidRDefault="00EE0473" w:rsidP="00D94859">
            <w:pPr>
              <w:pStyle w:val="Textpoznpodarou"/>
              <w:jc w:val="both"/>
              <w:rPr>
                <w:highlight w:val="yellow"/>
              </w:rPr>
            </w:pPr>
          </w:p>
        </w:tc>
        <w:tc>
          <w:tcPr>
            <w:tcW w:w="3840" w:type="pct"/>
            <w:gridSpan w:val="3"/>
          </w:tcPr>
          <w:p w:rsidR="00EE0473" w:rsidRPr="00A74192" w:rsidRDefault="00EE0473" w:rsidP="00D94859">
            <w:pPr>
              <w:pStyle w:val="Textpoznpodarou"/>
              <w:jc w:val="both"/>
            </w:pPr>
            <w:r w:rsidRPr="00A74192">
              <w:t>V oblasti tržních úrokových sazeb po celé sledované období nedošlo ke změnám. Jejich rekordně nízká úroveň odráží měnověpolitické sazby nastavené na tzv. technickou nulu. Tříměsíční PRIBOR se od ledna nezměnil a drží se těsně pod hladinou 0,30 %. Průměrná hodnota roční sazby PRIBOR byla v 1. až 3. čtvrtletí 0,45 %. Meziročně došlo k poklesu sazeb v řádu setin p.b. Průměrné výnosy státních dluhopisů zrcadlí stav na finančních trzích i vysokou poptávku investorů po relativně bezpečných aktivech. Výnos dluhopisů se splatností dva roky byl od ledna do září záporný, v září klesl na historicky nejnižší hodnotu (-0.50 %). Ve 3.</w:t>
            </w:r>
            <w:r w:rsidR="00EC0EC1">
              <w:t> </w:t>
            </w:r>
            <w:r w:rsidRPr="00A74192">
              <w:t xml:space="preserve">čtvrtletí byl záporný i výnos dluhopisů se splatností pět let. Výnos desetiletých dluhopisů činil průměrně 0,30 % a meziročně se snížil o 0,39 p.b. Zvýšená poptávka je dávána do souvislosti s očekávaným ukončením intervencí ČNB, uvolněním směnného kurzu a spekulacemi investorů. </w:t>
            </w:r>
          </w:p>
          <w:p w:rsidR="00EE0473" w:rsidRPr="008A73DA" w:rsidRDefault="00EE0473" w:rsidP="00D94859">
            <w:pPr>
              <w:pStyle w:val="Textpoznpodarou"/>
              <w:jc w:val="both"/>
              <w:rPr>
                <w:sz w:val="15"/>
                <w:szCs w:val="15"/>
                <w:highlight w:val="yellow"/>
              </w:rPr>
            </w:pPr>
          </w:p>
        </w:tc>
      </w:tr>
      <w:tr w:rsidR="00EE0473" w:rsidRPr="00A74192" w:rsidTr="00F06C6F">
        <w:trPr>
          <w:trHeight w:val="145"/>
        </w:trPr>
        <w:tc>
          <w:tcPr>
            <w:tcW w:w="1016" w:type="pct"/>
            <w:gridSpan w:val="2"/>
            <w:shd w:val="clear" w:color="auto" w:fill="auto"/>
          </w:tcPr>
          <w:p w:rsidR="00EE0473" w:rsidRPr="00A74192" w:rsidRDefault="00EE0473" w:rsidP="00D94859">
            <w:pPr>
              <w:spacing w:line="240" w:lineRule="auto"/>
              <w:rPr>
                <w:color w:val="000000" w:themeColor="text1"/>
                <w:sz w:val="16"/>
                <w:szCs w:val="16"/>
              </w:rPr>
            </w:pPr>
            <w:r w:rsidRPr="00A74192">
              <w:rPr>
                <w:color w:val="000000" w:themeColor="text1"/>
                <w:sz w:val="16"/>
                <w:szCs w:val="16"/>
              </w:rPr>
              <w:t>Úrokové sazby na vkladech pro nefinanční podniky se pohybují blízko nuly…</w:t>
            </w:r>
          </w:p>
          <w:p w:rsidR="00EE0473" w:rsidRPr="00A74192" w:rsidRDefault="00EE0473" w:rsidP="00D94859">
            <w:pPr>
              <w:spacing w:line="240" w:lineRule="auto"/>
              <w:rPr>
                <w:color w:val="000000" w:themeColor="text1"/>
                <w:sz w:val="16"/>
                <w:szCs w:val="16"/>
              </w:rPr>
            </w:pPr>
          </w:p>
          <w:p w:rsidR="00EE0473" w:rsidRPr="00A74192" w:rsidRDefault="00EE0473" w:rsidP="00D94859">
            <w:pPr>
              <w:spacing w:line="240" w:lineRule="auto"/>
              <w:rPr>
                <w:color w:val="000000" w:themeColor="text1"/>
                <w:sz w:val="16"/>
                <w:szCs w:val="16"/>
              </w:rPr>
            </w:pPr>
          </w:p>
        </w:tc>
        <w:tc>
          <w:tcPr>
            <w:tcW w:w="144" w:type="pct"/>
          </w:tcPr>
          <w:p w:rsidR="00EE0473" w:rsidRPr="00A74192" w:rsidRDefault="00EE0473" w:rsidP="00D94859">
            <w:pPr>
              <w:pStyle w:val="Textpoznpodarou"/>
              <w:jc w:val="both"/>
            </w:pPr>
          </w:p>
        </w:tc>
        <w:tc>
          <w:tcPr>
            <w:tcW w:w="3840" w:type="pct"/>
            <w:gridSpan w:val="3"/>
          </w:tcPr>
          <w:p w:rsidR="00EE0473" w:rsidRPr="00A74192" w:rsidRDefault="00EE0473" w:rsidP="00D94859">
            <w:pPr>
              <w:pStyle w:val="Textpoznpodarou"/>
              <w:jc w:val="both"/>
            </w:pPr>
            <w:r w:rsidRPr="00A74192">
              <w:t>Depozitní sazby a sazby z úvěrů se během 1. až 3. čtvrtletí snížily na rekordní minima, podobně jako mezibankovní sazby, na které jsou navázány. Průměrná sazba na jednodenních vkladech domácností za leden až září byla 0,17 % a</w:t>
            </w:r>
            <w:r w:rsidR="00EC0EC1">
              <w:t> </w:t>
            </w:r>
            <w:r w:rsidRPr="00A74192">
              <w:t>terminované vklady se zhodnocovaly průměrně o 1,14 %. Pro nefinanční podniky byly úrokové sazby ještě nižší. Jednodenní vklady byly úročeny 0,06 % a</w:t>
            </w:r>
            <w:r w:rsidR="00EC0EC1">
              <w:t> </w:t>
            </w:r>
            <w:r w:rsidRPr="00A74192">
              <w:t xml:space="preserve">termínované vklady 0,15 %.    </w:t>
            </w:r>
          </w:p>
          <w:p w:rsidR="00EE0473" w:rsidRPr="008A73DA" w:rsidRDefault="00EE0473" w:rsidP="00D94859">
            <w:pPr>
              <w:pStyle w:val="Textpoznpodarou"/>
              <w:jc w:val="both"/>
              <w:rPr>
                <w:sz w:val="15"/>
                <w:szCs w:val="15"/>
              </w:rPr>
            </w:pPr>
          </w:p>
        </w:tc>
      </w:tr>
      <w:tr w:rsidR="00EE0473" w:rsidRPr="00A74192" w:rsidTr="00F06C6F">
        <w:trPr>
          <w:trHeight w:val="145"/>
        </w:trPr>
        <w:tc>
          <w:tcPr>
            <w:tcW w:w="1016" w:type="pct"/>
            <w:gridSpan w:val="2"/>
            <w:shd w:val="clear" w:color="auto" w:fill="auto"/>
          </w:tcPr>
          <w:p w:rsidR="00EE0473" w:rsidRPr="00A74192" w:rsidRDefault="00EE0473" w:rsidP="00D94859">
            <w:pPr>
              <w:spacing w:line="240" w:lineRule="auto"/>
              <w:rPr>
                <w:color w:val="000000" w:themeColor="text1"/>
                <w:sz w:val="16"/>
                <w:szCs w:val="16"/>
                <w:highlight w:val="yellow"/>
              </w:rPr>
            </w:pPr>
            <w:r w:rsidRPr="00A74192">
              <w:rPr>
                <w:color w:val="000000" w:themeColor="text1"/>
                <w:sz w:val="16"/>
                <w:szCs w:val="16"/>
              </w:rPr>
              <w:t>… což vysvětluje nárůst podílu jednodenních vkladů nefinančních podniků, který dosáhl 93,1 % na celkovém portfoliu.</w:t>
            </w:r>
          </w:p>
        </w:tc>
        <w:tc>
          <w:tcPr>
            <w:tcW w:w="144" w:type="pct"/>
          </w:tcPr>
          <w:p w:rsidR="00EE0473" w:rsidRPr="00A74192" w:rsidRDefault="00EE0473" w:rsidP="00D94859">
            <w:pPr>
              <w:pStyle w:val="Textpoznpodarou"/>
              <w:jc w:val="both"/>
              <w:rPr>
                <w:highlight w:val="yellow"/>
              </w:rPr>
            </w:pPr>
          </w:p>
        </w:tc>
        <w:tc>
          <w:tcPr>
            <w:tcW w:w="3840" w:type="pct"/>
            <w:gridSpan w:val="3"/>
          </w:tcPr>
          <w:p w:rsidR="00EE0473" w:rsidRPr="00A74192" w:rsidRDefault="00EE0473" w:rsidP="00D94859">
            <w:pPr>
              <w:pStyle w:val="Textpoznpodarou"/>
              <w:jc w:val="both"/>
            </w:pPr>
            <w:r w:rsidRPr="00A74192">
              <w:t>Tyto hodnoty vysvětlují preferenci likvidity u obou skupin klientů, která se projevila výrazným poklesem objemu terminovaných vkladů. Podíl jednodenních vkladů u</w:t>
            </w:r>
            <w:r w:rsidR="00EC0EC1">
              <w:t> </w:t>
            </w:r>
            <w:r w:rsidRPr="00A74192">
              <w:t>nefinančních podniků se zvýšil z 90,8 % v lednu na 93,1 % v září 2016. V roce 2012 tvořily vklady se splatností přibližně 20 % z portfolií podniků, v září 2016 to bylo 5,5 %. Domácnosti prošly podobným vývojem – během 1. až 3. čtvrtletí narostl podíl jednodenních vkladů o 3,5 p.b. na 76,7 % a podíl vkladů s domluvenou splatností klesl na 12,4 % v září 2016.</w:t>
            </w:r>
          </w:p>
          <w:p w:rsidR="00EE0473" w:rsidRPr="008A73DA" w:rsidRDefault="00EE0473" w:rsidP="00D94859">
            <w:pPr>
              <w:pStyle w:val="Textpoznpodarou"/>
              <w:jc w:val="both"/>
              <w:rPr>
                <w:sz w:val="15"/>
                <w:szCs w:val="15"/>
                <w:highlight w:val="yellow"/>
              </w:rPr>
            </w:pPr>
          </w:p>
        </w:tc>
      </w:tr>
      <w:tr w:rsidR="00EE0473" w:rsidRPr="00A74192" w:rsidTr="00F06C6F">
        <w:trPr>
          <w:trHeight w:val="145"/>
        </w:trPr>
        <w:tc>
          <w:tcPr>
            <w:tcW w:w="1016" w:type="pct"/>
            <w:gridSpan w:val="2"/>
          </w:tcPr>
          <w:p w:rsidR="00EE0473" w:rsidRPr="00A74192" w:rsidRDefault="00EE0473" w:rsidP="005E6AB8">
            <w:pPr>
              <w:spacing w:line="240" w:lineRule="auto"/>
              <w:rPr>
                <w:color w:val="000000" w:themeColor="text1"/>
                <w:sz w:val="16"/>
                <w:szCs w:val="16"/>
                <w:highlight w:val="yellow"/>
              </w:rPr>
            </w:pPr>
            <w:r w:rsidRPr="00A74192">
              <w:rPr>
                <w:color w:val="000000" w:themeColor="text1"/>
                <w:sz w:val="16"/>
                <w:szCs w:val="16"/>
              </w:rPr>
              <w:t>Nízké úrokové sazby zvyšují dostupnost úvěrového financování pro domácnosti i</w:t>
            </w:r>
            <w:r w:rsidR="005E6AB8">
              <w:rPr>
                <w:color w:val="000000" w:themeColor="text1"/>
                <w:sz w:val="16"/>
                <w:szCs w:val="16"/>
              </w:rPr>
              <w:t> </w:t>
            </w:r>
            <w:r w:rsidRPr="00A74192">
              <w:rPr>
                <w:color w:val="000000" w:themeColor="text1"/>
                <w:sz w:val="16"/>
                <w:szCs w:val="16"/>
              </w:rPr>
              <w:t>nefinanční podniky.</w:t>
            </w:r>
          </w:p>
        </w:tc>
        <w:tc>
          <w:tcPr>
            <w:tcW w:w="144" w:type="pct"/>
          </w:tcPr>
          <w:p w:rsidR="00EE0473" w:rsidRPr="00A74192" w:rsidRDefault="00EE0473" w:rsidP="00D94859">
            <w:pPr>
              <w:pStyle w:val="Textpoznpodarou"/>
              <w:jc w:val="both"/>
              <w:rPr>
                <w:highlight w:val="yellow"/>
              </w:rPr>
            </w:pPr>
          </w:p>
        </w:tc>
        <w:tc>
          <w:tcPr>
            <w:tcW w:w="3840" w:type="pct"/>
            <w:gridSpan w:val="3"/>
          </w:tcPr>
          <w:p w:rsidR="00EE0473" w:rsidRPr="00A74192" w:rsidRDefault="00EE0473" w:rsidP="00D94859">
            <w:pPr>
              <w:pStyle w:val="Textpoznpodarou"/>
              <w:jc w:val="both"/>
            </w:pPr>
            <w:r w:rsidRPr="00A74192">
              <w:t>Poklesly i úvěrové sazby. Průměrná hypoteční sazba v září 2016 dosáhla 2,21 %, nejníže klesly sazby na hypotečních úvěrech s fixací na 5</w:t>
            </w:r>
            <w:r w:rsidR="00826376">
              <w:t xml:space="preserve"> – </w:t>
            </w:r>
            <w:r w:rsidRPr="00A74192">
              <w:t>10 let (1,98 %). Spotřební úvěry v září nesly průměrnou úrokovou sazbu 10,47 %. I sazby na úvěrech na podnikání klesaly. Navzdory zvýšení sazeb ve 2. čtvrtletí nad 2 % se průměrná sazba úvěrů pro nefinanční podniky v 1. až 3. čtvrtletí rovnala 1,93</w:t>
            </w:r>
            <w:r w:rsidR="00EC0EC1">
              <w:t> </w:t>
            </w:r>
            <w:r w:rsidRPr="00A74192">
              <w:t xml:space="preserve">%.   </w:t>
            </w:r>
          </w:p>
          <w:p w:rsidR="00EE0473" w:rsidRPr="008A73DA" w:rsidRDefault="00EE0473" w:rsidP="00D94859">
            <w:pPr>
              <w:pStyle w:val="Textpoznpodarou"/>
              <w:jc w:val="both"/>
              <w:rPr>
                <w:sz w:val="15"/>
                <w:szCs w:val="15"/>
                <w:highlight w:val="yellow"/>
              </w:rPr>
            </w:pPr>
          </w:p>
        </w:tc>
      </w:tr>
      <w:tr w:rsidR="00EE0473" w:rsidRPr="00A74192" w:rsidTr="00BE2C15">
        <w:tc>
          <w:tcPr>
            <w:tcW w:w="1016" w:type="pct"/>
            <w:gridSpan w:val="2"/>
          </w:tcPr>
          <w:p w:rsidR="00EE0473" w:rsidRPr="00A74192" w:rsidRDefault="00EE0473" w:rsidP="00D94859">
            <w:pPr>
              <w:spacing w:line="240" w:lineRule="auto"/>
              <w:rPr>
                <w:color w:val="000000" w:themeColor="text1"/>
                <w:sz w:val="16"/>
                <w:szCs w:val="16"/>
                <w:highlight w:val="yellow"/>
              </w:rPr>
            </w:pPr>
            <w:r w:rsidRPr="00A74192">
              <w:rPr>
                <w:color w:val="000000" w:themeColor="text1"/>
                <w:sz w:val="16"/>
                <w:szCs w:val="16"/>
              </w:rPr>
              <w:lastRenderedPageBreak/>
              <w:t>V úvěrech domácností hrají nejvýznamnější roli úvěry na bydlení. Jejich objem rostl o 8,5 % meziročně.</w:t>
            </w:r>
          </w:p>
        </w:tc>
        <w:tc>
          <w:tcPr>
            <w:tcW w:w="144" w:type="pct"/>
          </w:tcPr>
          <w:p w:rsidR="00EE0473" w:rsidRPr="00A74192" w:rsidRDefault="00EE0473" w:rsidP="00D94859">
            <w:pPr>
              <w:pStyle w:val="Textpoznpodarou"/>
              <w:jc w:val="both"/>
              <w:rPr>
                <w:highlight w:val="yellow"/>
              </w:rPr>
            </w:pPr>
          </w:p>
        </w:tc>
        <w:tc>
          <w:tcPr>
            <w:tcW w:w="3840" w:type="pct"/>
            <w:gridSpan w:val="3"/>
          </w:tcPr>
          <w:p w:rsidR="00EE0473" w:rsidRPr="00C30924" w:rsidRDefault="00EE0473" w:rsidP="00D94859">
            <w:pPr>
              <w:pStyle w:val="Textpoznpodarou"/>
              <w:jc w:val="both"/>
            </w:pPr>
            <w:r w:rsidRPr="00A74192">
              <w:t>Nízké úrokové sazby usnadňují přístup domácností k úvěrům, což se promítalo do silného tempa růstu jejich celkového objemu (6,7 % ve 3. čtvrtletí). Silné přírůstky zaznamenaly spotřebitelské úvěry (9,1 %, 8,8 % a 6,3 % v 1., 2. a 3. čtvrtletí). Nejvýznamnější složkou ve struktuře úvěrů jsou úvěry na bydlení, které rostly meziročním tempem 8,5 % po celé sledované období. Překlenovací úvěry ze stavebního spoření, které v roce 2014 a 2015 rostly asi 3% tempem, ve 2.</w:t>
            </w:r>
            <w:r w:rsidR="00EC0EC1">
              <w:t> </w:t>
            </w:r>
            <w:r w:rsidRPr="00A74192">
              <w:t>a 3.</w:t>
            </w:r>
            <w:r w:rsidR="00EC0EC1">
              <w:t> </w:t>
            </w:r>
            <w:r w:rsidRPr="00A74192">
              <w:t>čtvrtletí zaznamenaly nárůst o 8,7 %, resp. 10,2 %. Zároveň dochází ke stálému, přibližně 9% poklesu objemu úvěrů ze stavebního spoření. Obava o</w:t>
            </w:r>
            <w:r w:rsidR="00EC0EC1">
              <w:t> </w:t>
            </w:r>
            <w:r w:rsidRPr="00A74192">
              <w:t>schopnost domácností splácet závazky vedla ČNB ke zpřísnění doporučení k poskytování hypoték.</w:t>
            </w:r>
            <w:r w:rsidR="00C30924">
              <w:t xml:space="preserve"> </w:t>
            </w:r>
            <w:r w:rsidR="00C30924" w:rsidRPr="00C30924">
              <w:rPr>
                <w:rFonts w:cs="Arial"/>
              </w:rPr>
              <w:t xml:space="preserve">ČNB doporučuje </w:t>
            </w:r>
            <w:r w:rsidR="00C30924" w:rsidRPr="00C30924">
              <w:rPr>
                <w:rStyle w:val="ssfpaarticletext"/>
                <w:rFonts w:cs="Arial"/>
              </w:rPr>
              <w:t>snížení maximálního limitu poměru výše úvěru a hodnoty zajištění ze 100 % na 95 % od 1. 10. 2016 a na 90 % od 1.</w:t>
            </w:r>
            <w:r w:rsidR="00826376">
              <w:rPr>
                <w:rStyle w:val="ssfpaarticletext"/>
                <w:rFonts w:cs="Arial"/>
              </w:rPr>
              <w:t> </w:t>
            </w:r>
            <w:r w:rsidR="00C30924" w:rsidRPr="00C30924">
              <w:rPr>
                <w:rStyle w:val="ssfpaarticletext"/>
                <w:rFonts w:cs="Arial"/>
              </w:rPr>
              <w:t>4.</w:t>
            </w:r>
            <w:r w:rsidR="00826376">
              <w:rPr>
                <w:rStyle w:val="ssfpaarticletext"/>
                <w:rFonts w:cs="Arial"/>
              </w:rPr>
              <w:t> </w:t>
            </w:r>
            <w:r w:rsidR="00C30924" w:rsidRPr="00C30924">
              <w:rPr>
                <w:rStyle w:val="ssfpaarticletext"/>
                <w:rFonts w:cs="Arial"/>
              </w:rPr>
              <w:t>2016. Pravidlo pro banky zatím není závazné, proto ČNB podniká kroky, které povedou k zákonnému zakotvení pravomoci stanovit rizikové parametry úvěrů na bydlení</w:t>
            </w:r>
            <w:r w:rsidR="00826376">
              <w:rPr>
                <w:rStyle w:val="ssfpaarticletext"/>
                <w:rFonts w:cs="Arial"/>
              </w:rPr>
              <w:t>.</w:t>
            </w:r>
            <w:r w:rsidRPr="00C30924">
              <w:t xml:space="preserve"> </w:t>
            </w:r>
          </w:p>
          <w:p w:rsidR="00EE0473" w:rsidRPr="008A73DA" w:rsidRDefault="00EE0473" w:rsidP="00D94859">
            <w:pPr>
              <w:pStyle w:val="Textpoznpodarou"/>
              <w:jc w:val="both"/>
              <w:rPr>
                <w:sz w:val="15"/>
                <w:szCs w:val="15"/>
              </w:rPr>
            </w:pPr>
          </w:p>
        </w:tc>
      </w:tr>
      <w:tr w:rsidR="00EE0473" w:rsidRPr="00A74192" w:rsidTr="00BE2C15">
        <w:tc>
          <w:tcPr>
            <w:tcW w:w="1016" w:type="pct"/>
            <w:gridSpan w:val="2"/>
          </w:tcPr>
          <w:p w:rsidR="00EE0473" w:rsidRPr="00A74192" w:rsidRDefault="00EE0473" w:rsidP="00D94859">
            <w:pPr>
              <w:spacing w:line="240" w:lineRule="auto"/>
              <w:rPr>
                <w:color w:val="000000" w:themeColor="text1"/>
                <w:sz w:val="16"/>
                <w:szCs w:val="16"/>
                <w:highlight w:val="yellow"/>
              </w:rPr>
            </w:pPr>
            <w:r w:rsidRPr="00A74192">
              <w:rPr>
                <w:color w:val="000000" w:themeColor="text1"/>
                <w:sz w:val="16"/>
                <w:szCs w:val="16"/>
              </w:rPr>
              <w:t>Nefinanční podniky využívají dostupné úvěry především k dlouhodobým investicím.</w:t>
            </w:r>
            <w:r w:rsidRPr="00A74192">
              <w:rPr>
                <w:color w:val="000000" w:themeColor="text1"/>
                <w:sz w:val="16"/>
                <w:szCs w:val="16"/>
                <w:highlight w:val="yellow"/>
              </w:rPr>
              <w:t xml:space="preserve"> </w:t>
            </w:r>
          </w:p>
        </w:tc>
        <w:tc>
          <w:tcPr>
            <w:tcW w:w="144" w:type="pct"/>
          </w:tcPr>
          <w:p w:rsidR="00EE0473" w:rsidRPr="00A74192" w:rsidRDefault="00EE0473" w:rsidP="00D94859">
            <w:pPr>
              <w:pStyle w:val="Textpoznpodarou"/>
              <w:jc w:val="both"/>
              <w:rPr>
                <w:highlight w:val="yellow"/>
              </w:rPr>
            </w:pPr>
          </w:p>
        </w:tc>
        <w:tc>
          <w:tcPr>
            <w:tcW w:w="3840" w:type="pct"/>
            <w:gridSpan w:val="3"/>
          </w:tcPr>
          <w:p w:rsidR="00EE0473" w:rsidRPr="00A74192" w:rsidRDefault="00EE0473" w:rsidP="00D94859">
            <w:pPr>
              <w:pStyle w:val="Textpoznpodarou"/>
              <w:jc w:val="both"/>
            </w:pPr>
            <w:r w:rsidRPr="00A74192">
              <w:t>Růst objemu úvěrů nefinančním podnikům je stále nadprůměrný (6,8 %). Ve 3.</w:t>
            </w:r>
            <w:r w:rsidR="00EC0EC1">
              <w:t> </w:t>
            </w:r>
            <w:r w:rsidRPr="00A74192">
              <w:t>čtvrtletí bylo patrné zpomalení tempa růstu objemu poskytnutých úvěrů na 6,1 %, ale tento vývoj lze přisoudit vysoké srovnávací základně stejného období roku 2015.  Podniky měly zájem o střednědobé a dlouhodobé úvěry, jejichž objem se meziročně zvyšoval dvouciferným tempem (14,5 % u střednědobých, 11 % u</w:t>
            </w:r>
            <w:r w:rsidR="00EC0EC1">
              <w:t> </w:t>
            </w:r>
            <w:r w:rsidRPr="00A74192">
              <w:t>dlouhodobých úvěrů). Objem krátkodobých úvěrů klesal průměrně o 5,8 %. Investiční povahu naznačuje i odvětvové složení poskytnutých úvěrů. Nejvíce rostl segment informační a komunikační činnosti (40,3 %), stále výrazný je růst úvěrů pro podniky činné v oblasti nemovitostí (11,7 %).  Pro podniky se stalo obvyklou praxí mít část úvěrů v cizí měně. Z celkového objemu takové úvěry tvoří 25,8 %. Z pohledu časové struktury úvěrů a pohledávek se jedná hlavně o střednědobé úvěry, kterých bylo v cizí měně denominováno 35,7 %.</w:t>
            </w:r>
            <w:r w:rsidR="00C30924">
              <w:t xml:space="preserve"> Na jejich množství je patrný vliv intervencí ČNB. </w:t>
            </w:r>
            <w:r w:rsidR="009B4CE3">
              <w:t>Od října do prosince 2013 podíl dlouhodobých úvěrů v cizí měně vzrostl z 14,8 % na 18,4 %. Střednědobé úvěry na intervenci zpočátku reagovaly mírně, jejich podíl rostl, ale patrný je především zlom mezi listopadem</w:t>
            </w:r>
            <w:r w:rsidR="007B2AF7">
              <w:rPr>
                <w:rStyle w:val="Znakapoznpodarou"/>
              </w:rPr>
              <w:footnoteReference w:id="30"/>
            </w:r>
            <w:r w:rsidR="009B4CE3">
              <w:t xml:space="preserve"> a prosincem 2014, kdy se jejich podíl zvýšil z 28,8 % na 33,4 %.</w:t>
            </w:r>
            <w:r w:rsidR="007B2AF7">
              <w:t xml:space="preserve"> </w:t>
            </w:r>
            <w:r w:rsidR="009B4CE3">
              <w:t xml:space="preserve">  </w:t>
            </w:r>
            <w:r w:rsidR="00C30924">
              <w:t xml:space="preserve"> </w:t>
            </w:r>
            <w:r w:rsidRPr="00A74192">
              <w:t xml:space="preserve">   </w:t>
            </w:r>
          </w:p>
          <w:p w:rsidR="00EE0473" w:rsidRPr="008A73DA" w:rsidRDefault="00EE0473" w:rsidP="00D94859">
            <w:pPr>
              <w:pStyle w:val="Textpoznpodarou"/>
              <w:jc w:val="both"/>
              <w:rPr>
                <w:sz w:val="15"/>
                <w:szCs w:val="15"/>
                <w:highlight w:val="yellow"/>
              </w:rPr>
            </w:pPr>
          </w:p>
        </w:tc>
      </w:tr>
      <w:tr w:rsidR="00EE0473" w:rsidRPr="00A74192" w:rsidTr="00F06C6F">
        <w:trPr>
          <w:trHeight w:val="1390"/>
        </w:trPr>
        <w:tc>
          <w:tcPr>
            <w:tcW w:w="1016" w:type="pct"/>
            <w:gridSpan w:val="2"/>
          </w:tcPr>
          <w:p w:rsidR="00EE0473" w:rsidRPr="00A74192" w:rsidRDefault="00EE0473" w:rsidP="00D94859">
            <w:pPr>
              <w:spacing w:line="240" w:lineRule="auto"/>
              <w:rPr>
                <w:color w:val="000000" w:themeColor="text1"/>
                <w:sz w:val="16"/>
                <w:szCs w:val="16"/>
                <w:highlight w:val="yellow"/>
              </w:rPr>
            </w:pPr>
            <w:r w:rsidRPr="00A74192">
              <w:rPr>
                <w:color w:val="000000" w:themeColor="text1"/>
                <w:sz w:val="16"/>
                <w:szCs w:val="16"/>
              </w:rPr>
              <w:t>Zadlužení domácností roste, především kvůli úvěrům na bydlení.</w:t>
            </w:r>
          </w:p>
        </w:tc>
        <w:tc>
          <w:tcPr>
            <w:tcW w:w="144" w:type="pct"/>
          </w:tcPr>
          <w:p w:rsidR="00EE0473" w:rsidRPr="00A74192" w:rsidRDefault="00EE0473" w:rsidP="00D94859">
            <w:pPr>
              <w:pStyle w:val="Textpoznpodarou"/>
              <w:jc w:val="both"/>
              <w:rPr>
                <w:color w:val="FF0000"/>
                <w:highlight w:val="yellow"/>
              </w:rPr>
            </w:pPr>
          </w:p>
        </w:tc>
        <w:tc>
          <w:tcPr>
            <w:tcW w:w="3840" w:type="pct"/>
            <w:gridSpan w:val="3"/>
          </w:tcPr>
          <w:p w:rsidR="00EE0473" w:rsidRPr="00A74192" w:rsidRDefault="00EE0473" w:rsidP="00D94859">
            <w:pPr>
              <w:pStyle w:val="Textpoznpodarou"/>
              <w:jc w:val="both"/>
            </w:pPr>
            <w:r w:rsidRPr="00A74192">
              <w:t>Příznivé ekonomické podmínky a optimistická očekávání motivují domácnosti k většímu zadlužování. Meziroční nárůst objemu dluhu činil 6,2 % ve třetím čtvrtletí.</w:t>
            </w:r>
            <w:r w:rsidR="00826376">
              <w:t xml:space="preserve"> </w:t>
            </w:r>
            <w:r w:rsidRPr="00A74192">
              <w:t>Tempo růstu zadlužení se zvyšuje už šesté čtvrtletí v</w:t>
            </w:r>
            <w:r w:rsidR="00826376">
              <w:t xml:space="preserve"> </w:t>
            </w:r>
            <w:r w:rsidRPr="00A74192">
              <w:t>řadě. Nejvýznamnější díl na tom mají úvěry na bydlení, které nyní tvoří 71,1 % z celkového zadlužení. Jejich objem vzrostl meziročně o 7,9 %.</w:t>
            </w:r>
          </w:p>
          <w:p w:rsidR="00EE0473" w:rsidRPr="00A74192" w:rsidRDefault="00EE0473" w:rsidP="00D94859">
            <w:pPr>
              <w:pStyle w:val="Textpoznpodarou"/>
              <w:jc w:val="both"/>
              <w:rPr>
                <w:highlight w:val="yellow"/>
              </w:rPr>
            </w:pPr>
            <w:r w:rsidRPr="00A74192">
              <w:t xml:space="preserve"> </w:t>
            </w:r>
          </w:p>
        </w:tc>
      </w:tr>
      <w:tr w:rsidR="000F74B6" w:rsidRPr="00A74192" w:rsidTr="00F06C6F">
        <w:tblPrEx>
          <w:tblLook w:val="04A0"/>
        </w:tblPrEx>
        <w:trPr>
          <w:trHeight w:val="541"/>
        </w:trPr>
        <w:tc>
          <w:tcPr>
            <w:tcW w:w="576" w:type="pct"/>
          </w:tcPr>
          <w:p w:rsidR="007430AB" w:rsidRDefault="007430AB" w:rsidP="00D94859">
            <w:pPr>
              <w:pStyle w:val="Textpoznpodarou"/>
              <w:rPr>
                <w:color w:val="000000"/>
              </w:rPr>
            </w:pPr>
            <w:r>
              <w:rPr>
                <w:color w:val="000000"/>
              </w:rPr>
              <w:t>Graf č.</w:t>
            </w:r>
          </w:p>
          <w:p w:rsidR="000F74B6" w:rsidRPr="00A74192" w:rsidRDefault="000F74B6" w:rsidP="00D94859">
            <w:pPr>
              <w:pStyle w:val="Textpoznpodarou"/>
              <w:rPr>
                <w:color w:val="000000"/>
              </w:rPr>
            </w:pPr>
            <w:r w:rsidRPr="00A74192">
              <w:rPr>
                <w:color w:val="000000"/>
              </w:rPr>
              <w:t>17</w:t>
            </w:r>
          </w:p>
        </w:tc>
        <w:tc>
          <w:tcPr>
            <w:tcW w:w="1899" w:type="pct"/>
            <w:gridSpan w:val="3"/>
          </w:tcPr>
          <w:p w:rsidR="000F74B6" w:rsidRPr="00A74192" w:rsidRDefault="000F74B6" w:rsidP="00D94859">
            <w:pPr>
              <w:pStyle w:val="Textpoznpodarou"/>
              <w:rPr>
                <w:color w:val="FF0000"/>
              </w:rPr>
            </w:pPr>
            <w:r w:rsidRPr="00A74192">
              <w:rPr>
                <w:b/>
                <w:color w:val="000000"/>
              </w:rPr>
              <w:t>Měnové agregáty a hrubý domácí produkt</w:t>
            </w:r>
            <w:r w:rsidRPr="00A74192">
              <w:rPr>
                <w:color w:val="000000"/>
              </w:rPr>
              <w:t xml:space="preserve"> (y/y v %)</w:t>
            </w:r>
          </w:p>
        </w:tc>
        <w:tc>
          <w:tcPr>
            <w:tcW w:w="584" w:type="pct"/>
          </w:tcPr>
          <w:p w:rsidR="007430AB" w:rsidRDefault="007430AB" w:rsidP="00D94859">
            <w:pPr>
              <w:pStyle w:val="Textpoznpodarou"/>
            </w:pPr>
            <w:r>
              <w:t>Graf č.</w:t>
            </w:r>
          </w:p>
          <w:p w:rsidR="000F74B6" w:rsidRPr="00A74192" w:rsidRDefault="007430AB" w:rsidP="00D94859">
            <w:pPr>
              <w:pStyle w:val="Textpoznpodarou"/>
            </w:pPr>
            <w:r>
              <w:t>1</w:t>
            </w:r>
            <w:r w:rsidR="000F74B6" w:rsidRPr="00A74192">
              <w:t>8</w:t>
            </w:r>
          </w:p>
        </w:tc>
        <w:tc>
          <w:tcPr>
            <w:tcW w:w="1941" w:type="pct"/>
          </w:tcPr>
          <w:p w:rsidR="000F74B6" w:rsidRPr="00A74192" w:rsidRDefault="000F74B6" w:rsidP="00D94859">
            <w:pPr>
              <w:pStyle w:val="Textpoznpodarou"/>
            </w:pPr>
            <w:r w:rsidRPr="00A74192">
              <w:rPr>
                <w:b/>
              </w:rPr>
              <w:t xml:space="preserve">Tržní úrokové sazby </w:t>
            </w:r>
            <w:r w:rsidRPr="00A74192">
              <w:t>(v %)</w:t>
            </w:r>
          </w:p>
        </w:tc>
      </w:tr>
      <w:tr w:rsidR="000F74B6" w:rsidRPr="00A74192" w:rsidTr="00F06C6F">
        <w:tblPrEx>
          <w:tblCellMar>
            <w:left w:w="70" w:type="dxa"/>
            <w:right w:w="70" w:type="dxa"/>
          </w:tblCellMar>
          <w:tblLook w:val="04A0"/>
        </w:tblPrEx>
        <w:trPr>
          <w:trHeight w:val="3641"/>
        </w:trPr>
        <w:tc>
          <w:tcPr>
            <w:tcW w:w="2475" w:type="pct"/>
            <w:gridSpan w:val="4"/>
          </w:tcPr>
          <w:p w:rsidR="000F74B6" w:rsidRPr="00A74192" w:rsidRDefault="00505989" w:rsidP="00F06C6F">
            <w:pPr>
              <w:pStyle w:val="Textpoznpodarou"/>
              <w:ind w:left="-70"/>
              <w:jc w:val="both"/>
            </w:pPr>
            <w:r>
              <w:rPr>
                <w:noProof/>
              </w:rPr>
              <w:drawing>
                <wp:inline distT="0" distB="0" distL="0" distR="0">
                  <wp:extent cx="3079750" cy="2294890"/>
                  <wp:effectExtent l="19050" t="0" r="6350" b="0"/>
                  <wp:docPr id="17" name="obrázek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rrowheads="1"/>
                          </pic:cNvPicPr>
                        </pic:nvPicPr>
                        <pic:blipFill>
                          <a:blip r:embed="rId29"/>
                          <a:srcRect/>
                          <a:stretch>
                            <a:fillRect/>
                          </a:stretch>
                        </pic:blipFill>
                        <pic:spPr bwMode="auto">
                          <a:xfrm>
                            <a:off x="0" y="0"/>
                            <a:ext cx="3079750" cy="2294890"/>
                          </a:xfrm>
                          <a:prstGeom prst="rect">
                            <a:avLst/>
                          </a:prstGeom>
                          <a:noFill/>
                          <a:ln w="9525">
                            <a:noFill/>
                            <a:miter lim="800000"/>
                            <a:headEnd/>
                            <a:tailEnd/>
                          </a:ln>
                        </pic:spPr>
                      </pic:pic>
                    </a:graphicData>
                  </a:graphic>
                </wp:inline>
              </w:drawing>
            </w:r>
          </w:p>
        </w:tc>
        <w:tc>
          <w:tcPr>
            <w:tcW w:w="2525" w:type="pct"/>
            <w:gridSpan w:val="2"/>
          </w:tcPr>
          <w:p w:rsidR="000F74B6" w:rsidRPr="00A74192" w:rsidRDefault="00505989" w:rsidP="00D94859">
            <w:pPr>
              <w:pStyle w:val="Textpoznpodarou"/>
              <w:jc w:val="both"/>
            </w:pPr>
            <w:r>
              <w:rPr>
                <w:noProof/>
              </w:rPr>
              <w:drawing>
                <wp:inline distT="0" distB="0" distL="0" distR="0">
                  <wp:extent cx="3079750" cy="2294890"/>
                  <wp:effectExtent l="19050" t="0" r="6350" b="0"/>
                  <wp:docPr id="18" name="obrázek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rrowheads="1"/>
                          </pic:cNvPicPr>
                        </pic:nvPicPr>
                        <pic:blipFill>
                          <a:blip r:embed="rId30"/>
                          <a:srcRect/>
                          <a:stretch>
                            <a:fillRect/>
                          </a:stretch>
                        </pic:blipFill>
                        <pic:spPr bwMode="auto">
                          <a:xfrm>
                            <a:off x="0" y="0"/>
                            <a:ext cx="3079750" cy="2294890"/>
                          </a:xfrm>
                          <a:prstGeom prst="rect">
                            <a:avLst/>
                          </a:prstGeom>
                          <a:noFill/>
                          <a:ln w="9525">
                            <a:noFill/>
                            <a:miter lim="800000"/>
                            <a:headEnd/>
                            <a:tailEnd/>
                          </a:ln>
                        </pic:spPr>
                      </pic:pic>
                    </a:graphicData>
                  </a:graphic>
                </wp:inline>
              </w:drawing>
            </w:r>
          </w:p>
        </w:tc>
      </w:tr>
      <w:tr w:rsidR="000F74B6" w:rsidRPr="00A74192" w:rsidTr="00F06C6F">
        <w:tblPrEx>
          <w:tblLook w:val="04A0"/>
        </w:tblPrEx>
        <w:trPr>
          <w:trHeight w:val="211"/>
        </w:trPr>
        <w:tc>
          <w:tcPr>
            <w:tcW w:w="2475" w:type="pct"/>
            <w:gridSpan w:val="4"/>
          </w:tcPr>
          <w:p w:rsidR="000F74B6" w:rsidRPr="00A74192" w:rsidRDefault="000F74B6" w:rsidP="00D94859">
            <w:pPr>
              <w:pStyle w:val="Textpoznpodarou"/>
              <w:rPr>
                <w:noProof/>
                <w:sz w:val="18"/>
                <w:szCs w:val="18"/>
              </w:rPr>
            </w:pPr>
          </w:p>
        </w:tc>
        <w:tc>
          <w:tcPr>
            <w:tcW w:w="2525" w:type="pct"/>
            <w:gridSpan w:val="2"/>
          </w:tcPr>
          <w:p w:rsidR="000F74B6" w:rsidRPr="00A74192" w:rsidRDefault="000F74B6" w:rsidP="00D94859">
            <w:pPr>
              <w:pStyle w:val="Textpoznpodarou"/>
              <w:jc w:val="right"/>
              <w:rPr>
                <w:noProof/>
              </w:rPr>
            </w:pPr>
            <w:r w:rsidRPr="00A74192">
              <w:rPr>
                <w:sz w:val="18"/>
                <w:szCs w:val="18"/>
              </w:rPr>
              <w:t>Zdroj: ČSÚ, ČNB</w:t>
            </w:r>
          </w:p>
        </w:tc>
      </w:tr>
    </w:tbl>
    <w:p w:rsidR="00ED3A94" w:rsidRPr="00A74192" w:rsidRDefault="00ED3A94" w:rsidP="00D94859">
      <w:pPr>
        <w:rPr>
          <w:sz w:val="2"/>
          <w:szCs w:val="2"/>
        </w:rPr>
      </w:pPr>
    </w:p>
    <w:p w:rsidR="002E435E" w:rsidRPr="00A74192" w:rsidRDefault="002E435E" w:rsidP="00941339">
      <w:pPr>
        <w:pStyle w:val="Nadpis1"/>
        <w:numPr>
          <w:ilvl w:val="0"/>
          <w:numId w:val="12"/>
        </w:numPr>
        <w:ind w:left="709"/>
        <w:jc w:val="both"/>
      </w:pPr>
      <w:bookmarkStart w:id="18" w:name="_Toc469299936"/>
      <w:bookmarkStart w:id="19" w:name="_Toc469327805"/>
      <w:r w:rsidRPr="00A74192">
        <w:lastRenderedPageBreak/>
        <w:t>Státní rozpočet</w:t>
      </w:r>
      <w:bookmarkEnd w:id="18"/>
      <w:bookmarkEnd w:id="19"/>
    </w:p>
    <w:tbl>
      <w:tblPr>
        <w:tblW w:w="5000" w:type="pct"/>
        <w:tblCellMar>
          <w:left w:w="28" w:type="dxa"/>
          <w:right w:w="28" w:type="dxa"/>
        </w:tblCellMar>
        <w:tblLook w:val="04A0"/>
      </w:tblPr>
      <w:tblGrid>
        <w:gridCol w:w="2044"/>
        <w:gridCol w:w="275"/>
        <w:gridCol w:w="7375"/>
      </w:tblGrid>
      <w:tr w:rsidR="0051593C" w:rsidRPr="00A90EFD" w:rsidTr="004F7170">
        <w:tc>
          <w:tcPr>
            <w:tcW w:w="1054" w:type="pct"/>
          </w:tcPr>
          <w:p w:rsidR="0051593C" w:rsidRDefault="0051593C" w:rsidP="004F7170">
            <w:pPr>
              <w:spacing w:line="240" w:lineRule="auto"/>
              <w:rPr>
                <w:rFonts w:cs="Arial"/>
                <w:color w:val="0D0D0D" w:themeColor="text1" w:themeTint="F2"/>
                <w:spacing w:val="-4"/>
                <w:sz w:val="16"/>
                <w:szCs w:val="16"/>
              </w:rPr>
            </w:pPr>
            <w:r>
              <w:rPr>
                <w:rFonts w:cs="Arial"/>
                <w:color w:val="0D0D0D" w:themeColor="text1" w:themeTint="F2"/>
                <w:spacing w:val="-4"/>
                <w:sz w:val="16"/>
                <w:szCs w:val="16"/>
              </w:rPr>
              <w:t xml:space="preserve">Státní rozpočet (SR) skončil za devět letošních měsíců v přebytku poprvé od stejného </w:t>
            </w:r>
            <w:r w:rsidR="00FB1F21">
              <w:rPr>
                <w:rFonts w:cs="Arial"/>
                <w:color w:val="0D0D0D" w:themeColor="text1" w:themeTint="F2"/>
                <w:spacing w:val="-4"/>
                <w:sz w:val="16"/>
                <w:szCs w:val="16"/>
              </w:rPr>
              <w:t>období konjunkturního roku 2008.</w:t>
            </w:r>
          </w:p>
          <w:p w:rsidR="0051593C" w:rsidRPr="009E7272" w:rsidRDefault="0051593C" w:rsidP="004F7170">
            <w:pPr>
              <w:spacing w:line="240" w:lineRule="auto"/>
              <w:rPr>
                <w:rFonts w:cs="Arial"/>
                <w:color w:val="0D0D0D" w:themeColor="text1" w:themeTint="F2"/>
                <w:spacing w:val="-4"/>
                <w:sz w:val="16"/>
                <w:szCs w:val="16"/>
              </w:rPr>
            </w:pPr>
          </w:p>
        </w:tc>
        <w:tc>
          <w:tcPr>
            <w:tcW w:w="142" w:type="pct"/>
          </w:tcPr>
          <w:p w:rsidR="0051593C" w:rsidRPr="00A90EFD" w:rsidRDefault="0051593C" w:rsidP="004F7170">
            <w:pPr>
              <w:pStyle w:val="Textpoznpodarou"/>
              <w:jc w:val="both"/>
              <w:rPr>
                <w:rFonts w:cs="Arial"/>
                <w:color w:val="0D0D0D" w:themeColor="text1" w:themeTint="F2"/>
              </w:rPr>
            </w:pPr>
          </w:p>
        </w:tc>
        <w:tc>
          <w:tcPr>
            <w:tcW w:w="3804" w:type="pct"/>
          </w:tcPr>
          <w:p w:rsidR="0051593C" w:rsidRPr="00822850" w:rsidRDefault="0051593C" w:rsidP="004F7170">
            <w:pPr>
              <w:pStyle w:val="Textpoznpodarou"/>
              <w:jc w:val="both"/>
              <w:rPr>
                <w:rFonts w:cs="Arial"/>
                <w:color w:val="000000" w:themeColor="text1"/>
                <w:spacing w:val="-2"/>
              </w:rPr>
            </w:pPr>
            <w:r w:rsidRPr="009C05C6">
              <w:rPr>
                <w:rFonts w:cs="Arial"/>
                <w:color w:val="0D0D0D" w:themeColor="text1" w:themeTint="F2"/>
                <w:spacing w:val="-2"/>
              </w:rPr>
              <w:t xml:space="preserve">Přebytek hospodaření </w:t>
            </w:r>
            <w:r>
              <w:rPr>
                <w:rFonts w:cs="Arial"/>
                <w:color w:val="0D0D0D" w:themeColor="text1" w:themeTint="F2"/>
                <w:spacing w:val="-2"/>
              </w:rPr>
              <w:t>státního rozpočtu (</w:t>
            </w:r>
            <w:r w:rsidRPr="009C05C6">
              <w:rPr>
                <w:rFonts w:cs="Arial"/>
                <w:color w:val="0D0D0D" w:themeColor="text1" w:themeTint="F2"/>
                <w:spacing w:val="-2"/>
              </w:rPr>
              <w:t>SR</w:t>
            </w:r>
            <w:r>
              <w:rPr>
                <w:rFonts w:cs="Arial"/>
                <w:color w:val="0D0D0D" w:themeColor="text1" w:themeTint="F2"/>
                <w:spacing w:val="-2"/>
              </w:rPr>
              <w:t>)</w:t>
            </w:r>
            <w:r w:rsidRPr="009C05C6">
              <w:rPr>
                <w:rFonts w:cs="Arial"/>
                <w:color w:val="0D0D0D" w:themeColor="text1" w:themeTint="F2"/>
                <w:spacing w:val="-2"/>
              </w:rPr>
              <w:t xml:space="preserve"> vystoupal za</w:t>
            </w:r>
            <w:r>
              <w:rPr>
                <w:rFonts w:cs="Arial"/>
                <w:color w:val="0D0D0D" w:themeColor="text1" w:themeTint="F2"/>
                <w:spacing w:val="-2"/>
              </w:rPr>
              <w:t xml:space="preserve"> prvních devět měsíců roku</w:t>
            </w:r>
            <w:r w:rsidRPr="00744D2B">
              <w:rPr>
                <w:rFonts w:cs="Arial"/>
                <w:color w:val="0D0D0D" w:themeColor="text1" w:themeTint="F2"/>
                <w:spacing w:val="-2"/>
              </w:rPr>
              <w:t xml:space="preserve"> 2016</w:t>
            </w:r>
            <w:r>
              <w:rPr>
                <w:rFonts w:cs="Arial"/>
                <w:color w:val="0D0D0D" w:themeColor="text1" w:themeTint="F2"/>
                <w:spacing w:val="-2"/>
              </w:rPr>
              <w:t xml:space="preserve"> na 82,3 mld. korun a dosáhl</w:t>
            </w:r>
            <w:r w:rsidRPr="00744D2B">
              <w:rPr>
                <w:rFonts w:cs="Arial"/>
                <w:color w:val="000000" w:themeColor="text1"/>
                <w:spacing w:val="-2"/>
              </w:rPr>
              <w:t xml:space="preserve"> nejlepší</w:t>
            </w:r>
            <w:r>
              <w:rPr>
                <w:rFonts w:cs="Arial"/>
                <w:color w:val="000000" w:themeColor="text1"/>
                <w:spacing w:val="-2"/>
              </w:rPr>
              <w:t>ho výsled</w:t>
            </w:r>
            <w:r w:rsidRPr="00744D2B">
              <w:rPr>
                <w:rFonts w:cs="Arial"/>
                <w:color w:val="000000" w:themeColor="text1"/>
                <w:spacing w:val="-2"/>
              </w:rPr>
              <w:t>k</w:t>
            </w:r>
            <w:r>
              <w:rPr>
                <w:rFonts w:cs="Arial"/>
                <w:color w:val="000000" w:themeColor="text1"/>
                <w:spacing w:val="-2"/>
              </w:rPr>
              <w:t>u</w:t>
            </w:r>
            <w:r w:rsidRPr="00744D2B">
              <w:rPr>
                <w:rFonts w:cs="Arial"/>
                <w:color w:val="000000" w:themeColor="text1"/>
                <w:spacing w:val="-2"/>
              </w:rPr>
              <w:t xml:space="preserve"> v historii samotné ČR</w:t>
            </w:r>
            <w:r w:rsidRPr="00744D2B">
              <w:rPr>
                <w:rStyle w:val="Znakapoznpodarou"/>
                <w:color w:val="0D0D0D" w:themeColor="text1" w:themeTint="F2"/>
                <w:spacing w:val="-2"/>
              </w:rPr>
              <w:footnoteReference w:id="31"/>
            </w:r>
            <w:r>
              <w:rPr>
                <w:rFonts w:cs="Arial"/>
                <w:color w:val="000000" w:themeColor="text1"/>
                <w:spacing w:val="-2"/>
              </w:rPr>
              <w:t>. Zasloužil se o to především vývoj ve 3. čtvrtletí, během něhož se kladné saldo více než zdvojnásobilo. V přebytku letošní</w:t>
            </w:r>
            <w:r w:rsidR="004F77AE">
              <w:rPr>
                <w:rFonts w:cs="Arial"/>
                <w:color w:val="000000" w:themeColor="text1"/>
                <w:spacing w:val="-2"/>
              </w:rPr>
              <w:t>ho hospodaření se zrcadlí výraznější</w:t>
            </w:r>
            <w:r>
              <w:rPr>
                <w:rFonts w:cs="Arial"/>
                <w:color w:val="000000" w:themeColor="text1"/>
                <w:spacing w:val="-2"/>
              </w:rPr>
              <w:t xml:space="preserve"> růst daňových příjmů, vč. pojistného (+7,2 %, resp. +53 mld. korun)</w:t>
            </w:r>
            <w:r w:rsidRPr="00744D2B">
              <w:rPr>
                <w:rStyle w:val="Znakapoznpodarou"/>
                <w:color w:val="000000" w:themeColor="text1"/>
                <w:spacing w:val="-2"/>
              </w:rPr>
              <w:footnoteReference w:id="32"/>
            </w:r>
            <w:r>
              <w:rPr>
                <w:rFonts w:cs="Arial"/>
                <w:color w:val="000000" w:themeColor="text1"/>
                <w:spacing w:val="-2"/>
              </w:rPr>
              <w:t xml:space="preserve">. Významně byl však ovlivněn i důsledky nepravidelného čerpání evropských fondů na přelomu programových období EU. </w:t>
            </w:r>
            <w:r>
              <w:rPr>
                <w:rFonts w:cs="Arial"/>
                <w:color w:val="0D0D0D" w:themeColor="text1" w:themeTint="F2"/>
                <w:spacing w:val="-2"/>
              </w:rPr>
              <w:t>S</w:t>
            </w:r>
            <w:r w:rsidRPr="00744D2B">
              <w:rPr>
                <w:rFonts w:cs="Arial"/>
                <w:color w:val="0D0D0D" w:themeColor="text1" w:themeTint="F2"/>
                <w:spacing w:val="-2"/>
              </w:rPr>
              <w:t>aldo SR v relaci k</w:t>
            </w:r>
            <w:r w:rsidRPr="00744D2B">
              <w:rPr>
                <w:color w:val="0D0D0D" w:themeColor="text1" w:themeTint="F2"/>
                <w:spacing w:val="-2"/>
              </w:rPr>
              <w:t> </w:t>
            </w:r>
            <w:r w:rsidR="00643497">
              <w:rPr>
                <w:rFonts w:cs="Arial"/>
                <w:color w:val="000000" w:themeColor="text1"/>
                <w:spacing w:val="-2"/>
              </w:rPr>
              <w:t>nominálnímu HDP činilo za tři</w:t>
            </w:r>
            <w:r>
              <w:rPr>
                <w:rFonts w:cs="Arial"/>
                <w:color w:val="000000" w:themeColor="text1"/>
                <w:spacing w:val="-2"/>
              </w:rPr>
              <w:t xml:space="preserve"> </w:t>
            </w:r>
            <w:r w:rsidRPr="00D40259">
              <w:rPr>
                <w:rFonts w:cs="Arial"/>
                <w:color w:val="000000" w:themeColor="text1"/>
                <w:spacing w:val="-2"/>
              </w:rPr>
              <w:t>čtvrtletí +2,4 %</w:t>
            </w:r>
            <w:r>
              <w:rPr>
                <w:rFonts w:cs="Arial"/>
                <w:color w:val="000000" w:themeColor="text1"/>
                <w:spacing w:val="-2"/>
              </w:rPr>
              <w:t xml:space="preserve"> (o rok dříve -0,1</w:t>
            </w:r>
            <w:r w:rsidRPr="00744D2B">
              <w:rPr>
                <w:rFonts w:cs="Arial"/>
                <w:color w:val="000000" w:themeColor="text1"/>
                <w:spacing w:val="-2"/>
              </w:rPr>
              <w:t xml:space="preserve"> %).</w:t>
            </w:r>
          </w:p>
          <w:p w:rsidR="0051593C" w:rsidRPr="00952517" w:rsidRDefault="0051593C" w:rsidP="004F7170">
            <w:pPr>
              <w:pStyle w:val="Textpoznpodarou"/>
              <w:jc w:val="both"/>
              <w:rPr>
                <w:rFonts w:cs="Arial"/>
                <w:color w:val="0D0D0D" w:themeColor="text1" w:themeTint="F2"/>
                <w:spacing w:val="-4"/>
                <w:sz w:val="15"/>
                <w:szCs w:val="15"/>
              </w:rPr>
            </w:pPr>
          </w:p>
        </w:tc>
      </w:tr>
      <w:tr w:rsidR="0051593C" w:rsidRPr="00A90EFD" w:rsidTr="004F7170">
        <w:tc>
          <w:tcPr>
            <w:tcW w:w="1054" w:type="pct"/>
          </w:tcPr>
          <w:p w:rsidR="0051593C" w:rsidRPr="00C30516" w:rsidRDefault="0051593C" w:rsidP="004F7170">
            <w:pPr>
              <w:spacing w:line="240" w:lineRule="auto"/>
              <w:rPr>
                <w:rFonts w:cs="Arial"/>
                <w:bCs/>
                <w:iCs/>
                <w:color w:val="0D0D0D" w:themeColor="text1" w:themeTint="F2"/>
                <w:spacing w:val="-2"/>
                <w:sz w:val="16"/>
                <w:szCs w:val="16"/>
              </w:rPr>
            </w:pPr>
            <w:r w:rsidRPr="00AC3A9F">
              <w:rPr>
                <w:rFonts w:cs="Arial"/>
                <w:bCs/>
                <w:iCs/>
                <w:color w:val="0D0D0D" w:themeColor="text1" w:themeTint="F2"/>
                <w:spacing w:val="-2"/>
                <w:sz w:val="16"/>
                <w:szCs w:val="16"/>
              </w:rPr>
              <w:t xml:space="preserve">V inkasu </w:t>
            </w:r>
            <w:r>
              <w:rPr>
                <w:rFonts w:cs="Arial"/>
                <w:bCs/>
                <w:iCs/>
                <w:color w:val="0D0D0D" w:themeColor="text1" w:themeTint="F2"/>
                <w:spacing w:val="-2"/>
                <w:sz w:val="16"/>
                <w:szCs w:val="16"/>
              </w:rPr>
              <w:t>DPH se projevovaly vysoký meziroční růst</w:t>
            </w:r>
            <w:r w:rsidRPr="00AC3A9F">
              <w:rPr>
                <w:rFonts w:cs="Arial"/>
                <w:bCs/>
                <w:iCs/>
                <w:color w:val="0D0D0D" w:themeColor="text1" w:themeTint="F2"/>
                <w:spacing w:val="-2"/>
                <w:sz w:val="16"/>
                <w:szCs w:val="16"/>
              </w:rPr>
              <w:t xml:space="preserve"> výdajů na konečnou spotřebu</w:t>
            </w:r>
            <w:r>
              <w:rPr>
                <w:rFonts w:cs="Arial"/>
                <w:bCs/>
                <w:iCs/>
                <w:color w:val="0D0D0D" w:themeColor="text1" w:themeTint="F2"/>
                <w:spacing w:val="-2"/>
                <w:sz w:val="16"/>
                <w:szCs w:val="16"/>
              </w:rPr>
              <w:t xml:space="preserve"> v ekonomice i </w:t>
            </w:r>
            <w:r w:rsidRPr="00AC3A9F">
              <w:rPr>
                <w:rFonts w:cs="Arial"/>
                <w:bCs/>
                <w:iCs/>
                <w:color w:val="0D0D0D" w:themeColor="text1" w:themeTint="F2"/>
                <w:spacing w:val="-2"/>
                <w:sz w:val="16"/>
                <w:szCs w:val="16"/>
              </w:rPr>
              <w:t>zvýšení kontrolních opatření při výběru daně</w:t>
            </w:r>
            <w:r w:rsidR="00FB1F21">
              <w:rPr>
                <w:rFonts w:cs="Arial"/>
                <w:bCs/>
                <w:iCs/>
                <w:color w:val="0D0D0D" w:themeColor="text1" w:themeTint="F2"/>
                <w:spacing w:val="-2"/>
                <w:sz w:val="16"/>
                <w:szCs w:val="16"/>
              </w:rPr>
              <w:t>.</w:t>
            </w:r>
          </w:p>
        </w:tc>
        <w:tc>
          <w:tcPr>
            <w:tcW w:w="142" w:type="pct"/>
          </w:tcPr>
          <w:p w:rsidR="0051593C" w:rsidRPr="00A90EFD" w:rsidRDefault="0051593C" w:rsidP="004F7170">
            <w:pPr>
              <w:pStyle w:val="Textpoznpodarou"/>
              <w:jc w:val="both"/>
              <w:rPr>
                <w:rFonts w:cs="Arial"/>
                <w:color w:val="0D0D0D" w:themeColor="text1" w:themeTint="F2"/>
              </w:rPr>
            </w:pPr>
          </w:p>
        </w:tc>
        <w:tc>
          <w:tcPr>
            <w:tcW w:w="3804" w:type="pct"/>
          </w:tcPr>
          <w:p w:rsidR="0051593C" w:rsidRPr="00A9652F" w:rsidRDefault="0051593C" w:rsidP="004F7170">
            <w:pPr>
              <w:pStyle w:val="Textpoznpodarou"/>
              <w:jc w:val="both"/>
              <w:rPr>
                <w:rFonts w:cs="Arial"/>
                <w:color w:val="0D0D0D" w:themeColor="text1" w:themeTint="F2"/>
                <w:spacing w:val="-4"/>
              </w:rPr>
            </w:pPr>
            <w:r w:rsidRPr="00A9652F">
              <w:rPr>
                <w:rFonts w:cs="Arial"/>
                <w:color w:val="0D0D0D" w:themeColor="text1" w:themeTint="F2"/>
                <w:spacing w:val="-4"/>
              </w:rPr>
              <w:t xml:space="preserve">Celostátní </w:t>
            </w:r>
            <w:r w:rsidRPr="00822850">
              <w:rPr>
                <w:rFonts w:cs="Arial"/>
                <w:color w:val="0D0D0D" w:themeColor="text1" w:themeTint="F2"/>
                <w:spacing w:val="-4"/>
              </w:rPr>
              <w:t xml:space="preserve">výběr </w:t>
            </w:r>
            <w:r w:rsidRPr="00822850">
              <w:rPr>
                <w:rFonts w:cs="Arial"/>
                <w:color w:val="000000" w:themeColor="text1"/>
                <w:spacing w:val="-4"/>
              </w:rPr>
              <w:t>DPH</w:t>
            </w:r>
            <w:r w:rsidRPr="00A9652F">
              <w:rPr>
                <w:rFonts w:cs="Arial"/>
                <w:color w:val="000000" w:themeColor="text1"/>
                <w:spacing w:val="-4"/>
              </w:rPr>
              <w:t xml:space="preserve"> vzrostl</w:t>
            </w:r>
            <w:r>
              <w:rPr>
                <w:rFonts w:cs="Arial"/>
                <w:color w:val="0D0D0D" w:themeColor="text1" w:themeTint="F2"/>
                <w:spacing w:val="-4"/>
              </w:rPr>
              <w:t xml:space="preserve"> meziročně o 5,9 % (na úrovni SR o 4,1 %)</w:t>
            </w:r>
            <w:r w:rsidRPr="00A9652F">
              <w:rPr>
                <w:rFonts w:cs="Arial"/>
                <w:color w:val="0D0D0D" w:themeColor="text1" w:themeTint="F2"/>
                <w:spacing w:val="-4"/>
              </w:rPr>
              <w:t>.</w:t>
            </w:r>
            <w:r>
              <w:rPr>
                <w:rFonts w:cs="Arial"/>
                <w:color w:val="0D0D0D" w:themeColor="text1" w:themeTint="F2"/>
                <w:spacing w:val="-4"/>
              </w:rPr>
              <w:t xml:space="preserve"> Projevoval se v něm</w:t>
            </w:r>
            <w:r w:rsidRPr="00A9652F">
              <w:rPr>
                <w:rFonts w:cs="Arial"/>
                <w:color w:val="0D0D0D" w:themeColor="text1" w:themeTint="F2"/>
                <w:spacing w:val="-4"/>
              </w:rPr>
              <w:t xml:space="preserve"> stabilní </w:t>
            </w:r>
            <w:r>
              <w:rPr>
                <w:rFonts w:cs="Arial"/>
                <w:color w:val="0D0D0D" w:themeColor="text1" w:themeTint="F2"/>
                <w:spacing w:val="-4"/>
              </w:rPr>
              <w:t>růst</w:t>
            </w:r>
            <w:r w:rsidRPr="008E4EC0">
              <w:rPr>
                <w:rFonts w:cs="Arial"/>
                <w:color w:val="0D0D0D" w:themeColor="text1" w:themeTint="F2"/>
                <w:spacing w:val="-4"/>
              </w:rPr>
              <w:t xml:space="preserve"> výdajů na konečnou spotřebu, a to jak u</w:t>
            </w:r>
            <w:r>
              <w:rPr>
                <w:rFonts w:cs="Arial"/>
                <w:color w:val="000000" w:themeColor="text1"/>
                <w:spacing w:val="-2"/>
              </w:rPr>
              <w:t> </w:t>
            </w:r>
            <w:r w:rsidRPr="008E4EC0">
              <w:rPr>
                <w:rFonts w:cs="Arial"/>
                <w:color w:val="0D0D0D" w:themeColor="text1" w:themeTint="F2"/>
                <w:spacing w:val="-4"/>
              </w:rPr>
              <w:t>domácností (nominálně v 1. až 3. čtvrtletí 2,7 %), tak</w:t>
            </w:r>
            <w:r w:rsidRPr="00A9652F">
              <w:rPr>
                <w:rFonts w:cs="Arial"/>
                <w:color w:val="0D0D0D" w:themeColor="text1" w:themeTint="F2"/>
                <w:spacing w:val="-4"/>
              </w:rPr>
              <w:t xml:space="preserve"> i vládních </w:t>
            </w:r>
            <w:r w:rsidRPr="008E4EC0">
              <w:rPr>
                <w:rFonts w:cs="Arial"/>
                <w:color w:val="0D0D0D" w:themeColor="text1" w:themeTint="F2"/>
                <w:spacing w:val="-4"/>
              </w:rPr>
              <w:t>institucí (2,3 %).</w:t>
            </w:r>
            <w:r>
              <w:rPr>
                <w:rFonts w:cs="Arial"/>
                <w:color w:val="0D0D0D" w:themeColor="text1" w:themeTint="F2"/>
                <w:spacing w:val="-4"/>
              </w:rPr>
              <w:t xml:space="preserve"> Do</w:t>
            </w:r>
            <w:r w:rsidRPr="00A9652F">
              <w:rPr>
                <w:rFonts w:cs="Arial"/>
                <w:color w:val="0D0D0D" w:themeColor="text1" w:themeTint="F2"/>
                <w:spacing w:val="-4"/>
              </w:rPr>
              <w:t xml:space="preserve"> </w:t>
            </w:r>
            <w:r>
              <w:rPr>
                <w:rFonts w:cs="Arial"/>
                <w:color w:val="0D0D0D" w:themeColor="text1" w:themeTint="F2"/>
                <w:spacing w:val="-4"/>
              </w:rPr>
              <w:t xml:space="preserve">výběru DPH se </w:t>
            </w:r>
            <w:r w:rsidR="004F77AE">
              <w:rPr>
                <w:rFonts w:cs="Arial"/>
                <w:color w:val="0D0D0D" w:themeColor="text1" w:themeTint="F2"/>
                <w:spacing w:val="-4"/>
              </w:rPr>
              <w:t xml:space="preserve">zřejmě </w:t>
            </w:r>
            <w:r>
              <w:rPr>
                <w:rFonts w:cs="Arial"/>
                <w:color w:val="0D0D0D" w:themeColor="text1" w:themeTint="F2"/>
                <w:spacing w:val="-4"/>
              </w:rPr>
              <w:t>promítlo i</w:t>
            </w:r>
            <w:r w:rsidRPr="008E4EC0">
              <w:rPr>
                <w:rFonts w:cs="Arial"/>
                <w:color w:val="0D0D0D" w:themeColor="text1" w:themeTint="F2"/>
                <w:spacing w:val="-4"/>
              </w:rPr>
              <w:t> </w:t>
            </w:r>
            <w:r w:rsidRPr="00A9652F">
              <w:rPr>
                <w:rFonts w:cs="Arial"/>
                <w:color w:val="0D0D0D" w:themeColor="text1" w:themeTint="F2"/>
                <w:spacing w:val="-4"/>
              </w:rPr>
              <w:t>zvýšení kontrolních opatření při výběru daně</w:t>
            </w:r>
            <w:r>
              <w:rPr>
                <w:spacing w:val="-4"/>
              </w:rPr>
              <w:t xml:space="preserve">, která jsou zacílena </w:t>
            </w:r>
            <w:r w:rsidRPr="00A9652F">
              <w:rPr>
                <w:spacing w:val="-4"/>
              </w:rPr>
              <w:t>na neoprávněné nároky a</w:t>
            </w:r>
            <w:r>
              <w:rPr>
                <w:rFonts w:cs="Arial"/>
                <w:color w:val="000000" w:themeColor="text1"/>
                <w:spacing w:val="-2"/>
              </w:rPr>
              <w:t> </w:t>
            </w:r>
            <w:r w:rsidRPr="00A9652F">
              <w:rPr>
                <w:spacing w:val="-4"/>
              </w:rPr>
              <w:t>nadměrné odpočty DPH</w:t>
            </w:r>
            <w:r w:rsidRPr="00A9652F">
              <w:rPr>
                <w:rFonts w:cs="Arial"/>
                <w:color w:val="0D0D0D" w:themeColor="text1" w:themeTint="F2"/>
                <w:spacing w:val="-4"/>
              </w:rPr>
              <w:t>.</w:t>
            </w:r>
            <w:r>
              <w:rPr>
                <w:rFonts w:cs="Arial"/>
                <w:color w:val="0D0D0D" w:themeColor="text1" w:themeTint="F2"/>
                <w:spacing w:val="-4"/>
              </w:rPr>
              <w:t xml:space="preserve"> Letošní výběr DPH, na rozdíl </w:t>
            </w:r>
            <w:r w:rsidR="00FB1F21">
              <w:rPr>
                <w:rFonts w:cs="Arial"/>
                <w:color w:val="0D0D0D" w:themeColor="text1" w:themeTint="F2"/>
                <w:spacing w:val="-4"/>
              </w:rPr>
              <w:t xml:space="preserve">od </w:t>
            </w:r>
            <w:r>
              <w:rPr>
                <w:rFonts w:cs="Arial"/>
                <w:color w:val="0D0D0D" w:themeColor="text1" w:themeTint="F2"/>
                <w:spacing w:val="-4"/>
              </w:rPr>
              <w:t xml:space="preserve">všech ostatních významných daní, </w:t>
            </w:r>
            <w:r w:rsidR="00FB1F21">
              <w:rPr>
                <w:rFonts w:cs="Arial"/>
                <w:color w:val="0D0D0D" w:themeColor="text1" w:themeTint="F2"/>
                <w:spacing w:val="-4"/>
              </w:rPr>
              <w:t>však za rozpočtovým očekáváním</w:t>
            </w:r>
            <w:r>
              <w:rPr>
                <w:rFonts w:cs="Arial"/>
                <w:color w:val="0D0D0D" w:themeColor="text1" w:themeTint="F2"/>
                <w:spacing w:val="-4"/>
              </w:rPr>
              <w:t xml:space="preserve"> stále významněji zaostával.</w:t>
            </w:r>
          </w:p>
          <w:p w:rsidR="0051593C" w:rsidRPr="00952517" w:rsidRDefault="0051593C" w:rsidP="004F7170">
            <w:pPr>
              <w:pStyle w:val="Textpoznpodarou"/>
              <w:jc w:val="both"/>
              <w:rPr>
                <w:rFonts w:cs="Arial"/>
                <w:color w:val="0D0D0D" w:themeColor="text1" w:themeTint="F2"/>
                <w:spacing w:val="-4"/>
                <w:sz w:val="15"/>
                <w:szCs w:val="15"/>
              </w:rPr>
            </w:pPr>
          </w:p>
        </w:tc>
      </w:tr>
      <w:tr w:rsidR="0051593C" w:rsidRPr="00A90EFD" w:rsidTr="004F7170">
        <w:tc>
          <w:tcPr>
            <w:tcW w:w="1054" w:type="pct"/>
          </w:tcPr>
          <w:p w:rsidR="0051593C" w:rsidRPr="00C30516" w:rsidRDefault="0051593C" w:rsidP="004F7170">
            <w:pPr>
              <w:spacing w:line="240" w:lineRule="auto"/>
              <w:rPr>
                <w:rFonts w:cs="Arial"/>
                <w:bCs/>
                <w:iCs/>
                <w:color w:val="0D0D0D" w:themeColor="text1" w:themeTint="F2"/>
                <w:spacing w:val="-2"/>
                <w:sz w:val="16"/>
                <w:szCs w:val="16"/>
              </w:rPr>
            </w:pPr>
            <w:r>
              <w:rPr>
                <w:rFonts w:cs="Arial"/>
                <w:bCs/>
                <w:iCs/>
                <w:color w:val="0D0D0D" w:themeColor="text1" w:themeTint="F2"/>
                <w:spacing w:val="-2"/>
                <w:sz w:val="16"/>
                <w:szCs w:val="16"/>
              </w:rPr>
              <w:t xml:space="preserve">Na spotřebních daních získal SR za tři čtvrtletí meziročně o 7 mld. korun více, především vlivem </w:t>
            </w:r>
            <w:r w:rsidRPr="00105ED0">
              <w:rPr>
                <w:rFonts w:cs="Arial"/>
                <w:bCs/>
                <w:iCs/>
                <w:color w:val="0D0D0D" w:themeColor="text1" w:themeTint="F2"/>
                <w:sz w:val="16"/>
                <w:szCs w:val="16"/>
              </w:rPr>
              <w:t>zvýšení sazeb daně z tabákových výrobků od počátku roku</w:t>
            </w:r>
            <w:r w:rsidR="00FB1F21">
              <w:rPr>
                <w:rFonts w:cs="Arial"/>
                <w:bCs/>
                <w:iCs/>
                <w:color w:val="0D0D0D" w:themeColor="text1" w:themeTint="F2"/>
                <w:sz w:val="16"/>
                <w:szCs w:val="16"/>
              </w:rPr>
              <w:t>.</w:t>
            </w:r>
          </w:p>
        </w:tc>
        <w:tc>
          <w:tcPr>
            <w:tcW w:w="142" w:type="pct"/>
          </w:tcPr>
          <w:p w:rsidR="0051593C" w:rsidRPr="00A90EFD" w:rsidRDefault="0051593C" w:rsidP="004F7170">
            <w:pPr>
              <w:pStyle w:val="Textpoznpodarou"/>
              <w:jc w:val="both"/>
              <w:rPr>
                <w:rFonts w:cs="Arial"/>
                <w:color w:val="0D0D0D" w:themeColor="text1" w:themeTint="F2"/>
              </w:rPr>
            </w:pPr>
          </w:p>
        </w:tc>
        <w:tc>
          <w:tcPr>
            <w:tcW w:w="3804" w:type="pct"/>
          </w:tcPr>
          <w:p w:rsidR="0051593C" w:rsidRPr="00A94F1A" w:rsidRDefault="0051593C" w:rsidP="004F7170">
            <w:pPr>
              <w:pStyle w:val="Textpoznpodarou"/>
              <w:jc w:val="both"/>
              <w:rPr>
                <w:rFonts w:cs="Arial"/>
                <w:color w:val="0D0D0D" w:themeColor="text1" w:themeTint="F2"/>
                <w:spacing w:val="-4"/>
              </w:rPr>
            </w:pPr>
            <w:r>
              <w:rPr>
                <w:rFonts w:cs="Arial"/>
                <w:color w:val="0D0D0D" w:themeColor="text1" w:themeTint="F2"/>
                <w:spacing w:val="-4"/>
              </w:rPr>
              <w:t>Na spotřebních daních inkasoval SR za tři čtvrtletí o 6,7 % více. Projevil se zde především vliv rychle rostoucího výběru daně z tabákových výrobků (meziročně o</w:t>
            </w:r>
            <w:r>
              <w:rPr>
                <w:rFonts w:cs="Arial"/>
                <w:color w:val="000000" w:themeColor="text1"/>
                <w:spacing w:val="-2"/>
              </w:rPr>
              <w:t xml:space="preserve"> bezmála </w:t>
            </w:r>
            <w:r>
              <w:rPr>
                <w:rFonts w:cs="Arial"/>
                <w:color w:val="0D0D0D" w:themeColor="text1" w:themeTint="F2"/>
                <w:spacing w:val="-4"/>
              </w:rPr>
              <w:t>osminu vyššího) tažený</w:t>
            </w:r>
            <w:r w:rsidRPr="00952517">
              <w:rPr>
                <w:rFonts w:cs="Arial"/>
                <w:color w:val="0D0D0D" w:themeColor="text1" w:themeTint="F2"/>
                <w:spacing w:val="-4"/>
              </w:rPr>
              <w:t xml:space="preserve"> </w:t>
            </w:r>
            <w:r>
              <w:rPr>
                <w:rFonts w:cs="Arial"/>
                <w:color w:val="0D0D0D" w:themeColor="text1" w:themeTint="F2"/>
                <w:spacing w:val="-4"/>
              </w:rPr>
              <w:t xml:space="preserve">primárně zvýšením </w:t>
            </w:r>
            <w:r w:rsidRPr="00952517">
              <w:rPr>
                <w:rFonts w:cs="Arial"/>
                <w:color w:val="0D0D0D" w:themeColor="text1" w:themeTint="F2"/>
                <w:spacing w:val="-4"/>
              </w:rPr>
              <w:t>sazeb daně</w:t>
            </w:r>
            <w:r>
              <w:rPr>
                <w:rFonts w:cs="Arial"/>
                <w:color w:val="0D0D0D" w:themeColor="text1" w:themeTint="F2"/>
                <w:spacing w:val="-4"/>
              </w:rPr>
              <w:t>. Třetinou přispěla k vyššímu výběru všech spotřebních daní i váhově dominantní daň</w:t>
            </w:r>
            <w:r w:rsidRPr="00952517">
              <w:rPr>
                <w:rFonts w:cs="Arial"/>
                <w:color w:val="0D0D0D" w:themeColor="text1" w:themeTint="F2"/>
                <w:spacing w:val="-4"/>
              </w:rPr>
              <w:t xml:space="preserve"> z mi</w:t>
            </w:r>
            <w:r>
              <w:rPr>
                <w:rFonts w:cs="Arial"/>
                <w:color w:val="0D0D0D" w:themeColor="text1" w:themeTint="F2"/>
                <w:spacing w:val="-4"/>
              </w:rPr>
              <w:t>nerálních olejů, jejíž inkaso meziročně posílilo o 4,6 %. S</w:t>
            </w:r>
            <w:r w:rsidRPr="00952517">
              <w:rPr>
                <w:rFonts w:cs="Arial"/>
                <w:color w:val="0D0D0D" w:themeColor="text1" w:themeTint="F2"/>
                <w:spacing w:val="-4"/>
              </w:rPr>
              <w:t>potřeb</w:t>
            </w:r>
            <w:r>
              <w:rPr>
                <w:rFonts w:cs="Arial"/>
                <w:color w:val="0D0D0D" w:themeColor="text1" w:themeTint="F2"/>
                <w:spacing w:val="-4"/>
              </w:rPr>
              <w:t>u stimulovaly stále příznivé ceny PHM (i ve srovnání s většinou sousedních států), jakož i</w:t>
            </w:r>
            <w:r w:rsidRPr="00952517">
              <w:rPr>
                <w:rFonts w:cs="Arial"/>
                <w:color w:val="0D0D0D" w:themeColor="text1" w:themeTint="F2"/>
                <w:spacing w:val="-4"/>
              </w:rPr>
              <w:t> dlouhodobější růst</w:t>
            </w:r>
            <w:r>
              <w:rPr>
                <w:rFonts w:cs="Arial"/>
                <w:color w:val="0D0D0D" w:themeColor="text1" w:themeTint="F2"/>
                <w:spacing w:val="-4"/>
              </w:rPr>
              <w:t xml:space="preserve"> poptávky po dopravě související</w:t>
            </w:r>
            <w:r w:rsidRPr="00952517">
              <w:rPr>
                <w:rFonts w:cs="Arial"/>
                <w:color w:val="0D0D0D" w:themeColor="text1" w:themeTint="F2"/>
                <w:spacing w:val="-4"/>
              </w:rPr>
              <w:t xml:space="preserve"> </w:t>
            </w:r>
            <w:r>
              <w:rPr>
                <w:rFonts w:cs="Arial"/>
                <w:color w:val="0D0D0D" w:themeColor="text1" w:themeTint="F2"/>
                <w:spacing w:val="-4"/>
              </w:rPr>
              <w:t xml:space="preserve">s pokračujícím </w:t>
            </w:r>
            <w:r w:rsidRPr="00952517">
              <w:rPr>
                <w:rFonts w:cs="Arial"/>
                <w:color w:val="0D0D0D" w:themeColor="text1" w:themeTint="F2"/>
                <w:spacing w:val="-4"/>
              </w:rPr>
              <w:t>hospodářským růstem.</w:t>
            </w:r>
          </w:p>
          <w:p w:rsidR="0051593C" w:rsidRPr="00952517" w:rsidRDefault="0051593C" w:rsidP="004F7170">
            <w:pPr>
              <w:pStyle w:val="Textpoznpodarou"/>
              <w:jc w:val="both"/>
              <w:rPr>
                <w:rFonts w:cs="Arial"/>
                <w:color w:val="0D0D0D" w:themeColor="text1" w:themeTint="F2"/>
                <w:spacing w:val="-4"/>
                <w:sz w:val="15"/>
                <w:szCs w:val="15"/>
              </w:rPr>
            </w:pPr>
          </w:p>
        </w:tc>
      </w:tr>
      <w:tr w:rsidR="0051593C" w:rsidRPr="00A90EFD" w:rsidTr="004F7170">
        <w:tc>
          <w:tcPr>
            <w:tcW w:w="1054" w:type="pct"/>
          </w:tcPr>
          <w:p w:rsidR="0051593C" w:rsidRPr="00105ED0" w:rsidRDefault="0051593C" w:rsidP="004F7170">
            <w:pPr>
              <w:spacing w:line="240" w:lineRule="auto"/>
              <w:rPr>
                <w:rFonts w:cs="Arial"/>
                <w:bCs/>
                <w:iCs/>
                <w:color w:val="0D0D0D" w:themeColor="text1" w:themeTint="F2"/>
                <w:sz w:val="16"/>
                <w:szCs w:val="16"/>
              </w:rPr>
            </w:pPr>
            <w:r>
              <w:rPr>
                <w:rFonts w:cs="Arial"/>
                <w:bCs/>
                <w:iCs/>
                <w:color w:val="0D0D0D" w:themeColor="text1" w:themeTint="F2"/>
                <w:sz w:val="16"/>
                <w:szCs w:val="16"/>
              </w:rPr>
              <w:t xml:space="preserve">Inkaso daně z příjmů právnických osob rostlo nejrychleji od konjunktury, </w:t>
            </w:r>
            <w:r w:rsidRPr="00875898">
              <w:rPr>
                <w:rFonts w:cs="Arial"/>
                <w:spacing w:val="-4"/>
                <w:sz w:val="16"/>
                <w:szCs w:val="16"/>
              </w:rPr>
              <w:t>těžilo</w:t>
            </w:r>
            <w:r>
              <w:rPr>
                <w:rFonts w:cs="Arial"/>
                <w:spacing w:val="-4"/>
                <w:sz w:val="16"/>
                <w:szCs w:val="16"/>
              </w:rPr>
              <w:t xml:space="preserve"> hlavně ze</w:t>
            </w:r>
            <w:r w:rsidRPr="00875898">
              <w:rPr>
                <w:rFonts w:cs="Arial"/>
                <w:spacing w:val="-4"/>
                <w:sz w:val="16"/>
                <w:szCs w:val="16"/>
              </w:rPr>
              <w:t xml:space="preserve"> sílících zisků podniků </w:t>
            </w:r>
            <w:r>
              <w:rPr>
                <w:rFonts w:cs="Arial"/>
                <w:spacing w:val="-4"/>
                <w:sz w:val="16"/>
                <w:szCs w:val="16"/>
              </w:rPr>
              <w:t>v letech 2014 a 2015</w:t>
            </w:r>
            <w:r w:rsidR="00FB1F21">
              <w:rPr>
                <w:rFonts w:cs="Arial"/>
                <w:spacing w:val="-4"/>
                <w:sz w:val="16"/>
                <w:szCs w:val="16"/>
              </w:rPr>
              <w:t>.</w:t>
            </w:r>
          </w:p>
        </w:tc>
        <w:tc>
          <w:tcPr>
            <w:tcW w:w="142" w:type="pct"/>
          </w:tcPr>
          <w:p w:rsidR="0051593C" w:rsidRPr="00A90EFD" w:rsidRDefault="0051593C" w:rsidP="004F7170">
            <w:pPr>
              <w:pStyle w:val="Textpoznpodarou"/>
              <w:jc w:val="both"/>
              <w:rPr>
                <w:rFonts w:cs="Arial"/>
                <w:color w:val="0D0D0D" w:themeColor="text1" w:themeTint="F2"/>
              </w:rPr>
            </w:pPr>
          </w:p>
        </w:tc>
        <w:tc>
          <w:tcPr>
            <w:tcW w:w="3804" w:type="pct"/>
          </w:tcPr>
          <w:p w:rsidR="0051593C" w:rsidRPr="004C0AD9" w:rsidRDefault="0051593C" w:rsidP="004F7170">
            <w:pPr>
              <w:pStyle w:val="Textpoznpodarou"/>
              <w:jc w:val="both"/>
              <w:rPr>
                <w:rFonts w:cs="Arial"/>
                <w:color w:val="0D0D0D" w:themeColor="text1" w:themeTint="F2"/>
                <w:spacing w:val="-4"/>
              </w:rPr>
            </w:pPr>
            <w:r>
              <w:rPr>
                <w:rFonts w:cs="Arial"/>
                <w:color w:val="0D0D0D" w:themeColor="text1" w:themeTint="F2"/>
                <w:spacing w:val="-4"/>
              </w:rPr>
              <w:t xml:space="preserve">Příznivý ekonomický vývoj se ještě výrazněji projevil na celostátním výběru přímých daní. Inkaso korporátních </w:t>
            </w:r>
            <w:r w:rsidR="00FB1F21">
              <w:rPr>
                <w:rFonts w:cs="Arial"/>
                <w:color w:val="0D0D0D" w:themeColor="text1" w:themeTint="F2"/>
                <w:spacing w:val="-4"/>
              </w:rPr>
              <w:t xml:space="preserve">daní nadále zrychlovalo – v 1. až </w:t>
            </w:r>
            <w:r>
              <w:rPr>
                <w:rFonts w:cs="Arial"/>
                <w:color w:val="0D0D0D" w:themeColor="text1" w:themeTint="F2"/>
                <w:spacing w:val="-4"/>
              </w:rPr>
              <w:t>3. čtvrtletí rostlo o 13 % meziročně (po loňských 11 %). Přestože šlo o nejvyšší růst od roku 2008, proti s</w:t>
            </w:r>
            <w:r w:rsidR="004F77AE">
              <w:rPr>
                <w:rFonts w:cs="Arial"/>
                <w:color w:val="0D0D0D" w:themeColor="text1" w:themeTint="F2"/>
                <w:spacing w:val="-4"/>
              </w:rPr>
              <w:t>vému předkrizovému maximu (1. až 3.</w:t>
            </w:r>
            <w:r>
              <w:rPr>
                <w:rFonts w:cs="Arial"/>
                <w:color w:val="0D0D0D" w:themeColor="text1" w:themeTint="F2"/>
                <w:spacing w:val="-4"/>
              </w:rPr>
              <w:t xml:space="preserve"> </w:t>
            </w:r>
            <w:r w:rsidR="004F77AE">
              <w:rPr>
                <w:rFonts w:cs="Arial"/>
                <w:color w:val="0D0D0D" w:themeColor="text1" w:themeTint="F2"/>
                <w:spacing w:val="-4"/>
              </w:rPr>
              <w:t xml:space="preserve">čtvrtletí </w:t>
            </w:r>
            <w:r>
              <w:rPr>
                <w:rFonts w:cs="Arial"/>
                <w:color w:val="0D0D0D" w:themeColor="text1" w:themeTint="F2"/>
                <w:spacing w:val="-4"/>
              </w:rPr>
              <w:t>2008) byl letošní výběr stále o osminu nižší (zčásti i vlivem snížení sazby daně o 1 p.b. od roku 2010).</w:t>
            </w:r>
          </w:p>
          <w:p w:rsidR="0051593C" w:rsidRPr="00952517" w:rsidRDefault="0051593C" w:rsidP="004F7170">
            <w:pPr>
              <w:pStyle w:val="Textpoznpodarou"/>
              <w:jc w:val="both"/>
              <w:rPr>
                <w:rFonts w:cs="Arial"/>
                <w:color w:val="0D0D0D" w:themeColor="text1" w:themeTint="F2"/>
                <w:spacing w:val="-4"/>
                <w:sz w:val="15"/>
                <w:szCs w:val="15"/>
              </w:rPr>
            </w:pPr>
          </w:p>
        </w:tc>
      </w:tr>
      <w:tr w:rsidR="0051593C" w:rsidRPr="00A90EFD" w:rsidTr="004F7170">
        <w:tc>
          <w:tcPr>
            <w:tcW w:w="1054" w:type="pct"/>
          </w:tcPr>
          <w:p w:rsidR="0051593C" w:rsidRDefault="0051593C" w:rsidP="004F7170">
            <w:pPr>
              <w:spacing w:line="240" w:lineRule="auto"/>
              <w:rPr>
                <w:rFonts w:cs="Arial"/>
                <w:bCs/>
                <w:iCs/>
                <w:color w:val="0D0D0D" w:themeColor="text1" w:themeTint="F2"/>
                <w:sz w:val="16"/>
                <w:szCs w:val="16"/>
              </w:rPr>
            </w:pPr>
            <w:r>
              <w:rPr>
                <w:rFonts w:cs="Arial"/>
                <w:bCs/>
                <w:iCs/>
                <w:color w:val="0D0D0D" w:themeColor="text1" w:themeTint="F2"/>
                <w:sz w:val="16"/>
                <w:szCs w:val="16"/>
              </w:rPr>
              <w:t xml:space="preserve">Velmi příznivá situace na trhu práce pomohla inkasu </w:t>
            </w:r>
          </w:p>
          <w:p w:rsidR="0051593C" w:rsidRDefault="0051593C" w:rsidP="004F7170">
            <w:pPr>
              <w:spacing w:line="240" w:lineRule="auto"/>
              <w:rPr>
                <w:rFonts w:cs="Arial"/>
                <w:bCs/>
                <w:iCs/>
                <w:color w:val="0D0D0D" w:themeColor="text1" w:themeTint="F2"/>
                <w:sz w:val="16"/>
                <w:szCs w:val="16"/>
              </w:rPr>
            </w:pPr>
            <w:r>
              <w:rPr>
                <w:rFonts w:cs="Arial"/>
                <w:bCs/>
                <w:iCs/>
                <w:color w:val="0D0D0D" w:themeColor="text1" w:themeTint="F2"/>
                <w:sz w:val="16"/>
                <w:szCs w:val="16"/>
              </w:rPr>
              <w:t>DPFO ze závislé činnosti</w:t>
            </w:r>
          </w:p>
          <w:p w:rsidR="0051593C" w:rsidRDefault="00FB1F21" w:rsidP="004F7170">
            <w:pPr>
              <w:spacing w:line="240" w:lineRule="auto"/>
              <w:rPr>
                <w:rFonts w:cs="Arial"/>
                <w:bCs/>
                <w:iCs/>
                <w:color w:val="0D0D0D" w:themeColor="text1" w:themeTint="F2"/>
                <w:sz w:val="16"/>
                <w:szCs w:val="16"/>
              </w:rPr>
            </w:pPr>
            <w:r>
              <w:rPr>
                <w:rFonts w:cs="Arial"/>
                <w:bCs/>
                <w:iCs/>
                <w:color w:val="0D0D0D" w:themeColor="text1" w:themeTint="F2"/>
                <w:sz w:val="16"/>
                <w:szCs w:val="16"/>
              </w:rPr>
              <w:t>k</w:t>
            </w:r>
            <w:r w:rsidR="0051593C">
              <w:rPr>
                <w:rFonts w:cs="Arial"/>
                <w:bCs/>
                <w:iCs/>
                <w:color w:val="0D0D0D" w:themeColor="text1" w:themeTint="F2"/>
                <w:sz w:val="16"/>
                <w:szCs w:val="16"/>
              </w:rPr>
              <w:t> dvojcifernému růstu</w:t>
            </w:r>
            <w:r>
              <w:rPr>
                <w:rFonts w:cs="Arial"/>
                <w:bCs/>
                <w:iCs/>
                <w:color w:val="0D0D0D" w:themeColor="text1" w:themeTint="F2"/>
                <w:sz w:val="16"/>
                <w:szCs w:val="16"/>
              </w:rPr>
              <w:t>.</w:t>
            </w:r>
          </w:p>
          <w:p w:rsidR="0051593C" w:rsidRDefault="0051593C" w:rsidP="004F7170">
            <w:pPr>
              <w:spacing w:line="240" w:lineRule="auto"/>
              <w:rPr>
                <w:rFonts w:cs="Arial"/>
                <w:bCs/>
                <w:iCs/>
                <w:color w:val="0D0D0D" w:themeColor="text1" w:themeTint="F2"/>
                <w:sz w:val="16"/>
                <w:szCs w:val="16"/>
              </w:rPr>
            </w:pPr>
          </w:p>
          <w:p w:rsidR="0051593C" w:rsidRDefault="0051593C" w:rsidP="004F7170">
            <w:pPr>
              <w:spacing w:line="240" w:lineRule="auto"/>
              <w:rPr>
                <w:rFonts w:cs="Arial"/>
                <w:bCs/>
                <w:iCs/>
                <w:color w:val="0D0D0D" w:themeColor="text1" w:themeTint="F2"/>
                <w:sz w:val="16"/>
                <w:szCs w:val="16"/>
              </w:rPr>
            </w:pPr>
          </w:p>
          <w:p w:rsidR="0051593C" w:rsidRPr="00F55C6A" w:rsidRDefault="0051593C" w:rsidP="004F7170">
            <w:pPr>
              <w:spacing w:line="240" w:lineRule="auto"/>
              <w:rPr>
                <w:rFonts w:cs="Arial"/>
                <w:bCs/>
                <w:iCs/>
                <w:color w:val="0D0D0D" w:themeColor="text1" w:themeTint="F2"/>
                <w:sz w:val="16"/>
                <w:szCs w:val="16"/>
              </w:rPr>
            </w:pPr>
            <w:r>
              <w:rPr>
                <w:rFonts w:cs="Arial"/>
                <w:bCs/>
                <w:iCs/>
                <w:color w:val="0D0D0D" w:themeColor="text1" w:themeTint="F2"/>
                <w:sz w:val="16"/>
                <w:szCs w:val="16"/>
              </w:rPr>
              <w:t>Výběr DPFO placené na základě přiznání se letos přehoupl do kladných hodnot a byl nejvyšší od roku 2010</w:t>
            </w:r>
            <w:r w:rsidR="00FB1F21">
              <w:rPr>
                <w:rFonts w:cs="Arial"/>
                <w:bCs/>
                <w:iCs/>
                <w:color w:val="0D0D0D" w:themeColor="text1" w:themeTint="F2"/>
                <w:sz w:val="16"/>
                <w:szCs w:val="16"/>
              </w:rPr>
              <w:t>.</w:t>
            </w:r>
          </w:p>
        </w:tc>
        <w:tc>
          <w:tcPr>
            <w:tcW w:w="142" w:type="pct"/>
          </w:tcPr>
          <w:p w:rsidR="0051593C" w:rsidRPr="00807B25" w:rsidRDefault="0051593C" w:rsidP="004F7170">
            <w:pPr>
              <w:pStyle w:val="Textpoznpodarou"/>
              <w:jc w:val="both"/>
              <w:rPr>
                <w:rFonts w:cs="Arial"/>
                <w:color w:val="0D0D0D" w:themeColor="text1" w:themeTint="F2"/>
                <w:spacing w:val="-4"/>
              </w:rPr>
            </w:pPr>
          </w:p>
        </w:tc>
        <w:tc>
          <w:tcPr>
            <w:tcW w:w="3804" w:type="pct"/>
          </w:tcPr>
          <w:p w:rsidR="0051593C" w:rsidRPr="007607F9" w:rsidRDefault="0051593C" w:rsidP="004F7170">
            <w:pPr>
              <w:pStyle w:val="Textpoznpodarou"/>
              <w:jc w:val="both"/>
              <w:rPr>
                <w:rFonts w:cs="Arial"/>
                <w:spacing w:val="-4"/>
              </w:rPr>
            </w:pPr>
            <w:r>
              <w:rPr>
                <w:rFonts w:cs="Arial"/>
                <w:spacing w:val="-4"/>
              </w:rPr>
              <w:t xml:space="preserve">Zrychlování dynamiky průměrných mezd v podnikové sféře i ve veřejném sektoru v kombinaci s rekordní výší zaměstnanosti v celé ekonomice letos vyústily ve více než 10% růst celostátního </w:t>
            </w:r>
            <w:r w:rsidRPr="009C08E8">
              <w:rPr>
                <w:rFonts w:cs="Arial"/>
                <w:spacing w:val="-4"/>
              </w:rPr>
              <w:t>výběr</w:t>
            </w:r>
            <w:r>
              <w:rPr>
                <w:rFonts w:cs="Arial"/>
                <w:spacing w:val="-4"/>
              </w:rPr>
              <w:t>u</w:t>
            </w:r>
            <w:r w:rsidRPr="009C08E8">
              <w:rPr>
                <w:rFonts w:cs="Arial"/>
                <w:spacing w:val="-4"/>
              </w:rPr>
              <w:t xml:space="preserve"> </w:t>
            </w:r>
            <w:r w:rsidRPr="009C08E8">
              <w:rPr>
                <w:rFonts w:cs="Arial"/>
                <w:color w:val="0D0D0D" w:themeColor="text1" w:themeTint="F2"/>
                <w:spacing w:val="-4"/>
              </w:rPr>
              <w:t>daně z příjmu fyzických osob (DPFO) ze závislé činnosti</w:t>
            </w:r>
            <w:r>
              <w:rPr>
                <w:rFonts w:cs="Arial"/>
                <w:color w:val="0D0D0D" w:themeColor="text1" w:themeTint="F2"/>
                <w:spacing w:val="-4"/>
              </w:rPr>
              <w:t xml:space="preserve">. </w:t>
            </w:r>
            <w:r>
              <w:rPr>
                <w:rFonts w:cs="Arial"/>
                <w:spacing w:val="-4"/>
              </w:rPr>
              <w:t>Příznivější loňské výsledky hospodaření drobných živnostn</w:t>
            </w:r>
            <w:r w:rsidRPr="00924185">
              <w:rPr>
                <w:rFonts w:cs="Arial"/>
                <w:spacing w:val="-4"/>
              </w:rPr>
              <w:t>íků i legislativní změny</w:t>
            </w:r>
            <w:r w:rsidRPr="00924185">
              <w:rPr>
                <w:rStyle w:val="Znakapoznpodarou"/>
                <w:spacing w:val="-4"/>
              </w:rPr>
              <w:footnoteReference w:id="33"/>
            </w:r>
            <w:r w:rsidRPr="00924185">
              <w:rPr>
                <w:rFonts w:cs="Arial"/>
                <w:spacing w:val="-4"/>
              </w:rPr>
              <w:t xml:space="preserve"> </w:t>
            </w:r>
            <w:r>
              <w:rPr>
                <w:rFonts w:cs="Arial"/>
                <w:spacing w:val="-4"/>
              </w:rPr>
              <w:t>ovlivn</w:t>
            </w:r>
            <w:r w:rsidRPr="00924185">
              <w:rPr>
                <w:rFonts w:cs="Arial"/>
                <w:spacing w:val="-4"/>
              </w:rPr>
              <w:t>ily výběr DPFO placené na základě přiznání</w:t>
            </w:r>
            <w:r>
              <w:rPr>
                <w:rFonts w:cs="Arial"/>
                <w:spacing w:val="-4"/>
              </w:rPr>
              <w:t>.</w:t>
            </w:r>
            <w:r w:rsidR="00FB1F21">
              <w:rPr>
                <w:rFonts w:cs="Arial"/>
                <w:spacing w:val="-4"/>
              </w:rPr>
              <w:t xml:space="preserve"> Ten za tři čtvrtletí čítal 3,5 </w:t>
            </w:r>
            <w:r>
              <w:rPr>
                <w:rFonts w:cs="Arial"/>
                <w:spacing w:val="-4"/>
              </w:rPr>
              <w:t>mld. korun, na rozdíl od loňského roku již dosáhl</w:t>
            </w:r>
            <w:r w:rsidRPr="00952517">
              <w:rPr>
                <w:rFonts w:cs="Arial"/>
                <w:spacing w:val="-4"/>
              </w:rPr>
              <w:t xml:space="preserve"> kladných hodnot.</w:t>
            </w:r>
            <w:r>
              <w:rPr>
                <w:rFonts w:cs="Arial"/>
                <w:spacing w:val="-4"/>
              </w:rPr>
              <w:t xml:space="preserve"> Naopak rozpočtová očekávání zatím nepřekračovalo inkaso DPFO z kapitálových výnosů, byť meziročně posílilo o 3,2 %.</w:t>
            </w:r>
            <w:r w:rsidRPr="00952517">
              <w:rPr>
                <w:rFonts w:cs="Arial"/>
                <w:spacing w:val="-4"/>
              </w:rPr>
              <w:t xml:space="preserve"> Z ostatních daní získal SR významnější prostředky z daně z nabytí nemovitých v</w:t>
            </w:r>
            <w:r>
              <w:rPr>
                <w:rFonts w:cs="Arial"/>
                <w:spacing w:val="-4"/>
              </w:rPr>
              <w:t>ěcí, jejíž svižný růst (+18 %) potvrzoval</w:t>
            </w:r>
            <w:r w:rsidRPr="00952517">
              <w:rPr>
                <w:rFonts w:cs="Arial"/>
                <w:spacing w:val="-4"/>
              </w:rPr>
              <w:t xml:space="preserve"> </w:t>
            </w:r>
            <w:r>
              <w:rPr>
                <w:rFonts w:cs="Arial"/>
                <w:spacing w:val="-4"/>
              </w:rPr>
              <w:t xml:space="preserve">pokračující </w:t>
            </w:r>
            <w:r w:rsidRPr="00952517">
              <w:rPr>
                <w:rFonts w:cs="Arial"/>
                <w:spacing w:val="-4"/>
              </w:rPr>
              <w:t>oživení realitního trhu.</w:t>
            </w:r>
          </w:p>
          <w:p w:rsidR="0051593C" w:rsidRPr="00CD3F70" w:rsidRDefault="0051593C" w:rsidP="004F7170">
            <w:pPr>
              <w:pStyle w:val="Textpoznpodarou"/>
              <w:jc w:val="both"/>
              <w:rPr>
                <w:rFonts w:cs="Arial"/>
                <w:spacing w:val="-4"/>
                <w:sz w:val="14"/>
                <w:szCs w:val="14"/>
              </w:rPr>
            </w:pPr>
          </w:p>
        </w:tc>
      </w:tr>
      <w:tr w:rsidR="0051593C" w:rsidRPr="00A90EFD" w:rsidTr="004F7170">
        <w:tc>
          <w:tcPr>
            <w:tcW w:w="1054" w:type="pct"/>
          </w:tcPr>
          <w:p w:rsidR="0051593C" w:rsidRPr="00E63C7F" w:rsidRDefault="0051593C" w:rsidP="004F7170">
            <w:pPr>
              <w:spacing w:line="240" w:lineRule="auto"/>
              <w:rPr>
                <w:rFonts w:cs="Arial"/>
                <w:bCs/>
                <w:iCs/>
                <w:color w:val="0D0D0D" w:themeColor="text1" w:themeTint="F2"/>
                <w:spacing w:val="-2"/>
                <w:sz w:val="16"/>
                <w:szCs w:val="16"/>
              </w:rPr>
            </w:pPr>
            <w:r w:rsidRPr="00E63C7F">
              <w:rPr>
                <w:rFonts w:cs="Arial"/>
                <w:bCs/>
                <w:iCs/>
                <w:color w:val="0D0D0D" w:themeColor="text1" w:themeTint="F2"/>
                <w:spacing w:val="-2"/>
                <w:sz w:val="16"/>
                <w:szCs w:val="16"/>
              </w:rPr>
              <w:t>Příjmy z rozpočtu EU byly v první polovině roku syceny dobíhajícími platbami vázanými na předešlé programové období EU</w:t>
            </w:r>
            <w:r w:rsidR="00FB1F21">
              <w:rPr>
                <w:rFonts w:cs="Arial"/>
                <w:bCs/>
                <w:iCs/>
                <w:color w:val="0D0D0D" w:themeColor="text1" w:themeTint="F2"/>
                <w:spacing w:val="-2"/>
                <w:sz w:val="16"/>
                <w:szCs w:val="16"/>
              </w:rPr>
              <w:t>.</w:t>
            </w:r>
          </w:p>
        </w:tc>
        <w:tc>
          <w:tcPr>
            <w:tcW w:w="142" w:type="pct"/>
          </w:tcPr>
          <w:p w:rsidR="0051593C" w:rsidRPr="00F77F65" w:rsidRDefault="0051593C" w:rsidP="004F7170">
            <w:pPr>
              <w:pStyle w:val="Textpoznpodarou"/>
              <w:jc w:val="both"/>
              <w:rPr>
                <w:rFonts w:cs="Arial"/>
                <w:color w:val="0D0D0D" w:themeColor="text1" w:themeTint="F2"/>
                <w:spacing w:val="-4"/>
              </w:rPr>
            </w:pPr>
          </w:p>
        </w:tc>
        <w:tc>
          <w:tcPr>
            <w:tcW w:w="3804" w:type="pct"/>
          </w:tcPr>
          <w:p w:rsidR="0051593C" w:rsidRDefault="0051593C" w:rsidP="004F7170">
            <w:pPr>
              <w:pStyle w:val="Textpoznpodarou"/>
              <w:jc w:val="both"/>
              <w:rPr>
                <w:rFonts w:cs="Arial"/>
                <w:color w:val="000000" w:themeColor="text1"/>
                <w:spacing w:val="-4"/>
              </w:rPr>
            </w:pPr>
            <w:r>
              <w:rPr>
                <w:rFonts w:cs="Arial"/>
                <w:color w:val="000000" w:themeColor="text1"/>
                <w:spacing w:val="-4"/>
              </w:rPr>
              <w:t>Za první tři čtvrtletí</w:t>
            </w:r>
            <w:r w:rsidRPr="005453DB">
              <w:rPr>
                <w:rFonts w:cs="Arial"/>
                <w:color w:val="000000" w:themeColor="text1"/>
                <w:spacing w:val="-4"/>
              </w:rPr>
              <w:t xml:space="preserve"> </w:t>
            </w:r>
            <w:r>
              <w:rPr>
                <w:rFonts w:cs="Arial"/>
                <w:color w:val="000000" w:themeColor="text1"/>
                <w:spacing w:val="-4"/>
              </w:rPr>
              <w:t xml:space="preserve">získal SR </w:t>
            </w:r>
            <w:r w:rsidRPr="005453DB">
              <w:rPr>
                <w:rFonts w:cs="Arial"/>
                <w:color w:val="000000" w:themeColor="text1"/>
                <w:spacing w:val="-4"/>
              </w:rPr>
              <w:t xml:space="preserve">na </w:t>
            </w:r>
            <w:r w:rsidRPr="00781131">
              <w:rPr>
                <w:rFonts w:cs="Arial"/>
                <w:color w:val="000000" w:themeColor="text1"/>
                <w:spacing w:val="-4"/>
              </w:rPr>
              <w:t>příjmech z EU (z drtivé</w:t>
            </w:r>
            <w:r w:rsidRPr="005453DB">
              <w:rPr>
                <w:rFonts w:cs="Arial"/>
                <w:color w:val="000000" w:themeColor="text1"/>
                <w:spacing w:val="-4"/>
              </w:rPr>
              <w:t xml:space="preserve"> většiny ještě</w:t>
            </w:r>
            <w:r>
              <w:rPr>
                <w:rFonts w:cs="Arial"/>
                <w:color w:val="000000" w:themeColor="text1"/>
                <w:spacing w:val="-4"/>
              </w:rPr>
              <w:t xml:space="preserve"> vázaných na minulé programové období), podobě jako loni, 14</w:t>
            </w:r>
            <w:r w:rsidR="00FB1F21">
              <w:rPr>
                <w:rFonts w:cs="Arial"/>
                <w:color w:val="000000" w:themeColor="text1"/>
                <w:spacing w:val="-4"/>
              </w:rPr>
              <w:t>5 mld. korun. R</w:t>
            </w:r>
            <w:r>
              <w:rPr>
                <w:rFonts w:cs="Arial"/>
                <w:color w:val="000000" w:themeColor="text1"/>
                <w:spacing w:val="-4"/>
              </w:rPr>
              <w:t xml:space="preserve">ozpočtem očekávaná </w:t>
            </w:r>
            <w:r w:rsidR="00FB1F21">
              <w:rPr>
                <w:rFonts w:cs="Arial"/>
                <w:color w:val="000000" w:themeColor="text1"/>
                <w:spacing w:val="-4"/>
              </w:rPr>
              <w:t>c</w:t>
            </w:r>
            <w:r w:rsidR="00FB1F21" w:rsidRPr="005453DB">
              <w:rPr>
                <w:rFonts w:cs="Arial"/>
                <w:color w:val="000000" w:themeColor="text1"/>
                <w:spacing w:val="-4"/>
              </w:rPr>
              <w:t>eloroční</w:t>
            </w:r>
            <w:r w:rsidR="00FB1F21">
              <w:rPr>
                <w:rFonts w:cs="Arial"/>
                <w:color w:val="000000" w:themeColor="text1"/>
                <w:spacing w:val="-4"/>
              </w:rPr>
              <w:t xml:space="preserve"> </w:t>
            </w:r>
            <w:r>
              <w:rPr>
                <w:rFonts w:cs="Arial"/>
                <w:color w:val="000000" w:themeColor="text1"/>
                <w:spacing w:val="-4"/>
              </w:rPr>
              <w:t>částka tak byla letos již o polovinu převýšena. Tři čtvrtin</w:t>
            </w:r>
            <w:r w:rsidR="00FB1F21">
              <w:rPr>
                <w:rFonts w:cs="Arial"/>
                <w:color w:val="000000" w:themeColor="text1"/>
                <w:spacing w:val="-4"/>
              </w:rPr>
              <w:t>y letošních příjmů z</w:t>
            </w:r>
            <w:r w:rsidR="00FB1F21" w:rsidRPr="00952517">
              <w:rPr>
                <w:rFonts w:cs="Arial"/>
                <w:spacing w:val="-4"/>
              </w:rPr>
              <w:t> </w:t>
            </w:r>
            <w:r w:rsidR="00FB1F21">
              <w:rPr>
                <w:rFonts w:cs="Arial"/>
                <w:color w:val="000000" w:themeColor="text1"/>
                <w:spacing w:val="-4"/>
              </w:rPr>
              <w:t>EU putovaly</w:t>
            </w:r>
            <w:r>
              <w:rPr>
                <w:rFonts w:cs="Arial"/>
                <w:color w:val="000000" w:themeColor="text1"/>
                <w:spacing w:val="-4"/>
              </w:rPr>
              <w:t xml:space="preserve"> do SR během prvních letošních pěti měsíců. </w:t>
            </w:r>
          </w:p>
          <w:p w:rsidR="0051593C" w:rsidRPr="00CD3F70" w:rsidRDefault="0051593C" w:rsidP="004F7170">
            <w:pPr>
              <w:pStyle w:val="Textpoznpodarou"/>
              <w:jc w:val="both"/>
              <w:rPr>
                <w:rFonts w:cs="Arial"/>
                <w:color w:val="0D0D0D" w:themeColor="text1" w:themeTint="F2"/>
                <w:spacing w:val="-4"/>
                <w:sz w:val="14"/>
                <w:szCs w:val="14"/>
              </w:rPr>
            </w:pPr>
          </w:p>
        </w:tc>
      </w:tr>
      <w:tr w:rsidR="0051593C" w:rsidRPr="00A90EFD" w:rsidTr="004F7170">
        <w:tc>
          <w:tcPr>
            <w:tcW w:w="1054" w:type="pct"/>
          </w:tcPr>
          <w:p w:rsidR="0051593C" w:rsidRDefault="0051593C" w:rsidP="004F7170">
            <w:pPr>
              <w:spacing w:line="240" w:lineRule="auto"/>
              <w:rPr>
                <w:rFonts w:cs="Arial"/>
                <w:bCs/>
                <w:iCs/>
                <w:color w:val="0D0D0D" w:themeColor="text1" w:themeTint="F2"/>
                <w:spacing w:val="-4"/>
                <w:sz w:val="16"/>
                <w:szCs w:val="16"/>
              </w:rPr>
            </w:pPr>
            <w:r>
              <w:rPr>
                <w:rFonts w:cs="Arial"/>
                <w:bCs/>
                <w:iCs/>
                <w:color w:val="0D0D0D" w:themeColor="text1" w:themeTint="F2"/>
                <w:spacing w:val="-4"/>
                <w:sz w:val="16"/>
                <w:szCs w:val="16"/>
              </w:rPr>
              <w:t>Na nižších celkových výdajích SR se zásadně podílely investice</w:t>
            </w:r>
            <w:r w:rsidR="00FB1F21">
              <w:rPr>
                <w:rFonts w:cs="Arial"/>
                <w:bCs/>
                <w:iCs/>
                <w:color w:val="0D0D0D" w:themeColor="text1" w:themeTint="F2"/>
                <w:spacing w:val="-4"/>
                <w:sz w:val="16"/>
                <w:szCs w:val="16"/>
              </w:rPr>
              <w:t>,</w:t>
            </w:r>
            <w:r>
              <w:rPr>
                <w:rFonts w:cs="Arial"/>
                <w:bCs/>
                <w:iCs/>
                <w:color w:val="0D0D0D" w:themeColor="text1" w:themeTint="F2"/>
                <w:spacing w:val="-4"/>
                <w:sz w:val="16"/>
                <w:szCs w:val="16"/>
              </w:rPr>
              <w:t>…</w:t>
            </w:r>
          </w:p>
          <w:p w:rsidR="002D5C3D" w:rsidRDefault="002D5C3D" w:rsidP="004F7170">
            <w:pPr>
              <w:spacing w:line="240" w:lineRule="auto"/>
              <w:rPr>
                <w:rFonts w:cs="Arial"/>
                <w:bCs/>
                <w:iCs/>
                <w:color w:val="0D0D0D" w:themeColor="text1" w:themeTint="F2"/>
                <w:spacing w:val="-4"/>
                <w:sz w:val="16"/>
                <w:szCs w:val="16"/>
              </w:rPr>
            </w:pPr>
          </w:p>
          <w:p w:rsidR="0051593C" w:rsidRPr="00F745A4" w:rsidRDefault="0051593C" w:rsidP="004F7170">
            <w:pPr>
              <w:spacing w:line="240" w:lineRule="auto"/>
              <w:rPr>
                <w:rFonts w:cs="Arial"/>
                <w:bCs/>
                <w:iCs/>
                <w:color w:val="0D0D0D" w:themeColor="text1" w:themeTint="F2"/>
                <w:spacing w:val="-4"/>
                <w:sz w:val="16"/>
                <w:szCs w:val="16"/>
              </w:rPr>
            </w:pPr>
            <w:r>
              <w:rPr>
                <w:rFonts w:cs="Arial"/>
                <w:bCs/>
                <w:iCs/>
                <w:color w:val="0D0D0D" w:themeColor="text1" w:themeTint="F2"/>
                <w:spacing w:val="-4"/>
                <w:sz w:val="16"/>
                <w:szCs w:val="16"/>
              </w:rPr>
              <w:t xml:space="preserve">…jejichž absolutní výše byla (vlivem nižší připravenosti </w:t>
            </w:r>
            <w:r>
              <w:rPr>
                <w:rFonts w:cs="Arial"/>
                <w:bCs/>
                <w:iCs/>
                <w:color w:val="0D0D0D" w:themeColor="text1" w:themeTint="F2"/>
                <w:spacing w:val="-4"/>
                <w:sz w:val="16"/>
                <w:szCs w:val="16"/>
              </w:rPr>
              <w:lastRenderedPageBreak/>
              <w:t>projektů spolufinancovaných z EU) nejnižší po roce 2006</w:t>
            </w:r>
            <w:r w:rsidR="00FB1F21">
              <w:rPr>
                <w:rFonts w:cs="Arial"/>
                <w:bCs/>
                <w:iCs/>
                <w:color w:val="0D0D0D" w:themeColor="text1" w:themeTint="F2"/>
                <w:spacing w:val="-4"/>
                <w:sz w:val="16"/>
                <w:szCs w:val="16"/>
              </w:rPr>
              <w:t>.</w:t>
            </w:r>
          </w:p>
        </w:tc>
        <w:tc>
          <w:tcPr>
            <w:tcW w:w="142" w:type="pct"/>
          </w:tcPr>
          <w:p w:rsidR="0051593C" w:rsidRPr="00782BA5" w:rsidRDefault="0051593C" w:rsidP="004F7170">
            <w:pPr>
              <w:pStyle w:val="Textpoznpodarou"/>
              <w:jc w:val="both"/>
              <w:rPr>
                <w:rFonts w:cs="Arial"/>
                <w:color w:val="000000" w:themeColor="text1"/>
                <w:spacing w:val="-4"/>
              </w:rPr>
            </w:pPr>
          </w:p>
        </w:tc>
        <w:tc>
          <w:tcPr>
            <w:tcW w:w="3804" w:type="pct"/>
          </w:tcPr>
          <w:p w:rsidR="0051593C" w:rsidRDefault="0051593C" w:rsidP="004F7170">
            <w:pPr>
              <w:pStyle w:val="Textpoznpodarou"/>
              <w:jc w:val="both"/>
              <w:rPr>
                <w:rFonts w:cs="Arial"/>
                <w:color w:val="0D0D0D" w:themeColor="text1" w:themeTint="F2"/>
                <w:spacing w:val="-4"/>
              </w:rPr>
            </w:pPr>
            <w:r w:rsidRPr="00B9393C">
              <w:rPr>
                <w:rFonts w:cs="Arial"/>
                <w:color w:val="0D0D0D" w:themeColor="text1" w:themeTint="F2"/>
                <w:spacing w:val="-4"/>
              </w:rPr>
              <w:t>Celkové výdaje SR</w:t>
            </w:r>
            <w:r>
              <w:rPr>
                <w:rFonts w:cs="Arial"/>
                <w:color w:val="0D0D0D" w:themeColor="text1" w:themeTint="F2"/>
                <w:spacing w:val="-4"/>
              </w:rPr>
              <w:t xml:space="preserve"> se letos snížily o 3,1 %. V rámci prvních tří čtvrtletí šlo teprve o</w:t>
            </w:r>
            <w:r>
              <w:rPr>
                <w:rFonts w:cs="Arial"/>
                <w:color w:val="000000" w:themeColor="text1"/>
                <w:spacing w:val="-4"/>
              </w:rPr>
              <w:t> </w:t>
            </w:r>
            <w:r w:rsidRPr="00952517">
              <w:rPr>
                <w:rFonts w:cs="Arial"/>
                <w:color w:val="0D0D0D" w:themeColor="text1" w:themeTint="F2"/>
                <w:spacing w:val="-4"/>
              </w:rPr>
              <w:t>druhý meziroční pokles</w:t>
            </w:r>
            <w:r>
              <w:rPr>
                <w:rFonts w:cs="Arial"/>
                <w:color w:val="0D0D0D" w:themeColor="text1" w:themeTint="F2"/>
                <w:spacing w:val="-4"/>
              </w:rPr>
              <w:t xml:space="preserve"> po roce 2000. Na rozdíl od roku 2012</w:t>
            </w:r>
            <w:r w:rsidRPr="00952517">
              <w:rPr>
                <w:rFonts w:cs="Arial"/>
                <w:color w:val="0D0D0D" w:themeColor="text1" w:themeTint="F2"/>
                <w:spacing w:val="-4"/>
              </w:rPr>
              <w:t xml:space="preserve"> však ten letošní probíhal v období st</w:t>
            </w:r>
            <w:r>
              <w:rPr>
                <w:rFonts w:cs="Arial"/>
                <w:color w:val="0D0D0D" w:themeColor="text1" w:themeTint="F2"/>
                <w:spacing w:val="-4"/>
              </w:rPr>
              <w:t>abilního hospodářského růstu a</w:t>
            </w:r>
            <w:r w:rsidRPr="00952517">
              <w:rPr>
                <w:rFonts w:cs="Arial"/>
                <w:color w:val="0D0D0D" w:themeColor="text1" w:themeTint="F2"/>
                <w:spacing w:val="-4"/>
              </w:rPr>
              <w:t xml:space="preserve"> byl </w:t>
            </w:r>
            <w:r>
              <w:rPr>
                <w:rFonts w:cs="Arial"/>
                <w:color w:val="0D0D0D" w:themeColor="text1" w:themeTint="F2"/>
                <w:spacing w:val="-4"/>
              </w:rPr>
              <w:t xml:space="preserve">rovněž </w:t>
            </w:r>
            <w:r w:rsidRPr="00952517">
              <w:rPr>
                <w:rFonts w:cs="Arial"/>
                <w:color w:val="0D0D0D" w:themeColor="text1" w:themeTint="F2"/>
                <w:spacing w:val="-4"/>
              </w:rPr>
              <w:t>i rozpočtově očekávaný</w:t>
            </w:r>
            <w:r>
              <w:rPr>
                <w:rFonts w:cs="Arial"/>
                <w:color w:val="0D0D0D" w:themeColor="text1" w:themeTint="F2"/>
                <w:spacing w:val="-4"/>
              </w:rPr>
              <w:t xml:space="preserve"> (vzhledem k mimořádnému čerpání v předchozím roce a zároveň nižší celkovou připraveností větších projektů na startu nového programového období). Za </w:t>
            </w:r>
            <w:r>
              <w:rPr>
                <w:rFonts w:cs="Arial"/>
                <w:color w:val="0D0D0D" w:themeColor="text1" w:themeTint="F2"/>
                <w:spacing w:val="-4"/>
              </w:rPr>
              <w:lastRenderedPageBreak/>
              <w:t>poklesem celkových výdajů tak stály výhradně investice, neboť běžné výdaje SR o 1 % rostly. Meziroční propad kapitálových výdajů byl však výrazný (o 41,7 %, resp. 37 mld. korun). Na celkových výdajích SR se letos investice podílely 5,8 %, tedy nejméně za posledních jedenáct let. Necelé dvě třetiny letošních investic se týkaly</w:t>
            </w:r>
            <w:r w:rsidRPr="00952517">
              <w:rPr>
                <w:rFonts w:cs="Arial"/>
                <w:color w:val="0D0D0D" w:themeColor="text1" w:themeTint="F2"/>
                <w:spacing w:val="-4"/>
              </w:rPr>
              <w:t xml:space="preserve"> společných programů Česka a EU</w:t>
            </w:r>
            <w:r>
              <w:rPr>
                <w:rFonts w:cs="Arial"/>
                <w:color w:val="0D0D0D" w:themeColor="text1" w:themeTint="F2"/>
                <w:spacing w:val="-4"/>
              </w:rPr>
              <w:t>,</w:t>
            </w:r>
            <w:r w:rsidR="00FB1F21">
              <w:rPr>
                <w:rFonts w:cs="Arial"/>
                <w:color w:val="0D0D0D" w:themeColor="text1" w:themeTint="F2"/>
                <w:spacing w:val="-4"/>
              </w:rPr>
              <w:t xml:space="preserve"> na nové programové období 2014</w:t>
            </w:r>
            <w:r w:rsidR="00FB1F21" w:rsidRPr="00702100">
              <w:rPr>
                <w:rFonts w:cs="Arial"/>
                <w:color w:val="0D0D0D" w:themeColor="text1" w:themeTint="F2"/>
              </w:rPr>
              <w:t>–</w:t>
            </w:r>
            <w:r>
              <w:rPr>
                <w:rFonts w:cs="Arial"/>
                <w:color w:val="0D0D0D" w:themeColor="text1" w:themeTint="F2"/>
                <w:spacing w:val="-4"/>
              </w:rPr>
              <w:t>2020 však směřovalo jen 11,2 mld. korun (resp. po započtení i běžných výdajů 19,8 mld. korun</w:t>
            </w:r>
            <w:r>
              <w:rPr>
                <w:rStyle w:val="Znakapoznpodarou"/>
                <w:color w:val="0D0D0D" w:themeColor="text1" w:themeTint="F2"/>
                <w:spacing w:val="-4"/>
              </w:rPr>
              <w:footnoteReference w:id="34"/>
            </w:r>
            <w:r>
              <w:rPr>
                <w:rFonts w:cs="Arial"/>
                <w:color w:val="0D0D0D" w:themeColor="text1" w:themeTint="F2"/>
                <w:spacing w:val="-4"/>
              </w:rPr>
              <w:t>, z nichž téměř polovina směřovala na OP Doprava, třetina pak na OP Zaměstnanost).</w:t>
            </w:r>
          </w:p>
          <w:p w:rsidR="0051593C" w:rsidRPr="00952517" w:rsidRDefault="0051593C" w:rsidP="004F7170">
            <w:pPr>
              <w:pStyle w:val="Textpoznpodarou"/>
              <w:jc w:val="both"/>
              <w:rPr>
                <w:rFonts w:cs="Arial"/>
                <w:color w:val="000000" w:themeColor="text1"/>
                <w:spacing w:val="-4"/>
                <w:sz w:val="15"/>
                <w:szCs w:val="15"/>
              </w:rPr>
            </w:pPr>
          </w:p>
        </w:tc>
      </w:tr>
      <w:tr w:rsidR="0051593C" w:rsidRPr="00A90EFD" w:rsidTr="004F7170">
        <w:tc>
          <w:tcPr>
            <w:tcW w:w="1054" w:type="pct"/>
          </w:tcPr>
          <w:p w:rsidR="0051593C" w:rsidRPr="006E7FAA" w:rsidRDefault="0051593C" w:rsidP="004F7170">
            <w:pPr>
              <w:spacing w:line="240" w:lineRule="auto"/>
              <w:rPr>
                <w:rFonts w:cs="Arial"/>
                <w:color w:val="0D0D0D" w:themeColor="text1" w:themeTint="F2"/>
                <w:spacing w:val="-2"/>
                <w:sz w:val="16"/>
                <w:szCs w:val="16"/>
              </w:rPr>
            </w:pPr>
            <w:r w:rsidRPr="00EB0A9A">
              <w:rPr>
                <w:rFonts w:cs="Arial"/>
                <w:bCs/>
                <w:iCs/>
                <w:color w:val="0D0D0D" w:themeColor="text1" w:themeTint="F2"/>
                <w:sz w:val="16"/>
                <w:szCs w:val="16"/>
              </w:rPr>
              <w:lastRenderedPageBreak/>
              <w:t>Výdaje n</w:t>
            </w:r>
            <w:r>
              <w:rPr>
                <w:rFonts w:cs="Arial"/>
                <w:bCs/>
                <w:iCs/>
                <w:color w:val="0D0D0D" w:themeColor="text1" w:themeTint="F2"/>
                <w:sz w:val="16"/>
                <w:szCs w:val="16"/>
              </w:rPr>
              <w:t>a důchody rostly nejvyšší</w:t>
            </w:r>
            <w:r w:rsidRPr="00EB0A9A">
              <w:rPr>
                <w:rFonts w:cs="Arial"/>
                <w:bCs/>
                <w:iCs/>
                <w:color w:val="0D0D0D" w:themeColor="text1" w:themeTint="F2"/>
                <w:sz w:val="16"/>
                <w:szCs w:val="16"/>
              </w:rPr>
              <w:t xml:space="preserve">m tempem za posledních pět let, díky silnému růstu výběru pojistného </w:t>
            </w:r>
            <w:r>
              <w:rPr>
                <w:rFonts w:cs="Arial"/>
                <w:bCs/>
                <w:iCs/>
                <w:color w:val="0D0D0D" w:themeColor="text1" w:themeTint="F2"/>
                <w:sz w:val="16"/>
                <w:szCs w:val="16"/>
              </w:rPr>
              <w:t xml:space="preserve">(+6 %) se </w:t>
            </w:r>
            <w:r w:rsidRPr="00EB0A9A">
              <w:rPr>
                <w:rFonts w:cs="Arial"/>
                <w:bCs/>
                <w:iCs/>
                <w:color w:val="0D0D0D" w:themeColor="text1" w:themeTint="F2"/>
                <w:sz w:val="16"/>
                <w:szCs w:val="16"/>
              </w:rPr>
              <w:t>však deficit důchodo</w:t>
            </w:r>
            <w:r>
              <w:rPr>
                <w:rFonts w:cs="Arial"/>
                <w:bCs/>
                <w:iCs/>
                <w:color w:val="0D0D0D" w:themeColor="text1" w:themeTint="F2"/>
                <w:sz w:val="16"/>
                <w:szCs w:val="16"/>
              </w:rPr>
              <w:t xml:space="preserve">vého účtu </w:t>
            </w:r>
            <w:r w:rsidRPr="00EB0A9A">
              <w:rPr>
                <w:rFonts w:cs="Arial"/>
                <w:bCs/>
                <w:iCs/>
                <w:color w:val="0D0D0D" w:themeColor="text1" w:themeTint="F2"/>
                <w:sz w:val="16"/>
                <w:szCs w:val="16"/>
              </w:rPr>
              <w:t>nadále zmírňoval</w:t>
            </w:r>
            <w:r w:rsidR="00FB1F21">
              <w:rPr>
                <w:rFonts w:cs="Arial"/>
                <w:bCs/>
                <w:iCs/>
                <w:color w:val="0D0D0D" w:themeColor="text1" w:themeTint="F2"/>
                <w:sz w:val="16"/>
                <w:szCs w:val="16"/>
              </w:rPr>
              <w:t>.</w:t>
            </w:r>
          </w:p>
        </w:tc>
        <w:tc>
          <w:tcPr>
            <w:tcW w:w="142" w:type="pct"/>
          </w:tcPr>
          <w:p w:rsidR="0051593C" w:rsidRPr="00A90EFD" w:rsidRDefault="0051593C" w:rsidP="004F7170">
            <w:pPr>
              <w:pStyle w:val="Textpoznpodarou"/>
              <w:jc w:val="both"/>
              <w:rPr>
                <w:rFonts w:cs="Arial"/>
                <w:color w:val="0D0D0D" w:themeColor="text1" w:themeTint="F2"/>
              </w:rPr>
            </w:pPr>
          </w:p>
        </w:tc>
        <w:tc>
          <w:tcPr>
            <w:tcW w:w="3804" w:type="pct"/>
          </w:tcPr>
          <w:p w:rsidR="0051593C" w:rsidRPr="00DF28AF" w:rsidRDefault="0051593C" w:rsidP="004F7170">
            <w:pPr>
              <w:pStyle w:val="Textpoznpodarou"/>
              <w:jc w:val="both"/>
              <w:rPr>
                <w:rFonts w:cs="Arial"/>
                <w:color w:val="000000" w:themeColor="text1"/>
                <w:spacing w:val="-4"/>
              </w:rPr>
            </w:pPr>
            <w:r>
              <w:rPr>
                <w:rFonts w:cs="Arial"/>
                <w:color w:val="0D0D0D" w:themeColor="text1" w:themeTint="F2"/>
                <w:spacing w:val="-4"/>
              </w:rPr>
              <w:t xml:space="preserve">O </w:t>
            </w:r>
            <w:r w:rsidRPr="00087E08">
              <w:rPr>
                <w:rFonts w:cs="Arial"/>
                <w:color w:val="0D0D0D" w:themeColor="text1" w:themeTint="F2"/>
                <w:spacing w:val="-4"/>
              </w:rPr>
              <w:t>růst běžných výdajů se letos přičinily</w:t>
            </w:r>
            <w:r>
              <w:rPr>
                <w:rFonts w:cs="Arial"/>
                <w:color w:val="0D0D0D" w:themeColor="text1" w:themeTint="F2"/>
                <w:spacing w:val="-4"/>
              </w:rPr>
              <w:t xml:space="preserve"> váhově významné sociální dávky (meziročně vyšší o </w:t>
            </w:r>
            <w:r w:rsidRPr="00087E08">
              <w:rPr>
                <w:rFonts w:cs="Arial"/>
                <w:color w:val="0D0D0D" w:themeColor="text1" w:themeTint="F2"/>
                <w:spacing w:val="-4"/>
              </w:rPr>
              <w:t>2,8</w:t>
            </w:r>
            <w:r w:rsidRPr="00087E08">
              <w:rPr>
                <w:color w:val="0D0D0D" w:themeColor="text1" w:themeTint="F2"/>
                <w:spacing w:val="-4"/>
              </w:rPr>
              <w:t> </w:t>
            </w:r>
            <w:r w:rsidRPr="00087E08">
              <w:rPr>
                <w:rFonts w:cs="Arial"/>
                <w:color w:val="0D0D0D" w:themeColor="text1" w:themeTint="F2"/>
                <w:spacing w:val="-4"/>
              </w:rPr>
              <w:t>%,</w:t>
            </w:r>
            <w:r>
              <w:rPr>
                <w:rFonts w:cs="Arial"/>
                <w:color w:val="0D0D0D" w:themeColor="text1" w:themeTint="F2"/>
                <w:spacing w:val="-4"/>
              </w:rPr>
              <w:t xml:space="preserve"> resp. 10,4 mld. korun), neboť ostatní d</w:t>
            </w:r>
            <w:r w:rsidR="00FB1F21">
              <w:rPr>
                <w:rFonts w:cs="Arial"/>
                <w:color w:val="0D0D0D" w:themeColor="text1" w:themeTint="F2"/>
                <w:spacing w:val="-4"/>
              </w:rPr>
              <w:t>ruhy běžných výdajů v úhrnu o</w:t>
            </w:r>
            <w:r w:rsidR="00FB1F21" w:rsidRPr="00087E08">
              <w:rPr>
                <w:color w:val="0D0D0D" w:themeColor="text1" w:themeTint="F2"/>
                <w:spacing w:val="-4"/>
              </w:rPr>
              <w:t> </w:t>
            </w:r>
            <w:r w:rsidR="00FB1F21">
              <w:rPr>
                <w:rFonts w:cs="Arial"/>
                <w:color w:val="0D0D0D" w:themeColor="text1" w:themeTint="F2"/>
                <w:spacing w:val="-4"/>
              </w:rPr>
              <w:t>2</w:t>
            </w:r>
            <w:r w:rsidR="00FB1F21" w:rsidRPr="00087E08">
              <w:rPr>
                <w:color w:val="0D0D0D" w:themeColor="text1" w:themeTint="F2"/>
                <w:spacing w:val="-4"/>
              </w:rPr>
              <w:t> </w:t>
            </w:r>
            <w:r>
              <w:rPr>
                <w:rFonts w:cs="Arial"/>
                <w:color w:val="0D0D0D" w:themeColor="text1" w:themeTint="F2"/>
                <w:spacing w:val="-4"/>
              </w:rPr>
              <w:t xml:space="preserve">mld. poklesly. Rozhodující díl sociální dávek tradičně putoval na důchody. Přestože jejich meziroční růst (o 3 %) byl jen nepatrně vyšší než v předchozím roce, šlo zároveň o nejsilnější tempo za posledních pět let. Projevil se zde vliv </w:t>
            </w:r>
            <w:r w:rsidRPr="00741F3C">
              <w:rPr>
                <w:rFonts w:cs="Arial"/>
                <w:color w:val="0D0D0D" w:themeColor="text1" w:themeTint="F2"/>
                <w:spacing w:val="-4"/>
              </w:rPr>
              <w:t>jednorázového únorového příspěvku (1</w:t>
            </w:r>
            <w:r w:rsidRPr="00741F3C">
              <w:rPr>
                <w:rFonts w:cs="Arial"/>
                <w:color w:val="000000" w:themeColor="text1"/>
                <w:spacing w:val="-4"/>
              </w:rPr>
              <w:t> </w:t>
            </w:r>
            <w:r w:rsidRPr="00741F3C">
              <w:rPr>
                <w:rFonts w:cs="Arial"/>
                <w:color w:val="0D0D0D" w:themeColor="text1" w:themeTint="F2"/>
                <w:spacing w:val="-4"/>
              </w:rPr>
              <w:t xml:space="preserve">200 korun) nad rámec standardní valorizace </w:t>
            </w:r>
            <w:r>
              <w:rPr>
                <w:rFonts w:cs="Arial"/>
                <w:color w:val="0D0D0D" w:themeColor="text1" w:themeTint="F2"/>
                <w:spacing w:val="-4"/>
              </w:rPr>
              <w:t>(opětovně platné od ledna 2015)</w:t>
            </w:r>
            <w:r>
              <w:rPr>
                <w:rStyle w:val="Znakapoznpodarou"/>
                <w:color w:val="0D0D0D" w:themeColor="text1" w:themeTint="F2"/>
                <w:spacing w:val="-4"/>
              </w:rPr>
              <w:footnoteReference w:id="35"/>
            </w:r>
            <w:r>
              <w:rPr>
                <w:rFonts w:cs="Arial"/>
                <w:color w:val="0D0D0D" w:themeColor="text1" w:themeTint="F2"/>
                <w:spacing w:val="-4"/>
              </w:rPr>
              <w:t xml:space="preserve">, z menší části i rostoucí počet příjemců důchodů (+0,7 %, po třech předchozích letech stagnace). Prostor pro jednorázovou valorizaci vytvořil i silný růst výběrů pojistného (o 6 %) vlivem příznivé situace na trhu práce. </w:t>
            </w:r>
            <w:r w:rsidRPr="00741F3C">
              <w:rPr>
                <w:rFonts w:cs="Arial"/>
                <w:color w:val="000000" w:themeColor="text1"/>
                <w:spacing w:val="-4"/>
              </w:rPr>
              <w:t xml:space="preserve">Deficit salda důchodového účtu (rozdíl mezi příjmy a výdaji na důchody ze SR) </w:t>
            </w:r>
            <w:r>
              <w:rPr>
                <w:rFonts w:cs="Arial"/>
                <w:color w:val="000000" w:themeColor="text1"/>
                <w:spacing w:val="-4"/>
              </w:rPr>
              <w:t xml:space="preserve">činil za tři čtvrtletí 13,3 </w:t>
            </w:r>
            <w:r w:rsidRPr="00741F3C">
              <w:rPr>
                <w:rFonts w:cs="Arial"/>
                <w:color w:val="000000" w:themeColor="text1"/>
                <w:spacing w:val="-4"/>
              </w:rPr>
              <w:t>mld. korun</w:t>
            </w:r>
            <w:r>
              <w:rPr>
                <w:rFonts w:cs="Arial"/>
                <w:color w:val="000000" w:themeColor="text1"/>
                <w:spacing w:val="-4"/>
              </w:rPr>
              <w:t xml:space="preserve"> </w:t>
            </w:r>
            <w:r w:rsidRPr="00741F3C">
              <w:rPr>
                <w:rFonts w:cs="Arial"/>
                <w:color w:val="000000" w:themeColor="text1"/>
                <w:spacing w:val="-4"/>
              </w:rPr>
              <w:t>a byl již meziročně opět příznivější</w:t>
            </w:r>
            <w:r>
              <w:rPr>
                <w:rFonts w:cs="Arial"/>
                <w:color w:val="000000" w:themeColor="text1"/>
                <w:spacing w:val="-4"/>
              </w:rPr>
              <w:t xml:space="preserve"> již popáté v řadě.</w:t>
            </w:r>
            <w:r>
              <w:rPr>
                <w:rFonts w:cs="Arial"/>
                <w:color w:val="0D0D0D" w:themeColor="text1" w:themeTint="F2"/>
                <w:spacing w:val="-4"/>
              </w:rPr>
              <w:t xml:space="preserve"> </w:t>
            </w:r>
          </w:p>
          <w:p w:rsidR="0051593C" w:rsidRPr="00952517" w:rsidRDefault="0051593C" w:rsidP="004F7170">
            <w:pPr>
              <w:pStyle w:val="Textpoznpodarou"/>
              <w:jc w:val="both"/>
              <w:rPr>
                <w:rFonts w:cs="Arial"/>
                <w:color w:val="0D0D0D" w:themeColor="text1" w:themeTint="F2"/>
                <w:spacing w:val="-4"/>
                <w:sz w:val="15"/>
                <w:szCs w:val="15"/>
              </w:rPr>
            </w:pPr>
          </w:p>
        </w:tc>
      </w:tr>
      <w:tr w:rsidR="0051593C" w:rsidRPr="00A90EFD" w:rsidTr="004F7170">
        <w:tc>
          <w:tcPr>
            <w:tcW w:w="1054" w:type="pct"/>
          </w:tcPr>
          <w:p w:rsidR="0051593C" w:rsidRDefault="0051593C" w:rsidP="004F7170">
            <w:pPr>
              <w:spacing w:line="240" w:lineRule="auto"/>
              <w:rPr>
                <w:rFonts w:cs="Arial"/>
                <w:bCs/>
                <w:iCs/>
                <w:color w:val="0D0D0D" w:themeColor="text1" w:themeTint="F2"/>
                <w:sz w:val="16"/>
                <w:szCs w:val="16"/>
              </w:rPr>
            </w:pPr>
            <w:r>
              <w:rPr>
                <w:rFonts w:cs="Arial"/>
                <w:bCs/>
                <w:iCs/>
                <w:color w:val="0D0D0D" w:themeColor="text1" w:themeTint="F2"/>
                <w:sz w:val="16"/>
                <w:szCs w:val="16"/>
              </w:rPr>
              <w:t xml:space="preserve">Meziroční tempo růstu výdajů na sociální dávky (bez důchodů) se proti loňsku zdvojnásobilo, </w:t>
            </w:r>
            <w:r w:rsidRPr="00335468">
              <w:rPr>
                <w:rFonts w:cs="Arial"/>
                <w:bCs/>
                <w:iCs/>
                <w:color w:val="0D0D0D" w:themeColor="text1" w:themeTint="F2"/>
                <w:sz w:val="16"/>
                <w:szCs w:val="16"/>
              </w:rPr>
              <w:t xml:space="preserve">zejména vlivem </w:t>
            </w:r>
            <w:r>
              <w:rPr>
                <w:rFonts w:cs="Arial"/>
                <w:bCs/>
                <w:iCs/>
                <w:color w:val="0D0D0D" w:themeColor="text1" w:themeTint="F2"/>
                <w:sz w:val="16"/>
                <w:szCs w:val="16"/>
              </w:rPr>
              <w:t xml:space="preserve">vyšších </w:t>
            </w:r>
            <w:r w:rsidRPr="00335468">
              <w:rPr>
                <w:rFonts w:cs="Arial"/>
                <w:bCs/>
                <w:iCs/>
                <w:color w:val="0D0D0D" w:themeColor="text1" w:themeTint="F2"/>
                <w:sz w:val="16"/>
                <w:szCs w:val="16"/>
              </w:rPr>
              <w:t>nemocenských dávek</w:t>
            </w:r>
            <w:r>
              <w:rPr>
                <w:rFonts w:cs="Arial"/>
                <w:bCs/>
                <w:iCs/>
                <w:color w:val="0D0D0D" w:themeColor="text1" w:themeTint="F2"/>
                <w:sz w:val="16"/>
                <w:szCs w:val="16"/>
              </w:rPr>
              <w:t xml:space="preserve"> (o</w:t>
            </w:r>
            <w:r w:rsidRPr="00335468">
              <w:rPr>
                <w:rFonts w:cs="Arial"/>
                <w:bCs/>
                <w:iCs/>
                <w:color w:val="0D0D0D" w:themeColor="text1" w:themeTint="F2"/>
                <w:sz w:val="16"/>
                <w:szCs w:val="16"/>
              </w:rPr>
              <w:t> </w:t>
            </w:r>
            <w:r>
              <w:rPr>
                <w:rFonts w:cs="Arial"/>
                <w:bCs/>
                <w:iCs/>
                <w:color w:val="0D0D0D" w:themeColor="text1" w:themeTint="F2"/>
                <w:sz w:val="16"/>
                <w:szCs w:val="16"/>
              </w:rPr>
              <w:t>9,1 %)</w:t>
            </w:r>
            <w:r w:rsidR="00FB1F21">
              <w:rPr>
                <w:rFonts w:cs="Arial"/>
                <w:bCs/>
                <w:iCs/>
                <w:color w:val="0D0D0D" w:themeColor="text1" w:themeTint="F2"/>
                <w:sz w:val="16"/>
                <w:szCs w:val="16"/>
              </w:rPr>
              <w:t>.</w:t>
            </w:r>
          </w:p>
          <w:p w:rsidR="0051593C" w:rsidRDefault="0051593C" w:rsidP="004F7170">
            <w:pPr>
              <w:spacing w:line="240" w:lineRule="auto"/>
              <w:rPr>
                <w:rFonts w:cs="Arial"/>
                <w:bCs/>
                <w:iCs/>
                <w:color w:val="0D0D0D" w:themeColor="text1" w:themeTint="F2"/>
                <w:sz w:val="16"/>
                <w:szCs w:val="16"/>
              </w:rPr>
            </w:pPr>
          </w:p>
          <w:p w:rsidR="0051593C" w:rsidRDefault="0051593C" w:rsidP="004F7170">
            <w:pPr>
              <w:spacing w:line="240" w:lineRule="auto"/>
              <w:rPr>
                <w:rFonts w:cs="Arial"/>
                <w:bCs/>
                <w:iCs/>
                <w:color w:val="0D0D0D" w:themeColor="text1" w:themeTint="F2"/>
                <w:sz w:val="16"/>
                <w:szCs w:val="16"/>
              </w:rPr>
            </w:pPr>
          </w:p>
          <w:p w:rsidR="0051593C" w:rsidRDefault="0051593C" w:rsidP="004F7170">
            <w:pPr>
              <w:spacing w:line="240" w:lineRule="auto"/>
              <w:rPr>
                <w:rFonts w:cs="Arial"/>
                <w:bCs/>
                <w:iCs/>
                <w:color w:val="0D0D0D" w:themeColor="text1" w:themeTint="F2"/>
                <w:sz w:val="16"/>
                <w:szCs w:val="16"/>
              </w:rPr>
            </w:pPr>
          </w:p>
          <w:p w:rsidR="0051593C" w:rsidRDefault="0051593C" w:rsidP="004F7170">
            <w:pPr>
              <w:spacing w:line="240" w:lineRule="auto"/>
              <w:rPr>
                <w:rFonts w:cs="Arial"/>
                <w:bCs/>
                <w:iCs/>
                <w:color w:val="0D0D0D" w:themeColor="text1" w:themeTint="F2"/>
                <w:sz w:val="16"/>
                <w:szCs w:val="16"/>
              </w:rPr>
            </w:pPr>
            <w:r>
              <w:rPr>
                <w:rFonts w:cs="Arial"/>
                <w:bCs/>
                <w:iCs/>
                <w:color w:val="0D0D0D" w:themeColor="text1" w:themeTint="F2"/>
                <w:sz w:val="16"/>
                <w:szCs w:val="16"/>
              </w:rPr>
              <w:t>Objemově významné dávky státní sociální podpory i</w:t>
            </w:r>
            <w:r w:rsidRPr="00335468">
              <w:rPr>
                <w:rFonts w:cs="Arial"/>
                <w:bCs/>
                <w:iCs/>
                <w:color w:val="0D0D0D" w:themeColor="text1" w:themeTint="F2"/>
                <w:sz w:val="16"/>
                <w:szCs w:val="16"/>
              </w:rPr>
              <w:t> </w:t>
            </w:r>
            <w:r>
              <w:rPr>
                <w:rFonts w:cs="Arial"/>
                <w:bCs/>
                <w:iCs/>
                <w:color w:val="0D0D0D" w:themeColor="text1" w:themeTint="F2"/>
                <w:sz w:val="16"/>
                <w:szCs w:val="16"/>
              </w:rPr>
              <w:t>dávky sociální péče stagnovaly</w:t>
            </w:r>
            <w:r w:rsidR="00FB1F21">
              <w:rPr>
                <w:rFonts w:cs="Arial"/>
                <w:bCs/>
                <w:iCs/>
                <w:color w:val="0D0D0D" w:themeColor="text1" w:themeTint="F2"/>
                <w:sz w:val="16"/>
                <w:szCs w:val="16"/>
              </w:rPr>
              <w:t>.</w:t>
            </w:r>
          </w:p>
          <w:p w:rsidR="0051593C" w:rsidRPr="00EB0A9A" w:rsidRDefault="0051593C" w:rsidP="004F7170">
            <w:pPr>
              <w:spacing w:line="240" w:lineRule="auto"/>
              <w:rPr>
                <w:rFonts w:cs="Arial"/>
                <w:bCs/>
                <w:iCs/>
                <w:color w:val="0D0D0D" w:themeColor="text1" w:themeTint="F2"/>
                <w:sz w:val="16"/>
                <w:szCs w:val="16"/>
              </w:rPr>
            </w:pPr>
          </w:p>
        </w:tc>
        <w:tc>
          <w:tcPr>
            <w:tcW w:w="142" w:type="pct"/>
          </w:tcPr>
          <w:p w:rsidR="0051593C" w:rsidRPr="00A90EFD" w:rsidRDefault="0051593C" w:rsidP="004F7170">
            <w:pPr>
              <w:pStyle w:val="Textpoznpodarou"/>
              <w:jc w:val="both"/>
              <w:rPr>
                <w:rFonts w:cs="Arial"/>
                <w:color w:val="0D0D0D" w:themeColor="text1" w:themeTint="F2"/>
              </w:rPr>
            </w:pPr>
          </w:p>
        </w:tc>
        <w:tc>
          <w:tcPr>
            <w:tcW w:w="3804" w:type="pct"/>
          </w:tcPr>
          <w:p w:rsidR="0051593C" w:rsidRPr="00335468" w:rsidRDefault="0051593C" w:rsidP="004F7170">
            <w:pPr>
              <w:pStyle w:val="Textpoznpodarou"/>
              <w:jc w:val="both"/>
              <w:rPr>
                <w:rFonts w:cs="Arial"/>
                <w:color w:val="0D0D0D" w:themeColor="text1" w:themeTint="F2"/>
                <w:spacing w:val="-4"/>
              </w:rPr>
            </w:pPr>
            <w:r>
              <w:rPr>
                <w:rFonts w:cs="Arial"/>
                <w:color w:val="0D0D0D" w:themeColor="text1" w:themeTint="F2"/>
                <w:spacing w:val="-4"/>
              </w:rPr>
              <w:t>Zrychlovalo i tempo výdajů na ostatní sociální dávky</w:t>
            </w:r>
            <w:r w:rsidRPr="00335468">
              <w:rPr>
                <w:rFonts w:cs="Arial"/>
                <w:color w:val="0D0D0D" w:themeColor="text1" w:themeTint="F2"/>
                <w:spacing w:val="-4"/>
              </w:rPr>
              <w:t xml:space="preserve"> (t</w:t>
            </w:r>
            <w:r>
              <w:rPr>
                <w:rFonts w:cs="Arial"/>
                <w:color w:val="0D0D0D" w:themeColor="text1" w:themeTint="F2"/>
                <w:spacing w:val="-4"/>
              </w:rPr>
              <w:t>j. bez důchodů). Za tři čtvrtletí bylo vyplaceno 85,6 mld. korun, meziročně o 2,2</w:t>
            </w:r>
            <w:r w:rsidRPr="00335468">
              <w:rPr>
                <w:rFonts w:cs="Arial"/>
                <w:color w:val="0D0D0D" w:themeColor="text1" w:themeTint="F2"/>
                <w:spacing w:val="-4"/>
              </w:rPr>
              <w:t xml:space="preserve"> % více.</w:t>
            </w:r>
            <w:r>
              <w:rPr>
                <w:rFonts w:cs="Arial"/>
                <w:color w:val="0D0D0D" w:themeColor="text1" w:themeTint="F2"/>
                <w:spacing w:val="-4"/>
              </w:rPr>
              <w:t xml:space="preserve"> Váhově nejvýznamnější dávky státní sociální podpory stagnovaly, když nižší objem vyplacených přídavků na děti vykompenzovaly mírně vyšší příspěvky na bydlení, rodičovské příspěvky i dávky pěstounské péče. Diferencovaný byl i vývoj dávek sociální péče. Zatímco na příspěvky na péči vydal stát o 1 mld. korun více (hlavně vlivem plošného navýšení částek od srpna), u dávek pomoci v hmotné nouzi se díky příznivému vývoji příjmů domácností pokles prohloubil (z loňských 6 % na 12 %). Na podpoře nezaměstnaných však stát proti loňsku ušetři</w:t>
            </w:r>
            <w:r w:rsidR="00FB1F21">
              <w:rPr>
                <w:rFonts w:cs="Arial"/>
                <w:color w:val="0D0D0D" w:themeColor="text1" w:themeTint="F2"/>
                <w:spacing w:val="-4"/>
              </w:rPr>
              <w:t>l</w:t>
            </w:r>
            <w:r>
              <w:rPr>
                <w:rFonts w:cs="Arial"/>
                <w:color w:val="0D0D0D" w:themeColor="text1" w:themeTint="F2"/>
                <w:spacing w:val="-4"/>
              </w:rPr>
              <w:t xml:space="preserve"> pouhé 1 %. P</w:t>
            </w:r>
            <w:r w:rsidRPr="00335468">
              <w:rPr>
                <w:rFonts w:cs="Arial"/>
                <w:color w:val="0D0D0D" w:themeColor="text1" w:themeTint="F2"/>
                <w:spacing w:val="-4"/>
              </w:rPr>
              <w:t>očet příjemců této podpory stagnoval, na rozdíl od všech registr</w:t>
            </w:r>
            <w:r>
              <w:rPr>
                <w:rFonts w:cs="Arial"/>
                <w:color w:val="0D0D0D" w:themeColor="text1" w:themeTint="F2"/>
                <w:spacing w:val="-4"/>
              </w:rPr>
              <w:t>ovaných uchazečů o práci, jejichž stavy proti loňskému září o sedminu prořídly</w:t>
            </w:r>
            <w:r w:rsidRPr="00335468">
              <w:rPr>
                <w:rFonts w:cs="Arial"/>
                <w:color w:val="0D0D0D" w:themeColor="text1" w:themeTint="F2"/>
                <w:spacing w:val="-4"/>
              </w:rPr>
              <w:t xml:space="preserve">. </w:t>
            </w:r>
            <w:r>
              <w:rPr>
                <w:rFonts w:cs="Arial"/>
                <w:color w:val="0D0D0D" w:themeColor="text1" w:themeTint="F2"/>
                <w:spacing w:val="-4"/>
              </w:rPr>
              <w:t>Nejdynamičtěji rostoucí skupinou sociálních dávek byly podobně jako loni dávky nemocenského pojištění. V pozadí jejich růstu stály</w:t>
            </w:r>
            <w:r w:rsidRPr="00335468">
              <w:rPr>
                <w:rFonts w:cs="Arial"/>
                <w:color w:val="0D0D0D" w:themeColor="text1" w:themeTint="F2"/>
                <w:spacing w:val="-4"/>
              </w:rPr>
              <w:t xml:space="preserve"> l</w:t>
            </w:r>
            <w:r>
              <w:rPr>
                <w:rFonts w:cs="Arial"/>
                <w:color w:val="0D0D0D" w:themeColor="text1" w:themeTint="F2"/>
                <w:spacing w:val="-4"/>
              </w:rPr>
              <w:t>egislativní opatření (opětovné</w:t>
            </w:r>
            <w:r w:rsidRPr="00335468">
              <w:rPr>
                <w:rFonts w:cs="Arial"/>
                <w:color w:val="0D0D0D" w:themeColor="text1" w:themeTint="F2"/>
                <w:spacing w:val="-4"/>
              </w:rPr>
              <w:t xml:space="preserve"> vyplácení n</w:t>
            </w:r>
            <w:r>
              <w:rPr>
                <w:rFonts w:cs="Arial"/>
                <w:color w:val="0D0D0D" w:themeColor="text1" w:themeTint="F2"/>
                <w:spacing w:val="-4"/>
              </w:rPr>
              <w:t>emocenské již od 15. dne), vyšší pracovní neschopnost i intenzivnější</w:t>
            </w:r>
            <w:r w:rsidRPr="00335468">
              <w:rPr>
                <w:rFonts w:cs="Arial"/>
                <w:color w:val="0D0D0D" w:themeColor="text1" w:themeTint="F2"/>
                <w:spacing w:val="-4"/>
              </w:rPr>
              <w:t xml:space="preserve"> čerpání peněžité pomoci v mateřství. Přestože výdaje </w:t>
            </w:r>
            <w:r>
              <w:rPr>
                <w:rFonts w:cs="Arial"/>
                <w:color w:val="0D0D0D" w:themeColor="text1" w:themeTint="F2"/>
                <w:spacing w:val="-4"/>
              </w:rPr>
              <w:t>na dávky nemocenského pojištění silně rostly již čtvrtý rok v řadě, byly stále o 1,7</w:t>
            </w:r>
            <w:r w:rsidRPr="00335468">
              <w:rPr>
                <w:rFonts w:cs="Arial"/>
                <w:color w:val="0D0D0D" w:themeColor="text1" w:themeTint="F2"/>
                <w:spacing w:val="-4"/>
              </w:rPr>
              <w:t xml:space="preserve"> m</w:t>
            </w:r>
            <w:r>
              <w:rPr>
                <w:rFonts w:cs="Arial"/>
                <w:color w:val="0D0D0D" w:themeColor="text1" w:themeTint="F2"/>
                <w:spacing w:val="-4"/>
              </w:rPr>
              <w:t>ld</w:t>
            </w:r>
            <w:r w:rsidRPr="00335468">
              <w:rPr>
                <w:rFonts w:cs="Arial"/>
                <w:color w:val="0D0D0D" w:themeColor="text1" w:themeTint="F2"/>
                <w:spacing w:val="-4"/>
              </w:rPr>
              <w:t>. korun nižší než objem vybraného pojistného.</w:t>
            </w:r>
          </w:p>
          <w:p w:rsidR="0051593C" w:rsidRPr="007E721A" w:rsidRDefault="0051593C" w:rsidP="004F7170">
            <w:pPr>
              <w:pStyle w:val="Textpoznpodarou"/>
              <w:jc w:val="both"/>
              <w:rPr>
                <w:rFonts w:cs="Arial"/>
                <w:color w:val="0D0D0D" w:themeColor="text1" w:themeTint="F2"/>
                <w:spacing w:val="-4"/>
                <w:sz w:val="15"/>
                <w:szCs w:val="15"/>
              </w:rPr>
            </w:pPr>
          </w:p>
        </w:tc>
      </w:tr>
      <w:tr w:rsidR="0051593C" w:rsidRPr="0097714E" w:rsidTr="004F7170">
        <w:tc>
          <w:tcPr>
            <w:tcW w:w="1054" w:type="pct"/>
          </w:tcPr>
          <w:p w:rsidR="0051593C" w:rsidRDefault="0051593C" w:rsidP="004F7170">
            <w:pPr>
              <w:spacing w:line="240" w:lineRule="auto"/>
              <w:rPr>
                <w:rFonts w:cs="Arial"/>
                <w:bCs/>
                <w:iCs/>
                <w:color w:val="0D0D0D" w:themeColor="text1" w:themeTint="F2"/>
                <w:sz w:val="16"/>
                <w:szCs w:val="16"/>
              </w:rPr>
            </w:pPr>
            <w:r>
              <w:rPr>
                <w:rFonts w:cs="Arial"/>
                <w:bCs/>
                <w:iCs/>
                <w:color w:val="0D0D0D" w:themeColor="text1" w:themeTint="F2"/>
                <w:sz w:val="16"/>
                <w:szCs w:val="16"/>
              </w:rPr>
              <w:t>Státní dluh se mírně redukoval již druhé čtvrtletí v řadě, výhradně vlivem poklesu vnější zadluženosti (tvořící šestinu celkového dluhu)</w:t>
            </w:r>
            <w:r w:rsidR="00FB1F21">
              <w:rPr>
                <w:rFonts w:cs="Arial"/>
                <w:bCs/>
                <w:iCs/>
                <w:color w:val="0D0D0D" w:themeColor="text1" w:themeTint="F2"/>
                <w:sz w:val="16"/>
                <w:szCs w:val="16"/>
              </w:rPr>
              <w:t>.</w:t>
            </w:r>
          </w:p>
          <w:p w:rsidR="0051593C" w:rsidRDefault="0051593C" w:rsidP="004F7170">
            <w:pPr>
              <w:spacing w:line="240" w:lineRule="auto"/>
              <w:rPr>
                <w:rFonts w:cs="Arial"/>
                <w:bCs/>
                <w:iCs/>
                <w:color w:val="0D0D0D" w:themeColor="text1" w:themeTint="F2"/>
                <w:sz w:val="16"/>
                <w:szCs w:val="16"/>
              </w:rPr>
            </w:pPr>
          </w:p>
          <w:p w:rsidR="0051593C" w:rsidRDefault="0051593C" w:rsidP="004F7170">
            <w:pPr>
              <w:spacing w:line="240" w:lineRule="auto"/>
              <w:rPr>
                <w:rFonts w:cs="Arial"/>
                <w:bCs/>
                <w:iCs/>
                <w:color w:val="0D0D0D" w:themeColor="text1" w:themeTint="F2"/>
                <w:sz w:val="16"/>
                <w:szCs w:val="16"/>
              </w:rPr>
            </w:pPr>
          </w:p>
          <w:p w:rsidR="0051593C" w:rsidRPr="00335468" w:rsidRDefault="0051593C" w:rsidP="004F7170">
            <w:pPr>
              <w:spacing w:line="240" w:lineRule="auto"/>
              <w:rPr>
                <w:rFonts w:cs="Arial"/>
                <w:bCs/>
                <w:iCs/>
                <w:color w:val="0D0D0D" w:themeColor="text1" w:themeTint="F2"/>
                <w:sz w:val="16"/>
                <w:szCs w:val="16"/>
              </w:rPr>
            </w:pPr>
            <w:r>
              <w:rPr>
                <w:rFonts w:cs="Arial"/>
                <w:bCs/>
                <w:iCs/>
                <w:color w:val="0D0D0D" w:themeColor="text1" w:themeTint="F2"/>
                <w:sz w:val="16"/>
                <w:szCs w:val="16"/>
              </w:rPr>
              <w:t>Objem korunových dluhopisů v držbě zahraničních investorů atakoval na konci září 30% hranici</w:t>
            </w:r>
            <w:r w:rsidR="00FB1F21">
              <w:rPr>
                <w:rFonts w:cs="Arial"/>
                <w:bCs/>
                <w:iCs/>
                <w:color w:val="0D0D0D" w:themeColor="text1" w:themeTint="F2"/>
                <w:sz w:val="16"/>
                <w:szCs w:val="16"/>
              </w:rPr>
              <w:t>.</w:t>
            </w:r>
          </w:p>
        </w:tc>
        <w:tc>
          <w:tcPr>
            <w:tcW w:w="142" w:type="pct"/>
          </w:tcPr>
          <w:p w:rsidR="0051593C" w:rsidRPr="00A90EFD" w:rsidRDefault="0051593C" w:rsidP="004F7170">
            <w:pPr>
              <w:pStyle w:val="Textpoznpodarou"/>
              <w:jc w:val="both"/>
              <w:rPr>
                <w:rFonts w:cs="Arial"/>
                <w:color w:val="0D0D0D" w:themeColor="text1" w:themeTint="F2"/>
              </w:rPr>
            </w:pPr>
          </w:p>
        </w:tc>
        <w:tc>
          <w:tcPr>
            <w:tcW w:w="3804" w:type="pct"/>
          </w:tcPr>
          <w:p w:rsidR="0051593C" w:rsidRDefault="0051593C" w:rsidP="004F7170">
            <w:pPr>
              <w:pStyle w:val="Textpoznpodarou"/>
              <w:jc w:val="both"/>
              <w:rPr>
                <w:rFonts w:cs="Arial"/>
                <w:color w:val="0D0D0D" w:themeColor="text1" w:themeTint="F2"/>
                <w:spacing w:val="-4"/>
              </w:rPr>
            </w:pPr>
            <w:r w:rsidRPr="00335468">
              <w:rPr>
                <w:rFonts w:cs="Arial"/>
                <w:color w:val="0D0D0D" w:themeColor="text1" w:themeTint="F2"/>
                <w:spacing w:val="-4"/>
              </w:rPr>
              <w:t>Výdaje na platy státních zaměstnanců</w:t>
            </w:r>
            <w:r>
              <w:rPr>
                <w:rFonts w:cs="Arial"/>
                <w:color w:val="0D0D0D" w:themeColor="text1" w:themeTint="F2"/>
                <w:spacing w:val="-4"/>
              </w:rPr>
              <w:t>, podobně jako o</w:t>
            </w:r>
            <w:r w:rsidRPr="00335468">
              <w:rPr>
                <w:rFonts w:cs="Arial"/>
                <w:color w:val="0D0D0D" w:themeColor="text1" w:themeTint="F2"/>
                <w:spacing w:val="-4"/>
              </w:rPr>
              <w:t xml:space="preserve">bjemově významné neinvestiční transfery </w:t>
            </w:r>
            <w:r>
              <w:rPr>
                <w:rFonts w:cs="Arial"/>
                <w:color w:val="0D0D0D" w:themeColor="text1" w:themeTint="F2"/>
                <w:spacing w:val="-4"/>
              </w:rPr>
              <w:t>územním rozpočtům (hlavně na</w:t>
            </w:r>
            <w:r w:rsidRPr="00335468">
              <w:rPr>
                <w:rFonts w:cs="Arial"/>
                <w:color w:val="0D0D0D" w:themeColor="text1" w:themeTint="F2"/>
                <w:spacing w:val="-4"/>
              </w:rPr>
              <w:t xml:space="preserve"> regionální školství</w:t>
            </w:r>
            <w:r>
              <w:rPr>
                <w:rFonts w:cs="Arial"/>
                <w:color w:val="0D0D0D" w:themeColor="text1" w:themeTint="F2"/>
                <w:spacing w:val="-4"/>
              </w:rPr>
              <w:t>) za tři čtvrtletí meziročně posílily shodně o 3,8</w:t>
            </w:r>
            <w:r w:rsidRPr="00335468">
              <w:rPr>
                <w:rFonts w:cs="Arial"/>
                <w:color w:val="0D0D0D" w:themeColor="text1" w:themeTint="F2"/>
                <w:spacing w:val="-4"/>
              </w:rPr>
              <w:t> %</w:t>
            </w:r>
            <w:r>
              <w:rPr>
                <w:rFonts w:cs="Arial"/>
                <w:color w:val="0D0D0D" w:themeColor="text1" w:themeTint="F2"/>
                <w:spacing w:val="-4"/>
              </w:rPr>
              <w:t>.</w:t>
            </w:r>
            <w:r w:rsidRPr="00335468">
              <w:rPr>
                <w:rFonts w:cs="Arial"/>
                <w:color w:val="0D0D0D" w:themeColor="text1" w:themeTint="F2"/>
                <w:spacing w:val="-4"/>
              </w:rPr>
              <w:t xml:space="preserve"> Za mírnějším růstem stála </w:t>
            </w:r>
            <w:r>
              <w:rPr>
                <w:rFonts w:cs="Arial"/>
                <w:color w:val="0D0D0D" w:themeColor="text1" w:themeTint="F2"/>
                <w:spacing w:val="-4"/>
              </w:rPr>
              <w:t>v obou případech vysoká</w:t>
            </w:r>
            <w:r w:rsidRPr="00335468">
              <w:rPr>
                <w:rFonts w:cs="Arial"/>
                <w:color w:val="0D0D0D" w:themeColor="text1" w:themeTint="F2"/>
                <w:spacing w:val="-4"/>
              </w:rPr>
              <w:t xml:space="preserve"> loňská základna</w:t>
            </w:r>
            <w:r>
              <w:rPr>
                <w:rFonts w:cs="Arial"/>
                <w:color w:val="0D0D0D" w:themeColor="text1" w:themeTint="F2"/>
                <w:spacing w:val="-4"/>
              </w:rPr>
              <w:t>. Již třetí rok v řadě pokračovala redukce čistých výdajů</w:t>
            </w:r>
            <w:r w:rsidRPr="00335468">
              <w:rPr>
                <w:rFonts w:cs="Arial"/>
                <w:color w:val="0D0D0D" w:themeColor="text1" w:themeTint="F2"/>
                <w:spacing w:val="-4"/>
              </w:rPr>
              <w:t xml:space="preserve"> na státní dluh</w:t>
            </w:r>
            <w:r>
              <w:rPr>
                <w:rFonts w:cs="Arial"/>
                <w:color w:val="0D0D0D" w:themeColor="text1" w:themeTint="F2"/>
                <w:spacing w:val="-4"/>
              </w:rPr>
              <w:t>.</w:t>
            </w:r>
            <w:r w:rsidRPr="00335468">
              <w:rPr>
                <w:rFonts w:cs="Arial"/>
                <w:color w:val="0D0D0D" w:themeColor="text1" w:themeTint="F2"/>
                <w:spacing w:val="-4"/>
              </w:rPr>
              <w:t xml:space="preserve"> Výše celkového státního dluhu č</w:t>
            </w:r>
            <w:r>
              <w:rPr>
                <w:rFonts w:cs="Arial"/>
                <w:color w:val="0D0D0D" w:themeColor="text1" w:themeTint="F2"/>
                <w:spacing w:val="-4"/>
              </w:rPr>
              <w:t xml:space="preserve">inila na </w:t>
            </w:r>
            <w:r w:rsidR="00FB1F21">
              <w:rPr>
                <w:rFonts w:cs="Arial"/>
                <w:color w:val="0D0D0D" w:themeColor="text1" w:themeTint="F2"/>
                <w:spacing w:val="-4"/>
              </w:rPr>
              <w:t>konci září 1 660,1 mld. korun a</w:t>
            </w:r>
            <w:r w:rsidR="00FB1F21" w:rsidRPr="00087E08">
              <w:rPr>
                <w:color w:val="0D0D0D" w:themeColor="text1" w:themeTint="F2"/>
                <w:spacing w:val="-4"/>
              </w:rPr>
              <w:t> </w:t>
            </w:r>
            <w:r>
              <w:rPr>
                <w:rFonts w:cs="Arial"/>
                <w:color w:val="0D0D0D" w:themeColor="text1" w:themeTint="F2"/>
                <w:spacing w:val="-4"/>
              </w:rPr>
              <w:t>snižovala se již druhé čtvrtletí v řadě. V meziročním vyjádření se dluh zredukoval o 0,2 %, výhradně vlivem vnějšího dluhu, jehož k</w:t>
            </w:r>
            <w:r w:rsidR="00FB1F21">
              <w:rPr>
                <w:rFonts w:cs="Arial"/>
                <w:color w:val="0D0D0D" w:themeColor="text1" w:themeTint="F2"/>
                <w:spacing w:val="-4"/>
              </w:rPr>
              <w:t>orunová hodnota byla o téměř 10</w:t>
            </w:r>
            <w:r w:rsidR="00FB1F21" w:rsidRPr="00087E08">
              <w:rPr>
                <w:color w:val="0D0D0D" w:themeColor="text1" w:themeTint="F2"/>
                <w:spacing w:val="-4"/>
              </w:rPr>
              <w:t> </w:t>
            </w:r>
            <w:r>
              <w:rPr>
                <w:rFonts w:cs="Arial"/>
                <w:color w:val="0D0D0D" w:themeColor="text1" w:themeTint="F2"/>
                <w:spacing w:val="-4"/>
              </w:rPr>
              <w:t>mld. nižší. Výpůjční aktivita se soustřeďovala na domácí trh. Stát se snažil využít záporných úrokových sazeb, téměř dvě třetiny nov</w:t>
            </w:r>
            <w:r w:rsidR="004F77AE">
              <w:rPr>
                <w:rFonts w:cs="Arial"/>
                <w:color w:val="0D0D0D" w:themeColor="text1" w:themeTint="F2"/>
                <w:spacing w:val="-4"/>
              </w:rPr>
              <w:t>ě emitovaných dluhopisů tak měly</w:t>
            </w:r>
            <w:r>
              <w:rPr>
                <w:rFonts w:cs="Arial"/>
                <w:color w:val="0D0D0D" w:themeColor="text1" w:themeTint="F2"/>
                <w:spacing w:val="-4"/>
              </w:rPr>
              <w:t xml:space="preserve"> splatnost do pěti let.</w:t>
            </w:r>
            <w:r w:rsidRPr="00335468">
              <w:rPr>
                <w:rFonts w:cs="Arial"/>
                <w:color w:val="0D0D0D" w:themeColor="text1" w:themeTint="F2"/>
                <w:spacing w:val="-4"/>
              </w:rPr>
              <w:t xml:space="preserve"> Zrychloval </w:t>
            </w:r>
            <w:r w:rsidR="00FB1F21">
              <w:rPr>
                <w:rFonts w:cs="Arial"/>
                <w:color w:val="0D0D0D" w:themeColor="text1" w:themeTint="F2"/>
                <w:spacing w:val="-4"/>
              </w:rPr>
              <w:t xml:space="preserve">se </w:t>
            </w:r>
            <w:r w:rsidRPr="00335468">
              <w:rPr>
                <w:rFonts w:cs="Arial"/>
                <w:color w:val="0D0D0D" w:themeColor="text1" w:themeTint="F2"/>
                <w:spacing w:val="-4"/>
              </w:rPr>
              <w:t>růst objemu českých dluhopisů v držbě zahrani</w:t>
            </w:r>
            <w:r>
              <w:rPr>
                <w:rFonts w:cs="Arial"/>
                <w:color w:val="0D0D0D" w:themeColor="text1" w:themeTint="F2"/>
                <w:spacing w:val="-4"/>
              </w:rPr>
              <w:t>čních investorů. Na konci září</w:t>
            </w:r>
            <w:r w:rsidRPr="00335468">
              <w:rPr>
                <w:rFonts w:cs="Arial"/>
                <w:color w:val="0D0D0D" w:themeColor="text1" w:themeTint="F2"/>
                <w:spacing w:val="-4"/>
              </w:rPr>
              <w:t xml:space="preserve"> šl</w:t>
            </w:r>
            <w:r>
              <w:rPr>
                <w:rFonts w:cs="Arial"/>
                <w:color w:val="0D0D0D" w:themeColor="text1" w:themeTint="F2"/>
                <w:spacing w:val="-4"/>
              </w:rPr>
              <w:t>o již o 390 mld. korun, resp. 28,4</w:t>
            </w:r>
            <w:r w:rsidRPr="00335468">
              <w:rPr>
                <w:rFonts w:cs="Arial"/>
                <w:color w:val="0D0D0D" w:themeColor="text1" w:themeTint="F2"/>
                <w:spacing w:val="-4"/>
              </w:rPr>
              <w:t xml:space="preserve"> % hodn</w:t>
            </w:r>
            <w:r>
              <w:rPr>
                <w:rFonts w:cs="Arial"/>
                <w:color w:val="0D0D0D" w:themeColor="text1" w:themeTint="F2"/>
                <w:spacing w:val="-4"/>
              </w:rPr>
              <w:t>oty všech korunových dluhopisů (meziročně o téměř 10 p.b. více).</w:t>
            </w:r>
          </w:p>
          <w:p w:rsidR="0051593C" w:rsidRPr="00394756" w:rsidRDefault="0051593C" w:rsidP="004F7170">
            <w:pPr>
              <w:pStyle w:val="Textpoznpodarou"/>
              <w:jc w:val="both"/>
              <w:rPr>
                <w:rFonts w:cs="Arial"/>
                <w:color w:val="0D0D0D" w:themeColor="text1" w:themeTint="F2"/>
                <w:spacing w:val="-4"/>
                <w:sz w:val="14"/>
                <w:szCs w:val="14"/>
              </w:rPr>
            </w:pPr>
          </w:p>
        </w:tc>
      </w:tr>
      <w:tr w:rsidR="0051593C" w:rsidRPr="00952517" w:rsidTr="004F7170">
        <w:tc>
          <w:tcPr>
            <w:tcW w:w="1054" w:type="pct"/>
          </w:tcPr>
          <w:p w:rsidR="0051593C" w:rsidRPr="00335468" w:rsidRDefault="0051593C" w:rsidP="004F7170">
            <w:pPr>
              <w:spacing w:line="240" w:lineRule="auto"/>
              <w:rPr>
                <w:rFonts w:cs="Arial"/>
                <w:bCs/>
                <w:iCs/>
                <w:color w:val="0D0D0D" w:themeColor="text1" w:themeTint="F2"/>
                <w:sz w:val="16"/>
                <w:szCs w:val="16"/>
              </w:rPr>
            </w:pPr>
            <w:r w:rsidRPr="00335468">
              <w:rPr>
                <w:rFonts w:cs="Arial"/>
                <w:bCs/>
                <w:iCs/>
                <w:color w:val="0D0D0D" w:themeColor="text1" w:themeTint="F2"/>
                <w:sz w:val="16"/>
                <w:szCs w:val="16"/>
              </w:rPr>
              <w:t>Výše celkového dluhu vládního sektoru vztažená k HDP klesla ve 2. čtvrtletí pod 40 %, poprvé od konce roku 2011</w:t>
            </w:r>
            <w:r w:rsidR="00FB1F21">
              <w:rPr>
                <w:rFonts w:cs="Arial"/>
                <w:bCs/>
                <w:iCs/>
                <w:color w:val="0D0D0D" w:themeColor="text1" w:themeTint="F2"/>
                <w:sz w:val="16"/>
                <w:szCs w:val="16"/>
              </w:rPr>
              <w:t>.</w:t>
            </w:r>
          </w:p>
          <w:p w:rsidR="0051593C" w:rsidRPr="00335468" w:rsidRDefault="0051593C" w:rsidP="004F7170">
            <w:pPr>
              <w:spacing w:line="240" w:lineRule="auto"/>
              <w:rPr>
                <w:rFonts w:cs="Arial"/>
                <w:bCs/>
                <w:iCs/>
                <w:color w:val="0D0D0D" w:themeColor="text1" w:themeTint="F2"/>
                <w:sz w:val="16"/>
                <w:szCs w:val="16"/>
              </w:rPr>
            </w:pPr>
            <w:r w:rsidRPr="00335468">
              <w:rPr>
                <w:rFonts w:cs="Arial"/>
                <w:bCs/>
                <w:iCs/>
                <w:color w:val="0D0D0D" w:themeColor="text1" w:themeTint="F2"/>
                <w:sz w:val="16"/>
                <w:szCs w:val="16"/>
              </w:rPr>
              <w:t xml:space="preserve"> </w:t>
            </w:r>
          </w:p>
        </w:tc>
        <w:tc>
          <w:tcPr>
            <w:tcW w:w="142" w:type="pct"/>
          </w:tcPr>
          <w:p w:rsidR="0051593C" w:rsidRPr="00A90EFD" w:rsidRDefault="0051593C" w:rsidP="004F7170">
            <w:pPr>
              <w:pStyle w:val="Textpoznpodarou"/>
              <w:jc w:val="both"/>
              <w:rPr>
                <w:rFonts w:cs="Arial"/>
                <w:color w:val="0D0D0D" w:themeColor="text1" w:themeTint="F2"/>
              </w:rPr>
            </w:pPr>
          </w:p>
        </w:tc>
        <w:tc>
          <w:tcPr>
            <w:tcW w:w="3804" w:type="pct"/>
          </w:tcPr>
          <w:p w:rsidR="0051593C" w:rsidRPr="00335468" w:rsidRDefault="0051593C" w:rsidP="00FB1F21">
            <w:pPr>
              <w:pStyle w:val="Textpoznpodarou"/>
              <w:jc w:val="both"/>
              <w:rPr>
                <w:rFonts w:cs="Arial"/>
                <w:color w:val="0D0D0D" w:themeColor="text1" w:themeTint="F2"/>
                <w:spacing w:val="-4"/>
              </w:rPr>
            </w:pPr>
            <w:r w:rsidRPr="00335468">
              <w:rPr>
                <w:rFonts w:cs="Arial"/>
                <w:color w:val="0D0D0D" w:themeColor="text1" w:themeTint="F2"/>
                <w:spacing w:val="-4"/>
              </w:rPr>
              <w:t xml:space="preserve">Konsolidovaný hrubý dluh celého sektoru vládních institucí (zahrnující i hospodaření územně správních celků či </w:t>
            </w:r>
            <w:r>
              <w:rPr>
                <w:rFonts w:cs="Arial"/>
                <w:color w:val="0D0D0D" w:themeColor="text1" w:themeTint="F2"/>
                <w:spacing w:val="-4"/>
              </w:rPr>
              <w:t>zdravotních pojišťoven</w:t>
            </w:r>
            <w:r w:rsidRPr="00335468">
              <w:rPr>
                <w:rFonts w:cs="Arial"/>
                <w:color w:val="0D0D0D" w:themeColor="text1" w:themeTint="F2"/>
                <w:spacing w:val="-4"/>
              </w:rPr>
              <w:t>) dosáhl dle aktuální</w:t>
            </w:r>
            <w:r>
              <w:rPr>
                <w:rFonts w:cs="Arial"/>
                <w:color w:val="0D0D0D" w:themeColor="text1" w:themeTint="F2"/>
                <w:spacing w:val="-4"/>
              </w:rPr>
              <w:t>ch dat ČSÚ na konci 1. pololetí</w:t>
            </w:r>
            <w:r w:rsidRPr="00335468">
              <w:rPr>
                <w:rFonts w:cs="Arial"/>
                <w:color w:val="0D0D0D" w:themeColor="text1" w:themeTint="F2"/>
                <w:spacing w:val="-4"/>
              </w:rPr>
              <w:t xml:space="preserve"> 2016</w:t>
            </w:r>
            <w:r w:rsidRPr="00B0583B">
              <w:rPr>
                <w:rStyle w:val="Znakapoznpodarou"/>
                <w:rFonts w:cs="Arial"/>
                <w:color w:val="0D0D0D" w:themeColor="text1" w:themeTint="F2"/>
                <w:spacing w:val="-4"/>
              </w:rPr>
              <w:footnoteReference w:id="36"/>
            </w:r>
            <w:r w:rsidRPr="00335468">
              <w:rPr>
                <w:rFonts w:cs="Arial"/>
                <w:color w:val="0D0D0D" w:themeColor="text1" w:themeTint="F2"/>
                <w:spacing w:val="-4"/>
              </w:rPr>
              <w:t xml:space="preserve"> výše 1 847,9 mld. korun a ve vztahu k HDP činil 39,8 % (ve stejném období předchozího roku byl o 1,4 p.b. vyšší).</w:t>
            </w:r>
            <w:r>
              <w:rPr>
                <w:rFonts w:cs="Arial"/>
                <w:color w:val="0D0D0D" w:themeColor="text1" w:themeTint="F2"/>
                <w:spacing w:val="-4"/>
              </w:rPr>
              <w:t xml:space="preserve"> Snížení</w:t>
            </w:r>
            <w:r w:rsidRPr="00335468">
              <w:rPr>
                <w:rFonts w:cs="Arial"/>
                <w:color w:val="0D0D0D" w:themeColor="text1" w:themeTint="F2"/>
                <w:spacing w:val="-4"/>
              </w:rPr>
              <w:t xml:space="preserve"> relativní úrovně dluhu byl</w:t>
            </w:r>
            <w:r>
              <w:rPr>
                <w:rFonts w:cs="Arial"/>
                <w:color w:val="0D0D0D" w:themeColor="text1" w:themeTint="F2"/>
                <w:spacing w:val="-4"/>
              </w:rPr>
              <w:t>o</w:t>
            </w:r>
            <w:r w:rsidRPr="00335468">
              <w:rPr>
                <w:rFonts w:cs="Arial"/>
                <w:color w:val="0D0D0D" w:themeColor="text1" w:themeTint="F2"/>
                <w:spacing w:val="-4"/>
              </w:rPr>
              <w:t xml:space="preserve"> </w:t>
            </w:r>
            <w:r w:rsidR="00FB1F21" w:rsidRPr="00335468">
              <w:rPr>
                <w:rFonts w:cs="Arial"/>
                <w:color w:val="0D0D0D" w:themeColor="text1" w:themeTint="F2"/>
                <w:spacing w:val="-4"/>
              </w:rPr>
              <w:t xml:space="preserve">výhradně </w:t>
            </w:r>
            <w:r w:rsidRPr="00335468">
              <w:rPr>
                <w:rFonts w:cs="Arial"/>
                <w:color w:val="0D0D0D" w:themeColor="text1" w:themeTint="F2"/>
                <w:spacing w:val="-4"/>
              </w:rPr>
              <w:t>výsledkem růstu nominálního HDP, neboť absolutní</w:t>
            </w:r>
            <w:r>
              <w:rPr>
                <w:rFonts w:cs="Arial"/>
                <w:color w:val="0D0D0D" w:themeColor="text1" w:themeTint="F2"/>
                <w:spacing w:val="-4"/>
              </w:rPr>
              <w:t xml:space="preserve"> úroveň zadlužení meziročně vzrostla (o 19,4 mld.</w:t>
            </w:r>
            <w:r w:rsidRPr="00335468">
              <w:rPr>
                <w:rFonts w:cs="Arial"/>
                <w:color w:val="0D0D0D" w:themeColor="text1" w:themeTint="F2"/>
                <w:spacing w:val="-4"/>
              </w:rPr>
              <w:t>)</w:t>
            </w:r>
            <w:r>
              <w:rPr>
                <w:rFonts w:cs="Arial"/>
                <w:color w:val="0D0D0D" w:themeColor="text1" w:themeTint="F2"/>
                <w:spacing w:val="-4"/>
              </w:rPr>
              <w:t>. Op</w:t>
            </w:r>
            <w:r w:rsidR="00C15CEB">
              <w:rPr>
                <w:rFonts w:cs="Arial"/>
                <w:color w:val="0D0D0D" w:themeColor="text1" w:themeTint="F2"/>
                <w:spacing w:val="-4"/>
              </w:rPr>
              <w:t>roti 1. čtvrtletí 2016 ale dluh o 9,5 mld. klesl, šlo o </w:t>
            </w:r>
            <w:r>
              <w:rPr>
                <w:rFonts w:cs="Arial"/>
                <w:color w:val="0D0D0D" w:themeColor="text1" w:themeTint="F2"/>
                <w:spacing w:val="-4"/>
              </w:rPr>
              <w:t>nejsilnější mezikvartální redukci za poslední dva roky.</w:t>
            </w:r>
            <w:r w:rsidRPr="00335468">
              <w:rPr>
                <w:rFonts w:cs="Arial"/>
                <w:color w:val="0D0D0D" w:themeColor="text1" w:themeTint="F2"/>
                <w:spacing w:val="-4"/>
              </w:rPr>
              <w:t xml:space="preserve"> Hospodaření vládních i</w:t>
            </w:r>
            <w:r>
              <w:rPr>
                <w:rFonts w:cs="Arial"/>
                <w:color w:val="0D0D0D" w:themeColor="text1" w:themeTint="F2"/>
                <w:spacing w:val="-4"/>
              </w:rPr>
              <w:t xml:space="preserve">nstitucí </w:t>
            </w:r>
            <w:r>
              <w:rPr>
                <w:rFonts w:cs="Arial"/>
                <w:color w:val="0D0D0D" w:themeColor="text1" w:themeTint="F2"/>
                <w:spacing w:val="-4"/>
              </w:rPr>
              <w:lastRenderedPageBreak/>
              <w:t>skončilo v 1. pololetí</w:t>
            </w:r>
            <w:r w:rsidRPr="00335468">
              <w:rPr>
                <w:rFonts w:cs="Arial"/>
                <w:color w:val="0D0D0D" w:themeColor="text1" w:themeTint="F2"/>
                <w:spacing w:val="-4"/>
              </w:rPr>
              <w:t xml:space="preserve"> (v akrualizovaném vyjádření)</w:t>
            </w:r>
            <w:r w:rsidRPr="003948C5">
              <w:rPr>
                <w:rStyle w:val="Znakapoznpodarou"/>
                <w:rFonts w:cs="Arial"/>
                <w:color w:val="0D0D0D" w:themeColor="text1" w:themeTint="F2"/>
                <w:spacing w:val="-4"/>
              </w:rPr>
              <w:footnoteReference w:id="37"/>
            </w:r>
            <w:r w:rsidRPr="003948C5">
              <w:rPr>
                <w:rFonts w:cs="Arial"/>
                <w:color w:val="0D0D0D" w:themeColor="text1" w:themeTint="F2"/>
                <w:spacing w:val="-4"/>
                <w:vertAlign w:val="superscript"/>
              </w:rPr>
              <w:t xml:space="preserve"> </w:t>
            </w:r>
            <w:r>
              <w:rPr>
                <w:rFonts w:cs="Arial"/>
                <w:color w:val="0D0D0D" w:themeColor="text1" w:themeTint="F2"/>
                <w:spacing w:val="-4"/>
              </w:rPr>
              <w:t>mírným přebytkem 13</w:t>
            </w:r>
            <w:r w:rsidR="00FB1F21">
              <w:rPr>
                <w:rFonts w:cs="Arial"/>
                <w:color w:val="0D0D0D" w:themeColor="text1" w:themeTint="F2"/>
                <w:spacing w:val="-4"/>
              </w:rPr>
              <w:t> </w:t>
            </w:r>
            <w:r w:rsidRPr="00335468">
              <w:rPr>
                <w:rFonts w:cs="Arial"/>
                <w:color w:val="0D0D0D" w:themeColor="text1" w:themeTint="F2"/>
                <w:spacing w:val="-4"/>
              </w:rPr>
              <w:t>m</w:t>
            </w:r>
            <w:r w:rsidR="00896776">
              <w:rPr>
                <w:rFonts w:cs="Arial"/>
                <w:color w:val="0D0D0D" w:themeColor="text1" w:themeTint="F2"/>
                <w:spacing w:val="-4"/>
              </w:rPr>
              <w:t>ld. korun.</w:t>
            </w:r>
            <w:r w:rsidRPr="00335468">
              <w:rPr>
                <w:rFonts w:cs="Arial"/>
                <w:color w:val="0D0D0D" w:themeColor="text1" w:themeTint="F2"/>
                <w:spacing w:val="-4"/>
              </w:rPr>
              <w:t xml:space="preserve"> </w:t>
            </w:r>
            <w:r w:rsidR="00896776">
              <w:rPr>
                <w:rFonts w:cs="Arial"/>
                <w:color w:val="0D0D0D" w:themeColor="text1" w:themeTint="F2"/>
                <w:spacing w:val="-4"/>
              </w:rPr>
              <w:t>Na tomto výsledku se podílelo zlepšené hospodaření všech subsektorů</w:t>
            </w:r>
            <w:r w:rsidRPr="00335468">
              <w:rPr>
                <w:rFonts w:cs="Arial"/>
                <w:color w:val="0D0D0D" w:themeColor="text1" w:themeTint="F2"/>
                <w:spacing w:val="-4"/>
              </w:rPr>
              <w:t xml:space="preserve"> vládních institucí</w:t>
            </w:r>
            <w:r>
              <w:rPr>
                <w:rFonts w:cs="Arial"/>
                <w:color w:val="0D0D0D" w:themeColor="text1" w:themeTint="F2"/>
                <w:spacing w:val="-4"/>
              </w:rPr>
              <w:t>.</w:t>
            </w:r>
          </w:p>
        </w:tc>
      </w:tr>
    </w:tbl>
    <w:p w:rsidR="0051593C" w:rsidRDefault="0051593C" w:rsidP="009F777A">
      <w:pPr>
        <w:pStyle w:val="Textpoznpodarou"/>
        <w:ind w:left="720"/>
        <w:jc w:val="both"/>
        <w:rPr>
          <w:rFonts w:cs="Arial"/>
          <w:color w:val="000000" w:themeColor="text1"/>
          <w:spacing w:val="-2"/>
        </w:rPr>
      </w:pPr>
    </w:p>
    <w:tbl>
      <w:tblPr>
        <w:tblW w:w="4986" w:type="pct"/>
        <w:tblCellMar>
          <w:left w:w="28" w:type="dxa"/>
          <w:right w:w="28" w:type="dxa"/>
        </w:tblCellMar>
        <w:tblLook w:val="04A0"/>
      </w:tblPr>
      <w:tblGrid>
        <w:gridCol w:w="593"/>
        <w:gridCol w:w="4278"/>
        <w:gridCol w:w="709"/>
        <w:gridCol w:w="4114"/>
      </w:tblGrid>
      <w:tr w:rsidR="0051593C" w:rsidRPr="006F2BEE" w:rsidTr="004F7170">
        <w:tc>
          <w:tcPr>
            <w:tcW w:w="305" w:type="pct"/>
          </w:tcPr>
          <w:p w:rsidR="0051593C" w:rsidRDefault="0051593C" w:rsidP="004F7170">
            <w:pPr>
              <w:spacing w:line="240" w:lineRule="auto"/>
            </w:pPr>
            <w:r>
              <w:rPr>
                <w:sz w:val="14"/>
                <w:szCs w:val="14"/>
              </w:rPr>
              <w:br w:type="page"/>
            </w:r>
            <w:r>
              <w:t>Graf č. 19</w:t>
            </w:r>
          </w:p>
        </w:tc>
        <w:tc>
          <w:tcPr>
            <w:tcW w:w="2203" w:type="pct"/>
          </w:tcPr>
          <w:p w:rsidR="0051593C" w:rsidRPr="00E43BFF" w:rsidRDefault="0051593C" w:rsidP="004F7170">
            <w:pPr>
              <w:spacing w:line="240" w:lineRule="auto"/>
              <w:rPr>
                <w:rFonts w:cs="Arial"/>
                <w:b/>
                <w:bCs/>
              </w:rPr>
            </w:pPr>
            <w:r>
              <w:rPr>
                <w:rFonts w:cs="Arial"/>
                <w:b/>
                <w:bCs/>
              </w:rPr>
              <w:t xml:space="preserve">Celostátní inkasa daňových příjmů </w:t>
            </w:r>
            <w:r>
              <w:rPr>
                <w:rFonts w:cs="Arial"/>
                <w:bCs/>
              </w:rPr>
              <w:t>(y/y</w:t>
            </w:r>
            <w:r w:rsidRPr="008A3A85">
              <w:rPr>
                <w:rFonts w:cs="Arial"/>
                <w:bCs/>
              </w:rPr>
              <w:t xml:space="preserve"> v %)</w:t>
            </w:r>
            <w:r>
              <w:rPr>
                <w:rFonts w:cs="Arial"/>
                <w:bCs/>
              </w:rPr>
              <w:t xml:space="preserve"> </w:t>
            </w:r>
            <w:r>
              <w:rPr>
                <w:rFonts w:cs="Arial"/>
                <w:b/>
                <w:bCs/>
              </w:rPr>
              <w:t>a saldo státního rozpočtu</w:t>
            </w:r>
            <w:r>
              <w:t xml:space="preserve"> </w:t>
            </w:r>
            <w:r>
              <w:rPr>
                <w:rFonts w:cs="Arial"/>
                <w:bCs/>
              </w:rPr>
              <w:t>(v mld. korun)</w:t>
            </w:r>
          </w:p>
        </w:tc>
        <w:tc>
          <w:tcPr>
            <w:tcW w:w="366" w:type="pct"/>
          </w:tcPr>
          <w:p w:rsidR="0051593C" w:rsidRDefault="0051593C" w:rsidP="004F7170">
            <w:pPr>
              <w:spacing w:line="240" w:lineRule="auto"/>
            </w:pPr>
            <w:r>
              <w:t>Graf č. 20</w:t>
            </w:r>
          </w:p>
        </w:tc>
        <w:tc>
          <w:tcPr>
            <w:tcW w:w="2126" w:type="pct"/>
          </w:tcPr>
          <w:p w:rsidR="0051593C" w:rsidRDefault="0051593C" w:rsidP="004F7170">
            <w:pPr>
              <w:spacing w:line="240" w:lineRule="auto"/>
              <w:rPr>
                <w:rFonts w:cs="Arial"/>
                <w:b/>
                <w:bCs/>
              </w:rPr>
            </w:pPr>
            <w:r>
              <w:rPr>
                <w:rFonts w:cs="Arial"/>
                <w:b/>
                <w:bCs/>
              </w:rPr>
              <w:t>Vybrané výdaje státního rozpočtu</w:t>
            </w:r>
          </w:p>
          <w:p w:rsidR="0051593C" w:rsidRPr="006F2BEE" w:rsidRDefault="0051593C" w:rsidP="004F7170">
            <w:pPr>
              <w:spacing w:line="240" w:lineRule="auto"/>
              <w:rPr>
                <w:rFonts w:cs="Arial"/>
                <w:b/>
                <w:bCs/>
                <w:spacing w:val="-2"/>
              </w:rPr>
            </w:pPr>
            <w:r>
              <w:rPr>
                <w:rFonts w:cs="Arial"/>
                <w:bCs/>
              </w:rPr>
              <w:t>(</w:t>
            </w:r>
            <w:r w:rsidRPr="00DB06E9">
              <w:rPr>
                <w:rFonts w:cs="Arial"/>
                <w:bCs/>
              </w:rPr>
              <w:t>v mld. korun</w:t>
            </w:r>
            <w:r>
              <w:rPr>
                <w:rFonts w:cs="Arial"/>
                <w:bCs/>
              </w:rPr>
              <w:t>)</w:t>
            </w:r>
          </w:p>
        </w:tc>
      </w:tr>
      <w:tr w:rsidR="0051593C" w:rsidTr="004F7170">
        <w:tc>
          <w:tcPr>
            <w:tcW w:w="2508" w:type="pct"/>
            <w:gridSpan w:val="2"/>
          </w:tcPr>
          <w:p w:rsidR="0051593C" w:rsidRDefault="006E2C28" w:rsidP="004F7170">
            <w:pPr>
              <w:pStyle w:val="Textpoznpodarou"/>
              <w:jc w:val="both"/>
            </w:pPr>
            <w:r>
              <w:rPr>
                <w:noProof/>
              </w:rPr>
              <w:drawing>
                <wp:inline distT="0" distB="0" distL="0" distR="0">
                  <wp:extent cx="3046051" cy="2309750"/>
                  <wp:effectExtent l="19050" t="0" r="1949" b="0"/>
                  <wp:docPr id="2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srcRect/>
                          <a:stretch>
                            <a:fillRect/>
                          </a:stretch>
                        </pic:blipFill>
                        <pic:spPr bwMode="auto">
                          <a:xfrm>
                            <a:off x="0" y="0"/>
                            <a:ext cx="3046095" cy="2309784"/>
                          </a:xfrm>
                          <a:prstGeom prst="rect">
                            <a:avLst/>
                          </a:prstGeom>
                          <a:noFill/>
                          <a:ln w="9525">
                            <a:noFill/>
                            <a:miter lim="800000"/>
                            <a:headEnd/>
                            <a:tailEnd/>
                          </a:ln>
                        </pic:spPr>
                      </pic:pic>
                    </a:graphicData>
                  </a:graphic>
                </wp:inline>
              </w:drawing>
            </w:r>
          </w:p>
        </w:tc>
        <w:tc>
          <w:tcPr>
            <w:tcW w:w="2492" w:type="pct"/>
            <w:gridSpan w:val="2"/>
          </w:tcPr>
          <w:p w:rsidR="0051593C" w:rsidRDefault="006E2C28" w:rsidP="004F7170">
            <w:pPr>
              <w:pStyle w:val="Textpoznpodarou"/>
              <w:jc w:val="both"/>
            </w:pPr>
            <w:r>
              <w:rPr>
                <w:noProof/>
              </w:rPr>
              <w:drawing>
                <wp:inline distT="0" distB="0" distL="0" distR="0">
                  <wp:extent cx="3017446" cy="2309750"/>
                  <wp:effectExtent l="19050" t="0" r="0" b="0"/>
                  <wp:docPr id="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srcRect/>
                          <a:stretch>
                            <a:fillRect/>
                          </a:stretch>
                        </pic:blipFill>
                        <pic:spPr bwMode="auto">
                          <a:xfrm>
                            <a:off x="0" y="0"/>
                            <a:ext cx="3017673" cy="2309924"/>
                          </a:xfrm>
                          <a:prstGeom prst="rect">
                            <a:avLst/>
                          </a:prstGeom>
                          <a:noFill/>
                          <a:ln w="9525">
                            <a:noFill/>
                            <a:miter lim="800000"/>
                            <a:headEnd/>
                            <a:tailEnd/>
                          </a:ln>
                        </pic:spPr>
                      </pic:pic>
                    </a:graphicData>
                  </a:graphic>
                </wp:inline>
              </w:drawing>
            </w:r>
          </w:p>
        </w:tc>
      </w:tr>
      <w:tr w:rsidR="0051593C" w:rsidRPr="009E6613" w:rsidTr="004F7170">
        <w:tc>
          <w:tcPr>
            <w:tcW w:w="5000" w:type="pct"/>
            <w:gridSpan w:val="4"/>
          </w:tcPr>
          <w:p w:rsidR="0051593C" w:rsidRDefault="0051593C" w:rsidP="004F7170">
            <w:pPr>
              <w:pStyle w:val="Textpoznpodarou"/>
              <w:spacing w:before="40"/>
              <w:rPr>
                <w:sz w:val="18"/>
                <w:szCs w:val="18"/>
              </w:rPr>
            </w:pPr>
            <w:r w:rsidRPr="004C5813">
              <w:rPr>
                <w:sz w:val="18"/>
                <w:szCs w:val="18"/>
              </w:rPr>
              <w:t>*vč. dávek pěstounské péče</w:t>
            </w:r>
          </w:p>
          <w:p w:rsidR="0051593C" w:rsidRDefault="0051593C" w:rsidP="004F7170">
            <w:pPr>
              <w:pStyle w:val="Textpoznpodarou"/>
              <w:rPr>
                <w:sz w:val="18"/>
                <w:szCs w:val="18"/>
              </w:rPr>
            </w:pPr>
            <w:r w:rsidRPr="001D7968">
              <w:rPr>
                <w:spacing w:val="-2"/>
                <w:sz w:val="18"/>
                <w:szCs w:val="18"/>
              </w:rPr>
              <w:t>**dávky pomoci v hmot</w:t>
            </w:r>
            <w:r>
              <w:rPr>
                <w:spacing w:val="-2"/>
                <w:sz w:val="18"/>
                <w:szCs w:val="18"/>
              </w:rPr>
              <w:t>né</w:t>
            </w:r>
            <w:r w:rsidRPr="001D7968">
              <w:rPr>
                <w:spacing w:val="-2"/>
                <w:sz w:val="18"/>
                <w:szCs w:val="18"/>
              </w:rPr>
              <w:t xml:space="preserve"> nouzi, dávky osobám se zdravotním postižením, příspěvek na péči dle zákona o soc. službách</w:t>
            </w:r>
          </w:p>
          <w:p w:rsidR="0051593C" w:rsidRPr="009E6613" w:rsidRDefault="0051593C" w:rsidP="004F7170">
            <w:pPr>
              <w:pStyle w:val="Textpoznpodarou"/>
              <w:rPr>
                <w:sz w:val="18"/>
                <w:szCs w:val="18"/>
              </w:rPr>
            </w:pPr>
            <w:r>
              <w:rPr>
                <w:sz w:val="18"/>
                <w:szCs w:val="18"/>
              </w:rPr>
              <w:t xml:space="preserve">*** ve výdajích jsou započteny i příjmy kapitoly Státní dluh                                                                  </w:t>
            </w:r>
            <w:r>
              <w:rPr>
                <w:rFonts w:cs="Arial"/>
                <w:sz w:val="18"/>
                <w:szCs w:val="18"/>
              </w:rPr>
              <w:t>Zdroj: MF ČR, MPSV</w:t>
            </w:r>
          </w:p>
        </w:tc>
      </w:tr>
    </w:tbl>
    <w:p w:rsidR="0051593C" w:rsidRPr="00E25999" w:rsidRDefault="0051593C" w:rsidP="006E2C28">
      <w:pPr>
        <w:pStyle w:val="Textpoznpodarou"/>
        <w:jc w:val="both"/>
        <w:rPr>
          <w:rFonts w:cs="Arial"/>
          <w:color w:val="000000" w:themeColor="text1"/>
          <w:spacing w:val="-2"/>
          <w:sz w:val="16"/>
          <w:szCs w:val="16"/>
        </w:rPr>
      </w:pPr>
    </w:p>
    <w:tbl>
      <w:tblPr>
        <w:tblW w:w="4986" w:type="pct"/>
        <w:tblLayout w:type="fixed"/>
        <w:tblCellMar>
          <w:left w:w="28" w:type="dxa"/>
          <w:right w:w="28" w:type="dxa"/>
        </w:tblCellMar>
        <w:tblLook w:val="04A0"/>
      </w:tblPr>
      <w:tblGrid>
        <w:gridCol w:w="752"/>
        <w:gridCol w:w="4097"/>
        <w:gridCol w:w="710"/>
        <w:gridCol w:w="4108"/>
      </w:tblGrid>
      <w:tr w:rsidR="0051593C" w:rsidTr="004F7170">
        <w:tc>
          <w:tcPr>
            <w:tcW w:w="389" w:type="pct"/>
          </w:tcPr>
          <w:p w:rsidR="0051593C" w:rsidRDefault="0051593C" w:rsidP="004F7170">
            <w:pPr>
              <w:spacing w:line="240" w:lineRule="auto"/>
            </w:pPr>
            <w:r>
              <w:t>Graf č. 21</w:t>
            </w:r>
          </w:p>
        </w:tc>
        <w:tc>
          <w:tcPr>
            <w:tcW w:w="2119" w:type="pct"/>
          </w:tcPr>
          <w:p w:rsidR="0051593C" w:rsidRPr="00D90B56" w:rsidRDefault="0051593C" w:rsidP="004F7170">
            <w:pPr>
              <w:spacing w:line="240" w:lineRule="auto"/>
              <w:rPr>
                <w:rFonts w:cs="Arial"/>
                <w:b/>
                <w:bCs/>
              </w:rPr>
            </w:pPr>
            <w:r>
              <w:rPr>
                <w:rFonts w:cs="Arial"/>
                <w:b/>
                <w:bCs/>
              </w:rPr>
              <w:t xml:space="preserve">Státní dluh ČR podle způsobu financování </w:t>
            </w:r>
            <w:r>
              <w:rPr>
                <w:rFonts w:cs="Arial"/>
                <w:bCs/>
              </w:rPr>
              <w:t>(</w:t>
            </w:r>
            <w:r w:rsidRPr="00DB06E9">
              <w:rPr>
                <w:rFonts w:cs="Arial"/>
                <w:bCs/>
              </w:rPr>
              <w:t>v mld. korun</w:t>
            </w:r>
            <w:r>
              <w:rPr>
                <w:rFonts w:cs="Arial"/>
                <w:bCs/>
              </w:rPr>
              <w:t xml:space="preserve"> </w:t>
            </w:r>
            <w:r w:rsidRPr="00DB06E9">
              <w:rPr>
                <w:rFonts w:cs="Arial"/>
                <w:bCs/>
              </w:rPr>
              <w:t>)</w:t>
            </w:r>
            <w:r>
              <w:rPr>
                <w:rFonts w:cs="Arial"/>
                <w:bCs/>
              </w:rPr>
              <w:t xml:space="preserve"> </w:t>
            </w:r>
            <w:r>
              <w:rPr>
                <w:rFonts w:cs="Arial"/>
                <w:b/>
                <w:bCs/>
              </w:rPr>
              <w:t xml:space="preserve">a podíl korunových dluhopisů v držbě nerezidentů </w:t>
            </w:r>
            <w:r w:rsidRPr="0001742D">
              <w:rPr>
                <w:rFonts w:cs="Arial"/>
                <w:bCs/>
              </w:rPr>
              <w:t>(v %)</w:t>
            </w:r>
            <w:r>
              <w:rPr>
                <w:rFonts w:cs="Arial"/>
                <w:b/>
                <w:bCs/>
              </w:rPr>
              <w:t xml:space="preserve"> </w:t>
            </w:r>
          </w:p>
        </w:tc>
        <w:tc>
          <w:tcPr>
            <w:tcW w:w="367" w:type="pct"/>
          </w:tcPr>
          <w:p w:rsidR="0051593C" w:rsidRDefault="0051593C" w:rsidP="004F7170">
            <w:pPr>
              <w:spacing w:line="240" w:lineRule="auto"/>
            </w:pPr>
            <w:r>
              <w:t>Graf č. 22</w:t>
            </w:r>
          </w:p>
        </w:tc>
        <w:tc>
          <w:tcPr>
            <w:tcW w:w="2125" w:type="pct"/>
          </w:tcPr>
          <w:p w:rsidR="0051593C" w:rsidRDefault="0051593C" w:rsidP="004F7170">
            <w:pPr>
              <w:spacing w:line="240" w:lineRule="auto"/>
              <w:rPr>
                <w:rFonts w:cs="Arial"/>
                <w:bCs/>
                <w:spacing w:val="-2"/>
              </w:rPr>
            </w:pPr>
            <w:r>
              <w:rPr>
                <w:rFonts w:cs="Arial"/>
                <w:b/>
                <w:bCs/>
                <w:spacing w:val="-2"/>
              </w:rPr>
              <w:t xml:space="preserve">Počet příjemců důchodů </w:t>
            </w:r>
            <w:r w:rsidRPr="007179B8">
              <w:rPr>
                <w:rFonts w:cs="Arial"/>
                <w:bCs/>
                <w:spacing w:val="-2"/>
              </w:rPr>
              <w:t>(v tis. osob),</w:t>
            </w:r>
            <w:r>
              <w:rPr>
                <w:rFonts w:cs="Arial"/>
                <w:b/>
                <w:bCs/>
                <w:spacing w:val="-2"/>
              </w:rPr>
              <w:t xml:space="preserve"> příjmy </w:t>
            </w:r>
            <w:r w:rsidRPr="006F2BEE">
              <w:rPr>
                <w:rFonts w:cs="Arial"/>
                <w:b/>
                <w:bCs/>
                <w:spacing w:val="-2"/>
              </w:rPr>
              <w:t>a výdaje</w:t>
            </w:r>
            <w:r>
              <w:rPr>
                <w:rFonts w:cs="Arial"/>
                <w:b/>
                <w:bCs/>
                <w:spacing w:val="-2"/>
              </w:rPr>
              <w:t xml:space="preserve"> na důchody ze SR</w:t>
            </w:r>
            <w:r w:rsidRPr="006F2BEE">
              <w:rPr>
                <w:rFonts w:cs="Arial"/>
                <w:b/>
                <w:bCs/>
                <w:spacing w:val="-2"/>
              </w:rPr>
              <w:t xml:space="preserve"> </w:t>
            </w:r>
            <w:r w:rsidRPr="006F2BEE">
              <w:rPr>
                <w:rFonts w:cs="Arial"/>
                <w:bCs/>
                <w:spacing w:val="-2"/>
              </w:rPr>
              <w:t xml:space="preserve">(y/y, v %) </w:t>
            </w:r>
          </w:p>
          <w:p w:rsidR="0051593C" w:rsidRPr="006F2BEE" w:rsidRDefault="0051593C" w:rsidP="004F7170">
            <w:pPr>
              <w:spacing w:line="240" w:lineRule="auto"/>
              <w:rPr>
                <w:rFonts w:cs="Arial"/>
                <w:b/>
                <w:bCs/>
                <w:spacing w:val="-2"/>
              </w:rPr>
            </w:pPr>
            <w:r w:rsidRPr="006F2BEE">
              <w:rPr>
                <w:rFonts w:cs="Arial"/>
                <w:b/>
                <w:bCs/>
                <w:spacing w:val="-2"/>
              </w:rPr>
              <w:t xml:space="preserve">a bilance </w:t>
            </w:r>
            <w:r>
              <w:rPr>
                <w:rFonts w:cs="Arial"/>
                <w:b/>
                <w:bCs/>
                <w:spacing w:val="-2"/>
              </w:rPr>
              <w:t>důchodového</w:t>
            </w:r>
            <w:r w:rsidRPr="006F2BEE">
              <w:rPr>
                <w:rFonts w:cs="Arial"/>
                <w:b/>
                <w:bCs/>
                <w:spacing w:val="-2"/>
              </w:rPr>
              <w:t xml:space="preserve"> účtu </w:t>
            </w:r>
            <w:r w:rsidRPr="006F2BEE">
              <w:rPr>
                <w:rFonts w:cs="Arial"/>
                <w:bCs/>
                <w:spacing w:val="-2"/>
              </w:rPr>
              <w:t>(v mld. korun)</w:t>
            </w:r>
            <w:r>
              <w:rPr>
                <w:rFonts w:cs="Arial"/>
                <w:bCs/>
              </w:rPr>
              <w:t xml:space="preserve"> </w:t>
            </w:r>
          </w:p>
        </w:tc>
      </w:tr>
      <w:tr w:rsidR="0051593C" w:rsidTr="004F7170">
        <w:tc>
          <w:tcPr>
            <w:tcW w:w="2508" w:type="pct"/>
            <w:gridSpan w:val="2"/>
          </w:tcPr>
          <w:p w:rsidR="0051593C" w:rsidRDefault="00505989" w:rsidP="004F7170">
            <w:pPr>
              <w:pStyle w:val="Textpoznpodarou"/>
              <w:jc w:val="both"/>
            </w:pPr>
            <w:r>
              <w:rPr>
                <w:noProof/>
              </w:rPr>
              <w:drawing>
                <wp:inline distT="0" distB="0" distL="0" distR="0">
                  <wp:extent cx="3043595" cy="2381002"/>
                  <wp:effectExtent l="19050" t="0" r="4405" b="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3"/>
                          <a:srcRect/>
                          <a:stretch>
                            <a:fillRect/>
                          </a:stretch>
                        </pic:blipFill>
                        <pic:spPr bwMode="auto">
                          <a:xfrm>
                            <a:off x="0" y="0"/>
                            <a:ext cx="3044825" cy="2381964"/>
                          </a:xfrm>
                          <a:prstGeom prst="rect">
                            <a:avLst/>
                          </a:prstGeom>
                          <a:noFill/>
                          <a:ln w="9525">
                            <a:noFill/>
                            <a:miter lim="800000"/>
                            <a:headEnd/>
                            <a:tailEnd/>
                          </a:ln>
                        </pic:spPr>
                      </pic:pic>
                    </a:graphicData>
                  </a:graphic>
                </wp:inline>
              </w:drawing>
            </w:r>
          </w:p>
        </w:tc>
        <w:tc>
          <w:tcPr>
            <w:tcW w:w="2492" w:type="pct"/>
            <w:gridSpan w:val="2"/>
          </w:tcPr>
          <w:p w:rsidR="0051593C" w:rsidRDefault="006E2C28" w:rsidP="004F7170">
            <w:pPr>
              <w:pStyle w:val="Textpoznpodarou"/>
              <w:jc w:val="both"/>
            </w:pPr>
            <w:r>
              <w:rPr>
                <w:noProof/>
              </w:rPr>
              <w:drawing>
                <wp:inline distT="0" distB="0" distL="0" distR="0">
                  <wp:extent cx="3009158" cy="2381002"/>
                  <wp:effectExtent l="19050" t="0" r="742" b="0"/>
                  <wp:docPr id="29"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srcRect/>
                          <a:stretch>
                            <a:fillRect/>
                          </a:stretch>
                        </pic:blipFill>
                        <pic:spPr bwMode="auto">
                          <a:xfrm>
                            <a:off x="0" y="0"/>
                            <a:ext cx="3010535" cy="2382092"/>
                          </a:xfrm>
                          <a:prstGeom prst="rect">
                            <a:avLst/>
                          </a:prstGeom>
                          <a:noFill/>
                          <a:ln w="9525">
                            <a:noFill/>
                            <a:miter lim="800000"/>
                            <a:headEnd/>
                            <a:tailEnd/>
                          </a:ln>
                        </pic:spPr>
                      </pic:pic>
                    </a:graphicData>
                  </a:graphic>
                </wp:inline>
              </w:drawing>
            </w:r>
          </w:p>
        </w:tc>
      </w:tr>
      <w:tr w:rsidR="0051593C" w:rsidTr="004F7170">
        <w:tc>
          <w:tcPr>
            <w:tcW w:w="5000" w:type="pct"/>
            <w:gridSpan w:val="4"/>
          </w:tcPr>
          <w:p w:rsidR="0051593C" w:rsidRPr="00245006" w:rsidRDefault="0051593C" w:rsidP="004F7170">
            <w:pPr>
              <w:autoSpaceDE w:val="0"/>
              <w:autoSpaceDN w:val="0"/>
              <w:adjustRightInd w:val="0"/>
              <w:spacing w:line="240" w:lineRule="auto"/>
              <w:jc w:val="right"/>
              <w:rPr>
                <w:sz w:val="18"/>
                <w:szCs w:val="18"/>
                <w:lang w:eastAsia="ar-SA"/>
              </w:rPr>
            </w:pPr>
            <w:r>
              <w:rPr>
                <w:rFonts w:cs="Arial"/>
                <w:sz w:val="18"/>
                <w:szCs w:val="18"/>
              </w:rPr>
              <w:t>Zdroj: MF, ČSSZ</w:t>
            </w:r>
          </w:p>
        </w:tc>
      </w:tr>
    </w:tbl>
    <w:p w:rsidR="000F74B6" w:rsidRPr="00A74192" w:rsidRDefault="000F74B6" w:rsidP="00D94859">
      <w:pPr>
        <w:pStyle w:val="Textpoznpodarou"/>
        <w:jc w:val="both"/>
        <w:rPr>
          <w:rFonts w:cs="Arial"/>
          <w:color w:val="000000" w:themeColor="text1"/>
        </w:rPr>
      </w:pPr>
    </w:p>
    <w:p w:rsidR="00240815" w:rsidRPr="00A74192" w:rsidRDefault="00240815" w:rsidP="00D94859">
      <w:pPr>
        <w:pStyle w:val="Textpoznpodarou"/>
        <w:jc w:val="both"/>
        <w:rPr>
          <w:rFonts w:cs="Arial"/>
          <w:color w:val="000000" w:themeColor="text1"/>
        </w:rPr>
      </w:pPr>
    </w:p>
    <w:p w:rsidR="00A9221C" w:rsidRPr="00A74192" w:rsidRDefault="00A9221C" w:rsidP="00D94859">
      <w:pPr>
        <w:pStyle w:val="Textpoznpodarou"/>
        <w:jc w:val="both"/>
        <w:rPr>
          <w:rFonts w:cs="Arial"/>
          <w:color w:val="000000" w:themeColor="text1"/>
        </w:rPr>
      </w:pPr>
    </w:p>
    <w:p w:rsidR="00B55BA8" w:rsidRPr="00A74192" w:rsidRDefault="00B55BA8" w:rsidP="00D94859">
      <w:pPr>
        <w:pStyle w:val="Textpoznpodarou"/>
        <w:jc w:val="both"/>
        <w:rPr>
          <w:rFonts w:cs="Arial"/>
          <w:color w:val="000000" w:themeColor="text1"/>
        </w:rPr>
      </w:pPr>
      <w:r w:rsidRPr="00A74192">
        <w:rPr>
          <w:rFonts w:cs="Arial"/>
          <w:color w:val="000000" w:themeColor="text1"/>
        </w:rPr>
        <w:t>Zdroj</w:t>
      </w:r>
      <w:r w:rsidR="000E1EEA" w:rsidRPr="00A74192">
        <w:rPr>
          <w:rFonts w:cs="Arial"/>
          <w:color w:val="000000" w:themeColor="text1"/>
        </w:rPr>
        <w:t>e dat v celé analýze: ČSÚ, MF ČR</w:t>
      </w:r>
      <w:r w:rsidRPr="00A74192">
        <w:rPr>
          <w:rFonts w:cs="Arial"/>
          <w:color w:val="000000" w:themeColor="text1"/>
        </w:rPr>
        <w:t>, ČNB,</w:t>
      </w:r>
      <w:r w:rsidR="00886A8F" w:rsidRPr="00A74192">
        <w:rPr>
          <w:rFonts w:cs="Arial"/>
          <w:color w:val="000000" w:themeColor="text1"/>
        </w:rPr>
        <w:t xml:space="preserve"> MPSV</w:t>
      </w:r>
      <w:r w:rsidR="00FD1BBD" w:rsidRPr="00A74192">
        <w:rPr>
          <w:rFonts w:cs="Arial"/>
          <w:color w:val="000000" w:themeColor="text1"/>
        </w:rPr>
        <w:t>,</w:t>
      </w:r>
      <w:r w:rsidRPr="00A74192">
        <w:rPr>
          <w:rFonts w:cs="Arial"/>
          <w:color w:val="000000" w:themeColor="text1"/>
        </w:rPr>
        <w:t xml:space="preserve"> ČSSZ, Eurostat, propočty ČSÚ.</w:t>
      </w:r>
    </w:p>
    <w:p w:rsidR="00B55BA8" w:rsidRPr="00A74192" w:rsidRDefault="00B55BA8" w:rsidP="00D94859">
      <w:pPr>
        <w:pStyle w:val="Textpoznpodarou"/>
        <w:jc w:val="both"/>
        <w:rPr>
          <w:rFonts w:cs="Arial"/>
          <w:color w:val="000000" w:themeColor="text1"/>
        </w:rPr>
      </w:pPr>
      <w:r w:rsidRPr="00A74192">
        <w:rPr>
          <w:rFonts w:cs="Arial"/>
          <w:color w:val="000000" w:themeColor="text1"/>
        </w:rPr>
        <w:t>Poslední informace uváděné v té</w:t>
      </w:r>
      <w:r w:rsidR="00ED3A94" w:rsidRPr="00A74192">
        <w:rPr>
          <w:rFonts w:cs="Arial"/>
          <w:color w:val="000000" w:themeColor="text1"/>
        </w:rPr>
        <w:t>to zprávě pocházejí ze 14</w:t>
      </w:r>
      <w:r w:rsidR="00886A8F" w:rsidRPr="00A74192">
        <w:rPr>
          <w:rFonts w:cs="Arial"/>
          <w:color w:val="000000" w:themeColor="text1"/>
        </w:rPr>
        <w:t xml:space="preserve">. </w:t>
      </w:r>
      <w:r w:rsidR="007C32B6" w:rsidRPr="00A74192">
        <w:rPr>
          <w:rFonts w:cs="Arial"/>
          <w:color w:val="000000" w:themeColor="text1"/>
        </w:rPr>
        <w:t>prosince</w:t>
      </w:r>
      <w:r w:rsidR="00A9221C" w:rsidRPr="00A74192">
        <w:rPr>
          <w:rFonts w:cs="Arial"/>
          <w:color w:val="000000" w:themeColor="text1"/>
        </w:rPr>
        <w:t xml:space="preserve"> 2016</w:t>
      </w:r>
      <w:r w:rsidRPr="00A74192">
        <w:rPr>
          <w:rFonts w:cs="Arial"/>
          <w:color w:val="000000" w:themeColor="text1"/>
        </w:rPr>
        <w:t>.</w:t>
      </w:r>
    </w:p>
    <w:sectPr w:rsidR="00B55BA8" w:rsidRPr="00A74192" w:rsidSect="00E83DAB">
      <w:headerReference w:type="even" r:id="rId35"/>
      <w:headerReference w:type="default" r:id="rId36"/>
      <w:footerReference w:type="even" r:id="rId37"/>
      <w:footerReference w:type="default" r:id="rId38"/>
      <w:type w:val="continuous"/>
      <w:pgSz w:w="11906" w:h="16838" w:code="9"/>
      <w:pgMar w:top="1134" w:right="1134" w:bottom="1418" w:left="1134" w:header="68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7914" w:rsidRDefault="00997914" w:rsidP="00E71A58">
      <w:r>
        <w:separator/>
      </w:r>
    </w:p>
  </w:endnote>
  <w:endnote w:type="continuationSeparator" w:id="0">
    <w:p w:rsidR="00997914" w:rsidRDefault="00997914" w:rsidP="00E71A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56A" w:rsidRDefault="0019156A" w:rsidP="00357449">
    <w:pPr>
      <w:pStyle w:val="Zpat"/>
      <w:tabs>
        <w:tab w:val="clear" w:pos="4536"/>
        <w:tab w:val="clear" w:pos="9072"/>
        <w:tab w:val="left" w:pos="1134"/>
        <w:tab w:val="left" w:pos="1920"/>
        <w:tab w:val="center" w:pos="4820"/>
        <w:tab w:val="right" w:pos="9639"/>
      </w:tabs>
    </w:pPr>
    <w:r>
      <w:rPr>
        <w:noProof/>
        <w:lang w:eastAsia="cs-CZ"/>
      </w:rPr>
      <w:drawing>
        <wp:anchor distT="0" distB="0" distL="114300" distR="114300" simplePos="0" relativeHeight="251656704" behindDoc="0" locked="0" layoutInCell="1" allowOverlap="1">
          <wp:simplePos x="0" y="0"/>
          <wp:positionH relativeFrom="column">
            <wp:posOffset>3810</wp:posOffset>
          </wp:positionH>
          <wp:positionV relativeFrom="paragraph">
            <wp:posOffset>90170</wp:posOffset>
          </wp:positionV>
          <wp:extent cx="495300" cy="266700"/>
          <wp:effectExtent l="19050" t="0" r="0" b="0"/>
          <wp:wrapNone/>
          <wp:docPr id="5" name="obrázek 142" descr="Descripti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42" descr="Description: 3"/>
                  <pic:cNvPicPr>
                    <a:picLocks noChangeAspect="1" noChangeArrowheads="1"/>
                  </pic:cNvPicPr>
                </pic:nvPicPr>
                <pic:blipFill>
                  <a:blip r:embed="rId1"/>
                  <a:srcRect/>
                  <a:stretch>
                    <a:fillRect/>
                  </a:stretch>
                </pic:blipFill>
                <pic:spPr bwMode="auto">
                  <a:xfrm>
                    <a:off x="0" y="0"/>
                    <a:ext cx="495300" cy="266700"/>
                  </a:xfrm>
                  <a:prstGeom prst="rect">
                    <a:avLst/>
                  </a:prstGeom>
                  <a:noFill/>
                </pic:spPr>
              </pic:pic>
            </a:graphicData>
          </a:graphic>
        </wp:anchor>
      </w:drawing>
    </w:r>
    <w:r>
      <w:tab/>
    </w:r>
    <w:r>
      <w:tab/>
    </w:r>
    <w:r w:rsidRPr="00DC5B3B">
      <w:t xml:space="preserve">                              </w:t>
    </w:r>
  </w:p>
  <w:p w:rsidR="0019156A" w:rsidRPr="00223E00" w:rsidRDefault="0019156A" w:rsidP="00357449">
    <w:pPr>
      <w:pStyle w:val="Zpat"/>
      <w:tabs>
        <w:tab w:val="clear" w:pos="4536"/>
        <w:tab w:val="clear" w:pos="9072"/>
        <w:tab w:val="left" w:pos="1134"/>
        <w:tab w:val="left" w:pos="1920"/>
        <w:tab w:val="center" w:pos="4820"/>
        <w:tab w:val="left" w:pos="9262"/>
        <w:tab w:val="left" w:pos="9495"/>
        <w:tab w:val="right" w:pos="9639"/>
      </w:tabs>
    </w:pPr>
    <w:r>
      <w:rPr>
        <w:rFonts w:ascii="Arial" w:hAnsi="Arial" w:cs="Arial"/>
        <w:sz w:val="16"/>
        <w:szCs w:val="16"/>
      </w:rPr>
      <w:tab/>
    </w:r>
    <w:r>
      <w:rPr>
        <w:rFonts w:ascii="Arial" w:hAnsi="Arial" w:cs="Arial"/>
        <w:sz w:val="16"/>
        <w:szCs w:val="16"/>
      </w:rPr>
      <w:tab/>
    </w:r>
    <w:r>
      <w:rPr>
        <w:rFonts w:ascii="Arial" w:hAnsi="Arial" w:cs="Arial"/>
        <w:sz w:val="16"/>
        <w:szCs w:val="16"/>
      </w:rPr>
      <w:tab/>
      <w:t>2016</w:t>
    </w:r>
    <w:r>
      <w:rPr>
        <w:rFonts w:ascii="Arial" w:hAnsi="Arial" w:cs="Arial"/>
        <w:sz w:val="16"/>
        <w:szCs w:val="16"/>
      </w:rPr>
      <w:tab/>
    </w:r>
    <w:r w:rsidR="00D9769A" w:rsidRPr="00223E00">
      <w:rPr>
        <w:rFonts w:ascii="Arial" w:hAnsi="Arial" w:cs="Arial"/>
        <w:sz w:val="16"/>
        <w:szCs w:val="16"/>
      </w:rPr>
      <w:fldChar w:fldCharType="begin"/>
    </w:r>
    <w:r w:rsidRPr="00223E00">
      <w:rPr>
        <w:rFonts w:ascii="Arial" w:hAnsi="Arial" w:cs="Arial"/>
        <w:sz w:val="16"/>
        <w:szCs w:val="16"/>
      </w:rPr>
      <w:instrText xml:space="preserve"> PAGE   \* MERGEFORMAT </w:instrText>
    </w:r>
    <w:r w:rsidR="00D9769A" w:rsidRPr="00223E00">
      <w:rPr>
        <w:rFonts w:ascii="Arial" w:hAnsi="Arial" w:cs="Arial"/>
        <w:sz w:val="16"/>
        <w:szCs w:val="16"/>
      </w:rPr>
      <w:fldChar w:fldCharType="separate"/>
    </w:r>
    <w:r w:rsidR="00DB21DD">
      <w:rPr>
        <w:rFonts w:ascii="Arial" w:hAnsi="Arial" w:cs="Arial"/>
        <w:noProof/>
        <w:sz w:val="16"/>
        <w:szCs w:val="16"/>
      </w:rPr>
      <w:t>3</w:t>
    </w:r>
    <w:r w:rsidR="00D9769A" w:rsidRPr="00223E00">
      <w:rPr>
        <w:rFonts w:ascii="Arial" w:hAnsi="Arial" w:cs="Arial"/>
        <w:sz w:val="16"/>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56A" w:rsidRDefault="0019156A" w:rsidP="00357449">
    <w:pPr>
      <w:pStyle w:val="Zpat"/>
      <w:tabs>
        <w:tab w:val="clear" w:pos="4536"/>
        <w:tab w:val="clear" w:pos="9072"/>
        <w:tab w:val="center" w:pos="4820"/>
        <w:tab w:val="right" w:pos="9639"/>
      </w:tabs>
    </w:pPr>
    <w:r>
      <w:rPr>
        <w:noProof/>
        <w:lang w:eastAsia="cs-CZ"/>
      </w:rPr>
      <w:drawing>
        <wp:anchor distT="0" distB="0" distL="114300" distR="114300" simplePos="0" relativeHeight="251657728" behindDoc="0" locked="0" layoutInCell="1" allowOverlap="1">
          <wp:simplePos x="0" y="0"/>
          <wp:positionH relativeFrom="column">
            <wp:posOffset>5660390</wp:posOffset>
          </wp:positionH>
          <wp:positionV relativeFrom="paragraph">
            <wp:posOffset>-52070</wp:posOffset>
          </wp:positionV>
          <wp:extent cx="466725" cy="219075"/>
          <wp:effectExtent l="19050" t="0" r="9525" b="0"/>
          <wp:wrapNone/>
          <wp:docPr id="4" name="obrázek 4" descr="Descripti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Description: 3"/>
                  <pic:cNvPicPr>
                    <a:picLocks noChangeAspect="1" noChangeArrowheads="1"/>
                  </pic:cNvPicPr>
                </pic:nvPicPr>
                <pic:blipFill>
                  <a:blip r:embed="rId1"/>
                  <a:srcRect/>
                  <a:stretch>
                    <a:fillRect/>
                  </a:stretch>
                </pic:blipFill>
                <pic:spPr bwMode="auto">
                  <a:xfrm>
                    <a:off x="0" y="0"/>
                    <a:ext cx="466725" cy="219075"/>
                  </a:xfrm>
                  <a:prstGeom prst="rect">
                    <a:avLst/>
                  </a:prstGeom>
                  <a:noFill/>
                </pic:spPr>
              </pic:pic>
            </a:graphicData>
          </a:graphic>
        </wp:anchor>
      </w:drawing>
    </w:r>
    <w:r w:rsidR="00D9769A" w:rsidRPr="005A21E0">
      <w:rPr>
        <w:rFonts w:ascii="Arial" w:hAnsi="Arial" w:cs="Arial"/>
        <w:sz w:val="16"/>
        <w:szCs w:val="16"/>
      </w:rPr>
      <w:fldChar w:fldCharType="begin"/>
    </w:r>
    <w:r w:rsidRPr="005A21E0">
      <w:rPr>
        <w:rFonts w:ascii="Arial" w:hAnsi="Arial" w:cs="Arial"/>
        <w:sz w:val="16"/>
        <w:szCs w:val="16"/>
      </w:rPr>
      <w:instrText>PAGE   \* MERGEFORMAT</w:instrText>
    </w:r>
    <w:r w:rsidR="00D9769A" w:rsidRPr="005A21E0">
      <w:rPr>
        <w:rFonts w:ascii="Arial" w:hAnsi="Arial" w:cs="Arial"/>
        <w:sz w:val="16"/>
        <w:szCs w:val="16"/>
      </w:rPr>
      <w:fldChar w:fldCharType="separate"/>
    </w:r>
    <w:r w:rsidR="00DB21DD">
      <w:rPr>
        <w:rFonts w:ascii="Arial" w:hAnsi="Arial" w:cs="Arial"/>
        <w:noProof/>
        <w:sz w:val="16"/>
        <w:szCs w:val="16"/>
      </w:rPr>
      <w:t>6</w:t>
    </w:r>
    <w:r w:rsidR="00D9769A" w:rsidRPr="005A21E0">
      <w:rPr>
        <w:rFonts w:ascii="Arial" w:hAnsi="Arial" w:cs="Arial"/>
        <w:sz w:val="16"/>
        <w:szCs w:val="16"/>
      </w:rPr>
      <w:fldChar w:fldCharType="end"/>
    </w:r>
    <w:r>
      <w:rPr>
        <w:rFonts w:ascii="Arial" w:hAnsi="Arial" w:cs="Arial"/>
        <w:sz w:val="16"/>
        <w:szCs w:val="16"/>
      </w:rPr>
      <w:tab/>
      <w:t>2016</w:t>
    </w:r>
    <w:r>
      <w:tab/>
    </w: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56A" w:rsidRDefault="0019156A" w:rsidP="00357449">
    <w:pPr>
      <w:pStyle w:val="Zpat"/>
      <w:tabs>
        <w:tab w:val="clear" w:pos="4536"/>
        <w:tab w:val="clear" w:pos="9072"/>
        <w:tab w:val="left" w:pos="1134"/>
        <w:tab w:val="left" w:pos="1920"/>
        <w:tab w:val="center" w:pos="4820"/>
        <w:tab w:val="right" w:pos="9639"/>
      </w:tabs>
    </w:pPr>
    <w:r>
      <w:rPr>
        <w:noProof/>
        <w:lang w:eastAsia="cs-CZ"/>
      </w:rPr>
      <w:drawing>
        <wp:anchor distT="0" distB="0" distL="114300" distR="114300" simplePos="0" relativeHeight="251658752" behindDoc="0" locked="0" layoutInCell="1" allowOverlap="1">
          <wp:simplePos x="0" y="0"/>
          <wp:positionH relativeFrom="column">
            <wp:posOffset>3810</wp:posOffset>
          </wp:positionH>
          <wp:positionV relativeFrom="paragraph">
            <wp:posOffset>90170</wp:posOffset>
          </wp:positionV>
          <wp:extent cx="495300" cy="266700"/>
          <wp:effectExtent l="19050" t="0" r="0" b="0"/>
          <wp:wrapNone/>
          <wp:docPr id="3" name="obrázek 3" descr="Descripti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3"/>
                  <pic:cNvPicPr>
                    <a:picLocks noChangeAspect="1" noChangeArrowheads="1"/>
                  </pic:cNvPicPr>
                </pic:nvPicPr>
                <pic:blipFill>
                  <a:blip r:embed="rId1"/>
                  <a:srcRect/>
                  <a:stretch>
                    <a:fillRect/>
                  </a:stretch>
                </pic:blipFill>
                <pic:spPr bwMode="auto">
                  <a:xfrm>
                    <a:off x="0" y="0"/>
                    <a:ext cx="495300" cy="266700"/>
                  </a:xfrm>
                  <a:prstGeom prst="rect">
                    <a:avLst/>
                  </a:prstGeom>
                  <a:noFill/>
                </pic:spPr>
              </pic:pic>
            </a:graphicData>
          </a:graphic>
        </wp:anchor>
      </w:drawing>
    </w:r>
    <w:r>
      <w:tab/>
    </w:r>
    <w:r>
      <w:tab/>
    </w:r>
    <w:r w:rsidRPr="00DC5B3B">
      <w:t xml:space="preserve">                              </w:t>
    </w:r>
  </w:p>
  <w:p w:rsidR="0019156A" w:rsidRPr="00223E00" w:rsidRDefault="0019156A" w:rsidP="00357449">
    <w:pPr>
      <w:pStyle w:val="Zpat"/>
      <w:tabs>
        <w:tab w:val="clear" w:pos="4536"/>
        <w:tab w:val="clear" w:pos="9072"/>
        <w:tab w:val="left" w:pos="1134"/>
        <w:tab w:val="left" w:pos="1920"/>
        <w:tab w:val="center" w:pos="4820"/>
        <w:tab w:val="left" w:pos="9262"/>
        <w:tab w:val="left" w:pos="9495"/>
        <w:tab w:val="right" w:pos="9639"/>
      </w:tabs>
    </w:pPr>
    <w:r>
      <w:rPr>
        <w:rFonts w:ascii="Arial" w:hAnsi="Arial" w:cs="Arial"/>
        <w:sz w:val="16"/>
        <w:szCs w:val="16"/>
      </w:rPr>
      <w:tab/>
    </w:r>
    <w:r>
      <w:rPr>
        <w:rFonts w:ascii="Arial" w:hAnsi="Arial" w:cs="Arial"/>
        <w:sz w:val="16"/>
        <w:szCs w:val="16"/>
      </w:rPr>
      <w:tab/>
    </w:r>
    <w:r>
      <w:rPr>
        <w:rFonts w:ascii="Arial" w:hAnsi="Arial" w:cs="Arial"/>
        <w:sz w:val="16"/>
        <w:szCs w:val="16"/>
      </w:rPr>
      <w:tab/>
      <w:t>2016</w:t>
    </w:r>
    <w:r>
      <w:rPr>
        <w:rFonts w:ascii="Arial" w:hAnsi="Arial" w:cs="Arial"/>
        <w:sz w:val="16"/>
        <w:szCs w:val="16"/>
      </w:rPr>
      <w:tab/>
    </w:r>
    <w:r w:rsidR="00D9769A" w:rsidRPr="00223E00">
      <w:rPr>
        <w:rFonts w:ascii="Arial" w:hAnsi="Arial" w:cs="Arial"/>
        <w:sz w:val="16"/>
        <w:szCs w:val="16"/>
      </w:rPr>
      <w:fldChar w:fldCharType="begin"/>
    </w:r>
    <w:r w:rsidRPr="00223E00">
      <w:rPr>
        <w:rFonts w:ascii="Arial" w:hAnsi="Arial" w:cs="Arial"/>
        <w:sz w:val="16"/>
        <w:szCs w:val="16"/>
      </w:rPr>
      <w:instrText xml:space="preserve"> PAGE   \* MERGEFORMAT </w:instrText>
    </w:r>
    <w:r w:rsidR="00D9769A" w:rsidRPr="00223E00">
      <w:rPr>
        <w:rFonts w:ascii="Arial" w:hAnsi="Arial" w:cs="Arial"/>
        <w:sz w:val="16"/>
        <w:szCs w:val="16"/>
      </w:rPr>
      <w:fldChar w:fldCharType="separate"/>
    </w:r>
    <w:r w:rsidR="00DB21DD">
      <w:rPr>
        <w:rFonts w:ascii="Arial" w:hAnsi="Arial" w:cs="Arial"/>
        <w:noProof/>
        <w:sz w:val="16"/>
        <w:szCs w:val="16"/>
      </w:rPr>
      <w:t>7</w:t>
    </w:r>
    <w:r w:rsidR="00D9769A" w:rsidRPr="00223E00">
      <w:rPr>
        <w:rFonts w:ascii="Arial" w:hAnsi="Arial"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7914" w:rsidRDefault="00997914" w:rsidP="00E71A58">
      <w:r>
        <w:separator/>
      </w:r>
    </w:p>
  </w:footnote>
  <w:footnote w:type="continuationSeparator" w:id="0">
    <w:p w:rsidR="00997914" w:rsidRDefault="00997914" w:rsidP="00E71A58">
      <w:r>
        <w:continuationSeparator/>
      </w:r>
    </w:p>
  </w:footnote>
  <w:footnote w:id="1">
    <w:p w:rsidR="0019156A" w:rsidRPr="00051ADE" w:rsidRDefault="0019156A">
      <w:pPr>
        <w:pStyle w:val="Textpoznpodarou"/>
        <w:rPr>
          <w:sz w:val="16"/>
          <w:szCs w:val="16"/>
        </w:rPr>
      </w:pPr>
      <w:r w:rsidRPr="00051ADE">
        <w:rPr>
          <w:rStyle w:val="Znakapoznpodarou"/>
          <w:sz w:val="16"/>
          <w:szCs w:val="16"/>
        </w:rPr>
        <w:footnoteRef/>
      </w:r>
      <w:r w:rsidRPr="00051ADE">
        <w:rPr>
          <w:sz w:val="16"/>
          <w:szCs w:val="16"/>
        </w:rPr>
        <w:t xml:space="preserve"> Sezónně očištěné údaje v pojetí národních účtů</w:t>
      </w:r>
    </w:p>
  </w:footnote>
  <w:footnote w:id="2">
    <w:p w:rsidR="0019156A" w:rsidRPr="00EF1EE3" w:rsidRDefault="0019156A" w:rsidP="00474B94">
      <w:pPr>
        <w:pStyle w:val="Textpoznpodarou"/>
        <w:rPr>
          <w:sz w:val="16"/>
          <w:szCs w:val="16"/>
        </w:rPr>
      </w:pPr>
      <w:r w:rsidRPr="00EF1EE3">
        <w:rPr>
          <w:rStyle w:val="Znakapoznpodarou"/>
          <w:sz w:val="16"/>
          <w:szCs w:val="16"/>
        </w:rPr>
        <w:footnoteRef/>
      </w:r>
      <w:r w:rsidRPr="00EF1EE3">
        <w:rPr>
          <w:sz w:val="16"/>
          <w:szCs w:val="16"/>
        </w:rPr>
        <w:t xml:space="preserve"> Data o HDP, hrubé přidané hodnotě a jejich složkách jsou vyjádřena ve stálých cenách a v očištění o sezónní a kalendářní vlivy. Údaje byly zveřejněny 2.</w:t>
      </w:r>
      <w:r>
        <w:rPr>
          <w:sz w:val="16"/>
          <w:szCs w:val="16"/>
        </w:rPr>
        <w:t xml:space="preserve"> </w:t>
      </w:r>
      <w:r w:rsidRPr="00EF1EE3">
        <w:rPr>
          <w:sz w:val="16"/>
          <w:szCs w:val="16"/>
        </w:rPr>
        <w:t>12. 2016 a zpřesnění bude publikováno 6. 1. 2017.</w:t>
      </w:r>
    </w:p>
  </w:footnote>
  <w:footnote w:id="3">
    <w:p w:rsidR="0019156A" w:rsidRPr="00CA5016" w:rsidRDefault="0019156A">
      <w:pPr>
        <w:pStyle w:val="Textpoznpodarou"/>
        <w:rPr>
          <w:sz w:val="16"/>
          <w:szCs w:val="16"/>
        </w:rPr>
      </w:pPr>
      <w:r w:rsidRPr="00CA5016">
        <w:rPr>
          <w:rStyle w:val="Znakapoznpodarou"/>
          <w:sz w:val="16"/>
          <w:szCs w:val="16"/>
        </w:rPr>
        <w:footnoteRef/>
      </w:r>
      <w:r w:rsidRPr="00CA5016">
        <w:rPr>
          <w:sz w:val="16"/>
          <w:szCs w:val="16"/>
        </w:rPr>
        <w:t xml:space="preserve"> Do hodnocení nebylo z důvodu nedostupnosti dat zahrnuto Lucembursko.</w:t>
      </w:r>
    </w:p>
  </w:footnote>
  <w:footnote w:id="4">
    <w:p w:rsidR="0019156A" w:rsidRPr="00EF1EE3" w:rsidRDefault="0019156A">
      <w:pPr>
        <w:pStyle w:val="Textpoznpodarou"/>
        <w:rPr>
          <w:sz w:val="16"/>
          <w:szCs w:val="16"/>
        </w:rPr>
      </w:pPr>
      <w:r w:rsidRPr="00EF1EE3">
        <w:rPr>
          <w:rStyle w:val="Znakapoznpodarou"/>
          <w:sz w:val="16"/>
          <w:szCs w:val="16"/>
        </w:rPr>
        <w:footnoteRef/>
      </w:r>
      <w:r w:rsidRPr="00EF1EE3">
        <w:rPr>
          <w:sz w:val="16"/>
          <w:szCs w:val="16"/>
        </w:rPr>
        <w:t xml:space="preserve"> Štatistický úrad Slovenskej republiky, neočištěno o kalendářní vlivy.</w:t>
      </w:r>
    </w:p>
  </w:footnote>
  <w:footnote w:id="5">
    <w:p w:rsidR="0019156A" w:rsidRPr="00EF1EE3" w:rsidRDefault="0019156A" w:rsidP="00474B94">
      <w:pPr>
        <w:pStyle w:val="Textpoznpodarou"/>
        <w:rPr>
          <w:sz w:val="16"/>
          <w:szCs w:val="16"/>
        </w:rPr>
      </w:pPr>
      <w:r w:rsidRPr="00EF1EE3">
        <w:rPr>
          <w:rStyle w:val="Znakapoznpodarou"/>
          <w:sz w:val="16"/>
          <w:szCs w:val="16"/>
        </w:rPr>
        <w:footnoteRef/>
      </w:r>
      <w:r w:rsidRPr="00EF1EE3">
        <w:rPr>
          <w:sz w:val="16"/>
          <w:szCs w:val="16"/>
        </w:rPr>
        <w:t xml:space="preserve"> Příspěvky ke změně HDP po vyloučení dovozu pro konečné užití.</w:t>
      </w:r>
    </w:p>
  </w:footnote>
  <w:footnote w:id="6">
    <w:p w:rsidR="0019156A" w:rsidRPr="00DC26D7" w:rsidRDefault="0019156A" w:rsidP="00A74192">
      <w:pPr>
        <w:pStyle w:val="Textpoznpodarou"/>
        <w:rPr>
          <w:sz w:val="16"/>
          <w:szCs w:val="16"/>
        </w:rPr>
      </w:pPr>
      <w:r w:rsidRPr="00DC26D7">
        <w:rPr>
          <w:rStyle w:val="Znakapoznpodarou"/>
          <w:sz w:val="16"/>
          <w:szCs w:val="16"/>
        </w:rPr>
        <w:footnoteRef/>
      </w:r>
      <w:r w:rsidRPr="00DC26D7">
        <w:rPr>
          <w:sz w:val="16"/>
          <w:szCs w:val="16"/>
        </w:rPr>
        <w:t xml:space="preserve"> Do reálného vyjádření převedeno s využitím deflátoru výdajů na konečnou spotřebu domácností</w:t>
      </w:r>
    </w:p>
  </w:footnote>
  <w:footnote w:id="7">
    <w:p w:rsidR="0019156A" w:rsidRPr="001805D6" w:rsidRDefault="0019156A" w:rsidP="005D073B">
      <w:pPr>
        <w:pStyle w:val="Textpoznpodarou"/>
        <w:rPr>
          <w:rFonts w:cs="Arial"/>
          <w:sz w:val="16"/>
          <w:szCs w:val="16"/>
        </w:rPr>
      </w:pPr>
      <w:r w:rsidRPr="001805D6">
        <w:rPr>
          <w:rStyle w:val="Znakapoznpodarou"/>
          <w:rFonts w:cs="Arial"/>
          <w:sz w:val="16"/>
          <w:szCs w:val="16"/>
        </w:rPr>
        <w:footnoteRef/>
      </w:r>
      <w:r w:rsidRPr="001805D6">
        <w:rPr>
          <w:rFonts w:cs="Arial"/>
          <w:sz w:val="16"/>
          <w:szCs w:val="16"/>
        </w:rPr>
        <w:t xml:space="preserve"> Údaje o HPH jsou vyjádřeny ve stálých cenách a v očištění o sezónní a kalendářní vlivy.</w:t>
      </w:r>
    </w:p>
  </w:footnote>
  <w:footnote w:id="8">
    <w:p w:rsidR="0019156A" w:rsidRPr="001805D6" w:rsidRDefault="0019156A" w:rsidP="005D073B">
      <w:pPr>
        <w:pStyle w:val="Textpoznpodarou"/>
        <w:rPr>
          <w:rFonts w:cs="Arial"/>
          <w:sz w:val="16"/>
          <w:szCs w:val="16"/>
        </w:rPr>
      </w:pPr>
      <w:r w:rsidRPr="001805D6">
        <w:rPr>
          <w:rStyle w:val="Znakapoznpodarou"/>
          <w:rFonts w:cs="Arial"/>
          <w:sz w:val="16"/>
          <w:szCs w:val="16"/>
        </w:rPr>
        <w:footnoteRef/>
      </w:r>
      <w:r w:rsidRPr="001805D6">
        <w:rPr>
          <w:rFonts w:cs="Arial"/>
          <w:sz w:val="16"/>
          <w:szCs w:val="16"/>
        </w:rPr>
        <w:t xml:space="preserve"> Pokud není uvedeno jinak, jde o údaje </w:t>
      </w:r>
      <w:r>
        <w:rPr>
          <w:rFonts w:cs="Arial"/>
          <w:sz w:val="16"/>
          <w:szCs w:val="16"/>
        </w:rPr>
        <w:t xml:space="preserve">o zaměstnanosti </w:t>
      </w:r>
      <w:r w:rsidRPr="001805D6">
        <w:rPr>
          <w:rFonts w:cs="Arial"/>
          <w:sz w:val="16"/>
          <w:szCs w:val="16"/>
        </w:rPr>
        <w:t>v pojetí národních účtů v očištění o sezónní vlivy.</w:t>
      </w:r>
    </w:p>
  </w:footnote>
  <w:footnote w:id="9">
    <w:p w:rsidR="0019156A" w:rsidRPr="001805D6" w:rsidRDefault="0019156A" w:rsidP="005D073B">
      <w:pPr>
        <w:pStyle w:val="Textpoznpodarou"/>
        <w:rPr>
          <w:rFonts w:cs="Arial"/>
          <w:sz w:val="16"/>
          <w:szCs w:val="16"/>
        </w:rPr>
      </w:pPr>
      <w:r w:rsidRPr="001805D6">
        <w:rPr>
          <w:rStyle w:val="Znakapoznpodarou"/>
          <w:rFonts w:cs="Arial"/>
          <w:sz w:val="16"/>
          <w:szCs w:val="16"/>
        </w:rPr>
        <w:footnoteRef/>
      </w:r>
      <w:r w:rsidRPr="001805D6">
        <w:rPr>
          <w:rFonts w:cs="Arial"/>
          <w:sz w:val="16"/>
          <w:szCs w:val="16"/>
        </w:rPr>
        <w:t xml:space="preserve"> S</w:t>
      </w:r>
      <w:r>
        <w:rPr>
          <w:rFonts w:cs="Arial"/>
          <w:sz w:val="16"/>
          <w:szCs w:val="16"/>
        </w:rPr>
        <w:t>estávají se z dílčích odvětví: veřejná správa a obrana</w:t>
      </w:r>
      <w:r>
        <w:rPr>
          <w:rFonts w:cs="Arial"/>
          <w:sz w:val="16"/>
          <w:szCs w:val="16"/>
          <w:lang w:val="en-US"/>
        </w:rPr>
        <w:t>;</w:t>
      </w:r>
      <w:r>
        <w:rPr>
          <w:rFonts w:cs="Arial"/>
          <w:sz w:val="16"/>
          <w:szCs w:val="16"/>
        </w:rPr>
        <w:t xml:space="preserve"> vzdělávání</w:t>
      </w:r>
      <w:r>
        <w:rPr>
          <w:rFonts w:cs="Arial"/>
          <w:sz w:val="16"/>
          <w:szCs w:val="16"/>
          <w:lang w:val="en-US"/>
        </w:rPr>
        <w:t>;</w:t>
      </w:r>
      <w:r w:rsidRPr="001805D6">
        <w:rPr>
          <w:rFonts w:cs="Arial"/>
          <w:sz w:val="16"/>
          <w:szCs w:val="16"/>
        </w:rPr>
        <w:t xml:space="preserve"> zdravotní a sociální péče.</w:t>
      </w:r>
    </w:p>
  </w:footnote>
  <w:footnote w:id="10">
    <w:p w:rsidR="0019156A" w:rsidRPr="00EF6BE3" w:rsidRDefault="0019156A" w:rsidP="005D073B">
      <w:pPr>
        <w:pStyle w:val="Textpoznpodarou"/>
        <w:rPr>
          <w:sz w:val="16"/>
          <w:szCs w:val="16"/>
        </w:rPr>
      </w:pPr>
      <w:r w:rsidRPr="001805D6">
        <w:rPr>
          <w:rStyle w:val="Znakapoznpodarou"/>
          <w:rFonts w:cs="Arial"/>
          <w:sz w:val="16"/>
          <w:szCs w:val="16"/>
        </w:rPr>
        <w:footnoteRef/>
      </w:r>
      <w:r w:rsidRPr="001805D6">
        <w:rPr>
          <w:rFonts w:cs="Arial"/>
          <w:sz w:val="16"/>
          <w:szCs w:val="16"/>
        </w:rPr>
        <w:t xml:space="preserve"> Zahrnující odvětví dle CZ-NACE: B (Těžba a dobývání), C (Zpracovatelský průmysl), D (Energetika).</w:t>
      </w:r>
    </w:p>
  </w:footnote>
  <w:footnote w:id="11">
    <w:p w:rsidR="0019156A" w:rsidRPr="00F81720" w:rsidRDefault="0019156A" w:rsidP="005D073B">
      <w:pPr>
        <w:pStyle w:val="Textpoznpodarou"/>
        <w:rPr>
          <w:sz w:val="16"/>
          <w:szCs w:val="16"/>
        </w:rPr>
      </w:pPr>
      <w:r w:rsidRPr="00F81720">
        <w:rPr>
          <w:rStyle w:val="Znakapoznpodarou"/>
          <w:sz w:val="16"/>
          <w:szCs w:val="16"/>
        </w:rPr>
        <w:footnoteRef/>
      </w:r>
      <w:r w:rsidRPr="00F81720">
        <w:rPr>
          <w:sz w:val="16"/>
          <w:szCs w:val="16"/>
        </w:rPr>
        <w:t xml:space="preserve"> </w:t>
      </w:r>
      <w:r w:rsidRPr="00F81720">
        <w:rPr>
          <w:spacing w:val="-4"/>
          <w:sz w:val="16"/>
          <w:szCs w:val="16"/>
        </w:rPr>
        <w:t>Kal</w:t>
      </w:r>
      <w:r>
        <w:rPr>
          <w:spacing w:val="-4"/>
          <w:sz w:val="16"/>
          <w:szCs w:val="16"/>
        </w:rPr>
        <w:t xml:space="preserve">endářní vlivy ovlivnily </w:t>
      </w:r>
      <w:r w:rsidRPr="00F81720">
        <w:rPr>
          <w:spacing w:val="-4"/>
          <w:sz w:val="16"/>
          <w:szCs w:val="16"/>
        </w:rPr>
        <w:t xml:space="preserve">produkci </w:t>
      </w:r>
      <w:r>
        <w:rPr>
          <w:spacing w:val="-4"/>
          <w:sz w:val="16"/>
          <w:szCs w:val="16"/>
        </w:rPr>
        <w:t>hlavně ve 2. čtvrtletí. To</w:t>
      </w:r>
      <w:r w:rsidRPr="00F81720">
        <w:rPr>
          <w:spacing w:val="-4"/>
          <w:sz w:val="16"/>
          <w:szCs w:val="16"/>
        </w:rPr>
        <w:t xml:space="preserve"> mělo letos ve srovnání se stejným obdobím loňského roku o tři pracovní dny více. Rozdíl mezi očištěnou</w:t>
      </w:r>
      <w:r>
        <w:rPr>
          <w:spacing w:val="-4"/>
          <w:sz w:val="16"/>
          <w:szCs w:val="16"/>
        </w:rPr>
        <w:t xml:space="preserve"> (+2,2</w:t>
      </w:r>
      <w:r w:rsidRPr="00F81720">
        <w:rPr>
          <w:spacing w:val="-4"/>
          <w:sz w:val="16"/>
          <w:szCs w:val="16"/>
        </w:rPr>
        <w:t xml:space="preserve"> %) a neočištěnou produkcí (+5,7 %) byl významný a v po</w:t>
      </w:r>
      <w:r>
        <w:rPr>
          <w:spacing w:val="-4"/>
          <w:sz w:val="16"/>
          <w:szCs w:val="16"/>
        </w:rPr>
        <w:t>dobném rozsahu naposledy patr</w:t>
      </w:r>
      <w:r w:rsidRPr="00F81720">
        <w:rPr>
          <w:spacing w:val="-4"/>
          <w:sz w:val="16"/>
          <w:szCs w:val="16"/>
        </w:rPr>
        <w:t>ný ve 3.</w:t>
      </w:r>
      <w:r w:rsidRPr="00F81720">
        <w:rPr>
          <w:color w:val="000000" w:themeColor="text1"/>
          <w:spacing w:val="-4"/>
          <w:sz w:val="16"/>
          <w:szCs w:val="16"/>
        </w:rPr>
        <w:t> </w:t>
      </w:r>
      <w:r w:rsidRPr="00F81720">
        <w:rPr>
          <w:spacing w:val="-4"/>
          <w:sz w:val="16"/>
          <w:szCs w:val="16"/>
        </w:rPr>
        <w:t>čtvrtletí 2008.</w:t>
      </w:r>
    </w:p>
  </w:footnote>
  <w:footnote w:id="12">
    <w:p w:rsidR="0019156A" w:rsidRPr="00F67BDA" w:rsidRDefault="0019156A">
      <w:pPr>
        <w:pStyle w:val="Textpoznpodarou"/>
        <w:rPr>
          <w:sz w:val="16"/>
          <w:szCs w:val="16"/>
        </w:rPr>
      </w:pPr>
      <w:r w:rsidRPr="00F67BDA">
        <w:rPr>
          <w:rStyle w:val="Znakapoznpodarou"/>
          <w:sz w:val="16"/>
          <w:szCs w:val="16"/>
        </w:rPr>
        <w:footnoteRef/>
      </w:r>
      <w:r w:rsidRPr="00F67BDA">
        <w:rPr>
          <w:sz w:val="16"/>
          <w:szCs w:val="16"/>
        </w:rPr>
        <w:t xml:space="preserve"> </w:t>
      </w:r>
      <w:r w:rsidRPr="00F67BDA">
        <w:rPr>
          <w:spacing w:val="-4"/>
          <w:sz w:val="16"/>
          <w:szCs w:val="16"/>
        </w:rPr>
        <w:t xml:space="preserve">Za posledních deset let </w:t>
      </w:r>
      <w:r>
        <w:rPr>
          <w:spacing w:val="-4"/>
          <w:sz w:val="16"/>
          <w:szCs w:val="16"/>
        </w:rPr>
        <w:t xml:space="preserve">se </w:t>
      </w:r>
      <w:r w:rsidRPr="00F67BDA">
        <w:rPr>
          <w:spacing w:val="-4"/>
          <w:sz w:val="16"/>
          <w:szCs w:val="16"/>
        </w:rPr>
        <w:t>propadla produkce v těžbě a dobývání o 29 % (u uhlí dokonce o 37 %), v energetice byla nižší o desetinu</w:t>
      </w:r>
      <w:r>
        <w:rPr>
          <w:spacing w:val="-4"/>
          <w:sz w:val="16"/>
          <w:szCs w:val="16"/>
        </w:rPr>
        <w:t>.</w:t>
      </w:r>
    </w:p>
  </w:footnote>
  <w:footnote w:id="13">
    <w:p w:rsidR="0019156A" w:rsidRPr="00FE242B" w:rsidRDefault="0019156A" w:rsidP="00E52A3D">
      <w:pPr>
        <w:pStyle w:val="Textpoznpodarou"/>
        <w:spacing w:after="40"/>
        <w:jc w:val="both"/>
        <w:rPr>
          <w:spacing w:val="-4"/>
          <w:sz w:val="16"/>
          <w:szCs w:val="16"/>
        </w:rPr>
      </w:pPr>
      <w:r w:rsidRPr="00FE242B">
        <w:rPr>
          <w:rStyle w:val="Znakapoznpodarou"/>
          <w:spacing w:val="-4"/>
          <w:sz w:val="16"/>
          <w:szCs w:val="16"/>
        </w:rPr>
        <w:footnoteRef/>
      </w:r>
      <w:r w:rsidRPr="00FE242B">
        <w:rPr>
          <w:spacing w:val="-4"/>
          <w:sz w:val="16"/>
          <w:szCs w:val="16"/>
        </w:rPr>
        <w:t xml:space="preserve"> V rámci </w:t>
      </w:r>
      <w:r>
        <w:rPr>
          <w:spacing w:val="-4"/>
          <w:sz w:val="16"/>
          <w:szCs w:val="16"/>
        </w:rPr>
        <w:t xml:space="preserve">20 </w:t>
      </w:r>
      <w:r w:rsidRPr="00FE242B">
        <w:rPr>
          <w:spacing w:val="-4"/>
          <w:sz w:val="16"/>
          <w:szCs w:val="16"/>
        </w:rPr>
        <w:t>hodnocených zemí</w:t>
      </w:r>
      <w:r>
        <w:rPr>
          <w:spacing w:val="-4"/>
          <w:sz w:val="16"/>
          <w:szCs w:val="16"/>
        </w:rPr>
        <w:t xml:space="preserve"> EU šlo o šes</w:t>
      </w:r>
      <w:r w:rsidRPr="00FE242B">
        <w:rPr>
          <w:spacing w:val="-4"/>
          <w:sz w:val="16"/>
          <w:szCs w:val="16"/>
        </w:rPr>
        <w:t>t</w:t>
      </w:r>
      <w:r>
        <w:rPr>
          <w:spacing w:val="-4"/>
          <w:sz w:val="16"/>
          <w:szCs w:val="16"/>
        </w:rPr>
        <w:t>é nejvyšší tempo. Ze zemí, které</w:t>
      </w:r>
      <w:r w:rsidRPr="00FE242B">
        <w:rPr>
          <w:spacing w:val="-4"/>
          <w:sz w:val="16"/>
          <w:szCs w:val="16"/>
        </w:rPr>
        <w:t xml:space="preserve"> jsou významnými </w:t>
      </w:r>
      <w:r>
        <w:rPr>
          <w:spacing w:val="-4"/>
          <w:sz w:val="16"/>
          <w:szCs w:val="16"/>
        </w:rPr>
        <w:t>výrobci automobilů, dosáhly (bez Slovenska) silnějších růstů jen Itálie (+64 %) a Maďarsko (+60</w:t>
      </w:r>
      <w:r w:rsidRPr="00FE242B">
        <w:rPr>
          <w:spacing w:val="-4"/>
          <w:sz w:val="16"/>
          <w:szCs w:val="16"/>
        </w:rPr>
        <w:t xml:space="preserve"> %). V hlavní producentské zemi </w:t>
      </w:r>
      <w:r>
        <w:rPr>
          <w:spacing w:val="-4"/>
          <w:sz w:val="16"/>
          <w:szCs w:val="16"/>
        </w:rPr>
        <w:t xml:space="preserve">Unie </w:t>
      </w:r>
      <w:r w:rsidRPr="00FE242B">
        <w:rPr>
          <w:spacing w:val="-4"/>
          <w:sz w:val="16"/>
          <w:szCs w:val="16"/>
        </w:rPr>
        <w:t>– Německu</w:t>
      </w:r>
      <w:r>
        <w:rPr>
          <w:spacing w:val="-4"/>
          <w:sz w:val="16"/>
          <w:szCs w:val="16"/>
        </w:rPr>
        <w:t xml:space="preserve"> – byla produkce vyšší </w:t>
      </w:r>
      <w:r w:rsidRPr="00724E80">
        <w:rPr>
          <w:spacing w:val="-6"/>
          <w:sz w:val="16"/>
          <w:szCs w:val="16"/>
        </w:rPr>
        <w:t>o 13 %, v EU o 23 %.</w:t>
      </w:r>
    </w:p>
  </w:footnote>
  <w:footnote w:id="14">
    <w:p w:rsidR="0019156A" w:rsidRPr="00826F9B" w:rsidRDefault="0019156A" w:rsidP="00E52A3D">
      <w:pPr>
        <w:pStyle w:val="Textpoznpodarou"/>
        <w:jc w:val="both"/>
        <w:rPr>
          <w:sz w:val="16"/>
          <w:szCs w:val="16"/>
        </w:rPr>
      </w:pPr>
      <w:r w:rsidRPr="00826F9B">
        <w:rPr>
          <w:rStyle w:val="Znakapoznpodarou"/>
          <w:sz w:val="16"/>
          <w:szCs w:val="16"/>
        </w:rPr>
        <w:footnoteRef/>
      </w:r>
      <w:r>
        <w:rPr>
          <w:sz w:val="16"/>
          <w:szCs w:val="16"/>
        </w:rPr>
        <w:t xml:space="preserve"> Dl</w:t>
      </w:r>
      <w:r w:rsidRPr="00826F9B">
        <w:rPr>
          <w:sz w:val="16"/>
          <w:szCs w:val="16"/>
        </w:rPr>
        <w:t xml:space="preserve">e údajů Sdružení automobilového průmyslu </w:t>
      </w:r>
      <w:r>
        <w:rPr>
          <w:sz w:val="16"/>
          <w:szCs w:val="16"/>
        </w:rPr>
        <w:t>bylo v Česku za 1. až 3. čtvrtletí letošního roku vyrobeno meziročně o 7,2 % osobních automobilů více. Jejich produkce se přiblížila hranici 1 mil. vozů (konkrétně 997 tis.), tj. hodnotě blízké za všech 12 měsíců roku 2009.</w:t>
      </w:r>
    </w:p>
  </w:footnote>
  <w:footnote w:id="15">
    <w:p w:rsidR="0019156A" w:rsidRPr="00E7695B" w:rsidRDefault="0019156A" w:rsidP="00E52A3D">
      <w:pPr>
        <w:pStyle w:val="Textpoznpodarou"/>
        <w:jc w:val="both"/>
        <w:rPr>
          <w:sz w:val="16"/>
          <w:szCs w:val="16"/>
        </w:rPr>
      </w:pPr>
      <w:r w:rsidRPr="00E7695B">
        <w:rPr>
          <w:rStyle w:val="Znakapoznpodarou"/>
          <w:sz w:val="16"/>
          <w:szCs w:val="16"/>
        </w:rPr>
        <w:footnoteRef/>
      </w:r>
      <w:r w:rsidRPr="00E7695B">
        <w:rPr>
          <w:sz w:val="16"/>
          <w:szCs w:val="16"/>
        </w:rPr>
        <w:t xml:space="preserve"> Po úspěšných opravách byly od konce října haváriemi postižené výrobní jednotky postupně uváděny zpět do provozu. </w:t>
      </w:r>
    </w:p>
  </w:footnote>
  <w:footnote w:id="16">
    <w:p w:rsidR="0019156A" w:rsidRPr="00422452" w:rsidRDefault="0019156A" w:rsidP="005E4483">
      <w:pPr>
        <w:pStyle w:val="Textpoznpodarou"/>
        <w:rPr>
          <w:sz w:val="16"/>
          <w:szCs w:val="16"/>
        </w:rPr>
      </w:pPr>
      <w:r w:rsidRPr="00422452">
        <w:rPr>
          <w:rStyle w:val="Znakapoznpodarou"/>
          <w:sz w:val="16"/>
          <w:szCs w:val="16"/>
        </w:rPr>
        <w:footnoteRef/>
      </w:r>
      <w:r w:rsidRPr="00422452">
        <w:rPr>
          <w:sz w:val="16"/>
          <w:szCs w:val="16"/>
        </w:rPr>
        <w:t xml:space="preserve"> Údaje o bariérách růstu vychází ze sezónně očištěných údajů.</w:t>
      </w:r>
    </w:p>
  </w:footnote>
  <w:footnote w:id="17">
    <w:p w:rsidR="0019156A" w:rsidRPr="00E46D98" w:rsidRDefault="0019156A" w:rsidP="005E4483">
      <w:pPr>
        <w:pStyle w:val="Textpoznpodarou"/>
        <w:rPr>
          <w:sz w:val="16"/>
          <w:szCs w:val="16"/>
        </w:rPr>
      </w:pPr>
      <w:r w:rsidRPr="00E46D98">
        <w:rPr>
          <w:rStyle w:val="Znakapoznpodarou"/>
          <w:sz w:val="16"/>
          <w:szCs w:val="16"/>
        </w:rPr>
        <w:footnoteRef/>
      </w:r>
      <w:r w:rsidRPr="00E46D98">
        <w:rPr>
          <w:sz w:val="16"/>
          <w:szCs w:val="16"/>
        </w:rPr>
        <w:t xml:space="preserve"> Všechny údaje o stavební produkci jsou očištěny o kalendářní vlivy.</w:t>
      </w:r>
    </w:p>
  </w:footnote>
  <w:footnote w:id="18">
    <w:p w:rsidR="0019156A" w:rsidRPr="00092C9A" w:rsidRDefault="0019156A" w:rsidP="005E4483">
      <w:pPr>
        <w:pStyle w:val="Textpoznpodarou"/>
        <w:rPr>
          <w:sz w:val="16"/>
          <w:szCs w:val="16"/>
        </w:rPr>
      </w:pPr>
      <w:r w:rsidRPr="00092C9A">
        <w:rPr>
          <w:rStyle w:val="Znakapoznpodarou"/>
          <w:sz w:val="16"/>
          <w:szCs w:val="16"/>
        </w:rPr>
        <w:footnoteRef/>
      </w:r>
      <w:r w:rsidRPr="00092C9A">
        <w:rPr>
          <w:sz w:val="16"/>
          <w:szCs w:val="16"/>
        </w:rPr>
        <w:t xml:space="preserve"> Nezahrnují </w:t>
      </w:r>
      <w:r>
        <w:rPr>
          <w:sz w:val="16"/>
          <w:szCs w:val="16"/>
        </w:rPr>
        <w:t>obchod</w:t>
      </w:r>
      <w:r w:rsidRPr="00092C9A">
        <w:rPr>
          <w:sz w:val="16"/>
          <w:szCs w:val="16"/>
        </w:rPr>
        <w:t>, pe</w:t>
      </w:r>
      <w:r>
        <w:rPr>
          <w:sz w:val="16"/>
          <w:szCs w:val="16"/>
        </w:rPr>
        <w:t>něžnictví a pojišťovnictví, vědu a výzkum a také veřejné služ</w:t>
      </w:r>
      <w:r w:rsidRPr="00092C9A">
        <w:rPr>
          <w:sz w:val="16"/>
          <w:szCs w:val="16"/>
        </w:rPr>
        <w:t>b</w:t>
      </w:r>
      <w:r>
        <w:rPr>
          <w:sz w:val="16"/>
          <w:szCs w:val="16"/>
        </w:rPr>
        <w:t>y</w:t>
      </w:r>
      <w:r w:rsidRPr="00092C9A">
        <w:rPr>
          <w:sz w:val="16"/>
          <w:szCs w:val="16"/>
        </w:rPr>
        <w:t>.</w:t>
      </w:r>
    </w:p>
  </w:footnote>
  <w:footnote w:id="19">
    <w:p w:rsidR="0019156A" w:rsidRPr="003279A7" w:rsidRDefault="0019156A">
      <w:pPr>
        <w:pStyle w:val="Textpoznpodarou"/>
        <w:rPr>
          <w:sz w:val="16"/>
          <w:szCs w:val="16"/>
        </w:rPr>
      </w:pPr>
      <w:r w:rsidRPr="003279A7">
        <w:rPr>
          <w:rStyle w:val="Znakapoznpodarou"/>
          <w:sz w:val="16"/>
          <w:szCs w:val="16"/>
        </w:rPr>
        <w:footnoteRef/>
      </w:r>
      <w:r w:rsidRPr="003279A7">
        <w:rPr>
          <w:sz w:val="16"/>
          <w:szCs w:val="16"/>
        </w:rPr>
        <w:t xml:space="preserve"> Srovnání stejných období let 2011-2016.</w:t>
      </w:r>
    </w:p>
  </w:footnote>
  <w:footnote w:id="20">
    <w:p w:rsidR="0019156A" w:rsidRPr="003279A7" w:rsidRDefault="0019156A" w:rsidP="00A74192">
      <w:pPr>
        <w:pStyle w:val="Textpoznpodarou"/>
        <w:rPr>
          <w:sz w:val="16"/>
          <w:szCs w:val="16"/>
        </w:rPr>
      </w:pPr>
      <w:r w:rsidRPr="003279A7">
        <w:rPr>
          <w:rStyle w:val="Znakapoznpodarou"/>
          <w:sz w:val="16"/>
          <w:szCs w:val="16"/>
        </w:rPr>
        <w:footnoteRef/>
      </w:r>
      <w:r>
        <w:rPr>
          <w:sz w:val="16"/>
          <w:szCs w:val="16"/>
        </w:rPr>
        <w:t xml:space="preserve"> Data MF k 30. 9. 2016.</w:t>
      </w:r>
    </w:p>
  </w:footnote>
  <w:footnote w:id="21">
    <w:p w:rsidR="0019156A" w:rsidRPr="003279A7" w:rsidRDefault="0019156A">
      <w:pPr>
        <w:pStyle w:val="Textpoznpodarou"/>
        <w:rPr>
          <w:sz w:val="16"/>
          <w:szCs w:val="16"/>
        </w:rPr>
      </w:pPr>
      <w:r w:rsidRPr="003279A7">
        <w:rPr>
          <w:rStyle w:val="Znakapoznpodarou"/>
          <w:sz w:val="16"/>
          <w:szCs w:val="16"/>
        </w:rPr>
        <w:footnoteRef/>
      </w:r>
      <w:r w:rsidRPr="003279A7">
        <w:rPr>
          <w:sz w:val="16"/>
          <w:szCs w:val="16"/>
        </w:rPr>
        <w:t xml:space="preserve"> Údaje v národním pojetí v nominálním vyjádření zahrnující pouze obchod se zbožím. Hodnota vývozu je zachycena v cenách FOB, tj. včetně nákladů souvisejících s dopravou na hranice ČR. Dovoz je v cenách CIF, tj. včetně nákladů souvisejících s dopravou v zahraničí na hranice ČR. Data jsou platná k </w:t>
      </w:r>
      <w:r>
        <w:rPr>
          <w:sz w:val="16"/>
          <w:szCs w:val="16"/>
        </w:rPr>
        <w:t>7</w:t>
      </w:r>
      <w:r w:rsidRPr="003279A7">
        <w:rPr>
          <w:sz w:val="16"/>
          <w:szCs w:val="16"/>
        </w:rPr>
        <w:t>. 12.</w:t>
      </w:r>
      <w:r>
        <w:rPr>
          <w:sz w:val="16"/>
          <w:szCs w:val="16"/>
        </w:rPr>
        <w:t xml:space="preserve"> </w:t>
      </w:r>
      <w:r w:rsidRPr="003279A7">
        <w:rPr>
          <w:sz w:val="16"/>
          <w:szCs w:val="16"/>
        </w:rPr>
        <w:t xml:space="preserve">2016  </w:t>
      </w:r>
    </w:p>
  </w:footnote>
  <w:footnote w:id="22">
    <w:p w:rsidR="0019156A" w:rsidRPr="00C266B1" w:rsidRDefault="0019156A">
      <w:pPr>
        <w:pStyle w:val="Textpoznpodarou"/>
        <w:rPr>
          <w:sz w:val="16"/>
          <w:szCs w:val="16"/>
        </w:rPr>
      </w:pPr>
      <w:r w:rsidRPr="00C266B1">
        <w:rPr>
          <w:rStyle w:val="Znakapoznpodarou"/>
          <w:sz w:val="16"/>
          <w:szCs w:val="16"/>
        </w:rPr>
        <w:footnoteRef/>
      </w:r>
      <w:r w:rsidRPr="00C266B1">
        <w:rPr>
          <w:sz w:val="16"/>
          <w:szCs w:val="16"/>
        </w:rPr>
        <w:t xml:space="preserve"> </w:t>
      </w:r>
      <w:r>
        <w:rPr>
          <w:sz w:val="16"/>
          <w:szCs w:val="16"/>
        </w:rPr>
        <w:t>P</w:t>
      </w:r>
      <w:r w:rsidRPr="00C266B1">
        <w:rPr>
          <w:sz w:val="16"/>
          <w:szCs w:val="16"/>
        </w:rPr>
        <w:t>odle klasifikace CZ-CPA</w:t>
      </w:r>
      <w:r>
        <w:rPr>
          <w:sz w:val="16"/>
          <w:szCs w:val="16"/>
        </w:rPr>
        <w:t xml:space="preserve"> 2008.</w:t>
      </w:r>
    </w:p>
  </w:footnote>
  <w:footnote w:id="23">
    <w:p w:rsidR="0019156A" w:rsidRPr="00161300" w:rsidRDefault="0019156A" w:rsidP="00161300">
      <w:pPr>
        <w:pStyle w:val="Textpoznpodarou"/>
        <w:jc w:val="both"/>
        <w:rPr>
          <w:sz w:val="16"/>
          <w:szCs w:val="16"/>
        </w:rPr>
      </w:pPr>
      <w:r w:rsidRPr="00207EBE">
        <w:rPr>
          <w:rStyle w:val="Znakapoznpodarou"/>
          <w:sz w:val="16"/>
          <w:szCs w:val="16"/>
        </w:rPr>
        <w:footnoteRef/>
      </w:r>
      <w:r w:rsidRPr="00207EBE">
        <w:rPr>
          <w:sz w:val="16"/>
          <w:szCs w:val="16"/>
        </w:rPr>
        <w:t xml:space="preserve"> Přebytek za celý rok 2015 byl </w:t>
      </w:r>
      <w:r>
        <w:rPr>
          <w:sz w:val="16"/>
          <w:szCs w:val="16"/>
        </w:rPr>
        <w:t xml:space="preserve">za první tři čtvrtletí 2016 </w:t>
      </w:r>
      <w:r w:rsidRPr="00207EBE">
        <w:rPr>
          <w:sz w:val="16"/>
          <w:szCs w:val="16"/>
        </w:rPr>
        <w:t>převýšen o 3</w:t>
      </w:r>
      <w:r>
        <w:rPr>
          <w:sz w:val="16"/>
          <w:szCs w:val="16"/>
        </w:rPr>
        <w:t>1,6</w:t>
      </w:r>
      <w:r w:rsidRPr="00207EBE">
        <w:rPr>
          <w:sz w:val="16"/>
          <w:szCs w:val="16"/>
        </w:rPr>
        <w:t xml:space="preserve"> mld.  </w:t>
      </w:r>
    </w:p>
  </w:footnote>
  <w:footnote w:id="24">
    <w:p w:rsidR="0019156A" w:rsidRPr="008C6D92" w:rsidRDefault="0019156A">
      <w:pPr>
        <w:pStyle w:val="Textpoznpodarou"/>
        <w:rPr>
          <w:sz w:val="16"/>
          <w:szCs w:val="16"/>
        </w:rPr>
      </w:pPr>
      <w:r w:rsidRPr="008C6D92">
        <w:rPr>
          <w:rStyle w:val="Znakapoznpodarou"/>
          <w:sz w:val="16"/>
          <w:szCs w:val="16"/>
        </w:rPr>
        <w:footnoteRef/>
      </w:r>
      <w:r w:rsidRPr="008C6D92">
        <w:rPr>
          <w:sz w:val="16"/>
          <w:szCs w:val="16"/>
        </w:rPr>
        <w:t xml:space="preserve"> Zdroj: U.S. Energy Information Administration - Europe Brent Spot Price FOB</w:t>
      </w:r>
    </w:p>
  </w:footnote>
  <w:footnote w:id="25">
    <w:p w:rsidR="0019156A" w:rsidRPr="0047728F" w:rsidRDefault="0019156A" w:rsidP="0047728F">
      <w:pPr>
        <w:pStyle w:val="Textpoznpodarou"/>
        <w:jc w:val="both"/>
        <w:rPr>
          <w:sz w:val="16"/>
          <w:szCs w:val="16"/>
        </w:rPr>
      </w:pPr>
      <w:r w:rsidRPr="0047728F">
        <w:rPr>
          <w:rStyle w:val="Znakapoznpodarou"/>
          <w:sz w:val="16"/>
          <w:szCs w:val="16"/>
        </w:rPr>
        <w:footnoteRef/>
      </w:r>
      <w:r w:rsidRPr="0047728F">
        <w:rPr>
          <w:sz w:val="16"/>
          <w:szCs w:val="16"/>
        </w:rPr>
        <w:t xml:space="preserve"> Jde o čtvrtou nejvýznamnější položku, její váha v koši je 93,4. Pro úplnost uveďme, že celkový úhrn vah ve spotřebním koši dosahuje 1000 a váha položky bydlení, voda, energie a paliva je 251,3, váha potravin a nealkoholických nápojů je 180,6 a položka dopravy má váhu 100,9.</w:t>
      </w:r>
    </w:p>
    <w:p w:rsidR="0019156A" w:rsidRDefault="0019156A">
      <w:pPr>
        <w:pStyle w:val="Textpoznpodarou"/>
      </w:pPr>
    </w:p>
  </w:footnote>
  <w:footnote w:id="26">
    <w:p w:rsidR="0019156A" w:rsidRDefault="0019156A" w:rsidP="00A74192">
      <w:pPr>
        <w:pStyle w:val="Textpoznpodarou"/>
        <w:rPr>
          <w:sz w:val="16"/>
          <w:szCs w:val="16"/>
        </w:rPr>
      </w:pPr>
      <w:r>
        <w:rPr>
          <w:rStyle w:val="Znakapoznpodarou"/>
          <w:sz w:val="16"/>
          <w:szCs w:val="16"/>
        </w:rPr>
        <w:footnoteRef/>
      </w:r>
      <w:r>
        <w:rPr>
          <w:sz w:val="16"/>
          <w:szCs w:val="16"/>
        </w:rPr>
        <w:t xml:space="preserve"> Ve 3. čtvrtletí již ceny meziročně vzrostly o 6,7 %.</w:t>
      </w:r>
    </w:p>
  </w:footnote>
  <w:footnote w:id="27">
    <w:p w:rsidR="0019156A" w:rsidRPr="00B4223A" w:rsidRDefault="0019156A" w:rsidP="005752EB">
      <w:pPr>
        <w:pStyle w:val="Textpoznpodarou"/>
        <w:jc w:val="both"/>
        <w:rPr>
          <w:sz w:val="16"/>
          <w:szCs w:val="16"/>
        </w:rPr>
      </w:pPr>
      <w:r w:rsidRPr="00B4223A">
        <w:rPr>
          <w:rStyle w:val="Znakapoznpodarou"/>
          <w:sz w:val="16"/>
          <w:szCs w:val="16"/>
        </w:rPr>
        <w:footnoteRef/>
      </w:r>
      <w:r w:rsidRPr="00B4223A">
        <w:rPr>
          <w:sz w:val="16"/>
          <w:szCs w:val="16"/>
        </w:rPr>
        <w:t xml:space="preserve"> Pokud není uvedeno </w:t>
      </w:r>
      <w:r>
        <w:rPr>
          <w:sz w:val="16"/>
          <w:szCs w:val="16"/>
        </w:rPr>
        <w:t>jinak, jsou všechny údaje o zaměstnanosti</w:t>
      </w:r>
      <w:r w:rsidRPr="00B4223A">
        <w:rPr>
          <w:sz w:val="16"/>
          <w:szCs w:val="16"/>
        </w:rPr>
        <w:t xml:space="preserve"> </w:t>
      </w:r>
      <w:r>
        <w:rPr>
          <w:sz w:val="16"/>
          <w:szCs w:val="16"/>
        </w:rPr>
        <w:t xml:space="preserve">v této kapitole </w:t>
      </w:r>
      <w:r w:rsidRPr="00B4223A">
        <w:rPr>
          <w:sz w:val="16"/>
          <w:szCs w:val="16"/>
        </w:rPr>
        <w:t>v pojetí národních účtů v očištění o sezónní vlivy.</w:t>
      </w:r>
    </w:p>
  </w:footnote>
  <w:footnote w:id="28">
    <w:p w:rsidR="0019156A" w:rsidRPr="00215B9A" w:rsidRDefault="0019156A" w:rsidP="005752EB">
      <w:pPr>
        <w:pStyle w:val="Textpoznpodarou"/>
        <w:rPr>
          <w:sz w:val="16"/>
          <w:szCs w:val="16"/>
        </w:rPr>
      </w:pPr>
      <w:r w:rsidRPr="00215B9A">
        <w:rPr>
          <w:rStyle w:val="Znakapoznpodarou"/>
          <w:sz w:val="16"/>
          <w:szCs w:val="16"/>
        </w:rPr>
        <w:footnoteRef/>
      </w:r>
      <w:r w:rsidRPr="00215B9A">
        <w:rPr>
          <w:sz w:val="16"/>
          <w:szCs w:val="16"/>
        </w:rPr>
        <w:t xml:space="preserve"> </w:t>
      </w:r>
      <w:r>
        <w:rPr>
          <w:sz w:val="16"/>
          <w:szCs w:val="16"/>
        </w:rPr>
        <w:t>Po</w:t>
      </w:r>
      <w:r w:rsidRPr="00215B9A">
        <w:rPr>
          <w:rFonts w:cs="Arial"/>
          <w:spacing w:val="-4"/>
          <w:sz w:val="16"/>
          <w:szCs w:val="16"/>
        </w:rPr>
        <w:t xml:space="preserve"> očištěn</w:t>
      </w:r>
      <w:r>
        <w:rPr>
          <w:rFonts w:cs="Arial"/>
          <w:spacing w:val="-4"/>
          <w:sz w:val="16"/>
          <w:szCs w:val="16"/>
        </w:rPr>
        <w:t>í</w:t>
      </w:r>
      <w:r w:rsidRPr="00215B9A">
        <w:rPr>
          <w:rFonts w:cs="Arial"/>
          <w:spacing w:val="-4"/>
          <w:sz w:val="16"/>
          <w:szCs w:val="16"/>
        </w:rPr>
        <w:t xml:space="preserve"> od sezónních vlivů.</w:t>
      </w:r>
    </w:p>
  </w:footnote>
  <w:footnote w:id="29">
    <w:p w:rsidR="0019156A" w:rsidRPr="004D56E2" w:rsidRDefault="0019156A" w:rsidP="00A74192">
      <w:pPr>
        <w:pStyle w:val="Textpoznpodarou"/>
        <w:rPr>
          <w:sz w:val="16"/>
          <w:szCs w:val="16"/>
        </w:rPr>
      </w:pPr>
      <w:r w:rsidRPr="004D56E2">
        <w:rPr>
          <w:rStyle w:val="Znakapoznpodarou"/>
          <w:sz w:val="16"/>
          <w:szCs w:val="16"/>
        </w:rPr>
        <w:footnoteRef/>
      </w:r>
      <w:r w:rsidRPr="004D56E2">
        <w:rPr>
          <w:sz w:val="16"/>
          <w:szCs w:val="16"/>
        </w:rPr>
        <w:t xml:space="preserve"> V lednu 2012 tvořily jednodenní vklady 63,1 %.</w:t>
      </w:r>
    </w:p>
  </w:footnote>
  <w:footnote w:id="30">
    <w:p w:rsidR="0019156A" w:rsidRPr="007B2AF7" w:rsidRDefault="0019156A">
      <w:pPr>
        <w:pStyle w:val="Textpoznpodarou"/>
        <w:rPr>
          <w:sz w:val="16"/>
          <w:szCs w:val="16"/>
        </w:rPr>
      </w:pPr>
      <w:r w:rsidRPr="007B2AF7">
        <w:rPr>
          <w:rStyle w:val="Znakapoznpodarou"/>
          <w:sz w:val="16"/>
          <w:szCs w:val="16"/>
        </w:rPr>
        <w:footnoteRef/>
      </w:r>
      <w:r w:rsidRPr="007B2AF7">
        <w:rPr>
          <w:sz w:val="16"/>
          <w:szCs w:val="16"/>
        </w:rPr>
        <w:t xml:space="preserve"> V listopadu 2014 rozhodla ČNB o prodloužení režimu intervencí minimálně do 1. čtvrtletí 2016</w:t>
      </w:r>
    </w:p>
  </w:footnote>
  <w:footnote w:id="31">
    <w:p w:rsidR="0019156A" w:rsidRPr="006A5244" w:rsidRDefault="0019156A" w:rsidP="0051593C">
      <w:pPr>
        <w:pStyle w:val="Textpoznpodarou"/>
        <w:jc w:val="both"/>
        <w:rPr>
          <w:sz w:val="16"/>
          <w:szCs w:val="16"/>
        </w:rPr>
      </w:pPr>
      <w:r w:rsidRPr="006A5244">
        <w:rPr>
          <w:rStyle w:val="Znakapoznpodarou"/>
          <w:sz w:val="16"/>
          <w:szCs w:val="16"/>
        </w:rPr>
        <w:footnoteRef/>
      </w:r>
      <w:r>
        <w:rPr>
          <w:sz w:val="16"/>
          <w:szCs w:val="16"/>
        </w:rPr>
        <w:t xml:space="preserve"> Platilo to i v následujících měsících roku. Na konci listopadu 2016 činil přebytek SR 55,5 mld. korun</w:t>
      </w:r>
      <w:r w:rsidRPr="006A5244">
        <w:rPr>
          <w:sz w:val="16"/>
          <w:szCs w:val="16"/>
        </w:rPr>
        <w:t>.</w:t>
      </w:r>
      <w:r>
        <w:rPr>
          <w:sz w:val="16"/>
          <w:szCs w:val="16"/>
        </w:rPr>
        <w:t xml:space="preserve"> Kromě stabilně silně rostoucích</w:t>
      </w:r>
      <w:r w:rsidRPr="006A5244">
        <w:rPr>
          <w:sz w:val="16"/>
          <w:szCs w:val="16"/>
        </w:rPr>
        <w:t xml:space="preserve"> daňových příjmů k tomu </w:t>
      </w:r>
      <w:r>
        <w:rPr>
          <w:sz w:val="16"/>
          <w:szCs w:val="16"/>
        </w:rPr>
        <w:t>přispěly hlavně</w:t>
      </w:r>
      <w:r w:rsidRPr="006A5244">
        <w:rPr>
          <w:sz w:val="16"/>
          <w:szCs w:val="16"/>
        </w:rPr>
        <w:t xml:space="preserve"> nepravidelnosti v čerpání evropských fondů. Transfery z rozpočtu EU (jako důsledek </w:t>
      </w:r>
      <w:r>
        <w:rPr>
          <w:sz w:val="16"/>
          <w:szCs w:val="16"/>
        </w:rPr>
        <w:t xml:space="preserve">nebývale </w:t>
      </w:r>
      <w:r w:rsidRPr="006A5244">
        <w:rPr>
          <w:sz w:val="16"/>
          <w:szCs w:val="16"/>
        </w:rPr>
        <w:t>intenzivního lo</w:t>
      </w:r>
      <w:r>
        <w:rPr>
          <w:sz w:val="16"/>
          <w:szCs w:val="16"/>
        </w:rPr>
        <w:t xml:space="preserve">ňského dočerpávání) </w:t>
      </w:r>
      <w:r w:rsidRPr="00416443">
        <w:rPr>
          <w:sz w:val="16"/>
          <w:szCs w:val="16"/>
        </w:rPr>
        <w:t>dosahovaly 145 mld</w:t>
      </w:r>
      <w:r w:rsidRPr="006A5244">
        <w:rPr>
          <w:sz w:val="16"/>
          <w:szCs w:val="16"/>
        </w:rPr>
        <w:t>. korun</w:t>
      </w:r>
      <w:r>
        <w:rPr>
          <w:sz w:val="16"/>
          <w:szCs w:val="16"/>
        </w:rPr>
        <w:t xml:space="preserve">. Silný pokles kapitálových výdajů navzdory mírnému oživení investiční aktivity během listopadu nadále přetrvával. V kumulaci za 11 měsíců byly investice meziročně slabší o 40,5 %, resp. </w:t>
      </w:r>
      <w:r w:rsidRPr="00416443">
        <w:rPr>
          <w:sz w:val="16"/>
          <w:szCs w:val="16"/>
        </w:rPr>
        <w:t>52 m</w:t>
      </w:r>
      <w:r>
        <w:rPr>
          <w:sz w:val="16"/>
          <w:szCs w:val="16"/>
        </w:rPr>
        <w:t>ld. korun.</w:t>
      </w:r>
    </w:p>
  </w:footnote>
  <w:footnote w:id="32">
    <w:p w:rsidR="0019156A" w:rsidRPr="00516EE1" w:rsidRDefault="0019156A" w:rsidP="0051593C">
      <w:pPr>
        <w:pStyle w:val="Textpoznpodarou"/>
        <w:jc w:val="both"/>
        <w:rPr>
          <w:sz w:val="16"/>
          <w:szCs w:val="16"/>
        </w:rPr>
      </w:pPr>
      <w:r w:rsidRPr="00516EE1">
        <w:rPr>
          <w:rStyle w:val="Znakapoznpodarou"/>
          <w:sz w:val="16"/>
          <w:szCs w:val="16"/>
        </w:rPr>
        <w:footnoteRef/>
      </w:r>
      <w:r w:rsidRPr="00516EE1">
        <w:rPr>
          <w:sz w:val="16"/>
          <w:szCs w:val="16"/>
        </w:rPr>
        <w:t xml:space="preserve"> </w:t>
      </w:r>
      <w:r>
        <w:rPr>
          <w:sz w:val="16"/>
          <w:szCs w:val="16"/>
        </w:rPr>
        <w:t xml:space="preserve">Daňové </w:t>
      </w:r>
      <w:r>
        <w:rPr>
          <w:rFonts w:cs="Arial"/>
          <w:color w:val="000000" w:themeColor="text1"/>
          <w:spacing w:val="-2"/>
          <w:sz w:val="16"/>
          <w:szCs w:val="16"/>
        </w:rPr>
        <w:t>p</w:t>
      </w:r>
      <w:r w:rsidRPr="00516EE1">
        <w:rPr>
          <w:rFonts w:cs="Arial"/>
          <w:color w:val="000000" w:themeColor="text1"/>
          <w:spacing w:val="-2"/>
          <w:sz w:val="16"/>
          <w:szCs w:val="16"/>
        </w:rPr>
        <w:t xml:space="preserve">říjmy SR jsou </w:t>
      </w:r>
      <w:r>
        <w:rPr>
          <w:rFonts w:cs="Arial"/>
          <w:color w:val="000000" w:themeColor="text1"/>
          <w:spacing w:val="-2"/>
          <w:sz w:val="16"/>
          <w:szCs w:val="16"/>
        </w:rPr>
        <w:t xml:space="preserve">navíc </w:t>
      </w:r>
      <w:r w:rsidRPr="00516EE1">
        <w:rPr>
          <w:rFonts w:cs="Arial"/>
          <w:color w:val="000000" w:themeColor="text1"/>
          <w:spacing w:val="-2"/>
          <w:sz w:val="16"/>
          <w:szCs w:val="16"/>
        </w:rPr>
        <w:t>v roce 2016 negativně ovlivněny změnou rozpočtového určení daní, jež snižuje podíl SR na celostátním inkasu zhruba o 1 p.b., a to jak u DPH, tak i u daně z příjmu fyzických osob ze závislé činnosti.</w:t>
      </w:r>
    </w:p>
  </w:footnote>
  <w:footnote w:id="33">
    <w:p w:rsidR="0019156A" w:rsidRPr="001435CD" w:rsidRDefault="0019156A" w:rsidP="0051593C">
      <w:pPr>
        <w:autoSpaceDE w:val="0"/>
        <w:autoSpaceDN w:val="0"/>
        <w:adjustRightInd w:val="0"/>
        <w:spacing w:line="240" w:lineRule="auto"/>
        <w:jc w:val="both"/>
        <w:rPr>
          <w:rFonts w:cs="Arial"/>
          <w:sz w:val="16"/>
          <w:szCs w:val="16"/>
        </w:rPr>
      </w:pPr>
      <w:r w:rsidRPr="001435CD">
        <w:rPr>
          <w:rStyle w:val="Znakapoznpodarou"/>
          <w:sz w:val="16"/>
          <w:szCs w:val="16"/>
        </w:rPr>
        <w:footnoteRef/>
      </w:r>
      <w:r w:rsidRPr="001435CD">
        <w:rPr>
          <w:sz w:val="16"/>
          <w:szCs w:val="16"/>
        </w:rPr>
        <w:t xml:space="preserve"> Šlo o </w:t>
      </w:r>
      <w:r w:rsidRPr="001435CD">
        <w:rPr>
          <w:rFonts w:cs="Arial"/>
          <w:sz w:val="16"/>
          <w:szCs w:val="16"/>
        </w:rPr>
        <w:t xml:space="preserve">zastropování </w:t>
      </w:r>
      <w:r>
        <w:rPr>
          <w:rFonts w:cs="Arial"/>
          <w:sz w:val="16"/>
          <w:szCs w:val="16"/>
        </w:rPr>
        <w:t>maximální výše odpočtu pro OSVČ využívající výdajové paušály (ve výši 60 % a 80 %)</w:t>
      </w:r>
      <w:r w:rsidRPr="001435CD">
        <w:rPr>
          <w:rFonts w:cs="Arial"/>
          <w:sz w:val="16"/>
          <w:szCs w:val="16"/>
        </w:rPr>
        <w:t>. Naopak mírně negativně ovlivnily inkaso zvýšení daňového zvýhodnění na druhé a další dítě, školkovné či znovuzavedení slev pracujícím důchodcům (tyto změny jsou sice účinné od roku 2015, ale v důsledku splatnosti daně se promítají do jejího výběru až v roce 2016).</w:t>
      </w:r>
    </w:p>
  </w:footnote>
  <w:footnote w:id="34">
    <w:p w:rsidR="0019156A" w:rsidRPr="00F762A1" w:rsidRDefault="0019156A" w:rsidP="0051593C">
      <w:pPr>
        <w:pStyle w:val="Textpoznpodarou"/>
        <w:jc w:val="both"/>
        <w:rPr>
          <w:sz w:val="16"/>
          <w:szCs w:val="16"/>
        </w:rPr>
      </w:pPr>
      <w:r w:rsidRPr="00F762A1">
        <w:rPr>
          <w:rStyle w:val="Znakapoznpodarou"/>
          <w:sz w:val="16"/>
          <w:szCs w:val="16"/>
        </w:rPr>
        <w:footnoteRef/>
      </w:r>
      <w:r w:rsidRPr="00F762A1">
        <w:rPr>
          <w:sz w:val="16"/>
          <w:szCs w:val="16"/>
        </w:rPr>
        <w:t xml:space="preserve"> Za jedenáct měsíců roku 2016 bylo na nové programové období vyčerpáno 28,7 mld. korun</w:t>
      </w:r>
      <w:r>
        <w:rPr>
          <w:sz w:val="16"/>
          <w:szCs w:val="16"/>
        </w:rPr>
        <w:t xml:space="preserve"> (bez prostředků na společnou zemědělskou politiku)</w:t>
      </w:r>
      <w:r w:rsidRPr="00F762A1">
        <w:rPr>
          <w:sz w:val="16"/>
          <w:szCs w:val="16"/>
        </w:rPr>
        <w:t>, schválený rozpočet předpokládá celoroční čerpání běžných i kapitálových výdajů v</w:t>
      </w:r>
      <w:r>
        <w:rPr>
          <w:sz w:val="16"/>
          <w:szCs w:val="16"/>
        </w:rPr>
        <w:t> úhrnu v</w:t>
      </w:r>
      <w:r w:rsidRPr="00F762A1">
        <w:rPr>
          <w:sz w:val="16"/>
          <w:szCs w:val="16"/>
        </w:rPr>
        <w:t>e výši 70 mld.</w:t>
      </w:r>
    </w:p>
  </w:footnote>
  <w:footnote w:id="35">
    <w:p w:rsidR="0019156A" w:rsidRPr="0004520D" w:rsidRDefault="0019156A" w:rsidP="0051593C">
      <w:pPr>
        <w:pStyle w:val="Textpoznpodarou"/>
        <w:jc w:val="both"/>
        <w:rPr>
          <w:sz w:val="16"/>
          <w:szCs w:val="16"/>
        </w:rPr>
      </w:pPr>
      <w:r w:rsidRPr="0004520D">
        <w:rPr>
          <w:rStyle w:val="Znakapoznpodarou"/>
          <w:sz w:val="16"/>
          <w:szCs w:val="16"/>
        </w:rPr>
        <w:footnoteRef/>
      </w:r>
      <w:r w:rsidRPr="0004520D">
        <w:rPr>
          <w:sz w:val="16"/>
          <w:szCs w:val="16"/>
        </w:rPr>
        <w:t xml:space="preserve"> </w:t>
      </w:r>
      <w:r>
        <w:rPr>
          <w:sz w:val="16"/>
          <w:szCs w:val="16"/>
        </w:rPr>
        <w:t>O</w:t>
      </w:r>
      <w:r w:rsidRPr="0004520D">
        <w:rPr>
          <w:sz w:val="16"/>
          <w:szCs w:val="16"/>
        </w:rPr>
        <w:t xml:space="preserve">d roku 2013 </w:t>
      </w:r>
      <w:r>
        <w:rPr>
          <w:sz w:val="16"/>
          <w:szCs w:val="16"/>
        </w:rPr>
        <w:t>bylo</w:t>
      </w:r>
      <w:r w:rsidRPr="0004520D">
        <w:rPr>
          <w:sz w:val="16"/>
          <w:szCs w:val="16"/>
        </w:rPr>
        <w:t xml:space="preserve"> z důvodů úsporných opatření upraveno valorizační schéma důchodů. Ty se zvyšovaly o třetin</w:t>
      </w:r>
      <w:r>
        <w:rPr>
          <w:sz w:val="16"/>
          <w:szCs w:val="16"/>
        </w:rPr>
        <w:t>u</w:t>
      </w:r>
      <w:r w:rsidRPr="0004520D">
        <w:rPr>
          <w:sz w:val="16"/>
          <w:szCs w:val="16"/>
        </w:rPr>
        <w:t xml:space="preserve"> růstu inflace i </w:t>
      </w:r>
      <w:r>
        <w:rPr>
          <w:sz w:val="16"/>
          <w:szCs w:val="16"/>
        </w:rPr>
        <w:t>tempa</w:t>
      </w:r>
      <w:r w:rsidRPr="0004520D">
        <w:rPr>
          <w:sz w:val="16"/>
          <w:szCs w:val="16"/>
        </w:rPr>
        <w:t xml:space="preserve"> reálných mezd. </w:t>
      </w:r>
      <w:r>
        <w:rPr>
          <w:sz w:val="16"/>
          <w:szCs w:val="16"/>
        </w:rPr>
        <w:t>Účinnost tohoto opatření měla být tři roky. Byla však zkrácena a od roku 2015 se již důchody opět navyšují dle „kl</w:t>
      </w:r>
      <w:r w:rsidR="004F77AE">
        <w:rPr>
          <w:sz w:val="16"/>
          <w:szCs w:val="16"/>
        </w:rPr>
        <w:t>asického“ schématu – tj. třetinou</w:t>
      </w:r>
      <w:r>
        <w:rPr>
          <w:sz w:val="16"/>
          <w:szCs w:val="16"/>
        </w:rPr>
        <w:t xml:space="preserve"> tempa růstu reálných mezd a 100 % růstu inflace.</w:t>
      </w:r>
    </w:p>
  </w:footnote>
  <w:footnote w:id="36">
    <w:p w:rsidR="0019156A" w:rsidRPr="006D0D31" w:rsidRDefault="0019156A" w:rsidP="0051593C">
      <w:pPr>
        <w:pStyle w:val="Textpoznpodarou"/>
        <w:jc w:val="both"/>
        <w:rPr>
          <w:rFonts w:cs="Arial"/>
          <w:sz w:val="16"/>
          <w:szCs w:val="16"/>
        </w:rPr>
      </w:pPr>
      <w:r w:rsidRPr="006D0D31">
        <w:rPr>
          <w:rStyle w:val="Znakapoznpodarou"/>
          <w:rFonts w:cs="Arial"/>
          <w:sz w:val="16"/>
          <w:szCs w:val="16"/>
        </w:rPr>
        <w:footnoteRef/>
      </w:r>
      <w:r w:rsidRPr="006D0D31">
        <w:rPr>
          <w:rFonts w:cs="Arial"/>
          <w:sz w:val="16"/>
          <w:szCs w:val="16"/>
        </w:rPr>
        <w:t xml:space="preserve"> Předběžné údaje o dluhu a deficitu</w:t>
      </w:r>
      <w:r>
        <w:rPr>
          <w:rFonts w:cs="Arial"/>
          <w:sz w:val="16"/>
          <w:szCs w:val="16"/>
        </w:rPr>
        <w:t xml:space="preserve"> sektoru vládních institucí za 3</w:t>
      </w:r>
      <w:r w:rsidRPr="006D0D31">
        <w:rPr>
          <w:rFonts w:cs="Arial"/>
          <w:sz w:val="16"/>
          <w:szCs w:val="16"/>
        </w:rPr>
        <w:t>. čtvrtletí</w:t>
      </w:r>
      <w:r>
        <w:rPr>
          <w:rFonts w:cs="Arial"/>
          <w:sz w:val="16"/>
          <w:szCs w:val="16"/>
        </w:rPr>
        <w:t xml:space="preserve"> 2016 zveřejní ČSÚ 9. ledna 2017, Eurostat pak 23. led</w:t>
      </w:r>
      <w:r w:rsidRPr="006D0D31">
        <w:rPr>
          <w:rFonts w:cs="Arial"/>
          <w:sz w:val="16"/>
          <w:szCs w:val="16"/>
        </w:rPr>
        <w:t>na.</w:t>
      </w:r>
    </w:p>
  </w:footnote>
  <w:footnote w:id="37">
    <w:p w:rsidR="0019156A" w:rsidRPr="00552EAB" w:rsidRDefault="0019156A" w:rsidP="0051593C">
      <w:pPr>
        <w:pStyle w:val="Textpoznpodarou"/>
        <w:jc w:val="both"/>
        <w:rPr>
          <w:sz w:val="16"/>
          <w:szCs w:val="16"/>
        </w:rPr>
      </w:pPr>
      <w:r w:rsidRPr="006D0D31">
        <w:rPr>
          <w:rStyle w:val="Znakapoznpodarou"/>
          <w:rFonts w:cs="Arial"/>
          <w:sz w:val="16"/>
          <w:szCs w:val="16"/>
        </w:rPr>
        <w:footnoteRef/>
      </w:r>
      <w:r w:rsidRPr="006D0D31">
        <w:rPr>
          <w:rFonts w:cs="Arial"/>
          <w:sz w:val="16"/>
          <w:szCs w:val="16"/>
        </w:rPr>
        <w:t xml:space="preserve"> </w:t>
      </w:r>
      <w:r w:rsidRPr="006D0D31">
        <w:rPr>
          <w:rFonts w:cs="Arial"/>
          <w:color w:val="333333"/>
          <w:sz w:val="16"/>
          <w:szCs w:val="16"/>
        </w:rPr>
        <w:t>Indikátory salda hospodaření a dluhu vládních institucí jsou založeny na akruálním principu požadovaném metodikou ESA2010 a Manuálem k deficitu a dluhu. Dle akruálního principu jsou příjmy a výdaje přiřazeny období, se kterým věcně souvisí, tj. bez ohledu na období uskutečnění hotovostního toku (jak je tomu v případě pokladního plnění).</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56A" w:rsidRPr="00173642" w:rsidRDefault="0019156A" w:rsidP="00173642">
    <w:pPr>
      <w:pStyle w:val="Zhlav"/>
      <w:tabs>
        <w:tab w:val="clear" w:pos="4536"/>
        <w:tab w:val="clear" w:pos="9072"/>
        <w:tab w:val="left" w:pos="-6379"/>
        <w:tab w:val="center" w:pos="4820"/>
        <w:tab w:val="right" w:pos="9639"/>
      </w:tabs>
      <w:rPr>
        <w:rFonts w:ascii="Arial" w:hAnsi="Arial" w:cs="Arial"/>
        <w:sz w:val="16"/>
        <w:szCs w:val="16"/>
      </w:rPr>
    </w:pPr>
    <w:r>
      <w:rPr>
        <w:rFonts w:ascii="Arial" w:hAnsi="Arial" w:cs="Arial"/>
        <w:sz w:val="16"/>
        <w:szCs w:val="16"/>
      </w:rPr>
      <w:t>Vývoj ekonomiky České republiky v roce 2014/</w:t>
    </w:r>
    <w:r w:rsidRPr="00D43998">
      <w:rPr>
        <w:rFonts w:ascii="Arial" w:hAnsi="Arial" w:cs="Arial"/>
        <w:sz w:val="16"/>
        <w:szCs w:val="16"/>
      </w:rPr>
      <w:t xml:space="preserve"> </w:t>
    </w:r>
    <w:r>
      <w:rPr>
        <w:rFonts w:ascii="Arial" w:hAnsi="Arial" w:cs="Arial"/>
        <w:sz w:val="16"/>
        <w:szCs w:val="16"/>
      </w:rPr>
      <w:t>Souhrnná výkonnost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56A" w:rsidRPr="00DC5B3B" w:rsidRDefault="0019156A" w:rsidP="002C6091">
    <w:pPr>
      <w:pStyle w:val="Zhlav"/>
      <w:tabs>
        <w:tab w:val="clear" w:pos="4536"/>
        <w:tab w:val="clear" w:pos="9072"/>
        <w:tab w:val="left" w:pos="-6379"/>
        <w:tab w:val="center" w:pos="4820"/>
        <w:tab w:val="right" w:pos="9639"/>
      </w:tabs>
      <w:rPr>
        <w:rFonts w:ascii="Arial" w:hAnsi="Arial" w:cs="Arial"/>
        <w:sz w:val="16"/>
        <w:szCs w:val="16"/>
      </w:rPr>
    </w:pPr>
    <w:r>
      <w:rPr>
        <w:rFonts w:ascii="Arial" w:hAnsi="Arial" w:cs="Arial"/>
        <w:sz w:val="16"/>
        <w:szCs w:val="16"/>
      </w:rPr>
      <w:t>Vývoj ekonomiky České republiky v 1. až 3. čtvrtletí 2016</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56A" w:rsidRPr="00D766EF" w:rsidRDefault="0019156A" w:rsidP="00D766EF">
    <w:pPr>
      <w:pStyle w:val="Zhlav"/>
      <w:tabs>
        <w:tab w:val="clear" w:pos="4536"/>
        <w:tab w:val="clear" w:pos="9072"/>
        <w:tab w:val="left" w:pos="-6379"/>
        <w:tab w:val="center" w:pos="4820"/>
        <w:tab w:val="right" w:pos="9639"/>
      </w:tabs>
      <w:rPr>
        <w:szCs w:val="16"/>
      </w:rPr>
    </w:pPr>
    <w:r>
      <w:rPr>
        <w:rFonts w:ascii="Arial" w:hAnsi="Arial" w:cs="Arial"/>
        <w:sz w:val="16"/>
        <w:szCs w:val="16"/>
      </w:rPr>
      <w:t>Vývoj ekonomiky České republiky v 1. až 3. čtvrtletí 2016</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56A" w:rsidRPr="00D766EF" w:rsidRDefault="0019156A" w:rsidP="00D766EF">
    <w:pPr>
      <w:pStyle w:val="Zhlav"/>
      <w:tabs>
        <w:tab w:val="clear" w:pos="4536"/>
        <w:tab w:val="clear" w:pos="9072"/>
        <w:tab w:val="left" w:pos="-6379"/>
        <w:tab w:val="center" w:pos="4820"/>
        <w:tab w:val="right" w:pos="9639"/>
      </w:tabs>
      <w:rPr>
        <w:szCs w:val="16"/>
      </w:rPr>
    </w:pPr>
    <w:r>
      <w:rPr>
        <w:rFonts w:ascii="Arial" w:hAnsi="Arial" w:cs="Arial"/>
        <w:sz w:val="16"/>
        <w:szCs w:val="16"/>
      </w:rPr>
      <w:t>Vývoj ekonomiky České republiky v 1. až 3. čtvrtletí 2016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F5BAB"/>
    <w:multiLevelType w:val="hybridMultilevel"/>
    <w:tmpl w:val="4150E6B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nsid w:val="16FB457C"/>
    <w:multiLevelType w:val="hybridMultilevel"/>
    <w:tmpl w:val="991072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nsid w:val="19714A0B"/>
    <w:multiLevelType w:val="hybridMultilevel"/>
    <w:tmpl w:val="11CE6D64"/>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9CF62C9"/>
    <w:multiLevelType w:val="hybridMultilevel"/>
    <w:tmpl w:val="FFCA852E"/>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222" w:hanging="360"/>
      </w:pPr>
      <w:rPr>
        <w:rFonts w:ascii="Courier New" w:hAnsi="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4">
    <w:nsid w:val="31AD014E"/>
    <w:multiLevelType w:val="hybridMultilevel"/>
    <w:tmpl w:val="5A5ABD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33B18EA"/>
    <w:multiLevelType w:val="hybridMultilevel"/>
    <w:tmpl w:val="CFC2F5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C534B5E"/>
    <w:multiLevelType w:val="hybridMultilevel"/>
    <w:tmpl w:val="1180B778"/>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5D4D0FE2"/>
    <w:multiLevelType w:val="hybridMultilevel"/>
    <w:tmpl w:val="ECDE86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60393E7F"/>
    <w:multiLevelType w:val="hybridMultilevel"/>
    <w:tmpl w:val="CEA2AC42"/>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696F0669"/>
    <w:multiLevelType w:val="hybridMultilevel"/>
    <w:tmpl w:val="6B980916"/>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69C501C8"/>
    <w:multiLevelType w:val="hybridMultilevel"/>
    <w:tmpl w:val="0C043E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6F805D16"/>
    <w:multiLevelType w:val="hybridMultilevel"/>
    <w:tmpl w:val="A12480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735261EC"/>
    <w:multiLevelType w:val="hybridMultilevel"/>
    <w:tmpl w:val="BFC0B07E"/>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nsid w:val="76C940DA"/>
    <w:multiLevelType w:val="hybridMultilevel"/>
    <w:tmpl w:val="D2C67DD0"/>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C550A0F"/>
    <w:multiLevelType w:val="hybridMultilevel"/>
    <w:tmpl w:val="A6E66A4C"/>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222" w:hanging="360"/>
      </w:pPr>
      <w:rPr>
        <w:rFonts w:ascii="Courier New" w:hAnsi="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hint="default"/>
      </w:rPr>
    </w:lvl>
    <w:lvl w:ilvl="8" w:tplc="04050005" w:tentative="1">
      <w:start w:val="1"/>
      <w:numFmt w:val="bullet"/>
      <w:lvlText w:val=""/>
      <w:lvlJc w:val="left"/>
      <w:pPr>
        <w:ind w:left="6262" w:hanging="360"/>
      </w:pPr>
      <w:rPr>
        <w:rFonts w:ascii="Wingdings" w:hAnsi="Wingdings" w:hint="default"/>
      </w:rPr>
    </w:lvl>
  </w:abstractNum>
  <w:num w:numId="1">
    <w:abstractNumId w:val="9"/>
  </w:num>
  <w:num w:numId="2">
    <w:abstractNumId w:val="14"/>
  </w:num>
  <w:num w:numId="3">
    <w:abstractNumId w:val="7"/>
  </w:num>
  <w:num w:numId="4">
    <w:abstractNumId w:val="13"/>
  </w:num>
  <w:num w:numId="5">
    <w:abstractNumId w:val="8"/>
  </w:num>
  <w:num w:numId="6">
    <w:abstractNumId w:val="10"/>
  </w:num>
  <w:num w:numId="7">
    <w:abstractNumId w:val="3"/>
  </w:num>
  <w:num w:numId="8">
    <w:abstractNumId w:val="6"/>
  </w:num>
  <w:num w:numId="9">
    <w:abstractNumId w:val="12"/>
  </w:num>
  <w:num w:numId="10">
    <w:abstractNumId w:val="2"/>
  </w:num>
  <w:num w:numId="11">
    <w:abstractNumId w:val="5"/>
  </w:num>
  <w:num w:numId="12">
    <w:abstractNumId w:val="1"/>
  </w:num>
  <w:num w:numId="13">
    <w:abstractNumId w:val="4"/>
  </w:num>
  <w:num w:numId="14">
    <w:abstractNumId w:val="0"/>
  </w:num>
  <w:num w:numId="15">
    <w:abstractNumId w:val="1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stylePaneFormatFilter w:val="1024"/>
  <w:defaultTabStop w:val="708"/>
  <w:hyphenationZone w:val="425"/>
  <w:evenAndOddHeaders/>
  <w:drawingGridHorizontalSpacing w:val="100"/>
  <w:displayHorizontalDrawingGridEvery w:val="2"/>
  <w:characterSpacingControl w:val="doNotCompress"/>
  <w:hdrShapeDefaults>
    <o:shapedefaults v:ext="edit" spidmax="89090"/>
  </w:hdrShapeDefaults>
  <w:footnotePr>
    <w:footnote w:id="-1"/>
    <w:footnote w:id="0"/>
  </w:footnotePr>
  <w:endnotePr>
    <w:endnote w:id="-1"/>
    <w:endnote w:id="0"/>
  </w:endnotePr>
  <w:compat/>
  <w:rsids>
    <w:rsidRoot w:val="009B70BD"/>
    <w:rsid w:val="00000FA7"/>
    <w:rsid w:val="00001EFF"/>
    <w:rsid w:val="00003687"/>
    <w:rsid w:val="00003C43"/>
    <w:rsid w:val="00007498"/>
    <w:rsid w:val="0000767A"/>
    <w:rsid w:val="000101F5"/>
    <w:rsid w:val="000104B9"/>
    <w:rsid w:val="00010702"/>
    <w:rsid w:val="00010770"/>
    <w:rsid w:val="00011191"/>
    <w:rsid w:val="0001159B"/>
    <w:rsid w:val="00012986"/>
    <w:rsid w:val="00014028"/>
    <w:rsid w:val="00015195"/>
    <w:rsid w:val="0001519F"/>
    <w:rsid w:val="0001572B"/>
    <w:rsid w:val="0001573E"/>
    <w:rsid w:val="000157DA"/>
    <w:rsid w:val="0001589D"/>
    <w:rsid w:val="00016033"/>
    <w:rsid w:val="000162DB"/>
    <w:rsid w:val="00017F05"/>
    <w:rsid w:val="000202C6"/>
    <w:rsid w:val="00020946"/>
    <w:rsid w:val="00022081"/>
    <w:rsid w:val="0002292C"/>
    <w:rsid w:val="00022B41"/>
    <w:rsid w:val="00023FB5"/>
    <w:rsid w:val="0002434F"/>
    <w:rsid w:val="00024887"/>
    <w:rsid w:val="00024CBA"/>
    <w:rsid w:val="00025501"/>
    <w:rsid w:val="00026998"/>
    <w:rsid w:val="00026B06"/>
    <w:rsid w:val="000304C4"/>
    <w:rsid w:val="0003066A"/>
    <w:rsid w:val="00030F14"/>
    <w:rsid w:val="000311C5"/>
    <w:rsid w:val="00032838"/>
    <w:rsid w:val="00032C12"/>
    <w:rsid w:val="00032E0C"/>
    <w:rsid w:val="00035CCF"/>
    <w:rsid w:val="00035FC6"/>
    <w:rsid w:val="0003705E"/>
    <w:rsid w:val="00037667"/>
    <w:rsid w:val="0004075D"/>
    <w:rsid w:val="000411E1"/>
    <w:rsid w:val="000419AE"/>
    <w:rsid w:val="00041E9C"/>
    <w:rsid w:val="00043E05"/>
    <w:rsid w:val="0004694F"/>
    <w:rsid w:val="000500DC"/>
    <w:rsid w:val="00051ADE"/>
    <w:rsid w:val="00052052"/>
    <w:rsid w:val="00052172"/>
    <w:rsid w:val="000534FD"/>
    <w:rsid w:val="00053CBA"/>
    <w:rsid w:val="00054E43"/>
    <w:rsid w:val="00055059"/>
    <w:rsid w:val="000553E4"/>
    <w:rsid w:val="000567FA"/>
    <w:rsid w:val="00056B26"/>
    <w:rsid w:val="00057C16"/>
    <w:rsid w:val="00060F26"/>
    <w:rsid w:val="00062D43"/>
    <w:rsid w:val="00062EC5"/>
    <w:rsid w:val="00064256"/>
    <w:rsid w:val="000706A4"/>
    <w:rsid w:val="00070A0C"/>
    <w:rsid w:val="00071F80"/>
    <w:rsid w:val="00072118"/>
    <w:rsid w:val="00073173"/>
    <w:rsid w:val="00074FFC"/>
    <w:rsid w:val="000779AC"/>
    <w:rsid w:val="00080AA8"/>
    <w:rsid w:val="00083803"/>
    <w:rsid w:val="00083D7F"/>
    <w:rsid w:val="00084393"/>
    <w:rsid w:val="0008716A"/>
    <w:rsid w:val="00087634"/>
    <w:rsid w:val="00091237"/>
    <w:rsid w:val="0009191B"/>
    <w:rsid w:val="000920EC"/>
    <w:rsid w:val="00092208"/>
    <w:rsid w:val="00092505"/>
    <w:rsid w:val="000927EB"/>
    <w:rsid w:val="00092C9A"/>
    <w:rsid w:val="00097D02"/>
    <w:rsid w:val="000A1183"/>
    <w:rsid w:val="000A2121"/>
    <w:rsid w:val="000A2484"/>
    <w:rsid w:val="000A36CE"/>
    <w:rsid w:val="000A59BF"/>
    <w:rsid w:val="000A66C2"/>
    <w:rsid w:val="000B1CFE"/>
    <w:rsid w:val="000B210A"/>
    <w:rsid w:val="000B249B"/>
    <w:rsid w:val="000B2ADE"/>
    <w:rsid w:val="000B3B01"/>
    <w:rsid w:val="000B3DB9"/>
    <w:rsid w:val="000B3F02"/>
    <w:rsid w:val="000B48A2"/>
    <w:rsid w:val="000B48E7"/>
    <w:rsid w:val="000B4F41"/>
    <w:rsid w:val="000B7663"/>
    <w:rsid w:val="000C05EA"/>
    <w:rsid w:val="000C1106"/>
    <w:rsid w:val="000C11D3"/>
    <w:rsid w:val="000C12F5"/>
    <w:rsid w:val="000C3408"/>
    <w:rsid w:val="000C5C0F"/>
    <w:rsid w:val="000C5D56"/>
    <w:rsid w:val="000C6498"/>
    <w:rsid w:val="000D0D51"/>
    <w:rsid w:val="000D14B3"/>
    <w:rsid w:val="000D1F52"/>
    <w:rsid w:val="000D208B"/>
    <w:rsid w:val="000D263E"/>
    <w:rsid w:val="000D2B8D"/>
    <w:rsid w:val="000D2E41"/>
    <w:rsid w:val="000D342A"/>
    <w:rsid w:val="000D43CB"/>
    <w:rsid w:val="000D5E7A"/>
    <w:rsid w:val="000D5FAA"/>
    <w:rsid w:val="000D65A4"/>
    <w:rsid w:val="000D6AEF"/>
    <w:rsid w:val="000E025B"/>
    <w:rsid w:val="000E0A8F"/>
    <w:rsid w:val="000E0ECB"/>
    <w:rsid w:val="000E153A"/>
    <w:rsid w:val="000E19A8"/>
    <w:rsid w:val="000E1EEA"/>
    <w:rsid w:val="000E4A42"/>
    <w:rsid w:val="000E6476"/>
    <w:rsid w:val="000E78D2"/>
    <w:rsid w:val="000F3332"/>
    <w:rsid w:val="000F33EE"/>
    <w:rsid w:val="000F401E"/>
    <w:rsid w:val="000F48CA"/>
    <w:rsid w:val="000F5445"/>
    <w:rsid w:val="000F5673"/>
    <w:rsid w:val="000F67B2"/>
    <w:rsid w:val="000F74B6"/>
    <w:rsid w:val="000F790F"/>
    <w:rsid w:val="000F7E1B"/>
    <w:rsid w:val="00100014"/>
    <w:rsid w:val="0010039A"/>
    <w:rsid w:val="00101E94"/>
    <w:rsid w:val="00101FB2"/>
    <w:rsid w:val="00102CB8"/>
    <w:rsid w:val="00102F02"/>
    <w:rsid w:val="0010385D"/>
    <w:rsid w:val="00103E41"/>
    <w:rsid w:val="001041B6"/>
    <w:rsid w:val="001070EA"/>
    <w:rsid w:val="0011002A"/>
    <w:rsid w:val="001107CE"/>
    <w:rsid w:val="0011110A"/>
    <w:rsid w:val="001118AF"/>
    <w:rsid w:val="00111CA5"/>
    <w:rsid w:val="0011256E"/>
    <w:rsid w:val="00112BB2"/>
    <w:rsid w:val="0011352E"/>
    <w:rsid w:val="00114FC0"/>
    <w:rsid w:val="00115496"/>
    <w:rsid w:val="00116DB9"/>
    <w:rsid w:val="00116F28"/>
    <w:rsid w:val="001219AF"/>
    <w:rsid w:val="00121C39"/>
    <w:rsid w:val="00123255"/>
    <w:rsid w:val="00124D2D"/>
    <w:rsid w:val="00124DA1"/>
    <w:rsid w:val="00125326"/>
    <w:rsid w:val="00125CB5"/>
    <w:rsid w:val="00127535"/>
    <w:rsid w:val="001307BE"/>
    <w:rsid w:val="00130C8F"/>
    <w:rsid w:val="001314F2"/>
    <w:rsid w:val="001317DA"/>
    <w:rsid w:val="001323BA"/>
    <w:rsid w:val="0013254D"/>
    <w:rsid w:val="00133AAC"/>
    <w:rsid w:val="00133FBD"/>
    <w:rsid w:val="00136561"/>
    <w:rsid w:val="001400E1"/>
    <w:rsid w:val="001405FA"/>
    <w:rsid w:val="001413B3"/>
    <w:rsid w:val="001425C3"/>
    <w:rsid w:val="00142F16"/>
    <w:rsid w:val="00143E03"/>
    <w:rsid w:val="00143E93"/>
    <w:rsid w:val="0014428D"/>
    <w:rsid w:val="001500FC"/>
    <w:rsid w:val="00151AC0"/>
    <w:rsid w:val="00151B27"/>
    <w:rsid w:val="00152046"/>
    <w:rsid w:val="00154147"/>
    <w:rsid w:val="001550F3"/>
    <w:rsid w:val="00155746"/>
    <w:rsid w:val="00156318"/>
    <w:rsid w:val="0015639A"/>
    <w:rsid w:val="0016081D"/>
    <w:rsid w:val="00160CF3"/>
    <w:rsid w:val="00160E61"/>
    <w:rsid w:val="00161300"/>
    <w:rsid w:val="001620FA"/>
    <w:rsid w:val="00162853"/>
    <w:rsid w:val="00163793"/>
    <w:rsid w:val="00167FB2"/>
    <w:rsid w:val="001707DE"/>
    <w:rsid w:val="00170B04"/>
    <w:rsid w:val="00170F47"/>
    <w:rsid w:val="001711F2"/>
    <w:rsid w:val="001714F2"/>
    <w:rsid w:val="00173642"/>
    <w:rsid w:val="00173AF4"/>
    <w:rsid w:val="00173CB0"/>
    <w:rsid w:val="00174CE8"/>
    <w:rsid w:val="001752CB"/>
    <w:rsid w:val="00175351"/>
    <w:rsid w:val="00175F60"/>
    <w:rsid w:val="00176050"/>
    <w:rsid w:val="001764D8"/>
    <w:rsid w:val="00176A8F"/>
    <w:rsid w:val="00180D58"/>
    <w:rsid w:val="00181938"/>
    <w:rsid w:val="00182981"/>
    <w:rsid w:val="00184CF9"/>
    <w:rsid w:val="00185010"/>
    <w:rsid w:val="001852EC"/>
    <w:rsid w:val="00186447"/>
    <w:rsid w:val="001874CF"/>
    <w:rsid w:val="00190214"/>
    <w:rsid w:val="00190D9B"/>
    <w:rsid w:val="0019156A"/>
    <w:rsid w:val="00191BAE"/>
    <w:rsid w:val="00193432"/>
    <w:rsid w:val="0019346C"/>
    <w:rsid w:val="00194AE3"/>
    <w:rsid w:val="00195335"/>
    <w:rsid w:val="00195444"/>
    <w:rsid w:val="00195758"/>
    <w:rsid w:val="001A199D"/>
    <w:rsid w:val="001A2BDB"/>
    <w:rsid w:val="001A30F4"/>
    <w:rsid w:val="001A4C0D"/>
    <w:rsid w:val="001A552F"/>
    <w:rsid w:val="001A56F3"/>
    <w:rsid w:val="001A737B"/>
    <w:rsid w:val="001A750C"/>
    <w:rsid w:val="001B1D89"/>
    <w:rsid w:val="001B2143"/>
    <w:rsid w:val="001B3110"/>
    <w:rsid w:val="001B4198"/>
    <w:rsid w:val="001B44BC"/>
    <w:rsid w:val="001B5215"/>
    <w:rsid w:val="001B5888"/>
    <w:rsid w:val="001B618F"/>
    <w:rsid w:val="001B6277"/>
    <w:rsid w:val="001B6545"/>
    <w:rsid w:val="001B681B"/>
    <w:rsid w:val="001B6A49"/>
    <w:rsid w:val="001B7231"/>
    <w:rsid w:val="001B74FB"/>
    <w:rsid w:val="001B77A1"/>
    <w:rsid w:val="001C0422"/>
    <w:rsid w:val="001C0E0E"/>
    <w:rsid w:val="001C0EB9"/>
    <w:rsid w:val="001C1219"/>
    <w:rsid w:val="001C357A"/>
    <w:rsid w:val="001C3A37"/>
    <w:rsid w:val="001C4384"/>
    <w:rsid w:val="001C55F5"/>
    <w:rsid w:val="001C65FF"/>
    <w:rsid w:val="001D47E5"/>
    <w:rsid w:val="001D584C"/>
    <w:rsid w:val="001D5E1B"/>
    <w:rsid w:val="001D66C1"/>
    <w:rsid w:val="001D7C6F"/>
    <w:rsid w:val="001E0024"/>
    <w:rsid w:val="001E0C65"/>
    <w:rsid w:val="001E23E3"/>
    <w:rsid w:val="001E387A"/>
    <w:rsid w:val="001E3DA4"/>
    <w:rsid w:val="001E5830"/>
    <w:rsid w:val="001E684C"/>
    <w:rsid w:val="001E701C"/>
    <w:rsid w:val="001E7552"/>
    <w:rsid w:val="001E7C03"/>
    <w:rsid w:val="001F02AF"/>
    <w:rsid w:val="001F0649"/>
    <w:rsid w:val="001F28F4"/>
    <w:rsid w:val="001F2CC6"/>
    <w:rsid w:val="001F3055"/>
    <w:rsid w:val="001F31BC"/>
    <w:rsid w:val="001F378E"/>
    <w:rsid w:val="001F3C79"/>
    <w:rsid w:val="001F3E68"/>
    <w:rsid w:val="001F4597"/>
    <w:rsid w:val="001F56A9"/>
    <w:rsid w:val="001F5C6A"/>
    <w:rsid w:val="001F63A7"/>
    <w:rsid w:val="001F670A"/>
    <w:rsid w:val="00200D15"/>
    <w:rsid w:val="0020223B"/>
    <w:rsid w:val="00203074"/>
    <w:rsid w:val="00203B46"/>
    <w:rsid w:val="002048E1"/>
    <w:rsid w:val="00207DB6"/>
    <w:rsid w:val="00210278"/>
    <w:rsid w:val="00210CC2"/>
    <w:rsid w:val="00210F5B"/>
    <w:rsid w:val="00210FFA"/>
    <w:rsid w:val="00211262"/>
    <w:rsid w:val="002115F5"/>
    <w:rsid w:val="00211AC9"/>
    <w:rsid w:val="0021355B"/>
    <w:rsid w:val="00215A2C"/>
    <w:rsid w:val="002179F9"/>
    <w:rsid w:val="002205F2"/>
    <w:rsid w:val="0022080E"/>
    <w:rsid w:val="0022139E"/>
    <w:rsid w:val="0022272B"/>
    <w:rsid w:val="00222A99"/>
    <w:rsid w:val="00223678"/>
    <w:rsid w:val="002236F7"/>
    <w:rsid w:val="00223E00"/>
    <w:rsid w:val="002252E0"/>
    <w:rsid w:val="002255F6"/>
    <w:rsid w:val="00226466"/>
    <w:rsid w:val="002266D0"/>
    <w:rsid w:val="00226887"/>
    <w:rsid w:val="00230DAD"/>
    <w:rsid w:val="0023229C"/>
    <w:rsid w:val="0023301B"/>
    <w:rsid w:val="0023355C"/>
    <w:rsid w:val="00234280"/>
    <w:rsid w:val="00235000"/>
    <w:rsid w:val="002350E3"/>
    <w:rsid w:val="00235330"/>
    <w:rsid w:val="00236443"/>
    <w:rsid w:val="00240773"/>
    <w:rsid w:val="00240815"/>
    <w:rsid w:val="00240A5B"/>
    <w:rsid w:val="00240C76"/>
    <w:rsid w:val="002411EF"/>
    <w:rsid w:val="00241446"/>
    <w:rsid w:val="00242730"/>
    <w:rsid w:val="002436BA"/>
    <w:rsid w:val="002444ED"/>
    <w:rsid w:val="0024494A"/>
    <w:rsid w:val="00244A15"/>
    <w:rsid w:val="00244D40"/>
    <w:rsid w:val="00246AE9"/>
    <w:rsid w:val="0024799E"/>
    <w:rsid w:val="00250C59"/>
    <w:rsid w:val="00250E0D"/>
    <w:rsid w:val="002518F6"/>
    <w:rsid w:val="00251D59"/>
    <w:rsid w:val="00252602"/>
    <w:rsid w:val="00252FDC"/>
    <w:rsid w:val="002532E2"/>
    <w:rsid w:val="002550D8"/>
    <w:rsid w:val="00257613"/>
    <w:rsid w:val="00261E5B"/>
    <w:rsid w:val="00262F34"/>
    <w:rsid w:val="00263470"/>
    <w:rsid w:val="00263733"/>
    <w:rsid w:val="00264676"/>
    <w:rsid w:val="00265536"/>
    <w:rsid w:val="00265E54"/>
    <w:rsid w:val="00266F3E"/>
    <w:rsid w:val="00270785"/>
    <w:rsid w:val="00272464"/>
    <w:rsid w:val="00272CC5"/>
    <w:rsid w:val="00273DCD"/>
    <w:rsid w:val="00274291"/>
    <w:rsid w:val="00276C09"/>
    <w:rsid w:val="00276CFE"/>
    <w:rsid w:val="00277071"/>
    <w:rsid w:val="0027786C"/>
    <w:rsid w:val="00277BF7"/>
    <w:rsid w:val="00281416"/>
    <w:rsid w:val="00283C61"/>
    <w:rsid w:val="00285CD3"/>
    <w:rsid w:val="0028633E"/>
    <w:rsid w:val="0028686A"/>
    <w:rsid w:val="00286E66"/>
    <w:rsid w:val="002870B7"/>
    <w:rsid w:val="002919B5"/>
    <w:rsid w:val="00293441"/>
    <w:rsid w:val="00294238"/>
    <w:rsid w:val="0029493E"/>
    <w:rsid w:val="002962E0"/>
    <w:rsid w:val="00296C2E"/>
    <w:rsid w:val="002A1B05"/>
    <w:rsid w:val="002A267F"/>
    <w:rsid w:val="002A3354"/>
    <w:rsid w:val="002A35EA"/>
    <w:rsid w:val="002A37B6"/>
    <w:rsid w:val="002A3BD5"/>
    <w:rsid w:val="002A43A2"/>
    <w:rsid w:val="002A44ED"/>
    <w:rsid w:val="002A4612"/>
    <w:rsid w:val="002A4F70"/>
    <w:rsid w:val="002A5263"/>
    <w:rsid w:val="002A6821"/>
    <w:rsid w:val="002A74D2"/>
    <w:rsid w:val="002A7CDA"/>
    <w:rsid w:val="002A7F47"/>
    <w:rsid w:val="002B1544"/>
    <w:rsid w:val="002B1DC1"/>
    <w:rsid w:val="002B36C8"/>
    <w:rsid w:val="002B71B4"/>
    <w:rsid w:val="002B7240"/>
    <w:rsid w:val="002C0FF4"/>
    <w:rsid w:val="002C125A"/>
    <w:rsid w:val="002C2668"/>
    <w:rsid w:val="002C43BD"/>
    <w:rsid w:val="002C493D"/>
    <w:rsid w:val="002C5261"/>
    <w:rsid w:val="002C6091"/>
    <w:rsid w:val="002D0562"/>
    <w:rsid w:val="002D1B5A"/>
    <w:rsid w:val="002D2500"/>
    <w:rsid w:val="002D338A"/>
    <w:rsid w:val="002D3F00"/>
    <w:rsid w:val="002D4D59"/>
    <w:rsid w:val="002D54BF"/>
    <w:rsid w:val="002D5C3D"/>
    <w:rsid w:val="002D5E94"/>
    <w:rsid w:val="002D632D"/>
    <w:rsid w:val="002D6FC7"/>
    <w:rsid w:val="002E02A1"/>
    <w:rsid w:val="002E0982"/>
    <w:rsid w:val="002E0DB9"/>
    <w:rsid w:val="002E2CE4"/>
    <w:rsid w:val="002E34F3"/>
    <w:rsid w:val="002E435E"/>
    <w:rsid w:val="002E73F2"/>
    <w:rsid w:val="002F33FB"/>
    <w:rsid w:val="002F663A"/>
    <w:rsid w:val="002F68A4"/>
    <w:rsid w:val="002F7594"/>
    <w:rsid w:val="002F7902"/>
    <w:rsid w:val="00300D6F"/>
    <w:rsid w:val="00301357"/>
    <w:rsid w:val="00301D04"/>
    <w:rsid w:val="003035D4"/>
    <w:rsid w:val="00303DCB"/>
    <w:rsid w:val="00304771"/>
    <w:rsid w:val="00305736"/>
    <w:rsid w:val="00306C5B"/>
    <w:rsid w:val="00306E3B"/>
    <w:rsid w:val="003119B6"/>
    <w:rsid w:val="00312C3D"/>
    <w:rsid w:val="00314331"/>
    <w:rsid w:val="00317E31"/>
    <w:rsid w:val="00320214"/>
    <w:rsid w:val="003209D6"/>
    <w:rsid w:val="0032109A"/>
    <w:rsid w:val="0032214F"/>
    <w:rsid w:val="00322164"/>
    <w:rsid w:val="00323CF7"/>
    <w:rsid w:val="00323E61"/>
    <w:rsid w:val="0032513D"/>
    <w:rsid w:val="00326251"/>
    <w:rsid w:val="0032739C"/>
    <w:rsid w:val="00327DEE"/>
    <w:rsid w:val="003302DA"/>
    <w:rsid w:val="00330EB0"/>
    <w:rsid w:val="00331574"/>
    <w:rsid w:val="0033229B"/>
    <w:rsid w:val="003329F3"/>
    <w:rsid w:val="0033352E"/>
    <w:rsid w:val="00333690"/>
    <w:rsid w:val="00333D20"/>
    <w:rsid w:val="00333F53"/>
    <w:rsid w:val="003340EF"/>
    <w:rsid w:val="00334A49"/>
    <w:rsid w:val="0033536F"/>
    <w:rsid w:val="00335BB0"/>
    <w:rsid w:val="0033627B"/>
    <w:rsid w:val="003406BD"/>
    <w:rsid w:val="00343474"/>
    <w:rsid w:val="00343F84"/>
    <w:rsid w:val="00344135"/>
    <w:rsid w:val="003450E2"/>
    <w:rsid w:val="00351B63"/>
    <w:rsid w:val="00352E57"/>
    <w:rsid w:val="003541B0"/>
    <w:rsid w:val="0035457E"/>
    <w:rsid w:val="00355885"/>
    <w:rsid w:val="0035605E"/>
    <w:rsid w:val="00357449"/>
    <w:rsid w:val="0036238B"/>
    <w:rsid w:val="003630B0"/>
    <w:rsid w:val="003651A4"/>
    <w:rsid w:val="00365680"/>
    <w:rsid w:val="003657F3"/>
    <w:rsid w:val="00366D4D"/>
    <w:rsid w:val="00367038"/>
    <w:rsid w:val="00370963"/>
    <w:rsid w:val="0037144E"/>
    <w:rsid w:val="003736B5"/>
    <w:rsid w:val="00374F1E"/>
    <w:rsid w:val="003750CF"/>
    <w:rsid w:val="00376DEC"/>
    <w:rsid w:val="00377200"/>
    <w:rsid w:val="00377666"/>
    <w:rsid w:val="0038034A"/>
    <w:rsid w:val="00380E04"/>
    <w:rsid w:val="00380E6C"/>
    <w:rsid w:val="00383227"/>
    <w:rsid w:val="003839C9"/>
    <w:rsid w:val="0038422D"/>
    <w:rsid w:val="00384D8F"/>
    <w:rsid w:val="00385D98"/>
    <w:rsid w:val="00385EC5"/>
    <w:rsid w:val="0038658E"/>
    <w:rsid w:val="0039066E"/>
    <w:rsid w:val="00391C95"/>
    <w:rsid w:val="00392110"/>
    <w:rsid w:val="00393D74"/>
    <w:rsid w:val="00394D49"/>
    <w:rsid w:val="00396DAC"/>
    <w:rsid w:val="003971D0"/>
    <w:rsid w:val="003A0214"/>
    <w:rsid w:val="003A027D"/>
    <w:rsid w:val="003A1D74"/>
    <w:rsid w:val="003A2B4D"/>
    <w:rsid w:val="003A2D2B"/>
    <w:rsid w:val="003A2DD4"/>
    <w:rsid w:val="003A3B1C"/>
    <w:rsid w:val="003A4088"/>
    <w:rsid w:val="003A478C"/>
    <w:rsid w:val="003A4F82"/>
    <w:rsid w:val="003A5525"/>
    <w:rsid w:val="003A6B38"/>
    <w:rsid w:val="003B2142"/>
    <w:rsid w:val="003B2580"/>
    <w:rsid w:val="003B2E63"/>
    <w:rsid w:val="003B3189"/>
    <w:rsid w:val="003B3A9D"/>
    <w:rsid w:val="003B3DDD"/>
    <w:rsid w:val="003B5031"/>
    <w:rsid w:val="003B5A32"/>
    <w:rsid w:val="003B6105"/>
    <w:rsid w:val="003C03CC"/>
    <w:rsid w:val="003C04C4"/>
    <w:rsid w:val="003C26F4"/>
    <w:rsid w:val="003C3686"/>
    <w:rsid w:val="003C4852"/>
    <w:rsid w:val="003C5BC7"/>
    <w:rsid w:val="003C601E"/>
    <w:rsid w:val="003C66C4"/>
    <w:rsid w:val="003D2C4E"/>
    <w:rsid w:val="003D3600"/>
    <w:rsid w:val="003D3825"/>
    <w:rsid w:val="003D3EC4"/>
    <w:rsid w:val="003D4760"/>
    <w:rsid w:val="003D49DC"/>
    <w:rsid w:val="003D4DD9"/>
    <w:rsid w:val="003D4FB5"/>
    <w:rsid w:val="003D5D7A"/>
    <w:rsid w:val="003D653F"/>
    <w:rsid w:val="003E0663"/>
    <w:rsid w:val="003E133F"/>
    <w:rsid w:val="003E49F6"/>
    <w:rsid w:val="003E699C"/>
    <w:rsid w:val="003E69F3"/>
    <w:rsid w:val="003E782E"/>
    <w:rsid w:val="003E7A0B"/>
    <w:rsid w:val="003E7B2B"/>
    <w:rsid w:val="003F181F"/>
    <w:rsid w:val="003F1A48"/>
    <w:rsid w:val="003F1E23"/>
    <w:rsid w:val="003F22F6"/>
    <w:rsid w:val="003F2B0A"/>
    <w:rsid w:val="003F313C"/>
    <w:rsid w:val="003F341B"/>
    <w:rsid w:val="003F37FC"/>
    <w:rsid w:val="003F3A26"/>
    <w:rsid w:val="003F49A6"/>
    <w:rsid w:val="003F5047"/>
    <w:rsid w:val="003F5098"/>
    <w:rsid w:val="003F5568"/>
    <w:rsid w:val="003F5A95"/>
    <w:rsid w:val="003F6D19"/>
    <w:rsid w:val="004000D5"/>
    <w:rsid w:val="00400244"/>
    <w:rsid w:val="004005C1"/>
    <w:rsid w:val="00401030"/>
    <w:rsid w:val="00401716"/>
    <w:rsid w:val="00401A09"/>
    <w:rsid w:val="0040273A"/>
    <w:rsid w:val="00402C25"/>
    <w:rsid w:val="004050D7"/>
    <w:rsid w:val="004078BD"/>
    <w:rsid w:val="00410132"/>
    <w:rsid w:val="004104E4"/>
    <w:rsid w:val="00410A97"/>
    <w:rsid w:val="00410BCD"/>
    <w:rsid w:val="00410DE5"/>
    <w:rsid w:val="0041175D"/>
    <w:rsid w:val="004117CE"/>
    <w:rsid w:val="004123BE"/>
    <w:rsid w:val="00414CE5"/>
    <w:rsid w:val="00416673"/>
    <w:rsid w:val="0042160D"/>
    <w:rsid w:val="00423A3C"/>
    <w:rsid w:val="0042681B"/>
    <w:rsid w:val="00427193"/>
    <w:rsid w:val="0043068A"/>
    <w:rsid w:val="004306E0"/>
    <w:rsid w:val="00431D54"/>
    <w:rsid w:val="004329BE"/>
    <w:rsid w:val="00432C38"/>
    <w:rsid w:val="004342EC"/>
    <w:rsid w:val="00437C76"/>
    <w:rsid w:val="00437F4A"/>
    <w:rsid w:val="00440E2D"/>
    <w:rsid w:val="0044105C"/>
    <w:rsid w:val="00443E95"/>
    <w:rsid w:val="004441A0"/>
    <w:rsid w:val="00444268"/>
    <w:rsid w:val="00444326"/>
    <w:rsid w:val="004443BF"/>
    <w:rsid w:val="00444C19"/>
    <w:rsid w:val="00445218"/>
    <w:rsid w:val="00445CDD"/>
    <w:rsid w:val="00446892"/>
    <w:rsid w:val="004470AE"/>
    <w:rsid w:val="00447E36"/>
    <w:rsid w:val="00450700"/>
    <w:rsid w:val="00450C30"/>
    <w:rsid w:val="004529C7"/>
    <w:rsid w:val="004540FF"/>
    <w:rsid w:val="004541F1"/>
    <w:rsid w:val="00455ECA"/>
    <w:rsid w:val="00457296"/>
    <w:rsid w:val="00457320"/>
    <w:rsid w:val="00460164"/>
    <w:rsid w:val="0046039A"/>
    <w:rsid w:val="00460A6B"/>
    <w:rsid w:val="00461977"/>
    <w:rsid w:val="00461A3F"/>
    <w:rsid w:val="004629FD"/>
    <w:rsid w:val="00462AD2"/>
    <w:rsid w:val="00463B4B"/>
    <w:rsid w:val="00463F4D"/>
    <w:rsid w:val="00464658"/>
    <w:rsid w:val="0046471F"/>
    <w:rsid w:val="00464BE8"/>
    <w:rsid w:val="00465019"/>
    <w:rsid w:val="00465FA4"/>
    <w:rsid w:val="0046613F"/>
    <w:rsid w:val="0046655D"/>
    <w:rsid w:val="00466808"/>
    <w:rsid w:val="00466AAE"/>
    <w:rsid w:val="0046765E"/>
    <w:rsid w:val="004676E2"/>
    <w:rsid w:val="00471EDD"/>
    <w:rsid w:val="00473E94"/>
    <w:rsid w:val="0047400C"/>
    <w:rsid w:val="004745D9"/>
    <w:rsid w:val="00474B94"/>
    <w:rsid w:val="004762D8"/>
    <w:rsid w:val="004765B3"/>
    <w:rsid w:val="00476D29"/>
    <w:rsid w:val="00477241"/>
    <w:rsid w:val="0047728F"/>
    <w:rsid w:val="004774F5"/>
    <w:rsid w:val="00477EAF"/>
    <w:rsid w:val="00477EE0"/>
    <w:rsid w:val="00480AB8"/>
    <w:rsid w:val="0048139F"/>
    <w:rsid w:val="00481C00"/>
    <w:rsid w:val="00483053"/>
    <w:rsid w:val="00484874"/>
    <w:rsid w:val="00485230"/>
    <w:rsid w:val="004879E9"/>
    <w:rsid w:val="00487F81"/>
    <w:rsid w:val="00490247"/>
    <w:rsid w:val="0049104F"/>
    <w:rsid w:val="00491218"/>
    <w:rsid w:val="00491CFD"/>
    <w:rsid w:val="00493362"/>
    <w:rsid w:val="00494343"/>
    <w:rsid w:val="00496C2F"/>
    <w:rsid w:val="0049740D"/>
    <w:rsid w:val="004978D3"/>
    <w:rsid w:val="004A11F8"/>
    <w:rsid w:val="004A22BD"/>
    <w:rsid w:val="004A22FA"/>
    <w:rsid w:val="004A269A"/>
    <w:rsid w:val="004A30FB"/>
    <w:rsid w:val="004A35DD"/>
    <w:rsid w:val="004A37D3"/>
    <w:rsid w:val="004A3AD6"/>
    <w:rsid w:val="004A5865"/>
    <w:rsid w:val="004A7670"/>
    <w:rsid w:val="004A77DF"/>
    <w:rsid w:val="004B0295"/>
    <w:rsid w:val="004B0803"/>
    <w:rsid w:val="004B10A8"/>
    <w:rsid w:val="004B1F58"/>
    <w:rsid w:val="004B1F9D"/>
    <w:rsid w:val="004B22DA"/>
    <w:rsid w:val="004B3CB7"/>
    <w:rsid w:val="004B3D55"/>
    <w:rsid w:val="004B55B7"/>
    <w:rsid w:val="004B5836"/>
    <w:rsid w:val="004B5F05"/>
    <w:rsid w:val="004C00A6"/>
    <w:rsid w:val="004C0BBB"/>
    <w:rsid w:val="004C1AD6"/>
    <w:rsid w:val="004C1B86"/>
    <w:rsid w:val="004C3382"/>
    <w:rsid w:val="004C3867"/>
    <w:rsid w:val="004C4AB7"/>
    <w:rsid w:val="004C4B88"/>
    <w:rsid w:val="004C4CD0"/>
    <w:rsid w:val="004C57B5"/>
    <w:rsid w:val="004C5C25"/>
    <w:rsid w:val="004C6717"/>
    <w:rsid w:val="004C6CFF"/>
    <w:rsid w:val="004C70DC"/>
    <w:rsid w:val="004C7268"/>
    <w:rsid w:val="004D0211"/>
    <w:rsid w:val="004D1C9C"/>
    <w:rsid w:val="004D458D"/>
    <w:rsid w:val="004D504B"/>
    <w:rsid w:val="004D536E"/>
    <w:rsid w:val="004D70B1"/>
    <w:rsid w:val="004D76CC"/>
    <w:rsid w:val="004E1839"/>
    <w:rsid w:val="004E4A75"/>
    <w:rsid w:val="004E541A"/>
    <w:rsid w:val="004E5A5C"/>
    <w:rsid w:val="004E7007"/>
    <w:rsid w:val="004E76D6"/>
    <w:rsid w:val="004E7F57"/>
    <w:rsid w:val="004F06F5"/>
    <w:rsid w:val="004F191F"/>
    <w:rsid w:val="004F2A4D"/>
    <w:rsid w:val="004F2A73"/>
    <w:rsid w:val="004F33A0"/>
    <w:rsid w:val="004F4353"/>
    <w:rsid w:val="004F447D"/>
    <w:rsid w:val="004F4C28"/>
    <w:rsid w:val="004F4E82"/>
    <w:rsid w:val="004F5470"/>
    <w:rsid w:val="004F5CC5"/>
    <w:rsid w:val="004F6350"/>
    <w:rsid w:val="004F7170"/>
    <w:rsid w:val="004F77AE"/>
    <w:rsid w:val="005028E1"/>
    <w:rsid w:val="00505989"/>
    <w:rsid w:val="00506309"/>
    <w:rsid w:val="0050692E"/>
    <w:rsid w:val="00507040"/>
    <w:rsid w:val="005079F8"/>
    <w:rsid w:val="00510189"/>
    <w:rsid w:val="005108C0"/>
    <w:rsid w:val="00511873"/>
    <w:rsid w:val="00511BF9"/>
    <w:rsid w:val="0051367B"/>
    <w:rsid w:val="00513A89"/>
    <w:rsid w:val="00513B7E"/>
    <w:rsid w:val="005140DE"/>
    <w:rsid w:val="00514474"/>
    <w:rsid w:val="005147E9"/>
    <w:rsid w:val="0051593C"/>
    <w:rsid w:val="00517567"/>
    <w:rsid w:val="0051778E"/>
    <w:rsid w:val="005215EF"/>
    <w:rsid w:val="00524637"/>
    <w:rsid w:val="00524FDD"/>
    <w:rsid w:val="00525137"/>
    <w:rsid w:val="005251DD"/>
    <w:rsid w:val="00526DB6"/>
    <w:rsid w:val="0053017A"/>
    <w:rsid w:val="00530492"/>
    <w:rsid w:val="005308E4"/>
    <w:rsid w:val="00532854"/>
    <w:rsid w:val="005350F2"/>
    <w:rsid w:val="00535152"/>
    <w:rsid w:val="00535359"/>
    <w:rsid w:val="005357A2"/>
    <w:rsid w:val="005359E3"/>
    <w:rsid w:val="00535D87"/>
    <w:rsid w:val="00535EF0"/>
    <w:rsid w:val="005363DF"/>
    <w:rsid w:val="0053734B"/>
    <w:rsid w:val="005375B1"/>
    <w:rsid w:val="00537AFD"/>
    <w:rsid w:val="00537CB4"/>
    <w:rsid w:val="0054516B"/>
    <w:rsid w:val="0054559E"/>
    <w:rsid w:val="005513D5"/>
    <w:rsid w:val="005523B9"/>
    <w:rsid w:val="005545E0"/>
    <w:rsid w:val="00554865"/>
    <w:rsid w:val="00554E57"/>
    <w:rsid w:val="00562749"/>
    <w:rsid w:val="00562DE9"/>
    <w:rsid w:val="005638A5"/>
    <w:rsid w:val="00566381"/>
    <w:rsid w:val="00566A03"/>
    <w:rsid w:val="00571932"/>
    <w:rsid w:val="00573C97"/>
    <w:rsid w:val="00574240"/>
    <w:rsid w:val="0057454C"/>
    <w:rsid w:val="005752EB"/>
    <w:rsid w:val="00575CDC"/>
    <w:rsid w:val="005765D5"/>
    <w:rsid w:val="00576A3E"/>
    <w:rsid w:val="0057703D"/>
    <w:rsid w:val="0058366F"/>
    <w:rsid w:val="00583D5B"/>
    <w:rsid w:val="00583FFD"/>
    <w:rsid w:val="00587CCD"/>
    <w:rsid w:val="005908AE"/>
    <w:rsid w:val="0059176E"/>
    <w:rsid w:val="00592854"/>
    <w:rsid w:val="00593152"/>
    <w:rsid w:val="005934CE"/>
    <w:rsid w:val="00593CA3"/>
    <w:rsid w:val="00594161"/>
    <w:rsid w:val="00594969"/>
    <w:rsid w:val="00594B91"/>
    <w:rsid w:val="00595035"/>
    <w:rsid w:val="00596C5E"/>
    <w:rsid w:val="005A2194"/>
    <w:rsid w:val="005A21E0"/>
    <w:rsid w:val="005A3210"/>
    <w:rsid w:val="005A33A1"/>
    <w:rsid w:val="005A3687"/>
    <w:rsid w:val="005A54EE"/>
    <w:rsid w:val="005A563B"/>
    <w:rsid w:val="005A7500"/>
    <w:rsid w:val="005A77E4"/>
    <w:rsid w:val="005B0262"/>
    <w:rsid w:val="005B0B8F"/>
    <w:rsid w:val="005B1BDB"/>
    <w:rsid w:val="005B22A7"/>
    <w:rsid w:val="005B2BAA"/>
    <w:rsid w:val="005B2D53"/>
    <w:rsid w:val="005B3247"/>
    <w:rsid w:val="005B3409"/>
    <w:rsid w:val="005B498A"/>
    <w:rsid w:val="005B7B12"/>
    <w:rsid w:val="005C16CB"/>
    <w:rsid w:val="005C21D6"/>
    <w:rsid w:val="005C3F9F"/>
    <w:rsid w:val="005C406F"/>
    <w:rsid w:val="005C4A23"/>
    <w:rsid w:val="005C562C"/>
    <w:rsid w:val="005C5812"/>
    <w:rsid w:val="005C6400"/>
    <w:rsid w:val="005C7F1E"/>
    <w:rsid w:val="005D073B"/>
    <w:rsid w:val="005D25B4"/>
    <w:rsid w:val="005D374F"/>
    <w:rsid w:val="005D5802"/>
    <w:rsid w:val="005D6CFC"/>
    <w:rsid w:val="005D73E2"/>
    <w:rsid w:val="005D757A"/>
    <w:rsid w:val="005D7C4B"/>
    <w:rsid w:val="005E1E4B"/>
    <w:rsid w:val="005E362D"/>
    <w:rsid w:val="005E3A0C"/>
    <w:rsid w:val="005E3FAC"/>
    <w:rsid w:val="005E4483"/>
    <w:rsid w:val="005E492C"/>
    <w:rsid w:val="005E4BAA"/>
    <w:rsid w:val="005E52EF"/>
    <w:rsid w:val="005E5B56"/>
    <w:rsid w:val="005E6088"/>
    <w:rsid w:val="005E61DF"/>
    <w:rsid w:val="005E6AB8"/>
    <w:rsid w:val="005E6B65"/>
    <w:rsid w:val="005E6B78"/>
    <w:rsid w:val="005E75B8"/>
    <w:rsid w:val="005F0976"/>
    <w:rsid w:val="005F26CE"/>
    <w:rsid w:val="005F38D3"/>
    <w:rsid w:val="005F4057"/>
    <w:rsid w:val="005F4088"/>
    <w:rsid w:val="005F42F4"/>
    <w:rsid w:val="005F4C83"/>
    <w:rsid w:val="005F5916"/>
    <w:rsid w:val="005F601D"/>
    <w:rsid w:val="005F6119"/>
    <w:rsid w:val="005F7940"/>
    <w:rsid w:val="0060107A"/>
    <w:rsid w:val="00601AFF"/>
    <w:rsid w:val="00602D1D"/>
    <w:rsid w:val="00604307"/>
    <w:rsid w:val="0060487F"/>
    <w:rsid w:val="00605814"/>
    <w:rsid w:val="00606B93"/>
    <w:rsid w:val="00607727"/>
    <w:rsid w:val="00610BD5"/>
    <w:rsid w:val="00611363"/>
    <w:rsid w:val="00611531"/>
    <w:rsid w:val="006118AA"/>
    <w:rsid w:val="00611C28"/>
    <w:rsid w:val="006139C7"/>
    <w:rsid w:val="006150EA"/>
    <w:rsid w:val="006153E3"/>
    <w:rsid w:val="006167AB"/>
    <w:rsid w:val="0061718A"/>
    <w:rsid w:val="00617D2D"/>
    <w:rsid w:val="00617D83"/>
    <w:rsid w:val="00620430"/>
    <w:rsid w:val="00620AC5"/>
    <w:rsid w:val="00621575"/>
    <w:rsid w:val="006215FC"/>
    <w:rsid w:val="00624093"/>
    <w:rsid w:val="00630F66"/>
    <w:rsid w:val="00631FC2"/>
    <w:rsid w:val="00632171"/>
    <w:rsid w:val="0063332A"/>
    <w:rsid w:val="006347F9"/>
    <w:rsid w:val="0063494E"/>
    <w:rsid w:val="00634C90"/>
    <w:rsid w:val="00635818"/>
    <w:rsid w:val="00635E79"/>
    <w:rsid w:val="00636E5E"/>
    <w:rsid w:val="006379E0"/>
    <w:rsid w:val="006404A7"/>
    <w:rsid w:val="006407F3"/>
    <w:rsid w:val="006408EC"/>
    <w:rsid w:val="0064129B"/>
    <w:rsid w:val="00641DF7"/>
    <w:rsid w:val="00643497"/>
    <w:rsid w:val="00643735"/>
    <w:rsid w:val="00643A80"/>
    <w:rsid w:val="00644DFC"/>
    <w:rsid w:val="006451E4"/>
    <w:rsid w:val="006454B4"/>
    <w:rsid w:val="00645A9C"/>
    <w:rsid w:val="006460B8"/>
    <w:rsid w:val="006504A0"/>
    <w:rsid w:val="006520C7"/>
    <w:rsid w:val="006520D5"/>
    <w:rsid w:val="00652CBB"/>
    <w:rsid w:val="006530B8"/>
    <w:rsid w:val="006535D6"/>
    <w:rsid w:val="00656716"/>
    <w:rsid w:val="006572ED"/>
    <w:rsid w:val="00657E87"/>
    <w:rsid w:val="00660457"/>
    <w:rsid w:val="00660CB4"/>
    <w:rsid w:val="00660E1E"/>
    <w:rsid w:val="006637B1"/>
    <w:rsid w:val="00664B64"/>
    <w:rsid w:val="00665D67"/>
    <w:rsid w:val="00665D77"/>
    <w:rsid w:val="006660CD"/>
    <w:rsid w:val="00666EC8"/>
    <w:rsid w:val="00666F4B"/>
    <w:rsid w:val="006676D0"/>
    <w:rsid w:val="0066796E"/>
    <w:rsid w:val="00670FAC"/>
    <w:rsid w:val="006710C9"/>
    <w:rsid w:val="006716A5"/>
    <w:rsid w:val="00674525"/>
    <w:rsid w:val="00675E37"/>
    <w:rsid w:val="006764ED"/>
    <w:rsid w:val="00676AFC"/>
    <w:rsid w:val="00676F11"/>
    <w:rsid w:val="00680079"/>
    <w:rsid w:val="00680ECC"/>
    <w:rsid w:val="00680F68"/>
    <w:rsid w:val="0068260E"/>
    <w:rsid w:val="0068373D"/>
    <w:rsid w:val="00683BFE"/>
    <w:rsid w:val="0068437D"/>
    <w:rsid w:val="006857DF"/>
    <w:rsid w:val="00685E66"/>
    <w:rsid w:val="00686B72"/>
    <w:rsid w:val="00686BF1"/>
    <w:rsid w:val="00687AE5"/>
    <w:rsid w:val="00690A09"/>
    <w:rsid w:val="00690A25"/>
    <w:rsid w:val="006936AD"/>
    <w:rsid w:val="00693EA1"/>
    <w:rsid w:val="00693FEA"/>
    <w:rsid w:val="00694930"/>
    <w:rsid w:val="00695170"/>
    <w:rsid w:val="00695BEF"/>
    <w:rsid w:val="006960D6"/>
    <w:rsid w:val="00696AA5"/>
    <w:rsid w:val="006977F6"/>
    <w:rsid w:val="00697A13"/>
    <w:rsid w:val="006A109C"/>
    <w:rsid w:val="006A18AE"/>
    <w:rsid w:val="006A2EE8"/>
    <w:rsid w:val="006A3CF3"/>
    <w:rsid w:val="006A568F"/>
    <w:rsid w:val="006A65EF"/>
    <w:rsid w:val="006A672B"/>
    <w:rsid w:val="006B23A9"/>
    <w:rsid w:val="006B23D8"/>
    <w:rsid w:val="006B281D"/>
    <w:rsid w:val="006B3F8A"/>
    <w:rsid w:val="006B5CA3"/>
    <w:rsid w:val="006B6B3B"/>
    <w:rsid w:val="006B7248"/>
    <w:rsid w:val="006B7714"/>
    <w:rsid w:val="006B78D8"/>
    <w:rsid w:val="006C090F"/>
    <w:rsid w:val="006C0935"/>
    <w:rsid w:val="006C0BCE"/>
    <w:rsid w:val="006C113F"/>
    <w:rsid w:val="006C2AED"/>
    <w:rsid w:val="006C38DD"/>
    <w:rsid w:val="006C457F"/>
    <w:rsid w:val="006C53C7"/>
    <w:rsid w:val="006C5577"/>
    <w:rsid w:val="006C559A"/>
    <w:rsid w:val="006C58FA"/>
    <w:rsid w:val="006D004F"/>
    <w:rsid w:val="006D042D"/>
    <w:rsid w:val="006D06EF"/>
    <w:rsid w:val="006D142E"/>
    <w:rsid w:val="006D3B87"/>
    <w:rsid w:val="006D4497"/>
    <w:rsid w:val="006D4E6F"/>
    <w:rsid w:val="006D61F6"/>
    <w:rsid w:val="006D710C"/>
    <w:rsid w:val="006E0EB0"/>
    <w:rsid w:val="006E1F4C"/>
    <w:rsid w:val="006E22C8"/>
    <w:rsid w:val="006E279A"/>
    <w:rsid w:val="006E2C28"/>
    <w:rsid w:val="006E2D21"/>
    <w:rsid w:val="006E2F3F"/>
    <w:rsid w:val="006E313B"/>
    <w:rsid w:val="006E442A"/>
    <w:rsid w:val="006E4434"/>
    <w:rsid w:val="006E59FC"/>
    <w:rsid w:val="006E5CFD"/>
    <w:rsid w:val="006E7E2C"/>
    <w:rsid w:val="006F1326"/>
    <w:rsid w:val="006F2280"/>
    <w:rsid w:val="006F2BEE"/>
    <w:rsid w:val="006F3708"/>
    <w:rsid w:val="006F376C"/>
    <w:rsid w:val="006F3E6B"/>
    <w:rsid w:val="006F4619"/>
    <w:rsid w:val="006F4A59"/>
    <w:rsid w:val="006F6968"/>
    <w:rsid w:val="00700232"/>
    <w:rsid w:val="007014C7"/>
    <w:rsid w:val="00702100"/>
    <w:rsid w:val="00702D6F"/>
    <w:rsid w:val="00703B6C"/>
    <w:rsid w:val="00703C6B"/>
    <w:rsid w:val="007047D5"/>
    <w:rsid w:val="00705D98"/>
    <w:rsid w:val="00707891"/>
    <w:rsid w:val="00707D43"/>
    <w:rsid w:val="00711EF1"/>
    <w:rsid w:val="0071229A"/>
    <w:rsid w:val="00712572"/>
    <w:rsid w:val="00713495"/>
    <w:rsid w:val="00713EEB"/>
    <w:rsid w:val="007159D2"/>
    <w:rsid w:val="0072050E"/>
    <w:rsid w:val="00720FA2"/>
    <w:rsid w:val="007211F5"/>
    <w:rsid w:val="00724666"/>
    <w:rsid w:val="00724E80"/>
    <w:rsid w:val="00725492"/>
    <w:rsid w:val="00726043"/>
    <w:rsid w:val="0072704A"/>
    <w:rsid w:val="00730AE8"/>
    <w:rsid w:val="007315DA"/>
    <w:rsid w:val="00731963"/>
    <w:rsid w:val="00732706"/>
    <w:rsid w:val="00734321"/>
    <w:rsid w:val="0073532E"/>
    <w:rsid w:val="007360D7"/>
    <w:rsid w:val="00740310"/>
    <w:rsid w:val="00740652"/>
    <w:rsid w:val="00740F02"/>
    <w:rsid w:val="00740FEC"/>
    <w:rsid w:val="0074132E"/>
    <w:rsid w:val="00741493"/>
    <w:rsid w:val="007426B3"/>
    <w:rsid w:val="007426FD"/>
    <w:rsid w:val="007430AB"/>
    <w:rsid w:val="0074329D"/>
    <w:rsid w:val="00744376"/>
    <w:rsid w:val="007449EA"/>
    <w:rsid w:val="00744D00"/>
    <w:rsid w:val="00744D2B"/>
    <w:rsid w:val="00745273"/>
    <w:rsid w:val="00746DD9"/>
    <w:rsid w:val="0075057A"/>
    <w:rsid w:val="00751771"/>
    <w:rsid w:val="00751C1C"/>
    <w:rsid w:val="00752180"/>
    <w:rsid w:val="007521A1"/>
    <w:rsid w:val="00752BC3"/>
    <w:rsid w:val="0075315D"/>
    <w:rsid w:val="007538F9"/>
    <w:rsid w:val="00754253"/>
    <w:rsid w:val="007552BB"/>
    <w:rsid w:val="007558D3"/>
    <w:rsid w:val="007559D7"/>
    <w:rsid w:val="00755B0A"/>
    <w:rsid w:val="00755D3A"/>
    <w:rsid w:val="00760141"/>
    <w:rsid w:val="007609C6"/>
    <w:rsid w:val="007610A0"/>
    <w:rsid w:val="00762036"/>
    <w:rsid w:val="007620F2"/>
    <w:rsid w:val="00762EBA"/>
    <w:rsid w:val="0076359D"/>
    <w:rsid w:val="0077058D"/>
    <w:rsid w:val="00770931"/>
    <w:rsid w:val="00772536"/>
    <w:rsid w:val="00773613"/>
    <w:rsid w:val="00774782"/>
    <w:rsid w:val="00776476"/>
    <w:rsid w:val="00776527"/>
    <w:rsid w:val="007805E1"/>
    <w:rsid w:val="0078113E"/>
    <w:rsid w:val="00781834"/>
    <w:rsid w:val="007821DB"/>
    <w:rsid w:val="00782818"/>
    <w:rsid w:val="007838F1"/>
    <w:rsid w:val="00784C4A"/>
    <w:rsid w:val="00787432"/>
    <w:rsid w:val="00787507"/>
    <w:rsid w:val="007879F2"/>
    <w:rsid w:val="00790393"/>
    <w:rsid w:val="00791804"/>
    <w:rsid w:val="00791CF8"/>
    <w:rsid w:val="00791EF9"/>
    <w:rsid w:val="00792262"/>
    <w:rsid w:val="00793387"/>
    <w:rsid w:val="00793BAE"/>
    <w:rsid w:val="00794E0A"/>
    <w:rsid w:val="00796642"/>
    <w:rsid w:val="007A11D9"/>
    <w:rsid w:val="007A327B"/>
    <w:rsid w:val="007A4048"/>
    <w:rsid w:val="007A45B1"/>
    <w:rsid w:val="007A4606"/>
    <w:rsid w:val="007B0D67"/>
    <w:rsid w:val="007B1966"/>
    <w:rsid w:val="007B2257"/>
    <w:rsid w:val="007B2779"/>
    <w:rsid w:val="007B2AF7"/>
    <w:rsid w:val="007B3DCC"/>
    <w:rsid w:val="007B3F17"/>
    <w:rsid w:val="007B4518"/>
    <w:rsid w:val="007B5031"/>
    <w:rsid w:val="007B573F"/>
    <w:rsid w:val="007B72AC"/>
    <w:rsid w:val="007B78F8"/>
    <w:rsid w:val="007C0065"/>
    <w:rsid w:val="007C010B"/>
    <w:rsid w:val="007C32B6"/>
    <w:rsid w:val="007C3AE3"/>
    <w:rsid w:val="007C605B"/>
    <w:rsid w:val="007C6EBA"/>
    <w:rsid w:val="007D2A5A"/>
    <w:rsid w:val="007D2AD8"/>
    <w:rsid w:val="007D2C47"/>
    <w:rsid w:val="007D2F81"/>
    <w:rsid w:val="007D3167"/>
    <w:rsid w:val="007D3CF7"/>
    <w:rsid w:val="007D4128"/>
    <w:rsid w:val="007D4281"/>
    <w:rsid w:val="007D42F5"/>
    <w:rsid w:val="007D44C3"/>
    <w:rsid w:val="007D5947"/>
    <w:rsid w:val="007D65C1"/>
    <w:rsid w:val="007E030F"/>
    <w:rsid w:val="007E0D49"/>
    <w:rsid w:val="007E0E59"/>
    <w:rsid w:val="007E0F4B"/>
    <w:rsid w:val="007E1EF7"/>
    <w:rsid w:val="007E3715"/>
    <w:rsid w:val="007E7063"/>
    <w:rsid w:val="007E7E61"/>
    <w:rsid w:val="007F0845"/>
    <w:rsid w:val="007F1092"/>
    <w:rsid w:val="007F16F9"/>
    <w:rsid w:val="007F3E3E"/>
    <w:rsid w:val="007F42E0"/>
    <w:rsid w:val="007F500D"/>
    <w:rsid w:val="007F5F14"/>
    <w:rsid w:val="007F7B54"/>
    <w:rsid w:val="007F7C60"/>
    <w:rsid w:val="00800073"/>
    <w:rsid w:val="008005D7"/>
    <w:rsid w:val="00801FDD"/>
    <w:rsid w:val="008020C2"/>
    <w:rsid w:val="0080255C"/>
    <w:rsid w:val="00806088"/>
    <w:rsid w:val="00806D07"/>
    <w:rsid w:val="0081019B"/>
    <w:rsid w:val="0081187C"/>
    <w:rsid w:val="00811E24"/>
    <w:rsid w:val="00812386"/>
    <w:rsid w:val="00812E2B"/>
    <w:rsid w:val="00813A70"/>
    <w:rsid w:val="00813FE6"/>
    <w:rsid w:val="00815C6E"/>
    <w:rsid w:val="00815F10"/>
    <w:rsid w:val="0081645F"/>
    <w:rsid w:val="00817755"/>
    <w:rsid w:val="008178C2"/>
    <w:rsid w:val="008178CF"/>
    <w:rsid w:val="00817C98"/>
    <w:rsid w:val="00820C9F"/>
    <w:rsid w:val="00821AAE"/>
    <w:rsid w:val="00821FF6"/>
    <w:rsid w:val="00823AAF"/>
    <w:rsid w:val="00824081"/>
    <w:rsid w:val="0082409A"/>
    <w:rsid w:val="008252D7"/>
    <w:rsid w:val="00825C0F"/>
    <w:rsid w:val="00826376"/>
    <w:rsid w:val="00826ED1"/>
    <w:rsid w:val="00827181"/>
    <w:rsid w:val="0082733C"/>
    <w:rsid w:val="00827746"/>
    <w:rsid w:val="0083102D"/>
    <w:rsid w:val="0083143E"/>
    <w:rsid w:val="0083159D"/>
    <w:rsid w:val="008318FF"/>
    <w:rsid w:val="00832187"/>
    <w:rsid w:val="00832493"/>
    <w:rsid w:val="008329BD"/>
    <w:rsid w:val="008336D8"/>
    <w:rsid w:val="008339C4"/>
    <w:rsid w:val="00834F0A"/>
    <w:rsid w:val="00834FAA"/>
    <w:rsid w:val="00835181"/>
    <w:rsid w:val="00835991"/>
    <w:rsid w:val="00836086"/>
    <w:rsid w:val="00840699"/>
    <w:rsid w:val="00841D9F"/>
    <w:rsid w:val="00842078"/>
    <w:rsid w:val="00842604"/>
    <w:rsid w:val="00843ECF"/>
    <w:rsid w:val="00845AB1"/>
    <w:rsid w:val="00846673"/>
    <w:rsid w:val="008508A9"/>
    <w:rsid w:val="0085188D"/>
    <w:rsid w:val="0085281A"/>
    <w:rsid w:val="00853F33"/>
    <w:rsid w:val="008559FE"/>
    <w:rsid w:val="00857339"/>
    <w:rsid w:val="00860706"/>
    <w:rsid w:val="00862A7A"/>
    <w:rsid w:val="00863104"/>
    <w:rsid w:val="008636CD"/>
    <w:rsid w:val="00863702"/>
    <w:rsid w:val="00863D9E"/>
    <w:rsid w:val="00863FDC"/>
    <w:rsid w:val="008642AF"/>
    <w:rsid w:val="00865729"/>
    <w:rsid w:val="00865ED4"/>
    <w:rsid w:val="008669A7"/>
    <w:rsid w:val="00867464"/>
    <w:rsid w:val="00867E29"/>
    <w:rsid w:val="00870F2B"/>
    <w:rsid w:val="00873B2E"/>
    <w:rsid w:val="008746E6"/>
    <w:rsid w:val="0087515D"/>
    <w:rsid w:val="0087594C"/>
    <w:rsid w:val="00876086"/>
    <w:rsid w:val="008765FA"/>
    <w:rsid w:val="008768D6"/>
    <w:rsid w:val="008775D1"/>
    <w:rsid w:val="008777BB"/>
    <w:rsid w:val="00877D68"/>
    <w:rsid w:val="00877E5D"/>
    <w:rsid w:val="00880150"/>
    <w:rsid w:val="00880ABA"/>
    <w:rsid w:val="00883A67"/>
    <w:rsid w:val="00883D45"/>
    <w:rsid w:val="00884D69"/>
    <w:rsid w:val="0088503D"/>
    <w:rsid w:val="00885EC6"/>
    <w:rsid w:val="008869D2"/>
    <w:rsid w:val="00886A8F"/>
    <w:rsid w:val="0088733A"/>
    <w:rsid w:val="00891BE0"/>
    <w:rsid w:val="00893302"/>
    <w:rsid w:val="00893648"/>
    <w:rsid w:val="00893F3C"/>
    <w:rsid w:val="008945A1"/>
    <w:rsid w:val="00894A63"/>
    <w:rsid w:val="00895A54"/>
    <w:rsid w:val="00896776"/>
    <w:rsid w:val="00896916"/>
    <w:rsid w:val="00896BDE"/>
    <w:rsid w:val="008A0861"/>
    <w:rsid w:val="008A0BB2"/>
    <w:rsid w:val="008A1AB3"/>
    <w:rsid w:val="008A1D5C"/>
    <w:rsid w:val="008A3292"/>
    <w:rsid w:val="008A3A85"/>
    <w:rsid w:val="008A43E9"/>
    <w:rsid w:val="008A4CB1"/>
    <w:rsid w:val="008A615E"/>
    <w:rsid w:val="008A632B"/>
    <w:rsid w:val="008A6BFE"/>
    <w:rsid w:val="008A73DA"/>
    <w:rsid w:val="008B00C2"/>
    <w:rsid w:val="008B07EF"/>
    <w:rsid w:val="008B16DE"/>
    <w:rsid w:val="008B190E"/>
    <w:rsid w:val="008B1A8A"/>
    <w:rsid w:val="008B1FC9"/>
    <w:rsid w:val="008B531F"/>
    <w:rsid w:val="008B54A3"/>
    <w:rsid w:val="008B634C"/>
    <w:rsid w:val="008B6B67"/>
    <w:rsid w:val="008B7306"/>
    <w:rsid w:val="008B775F"/>
    <w:rsid w:val="008B7C02"/>
    <w:rsid w:val="008B7D13"/>
    <w:rsid w:val="008B7F9E"/>
    <w:rsid w:val="008C034E"/>
    <w:rsid w:val="008C0E88"/>
    <w:rsid w:val="008C1399"/>
    <w:rsid w:val="008C1AA8"/>
    <w:rsid w:val="008C22A8"/>
    <w:rsid w:val="008C5B43"/>
    <w:rsid w:val="008C63FD"/>
    <w:rsid w:val="008C6CB8"/>
    <w:rsid w:val="008C6D92"/>
    <w:rsid w:val="008C777A"/>
    <w:rsid w:val="008C7815"/>
    <w:rsid w:val="008C7A07"/>
    <w:rsid w:val="008C7E90"/>
    <w:rsid w:val="008C7EB3"/>
    <w:rsid w:val="008D0171"/>
    <w:rsid w:val="008D13EA"/>
    <w:rsid w:val="008D2671"/>
    <w:rsid w:val="008D2A16"/>
    <w:rsid w:val="008D2ECF"/>
    <w:rsid w:val="008D347D"/>
    <w:rsid w:val="008D3F3D"/>
    <w:rsid w:val="008D4376"/>
    <w:rsid w:val="008E0367"/>
    <w:rsid w:val="008E308D"/>
    <w:rsid w:val="008E31FF"/>
    <w:rsid w:val="008E46A3"/>
    <w:rsid w:val="008E5DE6"/>
    <w:rsid w:val="008E6113"/>
    <w:rsid w:val="008E6AB3"/>
    <w:rsid w:val="008E6AD3"/>
    <w:rsid w:val="008E6EBD"/>
    <w:rsid w:val="008E71A6"/>
    <w:rsid w:val="008E77B6"/>
    <w:rsid w:val="008E7C55"/>
    <w:rsid w:val="008F032E"/>
    <w:rsid w:val="008F0F14"/>
    <w:rsid w:val="008F2F44"/>
    <w:rsid w:val="008F4FCE"/>
    <w:rsid w:val="008F5301"/>
    <w:rsid w:val="008F6967"/>
    <w:rsid w:val="008F6A0C"/>
    <w:rsid w:val="008F6F38"/>
    <w:rsid w:val="008F7721"/>
    <w:rsid w:val="008F7D28"/>
    <w:rsid w:val="009003A8"/>
    <w:rsid w:val="009010A7"/>
    <w:rsid w:val="009010E3"/>
    <w:rsid w:val="00901703"/>
    <w:rsid w:val="00901AF3"/>
    <w:rsid w:val="00902CBE"/>
    <w:rsid w:val="00902D74"/>
    <w:rsid w:val="00902EFF"/>
    <w:rsid w:val="00903E06"/>
    <w:rsid w:val="00904B9D"/>
    <w:rsid w:val="00905A11"/>
    <w:rsid w:val="009066E1"/>
    <w:rsid w:val="00906F67"/>
    <w:rsid w:val="00907A41"/>
    <w:rsid w:val="009102BD"/>
    <w:rsid w:val="00910F93"/>
    <w:rsid w:val="0091255A"/>
    <w:rsid w:val="00914426"/>
    <w:rsid w:val="0091675F"/>
    <w:rsid w:val="00917709"/>
    <w:rsid w:val="00917918"/>
    <w:rsid w:val="00920874"/>
    <w:rsid w:val="00921F14"/>
    <w:rsid w:val="00923750"/>
    <w:rsid w:val="009243A5"/>
    <w:rsid w:val="0092500F"/>
    <w:rsid w:val="009250D2"/>
    <w:rsid w:val="0092519D"/>
    <w:rsid w:val="0092540B"/>
    <w:rsid w:val="009256C5"/>
    <w:rsid w:val="00926283"/>
    <w:rsid w:val="009306BE"/>
    <w:rsid w:val="00937B11"/>
    <w:rsid w:val="00940F1F"/>
    <w:rsid w:val="00941250"/>
    <w:rsid w:val="00941339"/>
    <w:rsid w:val="0094396E"/>
    <w:rsid w:val="0094427A"/>
    <w:rsid w:val="00944380"/>
    <w:rsid w:val="009459C5"/>
    <w:rsid w:val="00945E5E"/>
    <w:rsid w:val="0094626C"/>
    <w:rsid w:val="0095013A"/>
    <w:rsid w:val="00953AEF"/>
    <w:rsid w:val="009551E2"/>
    <w:rsid w:val="00955783"/>
    <w:rsid w:val="009558A6"/>
    <w:rsid w:val="00955E5F"/>
    <w:rsid w:val="009560B0"/>
    <w:rsid w:val="00956F23"/>
    <w:rsid w:val="009576AC"/>
    <w:rsid w:val="00957871"/>
    <w:rsid w:val="00960077"/>
    <w:rsid w:val="00960769"/>
    <w:rsid w:val="00962D2E"/>
    <w:rsid w:val="00963724"/>
    <w:rsid w:val="00964498"/>
    <w:rsid w:val="0096504D"/>
    <w:rsid w:val="00965795"/>
    <w:rsid w:val="00965A2D"/>
    <w:rsid w:val="009663EB"/>
    <w:rsid w:val="0096650F"/>
    <w:rsid w:val="00967801"/>
    <w:rsid w:val="00967AD2"/>
    <w:rsid w:val="00967C71"/>
    <w:rsid w:val="009700DB"/>
    <w:rsid w:val="00971DC6"/>
    <w:rsid w:val="00972263"/>
    <w:rsid w:val="00972502"/>
    <w:rsid w:val="00972D8D"/>
    <w:rsid w:val="00973AAE"/>
    <w:rsid w:val="0097476C"/>
    <w:rsid w:val="00974923"/>
    <w:rsid w:val="00974D48"/>
    <w:rsid w:val="00974D5F"/>
    <w:rsid w:val="00975017"/>
    <w:rsid w:val="009759DF"/>
    <w:rsid w:val="00980373"/>
    <w:rsid w:val="00980621"/>
    <w:rsid w:val="0098095B"/>
    <w:rsid w:val="00982072"/>
    <w:rsid w:val="009833FA"/>
    <w:rsid w:val="00983DBB"/>
    <w:rsid w:val="00983ECF"/>
    <w:rsid w:val="00986745"/>
    <w:rsid w:val="009867BC"/>
    <w:rsid w:val="00987109"/>
    <w:rsid w:val="00987309"/>
    <w:rsid w:val="0099012D"/>
    <w:rsid w:val="00990363"/>
    <w:rsid w:val="00993D9C"/>
    <w:rsid w:val="009954FF"/>
    <w:rsid w:val="00995E2F"/>
    <w:rsid w:val="009961BC"/>
    <w:rsid w:val="00996355"/>
    <w:rsid w:val="00997914"/>
    <w:rsid w:val="00997ADD"/>
    <w:rsid w:val="009A2014"/>
    <w:rsid w:val="009A2030"/>
    <w:rsid w:val="009A3A87"/>
    <w:rsid w:val="009A4E12"/>
    <w:rsid w:val="009A5C68"/>
    <w:rsid w:val="009A6EF7"/>
    <w:rsid w:val="009B04D0"/>
    <w:rsid w:val="009B052C"/>
    <w:rsid w:val="009B0975"/>
    <w:rsid w:val="009B0EF2"/>
    <w:rsid w:val="009B23A3"/>
    <w:rsid w:val="009B2C0E"/>
    <w:rsid w:val="009B47BE"/>
    <w:rsid w:val="009B4925"/>
    <w:rsid w:val="009B4B4B"/>
    <w:rsid w:val="009B4CE3"/>
    <w:rsid w:val="009B6FD3"/>
    <w:rsid w:val="009B70BD"/>
    <w:rsid w:val="009C07A5"/>
    <w:rsid w:val="009C3705"/>
    <w:rsid w:val="009C7388"/>
    <w:rsid w:val="009C74C2"/>
    <w:rsid w:val="009D0CFF"/>
    <w:rsid w:val="009D1551"/>
    <w:rsid w:val="009D2859"/>
    <w:rsid w:val="009D36EC"/>
    <w:rsid w:val="009D4173"/>
    <w:rsid w:val="009D51CA"/>
    <w:rsid w:val="009D6095"/>
    <w:rsid w:val="009D6306"/>
    <w:rsid w:val="009E048A"/>
    <w:rsid w:val="009E1FBA"/>
    <w:rsid w:val="009E2C54"/>
    <w:rsid w:val="009E3710"/>
    <w:rsid w:val="009E6F65"/>
    <w:rsid w:val="009E7340"/>
    <w:rsid w:val="009E7B1F"/>
    <w:rsid w:val="009F346F"/>
    <w:rsid w:val="009F371A"/>
    <w:rsid w:val="009F3F25"/>
    <w:rsid w:val="009F3FC3"/>
    <w:rsid w:val="009F41C4"/>
    <w:rsid w:val="009F5846"/>
    <w:rsid w:val="009F63D2"/>
    <w:rsid w:val="009F777A"/>
    <w:rsid w:val="009F7B52"/>
    <w:rsid w:val="009F7D77"/>
    <w:rsid w:val="00A004D2"/>
    <w:rsid w:val="00A015EA"/>
    <w:rsid w:val="00A05B91"/>
    <w:rsid w:val="00A10D66"/>
    <w:rsid w:val="00A12BA8"/>
    <w:rsid w:val="00A13993"/>
    <w:rsid w:val="00A1420C"/>
    <w:rsid w:val="00A1456C"/>
    <w:rsid w:val="00A14821"/>
    <w:rsid w:val="00A17754"/>
    <w:rsid w:val="00A2055B"/>
    <w:rsid w:val="00A20E22"/>
    <w:rsid w:val="00A2253C"/>
    <w:rsid w:val="00A23545"/>
    <w:rsid w:val="00A23A55"/>
    <w:rsid w:val="00A23E43"/>
    <w:rsid w:val="00A23EF0"/>
    <w:rsid w:val="00A24F8C"/>
    <w:rsid w:val="00A262BF"/>
    <w:rsid w:val="00A271AD"/>
    <w:rsid w:val="00A276D5"/>
    <w:rsid w:val="00A30336"/>
    <w:rsid w:val="00A30BB5"/>
    <w:rsid w:val="00A3128F"/>
    <w:rsid w:val="00A326D0"/>
    <w:rsid w:val="00A35287"/>
    <w:rsid w:val="00A378F8"/>
    <w:rsid w:val="00A40B19"/>
    <w:rsid w:val="00A41D07"/>
    <w:rsid w:val="00A424F8"/>
    <w:rsid w:val="00A42883"/>
    <w:rsid w:val="00A437B7"/>
    <w:rsid w:val="00A46C70"/>
    <w:rsid w:val="00A46D48"/>
    <w:rsid w:val="00A46DE0"/>
    <w:rsid w:val="00A4778A"/>
    <w:rsid w:val="00A47C94"/>
    <w:rsid w:val="00A504C0"/>
    <w:rsid w:val="00A5067F"/>
    <w:rsid w:val="00A517C1"/>
    <w:rsid w:val="00A518E0"/>
    <w:rsid w:val="00A5408A"/>
    <w:rsid w:val="00A55301"/>
    <w:rsid w:val="00A572FB"/>
    <w:rsid w:val="00A57B3C"/>
    <w:rsid w:val="00A57F1B"/>
    <w:rsid w:val="00A600D2"/>
    <w:rsid w:val="00A6128E"/>
    <w:rsid w:val="00A62BC7"/>
    <w:rsid w:val="00A62CE1"/>
    <w:rsid w:val="00A631FA"/>
    <w:rsid w:val="00A64203"/>
    <w:rsid w:val="00A64348"/>
    <w:rsid w:val="00A644E1"/>
    <w:rsid w:val="00A711B0"/>
    <w:rsid w:val="00A721FB"/>
    <w:rsid w:val="00A727BA"/>
    <w:rsid w:val="00A72D4B"/>
    <w:rsid w:val="00A732AE"/>
    <w:rsid w:val="00A74192"/>
    <w:rsid w:val="00A75837"/>
    <w:rsid w:val="00A75E40"/>
    <w:rsid w:val="00A76B12"/>
    <w:rsid w:val="00A76EF2"/>
    <w:rsid w:val="00A77EB2"/>
    <w:rsid w:val="00A81094"/>
    <w:rsid w:val="00A82B66"/>
    <w:rsid w:val="00A83B58"/>
    <w:rsid w:val="00A84FAF"/>
    <w:rsid w:val="00A851B6"/>
    <w:rsid w:val="00A85729"/>
    <w:rsid w:val="00A8574B"/>
    <w:rsid w:val="00A857C0"/>
    <w:rsid w:val="00A90343"/>
    <w:rsid w:val="00A91336"/>
    <w:rsid w:val="00A9221C"/>
    <w:rsid w:val="00A924DB"/>
    <w:rsid w:val="00A92916"/>
    <w:rsid w:val="00A94628"/>
    <w:rsid w:val="00A94954"/>
    <w:rsid w:val="00A96463"/>
    <w:rsid w:val="00A97E3F"/>
    <w:rsid w:val="00AA09D3"/>
    <w:rsid w:val="00AA220F"/>
    <w:rsid w:val="00AA23FB"/>
    <w:rsid w:val="00AA34FE"/>
    <w:rsid w:val="00AA42AB"/>
    <w:rsid w:val="00AA559A"/>
    <w:rsid w:val="00AA5F10"/>
    <w:rsid w:val="00AB0BB9"/>
    <w:rsid w:val="00AB104D"/>
    <w:rsid w:val="00AB1441"/>
    <w:rsid w:val="00AB2AF1"/>
    <w:rsid w:val="00AB440B"/>
    <w:rsid w:val="00AB47E3"/>
    <w:rsid w:val="00AB74C5"/>
    <w:rsid w:val="00AB7BEE"/>
    <w:rsid w:val="00AB7DF2"/>
    <w:rsid w:val="00AC1E3F"/>
    <w:rsid w:val="00AC219A"/>
    <w:rsid w:val="00AC4F18"/>
    <w:rsid w:val="00AD0B46"/>
    <w:rsid w:val="00AD1094"/>
    <w:rsid w:val="00AD2565"/>
    <w:rsid w:val="00AD306C"/>
    <w:rsid w:val="00AD3424"/>
    <w:rsid w:val="00AD4FEF"/>
    <w:rsid w:val="00AD50D1"/>
    <w:rsid w:val="00AD59BB"/>
    <w:rsid w:val="00AD5D68"/>
    <w:rsid w:val="00AD6C73"/>
    <w:rsid w:val="00AD7D49"/>
    <w:rsid w:val="00AE06D0"/>
    <w:rsid w:val="00AE1B8A"/>
    <w:rsid w:val="00AE39DC"/>
    <w:rsid w:val="00AE3CDA"/>
    <w:rsid w:val="00AE7968"/>
    <w:rsid w:val="00AE7B2B"/>
    <w:rsid w:val="00AE7DFF"/>
    <w:rsid w:val="00AF128B"/>
    <w:rsid w:val="00AF1AEA"/>
    <w:rsid w:val="00AF2852"/>
    <w:rsid w:val="00AF3225"/>
    <w:rsid w:val="00AF4983"/>
    <w:rsid w:val="00AF518B"/>
    <w:rsid w:val="00AF5275"/>
    <w:rsid w:val="00AF5D62"/>
    <w:rsid w:val="00AF6367"/>
    <w:rsid w:val="00AF6A79"/>
    <w:rsid w:val="00AF724E"/>
    <w:rsid w:val="00AF73A9"/>
    <w:rsid w:val="00B01436"/>
    <w:rsid w:val="00B01C2C"/>
    <w:rsid w:val="00B0231C"/>
    <w:rsid w:val="00B07372"/>
    <w:rsid w:val="00B07C2A"/>
    <w:rsid w:val="00B13681"/>
    <w:rsid w:val="00B15DCD"/>
    <w:rsid w:val="00B17E71"/>
    <w:rsid w:val="00B17FDE"/>
    <w:rsid w:val="00B208FC"/>
    <w:rsid w:val="00B20C65"/>
    <w:rsid w:val="00B22E17"/>
    <w:rsid w:val="00B25567"/>
    <w:rsid w:val="00B266C5"/>
    <w:rsid w:val="00B27293"/>
    <w:rsid w:val="00B301BB"/>
    <w:rsid w:val="00B321E3"/>
    <w:rsid w:val="00B3229E"/>
    <w:rsid w:val="00B32DDB"/>
    <w:rsid w:val="00B34931"/>
    <w:rsid w:val="00B35174"/>
    <w:rsid w:val="00B35BEA"/>
    <w:rsid w:val="00B37915"/>
    <w:rsid w:val="00B3793D"/>
    <w:rsid w:val="00B41BE6"/>
    <w:rsid w:val="00B42831"/>
    <w:rsid w:val="00B428A4"/>
    <w:rsid w:val="00B457E7"/>
    <w:rsid w:val="00B45D1B"/>
    <w:rsid w:val="00B46D25"/>
    <w:rsid w:val="00B47430"/>
    <w:rsid w:val="00B47AC6"/>
    <w:rsid w:val="00B52D2D"/>
    <w:rsid w:val="00B534EF"/>
    <w:rsid w:val="00B55BA8"/>
    <w:rsid w:val="00B55F15"/>
    <w:rsid w:val="00B561A6"/>
    <w:rsid w:val="00B57CC4"/>
    <w:rsid w:val="00B60062"/>
    <w:rsid w:val="00B62960"/>
    <w:rsid w:val="00B63A11"/>
    <w:rsid w:val="00B63FD0"/>
    <w:rsid w:val="00B6553E"/>
    <w:rsid w:val="00B65C84"/>
    <w:rsid w:val="00B6608F"/>
    <w:rsid w:val="00B73180"/>
    <w:rsid w:val="00B74317"/>
    <w:rsid w:val="00B7544D"/>
    <w:rsid w:val="00B75700"/>
    <w:rsid w:val="00B760C1"/>
    <w:rsid w:val="00B76D1E"/>
    <w:rsid w:val="00B77BC8"/>
    <w:rsid w:val="00B800EB"/>
    <w:rsid w:val="00B822D2"/>
    <w:rsid w:val="00B823F1"/>
    <w:rsid w:val="00B83D46"/>
    <w:rsid w:val="00B848B8"/>
    <w:rsid w:val="00B84A41"/>
    <w:rsid w:val="00B84D57"/>
    <w:rsid w:val="00B8504B"/>
    <w:rsid w:val="00B85689"/>
    <w:rsid w:val="00B86748"/>
    <w:rsid w:val="00B907EA"/>
    <w:rsid w:val="00B91EC9"/>
    <w:rsid w:val="00B924CA"/>
    <w:rsid w:val="00B92A4B"/>
    <w:rsid w:val="00B93384"/>
    <w:rsid w:val="00B93616"/>
    <w:rsid w:val="00B94417"/>
    <w:rsid w:val="00B95566"/>
    <w:rsid w:val="00B95940"/>
    <w:rsid w:val="00B95EF8"/>
    <w:rsid w:val="00B95F50"/>
    <w:rsid w:val="00B96BD9"/>
    <w:rsid w:val="00BA0F99"/>
    <w:rsid w:val="00BB0274"/>
    <w:rsid w:val="00BB0B13"/>
    <w:rsid w:val="00BB1CFD"/>
    <w:rsid w:val="00BB2C53"/>
    <w:rsid w:val="00BB32DA"/>
    <w:rsid w:val="00BB3A54"/>
    <w:rsid w:val="00BB4D26"/>
    <w:rsid w:val="00BB4E21"/>
    <w:rsid w:val="00BB7746"/>
    <w:rsid w:val="00BC22EB"/>
    <w:rsid w:val="00BC682B"/>
    <w:rsid w:val="00BC68BA"/>
    <w:rsid w:val="00BC6B04"/>
    <w:rsid w:val="00BC6D27"/>
    <w:rsid w:val="00BD059A"/>
    <w:rsid w:val="00BD186B"/>
    <w:rsid w:val="00BD1EAC"/>
    <w:rsid w:val="00BD254C"/>
    <w:rsid w:val="00BD3428"/>
    <w:rsid w:val="00BD366B"/>
    <w:rsid w:val="00BD5298"/>
    <w:rsid w:val="00BD534C"/>
    <w:rsid w:val="00BD55A9"/>
    <w:rsid w:val="00BD56BC"/>
    <w:rsid w:val="00BD5D91"/>
    <w:rsid w:val="00BD6445"/>
    <w:rsid w:val="00BD6615"/>
    <w:rsid w:val="00BD6D50"/>
    <w:rsid w:val="00BE0D79"/>
    <w:rsid w:val="00BE0DB0"/>
    <w:rsid w:val="00BE15B9"/>
    <w:rsid w:val="00BE2C15"/>
    <w:rsid w:val="00BE3381"/>
    <w:rsid w:val="00BE3F09"/>
    <w:rsid w:val="00BE670A"/>
    <w:rsid w:val="00BE6906"/>
    <w:rsid w:val="00BF0AF0"/>
    <w:rsid w:val="00BF18F4"/>
    <w:rsid w:val="00BF1A69"/>
    <w:rsid w:val="00BF3BC8"/>
    <w:rsid w:val="00BF3DF1"/>
    <w:rsid w:val="00BF4C31"/>
    <w:rsid w:val="00BF4E57"/>
    <w:rsid w:val="00BF53B8"/>
    <w:rsid w:val="00BF786A"/>
    <w:rsid w:val="00BF7CB8"/>
    <w:rsid w:val="00C00F20"/>
    <w:rsid w:val="00C01700"/>
    <w:rsid w:val="00C034E6"/>
    <w:rsid w:val="00C05715"/>
    <w:rsid w:val="00C05926"/>
    <w:rsid w:val="00C0784A"/>
    <w:rsid w:val="00C10B28"/>
    <w:rsid w:val="00C10D62"/>
    <w:rsid w:val="00C10FAE"/>
    <w:rsid w:val="00C1135D"/>
    <w:rsid w:val="00C11DAF"/>
    <w:rsid w:val="00C123B4"/>
    <w:rsid w:val="00C12A69"/>
    <w:rsid w:val="00C13737"/>
    <w:rsid w:val="00C150BE"/>
    <w:rsid w:val="00C158B0"/>
    <w:rsid w:val="00C15A0C"/>
    <w:rsid w:val="00C15CEB"/>
    <w:rsid w:val="00C15DCB"/>
    <w:rsid w:val="00C16208"/>
    <w:rsid w:val="00C1711F"/>
    <w:rsid w:val="00C17E38"/>
    <w:rsid w:val="00C17E3C"/>
    <w:rsid w:val="00C20744"/>
    <w:rsid w:val="00C20B1C"/>
    <w:rsid w:val="00C20C4D"/>
    <w:rsid w:val="00C21D46"/>
    <w:rsid w:val="00C21F94"/>
    <w:rsid w:val="00C222A1"/>
    <w:rsid w:val="00C23371"/>
    <w:rsid w:val="00C23CBD"/>
    <w:rsid w:val="00C23D22"/>
    <w:rsid w:val="00C2463B"/>
    <w:rsid w:val="00C24E77"/>
    <w:rsid w:val="00C2732D"/>
    <w:rsid w:val="00C273C6"/>
    <w:rsid w:val="00C27913"/>
    <w:rsid w:val="00C300C6"/>
    <w:rsid w:val="00C30828"/>
    <w:rsid w:val="00C30924"/>
    <w:rsid w:val="00C31DD8"/>
    <w:rsid w:val="00C3271C"/>
    <w:rsid w:val="00C34FDE"/>
    <w:rsid w:val="00C35C16"/>
    <w:rsid w:val="00C40E09"/>
    <w:rsid w:val="00C40F81"/>
    <w:rsid w:val="00C41463"/>
    <w:rsid w:val="00C41A72"/>
    <w:rsid w:val="00C42D45"/>
    <w:rsid w:val="00C4422D"/>
    <w:rsid w:val="00C476C5"/>
    <w:rsid w:val="00C503B0"/>
    <w:rsid w:val="00C511C2"/>
    <w:rsid w:val="00C527C6"/>
    <w:rsid w:val="00C53CDB"/>
    <w:rsid w:val="00C53D82"/>
    <w:rsid w:val="00C54748"/>
    <w:rsid w:val="00C575FB"/>
    <w:rsid w:val="00C60696"/>
    <w:rsid w:val="00C60943"/>
    <w:rsid w:val="00C60EEF"/>
    <w:rsid w:val="00C6121D"/>
    <w:rsid w:val="00C615F1"/>
    <w:rsid w:val="00C61627"/>
    <w:rsid w:val="00C63B1A"/>
    <w:rsid w:val="00C64E60"/>
    <w:rsid w:val="00C657A4"/>
    <w:rsid w:val="00C666B5"/>
    <w:rsid w:val="00C6736C"/>
    <w:rsid w:val="00C675AF"/>
    <w:rsid w:val="00C71A1D"/>
    <w:rsid w:val="00C71EC4"/>
    <w:rsid w:val="00C74791"/>
    <w:rsid w:val="00C7591E"/>
    <w:rsid w:val="00C75C7E"/>
    <w:rsid w:val="00C75C9B"/>
    <w:rsid w:val="00C76D8E"/>
    <w:rsid w:val="00C77833"/>
    <w:rsid w:val="00C80C9B"/>
    <w:rsid w:val="00C8335E"/>
    <w:rsid w:val="00C83F9C"/>
    <w:rsid w:val="00C84CE3"/>
    <w:rsid w:val="00C85614"/>
    <w:rsid w:val="00C86127"/>
    <w:rsid w:val="00C90CF4"/>
    <w:rsid w:val="00C91C19"/>
    <w:rsid w:val="00C929A0"/>
    <w:rsid w:val="00C93389"/>
    <w:rsid w:val="00C937DB"/>
    <w:rsid w:val="00C94519"/>
    <w:rsid w:val="00C94E11"/>
    <w:rsid w:val="00C94E83"/>
    <w:rsid w:val="00C97038"/>
    <w:rsid w:val="00CA02B2"/>
    <w:rsid w:val="00CA0883"/>
    <w:rsid w:val="00CA1085"/>
    <w:rsid w:val="00CA140F"/>
    <w:rsid w:val="00CA25C2"/>
    <w:rsid w:val="00CA37BB"/>
    <w:rsid w:val="00CA37CA"/>
    <w:rsid w:val="00CA5016"/>
    <w:rsid w:val="00CA5724"/>
    <w:rsid w:val="00CA6508"/>
    <w:rsid w:val="00CA6BA1"/>
    <w:rsid w:val="00CA6CD5"/>
    <w:rsid w:val="00CA6D0B"/>
    <w:rsid w:val="00CB1910"/>
    <w:rsid w:val="00CB2150"/>
    <w:rsid w:val="00CB28EE"/>
    <w:rsid w:val="00CB43A7"/>
    <w:rsid w:val="00CB4DF1"/>
    <w:rsid w:val="00CB5996"/>
    <w:rsid w:val="00CB6809"/>
    <w:rsid w:val="00CB7452"/>
    <w:rsid w:val="00CC0E10"/>
    <w:rsid w:val="00CC1DAF"/>
    <w:rsid w:val="00CC2642"/>
    <w:rsid w:val="00CC2967"/>
    <w:rsid w:val="00CC2A36"/>
    <w:rsid w:val="00CC2E15"/>
    <w:rsid w:val="00CC3440"/>
    <w:rsid w:val="00CC3908"/>
    <w:rsid w:val="00CC62AD"/>
    <w:rsid w:val="00CC6CA2"/>
    <w:rsid w:val="00CC7B80"/>
    <w:rsid w:val="00CD2B3C"/>
    <w:rsid w:val="00CD30F6"/>
    <w:rsid w:val="00CD4B29"/>
    <w:rsid w:val="00CD67CA"/>
    <w:rsid w:val="00CD6954"/>
    <w:rsid w:val="00CD6DA3"/>
    <w:rsid w:val="00CD6EF1"/>
    <w:rsid w:val="00CD7E35"/>
    <w:rsid w:val="00CE21C7"/>
    <w:rsid w:val="00CE2682"/>
    <w:rsid w:val="00CE2756"/>
    <w:rsid w:val="00CE442A"/>
    <w:rsid w:val="00CE57D8"/>
    <w:rsid w:val="00CE5F03"/>
    <w:rsid w:val="00CE617A"/>
    <w:rsid w:val="00CE6E3C"/>
    <w:rsid w:val="00CE797F"/>
    <w:rsid w:val="00CF107E"/>
    <w:rsid w:val="00CF15BF"/>
    <w:rsid w:val="00CF25D2"/>
    <w:rsid w:val="00CF28C2"/>
    <w:rsid w:val="00CF42BD"/>
    <w:rsid w:val="00CF51EC"/>
    <w:rsid w:val="00CF6A9D"/>
    <w:rsid w:val="00CF6CD7"/>
    <w:rsid w:val="00CF75EC"/>
    <w:rsid w:val="00D002DF"/>
    <w:rsid w:val="00D0037A"/>
    <w:rsid w:val="00D0061E"/>
    <w:rsid w:val="00D00DAF"/>
    <w:rsid w:val="00D017EC"/>
    <w:rsid w:val="00D01CDA"/>
    <w:rsid w:val="00D020FC"/>
    <w:rsid w:val="00D040DD"/>
    <w:rsid w:val="00D04E1B"/>
    <w:rsid w:val="00D0547B"/>
    <w:rsid w:val="00D076DB"/>
    <w:rsid w:val="00D07EFF"/>
    <w:rsid w:val="00D1067C"/>
    <w:rsid w:val="00D11CBB"/>
    <w:rsid w:val="00D136D4"/>
    <w:rsid w:val="00D13830"/>
    <w:rsid w:val="00D13ECF"/>
    <w:rsid w:val="00D142E5"/>
    <w:rsid w:val="00D148CD"/>
    <w:rsid w:val="00D1611E"/>
    <w:rsid w:val="00D163CC"/>
    <w:rsid w:val="00D16E69"/>
    <w:rsid w:val="00D17F4A"/>
    <w:rsid w:val="00D205A9"/>
    <w:rsid w:val="00D217EE"/>
    <w:rsid w:val="00D245BA"/>
    <w:rsid w:val="00D26923"/>
    <w:rsid w:val="00D27856"/>
    <w:rsid w:val="00D27D34"/>
    <w:rsid w:val="00D3006B"/>
    <w:rsid w:val="00D301CA"/>
    <w:rsid w:val="00D30740"/>
    <w:rsid w:val="00D31075"/>
    <w:rsid w:val="00D31445"/>
    <w:rsid w:val="00D31932"/>
    <w:rsid w:val="00D32AE0"/>
    <w:rsid w:val="00D360DA"/>
    <w:rsid w:val="00D37689"/>
    <w:rsid w:val="00D378CC"/>
    <w:rsid w:val="00D4042C"/>
    <w:rsid w:val="00D40B9E"/>
    <w:rsid w:val="00D41281"/>
    <w:rsid w:val="00D42312"/>
    <w:rsid w:val="00D433F5"/>
    <w:rsid w:val="00D43998"/>
    <w:rsid w:val="00D439C2"/>
    <w:rsid w:val="00D451E0"/>
    <w:rsid w:val="00D45A1D"/>
    <w:rsid w:val="00D4615E"/>
    <w:rsid w:val="00D4651F"/>
    <w:rsid w:val="00D478E2"/>
    <w:rsid w:val="00D5264C"/>
    <w:rsid w:val="00D547BA"/>
    <w:rsid w:val="00D55626"/>
    <w:rsid w:val="00D556BC"/>
    <w:rsid w:val="00D5626D"/>
    <w:rsid w:val="00D56631"/>
    <w:rsid w:val="00D60277"/>
    <w:rsid w:val="00D60336"/>
    <w:rsid w:val="00D61F88"/>
    <w:rsid w:val="00D62901"/>
    <w:rsid w:val="00D6345E"/>
    <w:rsid w:val="00D6470C"/>
    <w:rsid w:val="00D64853"/>
    <w:rsid w:val="00D64CB5"/>
    <w:rsid w:val="00D66D48"/>
    <w:rsid w:val="00D7162F"/>
    <w:rsid w:val="00D72897"/>
    <w:rsid w:val="00D73256"/>
    <w:rsid w:val="00D73A30"/>
    <w:rsid w:val="00D74C65"/>
    <w:rsid w:val="00D74F21"/>
    <w:rsid w:val="00D758D0"/>
    <w:rsid w:val="00D75DC2"/>
    <w:rsid w:val="00D75DC3"/>
    <w:rsid w:val="00D766EF"/>
    <w:rsid w:val="00D76C03"/>
    <w:rsid w:val="00D77F8D"/>
    <w:rsid w:val="00D80E07"/>
    <w:rsid w:val="00D8119B"/>
    <w:rsid w:val="00D82462"/>
    <w:rsid w:val="00D831C6"/>
    <w:rsid w:val="00D85886"/>
    <w:rsid w:val="00D868CE"/>
    <w:rsid w:val="00D86DAE"/>
    <w:rsid w:val="00D90116"/>
    <w:rsid w:val="00D90C1E"/>
    <w:rsid w:val="00D91BDF"/>
    <w:rsid w:val="00D91F2C"/>
    <w:rsid w:val="00D93F09"/>
    <w:rsid w:val="00D94859"/>
    <w:rsid w:val="00D954C2"/>
    <w:rsid w:val="00D9769A"/>
    <w:rsid w:val="00D97BB8"/>
    <w:rsid w:val="00DA1318"/>
    <w:rsid w:val="00DA1382"/>
    <w:rsid w:val="00DA28B7"/>
    <w:rsid w:val="00DA2FE8"/>
    <w:rsid w:val="00DA4AF6"/>
    <w:rsid w:val="00DB016E"/>
    <w:rsid w:val="00DB06E9"/>
    <w:rsid w:val="00DB0BF3"/>
    <w:rsid w:val="00DB19BD"/>
    <w:rsid w:val="00DB1D55"/>
    <w:rsid w:val="00DB21DD"/>
    <w:rsid w:val="00DB378E"/>
    <w:rsid w:val="00DB3E9D"/>
    <w:rsid w:val="00DB47B9"/>
    <w:rsid w:val="00DB4FB8"/>
    <w:rsid w:val="00DB53CE"/>
    <w:rsid w:val="00DB549D"/>
    <w:rsid w:val="00DB5792"/>
    <w:rsid w:val="00DB6A88"/>
    <w:rsid w:val="00DB7BA4"/>
    <w:rsid w:val="00DC226A"/>
    <w:rsid w:val="00DC257F"/>
    <w:rsid w:val="00DC2A9F"/>
    <w:rsid w:val="00DC350B"/>
    <w:rsid w:val="00DC3790"/>
    <w:rsid w:val="00DC408A"/>
    <w:rsid w:val="00DC436D"/>
    <w:rsid w:val="00DC519B"/>
    <w:rsid w:val="00DC5B3B"/>
    <w:rsid w:val="00DC6796"/>
    <w:rsid w:val="00DC6CC6"/>
    <w:rsid w:val="00DC78DF"/>
    <w:rsid w:val="00DC7D4C"/>
    <w:rsid w:val="00DD0821"/>
    <w:rsid w:val="00DD0E32"/>
    <w:rsid w:val="00DD2872"/>
    <w:rsid w:val="00DD2A62"/>
    <w:rsid w:val="00DD2BD0"/>
    <w:rsid w:val="00DD2BFE"/>
    <w:rsid w:val="00DD373E"/>
    <w:rsid w:val="00DD57AD"/>
    <w:rsid w:val="00DD7435"/>
    <w:rsid w:val="00DD7C6D"/>
    <w:rsid w:val="00DE009B"/>
    <w:rsid w:val="00DE08F8"/>
    <w:rsid w:val="00DE0C31"/>
    <w:rsid w:val="00DE2ED9"/>
    <w:rsid w:val="00DE319A"/>
    <w:rsid w:val="00DF0615"/>
    <w:rsid w:val="00DF0DC3"/>
    <w:rsid w:val="00DF21FD"/>
    <w:rsid w:val="00DF2873"/>
    <w:rsid w:val="00DF293C"/>
    <w:rsid w:val="00DF4C74"/>
    <w:rsid w:val="00DF4FD2"/>
    <w:rsid w:val="00DF5578"/>
    <w:rsid w:val="00DF6CF8"/>
    <w:rsid w:val="00DF78DD"/>
    <w:rsid w:val="00DF7FEC"/>
    <w:rsid w:val="00E01C0E"/>
    <w:rsid w:val="00E02086"/>
    <w:rsid w:val="00E023BE"/>
    <w:rsid w:val="00E02740"/>
    <w:rsid w:val="00E03B27"/>
    <w:rsid w:val="00E04694"/>
    <w:rsid w:val="00E049F6"/>
    <w:rsid w:val="00E04CA9"/>
    <w:rsid w:val="00E05B2B"/>
    <w:rsid w:val="00E05EAD"/>
    <w:rsid w:val="00E06A2A"/>
    <w:rsid w:val="00E07F05"/>
    <w:rsid w:val="00E127E1"/>
    <w:rsid w:val="00E144D2"/>
    <w:rsid w:val="00E144D6"/>
    <w:rsid w:val="00E15346"/>
    <w:rsid w:val="00E15B7D"/>
    <w:rsid w:val="00E17C5F"/>
    <w:rsid w:val="00E2097E"/>
    <w:rsid w:val="00E215EA"/>
    <w:rsid w:val="00E21CAB"/>
    <w:rsid w:val="00E221FC"/>
    <w:rsid w:val="00E22E78"/>
    <w:rsid w:val="00E24619"/>
    <w:rsid w:val="00E25223"/>
    <w:rsid w:val="00E25999"/>
    <w:rsid w:val="00E263A8"/>
    <w:rsid w:val="00E30BEA"/>
    <w:rsid w:val="00E31764"/>
    <w:rsid w:val="00E3288A"/>
    <w:rsid w:val="00E32BC2"/>
    <w:rsid w:val="00E34985"/>
    <w:rsid w:val="00E34E4A"/>
    <w:rsid w:val="00E365B3"/>
    <w:rsid w:val="00E366BB"/>
    <w:rsid w:val="00E37C45"/>
    <w:rsid w:val="00E40AAA"/>
    <w:rsid w:val="00E42444"/>
    <w:rsid w:val="00E438CF"/>
    <w:rsid w:val="00E43B06"/>
    <w:rsid w:val="00E43C41"/>
    <w:rsid w:val="00E4500E"/>
    <w:rsid w:val="00E450CE"/>
    <w:rsid w:val="00E45A00"/>
    <w:rsid w:val="00E45CE7"/>
    <w:rsid w:val="00E4631F"/>
    <w:rsid w:val="00E46A4A"/>
    <w:rsid w:val="00E47CB8"/>
    <w:rsid w:val="00E522BB"/>
    <w:rsid w:val="00E52A3D"/>
    <w:rsid w:val="00E539E4"/>
    <w:rsid w:val="00E53C14"/>
    <w:rsid w:val="00E569C7"/>
    <w:rsid w:val="00E56AF7"/>
    <w:rsid w:val="00E571F2"/>
    <w:rsid w:val="00E57429"/>
    <w:rsid w:val="00E61EA8"/>
    <w:rsid w:val="00E63221"/>
    <w:rsid w:val="00E64EA1"/>
    <w:rsid w:val="00E6582D"/>
    <w:rsid w:val="00E669C7"/>
    <w:rsid w:val="00E67611"/>
    <w:rsid w:val="00E70510"/>
    <w:rsid w:val="00E71262"/>
    <w:rsid w:val="00E71A58"/>
    <w:rsid w:val="00E737F6"/>
    <w:rsid w:val="00E7568F"/>
    <w:rsid w:val="00E764AE"/>
    <w:rsid w:val="00E7724B"/>
    <w:rsid w:val="00E80E31"/>
    <w:rsid w:val="00E83DAB"/>
    <w:rsid w:val="00E84F21"/>
    <w:rsid w:val="00E8618A"/>
    <w:rsid w:val="00E90A4B"/>
    <w:rsid w:val="00E90F73"/>
    <w:rsid w:val="00E910A7"/>
    <w:rsid w:val="00E91607"/>
    <w:rsid w:val="00E921C7"/>
    <w:rsid w:val="00E92995"/>
    <w:rsid w:val="00E9446C"/>
    <w:rsid w:val="00E94612"/>
    <w:rsid w:val="00E95797"/>
    <w:rsid w:val="00E9682F"/>
    <w:rsid w:val="00E96A8D"/>
    <w:rsid w:val="00E972BA"/>
    <w:rsid w:val="00E97FA2"/>
    <w:rsid w:val="00EA06CB"/>
    <w:rsid w:val="00EA0AF3"/>
    <w:rsid w:val="00EA0C68"/>
    <w:rsid w:val="00EA19E2"/>
    <w:rsid w:val="00EA3EBE"/>
    <w:rsid w:val="00EA3FAC"/>
    <w:rsid w:val="00EA4153"/>
    <w:rsid w:val="00EA5CD6"/>
    <w:rsid w:val="00EA76FD"/>
    <w:rsid w:val="00EA77CA"/>
    <w:rsid w:val="00EB03D4"/>
    <w:rsid w:val="00EB0555"/>
    <w:rsid w:val="00EB20A0"/>
    <w:rsid w:val="00EB30B6"/>
    <w:rsid w:val="00EB4FA4"/>
    <w:rsid w:val="00EB5146"/>
    <w:rsid w:val="00EB522B"/>
    <w:rsid w:val="00EB55E9"/>
    <w:rsid w:val="00EB5641"/>
    <w:rsid w:val="00EB5CA9"/>
    <w:rsid w:val="00EB5ED4"/>
    <w:rsid w:val="00EB6537"/>
    <w:rsid w:val="00EB70E1"/>
    <w:rsid w:val="00EB7EB5"/>
    <w:rsid w:val="00EC0860"/>
    <w:rsid w:val="00EC0EC1"/>
    <w:rsid w:val="00EC424C"/>
    <w:rsid w:val="00EC454B"/>
    <w:rsid w:val="00EC4941"/>
    <w:rsid w:val="00EC6153"/>
    <w:rsid w:val="00EC7F92"/>
    <w:rsid w:val="00ED00A8"/>
    <w:rsid w:val="00ED0A79"/>
    <w:rsid w:val="00ED2989"/>
    <w:rsid w:val="00ED2CA5"/>
    <w:rsid w:val="00ED336F"/>
    <w:rsid w:val="00ED3A94"/>
    <w:rsid w:val="00ED40F0"/>
    <w:rsid w:val="00ED4AC0"/>
    <w:rsid w:val="00ED54D6"/>
    <w:rsid w:val="00ED5726"/>
    <w:rsid w:val="00EE0113"/>
    <w:rsid w:val="00EE0298"/>
    <w:rsid w:val="00EE0384"/>
    <w:rsid w:val="00EE043A"/>
    <w:rsid w:val="00EE0473"/>
    <w:rsid w:val="00EE1057"/>
    <w:rsid w:val="00EE10AA"/>
    <w:rsid w:val="00EE1637"/>
    <w:rsid w:val="00EE3B7A"/>
    <w:rsid w:val="00EE3E78"/>
    <w:rsid w:val="00EE4534"/>
    <w:rsid w:val="00EE495A"/>
    <w:rsid w:val="00EE5E02"/>
    <w:rsid w:val="00EE617D"/>
    <w:rsid w:val="00EE61BF"/>
    <w:rsid w:val="00EE6538"/>
    <w:rsid w:val="00EE6748"/>
    <w:rsid w:val="00EE6C6B"/>
    <w:rsid w:val="00EF0E75"/>
    <w:rsid w:val="00EF1F5A"/>
    <w:rsid w:val="00EF4685"/>
    <w:rsid w:val="00EF5397"/>
    <w:rsid w:val="00EF6BE3"/>
    <w:rsid w:val="00F00D0E"/>
    <w:rsid w:val="00F00D3C"/>
    <w:rsid w:val="00F04811"/>
    <w:rsid w:val="00F0488C"/>
    <w:rsid w:val="00F0496E"/>
    <w:rsid w:val="00F04D10"/>
    <w:rsid w:val="00F053EA"/>
    <w:rsid w:val="00F0625B"/>
    <w:rsid w:val="00F06944"/>
    <w:rsid w:val="00F06C6F"/>
    <w:rsid w:val="00F06D38"/>
    <w:rsid w:val="00F101FF"/>
    <w:rsid w:val="00F104DF"/>
    <w:rsid w:val="00F10A33"/>
    <w:rsid w:val="00F10B64"/>
    <w:rsid w:val="00F1186C"/>
    <w:rsid w:val="00F11AD5"/>
    <w:rsid w:val="00F126D0"/>
    <w:rsid w:val="00F14ACD"/>
    <w:rsid w:val="00F15309"/>
    <w:rsid w:val="00F15BEF"/>
    <w:rsid w:val="00F172BE"/>
    <w:rsid w:val="00F1776C"/>
    <w:rsid w:val="00F2037E"/>
    <w:rsid w:val="00F20D17"/>
    <w:rsid w:val="00F2103E"/>
    <w:rsid w:val="00F214FC"/>
    <w:rsid w:val="00F21C31"/>
    <w:rsid w:val="00F23825"/>
    <w:rsid w:val="00F2389A"/>
    <w:rsid w:val="00F23FFF"/>
    <w:rsid w:val="00F2441D"/>
    <w:rsid w:val="00F24FAA"/>
    <w:rsid w:val="00F26197"/>
    <w:rsid w:val="00F273D4"/>
    <w:rsid w:val="00F307DD"/>
    <w:rsid w:val="00F30C2E"/>
    <w:rsid w:val="00F30CB4"/>
    <w:rsid w:val="00F318FC"/>
    <w:rsid w:val="00F31D53"/>
    <w:rsid w:val="00F31F76"/>
    <w:rsid w:val="00F325A3"/>
    <w:rsid w:val="00F3364D"/>
    <w:rsid w:val="00F353AE"/>
    <w:rsid w:val="00F35ACD"/>
    <w:rsid w:val="00F365BF"/>
    <w:rsid w:val="00F36BF8"/>
    <w:rsid w:val="00F375BA"/>
    <w:rsid w:val="00F37760"/>
    <w:rsid w:val="00F403D1"/>
    <w:rsid w:val="00F43921"/>
    <w:rsid w:val="00F44E1B"/>
    <w:rsid w:val="00F4524F"/>
    <w:rsid w:val="00F45530"/>
    <w:rsid w:val="00F4591F"/>
    <w:rsid w:val="00F47321"/>
    <w:rsid w:val="00F4736B"/>
    <w:rsid w:val="00F47997"/>
    <w:rsid w:val="00F47D05"/>
    <w:rsid w:val="00F50030"/>
    <w:rsid w:val="00F502F5"/>
    <w:rsid w:val="00F50B9D"/>
    <w:rsid w:val="00F51FC9"/>
    <w:rsid w:val="00F52AE1"/>
    <w:rsid w:val="00F53243"/>
    <w:rsid w:val="00F541ED"/>
    <w:rsid w:val="00F54B31"/>
    <w:rsid w:val="00F54FD3"/>
    <w:rsid w:val="00F55605"/>
    <w:rsid w:val="00F57CD7"/>
    <w:rsid w:val="00F61BFE"/>
    <w:rsid w:val="00F62F02"/>
    <w:rsid w:val="00F6339F"/>
    <w:rsid w:val="00F63DDE"/>
    <w:rsid w:val="00F63FB7"/>
    <w:rsid w:val="00F64726"/>
    <w:rsid w:val="00F64F44"/>
    <w:rsid w:val="00F6561A"/>
    <w:rsid w:val="00F66243"/>
    <w:rsid w:val="00F67BDA"/>
    <w:rsid w:val="00F70309"/>
    <w:rsid w:val="00F7078A"/>
    <w:rsid w:val="00F70E45"/>
    <w:rsid w:val="00F727D5"/>
    <w:rsid w:val="00F72F44"/>
    <w:rsid w:val="00F73A0C"/>
    <w:rsid w:val="00F75895"/>
    <w:rsid w:val="00F759DC"/>
    <w:rsid w:val="00F76563"/>
    <w:rsid w:val="00F7717C"/>
    <w:rsid w:val="00F771A5"/>
    <w:rsid w:val="00F80D1E"/>
    <w:rsid w:val="00F817A4"/>
    <w:rsid w:val="00F81C3A"/>
    <w:rsid w:val="00F835E1"/>
    <w:rsid w:val="00F835FC"/>
    <w:rsid w:val="00F8373A"/>
    <w:rsid w:val="00F83E21"/>
    <w:rsid w:val="00F83FA4"/>
    <w:rsid w:val="00F84E18"/>
    <w:rsid w:val="00F852E5"/>
    <w:rsid w:val="00F90350"/>
    <w:rsid w:val="00F9310A"/>
    <w:rsid w:val="00F95117"/>
    <w:rsid w:val="00F97ED2"/>
    <w:rsid w:val="00FA05D7"/>
    <w:rsid w:val="00FA1992"/>
    <w:rsid w:val="00FA1C6C"/>
    <w:rsid w:val="00FA2447"/>
    <w:rsid w:val="00FA2C2A"/>
    <w:rsid w:val="00FA309A"/>
    <w:rsid w:val="00FA6B3F"/>
    <w:rsid w:val="00FA7644"/>
    <w:rsid w:val="00FB0A9A"/>
    <w:rsid w:val="00FB16AD"/>
    <w:rsid w:val="00FB1F21"/>
    <w:rsid w:val="00FB483B"/>
    <w:rsid w:val="00FB56F1"/>
    <w:rsid w:val="00FB5FD4"/>
    <w:rsid w:val="00FB67F3"/>
    <w:rsid w:val="00FC0D8A"/>
    <w:rsid w:val="00FC0E5F"/>
    <w:rsid w:val="00FC135D"/>
    <w:rsid w:val="00FC3C84"/>
    <w:rsid w:val="00FC4660"/>
    <w:rsid w:val="00FC56DE"/>
    <w:rsid w:val="00FC5E01"/>
    <w:rsid w:val="00FC6140"/>
    <w:rsid w:val="00FD1261"/>
    <w:rsid w:val="00FD1627"/>
    <w:rsid w:val="00FD1BBD"/>
    <w:rsid w:val="00FD38B2"/>
    <w:rsid w:val="00FD43A0"/>
    <w:rsid w:val="00FD473D"/>
    <w:rsid w:val="00FD61C8"/>
    <w:rsid w:val="00FD63CE"/>
    <w:rsid w:val="00FD7D49"/>
    <w:rsid w:val="00FE1251"/>
    <w:rsid w:val="00FE16E6"/>
    <w:rsid w:val="00FE2F78"/>
    <w:rsid w:val="00FE3510"/>
    <w:rsid w:val="00FE371D"/>
    <w:rsid w:val="00FE375F"/>
    <w:rsid w:val="00FE3D8B"/>
    <w:rsid w:val="00FE4FCB"/>
    <w:rsid w:val="00FE688F"/>
    <w:rsid w:val="00FE705E"/>
    <w:rsid w:val="00FF02EB"/>
    <w:rsid w:val="00FF28E0"/>
    <w:rsid w:val="00FF2FB4"/>
    <w:rsid w:val="00FF30B3"/>
    <w:rsid w:val="00FF3DF3"/>
    <w:rsid w:val="00FF4027"/>
    <w:rsid w:val="00FF45A2"/>
    <w:rsid w:val="00FF55B1"/>
    <w:rsid w:val="00FF65DF"/>
    <w:rsid w:val="00FF7D9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9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n">
    <w:name w:val="Normal"/>
    <w:qFormat/>
    <w:rsid w:val="005E492C"/>
    <w:pPr>
      <w:spacing w:line="288" w:lineRule="auto"/>
    </w:pPr>
    <w:rPr>
      <w:rFonts w:ascii="Arial" w:hAnsi="Arial"/>
      <w:szCs w:val="24"/>
    </w:rPr>
  </w:style>
  <w:style w:type="paragraph" w:styleId="Nadpis1">
    <w:name w:val="heading 1"/>
    <w:basedOn w:val="Normln"/>
    <w:next w:val="Normln"/>
    <w:link w:val="Nadpis1Char"/>
    <w:uiPriority w:val="9"/>
    <w:qFormat/>
    <w:rsid w:val="005E492C"/>
    <w:pPr>
      <w:keepNext/>
      <w:keepLines/>
      <w:spacing w:after="200"/>
      <w:outlineLvl w:val="0"/>
    </w:pPr>
    <w:rPr>
      <w:rFonts w:eastAsia="MS Gothic"/>
      <w:b/>
      <w:bCs/>
      <w:color w:val="71818C"/>
      <w:sz w:val="32"/>
      <w:szCs w:val="28"/>
    </w:rPr>
  </w:style>
  <w:style w:type="paragraph" w:styleId="Nadpis2">
    <w:name w:val="heading 2"/>
    <w:basedOn w:val="Normln"/>
    <w:next w:val="Normln"/>
    <w:link w:val="Nadpis2Char"/>
    <w:uiPriority w:val="99"/>
    <w:qFormat/>
    <w:rsid w:val="005E492C"/>
    <w:pPr>
      <w:keepNext/>
      <w:keepLines/>
      <w:outlineLvl w:val="1"/>
    </w:pPr>
    <w:rPr>
      <w:rFonts w:eastAsia="MS Gothic"/>
      <w:b/>
      <w:bCs/>
      <w:color w:val="71818C"/>
      <w:sz w:val="28"/>
      <w:szCs w:val="26"/>
    </w:rPr>
  </w:style>
  <w:style w:type="paragraph" w:styleId="Nadpis3">
    <w:name w:val="heading 3"/>
    <w:basedOn w:val="Normln"/>
    <w:next w:val="Normln"/>
    <w:link w:val="Nadpis3Char"/>
    <w:uiPriority w:val="99"/>
    <w:qFormat/>
    <w:rsid w:val="005E492C"/>
    <w:pPr>
      <w:keepNext/>
      <w:keepLines/>
      <w:outlineLvl w:val="2"/>
    </w:pPr>
    <w:rPr>
      <w:rFonts w:eastAsia="MS Gothic"/>
      <w:b/>
      <w:bCs/>
      <w:color w:val="71818C"/>
      <w:sz w:val="24"/>
    </w:rPr>
  </w:style>
  <w:style w:type="paragraph" w:styleId="Nadpis4">
    <w:name w:val="heading 4"/>
    <w:basedOn w:val="Normln"/>
    <w:next w:val="Normln"/>
    <w:link w:val="Nadpis4Char"/>
    <w:uiPriority w:val="99"/>
    <w:qFormat/>
    <w:rsid w:val="005E492C"/>
    <w:pPr>
      <w:keepNext/>
      <w:keepLines/>
      <w:outlineLvl w:val="3"/>
    </w:pPr>
    <w:rPr>
      <w:rFonts w:eastAsia="MS Gothic"/>
      <w:b/>
      <w:bCs/>
      <w:iCs/>
    </w:rPr>
  </w:style>
  <w:style w:type="paragraph" w:styleId="Nadpis5">
    <w:name w:val="heading 5"/>
    <w:basedOn w:val="Normln"/>
    <w:next w:val="Normln"/>
    <w:link w:val="Nadpis5Char"/>
    <w:uiPriority w:val="99"/>
    <w:qFormat/>
    <w:rsid w:val="007521A1"/>
    <w:pPr>
      <w:spacing w:before="240" w:after="60"/>
      <w:outlineLvl w:val="4"/>
    </w:pPr>
    <w:rPr>
      <w:rFonts w:ascii="Calibri" w:eastAsia="Times New Roman" w:hAnsi="Calibri"/>
      <w:b/>
      <w:bCs/>
      <w:i/>
      <w:iCs/>
      <w:sz w:val="26"/>
      <w:szCs w:val="26"/>
    </w:rPr>
  </w:style>
  <w:style w:type="paragraph" w:styleId="Nadpis6">
    <w:name w:val="heading 6"/>
    <w:basedOn w:val="Normln"/>
    <w:next w:val="Normln"/>
    <w:link w:val="Nadpis6Char"/>
    <w:uiPriority w:val="99"/>
    <w:qFormat/>
    <w:rsid w:val="007521A1"/>
    <w:pPr>
      <w:spacing w:before="240" w:after="60"/>
      <w:outlineLvl w:val="5"/>
    </w:pPr>
    <w:rPr>
      <w:rFonts w:ascii="Calibri" w:eastAsia="Times New Roman"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E492C"/>
    <w:rPr>
      <w:rFonts w:ascii="Arial" w:eastAsia="MS Gothic" w:hAnsi="Arial" w:cs="Times New Roman"/>
      <w:b/>
      <w:color w:val="71818C"/>
      <w:sz w:val="28"/>
    </w:rPr>
  </w:style>
  <w:style w:type="character" w:customStyle="1" w:styleId="Nadpis2Char">
    <w:name w:val="Nadpis 2 Char"/>
    <w:basedOn w:val="Standardnpsmoodstavce"/>
    <w:link w:val="Nadpis2"/>
    <w:uiPriority w:val="99"/>
    <w:locked/>
    <w:rsid w:val="005E492C"/>
    <w:rPr>
      <w:rFonts w:ascii="Arial" w:eastAsia="MS Gothic" w:hAnsi="Arial" w:cs="Times New Roman"/>
      <w:b/>
      <w:color w:val="71818C"/>
      <w:sz w:val="26"/>
    </w:rPr>
  </w:style>
  <w:style w:type="character" w:customStyle="1" w:styleId="Nadpis3Char">
    <w:name w:val="Nadpis 3 Char"/>
    <w:basedOn w:val="Standardnpsmoodstavce"/>
    <w:link w:val="Nadpis3"/>
    <w:uiPriority w:val="99"/>
    <w:locked/>
    <w:rsid w:val="005E492C"/>
    <w:rPr>
      <w:rFonts w:ascii="Arial" w:eastAsia="MS Gothic" w:hAnsi="Arial" w:cs="Times New Roman"/>
      <w:b/>
      <w:color w:val="71818C"/>
      <w:sz w:val="24"/>
    </w:rPr>
  </w:style>
  <w:style w:type="character" w:customStyle="1" w:styleId="Nadpis4Char">
    <w:name w:val="Nadpis 4 Char"/>
    <w:basedOn w:val="Standardnpsmoodstavce"/>
    <w:link w:val="Nadpis4"/>
    <w:uiPriority w:val="99"/>
    <w:locked/>
    <w:rsid w:val="005E492C"/>
    <w:rPr>
      <w:rFonts w:ascii="Arial" w:eastAsia="MS Gothic" w:hAnsi="Arial" w:cs="Times New Roman"/>
      <w:b/>
      <w:sz w:val="24"/>
    </w:rPr>
  </w:style>
  <w:style w:type="character" w:customStyle="1" w:styleId="Nadpis5Char">
    <w:name w:val="Nadpis 5 Char"/>
    <w:basedOn w:val="Standardnpsmoodstavce"/>
    <w:link w:val="Nadpis5"/>
    <w:uiPriority w:val="99"/>
    <w:semiHidden/>
    <w:locked/>
    <w:rsid w:val="007521A1"/>
    <w:rPr>
      <w:rFonts w:ascii="Calibri" w:hAnsi="Calibri" w:cs="Times New Roman"/>
      <w:b/>
      <w:bCs/>
      <w:i/>
      <w:iCs/>
      <w:sz w:val="26"/>
      <w:szCs w:val="26"/>
    </w:rPr>
  </w:style>
  <w:style w:type="character" w:customStyle="1" w:styleId="Nadpis6Char">
    <w:name w:val="Nadpis 6 Char"/>
    <w:basedOn w:val="Standardnpsmoodstavce"/>
    <w:link w:val="Nadpis6"/>
    <w:uiPriority w:val="99"/>
    <w:semiHidden/>
    <w:locked/>
    <w:rsid w:val="007521A1"/>
    <w:rPr>
      <w:rFonts w:ascii="Calibri" w:hAnsi="Calibri" w:cs="Times New Roman"/>
      <w:b/>
      <w:bCs/>
      <w:sz w:val="22"/>
      <w:szCs w:val="22"/>
    </w:rPr>
  </w:style>
  <w:style w:type="character" w:styleId="Hypertextovodkaz">
    <w:name w:val="Hyperlink"/>
    <w:basedOn w:val="Standardnpsmoodstavce"/>
    <w:uiPriority w:val="99"/>
    <w:rsid w:val="00E71A58"/>
    <w:rPr>
      <w:rFonts w:cs="Times New Roman"/>
      <w:color w:val="0000FF"/>
      <w:u w:val="single"/>
    </w:rPr>
  </w:style>
  <w:style w:type="paragraph" w:customStyle="1" w:styleId="Styl1">
    <w:name w:val="Styl1"/>
    <w:uiPriority w:val="99"/>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uiPriority w:val="99"/>
    <w:rsid w:val="00E71A58"/>
    <w:pPr>
      <w:tabs>
        <w:tab w:val="center" w:pos="4536"/>
        <w:tab w:val="right" w:pos="9072"/>
      </w:tabs>
    </w:pPr>
    <w:rPr>
      <w:rFonts w:ascii="Calibri" w:hAnsi="Calibri"/>
      <w:sz w:val="22"/>
      <w:szCs w:val="22"/>
      <w:lang w:eastAsia="en-US"/>
    </w:rPr>
  </w:style>
  <w:style w:type="character" w:customStyle="1" w:styleId="ZhlavChar">
    <w:name w:val="Záhlaví Char"/>
    <w:basedOn w:val="Standardnpsmoodstavce"/>
    <w:link w:val="Zhlav"/>
    <w:uiPriority w:val="99"/>
    <w:locked/>
    <w:rsid w:val="00E71A58"/>
    <w:rPr>
      <w:rFonts w:cs="Times New Roman"/>
    </w:rPr>
  </w:style>
  <w:style w:type="paragraph" w:styleId="Zpat">
    <w:name w:val="footer"/>
    <w:basedOn w:val="Normln"/>
    <w:link w:val="ZpatChar"/>
    <w:uiPriority w:val="99"/>
    <w:rsid w:val="00E71A58"/>
    <w:pPr>
      <w:tabs>
        <w:tab w:val="center" w:pos="4536"/>
        <w:tab w:val="right" w:pos="9072"/>
      </w:tabs>
    </w:pPr>
    <w:rPr>
      <w:rFonts w:ascii="Calibri" w:hAnsi="Calibri"/>
      <w:sz w:val="22"/>
      <w:szCs w:val="22"/>
      <w:lang w:eastAsia="en-US"/>
    </w:rPr>
  </w:style>
  <w:style w:type="character" w:customStyle="1" w:styleId="ZpatChar">
    <w:name w:val="Zápatí Char"/>
    <w:basedOn w:val="Standardnpsmoodstavce"/>
    <w:link w:val="Zpat"/>
    <w:uiPriority w:val="99"/>
    <w:locked/>
    <w:rsid w:val="00E71A58"/>
    <w:rPr>
      <w:rFonts w:cs="Times New Roman"/>
    </w:rPr>
  </w:style>
  <w:style w:type="paragraph" w:styleId="Textbubliny">
    <w:name w:val="Balloon Text"/>
    <w:basedOn w:val="Normln"/>
    <w:link w:val="TextbublinyChar"/>
    <w:uiPriority w:val="99"/>
    <w:rsid w:val="00E71A58"/>
    <w:rPr>
      <w:rFonts w:ascii="Tahoma" w:hAnsi="Tahoma"/>
      <w:sz w:val="16"/>
      <w:szCs w:val="16"/>
    </w:rPr>
  </w:style>
  <w:style w:type="character" w:customStyle="1" w:styleId="TextbublinyChar">
    <w:name w:val="Text bubliny Char"/>
    <w:basedOn w:val="Standardnpsmoodstavce"/>
    <w:link w:val="Textbubliny"/>
    <w:uiPriority w:val="99"/>
    <w:semiHidden/>
    <w:locked/>
    <w:rsid w:val="00E71A58"/>
    <w:rPr>
      <w:rFonts w:ascii="Tahoma" w:hAnsi="Tahoma" w:cs="Times New Roman"/>
      <w:sz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hAnsi="Minion Pro"/>
      <w:color w:val="000000"/>
      <w:sz w:val="24"/>
      <w:szCs w:val="20"/>
    </w:rPr>
  </w:style>
  <w:style w:type="paragraph" w:styleId="Nzev">
    <w:name w:val="Title"/>
    <w:basedOn w:val="Normln"/>
    <w:next w:val="Normln"/>
    <w:link w:val="NzevChar"/>
    <w:uiPriority w:val="99"/>
    <w:qFormat/>
    <w:rsid w:val="005E492C"/>
    <w:pPr>
      <w:contextualSpacing/>
      <w:outlineLvl w:val="0"/>
    </w:pPr>
    <w:rPr>
      <w:rFonts w:eastAsia="MS Gothic"/>
      <w:b/>
      <w:caps/>
      <w:color w:val="71818C"/>
      <w:sz w:val="56"/>
      <w:szCs w:val="52"/>
    </w:rPr>
  </w:style>
  <w:style w:type="character" w:customStyle="1" w:styleId="NzevChar">
    <w:name w:val="Název Char"/>
    <w:basedOn w:val="Standardnpsmoodstavce"/>
    <w:link w:val="Nzev"/>
    <w:uiPriority w:val="99"/>
    <w:locked/>
    <w:rsid w:val="005E492C"/>
    <w:rPr>
      <w:rFonts w:ascii="Arial" w:eastAsia="MS Gothic" w:hAnsi="Arial" w:cs="Times New Roman"/>
      <w:b/>
      <w:caps/>
      <w:color w:val="71818C"/>
      <w:sz w:val="52"/>
    </w:rPr>
  </w:style>
  <w:style w:type="paragraph" w:styleId="Podtitul">
    <w:name w:val="Subtitle"/>
    <w:basedOn w:val="Normln"/>
    <w:next w:val="Normln"/>
    <w:link w:val="PodtitulChar"/>
    <w:uiPriority w:val="99"/>
    <w:qFormat/>
    <w:rsid w:val="005E492C"/>
    <w:pPr>
      <w:numPr>
        <w:ilvl w:val="1"/>
      </w:numPr>
    </w:pPr>
    <w:rPr>
      <w:rFonts w:eastAsia="MS Gothic"/>
      <w:b/>
      <w:iCs/>
      <w:color w:val="71818C"/>
      <w:sz w:val="28"/>
    </w:rPr>
  </w:style>
  <w:style w:type="character" w:customStyle="1" w:styleId="PodtitulChar">
    <w:name w:val="Podtitul Char"/>
    <w:basedOn w:val="Standardnpsmoodstavce"/>
    <w:link w:val="Podtitul"/>
    <w:uiPriority w:val="99"/>
    <w:locked/>
    <w:rsid w:val="005E492C"/>
    <w:rPr>
      <w:rFonts w:ascii="Arial" w:eastAsia="MS Gothic" w:hAnsi="Arial" w:cs="Times New Roman"/>
      <w:b/>
      <w:color w:val="71818C"/>
      <w:sz w:val="24"/>
    </w:rPr>
  </w:style>
  <w:style w:type="paragraph" w:customStyle="1" w:styleId="Bezmezer1">
    <w:name w:val="Bez mezer1"/>
    <w:aliases w:val="Bez zarážky"/>
    <w:link w:val="NoSpacingChar"/>
    <w:uiPriority w:val="99"/>
    <w:rsid w:val="005E492C"/>
    <w:pPr>
      <w:spacing w:line="288" w:lineRule="auto"/>
    </w:pPr>
    <w:rPr>
      <w:rFonts w:ascii="Arial" w:hAnsi="Arial"/>
      <w:sz w:val="22"/>
      <w:szCs w:val="22"/>
    </w:rPr>
  </w:style>
  <w:style w:type="paragraph" w:customStyle="1" w:styleId="Box1">
    <w:name w:val="Box 1"/>
    <w:basedOn w:val="Zkladnodstavec"/>
    <w:next w:val="Normln"/>
    <w:uiPriority w:val="99"/>
    <w:rsid w:val="005E492C"/>
    <w:pPr>
      <w:ind w:left="1134"/>
    </w:pPr>
    <w:rPr>
      <w:rFonts w:ascii="Arial" w:hAnsi="Arial" w:cs="Arial"/>
      <w:color w:val="71818C"/>
      <w:sz w:val="20"/>
    </w:rPr>
  </w:style>
  <w:style w:type="paragraph" w:customStyle="1" w:styleId="Box2">
    <w:name w:val="Box 2"/>
    <w:basedOn w:val="Zkladnodstavec"/>
    <w:link w:val="Box2Char"/>
    <w:uiPriority w:val="99"/>
    <w:rsid w:val="00010702"/>
    <w:pPr>
      <w:shd w:val="clear" w:color="auto" w:fill="CCC0D9"/>
      <w:tabs>
        <w:tab w:val="left" w:pos="9638"/>
      </w:tabs>
      <w:ind w:left="1134" w:right="-1"/>
      <w:jc w:val="both"/>
    </w:pPr>
    <w:rPr>
      <w:rFonts w:ascii="Arial" w:hAnsi="Arial"/>
      <w:b/>
    </w:rPr>
  </w:style>
  <w:style w:type="paragraph" w:customStyle="1" w:styleId="Box">
    <w:name w:val="Box"/>
    <w:next w:val="Normln"/>
    <w:link w:val="BoxChar"/>
    <w:uiPriority w:val="99"/>
    <w:rsid w:val="005E492C"/>
    <w:pPr>
      <w:shd w:val="clear" w:color="auto" w:fill="EAECEE"/>
      <w:spacing w:line="288" w:lineRule="auto"/>
      <w:ind w:left="1134"/>
    </w:pPr>
    <w:rPr>
      <w:rFonts w:ascii="Arial" w:hAnsi="Arial"/>
      <w:color w:val="000000"/>
      <w:sz w:val="22"/>
      <w:szCs w:val="22"/>
    </w:rPr>
  </w:style>
  <w:style w:type="paragraph" w:customStyle="1" w:styleId="TL-Kontakty">
    <w:name w:val="TL - Kontakty"/>
    <w:next w:val="Normln"/>
    <w:link w:val="TL-KontaktyChar"/>
    <w:uiPriority w:val="99"/>
    <w:rsid w:val="005E492C"/>
    <w:pPr>
      <w:spacing w:after="80"/>
    </w:pPr>
    <w:rPr>
      <w:rFonts w:ascii="Arial" w:hAnsi="Arial"/>
      <w:b/>
      <w:caps/>
      <w:color w:val="BD1B21"/>
      <w:sz w:val="22"/>
      <w:szCs w:val="22"/>
    </w:rPr>
  </w:style>
  <w:style w:type="character" w:customStyle="1" w:styleId="ZkladnodstavecChar">
    <w:name w:val="[Základní odstavec] Char"/>
    <w:link w:val="Zkladnodstavec"/>
    <w:uiPriority w:val="99"/>
    <w:locked/>
    <w:rsid w:val="006710C9"/>
    <w:rPr>
      <w:rFonts w:ascii="Minion Pro" w:hAnsi="Minion Pro"/>
      <w:color w:val="000000"/>
      <w:sz w:val="24"/>
    </w:rPr>
  </w:style>
  <w:style w:type="character" w:customStyle="1" w:styleId="Box2Char">
    <w:name w:val="Box 2 Char"/>
    <w:link w:val="Box2"/>
    <w:uiPriority w:val="99"/>
    <w:locked/>
    <w:rsid w:val="006710C9"/>
    <w:rPr>
      <w:rFonts w:ascii="Arial" w:hAnsi="Arial"/>
      <w:b/>
      <w:color w:val="000000"/>
      <w:sz w:val="24"/>
      <w:shd w:val="clear" w:color="auto" w:fill="CCC0D9"/>
    </w:rPr>
  </w:style>
  <w:style w:type="character" w:customStyle="1" w:styleId="BoxChar">
    <w:name w:val="Box Char"/>
    <w:link w:val="Box"/>
    <w:uiPriority w:val="99"/>
    <w:locked/>
    <w:rsid w:val="005E492C"/>
    <w:rPr>
      <w:rFonts w:ascii="Arial" w:hAnsi="Arial"/>
      <w:color w:val="000000"/>
      <w:sz w:val="22"/>
      <w:szCs w:val="22"/>
      <w:shd w:val="clear" w:color="auto" w:fill="EAECEE"/>
      <w:lang w:bidi="ar-SA"/>
    </w:rPr>
  </w:style>
  <w:style w:type="paragraph" w:customStyle="1" w:styleId="TL-Identifikace">
    <w:name w:val="TL - Identifikace"/>
    <w:next w:val="Normln"/>
    <w:link w:val="TL-IdentifikaceChar"/>
    <w:uiPriority w:val="99"/>
    <w:rsid w:val="005E492C"/>
    <w:pPr>
      <w:spacing w:after="200" w:line="288" w:lineRule="auto"/>
    </w:pPr>
    <w:rPr>
      <w:rFonts w:ascii="Arial" w:hAnsi="Arial"/>
      <w:sz w:val="22"/>
      <w:szCs w:val="22"/>
    </w:rPr>
  </w:style>
  <w:style w:type="character" w:customStyle="1" w:styleId="TL-KontaktyChar">
    <w:name w:val="TL - Kontakty Char"/>
    <w:link w:val="TL-Kontakty"/>
    <w:uiPriority w:val="99"/>
    <w:locked/>
    <w:rsid w:val="005E492C"/>
    <w:rPr>
      <w:rFonts w:ascii="Arial" w:hAnsi="Arial"/>
      <w:b/>
      <w:caps/>
      <w:color w:val="BD1B21"/>
      <w:sz w:val="22"/>
      <w:szCs w:val="22"/>
      <w:lang w:bidi="ar-SA"/>
    </w:rPr>
  </w:style>
  <w:style w:type="character" w:customStyle="1" w:styleId="TL-IdentifikaceChar">
    <w:name w:val="TL - Identifikace Char"/>
    <w:link w:val="TL-Identifikace"/>
    <w:uiPriority w:val="99"/>
    <w:locked/>
    <w:rsid w:val="005E492C"/>
    <w:rPr>
      <w:rFonts w:ascii="Arial" w:hAnsi="Arial"/>
      <w:sz w:val="22"/>
      <w:szCs w:val="22"/>
      <w:lang w:bidi="ar-SA"/>
    </w:rPr>
  </w:style>
  <w:style w:type="paragraph" w:customStyle="1" w:styleId="3372873BB58A4DED866D2BE34882C06C">
    <w:name w:val="3372873BB58A4DED866D2BE34882C06C"/>
    <w:uiPriority w:val="99"/>
    <w:rsid w:val="00EE3E78"/>
    <w:pPr>
      <w:spacing w:after="200" w:line="276" w:lineRule="auto"/>
    </w:pPr>
    <w:rPr>
      <w:rFonts w:eastAsia="MS Mincho"/>
      <w:sz w:val="22"/>
      <w:szCs w:val="22"/>
    </w:rPr>
  </w:style>
  <w:style w:type="paragraph" w:customStyle="1" w:styleId="233E5CD5853943F4BD7E8C4B124C0E1D">
    <w:name w:val="233E5CD5853943F4BD7E8C4B124C0E1D"/>
    <w:uiPriority w:val="99"/>
    <w:rsid w:val="00EE3E78"/>
    <w:pPr>
      <w:spacing w:after="200" w:line="276" w:lineRule="auto"/>
    </w:pPr>
    <w:rPr>
      <w:rFonts w:eastAsia="MS Mincho"/>
      <w:sz w:val="22"/>
      <w:szCs w:val="22"/>
    </w:rPr>
  </w:style>
  <w:style w:type="paragraph" w:customStyle="1" w:styleId="D345FF3D873148C5AE3FBF3267827368">
    <w:name w:val="D345FF3D873148C5AE3FBF3267827368"/>
    <w:uiPriority w:val="99"/>
    <w:rsid w:val="00EE3E78"/>
    <w:pPr>
      <w:spacing w:after="200" w:line="276" w:lineRule="auto"/>
    </w:pPr>
    <w:rPr>
      <w:rFonts w:eastAsia="MS Mincho"/>
      <w:sz w:val="22"/>
      <w:szCs w:val="22"/>
    </w:rPr>
  </w:style>
  <w:style w:type="character" w:customStyle="1" w:styleId="NoSpacingChar">
    <w:name w:val="No Spacing Char"/>
    <w:aliases w:val="Bez zarážky Char"/>
    <w:link w:val="Bezmezer1"/>
    <w:uiPriority w:val="99"/>
    <w:locked/>
    <w:rsid w:val="005E492C"/>
    <w:rPr>
      <w:rFonts w:ascii="Arial" w:hAnsi="Arial"/>
      <w:sz w:val="22"/>
      <w:szCs w:val="22"/>
      <w:lang w:bidi="ar-SA"/>
    </w:rPr>
  </w:style>
  <w:style w:type="paragraph" w:customStyle="1" w:styleId="TL-identifikace-sted">
    <w:name w:val="TL - identifikace - střed"/>
    <w:basedOn w:val="Normln"/>
    <w:link w:val="TL-identifikace-stedChar"/>
    <w:uiPriority w:val="99"/>
    <w:rsid w:val="005E492C"/>
    <w:pPr>
      <w:spacing w:after="200"/>
    </w:pPr>
    <w:rPr>
      <w:sz w:val="24"/>
      <w:szCs w:val="20"/>
    </w:rPr>
  </w:style>
  <w:style w:type="paragraph" w:customStyle="1" w:styleId="TL-Identifikace-dole">
    <w:name w:val="TL - Identifikace - dole"/>
    <w:basedOn w:val="Normln"/>
    <w:link w:val="TL-Identifikace-doleChar"/>
    <w:uiPriority w:val="99"/>
    <w:rsid w:val="005E492C"/>
    <w:pPr>
      <w:spacing w:after="200"/>
    </w:pPr>
    <w:rPr>
      <w:szCs w:val="20"/>
      <w:lang w:eastAsia="ar-SA"/>
    </w:rPr>
  </w:style>
  <w:style w:type="character" w:customStyle="1" w:styleId="TL-identifikace-stedChar">
    <w:name w:val="TL - identifikace - střed Char"/>
    <w:link w:val="TL-identifikace-sted"/>
    <w:uiPriority w:val="99"/>
    <w:locked/>
    <w:rsid w:val="005E492C"/>
    <w:rPr>
      <w:rFonts w:ascii="Arial" w:hAnsi="Arial"/>
      <w:sz w:val="24"/>
    </w:rPr>
  </w:style>
  <w:style w:type="character" w:customStyle="1" w:styleId="TL-Identifikace-doleChar">
    <w:name w:val="TL - Identifikace - dole Char"/>
    <w:link w:val="TL-Identifikace-dole"/>
    <w:uiPriority w:val="99"/>
    <w:locked/>
    <w:rsid w:val="005E492C"/>
    <w:rPr>
      <w:rFonts w:ascii="Arial" w:hAnsi="Arial"/>
      <w:lang w:eastAsia="ar-SA" w:bidi="ar-SA"/>
    </w:rPr>
  </w:style>
  <w:style w:type="paragraph" w:styleId="Nadpisobsahu">
    <w:name w:val="TOC Heading"/>
    <w:basedOn w:val="Nadpis1"/>
    <w:next w:val="Normln"/>
    <w:uiPriority w:val="99"/>
    <w:qFormat/>
    <w:rsid w:val="007521A1"/>
    <w:pPr>
      <w:keepLines w:val="0"/>
      <w:spacing w:before="240" w:after="60"/>
      <w:outlineLvl w:val="9"/>
    </w:pPr>
    <w:rPr>
      <w:rFonts w:ascii="Cambria" w:eastAsia="Times New Roman" w:hAnsi="Cambria"/>
      <w:color w:val="auto"/>
      <w:kern w:val="32"/>
      <w:szCs w:val="32"/>
    </w:rPr>
  </w:style>
  <w:style w:type="paragraph" w:styleId="Obsah1">
    <w:name w:val="toc 1"/>
    <w:basedOn w:val="Normln"/>
    <w:next w:val="Normln"/>
    <w:autoRedefine/>
    <w:uiPriority w:val="39"/>
    <w:rsid w:val="005B22A7"/>
    <w:pPr>
      <w:tabs>
        <w:tab w:val="left" w:pos="660"/>
        <w:tab w:val="right" w:leader="dot" w:pos="9628"/>
      </w:tabs>
      <w:spacing w:after="100" w:line="360" w:lineRule="auto"/>
      <w:jc w:val="both"/>
    </w:pPr>
    <w:rPr>
      <w:rFonts w:cs="Arial"/>
      <w:b/>
      <w:noProof/>
      <w:szCs w:val="20"/>
      <w:lang w:eastAsia="en-US"/>
    </w:rPr>
  </w:style>
  <w:style w:type="paragraph" w:styleId="Obsah2">
    <w:name w:val="toc 2"/>
    <w:basedOn w:val="Normln"/>
    <w:next w:val="Normln"/>
    <w:autoRedefine/>
    <w:uiPriority w:val="99"/>
    <w:rsid w:val="00D142E5"/>
    <w:pPr>
      <w:ind w:left="200"/>
    </w:pPr>
  </w:style>
  <w:style w:type="paragraph" w:styleId="Obsah3">
    <w:name w:val="toc 3"/>
    <w:basedOn w:val="Normln"/>
    <w:next w:val="Normln"/>
    <w:autoRedefine/>
    <w:uiPriority w:val="99"/>
    <w:rsid w:val="00D142E5"/>
    <w:pPr>
      <w:ind w:left="400"/>
    </w:pPr>
  </w:style>
  <w:style w:type="paragraph" w:styleId="Textpoznpodarou">
    <w:name w:val="footnote text"/>
    <w:aliases w:val="Text pozn. pod čarou_martin_ang"/>
    <w:basedOn w:val="Normln"/>
    <w:link w:val="TextpoznpodarouChar"/>
    <w:rsid w:val="00972263"/>
    <w:pPr>
      <w:spacing w:line="240" w:lineRule="auto"/>
    </w:pPr>
    <w:rPr>
      <w:szCs w:val="20"/>
    </w:rPr>
  </w:style>
  <w:style w:type="character" w:customStyle="1" w:styleId="TextpoznpodarouChar">
    <w:name w:val="Text pozn. pod čarou Char"/>
    <w:aliases w:val="Text pozn. pod čarou_martin_ang Char"/>
    <w:basedOn w:val="Standardnpsmoodstavce"/>
    <w:link w:val="Textpoznpodarou"/>
    <w:locked/>
    <w:rsid w:val="00972263"/>
    <w:rPr>
      <w:rFonts w:ascii="Arial" w:hAnsi="Arial" w:cs="Times New Roman"/>
    </w:rPr>
  </w:style>
  <w:style w:type="character" w:styleId="Znakapoznpodarou">
    <w:name w:val="footnote reference"/>
    <w:basedOn w:val="Standardnpsmoodstavce"/>
    <w:rsid w:val="00972263"/>
    <w:rPr>
      <w:rFonts w:cs="Times New Roman"/>
      <w:vertAlign w:val="superscript"/>
    </w:rPr>
  </w:style>
  <w:style w:type="paragraph" w:styleId="Rozvrendokumentu">
    <w:name w:val="Document Map"/>
    <w:basedOn w:val="Normln"/>
    <w:link w:val="RozvrendokumentuChar"/>
    <w:uiPriority w:val="99"/>
    <w:semiHidden/>
    <w:rsid w:val="00D5626D"/>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locked/>
    <w:rsid w:val="00D5626D"/>
    <w:rPr>
      <w:rFonts w:ascii="Tahoma" w:hAnsi="Tahoma" w:cs="Tahoma"/>
      <w:sz w:val="16"/>
      <w:szCs w:val="16"/>
    </w:rPr>
  </w:style>
  <w:style w:type="character" w:styleId="Siln">
    <w:name w:val="Strong"/>
    <w:basedOn w:val="Standardnpsmoodstavce"/>
    <w:uiPriority w:val="99"/>
    <w:qFormat/>
    <w:rsid w:val="00E921C7"/>
    <w:rPr>
      <w:rFonts w:cs="Times New Roman"/>
      <w:b/>
      <w:bCs/>
    </w:rPr>
  </w:style>
  <w:style w:type="paragraph" w:styleId="Odstavecseseznamem">
    <w:name w:val="List Paragraph"/>
    <w:basedOn w:val="Normln"/>
    <w:uiPriority w:val="34"/>
    <w:qFormat/>
    <w:rsid w:val="0046039A"/>
    <w:pPr>
      <w:ind w:left="708"/>
    </w:pPr>
  </w:style>
  <w:style w:type="table" w:styleId="Mkatabulky">
    <w:name w:val="Table Grid"/>
    <w:basedOn w:val="Normlntabulka"/>
    <w:uiPriority w:val="59"/>
    <w:rsid w:val="000779A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1">
    <w:name w:val="Mřížka tabulky1"/>
    <w:uiPriority w:val="59"/>
    <w:rsid w:val="003D476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mezer">
    <w:name w:val="No Spacing"/>
    <w:uiPriority w:val="1"/>
    <w:qFormat/>
    <w:rsid w:val="007D4281"/>
    <w:pPr>
      <w:jc w:val="both"/>
    </w:pPr>
    <w:rPr>
      <w:rFonts w:ascii="Arial" w:eastAsia="Times New Roman" w:hAnsi="Arial"/>
      <w:szCs w:val="24"/>
    </w:rPr>
  </w:style>
  <w:style w:type="character" w:customStyle="1" w:styleId="ssfpaarticletext">
    <w:name w:val="ssfpaarticletext"/>
    <w:basedOn w:val="Standardnpsmoodstavce"/>
    <w:rsid w:val="00EE0473"/>
  </w:style>
</w:styles>
</file>

<file path=word/webSettings.xml><?xml version="1.0" encoding="utf-8"?>
<w:webSettings xmlns:r="http://schemas.openxmlformats.org/officeDocument/2006/relationships" xmlns:w="http://schemas.openxmlformats.org/wordprocessingml/2006/main">
  <w:divs>
    <w:div w:id="891159435">
      <w:marLeft w:val="0"/>
      <w:marRight w:val="0"/>
      <w:marTop w:val="0"/>
      <w:marBottom w:val="0"/>
      <w:divBdr>
        <w:top w:val="none" w:sz="0" w:space="0" w:color="auto"/>
        <w:left w:val="none" w:sz="0" w:space="0" w:color="auto"/>
        <w:bottom w:val="none" w:sz="0" w:space="0" w:color="auto"/>
        <w:right w:val="none" w:sz="0" w:space="0" w:color="auto"/>
      </w:divBdr>
    </w:div>
    <w:div w:id="891159436">
      <w:marLeft w:val="0"/>
      <w:marRight w:val="0"/>
      <w:marTop w:val="0"/>
      <w:marBottom w:val="0"/>
      <w:divBdr>
        <w:top w:val="none" w:sz="0" w:space="0" w:color="auto"/>
        <w:left w:val="none" w:sz="0" w:space="0" w:color="auto"/>
        <w:bottom w:val="none" w:sz="0" w:space="0" w:color="auto"/>
        <w:right w:val="none" w:sz="0" w:space="0" w:color="auto"/>
      </w:divBdr>
    </w:div>
    <w:div w:id="891159437">
      <w:marLeft w:val="0"/>
      <w:marRight w:val="0"/>
      <w:marTop w:val="0"/>
      <w:marBottom w:val="0"/>
      <w:divBdr>
        <w:top w:val="none" w:sz="0" w:space="0" w:color="auto"/>
        <w:left w:val="none" w:sz="0" w:space="0" w:color="auto"/>
        <w:bottom w:val="none" w:sz="0" w:space="0" w:color="auto"/>
        <w:right w:val="none" w:sz="0" w:space="0" w:color="auto"/>
      </w:divBdr>
    </w:div>
    <w:div w:id="891159438">
      <w:marLeft w:val="0"/>
      <w:marRight w:val="0"/>
      <w:marTop w:val="0"/>
      <w:marBottom w:val="0"/>
      <w:divBdr>
        <w:top w:val="none" w:sz="0" w:space="0" w:color="auto"/>
        <w:left w:val="none" w:sz="0" w:space="0" w:color="auto"/>
        <w:bottom w:val="none" w:sz="0" w:space="0" w:color="auto"/>
        <w:right w:val="none" w:sz="0" w:space="0" w:color="auto"/>
      </w:divBdr>
    </w:div>
    <w:div w:id="891159439">
      <w:marLeft w:val="0"/>
      <w:marRight w:val="0"/>
      <w:marTop w:val="0"/>
      <w:marBottom w:val="0"/>
      <w:divBdr>
        <w:top w:val="none" w:sz="0" w:space="0" w:color="auto"/>
        <w:left w:val="none" w:sz="0" w:space="0" w:color="auto"/>
        <w:bottom w:val="none" w:sz="0" w:space="0" w:color="auto"/>
        <w:right w:val="none" w:sz="0" w:space="0" w:color="auto"/>
      </w:divBdr>
    </w:div>
    <w:div w:id="891159440">
      <w:marLeft w:val="0"/>
      <w:marRight w:val="0"/>
      <w:marTop w:val="0"/>
      <w:marBottom w:val="0"/>
      <w:divBdr>
        <w:top w:val="none" w:sz="0" w:space="0" w:color="auto"/>
        <w:left w:val="none" w:sz="0" w:space="0" w:color="auto"/>
        <w:bottom w:val="none" w:sz="0" w:space="0" w:color="auto"/>
        <w:right w:val="none" w:sz="0" w:space="0" w:color="auto"/>
      </w:divBdr>
    </w:div>
    <w:div w:id="891159441">
      <w:marLeft w:val="0"/>
      <w:marRight w:val="0"/>
      <w:marTop w:val="0"/>
      <w:marBottom w:val="0"/>
      <w:divBdr>
        <w:top w:val="none" w:sz="0" w:space="0" w:color="auto"/>
        <w:left w:val="none" w:sz="0" w:space="0" w:color="auto"/>
        <w:bottom w:val="none" w:sz="0" w:space="0" w:color="auto"/>
        <w:right w:val="none" w:sz="0" w:space="0" w:color="auto"/>
      </w:divBdr>
    </w:div>
    <w:div w:id="891159442">
      <w:marLeft w:val="0"/>
      <w:marRight w:val="0"/>
      <w:marTop w:val="0"/>
      <w:marBottom w:val="0"/>
      <w:divBdr>
        <w:top w:val="none" w:sz="0" w:space="0" w:color="auto"/>
        <w:left w:val="none" w:sz="0" w:space="0" w:color="auto"/>
        <w:bottom w:val="none" w:sz="0" w:space="0" w:color="auto"/>
        <w:right w:val="none" w:sz="0" w:space="0" w:color="auto"/>
      </w:divBdr>
    </w:div>
    <w:div w:id="891159443">
      <w:marLeft w:val="0"/>
      <w:marRight w:val="0"/>
      <w:marTop w:val="0"/>
      <w:marBottom w:val="0"/>
      <w:divBdr>
        <w:top w:val="none" w:sz="0" w:space="0" w:color="auto"/>
        <w:left w:val="none" w:sz="0" w:space="0" w:color="auto"/>
        <w:bottom w:val="none" w:sz="0" w:space="0" w:color="auto"/>
        <w:right w:val="none" w:sz="0" w:space="0" w:color="auto"/>
      </w:divBdr>
    </w:div>
    <w:div w:id="891159444">
      <w:marLeft w:val="0"/>
      <w:marRight w:val="0"/>
      <w:marTop w:val="0"/>
      <w:marBottom w:val="0"/>
      <w:divBdr>
        <w:top w:val="none" w:sz="0" w:space="0" w:color="auto"/>
        <w:left w:val="none" w:sz="0" w:space="0" w:color="auto"/>
        <w:bottom w:val="none" w:sz="0" w:space="0" w:color="auto"/>
        <w:right w:val="none" w:sz="0" w:space="0" w:color="auto"/>
      </w:divBdr>
    </w:div>
    <w:div w:id="891159445">
      <w:marLeft w:val="0"/>
      <w:marRight w:val="0"/>
      <w:marTop w:val="0"/>
      <w:marBottom w:val="0"/>
      <w:divBdr>
        <w:top w:val="none" w:sz="0" w:space="0" w:color="auto"/>
        <w:left w:val="none" w:sz="0" w:space="0" w:color="auto"/>
        <w:bottom w:val="none" w:sz="0" w:space="0" w:color="auto"/>
        <w:right w:val="none" w:sz="0" w:space="0" w:color="auto"/>
      </w:divBdr>
    </w:div>
    <w:div w:id="8911594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iri.kamenicky@czso.cz" TargetMode="External"/><Relationship Id="rId13" Type="http://schemas.openxmlformats.org/officeDocument/2006/relationships/image" Target="media/image2.wmf"/><Relationship Id="rId18" Type="http://schemas.openxmlformats.org/officeDocument/2006/relationships/image" Target="media/image7.emf"/><Relationship Id="rId26" Type="http://schemas.openxmlformats.org/officeDocument/2006/relationships/image" Target="media/image15.wmf"/><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0.wmf"/><Relationship Id="rId34" Type="http://schemas.openxmlformats.org/officeDocument/2006/relationships/image" Target="media/image23.emf"/><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6.emf"/><Relationship Id="rId25" Type="http://schemas.openxmlformats.org/officeDocument/2006/relationships/image" Target="media/image14.wmf"/><Relationship Id="rId33" Type="http://schemas.openxmlformats.org/officeDocument/2006/relationships/image" Target="media/image22.emf"/><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9.emf"/><Relationship Id="rId29"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3.wmf"/><Relationship Id="rId32" Type="http://schemas.openxmlformats.org/officeDocument/2006/relationships/image" Target="media/image21.emf"/><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12.wmf"/><Relationship Id="rId28" Type="http://schemas.openxmlformats.org/officeDocument/2006/relationships/image" Target="media/image17.emf"/><Relationship Id="rId36" Type="http://schemas.openxmlformats.org/officeDocument/2006/relationships/header" Target="header4.xml"/><Relationship Id="rId10" Type="http://schemas.openxmlformats.org/officeDocument/2006/relationships/header" Target="header1.xml"/><Relationship Id="rId19" Type="http://schemas.openxmlformats.org/officeDocument/2006/relationships/image" Target="media/image8.emf"/><Relationship Id="rId31" Type="http://schemas.openxmlformats.org/officeDocument/2006/relationships/image" Target="media/image20.emf"/><Relationship Id="rId4" Type="http://schemas.openxmlformats.org/officeDocument/2006/relationships/settings" Target="settings.xml"/><Relationship Id="rId9" Type="http://schemas.openxmlformats.org/officeDocument/2006/relationships/hyperlink" Target="mailto:jiri.kamenicky@czso.cz" TargetMode="External"/><Relationship Id="rId14" Type="http://schemas.openxmlformats.org/officeDocument/2006/relationships/image" Target="media/image3.wmf"/><Relationship Id="rId22" Type="http://schemas.openxmlformats.org/officeDocument/2006/relationships/image" Target="media/image11.wmf"/><Relationship Id="rId27" Type="http://schemas.openxmlformats.org/officeDocument/2006/relationships/image" Target="media/image16.emf"/><Relationship Id="rId30" Type="http://schemas.openxmlformats.org/officeDocument/2006/relationships/image" Target="media/image19.wmf"/><Relationship Id="rId35"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4.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OVA~1\AppData\Local\Temp\publikace%20bar_vicetematick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EFDDFE-5D5F-45D8-AEF7-75932B7E9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bar_vicetematicke</Template>
  <TotalTime>5</TotalTime>
  <Pages>23</Pages>
  <Words>11741</Words>
  <Characters>69274</Characters>
  <Application>Microsoft Office Word</Application>
  <DocSecurity>0</DocSecurity>
  <Lines>577</Lines>
  <Paragraphs>161</Paragraphs>
  <ScaleCrop>false</ScaleCrop>
  <HeadingPairs>
    <vt:vector size="2" baseType="variant">
      <vt:variant>
        <vt:lpstr>Název</vt:lpstr>
      </vt:variant>
      <vt:variant>
        <vt:i4>1</vt:i4>
      </vt:variant>
    </vt:vector>
  </HeadingPairs>
  <TitlesOfParts>
    <vt:vector size="1" baseType="lpstr">
      <vt:lpstr/>
    </vt:vector>
  </TitlesOfParts>
  <Company>CSU</Company>
  <LinksUpToDate>false</LinksUpToDate>
  <CharactersWithSpaces>80854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Emilie Jašová</dc:creator>
  <cp:lastModifiedBy>kamenicky3604</cp:lastModifiedBy>
  <cp:revision>9</cp:revision>
  <cp:lastPrinted>2016-12-20T07:27:00Z</cp:lastPrinted>
  <dcterms:created xsi:type="dcterms:W3CDTF">2016-12-20T14:01:00Z</dcterms:created>
  <dcterms:modified xsi:type="dcterms:W3CDTF">2016-12-20T14:33:00Z</dcterms:modified>
</cp:coreProperties>
</file>