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08" w:rsidRPr="00360DE3" w:rsidRDefault="00E212C9" w:rsidP="00C96D08">
      <w:pPr>
        <w:pStyle w:val="Nadpis1"/>
      </w:pPr>
      <w:bookmarkStart w:id="0" w:name="_Toc527639480"/>
      <w:r w:rsidRPr="00360DE3">
        <w:t>9</w:t>
      </w:r>
      <w:r w:rsidR="00C96D08" w:rsidRPr="00360DE3">
        <w:t>. Hospodaření vládních institucí</w:t>
      </w:r>
      <w:bookmarkEnd w:id="0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6"/>
        <w:gridCol w:w="277"/>
        <w:gridCol w:w="7391"/>
      </w:tblGrid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Hospodaření sektoru vládních institucí bylo loni přebytkové.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 xml:space="preserve">Hospodaření vládních institucí loni podruhé v řadě dosáhlo přebytku, který překonal předchozí kladné saldo z roku 2016 o 46,0 mld. korun a dosáhl 80,6 mld. Na rozdíl od roku 2016, kdy k přebytku přispělo hlavně snížení celkových výdajů, se o příznivý výsledek loni zasloužily hlavně výrazně vyšší příjmy, jejichž růst loni zrychlil. Značně se zvýšil i relativní přebytek. Celkově dosáhla výše přebytku vůči HDP 1,6 % (o rok dříve 0,7 %), čímž se ČR zařadila na třetí příčku v rámci Evropské unie.     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Příznivý ekonomický vývoj umožnil snížení deficitů v EU.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 xml:space="preserve">Příznivý ekonomický vývoj se odehrával i ve zbytku EU, což ve většině zemí vedlo k poklesu relativních i absolutních deficitů (případně zvýšení přebytků). Celkový deficit vládních institucí zemí EU loni činil 146,6 mld. eur a meziročně se zmírnil o 95,2 mld. Relativní deficit se </w:t>
            </w:r>
            <w:proofErr w:type="gramStart"/>
            <w:r w:rsidRPr="00360DE3">
              <w:t>snížil z 1,6</w:t>
            </w:r>
            <w:proofErr w:type="gramEnd"/>
            <w:r w:rsidRPr="00360DE3">
              <w:t xml:space="preserve"> % HDP Unie v roce 2016 na loňské 1,0 %. Přebytku hospodaření loni dosáhlo 13 států (v roce 2016 to bylo 11). Nejvyšší relativní přebytek měla Malta (3,9 % HDP), kde rovněž došlo k nejmarkantnějšímu meziročnímu zvýšení (o 2,9 p. </w:t>
            </w:r>
            <w:proofErr w:type="spellStart"/>
            <w:r w:rsidRPr="00360DE3">
              <w:t>b</w:t>
            </w:r>
            <w:proofErr w:type="spellEnd"/>
            <w:r w:rsidRPr="00360DE3">
              <w:t xml:space="preserve">.).  Na druhém místě byl </w:t>
            </w:r>
            <w:proofErr w:type="gramStart"/>
            <w:r w:rsidRPr="00360DE3">
              <w:t>Kypr s 1,8</w:t>
            </w:r>
            <w:proofErr w:type="gramEnd"/>
            <w:r w:rsidRPr="00360DE3">
              <w:t xml:space="preserve"> % a třetí nejvyšší relativní přebytek mělo Česko (zlepšení o dvě příčky). Většina zemí EU měla deficitní financování, i tak se u mnoha zemí salda redukovala. Tříprocentní hranici Maastrichtského kritéria těsně překročilo jen Španělsko (deficit 3,1 % HDP), na hranici bylo Portugalsko (3,0 %, jedna ze čtyř zemí, kde došlo k meziročnímu zhoršení) a třetí nejvyšší relativní deficit mělo Rumunsko (2,9 %).  </w:t>
            </w:r>
          </w:p>
        </w:tc>
      </w:tr>
      <w:tr w:rsidR="00C96D08" w:rsidRPr="00360DE3" w:rsidTr="002B213A"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4E02EB" w:rsidRDefault="00C96D08" w:rsidP="001D198A">
            <w:pPr>
              <w:spacing w:after="0"/>
              <w:rPr>
                <w:lang w:eastAsia="en-US"/>
              </w:rPr>
            </w:pPr>
            <w:r w:rsidRPr="00360DE3">
              <w:rPr>
                <w:b/>
              </w:rPr>
              <w:t xml:space="preserve">Graf č. </w:t>
            </w:r>
            <w:proofErr w:type="gramStart"/>
            <w:r w:rsidR="001D198A" w:rsidRPr="00360DE3">
              <w:rPr>
                <w:b/>
              </w:rPr>
              <w:t>9.1</w:t>
            </w:r>
            <w:r w:rsidRPr="00360DE3">
              <w:rPr>
                <w:b/>
              </w:rPr>
              <w:t xml:space="preserve">  </w:t>
            </w:r>
            <w:r w:rsidRPr="00360DE3">
              <w:rPr>
                <w:b/>
                <w:lang w:eastAsia="en-US"/>
              </w:rPr>
              <w:t>Čisté</w:t>
            </w:r>
            <w:proofErr w:type="gramEnd"/>
            <w:r w:rsidRPr="00360DE3">
              <w:rPr>
                <w:b/>
                <w:lang w:eastAsia="en-US"/>
              </w:rPr>
              <w:t xml:space="preserve"> půjčky/výpůjčky sektoru vládních institucí</w:t>
            </w:r>
            <w:r w:rsidRPr="00360DE3">
              <w:rPr>
                <w:lang w:eastAsia="en-US"/>
              </w:rPr>
              <w:t xml:space="preserve"> </w:t>
            </w:r>
          </w:p>
          <w:p w:rsidR="00C96D08" w:rsidRPr="00360DE3" w:rsidRDefault="00C96D08" w:rsidP="001D198A">
            <w:pPr>
              <w:spacing w:after="0"/>
              <w:rPr>
                <w:b/>
              </w:rPr>
            </w:pPr>
            <w:r w:rsidRPr="00360DE3">
              <w:rPr>
                <w:lang w:eastAsia="en-US"/>
              </w:rPr>
              <w:t>(v % HDP, z údajů v běžných cenách)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 xml:space="preserve">Zdroj: </w:t>
            </w:r>
            <w:proofErr w:type="spellStart"/>
            <w:r w:rsidRPr="00360DE3">
              <w:rPr>
                <w:sz w:val="14"/>
                <w:szCs w:val="14"/>
              </w:rPr>
              <w:t>Eurostat</w:t>
            </w:r>
            <w:proofErr w:type="spellEnd"/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Přebytku bylo dosaženo především díky silně rostoucím příjmům.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 xml:space="preserve">Jak již bylo zmíněno výše, díky výraznému hospodářskému růstu se zvýšily i příjmy vládních institucí. Ty byly rozhodujícím faktorem pro výsledek jejich hospodaření. Celkově příjmy dosáhly 2 042,5 mld. korun a meziročně se zvýšily o 125,3 mld. korun (6,5 %). Příznivý ekonomický vývoj se přímo odrážel v příjmech z daní, jejichž růst v porovnání s rokem 2016 zrychlil. Objem přijatých daní z výroby </w:t>
            </w:r>
            <w:r w:rsidRPr="00360DE3">
              <w:lastRenderedPageBreak/>
              <w:t>a dovozu vzrostl o 7,3 %, z toho u daní z produktů to bylo 7,1 % a ostatních daní z výroby 11,0 %. Objem daní typu DPH se zvýšil o 9,5 %. Výrazný růst mezd se dál projevoval na výši daní z příjmů i sociálních příspěvků. Přijaté běžné daně z důchodů a jmění tak vzrostly o 7,9 % a čisté sociální příspěvky o 8,0 %. Na straně příjmů výrazně klesaly jen důchody z vlastn</w:t>
            </w:r>
            <w:r w:rsidR="00D52BE2">
              <w:t>ictví a úroky. Mírně poklesla i</w:t>
            </w:r>
            <w:r w:rsidR="00D52BE2" w:rsidRPr="00360DE3">
              <w:t> </w:t>
            </w:r>
            <w:r w:rsidRPr="00360DE3">
              <w:t>hodnota přijatých kapitálových transferů, která se propadla již v roce 2016 (jde především o dotační prostředky z EU).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Výdaje rovněž rostly. Výrazným faktorem byly náhrady zaměstnancům odrážející růst mezd a platů.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D52BE2" w:rsidRDefault="00C96D08" w:rsidP="002B213A">
            <w:pPr>
              <w:rPr>
                <w:spacing w:val="-2"/>
              </w:rPr>
            </w:pPr>
            <w:r w:rsidRPr="00D52BE2">
              <w:rPr>
                <w:spacing w:val="-2"/>
              </w:rPr>
              <w:t>Rostly i celkové výdaje vládních institucí. Ty dosáhly 1 961,8 mld. korun a meziročně se zvýšily o 79,3 mld. (4,2 %). Neopakovala se tak redukce z roku 2016, která přispěla k tehdejšímu přebytku. Výdaje vládního sektoru byly poznamenány výrazným růstem mezd a platů, který se následně přímo promítal do náhrad zaměstnancům tohoto sektoru, které vzrostly o 10,2 %. Hodnota naturálních sociálních transferů (tržní produkce nakoupené vládními institucemi a netržní produkce samotných vládních institucí) vzrostla o 3,9 %, což bylo rychlejší tempo než u hodnoty samotných sociálních dávek (2,8 %). Jde mimo jiné o důsledek vyšších nákladů na pracovní sílu. Mírně vzrostl objem vyplacených dotací (3,2 %). Naopak pokračoval výrazný pokles hodnoty vyplacených důchodů z vlastnictví (-14,3 %). V porovnání s rokem 2016 došlo k výraznému zvýšení investičních výdajů. Celkově hodnota výdajů na tvorbu hrubého kapitálu vzrostla o 10,7 %, to však nestačilo na kompenzaci propadu z předchozího roku (-34,5 %). Kapitálové výdaje nepřekonaly úroveň let 2014 a 2015.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1D198A">
            <w:pPr>
              <w:spacing w:after="0"/>
            </w:pPr>
            <w:r w:rsidRPr="00360DE3">
              <w:rPr>
                <w:b/>
              </w:rPr>
              <w:t xml:space="preserve">Graf č. </w:t>
            </w:r>
            <w:proofErr w:type="gramStart"/>
            <w:r w:rsidR="001D198A" w:rsidRPr="00360DE3">
              <w:rPr>
                <w:b/>
              </w:rPr>
              <w:t>9.2</w:t>
            </w:r>
            <w:r w:rsidRPr="00360DE3">
              <w:t xml:space="preserve">  </w:t>
            </w:r>
            <w:r w:rsidRPr="00360DE3">
              <w:rPr>
                <w:b/>
                <w:lang w:eastAsia="en-US"/>
              </w:rPr>
              <w:t>Příjmy</w:t>
            </w:r>
            <w:proofErr w:type="gramEnd"/>
            <w:r w:rsidRPr="00360DE3">
              <w:rPr>
                <w:b/>
                <w:lang w:eastAsia="en-US"/>
              </w:rPr>
              <w:t xml:space="preserve">, výdaje </w:t>
            </w:r>
            <w:r w:rsidRPr="00360DE3">
              <w:rPr>
                <w:lang w:eastAsia="en-US"/>
              </w:rPr>
              <w:t>(levá osa)</w:t>
            </w:r>
            <w:r w:rsidRPr="00360DE3">
              <w:rPr>
                <w:b/>
                <w:lang w:eastAsia="en-US"/>
              </w:rPr>
              <w:t xml:space="preserve"> a čisté půjčky/výpůjčky </w:t>
            </w:r>
            <w:r w:rsidRPr="00360DE3">
              <w:rPr>
                <w:lang w:eastAsia="en-US"/>
              </w:rPr>
              <w:t xml:space="preserve">(pravá osa) </w:t>
            </w:r>
            <w:r w:rsidRPr="00360DE3">
              <w:rPr>
                <w:b/>
                <w:lang w:eastAsia="en-US"/>
              </w:rPr>
              <w:t xml:space="preserve">vládních institucí </w:t>
            </w:r>
            <w:r w:rsidRPr="00360DE3">
              <w:rPr>
                <w:lang w:eastAsia="en-US"/>
              </w:rPr>
              <w:t>(v mld. korun)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37600" cy="3553200"/>
                  <wp:effectExtent l="0" t="0" r="5850" b="0"/>
                  <wp:docPr id="2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>Zdroj: ČSÚ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 xml:space="preserve">Přebytku hospodaření dosáhly všechny </w:t>
            </w:r>
            <w:proofErr w:type="spellStart"/>
            <w:r w:rsidRPr="00360DE3">
              <w:rPr>
                <w:spacing w:val="0"/>
              </w:rPr>
              <w:t>subsektory</w:t>
            </w:r>
            <w:proofErr w:type="spellEnd"/>
            <w:r w:rsidRPr="00360DE3">
              <w:rPr>
                <w:spacing w:val="0"/>
              </w:rPr>
              <w:t>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 xml:space="preserve">V loňském roce se na přebytku podílely všechny </w:t>
            </w:r>
            <w:proofErr w:type="spellStart"/>
            <w:r w:rsidRPr="00360DE3">
              <w:t>subsektory</w:t>
            </w:r>
            <w:proofErr w:type="spellEnd"/>
            <w:r w:rsidRPr="00360DE3">
              <w:t xml:space="preserve"> vládních institucí. Přebytku 30,1 mld. korun dosáhly i obvykle deficitní ústřední vládní instituce, u nichž došlo k nárůstu příjmů o 88,2 mld. korun (6,4 %). Ústřední vládní instituce jsou většinovým příjemcem výnosů z daní, které příjmovou stránku salda ovlivnily nejsilněji. Výdaje tohoto </w:t>
            </w:r>
            <w:proofErr w:type="spellStart"/>
            <w:r w:rsidRPr="00360DE3">
              <w:t>subsektoru</w:t>
            </w:r>
            <w:proofErr w:type="spellEnd"/>
            <w:r w:rsidRPr="00360DE3">
              <w:t xml:space="preserve"> přitom rostly po</w:t>
            </w:r>
            <w:r w:rsidR="00D52BE2">
              <w:t>maleji než v celém sektoru (2,7</w:t>
            </w:r>
            <w:r w:rsidR="00D52BE2" w:rsidRPr="00360DE3">
              <w:t> </w:t>
            </w:r>
            <w:r w:rsidRPr="00360DE3">
              <w:t xml:space="preserve">%). Tohoto výsledku bylo dosaženo i kvůli prakticky nezměněné úrovni </w:t>
            </w:r>
            <w:r w:rsidRPr="00360DE3">
              <w:lastRenderedPageBreak/>
              <w:t>kapitálových výdajů, které se oproti roku 2016 zvýšily jen o 0,4 %. Místní vládní instituce dosahují přebytků již delší dobu, ten loňský se však meziročně snížil o 7,2 mld. korun. V roce 2017 jejich příjmy vzrostly o 41,1 mld. korun (7,7 %) i díky silnému růstu daňových výnosů (daně z výroby a dovozu o 9,9 %, daně typu DPH o 11,6 %). Výdaje u místních vládních institucí s</w:t>
            </w:r>
            <w:r w:rsidR="00D52BE2">
              <w:t>e navýšily poměrně razantně – o</w:t>
            </w:r>
            <w:r w:rsidR="00D52BE2" w:rsidRPr="00360DE3">
              <w:t> </w:t>
            </w:r>
            <w:r w:rsidRPr="00360DE3">
              <w:t xml:space="preserve">10,0 %. Zahrnují především náhrady zaměstnancům (růst o 10,3 %) a také kapitálové výdaje, které po propadu v roce 2016 zaznamenaly růst o 26,1 % (jejich úroveň však nepřekonala rok 2015 ani 2014). </w:t>
            </w:r>
            <w:proofErr w:type="spellStart"/>
            <w:r w:rsidRPr="00360DE3">
              <w:t>Subsektor</w:t>
            </w:r>
            <w:proofErr w:type="spellEnd"/>
            <w:r w:rsidRPr="00360DE3">
              <w:t xml:space="preserve"> fondů sociálního zabezpečení</w:t>
            </w:r>
            <w:r w:rsidRPr="00360DE3">
              <w:rPr>
                <w:rStyle w:val="Znakapoznpodarou"/>
              </w:rPr>
              <w:footnoteReference w:id="1"/>
            </w:r>
            <w:r w:rsidRPr="00360DE3">
              <w:t xml:space="preserve"> těžil z růstu objemu vybraných sociálních příspěvků, který byl navázán na růst mezd a platů. Příjmy se tak zvýšily o 6,4 %. Růst výdajů zrychlil na 5,3 %, ale i tak dosáhl </w:t>
            </w:r>
            <w:proofErr w:type="spellStart"/>
            <w:r w:rsidRPr="00360DE3">
              <w:t>subsektor</w:t>
            </w:r>
            <w:proofErr w:type="spellEnd"/>
            <w:r w:rsidRPr="00360DE3">
              <w:t xml:space="preserve"> nejvyššího přebytku od roku 2008 (8,0 mld.)</w:t>
            </w:r>
            <w:r w:rsidR="006C33B2">
              <w:t>, a to již potřetí v řadě.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4225C6" w:rsidRDefault="00C96D08" w:rsidP="004E02EB">
            <w:pPr>
              <w:spacing w:after="0"/>
              <w:rPr>
                <w:spacing w:val="-3"/>
              </w:rPr>
            </w:pPr>
            <w:r w:rsidRPr="004225C6">
              <w:rPr>
                <w:b/>
                <w:spacing w:val="-3"/>
              </w:rPr>
              <w:t xml:space="preserve">Graf č. </w:t>
            </w:r>
            <w:proofErr w:type="gramStart"/>
            <w:r w:rsidR="001D198A" w:rsidRPr="004225C6">
              <w:rPr>
                <w:b/>
                <w:spacing w:val="-3"/>
              </w:rPr>
              <w:t>9.3</w:t>
            </w:r>
            <w:r w:rsidRPr="004225C6">
              <w:rPr>
                <w:spacing w:val="-3"/>
              </w:rPr>
              <w:t xml:space="preserve">  </w:t>
            </w:r>
            <w:r w:rsidRPr="004225C6">
              <w:rPr>
                <w:b/>
                <w:spacing w:val="-3"/>
                <w:lang w:eastAsia="en-US"/>
              </w:rPr>
              <w:t>Čisté</w:t>
            </w:r>
            <w:proofErr w:type="gramEnd"/>
            <w:r w:rsidRPr="004225C6">
              <w:rPr>
                <w:b/>
                <w:spacing w:val="-3"/>
                <w:lang w:eastAsia="en-US"/>
              </w:rPr>
              <w:t xml:space="preserve"> půjčky(+)/výpůjčky(-) vládních institucí v členění na </w:t>
            </w:r>
            <w:proofErr w:type="spellStart"/>
            <w:r w:rsidRPr="004225C6">
              <w:rPr>
                <w:b/>
                <w:spacing w:val="-3"/>
                <w:lang w:eastAsia="en-US"/>
              </w:rPr>
              <w:t>subsektory</w:t>
            </w:r>
            <w:proofErr w:type="spellEnd"/>
            <w:r w:rsidRPr="004225C6">
              <w:rPr>
                <w:b/>
                <w:spacing w:val="-3"/>
                <w:lang w:eastAsia="en-US"/>
              </w:rPr>
              <w:t xml:space="preserve"> </w:t>
            </w:r>
            <w:r w:rsidRPr="004225C6">
              <w:rPr>
                <w:spacing w:val="-3"/>
                <w:lang w:eastAsia="en-US"/>
              </w:rPr>
              <w:t>(v mld. korun, běžné ceny)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40294" cy="3623941"/>
                  <wp:effectExtent l="0" t="0" r="0" b="0"/>
                  <wp:docPr id="2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>Zdroj: ČSÚ</w:t>
            </w: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t>Celkový dluh se mírně snížil, během roku však výrazně kolísal.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Default="00C96D08" w:rsidP="002B213A">
            <w:r w:rsidRPr="00360DE3">
              <w:t xml:space="preserve">Celkový dluh sektoru vládních institucí k 31. 12. 2017 činil 1 749,1 mld. korun. Nominální dluh setrval na úrovni minulého roku, když se meziročně snížil o 5,7 mld. korun. Vývoj v průběhu roku měl výraznější dynamiku. V první polovině roku totiž výrazně narůstal (od konce roku 2016 do 30. 6. 2017 dohromady o 168,7 mld. korun). Drtivá většina z tohoto nárůstu měla formu krátkodobých dluhových cenných papírů (143,4 mld.). Ve 3. čtvrtletí pak úroveň dluhu klesla o 184,2 mld. korun (z toho pokles u krátkodobých dluhopisů činil 147,9 mld.). Tento vývoj ukazuje na pravděpodobnou snahu využít nízkých úrokových sazeb na dluhopisovém trhu na počátku roku v kombinaci se specifickou situací končící intervence ČNB. Na konci roku 2017 byl podíl krátkodobých dluhových cenných papírů na celkovém dluhu vyšší než v roce 2016. </w:t>
            </w:r>
          </w:p>
          <w:p w:rsidR="00007BEF" w:rsidRPr="00360DE3" w:rsidRDefault="00007BEF" w:rsidP="00007BEF">
            <w:pPr>
              <w:spacing w:after="0"/>
            </w:pPr>
          </w:p>
        </w:tc>
      </w:tr>
      <w:tr w:rsidR="00C96D08" w:rsidRPr="00360DE3" w:rsidTr="002B213A">
        <w:trPr>
          <w:trHeight w:val="145"/>
        </w:trPr>
        <w:tc>
          <w:tcPr>
            <w:tcW w:w="1976" w:type="dxa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  <w:r w:rsidRPr="00360DE3">
              <w:rPr>
                <w:spacing w:val="0"/>
              </w:rPr>
              <w:lastRenderedPageBreak/>
              <w:t>Díky výraznému hospodářskému růstu se relativní dluh většiny zemí EU snižoval.</w:t>
            </w:r>
          </w:p>
        </w:tc>
        <w:tc>
          <w:tcPr>
            <w:tcW w:w="277" w:type="dxa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r w:rsidRPr="00360DE3">
              <w:t>Podíl dluhu na HDP (relativní dluh) ke konci roku 20</w:t>
            </w:r>
            <w:r w:rsidR="004225C6">
              <w:t>17 činil 34,6 %, což bylo o</w:t>
            </w:r>
            <w:r w:rsidR="004225C6" w:rsidRPr="00360DE3">
              <w:t> </w:t>
            </w:r>
            <w:r w:rsidR="004225C6">
              <w:t>2,2</w:t>
            </w:r>
            <w:r w:rsidR="004225C6" w:rsidRPr="00360DE3">
              <w:t> </w:t>
            </w:r>
            <w:r w:rsidRPr="00360DE3">
              <w:t xml:space="preserve">p. </w:t>
            </w:r>
            <w:proofErr w:type="spellStart"/>
            <w:r w:rsidRPr="00360DE3">
              <w:t>b</w:t>
            </w:r>
            <w:proofErr w:type="spellEnd"/>
            <w:r w:rsidRPr="00360DE3">
              <w:t xml:space="preserve">. </w:t>
            </w:r>
            <w:proofErr w:type="gramStart"/>
            <w:r w:rsidRPr="00360DE3">
              <w:t>méně</w:t>
            </w:r>
            <w:proofErr w:type="gramEnd"/>
            <w:r w:rsidRPr="00360DE3">
              <w:t xml:space="preserve"> než v roce 2016. Relativní dluh Česka se snížil počtvrté v řadě. Česko dosáhlo čtvrtého nejnižšího relativního dluhu mezi státy EU. Relativní dluh se loni snižoval téměř ve všech zemích unie. Napomohl tomu zejména silný hospodářský růst, protože v absolutním vyjádření dluh (v eurech) ve většině zemí rostl. Nejnižšího relativního dluhu dlouhodobě dosahuje Estonsko (9,0 % HDP v roce 2017). Druhé Lucembursko mělo dluh vůči HDP 23,0 % a šlo o jednu ze dvou zemí, kde relativní dluh vzrostl. V Bulharsku relativní dluh činil 25,4 %. Na opačném konci mezinárodního srovnání jsou státy jižní Evropy. Řecké relativní zadlužení se mírně snížilo na 178,6 % HDP, Itálie dosáhla 131,8 % a Portugalsku se podařilo snížit relativní dluh o 4,2 p. </w:t>
            </w:r>
            <w:proofErr w:type="spellStart"/>
            <w:r w:rsidRPr="00360DE3">
              <w:t>b</w:t>
            </w:r>
            <w:proofErr w:type="spellEnd"/>
            <w:r w:rsidRPr="00360DE3">
              <w:t xml:space="preserve">. </w:t>
            </w:r>
            <w:proofErr w:type="gramStart"/>
            <w:r w:rsidRPr="00360DE3">
              <w:t>na</w:t>
            </w:r>
            <w:proofErr w:type="gramEnd"/>
            <w:r w:rsidRPr="00360DE3">
              <w:t xml:space="preserve"> 125,7 % HDP. Více než celého HDP země dosáhl</w:t>
            </w:r>
            <w:r w:rsidR="004225C6">
              <w:t xml:space="preserve"> ještě dluh Belgie (103,1 %).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 w:val="restart"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 w:val="restart"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3B4331" w:rsidRDefault="00C96D08" w:rsidP="001D198A">
            <w:pPr>
              <w:spacing w:after="0"/>
              <w:rPr>
                <w:b/>
                <w:lang w:eastAsia="en-US"/>
              </w:rPr>
            </w:pPr>
            <w:r w:rsidRPr="00360DE3">
              <w:rPr>
                <w:b/>
                <w:lang w:eastAsia="en-US"/>
              </w:rPr>
              <w:t xml:space="preserve">Graf č. </w:t>
            </w:r>
            <w:proofErr w:type="gramStart"/>
            <w:r w:rsidR="001D198A" w:rsidRPr="00360DE3">
              <w:rPr>
                <w:b/>
                <w:lang w:eastAsia="en-US"/>
              </w:rPr>
              <w:t>9.4</w:t>
            </w:r>
            <w:r w:rsidRPr="00360DE3">
              <w:rPr>
                <w:b/>
                <w:lang w:eastAsia="en-US"/>
              </w:rPr>
              <w:t xml:space="preserve">  Hrubý</w:t>
            </w:r>
            <w:proofErr w:type="gramEnd"/>
            <w:r w:rsidRPr="00360DE3">
              <w:rPr>
                <w:b/>
                <w:lang w:eastAsia="en-US"/>
              </w:rPr>
              <w:t xml:space="preserve"> konsolidovaný dluh sektoru vládních institucí </w:t>
            </w:r>
          </w:p>
          <w:p w:rsidR="00C96D08" w:rsidRPr="00360DE3" w:rsidRDefault="00C96D08" w:rsidP="001D198A">
            <w:pPr>
              <w:spacing w:after="0"/>
              <w:rPr>
                <w:b/>
              </w:rPr>
            </w:pPr>
            <w:r w:rsidRPr="00360DE3">
              <w:rPr>
                <w:lang w:eastAsia="en-US"/>
              </w:rPr>
              <w:t>(v mld. korun, běžné ceny)</w:t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spacing w:after="0"/>
            </w:pPr>
            <w:r w:rsidRPr="00360DE3">
              <w:rPr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2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96D08" w:rsidRPr="00360DE3" w:rsidTr="002B213A">
        <w:trPr>
          <w:trHeight w:val="170"/>
        </w:trPr>
        <w:tc>
          <w:tcPr>
            <w:tcW w:w="1976" w:type="dxa"/>
            <w:vMerge/>
          </w:tcPr>
          <w:p w:rsidR="00C96D08" w:rsidRPr="00360DE3" w:rsidRDefault="00C96D08" w:rsidP="002B213A">
            <w:pPr>
              <w:pStyle w:val="Marginlie"/>
              <w:rPr>
                <w:spacing w:val="0"/>
              </w:rPr>
            </w:pPr>
          </w:p>
        </w:tc>
        <w:tc>
          <w:tcPr>
            <w:tcW w:w="277" w:type="dxa"/>
            <w:vMerge/>
          </w:tcPr>
          <w:p w:rsidR="00C96D08" w:rsidRPr="00360DE3" w:rsidRDefault="00C96D08" w:rsidP="002B213A">
            <w:pPr>
              <w:pStyle w:val="Textpoznpodarou"/>
              <w:jc w:val="both"/>
            </w:pPr>
          </w:p>
        </w:tc>
        <w:tc>
          <w:tcPr>
            <w:tcW w:w="7391" w:type="dxa"/>
          </w:tcPr>
          <w:p w:rsidR="00C96D08" w:rsidRPr="00360DE3" w:rsidRDefault="00C96D08" w:rsidP="002B213A">
            <w:pPr>
              <w:rPr>
                <w:sz w:val="14"/>
                <w:szCs w:val="14"/>
              </w:rPr>
            </w:pPr>
            <w:r w:rsidRPr="00360DE3">
              <w:rPr>
                <w:sz w:val="14"/>
                <w:szCs w:val="14"/>
              </w:rPr>
              <w:t>Zdroj: ČSÚ</w:t>
            </w:r>
          </w:p>
        </w:tc>
      </w:tr>
    </w:tbl>
    <w:p w:rsidR="00C466D2" w:rsidRPr="00360DE3" w:rsidRDefault="00C466D2" w:rsidP="00C466D2">
      <w:pPr>
        <w:rPr>
          <w:rFonts w:eastAsia="MS Gothic"/>
          <w:color w:val="71818C"/>
          <w:sz w:val="32"/>
          <w:szCs w:val="28"/>
          <w:lang w:eastAsia="en-US"/>
        </w:rPr>
      </w:pPr>
    </w:p>
    <w:sectPr w:rsidR="00C466D2" w:rsidRPr="00360DE3" w:rsidSect="00F96230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41" w:rsidRDefault="00DC6441" w:rsidP="00E71A58">
      <w:r>
        <w:separator/>
      </w:r>
    </w:p>
  </w:endnote>
  <w:endnote w:type="continuationSeparator" w:id="0">
    <w:p w:rsidR="00DC6441" w:rsidRDefault="00DC644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37D0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4A37D0" w:rsidRPr="00932443">
      <w:rPr>
        <w:szCs w:val="16"/>
      </w:rPr>
      <w:fldChar w:fldCharType="separate"/>
    </w:r>
    <w:r w:rsidR="00F96230">
      <w:rPr>
        <w:szCs w:val="16"/>
      </w:rPr>
      <w:t>48</w:t>
    </w:r>
    <w:r w:rsidR="004A37D0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932443" w:rsidRDefault="00C805DC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  <w:r w:rsidR="004A37D0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4A37D0" w:rsidRPr="00932443">
      <w:rPr>
        <w:rStyle w:val="ZpatChar"/>
        <w:szCs w:val="16"/>
      </w:rPr>
      <w:fldChar w:fldCharType="separate"/>
    </w:r>
    <w:r w:rsidR="00F96230">
      <w:rPr>
        <w:rStyle w:val="ZpatChar"/>
        <w:szCs w:val="16"/>
      </w:rPr>
      <w:t>47</w:t>
    </w:r>
    <w:r w:rsidR="004A37D0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41" w:rsidRDefault="00DC6441" w:rsidP="00E71A58">
      <w:r>
        <w:separator/>
      </w:r>
    </w:p>
  </w:footnote>
  <w:footnote w:type="continuationSeparator" w:id="0">
    <w:p w:rsidR="00DC6441" w:rsidRDefault="00DC6441" w:rsidP="00E71A58">
      <w:r>
        <w:continuationSeparator/>
      </w:r>
    </w:p>
  </w:footnote>
  <w:footnote w:id="1">
    <w:p w:rsidR="00C805DC" w:rsidRPr="00233DA3" w:rsidRDefault="00C805DC" w:rsidP="00C96D08">
      <w:pPr>
        <w:pStyle w:val="Textpoznpodarou"/>
        <w:rPr>
          <w:sz w:val="16"/>
          <w:szCs w:val="16"/>
        </w:rPr>
      </w:pPr>
      <w:r w:rsidRPr="00233DA3">
        <w:rPr>
          <w:rStyle w:val="Znakapoznpodarou"/>
          <w:sz w:val="16"/>
          <w:szCs w:val="16"/>
        </w:rPr>
        <w:footnoteRef/>
      </w:r>
      <w:r w:rsidRPr="00233DA3">
        <w:rPr>
          <w:sz w:val="16"/>
          <w:szCs w:val="16"/>
        </w:rPr>
        <w:t xml:space="preserve"> Zahrnuje především zdravotní pojišťovny.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Pr="00601A2E" w:rsidRDefault="00C805DC" w:rsidP="00601A2E">
    <w:pPr>
      <w:pStyle w:val="Zhlav"/>
    </w:pPr>
    <w:r>
      <w:t>Analýza ekonomického vývoje v roce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DC" w:rsidRDefault="00C805DC" w:rsidP="00937AE2">
    <w:pPr>
      <w:pStyle w:val="Zhlav"/>
    </w:pPr>
    <w:r>
      <w:t>Analýza ekonomického vývoje v roce 2017</w:t>
    </w:r>
  </w:p>
  <w:p w:rsidR="00C805DC" w:rsidRPr="006F5416" w:rsidRDefault="00C805DC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6502"/>
    <w:rsid w:val="0000209D"/>
    <w:rsid w:val="0000437D"/>
    <w:rsid w:val="00004D5A"/>
    <w:rsid w:val="000056D5"/>
    <w:rsid w:val="00006ABD"/>
    <w:rsid w:val="0000767A"/>
    <w:rsid w:val="00007BEF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7A82"/>
    <w:rsid w:val="000712B3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A1183"/>
    <w:rsid w:val="000A256D"/>
    <w:rsid w:val="000A3A2C"/>
    <w:rsid w:val="000B525B"/>
    <w:rsid w:val="000C1D78"/>
    <w:rsid w:val="000C3408"/>
    <w:rsid w:val="000C6AFD"/>
    <w:rsid w:val="000D514E"/>
    <w:rsid w:val="000D5637"/>
    <w:rsid w:val="000E6FBD"/>
    <w:rsid w:val="000F030B"/>
    <w:rsid w:val="00100F5C"/>
    <w:rsid w:val="0010106F"/>
    <w:rsid w:val="00101CDA"/>
    <w:rsid w:val="00104C4C"/>
    <w:rsid w:val="00117623"/>
    <w:rsid w:val="0012192F"/>
    <w:rsid w:val="00125D69"/>
    <w:rsid w:val="001405FA"/>
    <w:rsid w:val="00141782"/>
    <w:rsid w:val="001425C3"/>
    <w:rsid w:val="001528B9"/>
    <w:rsid w:val="001612F4"/>
    <w:rsid w:val="00162312"/>
    <w:rsid w:val="0016256B"/>
    <w:rsid w:val="00162A7A"/>
    <w:rsid w:val="00163793"/>
    <w:rsid w:val="001706D6"/>
    <w:rsid w:val="001714F2"/>
    <w:rsid w:val="001730A6"/>
    <w:rsid w:val="00175B9F"/>
    <w:rsid w:val="00181BBC"/>
    <w:rsid w:val="00182799"/>
    <w:rsid w:val="00184B08"/>
    <w:rsid w:val="00185010"/>
    <w:rsid w:val="00186919"/>
    <w:rsid w:val="001916DB"/>
    <w:rsid w:val="00193818"/>
    <w:rsid w:val="001A0487"/>
    <w:rsid w:val="001A0D6B"/>
    <w:rsid w:val="001A552F"/>
    <w:rsid w:val="001B2CA9"/>
    <w:rsid w:val="001B3110"/>
    <w:rsid w:val="001B4729"/>
    <w:rsid w:val="001B6310"/>
    <w:rsid w:val="001B6C09"/>
    <w:rsid w:val="001B7ECE"/>
    <w:rsid w:val="001C05CD"/>
    <w:rsid w:val="001C1B66"/>
    <w:rsid w:val="001D198A"/>
    <w:rsid w:val="001D463E"/>
    <w:rsid w:val="001D68B2"/>
    <w:rsid w:val="001D70E9"/>
    <w:rsid w:val="001E504C"/>
    <w:rsid w:val="001F4597"/>
    <w:rsid w:val="00203DA4"/>
    <w:rsid w:val="002052C6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6207F"/>
    <w:rsid w:val="0026743D"/>
    <w:rsid w:val="00271465"/>
    <w:rsid w:val="00274037"/>
    <w:rsid w:val="00285412"/>
    <w:rsid w:val="00291640"/>
    <w:rsid w:val="002A16D4"/>
    <w:rsid w:val="002A230C"/>
    <w:rsid w:val="002A5D97"/>
    <w:rsid w:val="002B2127"/>
    <w:rsid w:val="002B213A"/>
    <w:rsid w:val="002B38B8"/>
    <w:rsid w:val="002B4845"/>
    <w:rsid w:val="002B6B06"/>
    <w:rsid w:val="002C43BD"/>
    <w:rsid w:val="002D0E59"/>
    <w:rsid w:val="002E02A1"/>
    <w:rsid w:val="002E4E4C"/>
    <w:rsid w:val="00303533"/>
    <w:rsid w:val="00304771"/>
    <w:rsid w:val="003052D4"/>
    <w:rsid w:val="00306C5B"/>
    <w:rsid w:val="003209D6"/>
    <w:rsid w:val="00321924"/>
    <w:rsid w:val="0032656E"/>
    <w:rsid w:val="00330060"/>
    <w:rsid w:val="00332190"/>
    <w:rsid w:val="00336E03"/>
    <w:rsid w:val="0034335E"/>
    <w:rsid w:val="00344668"/>
    <w:rsid w:val="003462D9"/>
    <w:rsid w:val="00347378"/>
    <w:rsid w:val="00360C86"/>
    <w:rsid w:val="00360DE3"/>
    <w:rsid w:val="00360FBC"/>
    <w:rsid w:val="00362E90"/>
    <w:rsid w:val="00363FF4"/>
    <w:rsid w:val="00364FA0"/>
    <w:rsid w:val="003657F3"/>
    <w:rsid w:val="003818DC"/>
    <w:rsid w:val="00384327"/>
    <w:rsid w:val="00385D3E"/>
    <w:rsid w:val="00385D98"/>
    <w:rsid w:val="003870EE"/>
    <w:rsid w:val="00392244"/>
    <w:rsid w:val="003A2B4D"/>
    <w:rsid w:val="003A2D12"/>
    <w:rsid w:val="003A478C"/>
    <w:rsid w:val="003A5525"/>
    <w:rsid w:val="003A6B38"/>
    <w:rsid w:val="003B4331"/>
    <w:rsid w:val="003B461F"/>
    <w:rsid w:val="003B5A32"/>
    <w:rsid w:val="003C3490"/>
    <w:rsid w:val="003C4BE8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7C13"/>
    <w:rsid w:val="00410638"/>
    <w:rsid w:val="0041501E"/>
    <w:rsid w:val="004159C3"/>
    <w:rsid w:val="004225C6"/>
    <w:rsid w:val="00427E07"/>
    <w:rsid w:val="00432A58"/>
    <w:rsid w:val="00433C0C"/>
    <w:rsid w:val="00434617"/>
    <w:rsid w:val="00436778"/>
    <w:rsid w:val="00440900"/>
    <w:rsid w:val="00441BF6"/>
    <w:rsid w:val="004441A0"/>
    <w:rsid w:val="0045078A"/>
    <w:rsid w:val="0045086D"/>
    <w:rsid w:val="00460FB3"/>
    <w:rsid w:val="00461976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3F18"/>
    <w:rsid w:val="004A14E4"/>
    <w:rsid w:val="004A3212"/>
    <w:rsid w:val="004A37D0"/>
    <w:rsid w:val="004A5494"/>
    <w:rsid w:val="004A61C5"/>
    <w:rsid w:val="004A77DF"/>
    <w:rsid w:val="004B1417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E02EB"/>
    <w:rsid w:val="004E326C"/>
    <w:rsid w:val="004F06F5"/>
    <w:rsid w:val="004F16F7"/>
    <w:rsid w:val="004F33A0"/>
    <w:rsid w:val="0050689D"/>
    <w:rsid w:val="005108C0"/>
    <w:rsid w:val="00511873"/>
    <w:rsid w:val="00512A2F"/>
    <w:rsid w:val="00513B7E"/>
    <w:rsid w:val="00515C74"/>
    <w:rsid w:val="00515FFA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2C7B"/>
    <w:rsid w:val="005A3DF8"/>
    <w:rsid w:val="005A5549"/>
    <w:rsid w:val="005A7666"/>
    <w:rsid w:val="005B08EB"/>
    <w:rsid w:val="005B121D"/>
    <w:rsid w:val="005C06ED"/>
    <w:rsid w:val="005C2609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075F4"/>
    <w:rsid w:val="00607FF4"/>
    <w:rsid w:val="006104FB"/>
    <w:rsid w:val="0061249B"/>
    <w:rsid w:val="00612A2F"/>
    <w:rsid w:val="00616E05"/>
    <w:rsid w:val="00624093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36CB"/>
    <w:rsid w:val="00695BEF"/>
    <w:rsid w:val="006977F6"/>
    <w:rsid w:val="00697A13"/>
    <w:rsid w:val="006A109C"/>
    <w:rsid w:val="006A3E08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7CA6"/>
    <w:rsid w:val="006D3E8A"/>
    <w:rsid w:val="006D61F6"/>
    <w:rsid w:val="006D64C2"/>
    <w:rsid w:val="006E279A"/>
    <w:rsid w:val="006E313B"/>
    <w:rsid w:val="006E7227"/>
    <w:rsid w:val="006F2595"/>
    <w:rsid w:val="006F438E"/>
    <w:rsid w:val="006F5416"/>
    <w:rsid w:val="00705242"/>
    <w:rsid w:val="00706AD4"/>
    <w:rsid w:val="00707150"/>
    <w:rsid w:val="007140BE"/>
    <w:rsid w:val="00716E3F"/>
    <w:rsid w:val="007211F5"/>
    <w:rsid w:val="007240E2"/>
    <w:rsid w:val="00725BB5"/>
    <w:rsid w:val="00730AE8"/>
    <w:rsid w:val="00730F1B"/>
    <w:rsid w:val="00741493"/>
    <w:rsid w:val="0074369B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61E9"/>
    <w:rsid w:val="00775F45"/>
    <w:rsid w:val="00776169"/>
    <w:rsid w:val="00776527"/>
    <w:rsid w:val="00780EF1"/>
    <w:rsid w:val="00783C17"/>
    <w:rsid w:val="00785232"/>
    <w:rsid w:val="00790764"/>
    <w:rsid w:val="0079453C"/>
    <w:rsid w:val="00794677"/>
    <w:rsid w:val="007A516D"/>
    <w:rsid w:val="007B6689"/>
    <w:rsid w:val="007C13A4"/>
    <w:rsid w:val="007C6BBD"/>
    <w:rsid w:val="007C7BAE"/>
    <w:rsid w:val="007D0C24"/>
    <w:rsid w:val="007D40DF"/>
    <w:rsid w:val="007E29B4"/>
    <w:rsid w:val="007E435A"/>
    <w:rsid w:val="007E7E61"/>
    <w:rsid w:val="007F0845"/>
    <w:rsid w:val="007F708D"/>
    <w:rsid w:val="00801E13"/>
    <w:rsid w:val="00807C82"/>
    <w:rsid w:val="00816905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46121"/>
    <w:rsid w:val="0084708F"/>
    <w:rsid w:val="008477C8"/>
    <w:rsid w:val="00847931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5A32"/>
    <w:rsid w:val="00876086"/>
    <w:rsid w:val="008873D4"/>
    <w:rsid w:val="0089296D"/>
    <w:rsid w:val="00893E85"/>
    <w:rsid w:val="00894031"/>
    <w:rsid w:val="00895508"/>
    <w:rsid w:val="008B7C02"/>
    <w:rsid w:val="008B7D2B"/>
    <w:rsid w:val="008C0049"/>
    <w:rsid w:val="008C0E88"/>
    <w:rsid w:val="008D0A60"/>
    <w:rsid w:val="008D0DBD"/>
    <w:rsid w:val="008D1E6A"/>
    <w:rsid w:val="008D2A16"/>
    <w:rsid w:val="008E0DC9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40B7"/>
    <w:rsid w:val="0095759C"/>
    <w:rsid w:val="00974923"/>
    <w:rsid w:val="00980D3D"/>
    <w:rsid w:val="00987A30"/>
    <w:rsid w:val="00992CF3"/>
    <w:rsid w:val="009942B6"/>
    <w:rsid w:val="00994868"/>
    <w:rsid w:val="009968D6"/>
    <w:rsid w:val="009A1CAB"/>
    <w:rsid w:val="009A60D1"/>
    <w:rsid w:val="009A7B2E"/>
    <w:rsid w:val="009B6FD3"/>
    <w:rsid w:val="009C03C8"/>
    <w:rsid w:val="009C1750"/>
    <w:rsid w:val="009C2E29"/>
    <w:rsid w:val="009C3ED8"/>
    <w:rsid w:val="009C554B"/>
    <w:rsid w:val="009C719E"/>
    <w:rsid w:val="009D3ACD"/>
    <w:rsid w:val="009E5273"/>
    <w:rsid w:val="009E5DDB"/>
    <w:rsid w:val="009F46EA"/>
    <w:rsid w:val="009F4CA7"/>
    <w:rsid w:val="00A10D66"/>
    <w:rsid w:val="00A14114"/>
    <w:rsid w:val="00A16413"/>
    <w:rsid w:val="00A16E1D"/>
    <w:rsid w:val="00A17D5B"/>
    <w:rsid w:val="00A230A8"/>
    <w:rsid w:val="00A23E43"/>
    <w:rsid w:val="00A25216"/>
    <w:rsid w:val="00A27420"/>
    <w:rsid w:val="00A30F65"/>
    <w:rsid w:val="00A329DF"/>
    <w:rsid w:val="00A35142"/>
    <w:rsid w:val="00A35EA6"/>
    <w:rsid w:val="00A40EAC"/>
    <w:rsid w:val="00A418BC"/>
    <w:rsid w:val="00A46DE0"/>
    <w:rsid w:val="00A4750C"/>
    <w:rsid w:val="00A50D73"/>
    <w:rsid w:val="00A51F19"/>
    <w:rsid w:val="00A52CAD"/>
    <w:rsid w:val="00A537F0"/>
    <w:rsid w:val="00A53FC7"/>
    <w:rsid w:val="00A55161"/>
    <w:rsid w:val="00A62CE1"/>
    <w:rsid w:val="00A6741E"/>
    <w:rsid w:val="00A75E40"/>
    <w:rsid w:val="00A77D1D"/>
    <w:rsid w:val="00A84923"/>
    <w:rsid w:val="00A857C0"/>
    <w:rsid w:val="00A90FED"/>
    <w:rsid w:val="00AA2996"/>
    <w:rsid w:val="00AA52BF"/>
    <w:rsid w:val="00AA559A"/>
    <w:rsid w:val="00AB2AF1"/>
    <w:rsid w:val="00AB5421"/>
    <w:rsid w:val="00AC45BD"/>
    <w:rsid w:val="00AD168E"/>
    <w:rsid w:val="00AD306C"/>
    <w:rsid w:val="00AD68C4"/>
    <w:rsid w:val="00AE09B3"/>
    <w:rsid w:val="00AE1A83"/>
    <w:rsid w:val="00AE7FB2"/>
    <w:rsid w:val="00B00913"/>
    <w:rsid w:val="00B01593"/>
    <w:rsid w:val="00B023F2"/>
    <w:rsid w:val="00B10A4D"/>
    <w:rsid w:val="00B120A1"/>
    <w:rsid w:val="00B121D2"/>
    <w:rsid w:val="00B14BC1"/>
    <w:rsid w:val="00B17E71"/>
    <w:rsid w:val="00B17FDE"/>
    <w:rsid w:val="00B20632"/>
    <w:rsid w:val="00B2379C"/>
    <w:rsid w:val="00B2687D"/>
    <w:rsid w:val="00B30358"/>
    <w:rsid w:val="00B32DDB"/>
    <w:rsid w:val="00B34528"/>
    <w:rsid w:val="00B34CC9"/>
    <w:rsid w:val="00B402FC"/>
    <w:rsid w:val="00B40FF9"/>
    <w:rsid w:val="00B42470"/>
    <w:rsid w:val="00B439DA"/>
    <w:rsid w:val="00B46604"/>
    <w:rsid w:val="00B530CD"/>
    <w:rsid w:val="00B55F5E"/>
    <w:rsid w:val="00B57338"/>
    <w:rsid w:val="00B5752E"/>
    <w:rsid w:val="00B63A11"/>
    <w:rsid w:val="00B64C24"/>
    <w:rsid w:val="00B6608F"/>
    <w:rsid w:val="00B679FB"/>
    <w:rsid w:val="00B76D1E"/>
    <w:rsid w:val="00B80EC6"/>
    <w:rsid w:val="00B84CF6"/>
    <w:rsid w:val="00B86F03"/>
    <w:rsid w:val="00B92D1D"/>
    <w:rsid w:val="00B938C5"/>
    <w:rsid w:val="00B95940"/>
    <w:rsid w:val="00BA0DD3"/>
    <w:rsid w:val="00BA6C2B"/>
    <w:rsid w:val="00BB2F03"/>
    <w:rsid w:val="00BB46F3"/>
    <w:rsid w:val="00BB4CB1"/>
    <w:rsid w:val="00BB4F98"/>
    <w:rsid w:val="00BC0E31"/>
    <w:rsid w:val="00BC5C12"/>
    <w:rsid w:val="00BC7154"/>
    <w:rsid w:val="00BC731E"/>
    <w:rsid w:val="00BD163C"/>
    <w:rsid w:val="00BD2211"/>
    <w:rsid w:val="00BD366B"/>
    <w:rsid w:val="00BD6D50"/>
    <w:rsid w:val="00BE18B9"/>
    <w:rsid w:val="00BE2495"/>
    <w:rsid w:val="00BE468E"/>
    <w:rsid w:val="00BE6186"/>
    <w:rsid w:val="00BF1578"/>
    <w:rsid w:val="00C21405"/>
    <w:rsid w:val="00C21F94"/>
    <w:rsid w:val="00C27913"/>
    <w:rsid w:val="00C33B68"/>
    <w:rsid w:val="00C36A79"/>
    <w:rsid w:val="00C401D2"/>
    <w:rsid w:val="00C405D4"/>
    <w:rsid w:val="00C4513B"/>
    <w:rsid w:val="00C466D2"/>
    <w:rsid w:val="00C517C6"/>
    <w:rsid w:val="00C5390B"/>
    <w:rsid w:val="00C54697"/>
    <w:rsid w:val="00C60191"/>
    <w:rsid w:val="00C6152B"/>
    <w:rsid w:val="00C73885"/>
    <w:rsid w:val="00C747B1"/>
    <w:rsid w:val="00C805DC"/>
    <w:rsid w:val="00C82191"/>
    <w:rsid w:val="00C83134"/>
    <w:rsid w:val="00C85545"/>
    <w:rsid w:val="00C90CF4"/>
    <w:rsid w:val="00C92EB6"/>
    <w:rsid w:val="00C93389"/>
    <w:rsid w:val="00C96D08"/>
    <w:rsid w:val="00CA6AB4"/>
    <w:rsid w:val="00CB259D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3986"/>
    <w:rsid w:val="00D21D83"/>
    <w:rsid w:val="00D235B7"/>
    <w:rsid w:val="00D25F28"/>
    <w:rsid w:val="00D26071"/>
    <w:rsid w:val="00D27973"/>
    <w:rsid w:val="00D279B8"/>
    <w:rsid w:val="00D32F90"/>
    <w:rsid w:val="00D35E1A"/>
    <w:rsid w:val="00D50F46"/>
    <w:rsid w:val="00D52BE2"/>
    <w:rsid w:val="00D57677"/>
    <w:rsid w:val="00D66223"/>
    <w:rsid w:val="00D8084C"/>
    <w:rsid w:val="00D915EA"/>
    <w:rsid w:val="00D93CE2"/>
    <w:rsid w:val="00D943C6"/>
    <w:rsid w:val="00D965EC"/>
    <w:rsid w:val="00DA7C0C"/>
    <w:rsid w:val="00DB08A9"/>
    <w:rsid w:val="00DB2EC8"/>
    <w:rsid w:val="00DC37E3"/>
    <w:rsid w:val="00DC5B3B"/>
    <w:rsid w:val="00DC6441"/>
    <w:rsid w:val="00DD129F"/>
    <w:rsid w:val="00DE4C19"/>
    <w:rsid w:val="00DF42FF"/>
    <w:rsid w:val="00DF7AD4"/>
    <w:rsid w:val="00E01C0E"/>
    <w:rsid w:val="00E03F9A"/>
    <w:rsid w:val="00E04694"/>
    <w:rsid w:val="00E04F27"/>
    <w:rsid w:val="00E102BD"/>
    <w:rsid w:val="00E11DE1"/>
    <w:rsid w:val="00E12B1E"/>
    <w:rsid w:val="00E17262"/>
    <w:rsid w:val="00E212C9"/>
    <w:rsid w:val="00E253A2"/>
    <w:rsid w:val="00E3309D"/>
    <w:rsid w:val="00E453F9"/>
    <w:rsid w:val="00E47EBA"/>
    <w:rsid w:val="00E50156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924B2"/>
    <w:rsid w:val="00E93820"/>
    <w:rsid w:val="00E94A86"/>
    <w:rsid w:val="00E96143"/>
    <w:rsid w:val="00E972A9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10F11"/>
    <w:rsid w:val="00F15AAA"/>
    <w:rsid w:val="00F15BEF"/>
    <w:rsid w:val="00F160CE"/>
    <w:rsid w:val="00F162B3"/>
    <w:rsid w:val="00F24407"/>
    <w:rsid w:val="00F24FAA"/>
    <w:rsid w:val="00F3364D"/>
    <w:rsid w:val="00F33E56"/>
    <w:rsid w:val="00F433FE"/>
    <w:rsid w:val="00F437CC"/>
    <w:rsid w:val="00F44537"/>
    <w:rsid w:val="00F46502"/>
    <w:rsid w:val="00F47067"/>
    <w:rsid w:val="00F525EB"/>
    <w:rsid w:val="00F55E08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59D0"/>
    <w:rsid w:val="00F87A4D"/>
    <w:rsid w:val="00F96230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E6609"/>
    <w:rsid w:val="00FF3EE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Ro&#269;n&#237;%20anal&#253;za%202018\Hospoda&#345;en&#237;%20vl&#225;dn&#237;ch%20instituc&#237;\gov_10dd_edp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Ro&#269;n&#237;%20anal&#253;za%202018\Hospoda&#345;en&#237;%20vl&#225;dn&#237;ch%20instituc&#237;\p&#345;&#237;jmy%20a%20v&#253;daje%20vl&#225;dn&#237;ch%20instituc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Ro&#269;n&#237;%20anal&#253;za%202018\Hospoda&#345;en&#237;%20vl&#225;dn&#237;ch%20instituc&#237;\p&#345;&#237;jmy%20a%20v&#253;daje%20vl&#225;dn&#237;ch%20instituc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ukupova31519\AppData\Local\Temp\GOV_DEBT_CZ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0680513340087815E-2"/>
          <c:y val="3.9683102555443453E-2"/>
          <c:w val="0.92531556062141151"/>
          <c:h val="0.7487875717662951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0071BC"/>
            </a:solidFill>
          </c:spPr>
          <c:dPt>
            <c:idx val="2"/>
            <c:spPr>
              <a:solidFill>
                <a:srgbClr val="BD1B2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986-4C7F-8FCF-FC1F94594CBD}"/>
              </c:ext>
            </c:extLst>
          </c:dPt>
          <c:dPt>
            <c:idx val="19"/>
            <c:spPr>
              <a:solidFill>
                <a:srgbClr val="A6CDE8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86-4C7F-8FCF-FC1F94594CBD}"/>
              </c:ext>
            </c:extLst>
          </c:dPt>
          <c:cat>
            <c:strRef>
              <c:f>Data!$A$12:$A$41</c:f>
              <c:strCache>
                <c:ptCount val="30"/>
                <c:pt idx="0">
                  <c:v>Malta</c:v>
                </c:pt>
                <c:pt idx="1">
                  <c:v>Kypr</c:v>
                </c:pt>
                <c:pt idx="2">
                  <c:v>ČR</c:v>
                </c:pt>
                <c:pt idx="3">
                  <c:v>Lucembursko</c:v>
                </c:pt>
                <c:pt idx="4">
                  <c:v>Německo</c:v>
                </c:pt>
                <c:pt idx="5">
                  <c:v>Švédsko</c:v>
                </c:pt>
                <c:pt idx="6">
                  <c:v>Nizozemí</c:v>
                </c:pt>
                <c:pt idx="7">
                  <c:v>Dánsko</c:v>
                </c:pt>
                <c:pt idx="8">
                  <c:v>Bulharsko</c:v>
                </c:pt>
                <c:pt idx="9">
                  <c:v>Řecko</c:v>
                </c:pt>
                <c:pt idx="10">
                  <c:v>Chorvatsko</c:v>
                </c:pt>
                <c:pt idx="11">
                  <c:v>Litva</c:v>
                </c:pt>
                <c:pt idx="12">
                  <c:v>Slovinsko</c:v>
                </c:pt>
                <c:pt idx="13">
                  <c:v>Estonsko</c:v>
                </c:pt>
                <c:pt idx="14">
                  <c:v>Irsko</c:v>
                </c:pt>
                <c:pt idx="15">
                  <c:v>Lotyšsko</c:v>
                </c:pt>
                <c:pt idx="16">
                  <c:v>Finsko</c:v>
                </c:pt>
                <c:pt idx="17">
                  <c:v>Rakousko</c:v>
                </c:pt>
                <c:pt idx="18">
                  <c:v>Eurozóna</c:v>
                </c:pt>
                <c:pt idx="19">
                  <c:v>EU 28</c:v>
                </c:pt>
                <c:pt idx="20">
                  <c:v>Belgie</c:v>
                </c:pt>
                <c:pt idx="21">
                  <c:v>Slovensko</c:v>
                </c:pt>
                <c:pt idx="22">
                  <c:v>Polsko</c:v>
                </c:pt>
                <c:pt idx="23">
                  <c:v>Velká Británie</c:v>
                </c:pt>
                <c:pt idx="24">
                  <c:v>Maďarsko</c:v>
                </c:pt>
                <c:pt idx="25">
                  <c:v>Itálie</c:v>
                </c:pt>
                <c:pt idx="26">
                  <c:v>Francie</c:v>
                </c:pt>
                <c:pt idx="27">
                  <c:v>Rumunsko</c:v>
                </c:pt>
                <c:pt idx="28">
                  <c:v>Portugalsko</c:v>
                </c:pt>
                <c:pt idx="29">
                  <c:v>Španělsko</c:v>
                </c:pt>
              </c:strCache>
            </c:strRef>
          </c:cat>
          <c:val>
            <c:numRef>
              <c:f>Data!$K$12:$K$41</c:f>
              <c:numCache>
                <c:formatCode>#,##0.0</c:formatCode>
                <c:ptCount val="30"/>
                <c:pt idx="0">
                  <c:v>3.9</c:v>
                </c:pt>
                <c:pt idx="1">
                  <c:v>1.8</c:v>
                </c:pt>
                <c:pt idx="2">
                  <c:v>1.6</c:v>
                </c:pt>
                <c:pt idx="3">
                  <c:v>1.5</c:v>
                </c:pt>
                <c:pt idx="4">
                  <c:v>1.3</c:v>
                </c:pt>
                <c:pt idx="5">
                  <c:v>1.3</c:v>
                </c:pt>
                <c:pt idx="6">
                  <c:v>1.1000000000000001</c:v>
                </c:pt>
                <c:pt idx="7">
                  <c:v>1</c:v>
                </c:pt>
                <c:pt idx="8">
                  <c:v>0.9</c:v>
                </c:pt>
                <c:pt idx="9">
                  <c:v>0.8</c:v>
                </c:pt>
                <c:pt idx="10">
                  <c:v>0.8</c:v>
                </c:pt>
                <c:pt idx="11">
                  <c:v>0.5</c:v>
                </c:pt>
                <c:pt idx="12">
                  <c:v>0</c:v>
                </c:pt>
                <c:pt idx="13">
                  <c:v>-0.30000000000000032</c:v>
                </c:pt>
                <c:pt idx="14">
                  <c:v>-0.30000000000000032</c:v>
                </c:pt>
                <c:pt idx="15">
                  <c:v>-0.5</c:v>
                </c:pt>
                <c:pt idx="16">
                  <c:v>-0.60000000000000064</c:v>
                </c:pt>
                <c:pt idx="17">
                  <c:v>-0.70000000000000062</c:v>
                </c:pt>
                <c:pt idx="18">
                  <c:v>-0.9</c:v>
                </c:pt>
                <c:pt idx="19">
                  <c:v>-1</c:v>
                </c:pt>
                <c:pt idx="20">
                  <c:v>-1</c:v>
                </c:pt>
                <c:pt idx="21">
                  <c:v>-1</c:v>
                </c:pt>
                <c:pt idx="22">
                  <c:v>-1.7000000000000008</c:v>
                </c:pt>
                <c:pt idx="23">
                  <c:v>-1.9000000000000001</c:v>
                </c:pt>
                <c:pt idx="24">
                  <c:v>-2</c:v>
                </c:pt>
                <c:pt idx="25">
                  <c:v>-2.2999999999999998</c:v>
                </c:pt>
                <c:pt idx="26">
                  <c:v>-2.6</c:v>
                </c:pt>
                <c:pt idx="27">
                  <c:v>-2.9</c:v>
                </c:pt>
                <c:pt idx="28">
                  <c:v>-3</c:v>
                </c:pt>
                <c:pt idx="29">
                  <c:v>-3.1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86-4C7F-8FCF-FC1F94594CBD}"/>
            </c:ext>
          </c:extLst>
        </c:ser>
        <c:gapWidth val="96"/>
        <c:axId val="128907520"/>
        <c:axId val="128924288"/>
      </c:barChart>
      <c:catAx>
        <c:axId val="128907520"/>
        <c:scaling>
          <c:orientation val="minMax"/>
        </c:scaling>
        <c:axPos val="b"/>
        <c:numFmt formatCode="General" sourceLinked="0"/>
        <c:tickLblPos val="low"/>
        <c:crossAx val="128924288"/>
        <c:crosses val="autoZero"/>
        <c:auto val="1"/>
        <c:lblAlgn val="ctr"/>
        <c:lblOffset val="100"/>
      </c:catAx>
      <c:valAx>
        <c:axId val="128924288"/>
        <c:scaling>
          <c:orientation val="minMax"/>
          <c:max val="4"/>
        </c:scaling>
        <c:axPos val="l"/>
        <c:majorGridlines/>
        <c:numFmt formatCode="#,##0" sourceLinked="0"/>
        <c:tickLblPos val="nextTo"/>
        <c:crossAx val="128907520"/>
        <c:crosses val="autoZero"/>
        <c:crossBetween val="between"/>
      </c:valAx>
      <c:spPr>
        <a:ln>
          <a:solidFill>
            <a:prstClr val="black"/>
          </a:solidFill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8.6613298337707784E-2"/>
          <c:y val="5.0925925925925923E-2"/>
          <c:w val="0.84562051618548817"/>
          <c:h val="0.7614738261884012"/>
        </c:manualLayout>
      </c:layout>
      <c:barChart>
        <c:barDir val="col"/>
        <c:grouping val="clustered"/>
        <c:ser>
          <c:idx val="0"/>
          <c:order val="2"/>
          <c:tx>
            <c:v>Saldo</c:v>
          </c:tx>
          <c:spPr>
            <a:solidFill>
              <a:srgbClr val="A6CDE8"/>
            </a:solidFill>
          </c:spPr>
          <c:val>
            <c:numRef>
              <c:f>List1!$L$9:$L$18</c:f>
              <c:numCache>
                <c:formatCode>General</c:formatCode>
                <c:ptCount val="10"/>
                <c:pt idx="0">
                  <c:v>-79.664999999999964</c:v>
                </c:pt>
                <c:pt idx="1">
                  <c:v>-214.21099999999998</c:v>
                </c:pt>
                <c:pt idx="2">
                  <c:v>-166.01700000000005</c:v>
                </c:pt>
                <c:pt idx="3">
                  <c:v>-109.89599999999996</c:v>
                </c:pt>
                <c:pt idx="4">
                  <c:v>-159.55200000000067</c:v>
                </c:pt>
                <c:pt idx="5">
                  <c:v>-51.129000000000012</c:v>
                </c:pt>
                <c:pt idx="6">
                  <c:v>-90.560999999999922</c:v>
                </c:pt>
                <c:pt idx="7">
                  <c:v>-27.929000000000087</c:v>
                </c:pt>
                <c:pt idx="8">
                  <c:v>34.641999999999832</c:v>
                </c:pt>
                <c:pt idx="9">
                  <c:v>80.620999999999853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4F-47C9-94D7-EFC6B55E8923}"/>
            </c:ext>
          </c:extLst>
        </c:ser>
        <c:gapWidth val="97"/>
        <c:axId val="133901312"/>
        <c:axId val="133899392"/>
      </c:barChart>
      <c:lineChart>
        <c:grouping val="standard"/>
        <c:ser>
          <c:idx val="1"/>
          <c:order val="0"/>
          <c:tx>
            <c:strRef>
              <c:f>List1!$B$3</c:f>
              <c:strCache>
                <c:ptCount val="1"/>
                <c:pt idx="0">
                  <c:v>Výdaje</c:v>
                </c:pt>
              </c:strCache>
            </c:strRef>
          </c:tx>
          <c:spPr>
            <a:ln>
              <a:solidFill>
                <a:srgbClr val="BD1B21"/>
              </a:solidFill>
            </a:ln>
          </c:spPr>
          <c:marker>
            <c:symbol val="none"/>
          </c:marker>
          <c:cat>
            <c:numRef>
              <c:f>List1!$A$9:$A$18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List1!$B$9:$B$18</c:f>
              <c:numCache>
                <c:formatCode>General</c:formatCode>
                <c:ptCount val="10"/>
                <c:pt idx="0">
                  <c:v>1635.279</c:v>
                </c:pt>
                <c:pt idx="1">
                  <c:v>1737.2329999999999</c:v>
                </c:pt>
                <c:pt idx="2">
                  <c:v>1724.241</c:v>
                </c:pt>
                <c:pt idx="3">
                  <c:v>1735.9160000000011</c:v>
                </c:pt>
                <c:pt idx="4">
                  <c:v>1805.836</c:v>
                </c:pt>
                <c:pt idx="5">
                  <c:v>1745.9080000000001</c:v>
                </c:pt>
                <c:pt idx="6">
                  <c:v>1830.5139999999999</c:v>
                </c:pt>
                <c:pt idx="7">
                  <c:v>1916.3899999999999</c:v>
                </c:pt>
                <c:pt idx="8">
                  <c:v>1882.5250000000001</c:v>
                </c:pt>
                <c:pt idx="9">
                  <c:v>1961.845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4F-47C9-94D7-EFC6B55E8923}"/>
            </c:ext>
          </c:extLst>
        </c:ser>
        <c:ser>
          <c:idx val="2"/>
          <c:order val="1"/>
          <c:tx>
            <c:strRef>
              <c:f>List1!$C$3</c:f>
              <c:strCache>
                <c:ptCount val="1"/>
                <c:pt idx="0">
                  <c:v>Příjmy</c:v>
                </c:pt>
              </c:strCache>
            </c:strRef>
          </c:tx>
          <c:spPr>
            <a:ln>
              <a:solidFill>
                <a:srgbClr val="0071BC"/>
              </a:solidFill>
            </a:ln>
          </c:spPr>
          <c:marker>
            <c:symbol val="none"/>
          </c:marker>
          <c:cat>
            <c:numRef>
              <c:f>List1!$A$9:$A$18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List1!$C$9:$C$18</c:f>
              <c:numCache>
                <c:formatCode>General</c:formatCode>
                <c:ptCount val="10"/>
                <c:pt idx="0">
                  <c:v>1555.6139999999998</c:v>
                </c:pt>
                <c:pt idx="1">
                  <c:v>1523.0219999999999</c:v>
                </c:pt>
                <c:pt idx="2">
                  <c:v>1558.2239999999999</c:v>
                </c:pt>
                <c:pt idx="3">
                  <c:v>1626.02</c:v>
                </c:pt>
                <c:pt idx="4">
                  <c:v>1646.2839999999999</c:v>
                </c:pt>
                <c:pt idx="5">
                  <c:v>1694.779</c:v>
                </c:pt>
                <c:pt idx="6">
                  <c:v>1739.953</c:v>
                </c:pt>
                <c:pt idx="7">
                  <c:v>1888.461</c:v>
                </c:pt>
                <c:pt idx="8">
                  <c:v>1917.1669999999999</c:v>
                </c:pt>
                <c:pt idx="9">
                  <c:v>2042.4660000000001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4F-47C9-94D7-EFC6B55E8923}"/>
            </c:ext>
          </c:extLst>
        </c:ser>
        <c:marker val="1"/>
        <c:axId val="133724032"/>
        <c:axId val="133725568"/>
      </c:lineChart>
      <c:catAx>
        <c:axId val="133724032"/>
        <c:scaling>
          <c:orientation val="minMax"/>
        </c:scaling>
        <c:axPos val="b"/>
        <c:numFmt formatCode="General" sourceLinked="1"/>
        <c:tickLblPos val="nextTo"/>
        <c:crossAx val="133725568"/>
        <c:crosses val="autoZero"/>
        <c:auto val="1"/>
        <c:lblAlgn val="ctr"/>
        <c:lblOffset val="100"/>
      </c:catAx>
      <c:valAx>
        <c:axId val="133725568"/>
        <c:scaling>
          <c:orientation val="minMax"/>
          <c:max val="2100"/>
          <c:min val="1500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33724032"/>
        <c:crosses val="autoZero"/>
        <c:crossBetween val="between"/>
        <c:majorUnit val="100"/>
      </c:valAx>
      <c:valAx>
        <c:axId val="133899392"/>
        <c:scaling>
          <c:orientation val="minMax"/>
        </c:scaling>
        <c:axPos val="r"/>
        <c:majorGridlines/>
        <c:numFmt formatCode="General" sourceLinked="1"/>
        <c:tickLblPos val="nextTo"/>
        <c:crossAx val="133901312"/>
        <c:crosses val="max"/>
        <c:crossBetween val="between"/>
      </c:valAx>
      <c:catAx>
        <c:axId val="133901312"/>
        <c:scaling>
          <c:orientation val="minMax"/>
        </c:scaling>
        <c:delete val="1"/>
        <c:axPos val="b"/>
        <c:tickLblPos val="none"/>
        <c:crossAx val="133899392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8.2055555555555562E-2"/>
          <c:y val="0.90153506853310061"/>
          <c:w val="0.84849999999999992"/>
          <c:h val="7.6559128025663448E-2"/>
        </c:manualLayout>
      </c:layout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7.8800658561296866E-2"/>
          <c:y val="3.9316672295395698E-2"/>
          <c:w val="0.90406978216819156"/>
          <c:h val="0.76580969267140819"/>
        </c:manualLayout>
      </c:layout>
      <c:barChart>
        <c:barDir val="col"/>
        <c:grouping val="stacked"/>
        <c:ser>
          <c:idx val="1"/>
          <c:order val="1"/>
          <c:tx>
            <c:strRef>
              <c:f>List1!$M$3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0071BC"/>
            </a:solidFill>
          </c:spPr>
          <c:cat>
            <c:numRef>
              <c:f>List1!$K$9:$K$18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List1!$M$9:$M$18</c:f>
              <c:numCache>
                <c:formatCode>General</c:formatCode>
                <c:ptCount val="10"/>
                <c:pt idx="0">
                  <c:v>-82.017000000000067</c:v>
                </c:pt>
                <c:pt idx="1">
                  <c:v>-178.85500000000027</c:v>
                </c:pt>
                <c:pt idx="2">
                  <c:v>-142.11299999999997</c:v>
                </c:pt>
                <c:pt idx="3">
                  <c:v>-91.716000000000122</c:v>
                </c:pt>
                <c:pt idx="4">
                  <c:v>-150.63900000000012</c:v>
                </c:pt>
                <c:pt idx="5">
                  <c:v>-64.174000000000149</c:v>
                </c:pt>
                <c:pt idx="6">
                  <c:v>-95.561999999999927</c:v>
                </c:pt>
                <c:pt idx="7">
                  <c:v>-55.834000000000046</c:v>
                </c:pt>
                <c:pt idx="8">
                  <c:v>-19.90300000000002</c:v>
                </c:pt>
                <c:pt idx="9">
                  <c:v>30.148999999999887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5A-4A6A-B989-33DE09A7163D}"/>
            </c:ext>
          </c:extLst>
        </c:ser>
        <c:ser>
          <c:idx val="2"/>
          <c:order val="2"/>
          <c:tx>
            <c:strRef>
              <c:f>List1!$N$3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A6CDE8"/>
            </a:solidFill>
          </c:spPr>
          <c:cat>
            <c:numRef>
              <c:f>List1!$K$9:$K$18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List1!$N$9:$N$18</c:f>
              <c:numCache>
                <c:formatCode>General</c:formatCode>
                <c:ptCount val="10"/>
                <c:pt idx="0">
                  <c:v>-7.6899999999999977</c:v>
                </c:pt>
                <c:pt idx="1">
                  <c:v>-24.706999999999987</c:v>
                </c:pt>
                <c:pt idx="2">
                  <c:v>-15.185000000000002</c:v>
                </c:pt>
                <c:pt idx="3">
                  <c:v>-11.254000000000019</c:v>
                </c:pt>
                <c:pt idx="4">
                  <c:v>-2.0849999999999795</c:v>
                </c:pt>
                <c:pt idx="5">
                  <c:v>12.13</c:v>
                </c:pt>
                <c:pt idx="6">
                  <c:v>7.6929999999999765</c:v>
                </c:pt>
                <c:pt idx="7">
                  <c:v>25.991999999999962</c:v>
                </c:pt>
                <c:pt idx="8">
                  <c:v>49.659000000000049</c:v>
                </c:pt>
                <c:pt idx="9">
                  <c:v>42.433999999999969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5A-4A6A-B989-33DE09A7163D}"/>
            </c:ext>
          </c:extLst>
        </c:ser>
        <c:ser>
          <c:idx val="3"/>
          <c:order val="3"/>
          <c:tx>
            <c:strRef>
              <c:f>List1!$O$3</c:f>
              <c:strCache>
                <c:ptCount val="1"/>
                <c:pt idx="0">
                  <c:v>Fondy sociálního zabezpečení</c:v>
                </c:pt>
              </c:strCache>
            </c:strRef>
          </c:tx>
          <c:spPr>
            <a:solidFill>
              <a:srgbClr val="BD1B21"/>
            </a:solidFill>
          </c:spPr>
          <c:cat>
            <c:numRef>
              <c:f>List1!$K$9:$K$18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List1!$O$9:$O$18</c:f>
              <c:numCache>
                <c:formatCode>General</c:formatCode>
                <c:ptCount val="10"/>
                <c:pt idx="0">
                  <c:v>10.042000000000002</c:v>
                </c:pt>
                <c:pt idx="1">
                  <c:v>-10.649000000000001</c:v>
                </c:pt>
                <c:pt idx="2">
                  <c:v>-8.7189999999999941</c:v>
                </c:pt>
                <c:pt idx="3">
                  <c:v>-6.9260000000000161</c:v>
                </c:pt>
                <c:pt idx="4">
                  <c:v>-6.8279999999999745</c:v>
                </c:pt>
                <c:pt idx="5">
                  <c:v>0.91499999999999204</c:v>
                </c:pt>
                <c:pt idx="6">
                  <c:v>-2.6920000000000073</c:v>
                </c:pt>
                <c:pt idx="7">
                  <c:v>1.9129999999999818</c:v>
                </c:pt>
                <c:pt idx="8">
                  <c:v>4.8860000000000294</c:v>
                </c:pt>
                <c:pt idx="9">
                  <c:v>8.0380000000000109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5A-4A6A-B989-33DE09A7163D}"/>
            </c:ext>
          </c:extLst>
        </c:ser>
        <c:gapWidth val="96"/>
        <c:overlap val="100"/>
        <c:axId val="134309760"/>
        <c:axId val="134311296"/>
      </c:barChart>
      <c:lineChart>
        <c:grouping val="standard"/>
        <c:ser>
          <c:idx val="0"/>
          <c:order val="0"/>
          <c:tx>
            <c:strRef>
              <c:f>List1!$L$3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numRef>
              <c:f>List1!$K$9:$K$18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List1!$L$9:$L$18</c:f>
              <c:numCache>
                <c:formatCode>General</c:formatCode>
                <c:ptCount val="10"/>
                <c:pt idx="0">
                  <c:v>-79.664999999999964</c:v>
                </c:pt>
                <c:pt idx="1">
                  <c:v>-214.21099999999998</c:v>
                </c:pt>
                <c:pt idx="2">
                  <c:v>-166.01700000000005</c:v>
                </c:pt>
                <c:pt idx="3">
                  <c:v>-109.89599999999996</c:v>
                </c:pt>
                <c:pt idx="4">
                  <c:v>-159.55200000000067</c:v>
                </c:pt>
                <c:pt idx="5">
                  <c:v>-51.129000000000012</c:v>
                </c:pt>
                <c:pt idx="6">
                  <c:v>-90.560999999999922</c:v>
                </c:pt>
                <c:pt idx="7">
                  <c:v>-27.929000000000087</c:v>
                </c:pt>
                <c:pt idx="8">
                  <c:v>34.641999999999832</c:v>
                </c:pt>
                <c:pt idx="9">
                  <c:v>80.620999999999853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5A-4A6A-B989-33DE09A7163D}"/>
            </c:ext>
          </c:extLst>
        </c:ser>
        <c:marker val="1"/>
        <c:axId val="134309760"/>
        <c:axId val="134311296"/>
      </c:lineChart>
      <c:catAx>
        <c:axId val="134309760"/>
        <c:scaling>
          <c:orientation val="minMax"/>
        </c:scaling>
        <c:axPos val="b"/>
        <c:numFmt formatCode="General" sourceLinked="1"/>
        <c:tickLblPos val="low"/>
        <c:crossAx val="134311296"/>
        <c:crosses val="autoZero"/>
        <c:auto val="1"/>
        <c:lblAlgn val="ctr"/>
        <c:lblOffset val="100"/>
      </c:catAx>
      <c:valAx>
        <c:axId val="134311296"/>
        <c:scaling>
          <c:orientation val="minMax"/>
        </c:scaling>
        <c:axPos val="l"/>
        <c:majorGridlines/>
        <c:numFmt formatCode="General" sourceLinked="1"/>
        <c:tickLblPos val="nextTo"/>
        <c:crossAx val="134309760"/>
        <c:crosses val="autoZero"/>
        <c:crossBetween val="between"/>
      </c:valAx>
      <c:spPr>
        <a:ln>
          <a:solidFill>
            <a:prstClr val="black"/>
          </a:solidFill>
        </a:ln>
      </c:spPr>
    </c:plotArea>
    <c:legend>
      <c:legendPos val="r"/>
      <c:layout>
        <c:manualLayout>
          <c:xMode val="edge"/>
          <c:yMode val="edge"/>
          <c:x val="7.9480538669368481E-2"/>
          <c:y val="0.8739288528650313"/>
          <c:w val="0.89907400371496116"/>
          <c:h val="0.11710908476866012"/>
        </c:manualLayout>
      </c:layout>
      <c:spPr>
        <a:ln>
          <a:solidFill>
            <a:prstClr val="black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8.3585781830462724E-2"/>
          <c:y val="3.5742429359450628E-2"/>
          <c:w val="0.89672070246538949"/>
          <c:h val="0.77794438815715461"/>
        </c:manualLayout>
      </c:layout>
      <c:barChart>
        <c:barDir val="col"/>
        <c:grouping val="stacked"/>
        <c:ser>
          <c:idx val="1"/>
          <c:order val="1"/>
          <c:tx>
            <c:strRef>
              <c:f>GOV_DEBT_CZ!$X$5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7DBB2D"/>
            </a:solidFill>
          </c:spPr>
          <c:cat>
            <c:numRef>
              <c:f>GOV_DEBT_CZ!$L$7:$L$24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GOV_DEBT_CZ!$X$15:$X$24</c:f>
              <c:numCache>
                <c:formatCode>General</c:formatCode>
                <c:ptCount val="10"/>
                <c:pt idx="0">
                  <c:v>9.65</c:v>
                </c:pt>
                <c:pt idx="1">
                  <c:v>9.6389999999999993</c:v>
                </c:pt>
                <c:pt idx="2">
                  <c:v>8.5150000000000006</c:v>
                </c:pt>
                <c:pt idx="3">
                  <c:v>3.3119999999999967</c:v>
                </c:pt>
                <c:pt idx="4">
                  <c:v>8.4060000000000006</c:v>
                </c:pt>
                <c:pt idx="5">
                  <c:v>6.835</c:v>
                </c:pt>
                <c:pt idx="6">
                  <c:v>9.9610000000000003</c:v>
                </c:pt>
                <c:pt idx="7">
                  <c:v>5.3639999999999946</c:v>
                </c:pt>
                <c:pt idx="8">
                  <c:v>8.5020000000000007</c:v>
                </c:pt>
                <c:pt idx="9">
                  <c:v>5.9109999999999996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45-4FC2-9D76-6BD2F181A17F}"/>
            </c:ext>
          </c:extLst>
        </c:ser>
        <c:ser>
          <c:idx val="6"/>
          <c:order val="2"/>
          <c:tx>
            <c:strRef>
              <c:f>GOV_DEBT_CZ!$AC$5</c:f>
              <c:strCache>
                <c:ptCount val="1"/>
                <c:pt idx="0">
                  <c:v>Půjčky</c:v>
                </c:pt>
              </c:strCache>
            </c:strRef>
          </c:tx>
          <c:spPr>
            <a:solidFill>
              <a:srgbClr val="BD1B21">
                <a:alpha val="99000"/>
              </a:srgbClr>
            </a:solidFill>
          </c:spPr>
          <c:cat>
            <c:numRef>
              <c:f>GOV_DEBT_CZ!$L$15:$L$24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GOV_DEBT_CZ!$AC$15:$AC$24</c:f>
              <c:numCache>
                <c:formatCode>General</c:formatCode>
                <c:ptCount val="10"/>
                <c:pt idx="0">
                  <c:v>160.08700000000007</c:v>
                </c:pt>
                <c:pt idx="1">
                  <c:v>184.37100000000001</c:v>
                </c:pt>
                <c:pt idx="2">
                  <c:v>191.39100000000047</c:v>
                </c:pt>
                <c:pt idx="3">
                  <c:v>195.02700000000004</c:v>
                </c:pt>
                <c:pt idx="4">
                  <c:v>193.547</c:v>
                </c:pt>
                <c:pt idx="5">
                  <c:v>194.46600000000001</c:v>
                </c:pt>
                <c:pt idx="6">
                  <c:v>186.17299999999997</c:v>
                </c:pt>
                <c:pt idx="7">
                  <c:v>182.56100000000001</c:v>
                </c:pt>
                <c:pt idx="8">
                  <c:v>153.30700000000004</c:v>
                </c:pt>
                <c:pt idx="9">
                  <c:v>140.88200000000126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45-4FC2-9D76-6BD2F181A17F}"/>
            </c:ext>
          </c:extLst>
        </c:ser>
        <c:ser>
          <c:idx val="4"/>
          <c:order val="3"/>
          <c:tx>
            <c:strRef>
              <c:f>GOV_DEBT_CZ!$AA$5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A6CDE8"/>
            </a:solidFill>
          </c:spPr>
          <c:cat>
            <c:numRef>
              <c:f>GOV_DEBT_CZ!$L$7:$L$24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GOV_DEBT_CZ!$AA$15:$AA$24</c:f>
              <c:numCache>
                <c:formatCode>General</c:formatCode>
                <c:ptCount val="10"/>
                <c:pt idx="0">
                  <c:v>58.431000000000004</c:v>
                </c:pt>
                <c:pt idx="1">
                  <c:v>73.624999999999986</c:v>
                </c:pt>
                <c:pt idx="2">
                  <c:v>96.224999999999994</c:v>
                </c:pt>
                <c:pt idx="3">
                  <c:v>137.33200000000087</c:v>
                </c:pt>
                <c:pt idx="4">
                  <c:v>178.98400000000001</c:v>
                </c:pt>
                <c:pt idx="5">
                  <c:v>120.96599999999999</c:v>
                </c:pt>
                <c:pt idx="6">
                  <c:v>106.93400000000022</c:v>
                </c:pt>
                <c:pt idx="7">
                  <c:v>84.275999999999982</c:v>
                </c:pt>
                <c:pt idx="8">
                  <c:v>4.7629999999999955</c:v>
                </c:pt>
                <c:pt idx="9">
                  <c:v>44.153000000000006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45-4FC2-9D76-6BD2F181A17F}"/>
            </c:ext>
          </c:extLst>
        </c:ser>
        <c:ser>
          <c:idx val="5"/>
          <c:order val="4"/>
          <c:tx>
            <c:strRef>
              <c:f>GOV_DEBT_CZ!$AB$5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0071BC"/>
            </a:solidFill>
          </c:spPr>
          <c:cat>
            <c:numRef>
              <c:f>GOV_DEBT_CZ!$L$7:$L$24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GOV_DEBT_CZ!$AB$15:$AB$24</c:f>
              <c:numCache>
                <c:formatCode>General</c:formatCode>
                <c:ptCount val="10"/>
                <c:pt idx="0">
                  <c:v>908.65099999999939</c:v>
                </c:pt>
                <c:pt idx="1">
                  <c:v>1051.4290000000001</c:v>
                </c:pt>
                <c:pt idx="2">
                  <c:v>1184.0339999999999</c:v>
                </c:pt>
                <c:pt idx="3">
                  <c:v>1270.8209999999999</c:v>
                </c:pt>
                <c:pt idx="4">
                  <c:v>1424.492</c:v>
                </c:pt>
                <c:pt idx="5">
                  <c:v>1518.145</c:v>
                </c:pt>
                <c:pt idx="6">
                  <c:v>1516.03</c:v>
                </c:pt>
                <c:pt idx="7">
                  <c:v>1564.0539999999999</c:v>
                </c:pt>
                <c:pt idx="8">
                  <c:v>1588.3109999999999</c:v>
                </c:pt>
                <c:pt idx="9">
                  <c:v>1558.1949999999897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45-4FC2-9D76-6BD2F181A17F}"/>
            </c:ext>
          </c:extLst>
        </c:ser>
        <c:overlap val="100"/>
        <c:axId val="140794496"/>
        <c:axId val="140967936"/>
      </c:barChart>
      <c:lineChart>
        <c:grouping val="standard"/>
        <c:ser>
          <c:idx val="0"/>
          <c:order val="0"/>
          <c:tx>
            <c:strRef>
              <c:f>GOV_DEBT_CZ!$W$5:$W$6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GOV_DEBT_CZ!$L$15:$L$24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GOV_DEBT_CZ!$W$15:$W$24</c:f>
              <c:numCache>
                <c:formatCode>General</c:formatCode>
                <c:ptCount val="10"/>
                <c:pt idx="0">
                  <c:v>1136.819</c:v>
                </c:pt>
                <c:pt idx="1">
                  <c:v>1319.0639999999999</c:v>
                </c:pt>
                <c:pt idx="2">
                  <c:v>1480.165</c:v>
                </c:pt>
                <c:pt idx="3">
                  <c:v>1606.492</c:v>
                </c:pt>
                <c:pt idx="4">
                  <c:v>1805.4290000000001</c:v>
                </c:pt>
                <c:pt idx="5">
                  <c:v>1840.412</c:v>
                </c:pt>
                <c:pt idx="6">
                  <c:v>1819.098</c:v>
                </c:pt>
                <c:pt idx="7">
                  <c:v>1836.2550000000001</c:v>
                </c:pt>
                <c:pt idx="8">
                  <c:v>1754.8829999999998</c:v>
                </c:pt>
                <c:pt idx="9">
                  <c:v>1749.1409999999998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145-4FC2-9D76-6BD2F181A17F}"/>
            </c:ext>
          </c:extLst>
        </c:ser>
        <c:marker val="1"/>
        <c:axId val="140794496"/>
        <c:axId val="140967936"/>
      </c:lineChart>
      <c:catAx>
        <c:axId val="140794496"/>
        <c:scaling>
          <c:orientation val="minMax"/>
        </c:scaling>
        <c:axPos val="b"/>
        <c:numFmt formatCode="General" sourceLinked="1"/>
        <c:tickLblPos val="nextTo"/>
        <c:crossAx val="140967936"/>
        <c:crosses val="autoZero"/>
        <c:auto val="1"/>
        <c:lblAlgn val="ctr"/>
        <c:lblOffset val="100"/>
      </c:catAx>
      <c:valAx>
        <c:axId val="140967936"/>
        <c:scaling>
          <c:orientation val="minMax"/>
        </c:scaling>
        <c:axPos val="l"/>
        <c:majorGridlines/>
        <c:numFmt formatCode="General" sourceLinked="1"/>
        <c:tickLblPos val="nextTo"/>
        <c:crossAx val="140794496"/>
        <c:crosses val="autoZero"/>
        <c:crossBetween val="between"/>
      </c:valAx>
      <c:spPr>
        <a:ln>
          <a:solidFill>
            <a:prstClr val="black"/>
          </a:solidFill>
        </a:ln>
      </c:spPr>
    </c:plotArea>
    <c:legend>
      <c:legendPos val="r"/>
      <c:layout>
        <c:manualLayout>
          <c:xMode val="edge"/>
          <c:yMode val="edge"/>
          <c:x val="8.179120229652144E-2"/>
          <c:y val="0.87431892378700848"/>
          <c:w val="0.89895727794663949"/>
          <c:h val="0.11243104806934595"/>
        </c:manualLayout>
      </c:layout>
      <c:spPr>
        <a:ln>
          <a:solidFill>
            <a:prstClr val="black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8B77-91A8-4381-9DE1-DED0758C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2</TotalTime>
  <Pages>4</Pages>
  <Words>1095</Words>
  <Characters>6467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7547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3</cp:revision>
  <cp:lastPrinted>2014-07-17T14:07:00Z</cp:lastPrinted>
  <dcterms:created xsi:type="dcterms:W3CDTF">2018-10-29T15:40:00Z</dcterms:created>
  <dcterms:modified xsi:type="dcterms:W3CDTF">2018-10-29T15:42:00Z</dcterms:modified>
</cp:coreProperties>
</file>