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A2A" w:rsidRPr="003A1A2A" w:rsidRDefault="003A1A2A" w:rsidP="003A1A2A">
      <w:pPr>
        <w:keepNext/>
        <w:keepLines/>
        <w:spacing w:line="288" w:lineRule="auto"/>
        <w:ind w:left="0" w:firstLine="0"/>
        <w:outlineLvl w:val="2"/>
        <w:rPr>
          <w:rFonts w:ascii="Arial" w:eastAsia="MS Gothic" w:hAnsi="Arial"/>
          <w:b/>
          <w:bCs/>
          <w:color w:val="0071BC"/>
          <w:lang w:val="cs-CZ"/>
        </w:rPr>
      </w:pPr>
      <w:bookmarkStart w:id="0" w:name="_Toc62037474"/>
      <w:r w:rsidRPr="003A1A2A">
        <w:rPr>
          <w:rFonts w:ascii="Arial" w:eastAsia="MS Gothic" w:hAnsi="Arial"/>
          <w:b/>
          <w:bCs/>
          <w:color w:val="0071BC"/>
          <w:lang w:val="cs-CZ"/>
        </w:rPr>
        <w:t>Metodické poznámky</w:t>
      </w:r>
      <w:bookmarkEnd w:id="0"/>
    </w:p>
    <w:p w:rsidR="003A1A2A" w:rsidRPr="003A1A2A" w:rsidRDefault="003A1A2A" w:rsidP="003A1A2A">
      <w:pPr>
        <w:tabs>
          <w:tab w:val="left" w:pos="684"/>
        </w:tabs>
        <w:spacing w:line="240" w:lineRule="atLeast"/>
        <w:ind w:left="0" w:firstLine="709"/>
        <w:jc w:val="both"/>
        <w:rPr>
          <w:rFonts w:ascii="Arial" w:hAnsi="Arial" w:cs="Arial"/>
          <w:sz w:val="20"/>
          <w:lang w:val="cs-CZ"/>
        </w:rPr>
      </w:pPr>
    </w:p>
    <w:p w:rsidR="003A1A2A" w:rsidRPr="003A1A2A" w:rsidRDefault="003A1A2A" w:rsidP="003A1A2A">
      <w:pPr>
        <w:tabs>
          <w:tab w:val="left" w:pos="684"/>
        </w:tabs>
        <w:spacing w:line="240" w:lineRule="atLeast"/>
        <w:ind w:left="0" w:firstLine="709"/>
        <w:jc w:val="both"/>
        <w:rPr>
          <w:rFonts w:ascii="Arial" w:eastAsia="MS Gothic" w:hAnsi="Arial"/>
          <w:bCs/>
          <w:sz w:val="20"/>
          <w:szCs w:val="20"/>
          <w:lang w:val="cs-CZ"/>
        </w:rPr>
      </w:pPr>
      <w:r w:rsidRPr="003A1A2A">
        <w:rPr>
          <w:rFonts w:ascii="Arial" w:hAnsi="Arial" w:cs="Arial"/>
          <w:sz w:val="20"/>
          <w:lang w:val="cs-CZ"/>
        </w:rPr>
        <w:t xml:space="preserve">Český statistický úřad provádí každoročně </w:t>
      </w:r>
      <w:r w:rsidRPr="003A1A2A">
        <w:rPr>
          <w:rFonts w:ascii="Arial" w:hAnsi="Arial" w:cs="Arial"/>
          <w:b/>
          <w:bCs/>
          <w:sz w:val="20"/>
          <w:lang w:val="cs-CZ"/>
        </w:rPr>
        <w:t xml:space="preserve">statistické zjišťování o produkci a nakládání s odpady </w:t>
      </w:r>
      <w:r w:rsidRPr="003A1A2A">
        <w:rPr>
          <w:rFonts w:ascii="Arial" w:hAnsi="Arial" w:cs="Arial"/>
          <w:bCs/>
          <w:sz w:val="20"/>
          <w:lang w:val="cs-CZ"/>
        </w:rPr>
        <w:t>již od roku 1992</w:t>
      </w:r>
      <w:r w:rsidRPr="003A1A2A">
        <w:rPr>
          <w:rFonts w:ascii="Arial" w:hAnsi="Arial" w:cs="Arial"/>
          <w:sz w:val="20"/>
          <w:lang w:val="cs-CZ"/>
        </w:rPr>
        <w:t xml:space="preserve">. </w:t>
      </w:r>
      <w:r w:rsidRPr="003A1A2A">
        <w:rPr>
          <w:rFonts w:ascii="Arial" w:hAnsi="Arial" w:cs="Arial"/>
          <w:b/>
          <w:sz w:val="20"/>
          <w:szCs w:val="20"/>
          <w:lang w:val="cs-CZ"/>
        </w:rPr>
        <w:t>Rozsah a způsob organizace tohoto zjišťování slouží pro zajištění  reportingových povinností ČR, které vyplývají z nařízení Evropského parlamentu a Rady 2150/2002/ES, o statistice odpadů</w:t>
      </w:r>
      <w:r w:rsidRPr="003A1A2A">
        <w:rPr>
          <w:rFonts w:ascii="Arial" w:hAnsi="Arial" w:cs="Arial"/>
          <w:sz w:val="20"/>
          <w:szCs w:val="20"/>
          <w:lang w:val="cs-CZ"/>
        </w:rPr>
        <w:t xml:space="preserve">, jehož gestorem je Český statistický úřad. </w:t>
      </w:r>
      <w:r w:rsidRPr="003A1A2A">
        <w:rPr>
          <w:rFonts w:ascii="Arial" w:eastAsia="MS Gothic" w:hAnsi="Arial"/>
          <w:bCs/>
          <w:sz w:val="20"/>
          <w:szCs w:val="20"/>
          <w:lang w:val="cs-CZ"/>
        </w:rPr>
        <w:t xml:space="preserve">V roce 2020 byl  dokončen plánovaný proces modernizace metodiky, sběru a zpracování dat, který přináší oproti minulým vydáním změny v  obsahu publikace i v podobě prezentovaných výsledků. </w:t>
      </w:r>
    </w:p>
    <w:p w:rsidR="003A1A2A" w:rsidRPr="003A1A2A" w:rsidRDefault="003A1A2A" w:rsidP="003A1A2A">
      <w:pPr>
        <w:tabs>
          <w:tab w:val="left" w:pos="684"/>
        </w:tabs>
        <w:spacing w:line="240" w:lineRule="atLeast"/>
        <w:ind w:left="0" w:firstLine="709"/>
        <w:jc w:val="both"/>
        <w:rPr>
          <w:rFonts w:ascii="Arial" w:eastAsia="MS Gothic" w:hAnsi="Arial"/>
          <w:bCs/>
          <w:sz w:val="20"/>
          <w:szCs w:val="20"/>
          <w:lang w:val="cs-CZ"/>
        </w:rPr>
      </w:pPr>
    </w:p>
    <w:p w:rsidR="003A1A2A" w:rsidRPr="003A1A2A" w:rsidRDefault="003A1A2A" w:rsidP="003A1A2A">
      <w:pPr>
        <w:tabs>
          <w:tab w:val="left" w:pos="684"/>
        </w:tabs>
        <w:spacing w:line="240" w:lineRule="atLeast"/>
        <w:ind w:left="0" w:firstLine="709"/>
        <w:jc w:val="both"/>
        <w:rPr>
          <w:rFonts w:ascii="Arial" w:hAnsi="Arial" w:cs="Arial"/>
          <w:b/>
          <w:sz w:val="20"/>
          <w:szCs w:val="20"/>
          <w:lang w:val="cs-CZ"/>
        </w:rPr>
      </w:pPr>
      <w:r w:rsidRPr="003A1A2A">
        <w:rPr>
          <w:rFonts w:ascii="Arial" w:hAnsi="Arial" w:cs="Arial"/>
          <w:b/>
          <w:sz w:val="20"/>
          <w:szCs w:val="20"/>
          <w:lang w:val="cs-CZ"/>
        </w:rPr>
        <w:t>Publikace se odlišuje od dřívějších vydání:</w:t>
      </w:r>
    </w:p>
    <w:p w:rsidR="003A1A2A" w:rsidRPr="003A1A2A" w:rsidRDefault="003A1A2A" w:rsidP="003A1A2A">
      <w:pPr>
        <w:tabs>
          <w:tab w:val="left" w:pos="684"/>
        </w:tabs>
        <w:spacing w:line="240" w:lineRule="atLeast"/>
        <w:ind w:left="0" w:firstLine="709"/>
        <w:jc w:val="both"/>
        <w:rPr>
          <w:rFonts w:ascii="Arial" w:hAnsi="Arial" w:cs="Arial"/>
          <w:b/>
          <w:sz w:val="20"/>
          <w:szCs w:val="20"/>
          <w:lang w:val="cs-CZ"/>
        </w:rPr>
      </w:pPr>
    </w:p>
    <w:p w:rsidR="003A1A2A" w:rsidRPr="003A1A2A" w:rsidRDefault="003A1A2A" w:rsidP="003A1A2A">
      <w:pPr>
        <w:numPr>
          <w:ilvl w:val="0"/>
          <w:numId w:val="1"/>
        </w:numPr>
        <w:tabs>
          <w:tab w:val="left" w:pos="684"/>
        </w:tabs>
        <w:spacing w:after="240" w:line="240" w:lineRule="atLeast"/>
        <w:jc w:val="both"/>
        <w:rPr>
          <w:rFonts w:ascii="Arial" w:hAnsi="Arial" w:cs="Arial"/>
          <w:sz w:val="20"/>
          <w:lang w:val="cs-CZ"/>
        </w:rPr>
      </w:pPr>
      <w:r w:rsidRPr="003A1A2A">
        <w:rPr>
          <w:rFonts w:ascii="Arial" w:hAnsi="Arial" w:cs="Arial"/>
          <w:sz w:val="20"/>
          <w:lang w:val="cs-CZ"/>
        </w:rPr>
        <w:t>Od roku 2017 probíhalo testovací zpracování dat z Integrovaného systému plnění ohlašovacích povinností (ISPOP) Ministerstva životního prostředí s cílem snížení administrativní zátěže podniků a postupného odstranění duplicit ve sledování produkce a nakládání s odpady.</w:t>
      </w:r>
    </w:p>
    <w:p w:rsidR="003A1A2A" w:rsidRPr="003A1A2A" w:rsidRDefault="003A1A2A" w:rsidP="003A1A2A">
      <w:pPr>
        <w:tabs>
          <w:tab w:val="left" w:pos="684"/>
        </w:tabs>
        <w:spacing w:line="240" w:lineRule="atLeast"/>
        <w:ind w:left="709" w:firstLine="0"/>
        <w:jc w:val="both"/>
        <w:rPr>
          <w:rFonts w:ascii="Arial" w:hAnsi="Arial" w:cs="Arial"/>
          <w:sz w:val="20"/>
          <w:lang w:val="cs-CZ"/>
        </w:rPr>
      </w:pPr>
    </w:p>
    <w:p w:rsidR="003A1A2A" w:rsidRPr="003A1A2A" w:rsidRDefault="003A1A2A" w:rsidP="003A1A2A">
      <w:pPr>
        <w:numPr>
          <w:ilvl w:val="0"/>
          <w:numId w:val="1"/>
        </w:numPr>
        <w:tabs>
          <w:tab w:val="left" w:pos="684"/>
        </w:tabs>
        <w:spacing w:after="240" w:line="240" w:lineRule="atLeast"/>
        <w:jc w:val="both"/>
        <w:rPr>
          <w:rFonts w:ascii="Arial" w:hAnsi="Arial" w:cs="Arial"/>
          <w:sz w:val="20"/>
          <w:szCs w:val="20"/>
          <w:lang w:val="cs-CZ"/>
        </w:rPr>
      </w:pPr>
      <w:r w:rsidRPr="003A1A2A">
        <w:rPr>
          <w:rFonts w:ascii="Arial" w:hAnsi="Arial" w:cs="Arial"/>
          <w:sz w:val="20"/>
          <w:szCs w:val="20"/>
          <w:lang w:val="cs-CZ"/>
        </w:rPr>
        <w:t>Po analýzách možností čerpat údaje z ISPOP dospěl ČSÚ k závěru, že tato data jsou pro účely sestavování evropské statistiky o odpadech využitelná.</w:t>
      </w:r>
    </w:p>
    <w:p w:rsidR="003A1A2A" w:rsidRPr="003A1A2A" w:rsidRDefault="003A1A2A" w:rsidP="003A1A2A">
      <w:pPr>
        <w:ind w:left="720"/>
        <w:contextualSpacing/>
        <w:rPr>
          <w:rFonts w:ascii="Arial" w:hAnsi="Arial" w:cs="Arial"/>
          <w:sz w:val="20"/>
          <w:szCs w:val="20"/>
          <w:lang w:val="cs-CZ"/>
        </w:rPr>
      </w:pPr>
    </w:p>
    <w:p w:rsidR="003A1A2A" w:rsidRPr="003A1A2A" w:rsidRDefault="003A1A2A" w:rsidP="003A1A2A">
      <w:pPr>
        <w:numPr>
          <w:ilvl w:val="0"/>
          <w:numId w:val="1"/>
        </w:numPr>
        <w:tabs>
          <w:tab w:val="left" w:pos="684"/>
        </w:tabs>
        <w:spacing w:after="240" w:line="240" w:lineRule="atLeast"/>
        <w:jc w:val="both"/>
        <w:rPr>
          <w:rFonts w:ascii="Arial" w:hAnsi="Arial" w:cs="Arial"/>
          <w:sz w:val="20"/>
          <w:lang w:val="cs-CZ"/>
        </w:rPr>
      </w:pPr>
      <w:r w:rsidRPr="003A1A2A">
        <w:rPr>
          <w:rFonts w:ascii="Arial" w:hAnsi="Arial" w:cs="Arial"/>
          <w:sz w:val="20"/>
          <w:lang w:val="cs-CZ"/>
        </w:rPr>
        <w:t xml:space="preserve">Opora v podobě dat ze systému ISPOP byla pro zpracování údajů za rok 2018 využita vůbec poprvé a umožnila snížit velikost výběrového vzorku  statistického výkazu </w:t>
      </w:r>
      <w:proofErr w:type="spellStart"/>
      <w:r w:rsidRPr="003A1A2A">
        <w:rPr>
          <w:rFonts w:ascii="Arial" w:hAnsi="Arial" w:cs="Arial"/>
          <w:sz w:val="20"/>
          <w:lang w:val="cs-CZ"/>
        </w:rPr>
        <w:t>Odp</w:t>
      </w:r>
      <w:proofErr w:type="spellEnd"/>
      <w:r w:rsidRPr="003A1A2A">
        <w:rPr>
          <w:rFonts w:ascii="Arial" w:hAnsi="Arial" w:cs="Arial"/>
          <w:sz w:val="20"/>
          <w:lang w:val="cs-CZ"/>
        </w:rPr>
        <w:t xml:space="preserve"> 5-01 nejprve v segmentu obcí (za rok 2018) a posléze i v souboru podniků (za rok 2019).</w:t>
      </w:r>
    </w:p>
    <w:p w:rsidR="003A1A2A" w:rsidRPr="003A1A2A" w:rsidRDefault="003A1A2A" w:rsidP="003A1A2A">
      <w:pPr>
        <w:ind w:left="720"/>
        <w:contextualSpacing/>
        <w:rPr>
          <w:rFonts w:ascii="Arial" w:hAnsi="Arial" w:cs="Arial"/>
          <w:sz w:val="20"/>
          <w:lang w:val="cs-CZ"/>
        </w:rPr>
      </w:pPr>
    </w:p>
    <w:p w:rsidR="003A1A2A" w:rsidRPr="003A1A2A" w:rsidRDefault="003A1A2A" w:rsidP="003A1A2A">
      <w:pPr>
        <w:numPr>
          <w:ilvl w:val="0"/>
          <w:numId w:val="1"/>
        </w:numPr>
        <w:tabs>
          <w:tab w:val="left" w:pos="684"/>
        </w:tabs>
        <w:spacing w:after="240" w:line="240" w:lineRule="atLeast"/>
        <w:jc w:val="both"/>
        <w:rPr>
          <w:rFonts w:ascii="Arial" w:hAnsi="Arial" w:cs="Arial"/>
          <w:sz w:val="20"/>
          <w:lang w:val="cs-CZ"/>
        </w:rPr>
      </w:pPr>
      <w:r w:rsidRPr="003A1A2A">
        <w:rPr>
          <w:rFonts w:ascii="Arial" w:hAnsi="Arial" w:cs="Arial"/>
          <w:sz w:val="20"/>
          <w:lang w:val="cs-CZ"/>
        </w:rPr>
        <w:t>Naopak využitím údajů zjištěných prostřednictvím ISPOP bylo umožněno zvýšit rozsah pokrytí dat o produkci odpadů a nakládání s odpady. Okruh subjektů, za které jsou zpracovány výsledky v této publikaci, se tak rozšířil na celou populaci mající povinnost podat hlášení o produkci a nakládání s odpady, tj. všechny ekonomické subjekty, které ve sledovaném období (roce) vyprodukovaly více než 100 tun odpadu nebo více než 100 kg nebezpečného odpadu. Systém ISPOP umožňuje také prostřednictvím informace o „partnerovi“ zjistit i produkci odpadů od subjektů, které sami přímo hlášení produkci a nakládání s odpady  nevyplňují, ale předávají odpad k dalšímu zpracování v rámci ISPOP.</w:t>
      </w:r>
    </w:p>
    <w:p w:rsidR="003A1A2A" w:rsidRPr="003A1A2A" w:rsidRDefault="003A1A2A" w:rsidP="003A1A2A">
      <w:pPr>
        <w:ind w:left="720"/>
        <w:contextualSpacing/>
        <w:rPr>
          <w:rFonts w:ascii="Arial" w:hAnsi="Arial" w:cs="Arial"/>
          <w:sz w:val="20"/>
          <w:lang w:val="cs-CZ"/>
        </w:rPr>
      </w:pPr>
    </w:p>
    <w:p w:rsidR="003A1A2A" w:rsidRPr="003A1A2A" w:rsidRDefault="003A1A2A" w:rsidP="003A1A2A">
      <w:pPr>
        <w:numPr>
          <w:ilvl w:val="0"/>
          <w:numId w:val="1"/>
        </w:numPr>
        <w:tabs>
          <w:tab w:val="left" w:pos="684"/>
        </w:tabs>
        <w:spacing w:after="240" w:line="240" w:lineRule="atLeast"/>
        <w:jc w:val="both"/>
        <w:rPr>
          <w:rFonts w:ascii="Arial" w:hAnsi="Arial" w:cs="Arial"/>
          <w:sz w:val="20"/>
          <w:szCs w:val="20"/>
          <w:lang w:val="cs-CZ"/>
        </w:rPr>
      </w:pPr>
      <w:r w:rsidRPr="003A1A2A">
        <w:rPr>
          <w:rFonts w:ascii="Arial" w:hAnsi="Arial" w:cs="Arial"/>
          <w:sz w:val="20"/>
          <w:lang w:val="cs-CZ"/>
        </w:rPr>
        <w:t xml:space="preserve">Data za subjekty neobeslané statistickým výkazem byla přebrána přímo ze systému ISPOP. Výběrový soubor statistického výkazu </w:t>
      </w:r>
      <w:proofErr w:type="spellStart"/>
      <w:r w:rsidRPr="003A1A2A">
        <w:rPr>
          <w:rFonts w:ascii="Arial" w:hAnsi="Arial" w:cs="Arial"/>
          <w:sz w:val="20"/>
          <w:lang w:val="cs-CZ"/>
        </w:rPr>
        <w:t>Odp</w:t>
      </w:r>
      <w:proofErr w:type="spellEnd"/>
      <w:r w:rsidRPr="003A1A2A">
        <w:rPr>
          <w:rFonts w:ascii="Arial" w:hAnsi="Arial" w:cs="Arial"/>
          <w:sz w:val="20"/>
          <w:lang w:val="cs-CZ"/>
        </w:rPr>
        <w:t xml:space="preserve"> 5-01 se tak snížil na 3 233 v roce 2019. </w:t>
      </w:r>
      <w:r w:rsidRPr="003A1A2A">
        <w:rPr>
          <w:rFonts w:ascii="Arial" w:hAnsi="Arial" w:cs="Arial"/>
          <w:sz w:val="20"/>
          <w:szCs w:val="20"/>
          <w:lang w:val="cs-CZ"/>
        </w:rPr>
        <w:t>Došlo tak k významnému snížení administrativní zátěže respondentů.</w:t>
      </w:r>
    </w:p>
    <w:p w:rsidR="003A1A2A" w:rsidRPr="003A1A2A" w:rsidRDefault="003A1A2A" w:rsidP="003A1A2A">
      <w:pPr>
        <w:tabs>
          <w:tab w:val="left" w:pos="684"/>
        </w:tabs>
        <w:spacing w:line="240" w:lineRule="atLeast"/>
        <w:ind w:left="0" w:firstLine="0"/>
        <w:jc w:val="both"/>
        <w:rPr>
          <w:rFonts w:ascii="Arial" w:hAnsi="Arial" w:cs="Arial"/>
          <w:sz w:val="20"/>
          <w:szCs w:val="20"/>
          <w:lang w:val="cs-CZ"/>
        </w:rPr>
      </w:pPr>
    </w:p>
    <w:p w:rsidR="003A1A2A" w:rsidRPr="003A1A2A" w:rsidRDefault="003A1A2A" w:rsidP="003A1A2A">
      <w:pPr>
        <w:tabs>
          <w:tab w:val="left" w:pos="684"/>
        </w:tabs>
        <w:spacing w:line="240" w:lineRule="atLeast"/>
        <w:ind w:left="1069" w:firstLine="0"/>
        <w:jc w:val="both"/>
        <w:rPr>
          <w:rFonts w:ascii="Arial" w:hAnsi="Arial" w:cs="Arial"/>
          <w:sz w:val="20"/>
          <w:szCs w:val="20"/>
          <w:lang w:val="cs-CZ"/>
        </w:rPr>
      </w:pPr>
    </w:p>
    <w:p w:rsidR="003A1A2A" w:rsidRPr="003A1A2A" w:rsidRDefault="003A1A2A" w:rsidP="003A1A2A">
      <w:pPr>
        <w:tabs>
          <w:tab w:val="left" w:pos="684"/>
        </w:tabs>
        <w:spacing w:line="240" w:lineRule="atLeast"/>
        <w:jc w:val="both"/>
        <w:rPr>
          <w:rFonts w:ascii="Arial" w:hAnsi="Arial" w:cs="Arial"/>
          <w:b/>
          <w:sz w:val="20"/>
          <w:szCs w:val="20"/>
          <w:lang w:val="cs-CZ"/>
        </w:rPr>
      </w:pPr>
      <w:r w:rsidRPr="003A1A2A">
        <w:rPr>
          <w:rFonts w:ascii="Arial" w:hAnsi="Arial" w:cs="Arial"/>
          <w:b/>
          <w:sz w:val="20"/>
          <w:szCs w:val="20"/>
          <w:lang w:val="cs-CZ"/>
        </w:rPr>
        <w:t>V oblasti metodického vymezení komunálního odpadu došlo také k následujícím změnám:</w:t>
      </w:r>
    </w:p>
    <w:p w:rsidR="003A1A2A" w:rsidRPr="003A1A2A" w:rsidRDefault="003A1A2A" w:rsidP="003A1A2A">
      <w:pPr>
        <w:tabs>
          <w:tab w:val="left" w:pos="684"/>
        </w:tabs>
        <w:spacing w:line="240" w:lineRule="atLeast"/>
        <w:jc w:val="both"/>
        <w:rPr>
          <w:rFonts w:ascii="Arial" w:hAnsi="Arial" w:cs="Arial"/>
          <w:sz w:val="20"/>
          <w:szCs w:val="20"/>
          <w:lang w:val="cs-CZ"/>
        </w:rPr>
      </w:pPr>
    </w:p>
    <w:p w:rsidR="003A1A2A" w:rsidRPr="003A1A2A" w:rsidRDefault="003A1A2A" w:rsidP="003A1A2A">
      <w:pPr>
        <w:numPr>
          <w:ilvl w:val="0"/>
          <w:numId w:val="2"/>
        </w:numPr>
        <w:tabs>
          <w:tab w:val="left" w:pos="684"/>
        </w:tabs>
        <w:spacing w:after="240" w:line="240" w:lineRule="atLeast"/>
        <w:jc w:val="both"/>
        <w:rPr>
          <w:rFonts w:ascii="Arial" w:hAnsi="Arial" w:cs="Arial"/>
          <w:sz w:val="20"/>
          <w:szCs w:val="20"/>
          <w:lang w:val="cs-CZ"/>
        </w:rPr>
      </w:pPr>
      <w:r w:rsidRPr="003A1A2A">
        <w:rPr>
          <w:rFonts w:ascii="Arial" w:hAnsi="Arial" w:cs="Arial"/>
          <w:sz w:val="20"/>
          <w:szCs w:val="20"/>
          <w:lang w:val="cs-CZ"/>
        </w:rPr>
        <w:t>V návaznosti na definici komunálního odpadu a vývoj jejího výkladu, který vyplývá ze směrnice EP a Rady 2018/851 o odpadech,</w:t>
      </w:r>
      <w:r w:rsidRPr="003A1A2A">
        <w:rPr>
          <w:sz w:val="22"/>
          <w:szCs w:val="22"/>
          <w:lang w:val="cs-CZ"/>
        </w:rPr>
        <w:t xml:space="preserve"> </w:t>
      </w:r>
      <w:proofErr w:type="spellStart"/>
      <w:r w:rsidRPr="003A1A2A">
        <w:rPr>
          <w:rFonts w:ascii="Arial" w:hAnsi="Arial" w:cs="Arial"/>
          <w:sz w:val="20"/>
          <w:szCs w:val="20"/>
          <w:lang w:val="cs-CZ"/>
        </w:rPr>
        <w:t>Eurostat</w:t>
      </w:r>
      <w:proofErr w:type="spellEnd"/>
      <w:r w:rsidRPr="003A1A2A">
        <w:rPr>
          <w:rFonts w:ascii="Arial" w:hAnsi="Arial" w:cs="Arial"/>
          <w:sz w:val="20"/>
          <w:szCs w:val="20"/>
          <w:lang w:val="cs-CZ"/>
        </w:rPr>
        <w:t xml:space="preserve"> zahájil přípravu na harmonizaci vykazování s daty společného dotazníku </w:t>
      </w:r>
      <w:proofErr w:type="spellStart"/>
      <w:r w:rsidRPr="003A1A2A">
        <w:rPr>
          <w:rFonts w:ascii="Arial" w:hAnsi="Arial" w:cs="Arial"/>
          <w:sz w:val="20"/>
          <w:szCs w:val="20"/>
          <w:lang w:val="cs-CZ"/>
        </w:rPr>
        <w:t>Eurostatu</w:t>
      </w:r>
      <w:proofErr w:type="spellEnd"/>
      <w:r w:rsidRPr="003A1A2A">
        <w:rPr>
          <w:rFonts w:ascii="Arial" w:hAnsi="Arial" w:cs="Arial"/>
          <w:sz w:val="20"/>
          <w:szCs w:val="20"/>
          <w:lang w:val="cs-CZ"/>
        </w:rPr>
        <w:t xml:space="preserve"> a OECD (Joint </w:t>
      </w:r>
      <w:proofErr w:type="spellStart"/>
      <w:r w:rsidRPr="003A1A2A">
        <w:rPr>
          <w:rFonts w:ascii="Arial" w:hAnsi="Arial" w:cs="Arial"/>
          <w:sz w:val="20"/>
          <w:szCs w:val="20"/>
          <w:lang w:val="cs-CZ"/>
        </w:rPr>
        <w:t>Questionnaire</w:t>
      </w:r>
      <w:proofErr w:type="spellEnd"/>
      <w:r w:rsidRPr="003A1A2A">
        <w:rPr>
          <w:rFonts w:ascii="Arial" w:hAnsi="Arial" w:cs="Arial"/>
          <w:sz w:val="20"/>
          <w:szCs w:val="20"/>
          <w:lang w:val="cs-CZ"/>
        </w:rPr>
        <w:t xml:space="preserve"> </w:t>
      </w:r>
      <w:proofErr w:type="spellStart"/>
      <w:r w:rsidRPr="003A1A2A">
        <w:rPr>
          <w:rFonts w:ascii="Arial" w:hAnsi="Arial" w:cs="Arial"/>
          <w:sz w:val="20"/>
          <w:szCs w:val="20"/>
          <w:lang w:val="cs-CZ"/>
        </w:rPr>
        <w:t>of</w:t>
      </w:r>
      <w:proofErr w:type="spellEnd"/>
      <w:r w:rsidRPr="003A1A2A">
        <w:rPr>
          <w:rFonts w:ascii="Arial" w:hAnsi="Arial" w:cs="Arial"/>
          <w:sz w:val="20"/>
          <w:szCs w:val="20"/>
          <w:lang w:val="cs-CZ"/>
        </w:rPr>
        <w:t xml:space="preserve"> </w:t>
      </w:r>
      <w:proofErr w:type="spellStart"/>
      <w:r w:rsidRPr="003A1A2A">
        <w:rPr>
          <w:rFonts w:ascii="Arial" w:hAnsi="Arial" w:cs="Arial"/>
          <w:sz w:val="20"/>
          <w:szCs w:val="20"/>
          <w:lang w:val="cs-CZ"/>
        </w:rPr>
        <w:t>Eurostat</w:t>
      </w:r>
      <w:proofErr w:type="spellEnd"/>
      <w:r w:rsidRPr="003A1A2A">
        <w:rPr>
          <w:rFonts w:ascii="Arial" w:hAnsi="Arial" w:cs="Arial"/>
          <w:sz w:val="20"/>
          <w:szCs w:val="20"/>
          <w:lang w:val="cs-CZ"/>
        </w:rPr>
        <w:t xml:space="preserve"> and OECD),</w:t>
      </w:r>
      <w:r w:rsidRPr="003A1A2A">
        <w:rPr>
          <w:rFonts w:ascii="Arial" w:hAnsi="Arial" w:cs="Arial"/>
          <w:b/>
          <w:sz w:val="20"/>
          <w:szCs w:val="20"/>
          <w:lang w:val="cs-CZ"/>
        </w:rPr>
        <w:t xml:space="preserve"> </w:t>
      </w:r>
      <w:r w:rsidRPr="003A1A2A">
        <w:rPr>
          <w:rFonts w:ascii="Arial" w:hAnsi="Arial" w:cs="Arial"/>
          <w:sz w:val="20"/>
          <w:szCs w:val="20"/>
          <w:lang w:val="cs-CZ"/>
        </w:rPr>
        <w:t>s</w:t>
      </w:r>
      <w:r w:rsidRPr="003A1A2A">
        <w:rPr>
          <w:rFonts w:ascii="Arial" w:hAnsi="Arial" w:cs="Arial"/>
          <w:b/>
          <w:sz w:val="20"/>
          <w:szCs w:val="20"/>
          <w:lang w:val="cs-CZ"/>
        </w:rPr>
        <w:t xml:space="preserve"> </w:t>
      </w:r>
      <w:r w:rsidRPr="003A1A2A">
        <w:rPr>
          <w:rFonts w:ascii="Arial" w:hAnsi="Arial" w:cs="Arial"/>
          <w:sz w:val="20"/>
          <w:szCs w:val="20"/>
          <w:lang w:val="cs-CZ"/>
        </w:rPr>
        <w:t>cílem sjednotit  vykazování nejpozději od roku 2020, kdy bude pravidelný reporting povinný podle aktuálních požadavků právních předpisů. To v praxi znamená zpřesnění definice komunálního odpadu v duchu metodického doporučení </w:t>
      </w:r>
      <w:proofErr w:type="spellStart"/>
      <w:r w:rsidRPr="003A1A2A">
        <w:rPr>
          <w:rFonts w:ascii="Arial" w:hAnsi="Arial" w:cs="Arial"/>
          <w:b/>
          <w:sz w:val="20"/>
          <w:szCs w:val="20"/>
          <w:lang w:val="cs-CZ"/>
        </w:rPr>
        <w:t>Guidance</w:t>
      </w:r>
      <w:proofErr w:type="spellEnd"/>
      <w:r w:rsidRPr="003A1A2A">
        <w:rPr>
          <w:rFonts w:ascii="Arial" w:hAnsi="Arial" w:cs="Arial"/>
          <w:b/>
          <w:sz w:val="20"/>
          <w:szCs w:val="20"/>
          <w:lang w:val="cs-CZ"/>
        </w:rPr>
        <w:t xml:space="preserve"> </w:t>
      </w:r>
      <w:proofErr w:type="spellStart"/>
      <w:r w:rsidRPr="003A1A2A">
        <w:rPr>
          <w:rFonts w:ascii="Arial" w:hAnsi="Arial" w:cs="Arial"/>
          <w:b/>
          <w:sz w:val="20"/>
          <w:szCs w:val="20"/>
          <w:lang w:val="cs-CZ"/>
        </w:rPr>
        <w:t>for</w:t>
      </w:r>
      <w:proofErr w:type="spellEnd"/>
      <w:r w:rsidRPr="003A1A2A">
        <w:rPr>
          <w:rFonts w:ascii="Arial" w:hAnsi="Arial" w:cs="Arial"/>
          <w:b/>
          <w:sz w:val="20"/>
          <w:szCs w:val="20"/>
          <w:lang w:val="cs-CZ"/>
        </w:rPr>
        <w:t xml:space="preserve"> </w:t>
      </w:r>
      <w:proofErr w:type="spellStart"/>
      <w:r w:rsidRPr="003A1A2A">
        <w:rPr>
          <w:rFonts w:ascii="Arial" w:hAnsi="Arial" w:cs="Arial"/>
          <w:b/>
          <w:sz w:val="20"/>
          <w:szCs w:val="20"/>
          <w:lang w:val="cs-CZ"/>
        </w:rPr>
        <w:t>the</w:t>
      </w:r>
      <w:proofErr w:type="spellEnd"/>
      <w:r w:rsidRPr="003A1A2A">
        <w:rPr>
          <w:rFonts w:ascii="Arial" w:hAnsi="Arial" w:cs="Arial"/>
          <w:b/>
          <w:sz w:val="20"/>
          <w:szCs w:val="20"/>
          <w:lang w:val="cs-CZ"/>
        </w:rPr>
        <w:t xml:space="preserve"> </w:t>
      </w:r>
      <w:proofErr w:type="spellStart"/>
      <w:r w:rsidRPr="003A1A2A">
        <w:rPr>
          <w:rFonts w:ascii="Arial" w:hAnsi="Arial" w:cs="Arial"/>
          <w:b/>
          <w:sz w:val="20"/>
          <w:szCs w:val="20"/>
          <w:lang w:val="cs-CZ"/>
        </w:rPr>
        <w:t>Compilation</w:t>
      </w:r>
      <w:proofErr w:type="spellEnd"/>
      <w:r w:rsidRPr="003A1A2A">
        <w:rPr>
          <w:rFonts w:ascii="Arial" w:hAnsi="Arial" w:cs="Arial"/>
          <w:b/>
          <w:sz w:val="20"/>
          <w:szCs w:val="20"/>
          <w:lang w:val="cs-CZ"/>
        </w:rPr>
        <w:t xml:space="preserve"> and Reporting </w:t>
      </w:r>
      <w:proofErr w:type="spellStart"/>
      <w:r w:rsidRPr="003A1A2A">
        <w:rPr>
          <w:rFonts w:ascii="Arial" w:hAnsi="Arial" w:cs="Arial"/>
          <w:b/>
          <w:sz w:val="20"/>
          <w:szCs w:val="20"/>
          <w:lang w:val="cs-CZ"/>
        </w:rPr>
        <w:t>of</w:t>
      </w:r>
      <w:proofErr w:type="spellEnd"/>
      <w:r w:rsidRPr="003A1A2A">
        <w:rPr>
          <w:rFonts w:ascii="Arial" w:hAnsi="Arial" w:cs="Arial"/>
          <w:b/>
          <w:sz w:val="20"/>
          <w:szCs w:val="20"/>
          <w:lang w:val="cs-CZ"/>
        </w:rPr>
        <w:t xml:space="preserve"> Data on </w:t>
      </w:r>
      <w:proofErr w:type="spellStart"/>
      <w:r w:rsidRPr="003A1A2A">
        <w:rPr>
          <w:rFonts w:ascii="Arial" w:hAnsi="Arial" w:cs="Arial"/>
          <w:b/>
          <w:sz w:val="20"/>
          <w:szCs w:val="20"/>
          <w:lang w:val="cs-CZ"/>
        </w:rPr>
        <w:t>Municipal</w:t>
      </w:r>
      <w:proofErr w:type="spellEnd"/>
      <w:r w:rsidRPr="003A1A2A">
        <w:rPr>
          <w:rFonts w:ascii="Arial" w:hAnsi="Arial" w:cs="Arial"/>
          <w:b/>
          <w:sz w:val="20"/>
          <w:szCs w:val="20"/>
          <w:lang w:val="cs-CZ"/>
        </w:rPr>
        <w:t xml:space="preserve"> </w:t>
      </w:r>
      <w:proofErr w:type="spellStart"/>
      <w:r w:rsidRPr="003A1A2A">
        <w:rPr>
          <w:rFonts w:ascii="Arial" w:hAnsi="Arial" w:cs="Arial"/>
          <w:b/>
          <w:sz w:val="20"/>
          <w:szCs w:val="20"/>
          <w:lang w:val="cs-CZ"/>
        </w:rPr>
        <w:t>Waste</w:t>
      </w:r>
      <w:proofErr w:type="spellEnd"/>
      <w:r w:rsidRPr="003A1A2A">
        <w:rPr>
          <w:rFonts w:ascii="Arial" w:hAnsi="Arial" w:cs="Arial"/>
          <w:b/>
          <w:sz w:val="20"/>
          <w:szCs w:val="20"/>
          <w:lang w:val="cs-CZ"/>
        </w:rPr>
        <w:t xml:space="preserve"> </w:t>
      </w:r>
      <w:proofErr w:type="spellStart"/>
      <w:r w:rsidRPr="003A1A2A">
        <w:rPr>
          <w:rFonts w:ascii="Arial" w:hAnsi="Arial" w:cs="Arial"/>
          <w:b/>
          <w:sz w:val="20"/>
          <w:szCs w:val="20"/>
          <w:lang w:val="cs-CZ"/>
        </w:rPr>
        <w:t>According</w:t>
      </w:r>
      <w:proofErr w:type="spellEnd"/>
      <w:r w:rsidRPr="003A1A2A">
        <w:rPr>
          <w:rFonts w:ascii="Arial" w:hAnsi="Arial" w:cs="Arial"/>
          <w:b/>
          <w:sz w:val="20"/>
          <w:szCs w:val="20"/>
          <w:lang w:val="cs-CZ"/>
        </w:rPr>
        <w:t xml:space="preserve"> to </w:t>
      </w:r>
      <w:proofErr w:type="spellStart"/>
      <w:r w:rsidRPr="003A1A2A">
        <w:rPr>
          <w:rFonts w:ascii="Arial" w:hAnsi="Arial" w:cs="Arial"/>
          <w:b/>
          <w:sz w:val="20"/>
          <w:szCs w:val="20"/>
          <w:lang w:val="cs-CZ"/>
        </w:rPr>
        <w:t>Commission</w:t>
      </w:r>
      <w:proofErr w:type="spellEnd"/>
      <w:r w:rsidRPr="003A1A2A">
        <w:rPr>
          <w:rFonts w:ascii="Arial" w:hAnsi="Arial" w:cs="Arial"/>
          <w:b/>
          <w:sz w:val="20"/>
          <w:szCs w:val="20"/>
          <w:lang w:val="cs-CZ"/>
        </w:rPr>
        <w:t xml:space="preserve"> </w:t>
      </w:r>
      <w:proofErr w:type="spellStart"/>
      <w:r w:rsidRPr="003A1A2A">
        <w:rPr>
          <w:rFonts w:ascii="Arial" w:hAnsi="Arial" w:cs="Arial"/>
          <w:b/>
          <w:sz w:val="20"/>
          <w:szCs w:val="20"/>
          <w:lang w:val="cs-CZ"/>
        </w:rPr>
        <w:t>Implementing</w:t>
      </w:r>
      <w:proofErr w:type="spellEnd"/>
      <w:r w:rsidRPr="003A1A2A">
        <w:rPr>
          <w:rFonts w:ascii="Arial" w:hAnsi="Arial" w:cs="Arial"/>
          <w:b/>
          <w:sz w:val="20"/>
          <w:szCs w:val="20"/>
          <w:lang w:val="cs-CZ"/>
        </w:rPr>
        <w:t xml:space="preserve"> </w:t>
      </w:r>
      <w:proofErr w:type="spellStart"/>
      <w:r w:rsidRPr="003A1A2A">
        <w:rPr>
          <w:rFonts w:ascii="Arial" w:hAnsi="Arial" w:cs="Arial"/>
          <w:b/>
          <w:sz w:val="20"/>
          <w:szCs w:val="20"/>
          <w:lang w:val="cs-CZ"/>
        </w:rPr>
        <w:t>Decision</w:t>
      </w:r>
      <w:proofErr w:type="spellEnd"/>
      <w:r w:rsidRPr="003A1A2A">
        <w:rPr>
          <w:rFonts w:ascii="Arial" w:hAnsi="Arial" w:cs="Arial"/>
          <w:b/>
          <w:sz w:val="20"/>
          <w:szCs w:val="20"/>
          <w:lang w:val="cs-CZ"/>
        </w:rPr>
        <w:t xml:space="preserve"> 2019/1004/EC and 2019/1885/EC, and </w:t>
      </w:r>
      <w:proofErr w:type="spellStart"/>
      <w:r w:rsidRPr="003A1A2A">
        <w:rPr>
          <w:rFonts w:ascii="Arial" w:hAnsi="Arial" w:cs="Arial"/>
          <w:b/>
          <w:sz w:val="20"/>
          <w:szCs w:val="20"/>
          <w:lang w:val="cs-CZ"/>
        </w:rPr>
        <w:t>the</w:t>
      </w:r>
      <w:proofErr w:type="spellEnd"/>
      <w:r w:rsidRPr="003A1A2A">
        <w:rPr>
          <w:rFonts w:ascii="Arial" w:hAnsi="Arial" w:cs="Arial"/>
          <w:b/>
          <w:sz w:val="20"/>
          <w:szCs w:val="20"/>
          <w:lang w:val="cs-CZ"/>
        </w:rPr>
        <w:t xml:space="preserve"> Joint </w:t>
      </w:r>
      <w:proofErr w:type="spellStart"/>
      <w:r w:rsidRPr="003A1A2A">
        <w:rPr>
          <w:rFonts w:ascii="Arial" w:hAnsi="Arial" w:cs="Arial"/>
          <w:b/>
          <w:sz w:val="20"/>
          <w:szCs w:val="20"/>
          <w:lang w:val="cs-CZ"/>
        </w:rPr>
        <w:t>Questionnaire</w:t>
      </w:r>
      <w:proofErr w:type="spellEnd"/>
      <w:r w:rsidRPr="003A1A2A">
        <w:rPr>
          <w:rFonts w:ascii="Arial" w:hAnsi="Arial" w:cs="Arial"/>
          <w:b/>
          <w:sz w:val="20"/>
          <w:szCs w:val="20"/>
          <w:lang w:val="cs-CZ"/>
        </w:rPr>
        <w:t xml:space="preserve"> </w:t>
      </w:r>
      <w:proofErr w:type="spellStart"/>
      <w:r w:rsidRPr="003A1A2A">
        <w:rPr>
          <w:rFonts w:ascii="Arial" w:hAnsi="Arial" w:cs="Arial"/>
          <w:b/>
          <w:sz w:val="20"/>
          <w:szCs w:val="20"/>
          <w:lang w:val="cs-CZ"/>
        </w:rPr>
        <w:t>of</w:t>
      </w:r>
      <w:proofErr w:type="spellEnd"/>
      <w:r w:rsidRPr="003A1A2A">
        <w:rPr>
          <w:rFonts w:ascii="Arial" w:hAnsi="Arial" w:cs="Arial"/>
          <w:b/>
          <w:sz w:val="20"/>
          <w:szCs w:val="20"/>
          <w:lang w:val="cs-CZ"/>
        </w:rPr>
        <w:t xml:space="preserve"> </w:t>
      </w:r>
      <w:proofErr w:type="spellStart"/>
      <w:r w:rsidRPr="003A1A2A">
        <w:rPr>
          <w:rFonts w:ascii="Arial" w:hAnsi="Arial" w:cs="Arial"/>
          <w:b/>
          <w:sz w:val="20"/>
          <w:szCs w:val="20"/>
          <w:lang w:val="cs-CZ"/>
        </w:rPr>
        <w:t>Eurostat</w:t>
      </w:r>
      <w:proofErr w:type="spellEnd"/>
      <w:r w:rsidRPr="003A1A2A">
        <w:rPr>
          <w:rFonts w:ascii="Arial" w:hAnsi="Arial" w:cs="Arial"/>
          <w:b/>
          <w:sz w:val="20"/>
          <w:szCs w:val="20"/>
          <w:lang w:val="cs-CZ"/>
        </w:rPr>
        <w:t xml:space="preserve"> and OECD</w:t>
      </w:r>
      <w:r w:rsidRPr="003A1A2A">
        <w:rPr>
          <w:rFonts w:ascii="Arial" w:hAnsi="Arial" w:cs="Arial"/>
          <w:sz w:val="20"/>
          <w:szCs w:val="20"/>
          <w:lang w:val="cs-CZ"/>
        </w:rPr>
        <w:t xml:space="preserve"> (verze 20/10/2020). Výklad dosavadní definice komunálního odpadu byl zpřesněn zejména v zahrnutí odpadu podobného komunálnímu, který je vyprodukovaný podnikatelskou sférou.  </w:t>
      </w:r>
      <w:bookmarkStart w:id="1" w:name="_GoBack"/>
      <w:bookmarkEnd w:id="1"/>
    </w:p>
    <w:p w:rsidR="003A1A2A" w:rsidRDefault="003A1A2A">
      <w:pPr>
        <w:spacing w:after="200" w:line="276" w:lineRule="auto"/>
        <w:ind w:left="0" w:firstLine="0"/>
        <w:rPr>
          <w:rFonts w:ascii="Arial" w:hAnsi="Arial" w:cs="Arial"/>
          <w:sz w:val="20"/>
          <w:szCs w:val="20"/>
          <w:lang w:val="cs-CZ"/>
        </w:rPr>
      </w:pPr>
      <w:r>
        <w:rPr>
          <w:rFonts w:ascii="Arial" w:hAnsi="Arial" w:cs="Arial"/>
          <w:sz w:val="20"/>
          <w:szCs w:val="20"/>
          <w:lang w:val="cs-CZ"/>
        </w:rPr>
        <w:br w:type="page"/>
      </w:r>
    </w:p>
    <w:p w:rsidR="003A1A2A" w:rsidRPr="003A1A2A" w:rsidRDefault="003A1A2A" w:rsidP="003A1A2A">
      <w:pPr>
        <w:tabs>
          <w:tab w:val="left" w:pos="684"/>
        </w:tabs>
        <w:spacing w:line="240" w:lineRule="atLeast"/>
        <w:ind w:left="1050" w:firstLine="0"/>
        <w:jc w:val="both"/>
        <w:rPr>
          <w:rFonts w:ascii="Arial" w:hAnsi="Arial" w:cs="Arial"/>
          <w:sz w:val="20"/>
          <w:szCs w:val="20"/>
          <w:lang w:val="cs-CZ"/>
        </w:rPr>
      </w:pPr>
    </w:p>
    <w:p w:rsidR="003A1A2A" w:rsidRPr="003A1A2A" w:rsidRDefault="003A1A2A" w:rsidP="003A1A2A">
      <w:pPr>
        <w:numPr>
          <w:ilvl w:val="0"/>
          <w:numId w:val="2"/>
        </w:numPr>
        <w:tabs>
          <w:tab w:val="left" w:pos="684"/>
        </w:tabs>
        <w:spacing w:after="240" w:line="240" w:lineRule="atLeast"/>
        <w:jc w:val="both"/>
        <w:rPr>
          <w:rFonts w:ascii="Arial" w:hAnsi="Arial" w:cs="Arial"/>
          <w:sz w:val="20"/>
          <w:szCs w:val="20"/>
          <w:lang w:val="cs-CZ"/>
        </w:rPr>
      </w:pPr>
      <w:r w:rsidRPr="003A1A2A">
        <w:rPr>
          <w:rFonts w:ascii="Arial" w:hAnsi="Arial" w:cs="Arial"/>
          <w:sz w:val="20"/>
          <w:szCs w:val="20"/>
          <w:lang w:val="cs-CZ"/>
        </w:rPr>
        <w:t xml:space="preserve">V návaznosti na výše uvedené ČSÚ rozhodl o nutnosti realizace nezávislého auditu zaměřeného na metodiku tvorby komunálního odpadu za účasti externích odborníků. Auditní skupina na základě analýzy metodických podkladů </w:t>
      </w:r>
      <w:proofErr w:type="spellStart"/>
      <w:r w:rsidRPr="003A1A2A">
        <w:rPr>
          <w:rFonts w:ascii="Arial" w:hAnsi="Arial" w:cs="Arial"/>
          <w:sz w:val="20"/>
          <w:szCs w:val="20"/>
          <w:lang w:val="cs-CZ"/>
        </w:rPr>
        <w:t>Eurostatu</w:t>
      </w:r>
      <w:proofErr w:type="spellEnd"/>
      <w:r w:rsidRPr="003A1A2A">
        <w:rPr>
          <w:rFonts w:ascii="Arial" w:hAnsi="Arial" w:cs="Arial"/>
          <w:sz w:val="20"/>
          <w:szCs w:val="20"/>
          <w:lang w:val="cs-CZ"/>
        </w:rPr>
        <w:t xml:space="preserve"> doporučila ČSÚ provést v definici komunálního  odpadu změny. Ty spočívají zejména v zahrnutí odpadů nejen evidovaných v systémech sběru odpadů obcí, ale i povahou podobných odpadů produkovaných v dalších odvětvích, a také odpadů občanů předaných mimo systémy obcí.</w:t>
      </w:r>
      <w:r w:rsidRPr="003A1A2A">
        <w:rPr>
          <w:rFonts w:ascii="Arial" w:eastAsia="MS Gothic" w:hAnsi="Arial"/>
          <w:bCs/>
          <w:sz w:val="20"/>
          <w:szCs w:val="20"/>
          <w:lang w:val="cs-CZ"/>
        </w:rPr>
        <w:t xml:space="preserve"> </w:t>
      </w:r>
    </w:p>
    <w:p w:rsidR="003A1A2A" w:rsidRPr="003A1A2A" w:rsidRDefault="003A1A2A" w:rsidP="003A1A2A">
      <w:pPr>
        <w:tabs>
          <w:tab w:val="left" w:pos="684"/>
        </w:tabs>
        <w:spacing w:line="240" w:lineRule="atLeast"/>
        <w:ind w:left="1050" w:firstLine="0"/>
        <w:jc w:val="both"/>
        <w:rPr>
          <w:rFonts w:ascii="Arial" w:hAnsi="Arial" w:cs="Arial"/>
          <w:sz w:val="20"/>
          <w:szCs w:val="20"/>
          <w:lang w:val="cs-CZ"/>
        </w:rPr>
      </w:pPr>
    </w:p>
    <w:p w:rsidR="003A1A2A" w:rsidRPr="003A1A2A" w:rsidRDefault="003A1A2A" w:rsidP="003A1A2A">
      <w:pPr>
        <w:numPr>
          <w:ilvl w:val="0"/>
          <w:numId w:val="2"/>
        </w:numPr>
        <w:tabs>
          <w:tab w:val="left" w:pos="684"/>
        </w:tabs>
        <w:spacing w:after="240" w:line="240" w:lineRule="atLeast"/>
        <w:jc w:val="both"/>
        <w:rPr>
          <w:rFonts w:ascii="Arial" w:hAnsi="Arial" w:cs="Arial"/>
          <w:sz w:val="20"/>
          <w:szCs w:val="20"/>
          <w:lang w:val="cs-CZ"/>
        </w:rPr>
      </w:pPr>
      <w:r w:rsidRPr="003A1A2A">
        <w:rPr>
          <w:rFonts w:ascii="Arial" w:hAnsi="Arial" w:cs="Arial"/>
          <w:sz w:val="20"/>
          <w:szCs w:val="20"/>
          <w:lang w:val="cs-CZ"/>
        </w:rPr>
        <w:t>Dříve publikovaná data o komunálním odpadu obsahovala pouze data vykázaná obcemi za občany a podniky zapojené do obecního systému sběru odpadů. Příslušná časová řada zveřejněná v aktuální publikaci pokračuje, avšak nelze ji ztotožnit s nově vymezeným pojmem komunální odpad (viz Definice).</w:t>
      </w:r>
    </w:p>
    <w:p w:rsidR="003A1A2A" w:rsidRPr="003A1A2A" w:rsidRDefault="003A1A2A" w:rsidP="003A1A2A">
      <w:pPr>
        <w:tabs>
          <w:tab w:val="left" w:pos="684"/>
        </w:tabs>
        <w:spacing w:line="240" w:lineRule="atLeast"/>
        <w:ind w:left="1050" w:firstLine="0"/>
        <w:jc w:val="both"/>
        <w:rPr>
          <w:rFonts w:ascii="Arial" w:hAnsi="Arial" w:cs="Arial"/>
          <w:sz w:val="20"/>
          <w:szCs w:val="20"/>
          <w:lang w:val="cs-CZ"/>
        </w:rPr>
      </w:pPr>
    </w:p>
    <w:p w:rsidR="003A1A2A" w:rsidRPr="003A1A2A" w:rsidRDefault="003A1A2A" w:rsidP="003A1A2A">
      <w:pPr>
        <w:tabs>
          <w:tab w:val="left" w:pos="684"/>
        </w:tabs>
        <w:spacing w:line="240" w:lineRule="atLeast"/>
        <w:ind w:left="0" w:firstLine="709"/>
        <w:jc w:val="both"/>
        <w:rPr>
          <w:rFonts w:ascii="Arial" w:hAnsi="Arial" w:cs="Arial"/>
          <w:sz w:val="20"/>
          <w:lang w:val="cs-CZ"/>
        </w:rPr>
      </w:pPr>
    </w:p>
    <w:p w:rsidR="003A1A2A" w:rsidRPr="003A1A2A" w:rsidRDefault="003A1A2A" w:rsidP="003A1A2A">
      <w:pPr>
        <w:tabs>
          <w:tab w:val="left" w:pos="684"/>
        </w:tabs>
        <w:spacing w:line="240" w:lineRule="atLeast"/>
        <w:ind w:left="0" w:firstLine="709"/>
        <w:jc w:val="both"/>
        <w:rPr>
          <w:rFonts w:ascii="Arial" w:hAnsi="Arial" w:cs="Arial"/>
          <w:b/>
          <w:sz w:val="20"/>
          <w:lang w:val="cs-CZ"/>
        </w:rPr>
      </w:pPr>
      <w:r w:rsidRPr="003A1A2A">
        <w:rPr>
          <w:rFonts w:ascii="Arial" w:hAnsi="Arial" w:cs="Arial"/>
          <w:b/>
          <w:sz w:val="20"/>
          <w:lang w:val="cs-CZ"/>
        </w:rPr>
        <w:t xml:space="preserve">V důsledku uvedených změn  nejsou aktuálně publikovaná data srovnatelná s daty publikovanými v předchozích letech. </w:t>
      </w:r>
    </w:p>
    <w:p w:rsidR="003A1A2A" w:rsidRPr="003A1A2A" w:rsidRDefault="003A1A2A" w:rsidP="003A1A2A">
      <w:pPr>
        <w:tabs>
          <w:tab w:val="left" w:pos="684"/>
        </w:tabs>
        <w:spacing w:line="240" w:lineRule="atLeast"/>
        <w:ind w:left="0" w:firstLine="709"/>
        <w:jc w:val="both"/>
        <w:rPr>
          <w:rFonts w:ascii="Arial" w:hAnsi="Arial" w:cs="Arial"/>
          <w:b/>
          <w:sz w:val="20"/>
          <w:lang w:val="cs-CZ"/>
        </w:rPr>
      </w:pPr>
    </w:p>
    <w:p w:rsidR="003A1A2A" w:rsidRPr="003A1A2A" w:rsidRDefault="003A1A2A" w:rsidP="003A1A2A">
      <w:pPr>
        <w:tabs>
          <w:tab w:val="left" w:pos="684"/>
        </w:tabs>
        <w:spacing w:line="240" w:lineRule="atLeast"/>
        <w:ind w:left="0" w:firstLine="709"/>
        <w:jc w:val="both"/>
        <w:rPr>
          <w:rFonts w:ascii="Arial" w:hAnsi="Arial" w:cs="Arial"/>
          <w:b/>
          <w:sz w:val="20"/>
          <w:lang w:val="cs-CZ"/>
        </w:rPr>
      </w:pPr>
      <w:r w:rsidRPr="003A1A2A">
        <w:rPr>
          <w:rFonts w:ascii="Arial" w:hAnsi="Arial" w:cs="Arial"/>
          <w:b/>
          <w:sz w:val="20"/>
          <w:lang w:val="cs-CZ"/>
        </w:rPr>
        <w:t xml:space="preserve">Srovnávací tabulka ukazuje rozdíl mezi údaji publikovanými za roky 2017 a 2018: </w:t>
      </w:r>
    </w:p>
    <w:p w:rsidR="003A1A2A" w:rsidRPr="003A1A2A" w:rsidRDefault="003A1A2A" w:rsidP="003A1A2A">
      <w:pPr>
        <w:tabs>
          <w:tab w:val="left" w:pos="684"/>
        </w:tabs>
        <w:spacing w:line="240" w:lineRule="atLeast"/>
        <w:ind w:left="0" w:firstLine="709"/>
        <w:jc w:val="both"/>
        <w:rPr>
          <w:rFonts w:ascii="Arial" w:hAnsi="Arial" w:cs="Arial"/>
          <w:sz w:val="20"/>
          <w:szCs w:val="20"/>
          <w:lang w:val="cs-CZ"/>
        </w:rPr>
      </w:pPr>
    </w:p>
    <w:tbl>
      <w:tblPr>
        <w:tblStyle w:val="Mkatabulky"/>
        <w:tblW w:w="0" w:type="auto"/>
        <w:jc w:val="right"/>
        <w:tblLook w:val="04A0" w:firstRow="1" w:lastRow="0" w:firstColumn="1" w:lastColumn="0" w:noHBand="0" w:noVBand="1"/>
      </w:tblPr>
      <w:tblGrid>
        <w:gridCol w:w="1711"/>
        <w:gridCol w:w="2551"/>
        <w:gridCol w:w="2146"/>
        <w:gridCol w:w="1667"/>
      </w:tblGrid>
      <w:tr w:rsidR="003A1A2A" w:rsidRPr="003A1A2A" w:rsidTr="008A65B4">
        <w:trPr>
          <w:jc w:val="right"/>
        </w:trPr>
        <w:tc>
          <w:tcPr>
            <w:tcW w:w="1711" w:type="dxa"/>
            <w:vAlign w:val="center"/>
          </w:tcPr>
          <w:p w:rsidR="003A1A2A" w:rsidRPr="003A1A2A" w:rsidRDefault="003A1A2A" w:rsidP="003A1A2A">
            <w:pPr>
              <w:tabs>
                <w:tab w:val="left" w:pos="684"/>
              </w:tabs>
              <w:spacing w:line="240" w:lineRule="atLeast"/>
              <w:ind w:left="0" w:firstLine="0"/>
              <w:jc w:val="center"/>
              <w:rPr>
                <w:rFonts w:ascii="Arial" w:hAnsi="Arial" w:cs="Arial"/>
                <w:sz w:val="16"/>
                <w:szCs w:val="16"/>
                <w:lang w:val="cs-CZ"/>
              </w:rPr>
            </w:pPr>
            <w:proofErr w:type="spellStart"/>
            <w:r w:rsidRPr="003A1A2A">
              <w:rPr>
                <w:rFonts w:ascii="Arial" w:hAnsi="Arial" w:cs="Arial"/>
                <w:sz w:val="16"/>
                <w:szCs w:val="16"/>
                <w:lang w:val="en-GB"/>
              </w:rPr>
              <w:t>Rok</w:t>
            </w:r>
            <w:proofErr w:type="spellEnd"/>
          </w:p>
        </w:tc>
        <w:tc>
          <w:tcPr>
            <w:tcW w:w="2551" w:type="dxa"/>
            <w:vAlign w:val="center"/>
          </w:tcPr>
          <w:p w:rsidR="003A1A2A" w:rsidRPr="003A1A2A" w:rsidRDefault="003A1A2A" w:rsidP="003A1A2A">
            <w:pPr>
              <w:tabs>
                <w:tab w:val="left" w:pos="684"/>
              </w:tabs>
              <w:spacing w:line="240" w:lineRule="atLeast"/>
              <w:ind w:left="0" w:firstLine="0"/>
              <w:jc w:val="center"/>
              <w:rPr>
                <w:rFonts w:ascii="Arial" w:hAnsi="Arial" w:cs="Arial"/>
                <w:sz w:val="16"/>
                <w:szCs w:val="16"/>
                <w:lang w:val="cs-CZ"/>
              </w:rPr>
            </w:pPr>
            <w:proofErr w:type="spellStart"/>
            <w:r w:rsidRPr="003A1A2A">
              <w:rPr>
                <w:rFonts w:ascii="Arial" w:hAnsi="Arial" w:cs="Arial"/>
                <w:sz w:val="16"/>
                <w:szCs w:val="16"/>
                <w:lang w:val="en-GB"/>
              </w:rPr>
              <w:t>Ukazatel</w:t>
            </w:r>
            <w:proofErr w:type="spellEnd"/>
          </w:p>
        </w:tc>
        <w:tc>
          <w:tcPr>
            <w:tcW w:w="2146" w:type="dxa"/>
            <w:vAlign w:val="center"/>
          </w:tcPr>
          <w:p w:rsidR="003A1A2A" w:rsidRPr="003A1A2A" w:rsidRDefault="003A1A2A" w:rsidP="003A1A2A">
            <w:pPr>
              <w:tabs>
                <w:tab w:val="left" w:pos="684"/>
              </w:tabs>
              <w:spacing w:line="240" w:lineRule="atLeast"/>
              <w:ind w:left="0" w:firstLine="0"/>
              <w:jc w:val="center"/>
              <w:rPr>
                <w:rFonts w:ascii="Arial" w:hAnsi="Arial" w:cs="Arial"/>
                <w:sz w:val="16"/>
                <w:szCs w:val="16"/>
                <w:lang w:val="cs-CZ"/>
              </w:rPr>
            </w:pPr>
            <w:r w:rsidRPr="003A1A2A">
              <w:rPr>
                <w:rFonts w:ascii="Arial" w:hAnsi="Arial" w:cs="Arial"/>
                <w:sz w:val="16"/>
                <w:szCs w:val="16"/>
                <w:lang w:val="en-GB"/>
              </w:rPr>
              <w:t xml:space="preserve">Data z </w:t>
            </w:r>
            <w:proofErr w:type="spellStart"/>
            <w:r w:rsidRPr="003A1A2A">
              <w:rPr>
                <w:rFonts w:ascii="Arial" w:hAnsi="Arial" w:cs="Arial"/>
                <w:sz w:val="16"/>
                <w:szCs w:val="16"/>
                <w:lang w:val="en-GB"/>
              </w:rPr>
              <w:t>výkazu</w:t>
            </w:r>
            <w:proofErr w:type="spellEnd"/>
            <w:r w:rsidRPr="003A1A2A">
              <w:rPr>
                <w:rFonts w:ascii="Arial" w:hAnsi="Arial" w:cs="Arial"/>
                <w:sz w:val="16"/>
                <w:szCs w:val="16"/>
                <w:lang w:val="en-GB"/>
              </w:rPr>
              <w:t xml:space="preserve"> ODP 5-01 (</w:t>
            </w:r>
            <w:proofErr w:type="spellStart"/>
            <w:r w:rsidRPr="003A1A2A">
              <w:rPr>
                <w:rFonts w:ascii="Arial" w:hAnsi="Arial" w:cs="Arial"/>
                <w:sz w:val="16"/>
                <w:szCs w:val="16"/>
                <w:lang w:val="en-GB"/>
              </w:rPr>
              <w:t>původně</w:t>
            </w:r>
            <w:proofErr w:type="spellEnd"/>
            <w:r w:rsidRPr="003A1A2A">
              <w:rPr>
                <w:rFonts w:ascii="Arial" w:hAnsi="Arial" w:cs="Arial"/>
                <w:sz w:val="16"/>
                <w:szCs w:val="16"/>
                <w:lang w:val="en-GB"/>
              </w:rPr>
              <w:t xml:space="preserve"> </w:t>
            </w:r>
            <w:proofErr w:type="spellStart"/>
            <w:r w:rsidRPr="003A1A2A">
              <w:rPr>
                <w:rFonts w:ascii="Arial" w:hAnsi="Arial" w:cs="Arial"/>
                <w:sz w:val="16"/>
                <w:szCs w:val="16"/>
                <w:lang w:val="en-GB"/>
              </w:rPr>
              <w:t>publikovaná</w:t>
            </w:r>
            <w:proofErr w:type="spellEnd"/>
            <w:r w:rsidRPr="003A1A2A">
              <w:rPr>
                <w:rFonts w:ascii="Arial" w:hAnsi="Arial" w:cs="Arial"/>
                <w:sz w:val="16"/>
                <w:szCs w:val="16"/>
                <w:lang w:val="en-GB"/>
              </w:rPr>
              <w:t>)</w:t>
            </w:r>
          </w:p>
        </w:tc>
        <w:tc>
          <w:tcPr>
            <w:tcW w:w="1667" w:type="dxa"/>
            <w:vAlign w:val="center"/>
          </w:tcPr>
          <w:p w:rsidR="003A1A2A" w:rsidRPr="003A1A2A" w:rsidRDefault="003A1A2A" w:rsidP="003A1A2A">
            <w:pPr>
              <w:tabs>
                <w:tab w:val="left" w:pos="684"/>
              </w:tabs>
              <w:spacing w:line="240" w:lineRule="atLeast"/>
              <w:ind w:left="0" w:firstLine="0"/>
              <w:jc w:val="center"/>
              <w:rPr>
                <w:rFonts w:ascii="Arial" w:hAnsi="Arial" w:cs="Arial"/>
                <w:sz w:val="16"/>
                <w:szCs w:val="16"/>
                <w:lang w:val="cs-CZ"/>
              </w:rPr>
            </w:pPr>
            <w:r w:rsidRPr="003A1A2A">
              <w:rPr>
                <w:rFonts w:ascii="Arial" w:hAnsi="Arial" w:cs="Arial"/>
                <w:sz w:val="16"/>
                <w:szCs w:val="16"/>
                <w:lang w:val="en-GB"/>
              </w:rPr>
              <w:t xml:space="preserve">Data s </w:t>
            </w:r>
            <w:proofErr w:type="spellStart"/>
            <w:r w:rsidRPr="003A1A2A">
              <w:rPr>
                <w:rFonts w:ascii="Arial" w:hAnsi="Arial" w:cs="Arial"/>
                <w:sz w:val="16"/>
                <w:szCs w:val="16"/>
                <w:lang w:val="en-GB"/>
              </w:rPr>
              <w:t>využitím</w:t>
            </w:r>
            <w:proofErr w:type="spellEnd"/>
            <w:r w:rsidRPr="003A1A2A">
              <w:rPr>
                <w:rFonts w:ascii="Arial" w:hAnsi="Arial" w:cs="Arial"/>
                <w:sz w:val="16"/>
                <w:szCs w:val="16"/>
                <w:lang w:val="en-GB"/>
              </w:rPr>
              <w:t xml:space="preserve"> </w:t>
            </w:r>
            <w:proofErr w:type="spellStart"/>
            <w:r w:rsidRPr="003A1A2A">
              <w:rPr>
                <w:rFonts w:ascii="Arial" w:hAnsi="Arial" w:cs="Arial"/>
                <w:sz w:val="16"/>
                <w:szCs w:val="16"/>
                <w:lang w:val="en-GB"/>
              </w:rPr>
              <w:t>informací</w:t>
            </w:r>
            <w:proofErr w:type="spellEnd"/>
            <w:r w:rsidRPr="003A1A2A">
              <w:rPr>
                <w:rFonts w:ascii="Arial" w:hAnsi="Arial" w:cs="Arial"/>
                <w:sz w:val="16"/>
                <w:szCs w:val="16"/>
                <w:lang w:val="en-GB"/>
              </w:rPr>
              <w:t xml:space="preserve"> ISPOP (</w:t>
            </w:r>
            <w:proofErr w:type="spellStart"/>
            <w:r w:rsidRPr="003A1A2A">
              <w:rPr>
                <w:rFonts w:ascii="Arial" w:hAnsi="Arial" w:cs="Arial"/>
                <w:sz w:val="16"/>
                <w:szCs w:val="16"/>
                <w:lang w:val="en-GB"/>
              </w:rPr>
              <w:t>akutální</w:t>
            </w:r>
            <w:proofErr w:type="spellEnd"/>
            <w:r w:rsidRPr="003A1A2A">
              <w:rPr>
                <w:rFonts w:ascii="Arial" w:hAnsi="Arial" w:cs="Arial"/>
                <w:sz w:val="16"/>
                <w:szCs w:val="16"/>
                <w:lang w:val="en-GB"/>
              </w:rPr>
              <w:t xml:space="preserve"> </w:t>
            </w:r>
            <w:proofErr w:type="spellStart"/>
            <w:r w:rsidRPr="003A1A2A">
              <w:rPr>
                <w:rFonts w:ascii="Arial" w:hAnsi="Arial" w:cs="Arial"/>
                <w:sz w:val="16"/>
                <w:szCs w:val="16"/>
                <w:lang w:val="en-GB"/>
              </w:rPr>
              <w:t>publikace</w:t>
            </w:r>
            <w:proofErr w:type="spellEnd"/>
            <w:r w:rsidRPr="003A1A2A">
              <w:rPr>
                <w:rFonts w:ascii="Arial" w:hAnsi="Arial" w:cs="Arial"/>
                <w:sz w:val="16"/>
                <w:szCs w:val="16"/>
                <w:lang w:val="en-GB"/>
              </w:rPr>
              <w:t>)</w:t>
            </w:r>
          </w:p>
        </w:tc>
      </w:tr>
      <w:tr w:rsidR="003A1A2A" w:rsidRPr="003A1A2A" w:rsidTr="008A65B4">
        <w:trPr>
          <w:jc w:val="right"/>
        </w:trPr>
        <w:tc>
          <w:tcPr>
            <w:tcW w:w="1711" w:type="dxa"/>
            <w:vMerge w:val="restart"/>
          </w:tcPr>
          <w:p w:rsidR="003A1A2A" w:rsidRPr="003A1A2A" w:rsidRDefault="003A1A2A" w:rsidP="003A1A2A">
            <w:pPr>
              <w:tabs>
                <w:tab w:val="left" w:pos="684"/>
              </w:tabs>
              <w:spacing w:line="240" w:lineRule="atLeast"/>
              <w:ind w:left="0" w:firstLine="0"/>
              <w:jc w:val="center"/>
              <w:rPr>
                <w:rFonts w:ascii="Arial" w:hAnsi="Arial" w:cs="Arial"/>
                <w:sz w:val="16"/>
                <w:szCs w:val="16"/>
                <w:lang w:val="cs-CZ"/>
              </w:rPr>
            </w:pPr>
            <w:r w:rsidRPr="003A1A2A">
              <w:rPr>
                <w:rFonts w:ascii="Arial" w:hAnsi="Arial" w:cs="Arial"/>
                <w:sz w:val="16"/>
                <w:szCs w:val="16"/>
                <w:lang w:val="cs-CZ"/>
              </w:rPr>
              <w:t>2017</w:t>
            </w:r>
          </w:p>
        </w:tc>
        <w:tc>
          <w:tcPr>
            <w:tcW w:w="2551" w:type="dxa"/>
          </w:tcPr>
          <w:p w:rsidR="003A1A2A" w:rsidRPr="003A1A2A" w:rsidRDefault="003A1A2A" w:rsidP="003A1A2A">
            <w:pPr>
              <w:tabs>
                <w:tab w:val="left" w:pos="684"/>
              </w:tabs>
              <w:spacing w:line="240" w:lineRule="atLeast"/>
              <w:ind w:left="0" w:firstLine="0"/>
              <w:jc w:val="both"/>
              <w:rPr>
                <w:rFonts w:ascii="Arial" w:hAnsi="Arial" w:cs="Arial"/>
                <w:sz w:val="16"/>
                <w:szCs w:val="16"/>
                <w:lang w:val="cs-CZ"/>
              </w:rPr>
            </w:pPr>
            <w:proofErr w:type="spellStart"/>
            <w:r w:rsidRPr="003A1A2A">
              <w:rPr>
                <w:rFonts w:ascii="Arial" w:hAnsi="Arial" w:cs="Arial"/>
                <w:sz w:val="16"/>
                <w:szCs w:val="16"/>
                <w:lang w:val="en-GB"/>
              </w:rPr>
              <w:t>Produkce</w:t>
            </w:r>
            <w:proofErr w:type="spellEnd"/>
            <w:r w:rsidRPr="003A1A2A">
              <w:rPr>
                <w:rFonts w:ascii="Arial" w:hAnsi="Arial" w:cs="Arial"/>
                <w:sz w:val="16"/>
                <w:szCs w:val="16"/>
                <w:lang w:val="en-GB"/>
              </w:rPr>
              <w:t xml:space="preserve"> </w:t>
            </w:r>
            <w:proofErr w:type="spellStart"/>
            <w:r w:rsidRPr="003A1A2A">
              <w:rPr>
                <w:rFonts w:ascii="Arial" w:hAnsi="Arial" w:cs="Arial"/>
                <w:sz w:val="16"/>
                <w:szCs w:val="16"/>
                <w:lang w:val="en-GB"/>
              </w:rPr>
              <w:t>odpadů</w:t>
            </w:r>
            <w:proofErr w:type="spellEnd"/>
            <w:r w:rsidRPr="003A1A2A">
              <w:rPr>
                <w:rFonts w:ascii="Arial" w:hAnsi="Arial" w:cs="Arial"/>
                <w:sz w:val="16"/>
                <w:szCs w:val="16"/>
                <w:lang w:val="en-GB"/>
              </w:rPr>
              <w:t xml:space="preserve"> v tis. </w:t>
            </w:r>
            <w:proofErr w:type="spellStart"/>
            <w:r w:rsidRPr="003A1A2A">
              <w:rPr>
                <w:rFonts w:ascii="Arial" w:hAnsi="Arial" w:cs="Arial"/>
                <w:sz w:val="16"/>
                <w:szCs w:val="16"/>
                <w:lang w:val="en-GB"/>
              </w:rPr>
              <w:t>tun</w:t>
            </w:r>
            <w:proofErr w:type="spellEnd"/>
          </w:p>
        </w:tc>
        <w:tc>
          <w:tcPr>
            <w:tcW w:w="2146" w:type="dxa"/>
            <w:vAlign w:val="bottom"/>
          </w:tcPr>
          <w:p w:rsidR="003A1A2A" w:rsidRPr="003A1A2A" w:rsidRDefault="003A1A2A" w:rsidP="003A1A2A">
            <w:pPr>
              <w:tabs>
                <w:tab w:val="left" w:pos="684"/>
              </w:tabs>
              <w:spacing w:line="240" w:lineRule="atLeast"/>
              <w:ind w:left="0" w:firstLine="0"/>
              <w:jc w:val="center"/>
              <w:rPr>
                <w:rFonts w:ascii="Arial" w:hAnsi="Arial" w:cs="Arial"/>
                <w:sz w:val="16"/>
                <w:szCs w:val="16"/>
                <w:lang w:val="cs-CZ"/>
              </w:rPr>
            </w:pPr>
            <w:r w:rsidRPr="003A1A2A">
              <w:rPr>
                <w:rFonts w:ascii="Arial" w:hAnsi="Arial" w:cs="Arial"/>
                <w:sz w:val="16"/>
                <w:szCs w:val="16"/>
                <w:lang w:val="cs-CZ"/>
              </w:rPr>
              <w:t>24 926</w:t>
            </w:r>
          </w:p>
        </w:tc>
        <w:tc>
          <w:tcPr>
            <w:tcW w:w="1667" w:type="dxa"/>
            <w:vAlign w:val="bottom"/>
          </w:tcPr>
          <w:p w:rsidR="003A1A2A" w:rsidRPr="003A1A2A" w:rsidRDefault="003A1A2A" w:rsidP="003A1A2A">
            <w:pPr>
              <w:tabs>
                <w:tab w:val="left" w:pos="684"/>
              </w:tabs>
              <w:spacing w:line="240" w:lineRule="atLeast"/>
              <w:ind w:left="0" w:firstLine="0"/>
              <w:jc w:val="center"/>
              <w:rPr>
                <w:rFonts w:ascii="Arial" w:hAnsi="Arial" w:cs="Arial"/>
                <w:sz w:val="16"/>
                <w:szCs w:val="16"/>
                <w:lang w:val="cs-CZ"/>
              </w:rPr>
            </w:pPr>
            <w:r w:rsidRPr="003A1A2A">
              <w:rPr>
                <w:rFonts w:ascii="Arial" w:hAnsi="Arial" w:cs="Arial"/>
                <w:sz w:val="16"/>
                <w:szCs w:val="16"/>
                <w:lang w:val="cs-CZ"/>
              </w:rPr>
              <w:t>34 381</w:t>
            </w:r>
          </w:p>
        </w:tc>
      </w:tr>
      <w:tr w:rsidR="003A1A2A" w:rsidRPr="003A1A2A" w:rsidTr="008A65B4">
        <w:trPr>
          <w:jc w:val="right"/>
        </w:trPr>
        <w:tc>
          <w:tcPr>
            <w:tcW w:w="1711" w:type="dxa"/>
            <w:vMerge/>
          </w:tcPr>
          <w:p w:rsidR="003A1A2A" w:rsidRPr="003A1A2A" w:rsidRDefault="003A1A2A" w:rsidP="003A1A2A">
            <w:pPr>
              <w:tabs>
                <w:tab w:val="left" w:pos="684"/>
              </w:tabs>
              <w:spacing w:line="240" w:lineRule="atLeast"/>
              <w:ind w:left="0" w:firstLine="0"/>
              <w:jc w:val="center"/>
              <w:rPr>
                <w:rFonts w:ascii="Arial" w:hAnsi="Arial" w:cs="Arial"/>
                <w:sz w:val="16"/>
                <w:szCs w:val="16"/>
                <w:lang w:val="cs-CZ"/>
              </w:rPr>
            </w:pPr>
          </w:p>
        </w:tc>
        <w:tc>
          <w:tcPr>
            <w:tcW w:w="2551" w:type="dxa"/>
          </w:tcPr>
          <w:p w:rsidR="003A1A2A" w:rsidRPr="003A1A2A" w:rsidRDefault="003A1A2A" w:rsidP="003A1A2A">
            <w:pPr>
              <w:tabs>
                <w:tab w:val="left" w:pos="684"/>
              </w:tabs>
              <w:spacing w:line="240" w:lineRule="atLeast"/>
              <w:ind w:left="0" w:firstLine="0"/>
              <w:jc w:val="both"/>
              <w:rPr>
                <w:rFonts w:ascii="Arial" w:hAnsi="Arial" w:cs="Arial"/>
                <w:sz w:val="16"/>
                <w:szCs w:val="16"/>
                <w:lang w:val="cs-CZ"/>
              </w:rPr>
            </w:pPr>
            <w:proofErr w:type="spellStart"/>
            <w:proofErr w:type="gramStart"/>
            <w:r w:rsidRPr="003A1A2A">
              <w:rPr>
                <w:rFonts w:ascii="Arial" w:hAnsi="Arial" w:cs="Arial"/>
                <w:sz w:val="16"/>
                <w:szCs w:val="16"/>
                <w:lang w:val="en-GB"/>
              </w:rPr>
              <w:t>Produkce</w:t>
            </w:r>
            <w:proofErr w:type="spellEnd"/>
            <w:r w:rsidRPr="003A1A2A">
              <w:rPr>
                <w:rFonts w:ascii="Arial" w:hAnsi="Arial" w:cs="Arial"/>
                <w:sz w:val="16"/>
                <w:szCs w:val="16"/>
                <w:lang w:val="en-GB"/>
              </w:rPr>
              <w:t xml:space="preserve"> </w:t>
            </w:r>
            <w:proofErr w:type="spellStart"/>
            <w:r w:rsidRPr="003A1A2A">
              <w:rPr>
                <w:rFonts w:ascii="Arial" w:hAnsi="Arial" w:cs="Arial"/>
                <w:sz w:val="16"/>
                <w:szCs w:val="16"/>
                <w:lang w:val="en-GB"/>
              </w:rPr>
              <w:t>komunálních</w:t>
            </w:r>
            <w:proofErr w:type="spellEnd"/>
            <w:r w:rsidRPr="003A1A2A">
              <w:rPr>
                <w:rFonts w:ascii="Arial" w:hAnsi="Arial" w:cs="Arial"/>
                <w:sz w:val="16"/>
                <w:szCs w:val="16"/>
                <w:lang w:val="en-GB"/>
              </w:rPr>
              <w:t xml:space="preserve"> </w:t>
            </w:r>
            <w:proofErr w:type="spellStart"/>
            <w:r w:rsidRPr="003A1A2A">
              <w:rPr>
                <w:rFonts w:ascii="Arial" w:hAnsi="Arial" w:cs="Arial"/>
                <w:sz w:val="16"/>
                <w:szCs w:val="16"/>
                <w:lang w:val="en-GB"/>
              </w:rPr>
              <w:t>odpadů</w:t>
            </w:r>
            <w:proofErr w:type="spellEnd"/>
            <w:r w:rsidRPr="003A1A2A">
              <w:rPr>
                <w:rFonts w:ascii="Arial" w:hAnsi="Arial" w:cs="Arial"/>
                <w:sz w:val="16"/>
                <w:szCs w:val="16"/>
                <w:lang w:val="en-GB"/>
              </w:rPr>
              <w:t xml:space="preserve"> v tis</w:t>
            </w:r>
            <w:proofErr w:type="gramEnd"/>
            <w:r w:rsidRPr="003A1A2A">
              <w:rPr>
                <w:rFonts w:ascii="Arial" w:hAnsi="Arial" w:cs="Arial"/>
                <w:sz w:val="16"/>
                <w:szCs w:val="16"/>
                <w:lang w:val="en-GB"/>
              </w:rPr>
              <w:t xml:space="preserve">. </w:t>
            </w:r>
            <w:proofErr w:type="spellStart"/>
            <w:r w:rsidRPr="003A1A2A">
              <w:rPr>
                <w:rFonts w:ascii="Arial" w:hAnsi="Arial" w:cs="Arial"/>
                <w:sz w:val="16"/>
                <w:szCs w:val="16"/>
                <w:lang w:val="en-GB"/>
              </w:rPr>
              <w:t>tun</w:t>
            </w:r>
            <w:proofErr w:type="spellEnd"/>
          </w:p>
        </w:tc>
        <w:tc>
          <w:tcPr>
            <w:tcW w:w="2146" w:type="dxa"/>
            <w:vAlign w:val="bottom"/>
          </w:tcPr>
          <w:p w:rsidR="003A1A2A" w:rsidRPr="003A1A2A" w:rsidRDefault="003A1A2A" w:rsidP="003A1A2A">
            <w:pPr>
              <w:tabs>
                <w:tab w:val="left" w:pos="684"/>
              </w:tabs>
              <w:spacing w:line="240" w:lineRule="atLeast"/>
              <w:ind w:left="0" w:firstLine="0"/>
              <w:jc w:val="center"/>
              <w:rPr>
                <w:rFonts w:ascii="Arial" w:hAnsi="Arial" w:cs="Arial"/>
                <w:sz w:val="16"/>
                <w:szCs w:val="16"/>
                <w:lang w:val="cs-CZ"/>
              </w:rPr>
            </w:pPr>
            <w:r w:rsidRPr="003A1A2A">
              <w:rPr>
                <w:rFonts w:ascii="Arial" w:hAnsi="Arial" w:cs="Arial"/>
                <w:sz w:val="16"/>
                <w:szCs w:val="16"/>
                <w:lang w:val="cs-CZ"/>
              </w:rPr>
              <w:t>3 642</w:t>
            </w:r>
          </w:p>
        </w:tc>
        <w:tc>
          <w:tcPr>
            <w:tcW w:w="1667" w:type="dxa"/>
            <w:vAlign w:val="bottom"/>
          </w:tcPr>
          <w:p w:rsidR="003A1A2A" w:rsidRPr="003A1A2A" w:rsidRDefault="003A1A2A" w:rsidP="003A1A2A">
            <w:pPr>
              <w:tabs>
                <w:tab w:val="left" w:pos="684"/>
              </w:tabs>
              <w:spacing w:line="240" w:lineRule="atLeast"/>
              <w:ind w:left="0" w:firstLine="0"/>
              <w:jc w:val="center"/>
              <w:rPr>
                <w:rFonts w:ascii="Arial" w:hAnsi="Arial" w:cs="Arial"/>
                <w:sz w:val="16"/>
                <w:szCs w:val="16"/>
                <w:lang w:val="cs-CZ"/>
              </w:rPr>
            </w:pPr>
            <w:r w:rsidRPr="003A1A2A">
              <w:rPr>
                <w:rFonts w:ascii="Arial" w:hAnsi="Arial" w:cs="Arial"/>
                <w:sz w:val="16"/>
                <w:szCs w:val="16"/>
                <w:lang w:val="cs-CZ"/>
              </w:rPr>
              <w:t>5 176</w:t>
            </w:r>
          </w:p>
        </w:tc>
      </w:tr>
      <w:tr w:rsidR="003A1A2A" w:rsidRPr="003A1A2A" w:rsidTr="008A65B4">
        <w:trPr>
          <w:jc w:val="right"/>
        </w:trPr>
        <w:tc>
          <w:tcPr>
            <w:tcW w:w="1711" w:type="dxa"/>
            <w:vMerge w:val="restart"/>
          </w:tcPr>
          <w:p w:rsidR="003A1A2A" w:rsidRPr="003A1A2A" w:rsidRDefault="003A1A2A" w:rsidP="003A1A2A">
            <w:pPr>
              <w:tabs>
                <w:tab w:val="left" w:pos="684"/>
              </w:tabs>
              <w:spacing w:line="240" w:lineRule="atLeast"/>
              <w:ind w:left="0" w:firstLine="0"/>
              <w:jc w:val="center"/>
              <w:rPr>
                <w:rFonts w:ascii="Arial" w:hAnsi="Arial" w:cs="Arial"/>
                <w:sz w:val="16"/>
                <w:szCs w:val="16"/>
                <w:lang w:val="cs-CZ"/>
              </w:rPr>
            </w:pPr>
            <w:r w:rsidRPr="003A1A2A">
              <w:rPr>
                <w:rFonts w:ascii="Arial" w:hAnsi="Arial" w:cs="Arial"/>
                <w:sz w:val="16"/>
                <w:szCs w:val="16"/>
                <w:lang w:val="cs-CZ"/>
              </w:rPr>
              <w:t>2018</w:t>
            </w:r>
          </w:p>
        </w:tc>
        <w:tc>
          <w:tcPr>
            <w:tcW w:w="2551" w:type="dxa"/>
          </w:tcPr>
          <w:p w:rsidR="003A1A2A" w:rsidRPr="003A1A2A" w:rsidRDefault="003A1A2A" w:rsidP="003A1A2A">
            <w:pPr>
              <w:tabs>
                <w:tab w:val="left" w:pos="684"/>
              </w:tabs>
              <w:spacing w:line="240" w:lineRule="atLeast"/>
              <w:ind w:left="0" w:firstLine="0"/>
              <w:jc w:val="both"/>
              <w:rPr>
                <w:rFonts w:ascii="Arial" w:hAnsi="Arial" w:cs="Arial"/>
                <w:sz w:val="16"/>
                <w:szCs w:val="16"/>
                <w:lang w:val="cs-CZ"/>
              </w:rPr>
            </w:pPr>
            <w:proofErr w:type="spellStart"/>
            <w:r w:rsidRPr="003A1A2A">
              <w:rPr>
                <w:rFonts w:ascii="Arial" w:hAnsi="Arial" w:cs="Arial"/>
                <w:sz w:val="16"/>
                <w:szCs w:val="16"/>
                <w:lang w:val="en-GB"/>
              </w:rPr>
              <w:t>Produkce</w:t>
            </w:r>
            <w:proofErr w:type="spellEnd"/>
            <w:r w:rsidRPr="003A1A2A">
              <w:rPr>
                <w:rFonts w:ascii="Arial" w:hAnsi="Arial" w:cs="Arial"/>
                <w:sz w:val="16"/>
                <w:szCs w:val="16"/>
                <w:lang w:val="en-GB"/>
              </w:rPr>
              <w:t xml:space="preserve"> </w:t>
            </w:r>
            <w:proofErr w:type="spellStart"/>
            <w:r w:rsidRPr="003A1A2A">
              <w:rPr>
                <w:rFonts w:ascii="Arial" w:hAnsi="Arial" w:cs="Arial"/>
                <w:sz w:val="16"/>
                <w:szCs w:val="16"/>
                <w:lang w:val="en-GB"/>
              </w:rPr>
              <w:t>odpadů</w:t>
            </w:r>
            <w:proofErr w:type="spellEnd"/>
            <w:r w:rsidRPr="003A1A2A">
              <w:rPr>
                <w:rFonts w:ascii="Arial" w:hAnsi="Arial" w:cs="Arial"/>
                <w:sz w:val="16"/>
                <w:szCs w:val="16"/>
                <w:lang w:val="en-GB"/>
              </w:rPr>
              <w:t xml:space="preserve"> v tis. </w:t>
            </w:r>
            <w:proofErr w:type="spellStart"/>
            <w:r w:rsidRPr="003A1A2A">
              <w:rPr>
                <w:rFonts w:ascii="Arial" w:hAnsi="Arial" w:cs="Arial"/>
                <w:sz w:val="16"/>
                <w:szCs w:val="16"/>
                <w:lang w:val="en-GB"/>
              </w:rPr>
              <w:t>tun</w:t>
            </w:r>
            <w:proofErr w:type="spellEnd"/>
          </w:p>
        </w:tc>
        <w:tc>
          <w:tcPr>
            <w:tcW w:w="2146" w:type="dxa"/>
            <w:vAlign w:val="bottom"/>
          </w:tcPr>
          <w:p w:rsidR="003A1A2A" w:rsidRPr="003A1A2A" w:rsidRDefault="003A1A2A" w:rsidP="003A1A2A">
            <w:pPr>
              <w:tabs>
                <w:tab w:val="left" w:pos="684"/>
              </w:tabs>
              <w:spacing w:line="240" w:lineRule="atLeast"/>
              <w:ind w:left="0" w:firstLine="0"/>
              <w:jc w:val="center"/>
              <w:rPr>
                <w:rFonts w:ascii="Arial" w:hAnsi="Arial" w:cs="Arial"/>
                <w:sz w:val="16"/>
                <w:szCs w:val="16"/>
                <w:lang w:val="cs-CZ"/>
              </w:rPr>
            </w:pPr>
            <w:r w:rsidRPr="003A1A2A">
              <w:rPr>
                <w:rFonts w:ascii="Arial" w:hAnsi="Arial" w:cs="Arial"/>
                <w:sz w:val="16"/>
                <w:szCs w:val="16"/>
                <w:lang w:val="cs-CZ"/>
              </w:rPr>
              <w:t>28 353</w:t>
            </w:r>
          </w:p>
        </w:tc>
        <w:tc>
          <w:tcPr>
            <w:tcW w:w="1667" w:type="dxa"/>
            <w:vAlign w:val="bottom"/>
          </w:tcPr>
          <w:p w:rsidR="003A1A2A" w:rsidRPr="003A1A2A" w:rsidRDefault="003A1A2A" w:rsidP="003A1A2A">
            <w:pPr>
              <w:tabs>
                <w:tab w:val="left" w:pos="684"/>
              </w:tabs>
              <w:spacing w:line="240" w:lineRule="atLeast"/>
              <w:ind w:left="0" w:firstLine="0"/>
              <w:jc w:val="center"/>
              <w:rPr>
                <w:rFonts w:ascii="Arial" w:hAnsi="Arial" w:cs="Arial"/>
                <w:sz w:val="16"/>
                <w:szCs w:val="16"/>
                <w:lang w:val="cs-CZ"/>
              </w:rPr>
            </w:pPr>
            <w:r w:rsidRPr="003A1A2A">
              <w:rPr>
                <w:rFonts w:ascii="Arial" w:hAnsi="Arial" w:cs="Arial"/>
                <w:sz w:val="16"/>
                <w:szCs w:val="16"/>
                <w:lang w:val="cs-CZ"/>
              </w:rPr>
              <w:t>37 665</w:t>
            </w:r>
          </w:p>
        </w:tc>
      </w:tr>
      <w:tr w:rsidR="003A1A2A" w:rsidRPr="003A1A2A" w:rsidTr="008A65B4">
        <w:trPr>
          <w:jc w:val="right"/>
        </w:trPr>
        <w:tc>
          <w:tcPr>
            <w:tcW w:w="1711" w:type="dxa"/>
            <w:vMerge/>
          </w:tcPr>
          <w:p w:rsidR="003A1A2A" w:rsidRPr="003A1A2A" w:rsidRDefault="003A1A2A" w:rsidP="003A1A2A">
            <w:pPr>
              <w:tabs>
                <w:tab w:val="left" w:pos="684"/>
              </w:tabs>
              <w:spacing w:line="240" w:lineRule="atLeast"/>
              <w:ind w:left="0" w:firstLine="0"/>
              <w:jc w:val="center"/>
              <w:rPr>
                <w:rFonts w:ascii="Arial" w:hAnsi="Arial" w:cs="Arial"/>
                <w:sz w:val="16"/>
                <w:szCs w:val="16"/>
                <w:lang w:val="cs-CZ"/>
              </w:rPr>
            </w:pPr>
          </w:p>
        </w:tc>
        <w:tc>
          <w:tcPr>
            <w:tcW w:w="2551" w:type="dxa"/>
          </w:tcPr>
          <w:p w:rsidR="003A1A2A" w:rsidRPr="003A1A2A" w:rsidRDefault="003A1A2A" w:rsidP="003A1A2A">
            <w:pPr>
              <w:tabs>
                <w:tab w:val="left" w:pos="684"/>
              </w:tabs>
              <w:spacing w:line="240" w:lineRule="atLeast"/>
              <w:ind w:left="0" w:firstLine="0"/>
              <w:jc w:val="both"/>
              <w:rPr>
                <w:rFonts w:ascii="Arial" w:hAnsi="Arial" w:cs="Arial"/>
                <w:sz w:val="16"/>
                <w:szCs w:val="16"/>
                <w:lang w:val="cs-CZ"/>
              </w:rPr>
            </w:pPr>
            <w:proofErr w:type="spellStart"/>
            <w:proofErr w:type="gramStart"/>
            <w:r w:rsidRPr="003A1A2A">
              <w:rPr>
                <w:rFonts w:ascii="Arial" w:hAnsi="Arial" w:cs="Arial"/>
                <w:sz w:val="16"/>
                <w:szCs w:val="16"/>
                <w:lang w:val="en-GB"/>
              </w:rPr>
              <w:t>Produkce</w:t>
            </w:r>
            <w:proofErr w:type="spellEnd"/>
            <w:r w:rsidRPr="003A1A2A">
              <w:rPr>
                <w:rFonts w:ascii="Arial" w:hAnsi="Arial" w:cs="Arial"/>
                <w:sz w:val="16"/>
                <w:szCs w:val="16"/>
                <w:lang w:val="en-GB"/>
              </w:rPr>
              <w:t xml:space="preserve"> </w:t>
            </w:r>
            <w:proofErr w:type="spellStart"/>
            <w:r w:rsidRPr="003A1A2A">
              <w:rPr>
                <w:rFonts w:ascii="Arial" w:hAnsi="Arial" w:cs="Arial"/>
                <w:sz w:val="16"/>
                <w:szCs w:val="16"/>
                <w:lang w:val="en-GB"/>
              </w:rPr>
              <w:t>komunálních</w:t>
            </w:r>
            <w:proofErr w:type="spellEnd"/>
            <w:r w:rsidRPr="003A1A2A">
              <w:rPr>
                <w:rFonts w:ascii="Arial" w:hAnsi="Arial" w:cs="Arial"/>
                <w:sz w:val="16"/>
                <w:szCs w:val="16"/>
                <w:lang w:val="en-GB"/>
              </w:rPr>
              <w:t xml:space="preserve"> </w:t>
            </w:r>
            <w:proofErr w:type="spellStart"/>
            <w:r w:rsidRPr="003A1A2A">
              <w:rPr>
                <w:rFonts w:ascii="Arial" w:hAnsi="Arial" w:cs="Arial"/>
                <w:sz w:val="16"/>
                <w:szCs w:val="16"/>
                <w:lang w:val="en-GB"/>
              </w:rPr>
              <w:t>odpadů</w:t>
            </w:r>
            <w:proofErr w:type="spellEnd"/>
            <w:r w:rsidRPr="003A1A2A">
              <w:rPr>
                <w:rFonts w:ascii="Arial" w:hAnsi="Arial" w:cs="Arial"/>
                <w:sz w:val="16"/>
                <w:szCs w:val="16"/>
                <w:lang w:val="en-GB"/>
              </w:rPr>
              <w:t xml:space="preserve"> v tis</w:t>
            </w:r>
            <w:proofErr w:type="gramEnd"/>
            <w:r w:rsidRPr="003A1A2A">
              <w:rPr>
                <w:rFonts w:ascii="Arial" w:hAnsi="Arial" w:cs="Arial"/>
                <w:sz w:val="16"/>
                <w:szCs w:val="16"/>
                <w:lang w:val="en-GB"/>
              </w:rPr>
              <w:t xml:space="preserve">. </w:t>
            </w:r>
            <w:proofErr w:type="spellStart"/>
            <w:r w:rsidRPr="003A1A2A">
              <w:rPr>
                <w:rFonts w:ascii="Arial" w:hAnsi="Arial" w:cs="Arial"/>
                <w:sz w:val="16"/>
                <w:szCs w:val="16"/>
                <w:lang w:val="en-GB"/>
              </w:rPr>
              <w:t>tun</w:t>
            </w:r>
            <w:proofErr w:type="spellEnd"/>
          </w:p>
        </w:tc>
        <w:tc>
          <w:tcPr>
            <w:tcW w:w="2146" w:type="dxa"/>
            <w:vAlign w:val="bottom"/>
          </w:tcPr>
          <w:p w:rsidR="003A1A2A" w:rsidRPr="003A1A2A" w:rsidRDefault="003A1A2A" w:rsidP="003A1A2A">
            <w:pPr>
              <w:tabs>
                <w:tab w:val="left" w:pos="684"/>
              </w:tabs>
              <w:spacing w:line="240" w:lineRule="atLeast"/>
              <w:ind w:left="0" w:firstLine="0"/>
              <w:jc w:val="center"/>
              <w:rPr>
                <w:rFonts w:ascii="Arial" w:hAnsi="Arial" w:cs="Arial"/>
                <w:sz w:val="16"/>
                <w:szCs w:val="16"/>
                <w:lang w:val="cs-CZ"/>
              </w:rPr>
            </w:pPr>
            <w:r w:rsidRPr="003A1A2A">
              <w:rPr>
                <w:rFonts w:ascii="Arial" w:hAnsi="Arial" w:cs="Arial"/>
                <w:sz w:val="16"/>
                <w:szCs w:val="16"/>
                <w:lang w:val="cs-CZ"/>
              </w:rPr>
              <w:t>3 732</w:t>
            </w:r>
          </w:p>
        </w:tc>
        <w:tc>
          <w:tcPr>
            <w:tcW w:w="1667" w:type="dxa"/>
            <w:vAlign w:val="bottom"/>
          </w:tcPr>
          <w:p w:rsidR="003A1A2A" w:rsidRPr="003A1A2A" w:rsidRDefault="003A1A2A" w:rsidP="003A1A2A">
            <w:pPr>
              <w:tabs>
                <w:tab w:val="left" w:pos="684"/>
              </w:tabs>
              <w:spacing w:line="240" w:lineRule="atLeast"/>
              <w:ind w:left="0" w:firstLine="0"/>
              <w:jc w:val="center"/>
              <w:rPr>
                <w:rFonts w:ascii="Arial" w:hAnsi="Arial" w:cs="Arial"/>
                <w:sz w:val="16"/>
                <w:szCs w:val="16"/>
                <w:lang w:val="cs-CZ"/>
              </w:rPr>
            </w:pPr>
            <w:r w:rsidRPr="003A1A2A">
              <w:rPr>
                <w:rFonts w:ascii="Arial" w:hAnsi="Arial" w:cs="Arial"/>
                <w:sz w:val="16"/>
                <w:szCs w:val="16"/>
                <w:lang w:val="cs-CZ"/>
              </w:rPr>
              <w:t>5 247</w:t>
            </w:r>
          </w:p>
        </w:tc>
      </w:tr>
    </w:tbl>
    <w:p w:rsidR="003A1A2A" w:rsidRPr="003A1A2A" w:rsidRDefault="003A1A2A" w:rsidP="003A1A2A">
      <w:pPr>
        <w:tabs>
          <w:tab w:val="left" w:pos="684"/>
        </w:tabs>
        <w:spacing w:line="240" w:lineRule="atLeast"/>
        <w:ind w:left="0" w:firstLine="709"/>
        <w:jc w:val="both"/>
        <w:rPr>
          <w:rFonts w:ascii="Arial" w:hAnsi="Arial" w:cs="Arial"/>
          <w:sz w:val="20"/>
          <w:szCs w:val="20"/>
          <w:lang w:val="cs-CZ"/>
        </w:rPr>
      </w:pPr>
    </w:p>
    <w:p w:rsidR="003A1A2A" w:rsidRPr="003A1A2A" w:rsidRDefault="003A1A2A" w:rsidP="003A1A2A">
      <w:pPr>
        <w:tabs>
          <w:tab w:val="left" w:pos="684"/>
        </w:tabs>
        <w:spacing w:line="240" w:lineRule="atLeast"/>
        <w:ind w:left="0" w:firstLine="709"/>
        <w:jc w:val="both"/>
        <w:rPr>
          <w:rFonts w:ascii="Arial" w:hAnsi="Arial" w:cs="Arial"/>
          <w:sz w:val="20"/>
          <w:lang w:val="cs-CZ"/>
        </w:rPr>
      </w:pPr>
      <w:r w:rsidRPr="003A1A2A">
        <w:rPr>
          <w:rFonts w:ascii="Arial" w:hAnsi="Arial" w:cs="Arial"/>
          <w:sz w:val="20"/>
          <w:lang w:val="cs-CZ"/>
        </w:rPr>
        <w:t xml:space="preserve"> V publikaci jsou uvedeny údaje za celkové odpady a komunální odpady v členění podle ekonomické činnosti původce odpadu (CZ NACE), v regionálním členění, v členění odpadu podle katalogu odpadů a podle klasifikace EWC-STAT. Dále jsou zde data o dovozu a vývozu odpadu.</w:t>
      </w:r>
    </w:p>
    <w:p w:rsidR="003A1A2A" w:rsidRPr="003A1A2A" w:rsidRDefault="003A1A2A" w:rsidP="003A1A2A">
      <w:pPr>
        <w:tabs>
          <w:tab w:val="left" w:pos="684"/>
        </w:tabs>
        <w:spacing w:line="240" w:lineRule="auto"/>
        <w:ind w:left="0" w:firstLine="709"/>
        <w:jc w:val="both"/>
        <w:rPr>
          <w:rFonts w:ascii="Arial" w:hAnsi="Arial" w:cs="Arial"/>
          <w:sz w:val="20"/>
          <w:lang w:val="cs-CZ"/>
        </w:rPr>
      </w:pPr>
      <w:r w:rsidRPr="003A1A2A">
        <w:rPr>
          <w:rFonts w:ascii="Arial" w:hAnsi="Arial" w:cs="Arial"/>
          <w:sz w:val="20"/>
          <w:lang w:val="cs-CZ"/>
        </w:rPr>
        <w:t xml:space="preserve">Z důvodu ochrany individuálních dat jsou v podrobných tabulkách publikovány pouze druhy odpadů, které byly vykázány třemi a více respondenty. </w:t>
      </w:r>
    </w:p>
    <w:p w:rsidR="003A1A2A" w:rsidRPr="003A1A2A" w:rsidRDefault="003A1A2A" w:rsidP="003A1A2A">
      <w:pPr>
        <w:tabs>
          <w:tab w:val="left" w:pos="684"/>
        </w:tabs>
        <w:spacing w:line="240" w:lineRule="atLeast"/>
        <w:ind w:left="1069" w:firstLine="0"/>
        <w:jc w:val="both"/>
        <w:rPr>
          <w:rFonts w:ascii="Arial" w:hAnsi="Arial" w:cs="Arial"/>
          <w:sz w:val="20"/>
          <w:lang w:val="cs-CZ"/>
        </w:rPr>
      </w:pPr>
    </w:p>
    <w:p w:rsidR="003A1A2A" w:rsidRPr="003A1A2A" w:rsidRDefault="003A1A2A" w:rsidP="003A1A2A">
      <w:pPr>
        <w:tabs>
          <w:tab w:val="left" w:pos="684"/>
        </w:tabs>
        <w:spacing w:line="240" w:lineRule="auto"/>
        <w:ind w:left="0" w:firstLine="709"/>
        <w:jc w:val="both"/>
        <w:rPr>
          <w:rFonts w:ascii="Arial" w:hAnsi="Arial" w:cs="Arial"/>
          <w:sz w:val="20"/>
          <w:lang w:val="cs-CZ"/>
        </w:rPr>
      </w:pPr>
    </w:p>
    <w:p w:rsidR="003A1A2A" w:rsidRPr="003A1A2A" w:rsidRDefault="003A1A2A" w:rsidP="003A1A2A">
      <w:pPr>
        <w:tabs>
          <w:tab w:val="left" w:pos="684"/>
        </w:tabs>
        <w:spacing w:line="240" w:lineRule="auto"/>
        <w:ind w:left="0" w:firstLine="709"/>
        <w:jc w:val="both"/>
        <w:rPr>
          <w:rFonts w:ascii="Arial" w:hAnsi="Arial" w:cs="Arial"/>
          <w:sz w:val="20"/>
          <w:lang w:val="cs-CZ"/>
        </w:rPr>
      </w:pPr>
    </w:p>
    <w:p w:rsidR="003A1A2A" w:rsidRPr="003A1A2A" w:rsidRDefault="003A1A2A" w:rsidP="003A1A2A">
      <w:pPr>
        <w:keepNext/>
        <w:keepLines/>
        <w:spacing w:line="288" w:lineRule="auto"/>
        <w:ind w:left="0" w:firstLine="0"/>
        <w:outlineLvl w:val="2"/>
        <w:rPr>
          <w:rFonts w:ascii="Arial" w:eastAsia="MS Gothic" w:hAnsi="Arial"/>
          <w:b/>
          <w:bCs/>
          <w:color w:val="0071BC"/>
          <w:lang w:val="cs-CZ"/>
        </w:rPr>
      </w:pPr>
      <w:bookmarkStart w:id="2" w:name="_Toc62037475"/>
      <w:r w:rsidRPr="003A1A2A">
        <w:rPr>
          <w:rFonts w:ascii="Arial" w:eastAsia="MS Gothic" w:hAnsi="Arial"/>
          <w:b/>
          <w:bCs/>
          <w:color w:val="0071BC"/>
          <w:lang w:val="cs-CZ"/>
        </w:rPr>
        <w:t>Definice</w:t>
      </w:r>
      <w:bookmarkEnd w:id="2"/>
    </w:p>
    <w:p w:rsidR="003A1A2A" w:rsidRPr="003A1A2A" w:rsidRDefault="003A1A2A" w:rsidP="003A1A2A">
      <w:pPr>
        <w:spacing w:after="240" w:line="288" w:lineRule="auto"/>
        <w:ind w:left="0" w:firstLine="0"/>
        <w:rPr>
          <w:rFonts w:ascii="Arial" w:eastAsia="MS Gothic" w:hAnsi="Arial" w:cs="Arial"/>
          <w:b/>
          <w:bCs/>
          <w:color w:val="0071BC"/>
          <w:sz w:val="28"/>
          <w:szCs w:val="26"/>
          <w:lang w:val="cs-CZ"/>
        </w:rPr>
      </w:pPr>
    </w:p>
    <w:p w:rsidR="003A1A2A" w:rsidRPr="003A1A2A" w:rsidRDefault="003A1A2A" w:rsidP="003A1A2A">
      <w:pPr>
        <w:tabs>
          <w:tab w:val="left" w:pos="684"/>
        </w:tabs>
        <w:spacing w:line="240" w:lineRule="atLeast"/>
        <w:ind w:left="0" w:firstLine="851"/>
        <w:jc w:val="both"/>
        <w:rPr>
          <w:rFonts w:ascii="Arial" w:hAnsi="Arial" w:cs="Arial"/>
          <w:bCs/>
          <w:sz w:val="20"/>
          <w:lang w:val="cs-CZ"/>
        </w:rPr>
      </w:pPr>
      <w:r w:rsidRPr="003A1A2A">
        <w:rPr>
          <w:rFonts w:ascii="Arial" w:hAnsi="Arial" w:cs="Arial"/>
          <w:bCs/>
          <w:sz w:val="20"/>
          <w:lang w:val="cs-CZ"/>
        </w:rPr>
        <w:t xml:space="preserve">Statistické zjišťování o odpadech je prováděno v souladu s </w:t>
      </w:r>
      <w:r w:rsidRPr="003A1A2A">
        <w:rPr>
          <w:rFonts w:ascii="Arial" w:hAnsi="Arial" w:cs="Arial"/>
          <w:sz w:val="20"/>
          <w:szCs w:val="20"/>
          <w:lang w:val="cs-CZ"/>
        </w:rPr>
        <w:t>nařízením Evropského parlamentu a Rady 2150/2002/ES o statistice odpadů</w:t>
      </w:r>
      <w:r w:rsidRPr="003A1A2A">
        <w:rPr>
          <w:rFonts w:ascii="Arial" w:hAnsi="Arial" w:cs="Arial"/>
          <w:bCs/>
          <w:sz w:val="20"/>
          <w:lang w:val="cs-CZ"/>
        </w:rPr>
        <w:t xml:space="preserve"> a se směrnicí Evropského parlamentu a Rady 98/2008/ES o odpadech. Zejména tyto předpisy upravují nakládání s odpady a definují základní pojmy.</w:t>
      </w:r>
    </w:p>
    <w:p w:rsidR="003A1A2A" w:rsidRPr="003A1A2A" w:rsidRDefault="003A1A2A" w:rsidP="003A1A2A">
      <w:pPr>
        <w:tabs>
          <w:tab w:val="left" w:pos="684"/>
        </w:tabs>
        <w:spacing w:line="240" w:lineRule="atLeast"/>
        <w:ind w:left="0" w:firstLine="709"/>
        <w:jc w:val="both"/>
        <w:rPr>
          <w:rFonts w:ascii="Arial" w:hAnsi="Arial" w:cs="Arial"/>
          <w:bCs/>
          <w:sz w:val="20"/>
          <w:lang w:val="cs-CZ"/>
        </w:rPr>
      </w:pPr>
    </w:p>
    <w:p w:rsidR="003A1A2A" w:rsidRPr="003A1A2A" w:rsidRDefault="003A1A2A" w:rsidP="003A1A2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ind w:left="0" w:firstLine="0"/>
        <w:jc w:val="both"/>
        <w:rPr>
          <w:rFonts w:ascii="Arial" w:hAnsi="Arial" w:cs="Arial"/>
          <w:sz w:val="20"/>
          <w:lang w:val="cs-CZ"/>
        </w:rPr>
      </w:pPr>
      <w:r w:rsidRPr="003A1A2A">
        <w:rPr>
          <w:rFonts w:ascii="Arial" w:hAnsi="Arial" w:cs="Arial"/>
          <w:b/>
          <w:bCs/>
          <w:sz w:val="20"/>
          <w:lang w:val="cs-CZ"/>
        </w:rPr>
        <w:t>Odpad</w:t>
      </w:r>
      <w:r w:rsidRPr="003A1A2A">
        <w:rPr>
          <w:rFonts w:ascii="Arial" w:hAnsi="Arial" w:cs="Arial"/>
          <w:sz w:val="20"/>
          <w:lang w:val="cs-CZ"/>
        </w:rPr>
        <w:t xml:space="preserve"> je jakákoliv látka nebo předmět, kterých se držitel zbavuje nebo má v úmyslu se zbavit nebo se od něho požaduje, aby se jich zbavil.</w:t>
      </w:r>
    </w:p>
    <w:p w:rsidR="003A1A2A" w:rsidRPr="003A1A2A" w:rsidRDefault="003A1A2A" w:rsidP="003A1A2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ind w:left="0" w:firstLine="0"/>
        <w:jc w:val="both"/>
        <w:rPr>
          <w:rFonts w:ascii="Arial" w:hAnsi="Arial" w:cs="Arial"/>
          <w:sz w:val="20"/>
          <w:lang w:val="cs-CZ"/>
        </w:rPr>
      </w:pPr>
    </w:p>
    <w:p w:rsidR="003A1A2A" w:rsidRPr="003A1A2A" w:rsidRDefault="003A1A2A" w:rsidP="003A1A2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ind w:left="0" w:firstLine="0"/>
        <w:jc w:val="both"/>
        <w:rPr>
          <w:rFonts w:ascii="Arial" w:hAnsi="Arial" w:cs="Arial"/>
          <w:sz w:val="20"/>
          <w:lang w:val="cs-CZ"/>
        </w:rPr>
      </w:pPr>
      <w:r w:rsidRPr="003A1A2A">
        <w:rPr>
          <w:rFonts w:ascii="Arial" w:hAnsi="Arial" w:cs="Arial"/>
          <w:b/>
          <w:bCs/>
          <w:sz w:val="20"/>
          <w:lang w:val="cs-CZ"/>
        </w:rPr>
        <w:t>Nebezpečný odpad</w:t>
      </w:r>
      <w:r w:rsidRPr="003A1A2A">
        <w:rPr>
          <w:rFonts w:ascii="Arial" w:hAnsi="Arial" w:cs="Arial"/>
          <w:sz w:val="20"/>
          <w:lang w:val="cs-CZ"/>
        </w:rPr>
        <w:t xml:space="preserve"> je odpad vykazující jednu, nebo více nebezpečných vlastností uvedených v nařízení Komise (EU) č. 1357/2014 ze dne 18. prosince 2014, kterým se nahrazuje příloha III směrnice Evropského parlamentu a Rady 2008/98/ES o odpadech a o zrušení některých směrnic.</w:t>
      </w:r>
    </w:p>
    <w:p w:rsidR="003A1A2A" w:rsidRPr="003A1A2A" w:rsidRDefault="003A1A2A" w:rsidP="003A1A2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ind w:left="0" w:firstLine="0"/>
        <w:jc w:val="both"/>
        <w:rPr>
          <w:rFonts w:ascii="Arial" w:hAnsi="Arial" w:cs="Arial"/>
          <w:sz w:val="20"/>
          <w:lang w:val="cs-CZ"/>
        </w:rPr>
      </w:pPr>
    </w:p>
    <w:p w:rsidR="003A1A2A" w:rsidRPr="003A1A2A" w:rsidRDefault="003A1A2A" w:rsidP="003A1A2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ind w:left="0" w:firstLine="0"/>
        <w:jc w:val="both"/>
        <w:rPr>
          <w:rFonts w:ascii="Arial" w:hAnsi="Arial" w:cs="Arial"/>
          <w:sz w:val="20"/>
          <w:lang w:val="cs-CZ"/>
        </w:rPr>
      </w:pPr>
      <w:r w:rsidRPr="003A1A2A">
        <w:rPr>
          <w:rFonts w:ascii="Arial" w:hAnsi="Arial" w:cs="Arial"/>
          <w:b/>
          <w:sz w:val="20"/>
          <w:lang w:val="cs-CZ"/>
        </w:rPr>
        <w:t xml:space="preserve">Produkce </w:t>
      </w:r>
      <w:r w:rsidRPr="003A1A2A">
        <w:rPr>
          <w:rFonts w:ascii="Arial" w:hAnsi="Arial" w:cs="Arial"/>
          <w:sz w:val="20"/>
          <w:lang w:val="cs-CZ"/>
        </w:rPr>
        <w:t>odpadů představuje objem vlastní produkce odpadů, včetně produkce sekundárního odpadu (odpad ze zpracování odpadu). Nezahrnuje objem odpadu převzatého  ze skladu, dovoz odpadů ani odpad převzatý od jiného subjektu (s výjimkou odpadu od občanů).</w:t>
      </w:r>
    </w:p>
    <w:p w:rsidR="003A1A2A" w:rsidRPr="003A1A2A" w:rsidRDefault="003A1A2A" w:rsidP="003A1A2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ind w:left="0" w:firstLine="0"/>
        <w:jc w:val="both"/>
        <w:rPr>
          <w:rFonts w:ascii="Arial" w:hAnsi="Arial" w:cs="Arial"/>
          <w:sz w:val="20"/>
          <w:lang w:val="cs-CZ"/>
        </w:rPr>
      </w:pPr>
    </w:p>
    <w:p w:rsidR="003A1A2A" w:rsidRPr="003A1A2A" w:rsidRDefault="003A1A2A" w:rsidP="003A1A2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ind w:left="0" w:firstLine="0"/>
        <w:jc w:val="both"/>
        <w:rPr>
          <w:rFonts w:ascii="Arial" w:hAnsi="Arial" w:cs="Arial"/>
          <w:sz w:val="20"/>
          <w:lang w:val="cs-CZ"/>
        </w:rPr>
      </w:pPr>
      <w:r w:rsidRPr="003A1A2A">
        <w:rPr>
          <w:rFonts w:ascii="Arial" w:hAnsi="Arial" w:cs="Arial"/>
          <w:b/>
          <w:bCs/>
          <w:sz w:val="20"/>
          <w:lang w:val="cs-CZ"/>
        </w:rPr>
        <w:lastRenderedPageBreak/>
        <w:t>Nakládáním s odpady</w:t>
      </w:r>
      <w:r w:rsidRPr="003A1A2A">
        <w:rPr>
          <w:rFonts w:ascii="Arial" w:hAnsi="Arial" w:cs="Arial"/>
          <w:sz w:val="20"/>
          <w:lang w:val="cs-CZ"/>
        </w:rPr>
        <w:t xml:space="preserve"> se rozumí sběr, přeprava, využití a odstraňování odpadů včetně dozoru nad těmito činnostmi a následné péče o místa odstranění a včetně činností prováděných obchodníkem nebo zprostředkovatelem.</w:t>
      </w:r>
    </w:p>
    <w:p w:rsidR="003A1A2A" w:rsidRPr="003A1A2A" w:rsidRDefault="003A1A2A" w:rsidP="003A1A2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ind w:left="0" w:firstLine="0"/>
        <w:jc w:val="both"/>
        <w:rPr>
          <w:rFonts w:ascii="Arial" w:hAnsi="Arial" w:cs="Arial"/>
          <w:sz w:val="20"/>
          <w:lang w:val="cs-CZ"/>
        </w:rPr>
      </w:pPr>
    </w:p>
    <w:p w:rsidR="003A1A2A" w:rsidRPr="003A1A2A" w:rsidRDefault="003A1A2A" w:rsidP="003A1A2A">
      <w:pPr>
        <w:autoSpaceDE w:val="0"/>
        <w:autoSpaceDN w:val="0"/>
        <w:adjustRightInd w:val="0"/>
        <w:ind w:left="0" w:firstLine="0"/>
        <w:jc w:val="both"/>
        <w:rPr>
          <w:rFonts w:ascii="Arial" w:hAnsi="Arial" w:cs="Arial"/>
          <w:sz w:val="20"/>
          <w:lang w:val="cs-CZ"/>
        </w:rPr>
      </w:pPr>
      <w:r w:rsidRPr="003A1A2A">
        <w:rPr>
          <w:rFonts w:ascii="Arial" w:hAnsi="Arial" w:cs="Arial"/>
          <w:b/>
          <w:sz w:val="20"/>
          <w:lang w:val="cs-CZ"/>
        </w:rPr>
        <w:t>Podle nařízení 2150/2002 ES se za nakládání považuje:</w:t>
      </w:r>
    </w:p>
    <w:p w:rsidR="003A1A2A" w:rsidRPr="003A1A2A" w:rsidRDefault="003A1A2A" w:rsidP="003A1A2A">
      <w:pPr>
        <w:autoSpaceDE w:val="0"/>
        <w:autoSpaceDN w:val="0"/>
        <w:adjustRightInd w:val="0"/>
        <w:ind w:left="0" w:firstLine="709"/>
        <w:jc w:val="both"/>
        <w:rPr>
          <w:rFonts w:ascii="Arial" w:hAnsi="Arial" w:cs="Arial"/>
          <w:sz w:val="20"/>
          <w:lang w:val="cs-CZ"/>
        </w:rPr>
      </w:pPr>
      <w:r w:rsidRPr="003A1A2A">
        <w:rPr>
          <w:rFonts w:ascii="Arial" w:hAnsi="Arial" w:cs="Arial"/>
          <w:sz w:val="20"/>
          <w:lang w:val="cs-CZ"/>
        </w:rPr>
        <w:t xml:space="preserve">- </w:t>
      </w:r>
      <w:r w:rsidRPr="003A1A2A">
        <w:rPr>
          <w:rFonts w:ascii="Arial" w:hAnsi="Arial" w:cs="Arial"/>
          <w:b/>
          <w:sz w:val="20"/>
          <w:lang w:val="cs-CZ"/>
        </w:rPr>
        <w:t>využívání odpadů</w:t>
      </w:r>
      <w:r w:rsidRPr="003A1A2A">
        <w:rPr>
          <w:rFonts w:ascii="Arial" w:hAnsi="Arial" w:cs="Arial"/>
          <w:sz w:val="20"/>
          <w:lang w:val="cs-CZ"/>
        </w:rPr>
        <w:t xml:space="preserve"> – operace stanovené v příloze č. II výše uvedeného nařízení</w:t>
      </w:r>
    </w:p>
    <w:p w:rsidR="003A1A2A" w:rsidRPr="003A1A2A" w:rsidRDefault="003A1A2A" w:rsidP="003A1A2A">
      <w:pPr>
        <w:autoSpaceDE w:val="0"/>
        <w:autoSpaceDN w:val="0"/>
        <w:adjustRightInd w:val="0"/>
        <w:ind w:left="0" w:firstLine="709"/>
        <w:jc w:val="both"/>
        <w:rPr>
          <w:rFonts w:ascii="Arial" w:hAnsi="Arial" w:cs="Arial"/>
          <w:sz w:val="20"/>
          <w:lang w:val="cs-CZ"/>
        </w:rPr>
      </w:pPr>
      <w:r w:rsidRPr="003A1A2A">
        <w:rPr>
          <w:rFonts w:ascii="Arial" w:hAnsi="Arial" w:cs="Arial"/>
          <w:sz w:val="20"/>
          <w:lang w:val="cs-CZ"/>
        </w:rPr>
        <w:t xml:space="preserve">- </w:t>
      </w:r>
      <w:r w:rsidRPr="003A1A2A">
        <w:rPr>
          <w:rFonts w:ascii="Arial" w:hAnsi="Arial" w:cs="Arial"/>
          <w:b/>
          <w:bCs/>
          <w:sz w:val="20"/>
          <w:lang w:val="cs-CZ"/>
        </w:rPr>
        <w:t>odstraňování odpadů</w:t>
      </w:r>
      <w:r w:rsidRPr="003A1A2A">
        <w:rPr>
          <w:rFonts w:ascii="Arial" w:hAnsi="Arial" w:cs="Arial"/>
          <w:sz w:val="20"/>
          <w:lang w:val="cs-CZ"/>
        </w:rPr>
        <w:t xml:space="preserve"> - operace stanovené v příloze č. II výše uvedeného nařízení.</w:t>
      </w:r>
    </w:p>
    <w:p w:rsidR="003A1A2A" w:rsidRPr="003A1A2A" w:rsidRDefault="003A1A2A" w:rsidP="003A1A2A">
      <w:pPr>
        <w:autoSpaceDE w:val="0"/>
        <w:autoSpaceDN w:val="0"/>
        <w:adjustRightInd w:val="0"/>
        <w:jc w:val="both"/>
        <w:rPr>
          <w:rFonts w:ascii="Arial" w:hAnsi="Arial" w:cs="Arial"/>
          <w:sz w:val="20"/>
          <w:lang w:val="cs-CZ"/>
        </w:rPr>
      </w:pPr>
      <w:r w:rsidRPr="003A1A2A">
        <w:rPr>
          <w:rFonts w:ascii="Arial" w:hAnsi="Arial" w:cs="Arial"/>
          <w:sz w:val="20"/>
          <w:lang w:val="cs-CZ"/>
        </w:rPr>
        <w:t>Do nakládání se nezahrnuje objem sekundárních odpadů, přípravné operace, vývoz odpadu, zůstatek</w:t>
      </w:r>
    </w:p>
    <w:p w:rsidR="003A1A2A" w:rsidRPr="003A1A2A" w:rsidRDefault="003A1A2A" w:rsidP="003A1A2A">
      <w:pPr>
        <w:autoSpaceDE w:val="0"/>
        <w:autoSpaceDN w:val="0"/>
        <w:adjustRightInd w:val="0"/>
        <w:jc w:val="both"/>
        <w:rPr>
          <w:rFonts w:ascii="Arial" w:hAnsi="Arial" w:cs="Arial"/>
          <w:sz w:val="20"/>
          <w:lang w:val="cs-CZ"/>
        </w:rPr>
      </w:pPr>
      <w:r w:rsidRPr="003A1A2A">
        <w:rPr>
          <w:rFonts w:ascii="Arial" w:hAnsi="Arial" w:cs="Arial"/>
          <w:sz w:val="20"/>
          <w:lang w:val="cs-CZ"/>
        </w:rPr>
        <w:t>ve skladu ani předání jiné osobě. Naopak nakládání kromě vlastní produkce zahrnuje například dovoz odpadů</w:t>
      </w:r>
    </w:p>
    <w:p w:rsidR="003A1A2A" w:rsidRPr="003A1A2A" w:rsidRDefault="003A1A2A" w:rsidP="003A1A2A">
      <w:pPr>
        <w:autoSpaceDE w:val="0"/>
        <w:autoSpaceDN w:val="0"/>
        <w:adjustRightInd w:val="0"/>
        <w:jc w:val="both"/>
        <w:rPr>
          <w:rFonts w:ascii="Arial" w:hAnsi="Arial" w:cs="Arial"/>
          <w:b/>
          <w:sz w:val="20"/>
          <w:lang w:val="cs-CZ"/>
        </w:rPr>
      </w:pPr>
      <w:r w:rsidRPr="003A1A2A">
        <w:rPr>
          <w:rFonts w:ascii="Arial" w:hAnsi="Arial" w:cs="Arial"/>
          <w:sz w:val="20"/>
          <w:lang w:val="cs-CZ"/>
        </w:rPr>
        <w:t xml:space="preserve">nebo zůstatek na skladě z předchozího období. </w:t>
      </w:r>
      <w:r w:rsidRPr="003A1A2A">
        <w:rPr>
          <w:rFonts w:ascii="Arial" w:hAnsi="Arial" w:cs="Arial"/>
          <w:b/>
          <w:sz w:val="20"/>
          <w:lang w:val="cs-CZ"/>
        </w:rPr>
        <w:t xml:space="preserve">Z těchto důvodů </w:t>
      </w:r>
      <w:proofErr w:type="gramStart"/>
      <w:r w:rsidRPr="003A1A2A">
        <w:rPr>
          <w:rFonts w:ascii="Arial" w:hAnsi="Arial" w:cs="Arial"/>
          <w:b/>
          <w:sz w:val="20"/>
          <w:lang w:val="cs-CZ"/>
        </w:rPr>
        <w:t>se</w:t>
      </w:r>
      <w:proofErr w:type="gramEnd"/>
      <w:r w:rsidRPr="003A1A2A">
        <w:rPr>
          <w:rFonts w:ascii="Arial" w:hAnsi="Arial" w:cs="Arial"/>
          <w:b/>
          <w:sz w:val="20"/>
          <w:lang w:val="cs-CZ"/>
        </w:rPr>
        <w:t xml:space="preserve"> objem </w:t>
      </w:r>
      <w:proofErr w:type="gramStart"/>
      <w:r w:rsidRPr="003A1A2A">
        <w:rPr>
          <w:rFonts w:ascii="Arial" w:hAnsi="Arial" w:cs="Arial"/>
          <w:b/>
          <w:sz w:val="20"/>
          <w:lang w:val="cs-CZ"/>
        </w:rPr>
        <w:t>produkce</w:t>
      </w:r>
      <w:proofErr w:type="gramEnd"/>
      <w:r w:rsidRPr="003A1A2A">
        <w:rPr>
          <w:rFonts w:ascii="Arial" w:hAnsi="Arial" w:cs="Arial"/>
          <w:b/>
          <w:sz w:val="20"/>
          <w:lang w:val="cs-CZ"/>
        </w:rPr>
        <w:t xml:space="preserve"> odpadu</w:t>
      </w:r>
    </w:p>
    <w:p w:rsidR="003A1A2A" w:rsidRPr="003A1A2A" w:rsidRDefault="003A1A2A" w:rsidP="003A1A2A">
      <w:pPr>
        <w:autoSpaceDE w:val="0"/>
        <w:autoSpaceDN w:val="0"/>
        <w:adjustRightInd w:val="0"/>
        <w:jc w:val="both"/>
        <w:rPr>
          <w:rFonts w:ascii="Arial" w:hAnsi="Arial" w:cs="Arial"/>
          <w:b/>
          <w:sz w:val="20"/>
          <w:lang w:val="cs-CZ"/>
        </w:rPr>
      </w:pPr>
      <w:r w:rsidRPr="003A1A2A">
        <w:rPr>
          <w:rFonts w:ascii="Arial" w:hAnsi="Arial" w:cs="Arial"/>
          <w:b/>
          <w:sz w:val="20"/>
          <w:lang w:val="cs-CZ"/>
        </w:rPr>
        <w:t>nerovná objemu odpadu, s kterým je nakládáno.</w:t>
      </w:r>
    </w:p>
    <w:p w:rsidR="003A1A2A" w:rsidRPr="003A1A2A" w:rsidRDefault="003A1A2A" w:rsidP="003A1A2A">
      <w:pPr>
        <w:autoSpaceDE w:val="0"/>
        <w:autoSpaceDN w:val="0"/>
        <w:adjustRightInd w:val="0"/>
        <w:ind w:left="0" w:firstLine="709"/>
        <w:jc w:val="both"/>
        <w:rPr>
          <w:rFonts w:ascii="Arial" w:hAnsi="Arial" w:cs="Arial"/>
          <w:sz w:val="20"/>
          <w:lang w:val="cs-CZ"/>
        </w:rPr>
      </w:pPr>
    </w:p>
    <w:p w:rsidR="003A1A2A" w:rsidRPr="003A1A2A" w:rsidRDefault="003A1A2A" w:rsidP="003A1A2A">
      <w:pPr>
        <w:autoSpaceDE w:val="0"/>
        <w:autoSpaceDN w:val="0"/>
        <w:adjustRightInd w:val="0"/>
        <w:ind w:left="0" w:firstLine="709"/>
        <w:jc w:val="both"/>
        <w:rPr>
          <w:rFonts w:ascii="Arial" w:hAnsi="Arial" w:cs="Arial"/>
          <w:sz w:val="20"/>
          <w:lang w:val="cs-CZ"/>
        </w:rPr>
      </w:pPr>
    </w:p>
    <w:p w:rsidR="003A1A2A" w:rsidRPr="003A1A2A" w:rsidRDefault="003A1A2A" w:rsidP="003A1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b/>
          <w:sz w:val="20"/>
          <w:szCs w:val="20"/>
        </w:rPr>
      </w:pPr>
      <w:r w:rsidRPr="003A1A2A">
        <w:rPr>
          <w:rFonts w:ascii="Arial" w:hAnsi="Arial" w:cs="Arial"/>
          <w:b/>
          <w:sz w:val="20"/>
          <w:szCs w:val="20"/>
        </w:rPr>
        <w:t>Komunální odpad je</w:t>
      </w:r>
    </w:p>
    <w:p w:rsidR="003A1A2A" w:rsidRPr="003A1A2A" w:rsidRDefault="003A1A2A" w:rsidP="003A1A2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contextualSpacing/>
        <w:rPr>
          <w:rFonts w:ascii="Arial" w:hAnsi="Arial" w:cs="Arial"/>
          <w:sz w:val="20"/>
          <w:szCs w:val="20"/>
        </w:rPr>
      </w:pPr>
      <w:r w:rsidRPr="003A1A2A">
        <w:rPr>
          <w:rFonts w:ascii="Arial" w:hAnsi="Arial" w:cs="Arial"/>
          <w:sz w:val="20"/>
          <w:szCs w:val="20"/>
        </w:rPr>
        <w:t xml:space="preserve">směsný odpad a odděleně sbíraný odpad z domácností, včetně papíru a lepenky, sklo, kovy, plasty, biologický odpad, dřevo, textil, obaly, elektrický odpad a elektronická zařízení, použité baterie a akumulátory a objemný odpad, včetně matrace a nábytek </w:t>
      </w:r>
    </w:p>
    <w:p w:rsidR="003A1A2A" w:rsidRPr="003A1A2A" w:rsidRDefault="003A1A2A" w:rsidP="003A1A2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sz w:val="20"/>
          <w:szCs w:val="20"/>
        </w:rPr>
      </w:pPr>
      <w:r w:rsidRPr="003A1A2A">
        <w:rPr>
          <w:rFonts w:ascii="Arial" w:hAnsi="Arial" w:cs="Arial"/>
          <w:sz w:val="20"/>
          <w:szCs w:val="20"/>
        </w:rPr>
        <w:tab/>
        <w:t xml:space="preserve">a </w:t>
      </w:r>
    </w:p>
    <w:p w:rsidR="003A1A2A" w:rsidRPr="003A1A2A" w:rsidRDefault="003A1A2A" w:rsidP="003A1A2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contextualSpacing/>
        <w:rPr>
          <w:rFonts w:ascii="Arial" w:hAnsi="Arial" w:cs="Arial"/>
          <w:sz w:val="20"/>
          <w:szCs w:val="20"/>
        </w:rPr>
      </w:pPr>
      <w:r w:rsidRPr="003A1A2A">
        <w:rPr>
          <w:rFonts w:ascii="Arial" w:hAnsi="Arial" w:cs="Arial"/>
          <w:sz w:val="20"/>
          <w:szCs w:val="20"/>
        </w:rPr>
        <w:t xml:space="preserve">směsný odpad a odděleně sbíraný odpad z ostatních zdrojů, pokud je povahou a složením podobný odpadu z domácnosti. </w:t>
      </w:r>
    </w:p>
    <w:p w:rsidR="003A1A2A" w:rsidRPr="003A1A2A" w:rsidRDefault="003A1A2A" w:rsidP="003A1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sz w:val="20"/>
          <w:szCs w:val="20"/>
        </w:rPr>
      </w:pPr>
    </w:p>
    <w:p w:rsidR="003A1A2A" w:rsidRPr="003A1A2A" w:rsidRDefault="003A1A2A" w:rsidP="003A1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rPr>
          <w:rFonts w:ascii="Arial" w:hAnsi="Arial" w:cs="Arial"/>
          <w:sz w:val="20"/>
          <w:szCs w:val="20"/>
        </w:rPr>
      </w:pPr>
      <w:r w:rsidRPr="003A1A2A">
        <w:rPr>
          <w:rFonts w:ascii="Arial" w:hAnsi="Arial" w:cs="Arial"/>
          <w:sz w:val="20"/>
          <w:szCs w:val="20"/>
        </w:rPr>
        <w:t>Komunální odpad nezahrnuje odpad z výroby, zemědělství, lesnictví, rybolovu, septiků a čistíren odpadních vod a čištění, včetně čistírenských kalů, vozidel s ukončenou životností nebo stavební a demoliční odpad.</w:t>
      </w:r>
    </w:p>
    <w:p w:rsidR="003A1A2A" w:rsidRPr="003A1A2A" w:rsidRDefault="003A1A2A" w:rsidP="003A1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rPr>
          <w:rFonts w:ascii="Arial" w:hAnsi="Arial" w:cs="Arial"/>
          <w:sz w:val="20"/>
          <w:szCs w:val="20"/>
        </w:rPr>
      </w:pPr>
    </w:p>
    <w:p w:rsidR="003A1A2A" w:rsidRPr="003A1A2A" w:rsidRDefault="003A1A2A" w:rsidP="003A1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rPr>
          <w:rFonts w:ascii="Arial" w:hAnsi="Arial" w:cs="Arial"/>
          <w:sz w:val="20"/>
          <w:szCs w:val="20"/>
        </w:rPr>
      </w:pPr>
      <w:r w:rsidRPr="003A1A2A">
        <w:rPr>
          <w:rFonts w:ascii="Arial" w:hAnsi="Arial" w:cs="Arial"/>
          <w:sz w:val="20"/>
          <w:szCs w:val="20"/>
        </w:rPr>
        <w:t>Definicí dále není dotčeno rozdělení odpovědnosti za nakládání s odpady mezi veřejnými a soukromými subjekty. Odpad z domácností a odpady podobné povahy a složení budou zahrnuty do komunálního odpadu, bez ohledu na to, kdo tento odpad sbírá.</w:t>
      </w:r>
    </w:p>
    <w:p w:rsidR="003A1A2A" w:rsidRPr="003A1A2A" w:rsidRDefault="003A1A2A" w:rsidP="003A1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rPr>
          <w:rFonts w:ascii="Arial" w:hAnsi="Arial" w:cs="Arial"/>
          <w:sz w:val="20"/>
          <w:szCs w:val="20"/>
        </w:rPr>
      </w:pPr>
    </w:p>
    <w:p w:rsidR="003A1A2A" w:rsidRPr="003A1A2A" w:rsidRDefault="003A1A2A" w:rsidP="003A1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sz w:val="20"/>
          <w:szCs w:val="20"/>
        </w:rPr>
      </w:pPr>
      <w:r w:rsidRPr="003A1A2A">
        <w:rPr>
          <w:rFonts w:ascii="Arial" w:hAnsi="Arial" w:cs="Arial"/>
          <w:sz w:val="20"/>
          <w:szCs w:val="20"/>
        </w:rPr>
        <w:t>Komunální odpad zahrnuje odpad pocházející z:</w:t>
      </w:r>
    </w:p>
    <w:p w:rsidR="003A1A2A" w:rsidRPr="003A1A2A" w:rsidRDefault="003A1A2A" w:rsidP="003A1A2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contextualSpacing/>
        <w:rPr>
          <w:rFonts w:ascii="Arial" w:hAnsi="Arial" w:cs="Arial"/>
          <w:sz w:val="20"/>
          <w:szCs w:val="20"/>
        </w:rPr>
      </w:pPr>
      <w:r w:rsidRPr="003A1A2A">
        <w:rPr>
          <w:rFonts w:ascii="Arial" w:hAnsi="Arial" w:cs="Arial"/>
          <w:sz w:val="20"/>
          <w:szCs w:val="20"/>
        </w:rPr>
        <w:t>domácností,</w:t>
      </w:r>
    </w:p>
    <w:p w:rsidR="003A1A2A" w:rsidRPr="003A1A2A" w:rsidRDefault="003A1A2A" w:rsidP="003A1A2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contextualSpacing/>
        <w:rPr>
          <w:rFonts w:ascii="Arial" w:hAnsi="Arial" w:cs="Arial"/>
          <w:sz w:val="20"/>
          <w:szCs w:val="20"/>
        </w:rPr>
      </w:pPr>
      <w:proofErr w:type="spellStart"/>
      <w:r w:rsidRPr="003A1A2A">
        <w:rPr>
          <w:rFonts w:ascii="Arial" w:hAnsi="Arial" w:cs="Arial"/>
          <w:sz w:val="20"/>
          <w:szCs w:val="20"/>
          <w:lang w:val="en-US"/>
        </w:rPr>
        <w:t>obchodů</w:t>
      </w:r>
      <w:proofErr w:type="spellEnd"/>
      <w:r w:rsidRPr="003A1A2A">
        <w:rPr>
          <w:rFonts w:ascii="Arial" w:hAnsi="Arial" w:cs="Arial"/>
          <w:sz w:val="20"/>
          <w:szCs w:val="20"/>
          <w:lang w:val="en-US"/>
        </w:rPr>
        <w:t xml:space="preserve">, </w:t>
      </w:r>
      <w:proofErr w:type="spellStart"/>
      <w:r w:rsidRPr="003A1A2A">
        <w:rPr>
          <w:rFonts w:ascii="Arial" w:hAnsi="Arial" w:cs="Arial"/>
          <w:sz w:val="20"/>
          <w:szCs w:val="20"/>
          <w:lang w:val="en-US"/>
        </w:rPr>
        <w:t>malých</w:t>
      </w:r>
      <w:proofErr w:type="spellEnd"/>
      <w:r w:rsidRPr="003A1A2A">
        <w:rPr>
          <w:rFonts w:ascii="Arial" w:hAnsi="Arial" w:cs="Arial"/>
          <w:sz w:val="20"/>
          <w:szCs w:val="20"/>
          <w:lang w:val="en-US"/>
        </w:rPr>
        <w:t xml:space="preserve"> </w:t>
      </w:r>
      <w:proofErr w:type="spellStart"/>
      <w:r w:rsidRPr="003A1A2A">
        <w:rPr>
          <w:rFonts w:ascii="Arial" w:hAnsi="Arial" w:cs="Arial"/>
          <w:sz w:val="20"/>
          <w:szCs w:val="20"/>
          <w:lang w:val="en-US"/>
        </w:rPr>
        <w:t>podniků</w:t>
      </w:r>
      <w:proofErr w:type="spellEnd"/>
      <w:r w:rsidRPr="003A1A2A">
        <w:rPr>
          <w:rFonts w:ascii="Arial" w:hAnsi="Arial" w:cs="Arial"/>
          <w:sz w:val="20"/>
          <w:szCs w:val="20"/>
          <w:lang w:val="en-US"/>
        </w:rPr>
        <w:t xml:space="preserve">, </w:t>
      </w:r>
      <w:proofErr w:type="spellStart"/>
      <w:r w:rsidRPr="003A1A2A">
        <w:rPr>
          <w:rFonts w:ascii="Arial" w:hAnsi="Arial" w:cs="Arial"/>
          <w:sz w:val="20"/>
          <w:szCs w:val="20"/>
          <w:lang w:val="en-US"/>
        </w:rPr>
        <w:t>kancelářských</w:t>
      </w:r>
      <w:proofErr w:type="spellEnd"/>
      <w:r w:rsidRPr="003A1A2A">
        <w:rPr>
          <w:rFonts w:ascii="Arial" w:hAnsi="Arial" w:cs="Arial"/>
          <w:sz w:val="20"/>
          <w:szCs w:val="20"/>
          <w:lang w:val="en-US"/>
        </w:rPr>
        <w:t xml:space="preserve"> </w:t>
      </w:r>
      <w:proofErr w:type="spellStart"/>
      <w:r w:rsidRPr="003A1A2A">
        <w:rPr>
          <w:rFonts w:ascii="Arial" w:hAnsi="Arial" w:cs="Arial"/>
          <w:sz w:val="20"/>
          <w:szCs w:val="20"/>
          <w:lang w:val="en-US"/>
        </w:rPr>
        <w:t>budov</w:t>
      </w:r>
      <w:proofErr w:type="spellEnd"/>
      <w:r w:rsidRPr="003A1A2A">
        <w:rPr>
          <w:rFonts w:ascii="Arial" w:hAnsi="Arial" w:cs="Arial"/>
          <w:sz w:val="20"/>
          <w:szCs w:val="20"/>
          <w:lang w:val="en-US"/>
        </w:rPr>
        <w:t xml:space="preserve"> a </w:t>
      </w:r>
      <w:proofErr w:type="spellStart"/>
      <w:r w:rsidRPr="003A1A2A">
        <w:rPr>
          <w:rFonts w:ascii="Arial" w:hAnsi="Arial" w:cs="Arial"/>
          <w:sz w:val="20"/>
          <w:szCs w:val="20"/>
          <w:lang w:val="en-US"/>
        </w:rPr>
        <w:t>institucí</w:t>
      </w:r>
      <w:proofErr w:type="spellEnd"/>
      <w:r w:rsidRPr="003A1A2A">
        <w:rPr>
          <w:rFonts w:ascii="Arial" w:hAnsi="Arial" w:cs="Arial"/>
          <w:sz w:val="20"/>
          <w:szCs w:val="20"/>
          <w:lang w:val="en-US"/>
        </w:rPr>
        <w:t xml:space="preserve"> (</w:t>
      </w:r>
      <w:proofErr w:type="spellStart"/>
      <w:r w:rsidRPr="003A1A2A">
        <w:rPr>
          <w:rFonts w:ascii="Arial" w:hAnsi="Arial" w:cs="Arial"/>
          <w:sz w:val="20"/>
          <w:szCs w:val="20"/>
          <w:lang w:val="en-US"/>
        </w:rPr>
        <w:t>např</w:t>
      </w:r>
      <w:proofErr w:type="spellEnd"/>
      <w:r w:rsidRPr="003A1A2A">
        <w:rPr>
          <w:rFonts w:ascii="Arial" w:hAnsi="Arial" w:cs="Arial"/>
          <w:sz w:val="20"/>
          <w:szCs w:val="20"/>
          <w:lang w:val="en-US"/>
        </w:rPr>
        <w:t xml:space="preserve">. </w:t>
      </w:r>
      <w:r w:rsidRPr="003A1A2A">
        <w:rPr>
          <w:rFonts w:ascii="Arial" w:hAnsi="Arial" w:cs="Arial"/>
          <w:sz w:val="20"/>
          <w:szCs w:val="20"/>
          <w:lang w:val="cs-CZ"/>
        </w:rPr>
        <w:t>š</w:t>
      </w:r>
      <w:r w:rsidRPr="003A1A2A">
        <w:rPr>
          <w:rFonts w:ascii="Arial" w:hAnsi="Arial" w:cs="Arial"/>
          <w:sz w:val="20"/>
          <w:szCs w:val="20"/>
        </w:rPr>
        <w:t>koly, nemocnice, vládní budovy),</w:t>
      </w:r>
    </w:p>
    <w:p w:rsidR="003A1A2A" w:rsidRPr="003A1A2A" w:rsidRDefault="003A1A2A" w:rsidP="003A1A2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contextualSpacing/>
        <w:rPr>
          <w:rFonts w:ascii="Arial" w:hAnsi="Arial" w:cs="Arial"/>
          <w:sz w:val="20"/>
          <w:szCs w:val="20"/>
        </w:rPr>
      </w:pPr>
      <w:r w:rsidRPr="003A1A2A">
        <w:rPr>
          <w:rFonts w:ascii="Arial" w:hAnsi="Arial" w:cs="Arial"/>
          <w:sz w:val="20"/>
          <w:szCs w:val="20"/>
        </w:rPr>
        <w:t>podniků, pokud je druhem a složením podobný odpadu z domácnosti a nepochází z výroby,</w:t>
      </w:r>
    </w:p>
    <w:p w:rsidR="003A1A2A" w:rsidRPr="003A1A2A" w:rsidRDefault="003A1A2A" w:rsidP="003A1A2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contextualSpacing/>
        <w:rPr>
          <w:rFonts w:ascii="Arial" w:hAnsi="Arial" w:cs="Arial"/>
          <w:sz w:val="20"/>
          <w:szCs w:val="20"/>
        </w:rPr>
      </w:pPr>
      <w:r w:rsidRPr="003A1A2A">
        <w:rPr>
          <w:rFonts w:ascii="Arial" w:hAnsi="Arial" w:cs="Arial"/>
          <w:sz w:val="20"/>
          <w:szCs w:val="20"/>
        </w:rPr>
        <w:t>odpad z vybraných komunálních služeb, tj. odpad z údržby parků a zahrad, odpad ze služeb čištění ulic (např. zametání ulic, odpad z čištění tržišť),</w:t>
      </w:r>
    </w:p>
    <w:p w:rsidR="003A1A2A" w:rsidRPr="003A1A2A" w:rsidRDefault="003A1A2A" w:rsidP="003A1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w:hAnsi="Arial" w:cs="Arial"/>
          <w:sz w:val="20"/>
          <w:szCs w:val="20"/>
          <w:lang w:val="en-US"/>
        </w:rPr>
      </w:pPr>
      <w:proofErr w:type="spellStart"/>
      <w:proofErr w:type="gramStart"/>
      <w:r w:rsidRPr="003A1A2A">
        <w:rPr>
          <w:rFonts w:ascii="Arial" w:hAnsi="Arial" w:cs="Arial"/>
          <w:sz w:val="20"/>
          <w:szCs w:val="20"/>
          <w:lang w:val="en-US"/>
        </w:rPr>
        <w:t>pokud</w:t>
      </w:r>
      <w:proofErr w:type="spellEnd"/>
      <w:proofErr w:type="gramEnd"/>
      <w:r w:rsidRPr="003A1A2A">
        <w:rPr>
          <w:rFonts w:ascii="Arial" w:hAnsi="Arial" w:cs="Arial"/>
          <w:sz w:val="20"/>
          <w:szCs w:val="20"/>
          <w:lang w:val="en-US"/>
        </w:rPr>
        <w:t xml:space="preserve"> je s </w:t>
      </w:r>
      <w:proofErr w:type="spellStart"/>
      <w:r w:rsidRPr="003A1A2A">
        <w:rPr>
          <w:rFonts w:ascii="Arial" w:hAnsi="Arial" w:cs="Arial"/>
          <w:sz w:val="20"/>
          <w:szCs w:val="20"/>
          <w:lang w:val="en-US"/>
        </w:rPr>
        <w:t>ním</w:t>
      </w:r>
      <w:proofErr w:type="spellEnd"/>
      <w:r w:rsidRPr="003A1A2A">
        <w:rPr>
          <w:rFonts w:ascii="Arial" w:hAnsi="Arial" w:cs="Arial"/>
          <w:sz w:val="20"/>
          <w:szCs w:val="20"/>
          <w:lang w:val="en-US"/>
        </w:rPr>
        <w:t xml:space="preserve"> </w:t>
      </w:r>
      <w:proofErr w:type="spellStart"/>
      <w:r w:rsidRPr="003A1A2A">
        <w:rPr>
          <w:rFonts w:ascii="Arial" w:hAnsi="Arial" w:cs="Arial"/>
          <w:sz w:val="20"/>
          <w:szCs w:val="20"/>
          <w:lang w:val="en-US"/>
        </w:rPr>
        <w:t>nakládáno</w:t>
      </w:r>
      <w:proofErr w:type="spellEnd"/>
      <w:r w:rsidRPr="003A1A2A">
        <w:rPr>
          <w:rFonts w:ascii="Arial" w:hAnsi="Arial" w:cs="Arial"/>
          <w:sz w:val="20"/>
          <w:szCs w:val="20"/>
          <w:lang w:val="en-US"/>
        </w:rPr>
        <w:t xml:space="preserve"> </w:t>
      </w:r>
      <w:proofErr w:type="spellStart"/>
      <w:r w:rsidRPr="003A1A2A">
        <w:rPr>
          <w:rFonts w:ascii="Arial" w:hAnsi="Arial" w:cs="Arial"/>
          <w:sz w:val="20"/>
          <w:szCs w:val="20"/>
          <w:lang w:val="en-US"/>
        </w:rPr>
        <w:t>jako</w:t>
      </w:r>
      <w:proofErr w:type="spellEnd"/>
      <w:r w:rsidRPr="003A1A2A">
        <w:rPr>
          <w:rFonts w:ascii="Arial" w:hAnsi="Arial" w:cs="Arial"/>
          <w:sz w:val="20"/>
          <w:szCs w:val="20"/>
          <w:lang w:val="en-US"/>
        </w:rPr>
        <w:t xml:space="preserve"> s </w:t>
      </w:r>
      <w:proofErr w:type="spellStart"/>
      <w:r w:rsidRPr="003A1A2A">
        <w:rPr>
          <w:rFonts w:ascii="Arial" w:hAnsi="Arial" w:cs="Arial"/>
          <w:sz w:val="20"/>
          <w:szCs w:val="20"/>
          <w:lang w:val="en-US"/>
        </w:rPr>
        <w:t>odpadem</w:t>
      </w:r>
      <w:proofErr w:type="spellEnd"/>
      <w:r w:rsidRPr="003A1A2A">
        <w:rPr>
          <w:rFonts w:ascii="Arial" w:hAnsi="Arial" w:cs="Arial"/>
          <w:sz w:val="20"/>
          <w:szCs w:val="20"/>
          <w:lang w:val="en-US"/>
        </w:rPr>
        <w:t>.</w:t>
      </w:r>
    </w:p>
    <w:p w:rsidR="003A1A2A" w:rsidRPr="003A1A2A" w:rsidRDefault="003A1A2A" w:rsidP="003A1A2A">
      <w:pPr>
        <w:rPr>
          <w:rFonts w:ascii="Arial" w:hAnsi="Arial" w:cs="Arial"/>
          <w:lang w:val="en-US"/>
        </w:rPr>
      </w:pPr>
    </w:p>
    <w:p w:rsidR="003A1A2A" w:rsidRPr="003A1A2A" w:rsidRDefault="003A1A2A" w:rsidP="003A1A2A">
      <w:pPr>
        <w:spacing w:line="240" w:lineRule="auto"/>
        <w:ind w:left="0" w:firstLine="0"/>
        <w:jc w:val="both"/>
        <w:rPr>
          <w:rFonts w:ascii="Arial" w:hAnsi="Arial" w:cs="Arial"/>
          <w:bCs/>
          <w:sz w:val="20"/>
          <w:lang w:val="cs-CZ"/>
        </w:rPr>
      </w:pPr>
    </w:p>
    <w:p w:rsidR="003A1A2A" w:rsidRPr="003A1A2A" w:rsidRDefault="003A1A2A" w:rsidP="003A1A2A">
      <w:pPr>
        <w:autoSpaceDE w:val="0"/>
        <w:autoSpaceDN w:val="0"/>
        <w:adjustRightInd w:val="0"/>
        <w:ind w:left="0" w:firstLine="0"/>
        <w:jc w:val="both"/>
        <w:rPr>
          <w:rFonts w:ascii="Arial" w:hAnsi="Arial" w:cs="Arial"/>
          <w:bCs/>
          <w:sz w:val="20"/>
          <w:lang w:val="cs-CZ"/>
        </w:rPr>
      </w:pPr>
      <w:r w:rsidRPr="003A1A2A">
        <w:rPr>
          <w:rFonts w:ascii="Arial" w:hAnsi="Arial" w:cs="Arial"/>
          <w:b/>
          <w:bCs/>
          <w:sz w:val="20"/>
          <w:lang w:val="cs-CZ"/>
        </w:rPr>
        <w:t>EWC-STAT</w:t>
      </w:r>
      <w:r w:rsidRPr="003A1A2A">
        <w:rPr>
          <w:rFonts w:ascii="Arial" w:hAnsi="Arial" w:cs="Arial"/>
          <w:bCs/>
          <w:sz w:val="20"/>
          <w:lang w:val="cs-CZ"/>
        </w:rPr>
        <w:t xml:space="preserve"> je klasifikace odpadů ve Směrnici 2150/2002. Na rozdíl od klasifikace používané v Katalogu odpadů nerozlišuje, kde odpad vznikl, kdo jej vyprodukoval, ale rozlišení je pouze podle druhu látky tvořící odpad. </w:t>
      </w:r>
    </w:p>
    <w:p w:rsidR="003A1A2A" w:rsidRPr="003A1A2A" w:rsidRDefault="003A1A2A" w:rsidP="003A1A2A">
      <w:pPr>
        <w:autoSpaceDE w:val="0"/>
        <w:autoSpaceDN w:val="0"/>
        <w:adjustRightInd w:val="0"/>
        <w:ind w:left="0" w:firstLine="0"/>
        <w:jc w:val="both"/>
        <w:rPr>
          <w:rFonts w:ascii="Arial" w:hAnsi="Arial" w:cs="Arial"/>
          <w:bCs/>
          <w:sz w:val="20"/>
          <w:lang w:val="cs-CZ"/>
        </w:rPr>
      </w:pPr>
    </w:p>
    <w:p w:rsidR="003A1A2A" w:rsidRPr="003A1A2A" w:rsidRDefault="003A1A2A" w:rsidP="003A1A2A">
      <w:pPr>
        <w:autoSpaceDE w:val="0"/>
        <w:autoSpaceDN w:val="0"/>
        <w:adjustRightInd w:val="0"/>
        <w:ind w:left="0" w:firstLine="0"/>
        <w:jc w:val="both"/>
        <w:rPr>
          <w:rFonts w:ascii="Arial" w:hAnsi="Arial" w:cs="Arial"/>
          <w:bCs/>
          <w:sz w:val="20"/>
          <w:lang w:val="cs-CZ"/>
        </w:rPr>
      </w:pPr>
      <w:r w:rsidRPr="003A1A2A">
        <w:rPr>
          <w:rFonts w:ascii="Arial" w:hAnsi="Arial" w:cs="Arial"/>
          <w:bCs/>
          <w:sz w:val="20"/>
          <w:lang w:val="cs-CZ"/>
        </w:rPr>
        <w:t xml:space="preserve">Regionální (krajské) členění je prováděno </w:t>
      </w:r>
      <w:r w:rsidRPr="003A1A2A">
        <w:rPr>
          <w:rFonts w:ascii="Arial" w:hAnsi="Arial" w:cs="Arial"/>
          <w:b/>
          <w:bCs/>
          <w:sz w:val="20"/>
          <w:lang w:val="cs-CZ"/>
        </w:rPr>
        <w:t>podle sídla provozovny</w:t>
      </w:r>
      <w:r w:rsidRPr="003A1A2A">
        <w:rPr>
          <w:rFonts w:ascii="Arial" w:hAnsi="Arial" w:cs="Arial"/>
          <w:bCs/>
          <w:sz w:val="20"/>
          <w:lang w:val="cs-CZ"/>
        </w:rPr>
        <w:t xml:space="preserve"> (místní jednotky), nikoli podle sídla podniku</w:t>
      </w:r>
    </w:p>
    <w:p w:rsidR="00245479" w:rsidRPr="003A1A2A" w:rsidRDefault="00245479" w:rsidP="003A1A2A"/>
    <w:sectPr w:rsidR="00245479" w:rsidRPr="003A1A2A" w:rsidSect="00415762">
      <w:headerReference w:type="default" r:id="rId8"/>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B9F" w:rsidRDefault="00706B9F" w:rsidP="00415762">
      <w:pPr>
        <w:spacing w:line="240" w:lineRule="auto"/>
      </w:pPr>
      <w:r>
        <w:separator/>
      </w:r>
    </w:p>
  </w:endnote>
  <w:endnote w:type="continuationSeparator" w:id="0">
    <w:p w:rsidR="00706B9F" w:rsidRDefault="00706B9F" w:rsidP="004157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762" w:rsidRPr="008E3663" w:rsidRDefault="00415762" w:rsidP="00415762">
    <w:pPr>
      <w:pStyle w:val="Zpat"/>
      <w:ind w:right="360" w:firstLine="360"/>
      <w:jc w:val="center"/>
      <w:rPr>
        <w:rFonts w:ascii="Arial" w:hAnsi="Arial" w:cs="Arial"/>
        <w:sz w:val="18"/>
        <w:szCs w:val="18"/>
        <w:lang w:val="cs-CZ"/>
      </w:rPr>
    </w:pPr>
    <w:r w:rsidRPr="008E3663">
      <w:rPr>
        <w:rFonts w:ascii="Arial" w:hAnsi="Arial" w:cs="Arial"/>
        <w:noProof/>
        <w:sz w:val="18"/>
        <w:szCs w:val="18"/>
        <w:lang w:val="cs-CZ"/>
      </w:rPr>
      <w:drawing>
        <wp:anchor distT="0" distB="0" distL="114300" distR="114300" simplePos="0" relativeHeight="251660288" behindDoc="0" locked="0" layoutInCell="1" allowOverlap="1">
          <wp:simplePos x="0" y="0"/>
          <wp:positionH relativeFrom="column">
            <wp:posOffset>-39370</wp:posOffset>
          </wp:positionH>
          <wp:positionV relativeFrom="paragraph">
            <wp:posOffset>635</wp:posOffset>
          </wp:positionV>
          <wp:extent cx="510540" cy="272415"/>
          <wp:effectExtent l="19050" t="0" r="3810" b="0"/>
          <wp:wrapNone/>
          <wp:docPr id="1" name="obrázek 1"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U RGB CZ logo-02"/>
                  <pic:cNvPicPr>
                    <a:picLocks noChangeAspect="1" noChangeArrowheads="1"/>
                  </pic:cNvPicPr>
                </pic:nvPicPr>
                <pic:blipFill>
                  <a:blip r:embed="rId1"/>
                  <a:srcRect/>
                  <a:stretch>
                    <a:fillRect/>
                  </a:stretch>
                </pic:blipFill>
                <pic:spPr bwMode="auto">
                  <a:xfrm>
                    <a:off x="0" y="0"/>
                    <a:ext cx="510540" cy="272415"/>
                  </a:xfrm>
                  <a:prstGeom prst="rect">
                    <a:avLst/>
                  </a:prstGeom>
                  <a:noFill/>
                  <a:ln w="9525">
                    <a:noFill/>
                    <a:miter lim="800000"/>
                    <a:headEnd/>
                    <a:tailEnd/>
                  </a:ln>
                </pic:spPr>
              </pic:pic>
            </a:graphicData>
          </a:graphic>
        </wp:anchor>
      </w:drawing>
    </w:r>
    <w:r w:rsidR="00FA659B">
      <w:rPr>
        <w:rFonts w:ascii="Arial" w:hAnsi="Arial" w:cs="Arial"/>
        <w:noProof/>
        <w:sz w:val="18"/>
        <w:szCs w:val="18"/>
        <w:lang w:val="cs-CZ"/>
      </w:rPr>
      <w:t>2018</w:t>
    </w:r>
  </w:p>
  <w:p w:rsidR="00415762" w:rsidRDefault="0041576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B9F" w:rsidRDefault="00706B9F" w:rsidP="00415762">
      <w:pPr>
        <w:spacing w:line="240" w:lineRule="auto"/>
      </w:pPr>
      <w:r>
        <w:separator/>
      </w:r>
    </w:p>
  </w:footnote>
  <w:footnote w:type="continuationSeparator" w:id="0">
    <w:p w:rsidR="00706B9F" w:rsidRDefault="00706B9F" w:rsidP="004157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63" w:rsidRPr="00B77E78" w:rsidRDefault="008E3663" w:rsidP="008E3663">
    <w:pPr>
      <w:pStyle w:val="Zhlav"/>
      <w:tabs>
        <w:tab w:val="clear" w:pos="4536"/>
        <w:tab w:val="clear" w:pos="9072"/>
      </w:tabs>
      <w:spacing w:line="288" w:lineRule="auto"/>
      <w:ind w:left="0" w:firstLine="0"/>
      <w:rPr>
        <w:rFonts w:ascii="Arial" w:eastAsia="Calibri" w:hAnsi="Arial"/>
        <w:sz w:val="16"/>
        <w:szCs w:val="22"/>
        <w:lang w:val="cs-CZ" w:eastAsia="en-US"/>
      </w:rPr>
    </w:pPr>
    <w:r w:rsidRPr="00B77E78">
      <w:rPr>
        <w:rFonts w:ascii="Arial" w:eastAsia="Calibri" w:hAnsi="Arial"/>
        <w:sz w:val="16"/>
        <w:szCs w:val="22"/>
        <w:lang w:val="cs-CZ" w:eastAsia="en-US"/>
      </w:rPr>
      <w:t>Produkce, využití a odstranění odpadů</w:t>
    </w:r>
  </w:p>
  <w:p w:rsidR="008E3663" w:rsidRPr="008E3663" w:rsidRDefault="008E3663" w:rsidP="008E3663">
    <w:pPr>
      <w:pStyle w:val="Zhlav"/>
      <w:tabs>
        <w:tab w:val="clear" w:pos="4536"/>
        <w:tab w:val="clear" w:pos="9072"/>
      </w:tabs>
      <w:spacing w:line="288" w:lineRule="auto"/>
      <w:ind w:left="0" w:firstLine="0"/>
      <w:rPr>
        <w:rFonts w:ascii="Arial" w:eastAsia="Calibri" w:hAnsi="Arial"/>
        <w:i/>
        <w:sz w:val="16"/>
        <w:szCs w:val="22"/>
        <w:lang w:val="cs-CZ" w:eastAsia="en-US"/>
      </w:rPr>
    </w:pPr>
    <w:proofErr w:type="spellStart"/>
    <w:r w:rsidRPr="002B3DCA">
      <w:rPr>
        <w:rFonts w:ascii="Arial" w:eastAsia="Calibri" w:hAnsi="Arial"/>
        <w:i/>
        <w:sz w:val="16"/>
        <w:szCs w:val="22"/>
        <w:lang w:val="cs-CZ" w:eastAsia="en-US"/>
      </w:rPr>
      <w:t>Generation</w:t>
    </w:r>
    <w:proofErr w:type="spellEnd"/>
    <w:r w:rsidRPr="002B3DCA">
      <w:rPr>
        <w:rFonts w:ascii="Arial" w:eastAsia="Calibri" w:hAnsi="Arial"/>
        <w:i/>
        <w:sz w:val="16"/>
        <w:szCs w:val="22"/>
        <w:lang w:val="cs-CZ" w:eastAsia="en-US"/>
      </w:rPr>
      <w:t>,</w:t>
    </w:r>
    <w:r>
      <w:rPr>
        <w:rFonts w:ascii="Arial" w:eastAsia="Calibri" w:hAnsi="Arial"/>
        <w:i/>
        <w:sz w:val="16"/>
        <w:szCs w:val="22"/>
        <w:lang w:val="cs-CZ" w:eastAsia="en-US"/>
      </w:rPr>
      <w:t xml:space="preserve"> </w:t>
    </w:r>
    <w:proofErr w:type="spellStart"/>
    <w:r>
      <w:rPr>
        <w:rFonts w:ascii="Arial" w:eastAsia="Calibri" w:hAnsi="Arial"/>
        <w:i/>
        <w:sz w:val="16"/>
        <w:szCs w:val="22"/>
        <w:lang w:val="cs-CZ" w:eastAsia="en-US"/>
      </w:rPr>
      <w:t>Recovery</w:t>
    </w:r>
    <w:proofErr w:type="spellEnd"/>
    <w:r>
      <w:rPr>
        <w:rFonts w:ascii="Arial" w:eastAsia="Calibri" w:hAnsi="Arial"/>
        <w:i/>
        <w:sz w:val="16"/>
        <w:szCs w:val="22"/>
        <w:lang w:val="cs-CZ" w:eastAsia="en-US"/>
      </w:rPr>
      <w:t xml:space="preserve"> and </w:t>
    </w:r>
    <w:proofErr w:type="spellStart"/>
    <w:r>
      <w:rPr>
        <w:rFonts w:ascii="Arial" w:eastAsia="Calibri" w:hAnsi="Arial"/>
        <w:i/>
        <w:sz w:val="16"/>
        <w:szCs w:val="22"/>
        <w:lang w:val="cs-CZ" w:eastAsia="en-US"/>
      </w:rPr>
      <w:t>Disposal</w:t>
    </w:r>
    <w:proofErr w:type="spellEnd"/>
    <w:r>
      <w:rPr>
        <w:rFonts w:ascii="Arial" w:eastAsia="Calibri" w:hAnsi="Arial"/>
        <w:i/>
        <w:sz w:val="16"/>
        <w:szCs w:val="22"/>
        <w:lang w:val="cs-CZ" w:eastAsia="en-US"/>
      </w:rPr>
      <w:t xml:space="preserve"> </w:t>
    </w:r>
    <w:proofErr w:type="spellStart"/>
    <w:r>
      <w:rPr>
        <w:rFonts w:ascii="Arial" w:eastAsia="Calibri" w:hAnsi="Arial"/>
        <w:i/>
        <w:sz w:val="16"/>
        <w:szCs w:val="22"/>
        <w:lang w:val="cs-CZ" w:eastAsia="en-US"/>
      </w:rPr>
      <w:t>of</w:t>
    </w:r>
    <w:proofErr w:type="spellEnd"/>
    <w:r>
      <w:rPr>
        <w:rFonts w:ascii="Arial" w:eastAsia="Calibri" w:hAnsi="Arial"/>
        <w:i/>
        <w:sz w:val="16"/>
        <w:szCs w:val="22"/>
        <w:lang w:val="cs-CZ" w:eastAsia="en-US"/>
      </w:rPr>
      <w:t xml:space="preserve"> </w:t>
    </w:r>
    <w:proofErr w:type="spellStart"/>
    <w:r>
      <w:rPr>
        <w:rFonts w:ascii="Arial" w:eastAsia="Calibri" w:hAnsi="Arial"/>
        <w:i/>
        <w:sz w:val="16"/>
        <w:szCs w:val="22"/>
        <w:lang w:val="cs-CZ" w:eastAsia="en-US"/>
      </w:rPr>
      <w:t>Waste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50EC5"/>
    <w:multiLevelType w:val="hybridMultilevel"/>
    <w:tmpl w:val="39FE435A"/>
    <w:lvl w:ilvl="0" w:tplc="351AA43C">
      <w:start w:val="1"/>
      <w:numFmt w:val="lowerLetter"/>
      <w:lvlText w:val="%1)"/>
      <w:lvlJc w:val="left"/>
      <w:pPr>
        <w:ind w:left="1050" w:hanging="360"/>
      </w:pPr>
      <w:rPr>
        <w:rFonts w:hint="default"/>
      </w:rPr>
    </w:lvl>
    <w:lvl w:ilvl="1" w:tplc="04050019">
      <w:start w:val="1"/>
      <w:numFmt w:val="lowerLetter"/>
      <w:lvlText w:val="%2."/>
      <w:lvlJc w:val="left"/>
      <w:pPr>
        <w:ind w:left="1770" w:hanging="360"/>
      </w:pPr>
    </w:lvl>
    <w:lvl w:ilvl="2" w:tplc="0405001B" w:tentative="1">
      <w:start w:val="1"/>
      <w:numFmt w:val="lowerRoman"/>
      <w:lvlText w:val="%3."/>
      <w:lvlJc w:val="right"/>
      <w:pPr>
        <w:ind w:left="2490" w:hanging="180"/>
      </w:pPr>
    </w:lvl>
    <w:lvl w:ilvl="3" w:tplc="0405000F" w:tentative="1">
      <w:start w:val="1"/>
      <w:numFmt w:val="decimal"/>
      <w:lvlText w:val="%4."/>
      <w:lvlJc w:val="left"/>
      <w:pPr>
        <w:ind w:left="3210" w:hanging="360"/>
      </w:pPr>
    </w:lvl>
    <w:lvl w:ilvl="4" w:tplc="04050019" w:tentative="1">
      <w:start w:val="1"/>
      <w:numFmt w:val="lowerLetter"/>
      <w:lvlText w:val="%5."/>
      <w:lvlJc w:val="left"/>
      <w:pPr>
        <w:ind w:left="3930" w:hanging="360"/>
      </w:pPr>
    </w:lvl>
    <w:lvl w:ilvl="5" w:tplc="0405001B" w:tentative="1">
      <w:start w:val="1"/>
      <w:numFmt w:val="lowerRoman"/>
      <w:lvlText w:val="%6."/>
      <w:lvlJc w:val="right"/>
      <w:pPr>
        <w:ind w:left="4650" w:hanging="180"/>
      </w:pPr>
    </w:lvl>
    <w:lvl w:ilvl="6" w:tplc="0405000F" w:tentative="1">
      <w:start w:val="1"/>
      <w:numFmt w:val="decimal"/>
      <w:lvlText w:val="%7."/>
      <w:lvlJc w:val="left"/>
      <w:pPr>
        <w:ind w:left="5370" w:hanging="360"/>
      </w:pPr>
    </w:lvl>
    <w:lvl w:ilvl="7" w:tplc="04050019" w:tentative="1">
      <w:start w:val="1"/>
      <w:numFmt w:val="lowerLetter"/>
      <w:lvlText w:val="%8."/>
      <w:lvlJc w:val="left"/>
      <w:pPr>
        <w:ind w:left="6090" w:hanging="360"/>
      </w:pPr>
    </w:lvl>
    <w:lvl w:ilvl="8" w:tplc="0405001B" w:tentative="1">
      <w:start w:val="1"/>
      <w:numFmt w:val="lowerRoman"/>
      <w:lvlText w:val="%9."/>
      <w:lvlJc w:val="right"/>
      <w:pPr>
        <w:ind w:left="6810" w:hanging="180"/>
      </w:pPr>
    </w:lvl>
  </w:abstractNum>
  <w:abstractNum w:abstractNumId="1" w15:restartNumberingAfterBreak="0">
    <w:nsid w:val="57397501"/>
    <w:multiLevelType w:val="hybridMultilevel"/>
    <w:tmpl w:val="578CFCFA"/>
    <w:lvl w:ilvl="0" w:tplc="25E63C44">
      <w:numFmt w:val="bullet"/>
      <w:lvlText w:val="-"/>
      <w:lvlJc w:val="left"/>
      <w:pPr>
        <w:ind w:left="720" w:hanging="360"/>
      </w:pPr>
      <w:rPr>
        <w:rFonts w:ascii="Courier New" w:eastAsia="Times New Roman"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4F06367"/>
    <w:multiLevelType w:val="hybridMultilevel"/>
    <w:tmpl w:val="B818FDE4"/>
    <w:lvl w:ilvl="0" w:tplc="EA0A0282">
      <w:start w:val="1"/>
      <w:numFmt w:val="decimal"/>
      <w:lvlText w:val="%1)"/>
      <w:lvlJc w:val="left"/>
      <w:pPr>
        <w:ind w:left="1069" w:hanging="36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13DCD"/>
    <w:rsid w:val="00013DCD"/>
    <w:rsid w:val="000521D7"/>
    <w:rsid w:val="000A7395"/>
    <w:rsid w:val="00137085"/>
    <w:rsid w:val="00245479"/>
    <w:rsid w:val="003A1A2A"/>
    <w:rsid w:val="00415762"/>
    <w:rsid w:val="004378C0"/>
    <w:rsid w:val="0057506F"/>
    <w:rsid w:val="006D16C5"/>
    <w:rsid w:val="00706B9F"/>
    <w:rsid w:val="008E3663"/>
    <w:rsid w:val="00AC6880"/>
    <w:rsid w:val="00D622C9"/>
    <w:rsid w:val="00FA65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E741AF-E61C-4EA0-A3B2-4A26BA7CA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13DCD"/>
    <w:pPr>
      <w:spacing w:after="0" w:line="0" w:lineRule="atLeast"/>
      <w:ind w:left="851" w:hanging="851"/>
    </w:pPr>
    <w:rPr>
      <w:rFonts w:ascii="Times New Roman" w:eastAsia="Times New Roman" w:hAnsi="Times New Roman" w:cs="Times New Roman"/>
      <w:sz w:val="24"/>
      <w:szCs w:val="24"/>
      <w:lang w:val="ru-RU" w:eastAsia="cs-CZ"/>
    </w:rPr>
  </w:style>
  <w:style w:type="paragraph" w:styleId="Nadpis3">
    <w:name w:val="heading 3"/>
    <w:next w:val="Normln"/>
    <w:link w:val="Nadpis3Char"/>
    <w:uiPriority w:val="9"/>
    <w:qFormat/>
    <w:rsid w:val="003A1A2A"/>
    <w:pPr>
      <w:keepNext/>
      <w:keepLines/>
      <w:spacing w:after="0" w:line="288" w:lineRule="auto"/>
      <w:outlineLvl w:val="2"/>
    </w:pPr>
    <w:rPr>
      <w:rFonts w:ascii="Arial" w:eastAsia="MS Gothic" w:hAnsi="Arial" w:cs="Times New Roman"/>
      <w:b/>
      <w:bCs/>
      <w:color w:val="0071BC"/>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013DCD"/>
    <w:pPr>
      <w:tabs>
        <w:tab w:val="left" w:pos="684"/>
      </w:tabs>
      <w:jc w:val="both"/>
    </w:pPr>
    <w:rPr>
      <w:lang w:val="cs-CZ"/>
    </w:rPr>
  </w:style>
  <w:style w:type="character" w:customStyle="1" w:styleId="ZkladntextChar">
    <w:name w:val="Základní text Char"/>
    <w:basedOn w:val="Standardnpsmoodstavce"/>
    <w:link w:val="Zkladntext"/>
    <w:semiHidden/>
    <w:rsid w:val="00013DCD"/>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qFormat/>
    <w:rsid w:val="00415762"/>
    <w:pPr>
      <w:tabs>
        <w:tab w:val="center" w:pos="4536"/>
        <w:tab w:val="right" w:pos="9072"/>
      </w:tabs>
      <w:spacing w:line="240" w:lineRule="auto"/>
    </w:pPr>
  </w:style>
  <w:style w:type="character" w:customStyle="1" w:styleId="ZhlavChar">
    <w:name w:val="Záhlaví Char"/>
    <w:basedOn w:val="Standardnpsmoodstavce"/>
    <w:link w:val="Zhlav"/>
    <w:semiHidden/>
    <w:rsid w:val="00415762"/>
    <w:rPr>
      <w:rFonts w:ascii="Times New Roman" w:eastAsia="Times New Roman" w:hAnsi="Times New Roman" w:cs="Times New Roman"/>
      <w:sz w:val="24"/>
      <w:szCs w:val="24"/>
      <w:lang w:val="ru-RU" w:eastAsia="cs-CZ"/>
    </w:rPr>
  </w:style>
  <w:style w:type="paragraph" w:styleId="Zpat">
    <w:name w:val="footer"/>
    <w:basedOn w:val="Normln"/>
    <w:link w:val="ZpatChar"/>
    <w:uiPriority w:val="99"/>
    <w:unhideWhenUsed/>
    <w:rsid w:val="00415762"/>
    <w:pPr>
      <w:tabs>
        <w:tab w:val="center" w:pos="4536"/>
        <w:tab w:val="right" w:pos="9072"/>
      </w:tabs>
      <w:spacing w:line="240" w:lineRule="auto"/>
    </w:pPr>
  </w:style>
  <w:style w:type="character" w:customStyle="1" w:styleId="ZpatChar">
    <w:name w:val="Zápatí Char"/>
    <w:basedOn w:val="Standardnpsmoodstavce"/>
    <w:link w:val="Zpat"/>
    <w:uiPriority w:val="99"/>
    <w:rsid w:val="00415762"/>
    <w:rPr>
      <w:rFonts w:ascii="Times New Roman" w:eastAsia="Times New Roman" w:hAnsi="Times New Roman" w:cs="Times New Roman"/>
      <w:sz w:val="24"/>
      <w:szCs w:val="24"/>
      <w:lang w:val="ru-RU" w:eastAsia="cs-CZ"/>
    </w:rPr>
  </w:style>
  <w:style w:type="paragraph" w:styleId="Zkladntext3">
    <w:name w:val="Body Text 3"/>
    <w:basedOn w:val="Normln"/>
    <w:link w:val="Zkladntext3Char"/>
    <w:uiPriority w:val="99"/>
    <w:semiHidden/>
    <w:unhideWhenUsed/>
    <w:rsid w:val="00415762"/>
    <w:pPr>
      <w:spacing w:after="120"/>
    </w:pPr>
    <w:rPr>
      <w:sz w:val="16"/>
      <w:szCs w:val="16"/>
    </w:rPr>
  </w:style>
  <w:style w:type="character" w:customStyle="1" w:styleId="Zkladntext3Char">
    <w:name w:val="Základní text 3 Char"/>
    <w:basedOn w:val="Standardnpsmoodstavce"/>
    <w:link w:val="Zkladntext3"/>
    <w:uiPriority w:val="99"/>
    <w:semiHidden/>
    <w:rsid w:val="00415762"/>
    <w:rPr>
      <w:rFonts w:ascii="Times New Roman" w:eastAsia="Times New Roman" w:hAnsi="Times New Roman" w:cs="Times New Roman"/>
      <w:sz w:val="16"/>
      <w:szCs w:val="16"/>
      <w:lang w:val="ru-RU" w:eastAsia="cs-CZ"/>
    </w:rPr>
  </w:style>
  <w:style w:type="paragraph" w:styleId="Zkladntextodsazen">
    <w:name w:val="Body Text Indent"/>
    <w:basedOn w:val="Normln"/>
    <w:link w:val="ZkladntextodsazenChar"/>
    <w:uiPriority w:val="99"/>
    <w:semiHidden/>
    <w:unhideWhenUsed/>
    <w:rsid w:val="00415762"/>
    <w:pPr>
      <w:spacing w:after="120"/>
      <w:ind w:left="283"/>
    </w:pPr>
  </w:style>
  <w:style w:type="character" w:customStyle="1" w:styleId="ZkladntextodsazenChar">
    <w:name w:val="Základní text odsazený Char"/>
    <w:basedOn w:val="Standardnpsmoodstavce"/>
    <w:link w:val="Zkladntextodsazen"/>
    <w:uiPriority w:val="99"/>
    <w:semiHidden/>
    <w:rsid w:val="00415762"/>
    <w:rPr>
      <w:rFonts w:ascii="Times New Roman" w:eastAsia="Times New Roman" w:hAnsi="Times New Roman" w:cs="Times New Roman"/>
      <w:sz w:val="24"/>
      <w:szCs w:val="24"/>
      <w:lang w:val="ru-RU" w:eastAsia="cs-CZ"/>
    </w:rPr>
  </w:style>
  <w:style w:type="character" w:customStyle="1" w:styleId="Nadpis3Char">
    <w:name w:val="Nadpis 3 Char"/>
    <w:basedOn w:val="Standardnpsmoodstavce"/>
    <w:link w:val="Nadpis3"/>
    <w:uiPriority w:val="9"/>
    <w:rsid w:val="003A1A2A"/>
    <w:rPr>
      <w:rFonts w:ascii="Arial" w:eastAsia="MS Gothic" w:hAnsi="Arial" w:cs="Times New Roman"/>
      <w:b/>
      <w:bCs/>
      <w:color w:val="0071BC"/>
      <w:sz w:val="24"/>
      <w:szCs w:val="24"/>
      <w:lang w:eastAsia="cs-CZ"/>
    </w:rPr>
  </w:style>
  <w:style w:type="table" w:styleId="Mkatabulky">
    <w:name w:val="Table Grid"/>
    <w:basedOn w:val="Normlntabulka"/>
    <w:uiPriority w:val="59"/>
    <w:rsid w:val="003A1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3A1A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8C531-C283-423F-B35D-AF68EA176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1186</Words>
  <Characters>7001</Characters>
  <Application>Microsoft Office Word</Application>
  <DocSecurity>0</DocSecurity>
  <Lines>58</Lines>
  <Paragraphs>16</Paragraphs>
  <ScaleCrop>false</ScaleCrop>
  <Company>CSU</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Ing. Tomáš Harák</cp:lastModifiedBy>
  <cp:revision>10</cp:revision>
  <dcterms:created xsi:type="dcterms:W3CDTF">2016-10-14T12:33:00Z</dcterms:created>
  <dcterms:modified xsi:type="dcterms:W3CDTF">2021-02-03T12:44:00Z</dcterms:modified>
</cp:coreProperties>
</file>