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8D074" w14:textId="1C43F6DE" w:rsidR="00B01D0F" w:rsidRPr="007C7C2B" w:rsidRDefault="00B01D0F" w:rsidP="00B01D0F">
      <w:pPr>
        <w:pStyle w:val="Nadpis11"/>
        <w:spacing w:after="120"/>
        <w:rPr>
          <w:lang w:val="en-GB"/>
        </w:rPr>
      </w:pPr>
      <w:bookmarkStart w:id="0" w:name="_Toc82508189"/>
      <w:bookmarkStart w:id="1" w:name="_Toc98756082"/>
      <w:r w:rsidRPr="00B43216">
        <w:t>6. </w:t>
      </w:r>
      <w:r w:rsidR="007C7C2B" w:rsidRPr="007C7C2B">
        <w:rPr>
          <w:lang w:val="en-GB"/>
        </w:rPr>
        <w:t>Labour Market</w:t>
      </w:r>
      <w:bookmarkEnd w:id="0"/>
      <w:bookmarkEnd w:id="1"/>
    </w:p>
    <w:tbl>
      <w:tblPr>
        <w:tblW w:w="9669" w:type="dxa"/>
        <w:tblInd w:w="-30" w:type="dxa"/>
        <w:tblCellMar>
          <w:left w:w="0" w:type="dxa"/>
          <w:right w:w="0" w:type="dxa"/>
        </w:tblCellMar>
        <w:tblLook w:val="00A0" w:firstRow="1" w:lastRow="0" w:firstColumn="1" w:lastColumn="0" w:noHBand="0" w:noVBand="0"/>
      </w:tblPr>
      <w:tblGrid>
        <w:gridCol w:w="1600"/>
        <w:gridCol w:w="189"/>
        <w:gridCol w:w="7880"/>
      </w:tblGrid>
      <w:tr w:rsidR="00B01D0F" w:rsidRPr="007C7C2B" w14:paraId="00FA3749" w14:textId="77777777" w:rsidTr="008E039E">
        <w:trPr>
          <w:trHeight w:val="155"/>
        </w:trPr>
        <w:tc>
          <w:tcPr>
            <w:tcW w:w="1600" w:type="dxa"/>
            <w:shd w:val="clear" w:color="auto" w:fill="auto"/>
            <w:tcMar>
              <w:left w:w="0" w:type="dxa"/>
            </w:tcMar>
          </w:tcPr>
          <w:p w14:paraId="1001E682" w14:textId="1F59F96C" w:rsidR="00B01D0F" w:rsidRPr="007C7C2B" w:rsidRDefault="00F94882" w:rsidP="008E039E">
            <w:pPr>
              <w:pStyle w:val="Marginlie"/>
              <w:spacing w:after="120"/>
              <w:rPr>
                <w:spacing w:val="-4"/>
                <w:lang w:val="en-GB"/>
              </w:rPr>
            </w:pPr>
            <w:r>
              <w:rPr>
                <w:spacing w:val="-4"/>
                <w:lang w:val="en-GB"/>
              </w:rPr>
              <w:t xml:space="preserve">Labour market in the CR </w:t>
            </w:r>
            <w:r w:rsidR="002F1F85">
              <w:rPr>
                <w:spacing w:val="-4"/>
                <w:lang w:val="en-GB"/>
              </w:rPr>
              <w:t>benefited from renewed economic growth during year 2</w:t>
            </w:r>
            <w:r w:rsidR="00B01D0F" w:rsidRPr="007C7C2B">
              <w:rPr>
                <w:spacing w:val="-4"/>
                <w:lang w:val="en-GB"/>
              </w:rPr>
              <w:t>021</w:t>
            </w:r>
            <w:r w:rsidR="002F1F85">
              <w:rPr>
                <w:spacing w:val="-4"/>
                <w:lang w:val="en-GB"/>
              </w:rPr>
              <w:t xml:space="preserve">, </w:t>
            </w:r>
            <w:r w:rsidR="008A569C">
              <w:rPr>
                <w:spacing w:val="-4"/>
                <w:lang w:val="en-GB"/>
              </w:rPr>
              <w:t xml:space="preserve">termination </w:t>
            </w:r>
            <w:r w:rsidR="002F1F85">
              <w:rPr>
                <w:spacing w:val="-4"/>
                <w:lang w:val="en-GB"/>
              </w:rPr>
              <w:t xml:space="preserve">of the majority of support programmers did not have an adverse effect. </w:t>
            </w:r>
          </w:p>
        </w:tc>
        <w:tc>
          <w:tcPr>
            <w:tcW w:w="189" w:type="dxa"/>
            <w:shd w:val="clear" w:color="auto" w:fill="auto"/>
            <w:tcMar>
              <w:left w:w="0" w:type="dxa"/>
            </w:tcMar>
          </w:tcPr>
          <w:p w14:paraId="33F4C013" w14:textId="77777777" w:rsidR="00B01D0F" w:rsidRPr="007C7C2B" w:rsidRDefault="00B01D0F" w:rsidP="008E039E">
            <w:pPr>
              <w:pStyle w:val="Textpoznpodarou"/>
              <w:spacing w:after="120"/>
              <w:jc w:val="both"/>
              <w:rPr>
                <w:spacing w:val="-4"/>
                <w:lang w:val="en-GB"/>
              </w:rPr>
            </w:pPr>
          </w:p>
        </w:tc>
        <w:tc>
          <w:tcPr>
            <w:tcW w:w="7880" w:type="dxa"/>
            <w:shd w:val="clear" w:color="auto" w:fill="auto"/>
            <w:tcMar>
              <w:left w:w="0" w:type="dxa"/>
            </w:tcMar>
          </w:tcPr>
          <w:p w14:paraId="4F79713E" w14:textId="778AC083" w:rsidR="00B01D0F" w:rsidRPr="007C7C2B" w:rsidRDefault="004A0597" w:rsidP="008E039E">
            <w:pPr>
              <w:rPr>
                <w:spacing w:val="-4"/>
                <w:lang w:val="en-GB"/>
              </w:rPr>
            </w:pPr>
            <w:r>
              <w:rPr>
                <w:spacing w:val="-4"/>
                <w:lang w:val="en-GB"/>
              </w:rPr>
              <w:t xml:space="preserve">Labour market in the CR gradually </w:t>
            </w:r>
            <w:r w:rsidR="000D6D7C">
              <w:rPr>
                <w:spacing w:val="-4"/>
                <w:lang w:val="en-GB"/>
              </w:rPr>
              <w:t xml:space="preserve">returned </w:t>
            </w:r>
            <w:r>
              <w:rPr>
                <w:spacing w:val="-4"/>
                <w:lang w:val="en-GB"/>
              </w:rPr>
              <w:t xml:space="preserve">to the state of the </w:t>
            </w:r>
            <w:r w:rsidR="000D6D7C">
              <w:rPr>
                <w:spacing w:val="-4"/>
                <w:lang w:val="en-GB"/>
              </w:rPr>
              <w:t>period of the pre pandemic expansion characterised by strong tension between the demand for labour o</w:t>
            </w:r>
            <w:r w:rsidR="00E469FC">
              <w:rPr>
                <w:spacing w:val="-4"/>
                <w:lang w:val="en-GB"/>
              </w:rPr>
              <w:t>n</w:t>
            </w:r>
            <w:r w:rsidR="000D6D7C">
              <w:rPr>
                <w:spacing w:val="-4"/>
                <w:lang w:val="en-GB"/>
              </w:rPr>
              <w:t xml:space="preserve"> the part of businesses and substantially limited domestic sources of potential labour force.</w:t>
            </w:r>
            <w:r w:rsidR="008A569C">
              <w:rPr>
                <w:spacing w:val="-4"/>
                <w:lang w:val="en-GB"/>
              </w:rPr>
              <w:t xml:space="preserve"> In continuity </w:t>
            </w:r>
            <w:r w:rsidR="00A7074A">
              <w:rPr>
                <w:spacing w:val="-4"/>
                <w:lang w:val="en-GB"/>
              </w:rPr>
              <w:t>on</w:t>
            </w:r>
            <w:r w:rsidR="008A569C">
              <w:rPr>
                <w:spacing w:val="-4"/>
                <w:lang w:val="en-GB"/>
              </w:rPr>
              <w:t xml:space="preserve"> last year</w:t>
            </w:r>
            <w:r w:rsidR="008A569C">
              <w:rPr>
                <w:spacing w:val="-4"/>
                <w:lang w:val="en-US"/>
              </w:rPr>
              <w:t xml:space="preserve">’s Spring loosening of counter pandemic measures, gradual termination of decisive part of the government </w:t>
            </w:r>
            <w:r w:rsidR="008A569C" w:rsidRPr="008A569C">
              <w:rPr>
                <w:spacing w:val="-4"/>
                <w:lang w:val="en-GB"/>
              </w:rPr>
              <w:t>supportive programmes aimed at employment stabilization as well as the overall financial situation of businesses took place.</w:t>
            </w:r>
            <w:r w:rsidR="001C547D">
              <w:rPr>
                <w:spacing w:val="-4"/>
                <w:lang w:val="en-GB"/>
              </w:rPr>
              <w:t xml:space="preserve"> The consequences of cessation of this support were outweighed by the positive influences stemming from the launch of the economic growth saturated by higher private as well as public consumption and also the restoring investment activity. </w:t>
            </w:r>
            <w:r w:rsidR="00442990">
              <w:rPr>
                <w:spacing w:val="-4"/>
                <w:lang w:val="en-GB"/>
              </w:rPr>
              <w:t>Revival on the labour market continued also in Q</w:t>
            </w:r>
            <w:r w:rsidR="00B01D0F" w:rsidRPr="007C7C2B">
              <w:rPr>
                <w:spacing w:val="-4"/>
                <w:lang w:val="en-GB"/>
              </w:rPr>
              <w:t>4</w:t>
            </w:r>
            <w:r w:rsidR="00442990">
              <w:rPr>
                <w:spacing w:val="-4"/>
                <w:lang w:val="en-GB"/>
              </w:rPr>
              <w:t xml:space="preserve"> </w:t>
            </w:r>
            <w:r w:rsidR="00B01D0F" w:rsidRPr="007C7C2B">
              <w:rPr>
                <w:spacing w:val="-4"/>
                <w:lang w:val="en-GB"/>
              </w:rPr>
              <w:t>2021,</w:t>
            </w:r>
            <w:r w:rsidR="00442990">
              <w:rPr>
                <w:spacing w:val="-4"/>
                <w:lang w:val="en-GB"/>
              </w:rPr>
              <w:t xml:space="preserve"> since the deterioration of the epidemic situation intensified by the escalation of the supplier difficulties in industry did not notably show in the employment area</w:t>
            </w:r>
            <w:r w:rsidR="00B01D0F" w:rsidRPr="007C7C2B">
              <w:rPr>
                <w:spacing w:val="-4"/>
                <w:lang w:val="en-GB"/>
              </w:rPr>
              <w:t xml:space="preserve"> (</w:t>
            </w:r>
            <w:r w:rsidR="00442990">
              <w:rPr>
                <w:spacing w:val="-4"/>
                <w:lang w:val="en-GB"/>
              </w:rPr>
              <w:t>both real and from the view of short-term anticipations</w:t>
            </w:r>
            <w:r w:rsidR="00B01D0F" w:rsidRPr="007C7C2B">
              <w:rPr>
                <w:spacing w:val="-4"/>
                <w:lang w:val="en-GB"/>
              </w:rPr>
              <w:t>)</w:t>
            </w:r>
            <w:r w:rsidR="00442990">
              <w:rPr>
                <w:spacing w:val="-4"/>
                <w:lang w:val="en-GB"/>
              </w:rPr>
              <w:t xml:space="preserve">. This is to a considerable extent also valid for the area of average wages in the market branches. </w:t>
            </w:r>
            <w:r w:rsidR="001D7A6E">
              <w:rPr>
                <w:spacing w:val="-4"/>
                <w:lang w:val="en-GB"/>
              </w:rPr>
              <w:t xml:space="preserve">However, through the fault of the significant acceleration of consumer prices at the end of the year the average employee earnings dropped in real terms in the majority of branches year-on-year, in some even in total for the whole year </w:t>
            </w:r>
            <w:r w:rsidR="00B01D0F" w:rsidRPr="007C7C2B">
              <w:rPr>
                <w:spacing w:val="-4"/>
                <w:lang w:val="en-GB"/>
              </w:rPr>
              <w:t>2021.</w:t>
            </w:r>
          </w:p>
        </w:tc>
      </w:tr>
      <w:tr w:rsidR="00B01D0F" w:rsidRPr="006237E6" w14:paraId="35EEB909" w14:textId="77777777" w:rsidTr="008E039E">
        <w:trPr>
          <w:trHeight w:val="155"/>
        </w:trPr>
        <w:tc>
          <w:tcPr>
            <w:tcW w:w="1600" w:type="dxa"/>
            <w:shd w:val="clear" w:color="auto" w:fill="auto"/>
            <w:tcMar>
              <w:left w:w="0" w:type="dxa"/>
            </w:tcMar>
          </w:tcPr>
          <w:p w14:paraId="1A27A43E" w14:textId="660775D2" w:rsidR="00B01D0F" w:rsidRPr="002F1F85" w:rsidRDefault="002F1F85" w:rsidP="008E039E">
            <w:pPr>
              <w:pStyle w:val="Marginlie"/>
              <w:spacing w:after="120"/>
              <w:rPr>
                <w:spacing w:val="-4"/>
                <w:lang w:val="en-GB"/>
              </w:rPr>
            </w:pPr>
            <w:r>
              <w:rPr>
                <w:spacing w:val="-4"/>
                <w:lang w:val="en-GB"/>
              </w:rPr>
              <w:t xml:space="preserve">Number of employees already nearly evened up to the level from year </w:t>
            </w:r>
            <w:r w:rsidR="00B01D0F" w:rsidRPr="002F1F85">
              <w:rPr>
                <w:spacing w:val="-4"/>
                <w:lang w:val="en-GB"/>
              </w:rPr>
              <w:t xml:space="preserve">2019. </w:t>
            </w:r>
            <w:r w:rsidR="004A0597">
              <w:rPr>
                <w:spacing w:val="-4"/>
                <w:lang w:val="en-GB"/>
              </w:rPr>
              <w:t>Decrease of entrepreneurs on the contrary deepened.</w:t>
            </w:r>
          </w:p>
        </w:tc>
        <w:tc>
          <w:tcPr>
            <w:tcW w:w="189" w:type="dxa"/>
            <w:shd w:val="clear" w:color="auto" w:fill="auto"/>
            <w:tcMar>
              <w:left w:w="0" w:type="dxa"/>
            </w:tcMar>
          </w:tcPr>
          <w:p w14:paraId="7DD4A541" w14:textId="77777777" w:rsidR="00B01D0F" w:rsidRPr="003B1401" w:rsidRDefault="00B01D0F" w:rsidP="008E039E">
            <w:pPr>
              <w:pStyle w:val="Textpoznpodarou"/>
              <w:spacing w:after="120"/>
              <w:jc w:val="both"/>
              <w:rPr>
                <w:spacing w:val="-4"/>
              </w:rPr>
            </w:pPr>
          </w:p>
        </w:tc>
        <w:tc>
          <w:tcPr>
            <w:tcW w:w="7880" w:type="dxa"/>
            <w:shd w:val="clear" w:color="auto" w:fill="auto"/>
            <w:tcMar>
              <w:left w:w="0" w:type="dxa"/>
            </w:tcMar>
          </w:tcPr>
          <w:p w14:paraId="61D4A5EF" w14:textId="66960D4E" w:rsidR="00B01D0F" w:rsidRPr="00BA3ECA" w:rsidRDefault="007F22F1" w:rsidP="008E039E">
            <w:pPr>
              <w:rPr>
                <w:spacing w:val="-4"/>
                <w:lang w:val="en-GB"/>
              </w:rPr>
            </w:pPr>
            <w:r w:rsidRPr="00BA3ECA">
              <w:rPr>
                <w:spacing w:val="-4"/>
                <w:lang w:val="en-GB"/>
              </w:rPr>
              <w:t>Total employment</w:t>
            </w:r>
            <w:r w:rsidR="00B01D0F" w:rsidRPr="00BA3ECA">
              <w:rPr>
                <w:color w:val="0D0D0D" w:themeColor="text1" w:themeTint="F2"/>
                <w:spacing w:val="-4"/>
                <w:vertAlign w:val="superscript"/>
                <w:lang w:val="en-GB"/>
              </w:rPr>
              <w:footnoteReference w:id="1"/>
            </w:r>
            <w:r w:rsidRPr="00BA3ECA">
              <w:rPr>
                <w:spacing w:val="-4"/>
                <w:lang w:val="en-GB"/>
              </w:rPr>
              <w:t xml:space="preserve"> mildly grew quarter-on-quarter throughout the whole last year.</w:t>
            </w:r>
            <w:r w:rsidR="00BA3ECA">
              <w:rPr>
                <w:spacing w:val="-4"/>
                <w:lang w:val="en-GB"/>
              </w:rPr>
              <w:t xml:space="preserve"> In H2, the growth rate slightly weakened due to the situation in industry </w:t>
            </w:r>
            <w:r w:rsidR="00B01D0F" w:rsidRPr="00BA3ECA">
              <w:rPr>
                <w:spacing w:val="-4"/>
                <w:lang w:val="en-GB"/>
              </w:rPr>
              <w:t>(</w:t>
            </w:r>
            <w:r w:rsidR="00BA3ECA">
              <w:rPr>
                <w:spacing w:val="-4"/>
                <w:lang w:val="en-GB"/>
              </w:rPr>
              <w:t xml:space="preserve">down to </w:t>
            </w:r>
            <w:r w:rsidR="00B01D0F" w:rsidRPr="00BA3ECA">
              <w:rPr>
                <w:spacing w:val="-4"/>
                <w:lang w:val="en-GB"/>
              </w:rPr>
              <w:t>+0</w:t>
            </w:r>
            <w:r w:rsidR="00BA3ECA">
              <w:rPr>
                <w:spacing w:val="-4"/>
                <w:lang w:val="en-GB"/>
              </w:rPr>
              <w:t>.</w:t>
            </w:r>
            <w:r w:rsidR="00B01D0F" w:rsidRPr="00BA3ECA">
              <w:rPr>
                <w:spacing w:val="-4"/>
                <w:lang w:val="en-GB"/>
              </w:rPr>
              <w:t xml:space="preserve">1% </w:t>
            </w:r>
            <w:r w:rsidR="00BA3ECA">
              <w:rPr>
                <w:spacing w:val="-4"/>
                <w:lang w:val="en-GB"/>
              </w:rPr>
              <w:t>in the last quarter</w:t>
            </w:r>
            <w:r w:rsidR="00B01D0F" w:rsidRPr="00BA3ECA">
              <w:rPr>
                <w:spacing w:val="-4"/>
                <w:lang w:val="en-GB"/>
              </w:rPr>
              <w:t>),</w:t>
            </w:r>
            <w:r w:rsidR="00BA3ECA">
              <w:rPr>
                <w:spacing w:val="-4"/>
                <w:lang w:val="en-GB"/>
              </w:rPr>
              <w:t xml:space="preserve"> the vast majority of main branches presented at least a mild growth. In Q4 thus there were in total</w:t>
            </w:r>
            <w:r w:rsidR="00105B6B">
              <w:rPr>
                <w:spacing w:val="-4"/>
                <w:lang w:val="en-GB"/>
              </w:rPr>
              <w:t xml:space="preserve"> </w:t>
            </w:r>
            <w:r w:rsidR="00B01D0F" w:rsidRPr="00BA3ECA">
              <w:rPr>
                <w:spacing w:val="-4"/>
                <w:lang w:val="en-GB"/>
              </w:rPr>
              <w:t>5</w:t>
            </w:r>
            <w:r w:rsidR="00BA3ECA">
              <w:rPr>
                <w:spacing w:val="-4"/>
                <w:lang w:val="en-GB"/>
              </w:rPr>
              <w:t>.</w:t>
            </w:r>
            <w:r w:rsidR="00B01D0F" w:rsidRPr="00BA3ECA">
              <w:rPr>
                <w:spacing w:val="-4"/>
                <w:lang w:val="en-GB"/>
              </w:rPr>
              <w:t>37</w:t>
            </w:r>
            <w:r w:rsidR="00BA3ECA">
              <w:rPr>
                <w:spacing w:val="-4"/>
                <w:lang w:val="en-GB"/>
              </w:rPr>
              <w:t xml:space="preserve"> mil persons</w:t>
            </w:r>
            <w:r w:rsidR="00105B6B">
              <w:rPr>
                <w:spacing w:val="-4"/>
                <w:lang w:val="en-GB"/>
              </w:rPr>
              <w:t xml:space="preserve"> working</w:t>
            </w:r>
            <w:r w:rsidR="00BA3ECA">
              <w:rPr>
                <w:spacing w:val="-4"/>
                <w:lang w:val="en-GB"/>
              </w:rPr>
              <w:t xml:space="preserve"> in the domestic economy, by </w:t>
            </w:r>
            <w:r w:rsidR="00B01D0F" w:rsidRPr="00BA3ECA">
              <w:rPr>
                <w:spacing w:val="-4"/>
                <w:lang w:val="en-GB"/>
              </w:rPr>
              <w:t>1</w:t>
            </w:r>
            <w:r w:rsidR="00BA3ECA">
              <w:rPr>
                <w:spacing w:val="-4"/>
                <w:lang w:val="en-GB"/>
              </w:rPr>
              <w:t>.</w:t>
            </w:r>
            <w:r w:rsidR="00B01D0F" w:rsidRPr="00BA3ECA">
              <w:rPr>
                <w:spacing w:val="-4"/>
                <w:lang w:val="en-GB"/>
              </w:rPr>
              <w:t>3%</w:t>
            </w:r>
            <w:r w:rsidR="00BA3ECA">
              <w:rPr>
                <w:spacing w:val="-4"/>
                <w:lang w:val="en-GB"/>
              </w:rPr>
              <w:t xml:space="preserve"> more year-on-year </w:t>
            </w:r>
            <w:r w:rsidR="00B01D0F" w:rsidRPr="00BA3ECA">
              <w:rPr>
                <w:spacing w:val="-4"/>
                <w:lang w:val="en-GB"/>
              </w:rPr>
              <w:t>(</w:t>
            </w:r>
            <w:r w:rsidR="00105B6B">
              <w:rPr>
                <w:spacing w:val="-4"/>
                <w:lang w:val="en-GB"/>
              </w:rPr>
              <w:t xml:space="preserve">compared to the peak of the pre pandemic period however, the number of employees still lagged by nearly </w:t>
            </w:r>
            <w:r w:rsidR="00B01D0F" w:rsidRPr="00BA3ECA">
              <w:rPr>
                <w:spacing w:val="-4"/>
                <w:lang w:val="en-GB"/>
              </w:rPr>
              <w:t>80 t</w:t>
            </w:r>
            <w:r w:rsidR="00105B6B">
              <w:rPr>
                <w:spacing w:val="-4"/>
                <w:lang w:val="en-GB"/>
              </w:rPr>
              <w:t>housand persons</w:t>
            </w:r>
            <w:r w:rsidR="00B01D0F" w:rsidRPr="00BA3ECA">
              <w:rPr>
                <w:spacing w:val="-4"/>
                <w:lang w:val="en-GB"/>
              </w:rPr>
              <w:t>).</w:t>
            </w:r>
            <w:r w:rsidR="00105B6B">
              <w:rPr>
                <w:spacing w:val="-4"/>
                <w:lang w:val="en-GB"/>
              </w:rPr>
              <w:t xml:space="preserve"> </w:t>
            </w:r>
            <w:r w:rsidR="00FA1A7F">
              <w:rPr>
                <w:spacing w:val="-4"/>
                <w:lang w:val="en-GB"/>
              </w:rPr>
              <w:t>Exclusively employees participated on the year-on-year growth, the</w:t>
            </w:r>
            <w:r w:rsidR="00760B2F">
              <w:rPr>
                <w:spacing w:val="-4"/>
                <w:lang w:val="en-GB"/>
              </w:rPr>
              <w:t>i</w:t>
            </w:r>
            <w:r w:rsidR="00FA1A7F">
              <w:rPr>
                <w:spacing w:val="-4"/>
                <w:lang w:val="en-GB"/>
              </w:rPr>
              <w:t xml:space="preserve">r levels expanded by 107 thousand in Q4 </w:t>
            </w:r>
            <w:r w:rsidR="00B01D0F" w:rsidRPr="00BA3ECA">
              <w:rPr>
                <w:spacing w:val="-4"/>
                <w:lang w:val="en-GB"/>
              </w:rPr>
              <w:t>(2</w:t>
            </w:r>
            <w:r w:rsidR="00FA1A7F">
              <w:rPr>
                <w:spacing w:val="-4"/>
                <w:lang w:val="en-GB"/>
              </w:rPr>
              <w:t>.</w:t>
            </w:r>
            <w:r w:rsidR="00B01D0F" w:rsidRPr="00BA3ECA">
              <w:rPr>
                <w:spacing w:val="-4"/>
                <w:lang w:val="en-GB"/>
              </w:rPr>
              <w:t>3%) a</w:t>
            </w:r>
            <w:r w:rsidR="00FA1A7F">
              <w:rPr>
                <w:spacing w:val="-4"/>
                <w:lang w:val="en-GB"/>
              </w:rPr>
              <w:t>nd they</w:t>
            </w:r>
            <w:r w:rsidR="00760B2F">
              <w:rPr>
                <w:spacing w:val="-4"/>
                <w:lang w:val="en-GB"/>
              </w:rPr>
              <w:t xml:space="preserve"> already</w:t>
            </w:r>
            <w:r w:rsidR="00FA1A7F">
              <w:rPr>
                <w:spacing w:val="-4"/>
                <w:lang w:val="en-GB"/>
              </w:rPr>
              <w:t xml:space="preserve"> nearly </w:t>
            </w:r>
            <w:r w:rsidR="00760B2F">
              <w:rPr>
                <w:spacing w:val="-4"/>
                <w:lang w:val="en-GB"/>
              </w:rPr>
              <w:t xml:space="preserve">evened up </w:t>
            </w:r>
            <w:r w:rsidR="00FA1A7F">
              <w:rPr>
                <w:spacing w:val="-4"/>
                <w:lang w:val="en-GB"/>
              </w:rPr>
              <w:t xml:space="preserve">the record size from </w:t>
            </w:r>
            <w:r w:rsidR="00760B2F">
              <w:rPr>
                <w:spacing w:val="-4"/>
                <w:lang w:val="en-GB"/>
              </w:rPr>
              <w:t xml:space="preserve">year </w:t>
            </w:r>
            <w:r w:rsidR="00B01D0F" w:rsidRPr="00BA3ECA">
              <w:rPr>
                <w:spacing w:val="-4"/>
                <w:lang w:val="en-GB"/>
              </w:rPr>
              <w:t xml:space="preserve">2019. </w:t>
            </w:r>
            <w:r w:rsidR="00105B6B">
              <w:rPr>
                <w:spacing w:val="-4"/>
                <w:lang w:val="en-GB"/>
              </w:rPr>
              <w:t>On the contrary the decrease of the number of entrepreneurs</w:t>
            </w:r>
            <w:r w:rsidR="00B01D0F" w:rsidRPr="00BA3ECA">
              <w:rPr>
                <w:rStyle w:val="Znakapoznpodarou"/>
                <w:spacing w:val="-4"/>
                <w:lang w:val="en-GB"/>
              </w:rPr>
              <w:footnoteReference w:id="2"/>
            </w:r>
            <w:r w:rsidR="00105B6B">
              <w:rPr>
                <w:spacing w:val="-4"/>
                <w:lang w:val="en-GB"/>
              </w:rPr>
              <w:t xml:space="preserve"> deepened to </w:t>
            </w:r>
            <w:r w:rsidR="00B01D0F" w:rsidRPr="00BA3ECA">
              <w:rPr>
                <w:spacing w:val="-4"/>
                <w:lang w:val="en-GB"/>
              </w:rPr>
              <w:t>40 t</w:t>
            </w:r>
            <w:r w:rsidR="00105B6B">
              <w:rPr>
                <w:spacing w:val="-4"/>
                <w:lang w:val="en-GB"/>
              </w:rPr>
              <w:t xml:space="preserve">housand </w:t>
            </w:r>
            <w:r w:rsidR="00B01D0F" w:rsidRPr="00BA3ECA">
              <w:rPr>
                <w:spacing w:val="-4"/>
                <w:lang w:val="en-GB"/>
              </w:rPr>
              <w:t>(5</w:t>
            </w:r>
            <w:r w:rsidR="00105B6B">
              <w:rPr>
                <w:spacing w:val="-4"/>
                <w:lang w:val="en-GB"/>
              </w:rPr>
              <w:t>.</w:t>
            </w:r>
            <w:r w:rsidR="00B01D0F" w:rsidRPr="00BA3ECA">
              <w:rPr>
                <w:spacing w:val="-4"/>
                <w:lang w:val="en-GB"/>
              </w:rPr>
              <w:t>4%) a</w:t>
            </w:r>
            <w:r w:rsidR="00105B6B">
              <w:rPr>
                <w:spacing w:val="-4"/>
                <w:lang w:val="en-GB"/>
              </w:rPr>
              <w:t xml:space="preserve">nd </w:t>
            </w:r>
            <w:r w:rsidR="008D7710">
              <w:rPr>
                <w:spacing w:val="-4"/>
                <w:lang w:val="en-GB"/>
              </w:rPr>
              <w:t>their number shrank also in comparison to Q</w:t>
            </w:r>
            <w:r w:rsidR="00B01D0F" w:rsidRPr="00BA3ECA">
              <w:rPr>
                <w:spacing w:val="-4"/>
                <w:lang w:val="en-GB"/>
              </w:rPr>
              <w:t>3</w:t>
            </w:r>
            <w:r w:rsidR="008D7710">
              <w:rPr>
                <w:spacing w:val="-4"/>
                <w:lang w:val="en-GB"/>
              </w:rPr>
              <w:t xml:space="preserve"> </w:t>
            </w:r>
            <w:r w:rsidR="00B01D0F" w:rsidRPr="00BA3ECA">
              <w:rPr>
                <w:spacing w:val="-4"/>
                <w:lang w:val="en-GB"/>
              </w:rPr>
              <w:t>2021 (</w:t>
            </w:r>
            <w:r w:rsidR="008D7710">
              <w:rPr>
                <w:spacing w:val="-4"/>
                <w:lang w:val="en-GB"/>
              </w:rPr>
              <w:t xml:space="preserve">by </w:t>
            </w:r>
            <w:r w:rsidR="00B01D0F" w:rsidRPr="00BA3ECA">
              <w:rPr>
                <w:spacing w:val="-4"/>
                <w:lang w:val="en-GB"/>
              </w:rPr>
              <w:t>0</w:t>
            </w:r>
            <w:r w:rsidR="008D7710">
              <w:rPr>
                <w:spacing w:val="-4"/>
                <w:lang w:val="en-GB"/>
              </w:rPr>
              <w:t>.</w:t>
            </w:r>
            <w:r w:rsidR="00B01D0F" w:rsidRPr="00BA3ECA">
              <w:rPr>
                <w:spacing w:val="-4"/>
                <w:lang w:val="en-GB"/>
              </w:rPr>
              <w:t>2%).</w:t>
            </w:r>
            <w:r w:rsidR="008D7710">
              <w:rPr>
                <w:spacing w:val="-4"/>
                <w:lang w:val="en-GB"/>
              </w:rPr>
              <w:t xml:space="preserve"> </w:t>
            </w:r>
            <w:r w:rsidR="00E713E6">
              <w:rPr>
                <w:spacing w:val="-4"/>
                <w:lang w:val="en-GB"/>
              </w:rPr>
              <w:t xml:space="preserve">The year-on-year decrease occurred primarily due to the development in manufacturing, the number of self-employed however declined in nearly all main branches. </w:t>
            </w:r>
            <w:r w:rsidR="0000232E">
              <w:rPr>
                <w:spacing w:val="-4"/>
                <w:lang w:val="en-GB"/>
              </w:rPr>
              <w:t>It cannot be ruled out, that part of the decrease of self-employed persons was connected to their transfer into the employee position</w:t>
            </w:r>
            <w:r w:rsidR="00B01D0F" w:rsidRPr="00BA3ECA">
              <w:rPr>
                <w:rStyle w:val="Znakapoznpodarou"/>
                <w:spacing w:val="-4"/>
                <w:lang w:val="en-GB"/>
              </w:rPr>
              <w:footnoteReference w:id="3"/>
            </w:r>
            <w:r w:rsidR="00B01D0F" w:rsidRPr="00BA3ECA">
              <w:rPr>
                <w:spacing w:val="-4"/>
                <w:lang w:val="en-GB"/>
              </w:rPr>
              <w:t>.</w:t>
            </w:r>
          </w:p>
        </w:tc>
      </w:tr>
      <w:tr w:rsidR="00B01D0F" w:rsidRPr="006237E6" w14:paraId="094C9323" w14:textId="77777777" w:rsidTr="008E039E">
        <w:trPr>
          <w:trHeight w:val="155"/>
        </w:trPr>
        <w:tc>
          <w:tcPr>
            <w:tcW w:w="1600" w:type="dxa"/>
            <w:shd w:val="clear" w:color="auto" w:fill="auto"/>
            <w:tcMar>
              <w:left w:w="0" w:type="dxa"/>
            </w:tcMar>
          </w:tcPr>
          <w:p w14:paraId="223D67BC" w14:textId="5E65F098" w:rsidR="00B01D0F" w:rsidRPr="00BA3ECA" w:rsidRDefault="00DC21F3" w:rsidP="008E039E">
            <w:pPr>
              <w:pStyle w:val="Marginlie"/>
              <w:spacing w:after="120"/>
              <w:rPr>
                <w:spacing w:val="-4"/>
                <w:lang w:val="en-GB"/>
              </w:rPr>
            </w:pPr>
            <w:r>
              <w:rPr>
                <w:spacing w:val="-4"/>
                <w:lang w:val="en-GB"/>
              </w:rPr>
              <w:t xml:space="preserve">Public services </w:t>
            </w:r>
            <w:r w:rsidR="00A46670">
              <w:rPr>
                <w:spacing w:val="-4"/>
                <w:lang w:val="en-GB"/>
              </w:rPr>
              <w:t>exerted a pro-growth effect on the total employment in Q</w:t>
            </w:r>
            <w:r w:rsidR="00B01D0F" w:rsidRPr="00BA3ECA">
              <w:rPr>
                <w:spacing w:val="-4"/>
                <w:lang w:val="en-GB"/>
              </w:rPr>
              <w:t>4</w:t>
            </w:r>
            <w:r w:rsidR="00A46670">
              <w:rPr>
                <w:spacing w:val="-4"/>
                <w:lang w:val="en-GB"/>
              </w:rPr>
              <w:t xml:space="preserve"> </w:t>
            </w:r>
            <w:r w:rsidR="00B01D0F" w:rsidRPr="00BA3ECA">
              <w:rPr>
                <w:spacing w:val="-4"/>
                <w:lang w:val="en-GB"/>
              </w:rPr>
              <w:t>2021</w:t>
            </w:r>
            <w:r w:rsidR="00A46670">
              <w:rPr>
                <w:spacing w:val="-4"/>
                <w:lang w:val="en-GB"/>
              </w:rPr>
              <w:t xml:space="preserve"> even during the whole pandemic period. </w:t>
            </w:r>
          </w:p>
        </w:tc>
        <w:tc>
          <w:tcPr>
            <w:tcW w:w="189" w:type="dxa"/>
            <w:shd w:val="clear" w:color="auto" w:fill="auto"/>
            <w:tcMar>
              <w:left w:w="0" w:type="dxa"/>
            </w:tcMar>
          </w:tcPr>
          <w:p w14:paraId="28C16C7E" w14:textId="77777777" w:rsidR="00B01D0F" w:rsidRPr="00BA3ECA" w:rsidRDefault="00B01D0F" w:rsidP="008E039E">
            <w:pPr>
              <w:pStyle w:val="Textpoznpodarou"/>
              <w:spacing w:after="120"/>
              <w:jc w:val="both"/>
              <w:rPr>
                <w:spacing w:val="-4"/>
                <w:lang w:val="en-GB"/>
              </w:rPr>
            </w:pPr>
          </w:p>
        </w:tc>
        <w:tc>
          <w:tcPr>
            <w:tcW w:w="7880" w:type="dxa"/>
            <w:shd w:val="clear" w:color="auto" w:fill="auto"/>
            <w:tcMar>
              <w:left w:w="0" w:type="dxa"/>
            </w:tcMar>
          </w:tcPr>
          <w:p w14:paraId="1F6BE568" w14:textId="35E03961" w:rsidR="00B01D0F" w:rsidRPr="00BA3ECA" w:rsidRDefault="000A2065" w:rsidP="00AC7ACA">
            <w:pPr>
              <w:spacing w:after="200"/>
              <w:rPr>
                <w:spacing w:val="-4"/>
                <w:lang w:val="en-GB"/>
              </w:rPr>
            </w:pPr>
            <w:r>
              <w:rPr>
                <w:spacing w:val="-4"/>
                <w:lang w:val="en-GB"/>
              </w:rPr>
              <w:t xml:space="preserve">Movements in services were determining for the year-on-year growth of employment in the second half of the last year. </w:t>
            </w:r>
            <w:r w:rsidR="00B01D0F" w:rsidRPr="00BA3ECA">
              <w:rPr>
                <w:spacing w:val="-4"/>
                <w:lang w:val="en-GB"/>
              </w:rPr>
              <w:t>1</w:t>
            </w:r>
            <w:r w:rsidR="007243A2">
              <w:rPr>
                <w:spacing w:val="-4"/>
                <w:lang w:val="en-GB"/>
              </w:rPr>
              <w:t>.</w:t>
            </w:r>
            <w:r w:rsidR="00B01D0F" w:rsidRPr="00BA3ECA">
              <w:rPr>
                <w:spacing w:val="-4"/>
                <w:lang w:val="en-GB"/>
              </w:rPr>
              <w:t>8%</w:t>
            </w:r>
            <w:r w:rsidR="007243A2">
              <w:rPr>
                <w:spacing w:val="-4"/>
                <w:lang w:val="en-GB"/>
              </w:rPr>
              <w:t xml:space="preserve"> employees </w:t>
            </w:r>
            <w:r w:rsidR="0075399B">
              <w:rPr>
                <w:spacing w:val="-4"/>
                <w:lang w:val="en-GB"/>
              </w:rPr>
              <w:t xml:space="preserve">(58 thousand) </w:t>
            </w:r>
            <w:r w:rsidR="007243A2">
              <w:rPr>
                <w:spacing w:val="-4"/>
                <w:lang w:val="en-GB"/>
              </w:rPr>
              <w:t xml:space="preserve">were added in the whole </w:t>
            </w:r>
            <w:r w:rsidR="0075399B">
              <w:rPr>
                <w:spacing w:val="-4"/>
                <w:lang w:val="en-GB"/>
              </w:rPr>
              <w:t>tertiary</w:t>
            </w:r>
            <w:r w:rsidR="007243A2">
              <w:rPr>
                <w:spacing w:val="-4"/>
                <w:lang w:val="en-GB"/>
              </w:rPr>
              <w:t xml:space="preserve"> sector in Q4</w:t>
            </w:r>
            <w:r w:rsidR="0075399B">
              <w:rPr>
                <w:spacing w:val="-4"/>
                <w:lang w:val="en-GB"/>
              </w:rPr>
              <w:t xml:space="preserve">. Even though the real estate activities recorded the highest dynamics </w:t>
            </w:r>
            <w:r w:rsidR="00B01D0F" w:rsidRPr="00BA3ECA">
              <w:rPr>
                <w:spacing w:val="-4"/>
                <w:lang w:val="en-GB"/>
              </w:rPr>
              <w:t>(+4</w:t>
            </w:r>
            <w:r w:rsidR="0075399B">
              <w:rPr>
                <w:spacing w:val="-4"/>
                <w:lang w:val="en-GB"/>
              </w:rPr>
              <w:t>.</w:t>
            </w:r>
            <w:r w:rsidR="00B01D0F" w:rsidRPr="00BA3ECA">
              <w:rPr>
                <w:spacing w:val="-4"/>
                <w:lang w:val="en-GB"/>
              </w:rPr>
              <w:t>3%),</w:t>
            </w:r>
            <w:r w:rsidR="0075399B">
              <w:rPr>
                <w:spacing w:val="-4"/>
                <w:lang w:val="en-GB"/>
              </w:rPr>
              <w:t xml:space="preserve"> it was public services that contributed the most to the employment growth in the whole economy</w:t>
            </w:r>
            <w:r w:rsidR="00B01D0F" w:rsidRPr="00BA3ECA">
              <w:rPr>
                <w:rStyle w:val="Znakapoznpodarou"/>
                <w:spacing w:val="-4"/>
                <w:lang w:val="en-GB"/>
              </w:rPr>
              <w:footnoteReference w:id="4"/>
            </w:r>
            <w:r w:rsidR="00B01D0F" w:rsidRPr="00BA3ECA">
              <w:rPr>
                <w:spacing w:val="-4"/>
                <w:lang w:val="en-GB"/>
              </w:rPr>
              <w:t xml:space="preserve"> (+32 t</w:t>
            </w:r>
            <w:r w:rsidR="0075399B">
              <w:rPr>
                <w:spacing w:val="-4"/>
                <w:lang w:val="en-GB"/>
              </w:rPr>
              <w:t>housand persons</w:t>
            </w:r>
            <w:r w:rsidR="00B01D0F" w:rsidRPr="00BA3ECA">
              <w:rPr>
                <w:spacing w:val="-4"/>
                <w:lang w:val="en-GB"/>
              </w:rPr>
              <w:t xml:space="preserve">), </w:t>
            </w:r>
            <w:r w:rsidR="0075399B">
              <w:rPr>
                <w:spacing w:val="-4"/>
                <w:lang w:val="en-GB"/>
              </w:rPr>
              <w:t>mainly thanks to the developing education also the health and social care, intensely strained during the pandemics. C</w:t>
            </w:r>
            <w:r>
              <w:rPr>
                <w:spacing w:val="-4"/>
                <w:lang w:val="en-GB"/>
              </w:rPr>
              <w:t xml:space="preserve">ontribution of division trade, transportation, accommodation and restaurants </w:t>
            </w:r>
            <w:r w:rsidR="00B01D0F" w:rsidRPr="00BA3ECA">
              <w:rPr>
                <w:spacing w:val="-4"/>
                <w:lang w:val="en-GB"/>
              </w:rPr>
              <w:t>(14 t</w:t>
            </w:r>
            <w:r>
              <w:rPr>
                <w:spacing w:val="-4"/>
                <w:lang w:val="en-GB"/>
              </w:rPr>
              <w:t>housand</w:t>
            </w:r>
            <w:r w:rsidR="00B01D0F" w:rsidRPr="00BA3ECA">
              <w:rPr>
                <w:spacing w:val="-4"/>
                <w:lang w:val="en-GB"/>
              </w:rPr>
              <w:t>)</w:t>
            </w:r>
            <w:r>
              <w:rPr>
                <w:spacing w:val="-4"/>
                <w:lang w:val="en-GB"/>
              </w:rPr>
              <w:t xml:space="preserve"> was also significant</w:t>
            </w:r>
            <w:r w:rsidR="00B01D0F" w:rsidRPr="00BA3ECA">
              <w:rPr>
                <w:spacing w:val="-4"/>
                <w:lang w:val="en-GB"/>
              </w:rPr>
              <w:t xml:space="preserve">, </w:t>
            </w:r>
            <w:r>
              <w:rPr>
                <w:spacing w:val="-4"/>
                <w:lang w:val="en-GB"/>
              </w:rPr>
              <w:t xml:space="preserve">year-on-year employment increased for the first time here since the half of year </w:t>
            </w:r>
            <w:r w:rsidR="00B01D0F" w:rsidRPr="00BA3ECA">
              <w:rPr>
                <w:spacing w:val="-4"/>
                <w:lang w:val="en-GB"/>
              </w:rPr>
              <w:t>2019</w:t>
            </w:r>
            <w:r w:rsidR="00B01D0F" w:rsidRPr="00BA3ECA">
              <w:rPr>
                <w:rStyle w:val="Znakapoznpodarou"/>
                <w:spacing w:val="-4"/>
                <w:lang w:val="en-GB"/>
              </w:rPr>
              <w:footnoteReference w:id="5"/>
            </w:r>
            <w:r w:rsidR="00B01D0F" w:rsidRPr="00BA3ECA">
              <w:rPr>
                <w:spacing w:val="-4"/>
                <w:lang w:val="en-GB"/>
              </w:rPr>
              <w:t xml:space="preserve">. </w:t>
            </w:r>
            <w:r w:rsidR="00236B3A">
              <w:rPr>
                <w:spacing w:val="-4"/>
                <w:lang w:val="en-GB"/>
              </w:rPr>
              <w:t>Slow after crisis revival was also apparent in branch other services activities</w:t>
            </w:r>
            <w:r w:rsidR="00B01D0F" w:rsidRPr="00BA3ECA">
              <w:rPr>
                <w:rStyle w:val="Znakapoznpodarou"/>
                <w:spacing w:val="-4"/>
                <w:lang w:val="en-GB"/>
              </w:rPr>
              <w:footnoteReference w:id="6"/>
            </w:r>
            <w:r w:rsidR="00B01D0F" w:rsidRPr="00BA3ECA">
              <w:rPr>
                <w:spacing w:val="-4"/>
                <w:lang w:val="en-GB"/>
              </w:rPr>
              <w:t xml:space="preserve">, </w:t>
            </w:r>
            <w:r w:rsidR="00236B3A">
              <w:rPr>
                <w:spacing w:val="-4"/>
                <w:lang w:val="en-GB"/>
              </w:rPr>
              <w:t xml:space="preserve">including especially culture, amusement and recreational activities or personal services mainly for household. </w:t>
            </w:r>
            <w:r w:rsidR="00A01A7C">
              <w:rPr>
                <w:spacing w:val="-4"/>
                <w:lang w:val="en-GB"/>
              </w:rPr>
              <w:t xml:space="preserve">The trend of moderate decline of employment continued in connection to the development in digitalisation in financial and insurance activities, specifically already the fifth year in a row. On the contrary, </w:t>
            </w:r>
            <w:r w:rsidR="00EE64BA">
              <w:rPr>
                <w:spacing w:val="-4"/>
                <w:lang w:val="en-GB"/>
              </w:rPr>
              <w:t xml:space="preserve">information and </w:t>
            </w:r>
            <w:r w:rsidR="00EE64BA">
              <w:rPr>
                <w:spacing w:val="-4"/>
                <w:lang w:val="en-GB"/>
              </w:rPr>
              <w:lastRenderedPageBreak/>
              <w:t>communication maintained long term growth</w:t>
            </w:r>
            <w:r w:rsidR="00B01D0F" w:rsidRPr="00BA3ECA">
              <w:rPr>
                <w:spacing w:val="-6"/>
                <w:lang w:val="en-GB"/>
              </w:rPr>
              <w:t xml:space="preserve">, </w:t>
            </w:r>
            <w:r w:rsidR="00B935CC">
              <w:rPr>
                <w:spacing w:val="-6"/>
                <w:lang w:val="en-GB"/>
              </w:rPr>
              <w:t xml:space="preserve">the dynamics of total employment however weakened due to the decrease of entrepreneurs here during the year 2021. </w:t>
            </w:r>
            <w:r w:rsidR="0060279D">
              <w:rPr>
                <w:spacing w:val="-6"/>
                <w:lang w:val="en-GB"/>
              </w:rPr>
              <w:t>The year-on-year growth of employment in industry, similarly to construction, did not exceed 1% last year in Q</w:t>
            </w:r>
            <w:r w:rsidR="00B01D0F" w:rsidRPr="00BA3ECA">
              <w:rPr>
                <w:spacing w:val="-4"/>
                <w:lang w:val="en-GB"/>
              </w:rPr>
              <w:t>4. </w:t>
            </w:r>
            <w:r w:rsidR="00A01A7C">
              <w:rPr>
                <w:spacing w:val="-4"/>
                <w:lang w:val="en-GB"/>
              </w:rPr>
              <w:t>Number of employee positions grew swifter, which was also connected to the recruitment of persons from abroad</w:t>
            </w:r>
            <w:r w:rsidR="00B01D0F" w:rsidRPr="00BA3ECA">
              <w:rPr>
                <w:rStyle w:val="Znakapoznpodarou"/>
                <w:spacing w:val="-4"/>
                <w:lang w:val="en-GB"/>
              </w:rPr>
              <w:footnoteReference w:id="7"/>
            </w:r>
            <w:r w:rsidR="00B01D0F" w:rsidRPr="00BA3ECA">
              <w:rPr>
                <w:spacing w:val="-4"/>
                <w:lang w:val="en-GB"/>
              </w:rPr>
              <w:t>.</w:t>
            </w:r>
          </w:p>
        </w:tc>
      </w:tr>
      <w:tr w:rsidR="00B01D0F" w:rsidRPr="006237E6" w14:paraId="2ECBFB17" w14:textId="77777777" w:rsidTr="008E039E">
        <w:trPr>
          <w:trHeight w:val="155"/>
        </w:trPr>
        <w:tc>
          <w:tcPr>
            <w:tcW w:w="1600" w:type="dxa"/>
            <w:shd w:val="clear" w:color="auto" w:fill="auto"/>
            <w:tcMar>
              <w:left w:w="0" w:type="dxa"/>
            </w:tcMar>
          </w:tcPr>
          <w:p w14:paraId="59B55CB6" w14:textId="705ABC44" w:rsidR="00B01D0F" w:rsidRPr="0060279D" w:rsidRDefault="0060279D" w:rsidP="008E039E">
            <w:pPr>
              <w:pStyle w:val="Marginlie"/>
              <w:spacing w:after="120"/>
              <w:rPr>
                <w:spacing w:val="-4"/>
                <w:lang w:val="en-GB"/>
              </w:rPr>
            </w:pPr>
            <w:r>
              <w:rPr>
                <w:spacing w:val="-4"/>
                <w:lang w:val="en-GB"/>
              </w:rPr>
              <w:lastRenderedPageBreak/>
              <w:t xml:space="preserve">The employment in total for year 2021 stagnated. Number of hours worked increased by 2.9% after the preceding slump. </w:t>
            </w:r>
          </w:p>
        </w:tc>
        <w:tc>
          <w:tcPr>
            <w:tcW w:w="189" w:type="dxa"/>
            <w:shd w:val="clear" w:color="auto" w:fill="auto"/>
            <w:tcMar>
              <w:left w:w="0" w:type="dxa"/>
            </w:tcMar>
          </w:tcPr>
          <w:p w14:paraId="1DB29866" w14:textId="77777777" w:rsidR="00B01D0F" w:rsidRPr="0060279D" w:rsidRDefault="00B01D0F" w:rsidP="008E039E">
            <w:pPr>
              <w:pStyle w:val="Textpoznpodarou"/>
              <w:spacing w:after="120"/>
              <w:jc w:val="both"/>
              <w:rPr>
                <w:spacing w:val="-4"/>
                <w:lang w:val="en-GB"/>
              </w:rPr>
            </w:pPr>
          </w:p>
        </w:tc>
        <w:tc>
          <w:tcPr>
            <w:tcW w:w="7880" w:type="dxa"/>
            <w:shd w:val="clear" w:color="auto" w:fill="auto"/>
            <w:tcMar>
              <w:left w:w="0" w:type="dxa"/>
            </w:tcMar>
          </w:tcPr>
          <w:p w14:paraId="678D3235" w14:textId="41EE7772" w:rsidR="00B01D0F" w:rsidRPr="0060279D" w:rsidRDefault="00C43766" w:rsidP="008E039E">
            <w:pPr>
              <w:spacing w:after="200"/>
              <w:rPr>
                <w:spacing w:val="-4"/>
                <w:lang w:val="en-GB"/>
              </w:rPr>
            </w:pPr>
            <w:r>
              <w:rPr>
                <w:spacing w:val="-4"/>
                <w:lang w:val="en-GB"/>
              </w:rPr>
              <w:t xml:space="preserve">The total employment stagnated in total for year </w:t>
            </w:r>
            <w:r w:rsidR="00B01D0F" w:rsidRPr="0060279D">
              <w:rPr>
                <w:spacing w:val="-4"/>
                <w:lang w:val="en-GB"/>
              </w:rPr>
              <w:t>2021</w:t>
            </w:r>
            <w:r>
              <w:rPr>
                <w:spacing w:val="-4"/>
                <w:lang w:val="en-GB"/>
              </w:rPr>
              <w:t xml:space="preserve">. The continuing decline of number of employees in the division trade, </w:t>
            </w:r>
            <w:r w:rsidR="00B37387">
              <w:rPr>
                <w:spacing w:val="-4"/>
                <w:lang w:val="en-GB"/>
              </w:rPr>
              <w:t>transportation</w:t>
            </w:r>
            <w:r>
              <w:rPr>
                <w:spacing w:val="-4"/>
                <w:lang w:val="en-GB"/>
              </w:rPr>
              <w:t xml:space="preserve">, accommodation and </w:t>
            </w:r>
            <w:r w:rsidR="00B37387">
              <w:rPr>
                <w:spacing w:val="-4"/>
                <w:lang w:val="en-GB"/>
              </w:rPr>
              <w:t>restaurants</w:t>
            </w:r>
            <w:r>
              <w:rPr>
                <w:spacing w:val="-4"/>
                <w:lang w:val="en-GB"/>
              </w:rPr>
              <w:t xml:space="preserve"> </w:t>
            </w:r>
            <w:r w:rsidR="00B01D0F" w:rsidRPr="0060279D">
              <w:rPr>
                <w:spacing w:val="-4"/>
                <w:lang w:val="en-GB"/>
              </w:rPr>
              <w:t>(–1</w:t>
            </w:r>
            <w:r>
              <w:rPr>
                <w:spacing w:val="-4"/>
                <w:lang w:val="en-GB"/>
              </w:rPr>
              <w:t>.</w:t>
            </w:r>
            <w:r w:rsidR="00B01D0F" w:rsidRPr="0060279D">
              <w:rPr>
                <w:spacing w:val="-4"/>
                <w:lang w:val="en-GB"/>
              </w:rPr>
              <w:t>7%)</w:t>
            </w:r>
            <w:r w:rsidR="00B37387">
              <w:rPr>
                <w:spacing w:val="-4"/>
                <w:lang w:val="en-GB"/>
              </w:rPr>
              <w:t xml:space="preserve"> and in industry </w:t>
            </w:r>
            <w:r w:rsidR="00B01D0F" w:rsidRPr="0060279D">
              <w:rPr>
                <w:spacing w:val="-4"/>
                <w:lang w:val="en-GB"/>
              </w:rPr>
              <w:t>(–0</w:t>
            </w:r>
            <w:r w:rsidR="00B37387">
              <w:rPr>
                <w:spacing w:val="-4"/>
                <w:lang w:val="en-GB"/>
              </w:rPr>
              <w:t>.</w:t>
            </w:r>
            <w:r w:rsidR="00B01D0F" w:rsidRPr="0060279D">
              <w:rPr>
                <w:spacing w:val="-4"/>
                <w:lang w:val="en-GB"/>
              </w:rPr>
              <w:t>5%)</w:t>
            </w:r>
            <w:r w:rsidR="00B37387">
              <w:rPr>
                <w:spacing w:val="-4"/>
                <w:lang w:val="en-GB"/>
              </w:rPr>
              <w:t xml:space="preserve"> was offset by their increase in information and communication </w:t>
            </w:r>
            <w:r w:rsidR="00B01D0F" w:rsidRPr="0060279D">
              <w:rPr>
                <w:spacing w:val="-4"/>
                <w:lang w:val="en-GB"/>
              </w:rPr>
              <w:t>(+3</w:t>
            </w:r>
            <w:r w:rsidR="00B37387">
              <w:rPr>
                <w:spacing w:val="-4"/>
                <w:lang w:val="en-GB"/>
              </w:rPr>
              <w:t>.</w:t>
            </w:r>
            <w:r w:rsidR="00B01D0F" w:rsidRPr="0060279D">
              <w:rPr>
                <w:spacing w:val="-4"/>
                <w:lang w:val="en-GB"/>
              </w:rPr>
              <w:t>4%)</w:t>
            </w:r>
            <w:r w:rsidR="00B37387">
              <w:rPr>
                <w:spacing w:val="-4"/>
                <w:lang w:val="en-GB"/>
              </w:rPr>
              <w:t xml:space="preserve"> and in public services </w:t>
            </w:r>
            <w:r w:rsidR="00B01D0F" w:rsidRPr="0060279D">
              <w:rPr>
                <w:spacing w:val="-4"/>
                <w:lang w:val="en-GB"/>
              </w:rPr>
              <w:t>(+2</w:t>
            </w:r>
            <w:r w:rsidR="00B37387">
              <w:rPr>
                <w:spacing w:val="-4"/>
                <w:lang w:val="en-GB"/>
              </w:rPr>
              <w:t>.</w:t>
            </w:r>
            <w:r w:rsidR="00B01D0F" w:rsidRPr="0060279D">
              <w:rPr>
                <w:spacing w:val="-4"/>
                <w:lang w:val="en-GB"/>
              </w:rPr>
              <w:t xml:space="preserve">8%, </w:t>
            </w:r>
            <w:r w:rsidR="00B37387">
              <w:rPr>
                <w:spacing w:val="-4"/>
                <w:lang w:val="en-GB"/>
              </w:rPr>
              <w:t>the most in the history of individual CR</w:t>
            </w:r>
            <w:r w:rsidR="00B01D0F" w:rsidRPr="0060279D">
              <w:rPr>
                <w:spacing w:val="-4"/>
                <w:lang w:val="en-GB"/>
              </w:rPr>
              <w:t>).</w:t>
            </w:r>
            <w:r w:rsidR="00B37387">
              <w:rPr>
                <w:spacing w:val="-4"/>
                <w:lang w:val="en-GB"/>
              </w:rPr>
              <w:t xml:space="preserve"> Number of hours worked in the whole economy increased by 2.9% </w:t>
            </w:r>
            <w:r w:rsidR="00B01D0F" w:rsidRPr="0060279D">
              <w:rPr>
                <w:spacing w:val="-4"/>
                <w:lang w:val="en-GB"/>
              </w:rPr>
              <w:t>(</w:t>
            </w:r>
            <w:r w:rsidR="0064527F">
              <w:rPr>
                <w:spacing w:val="-4"/>
                <w:lang w:val="en-GB"/>
              </w:rPr>
              <w:t xml:space="preserve">following the record slump of </w:t>
            </w:r>
            <w:r w:rsidR="00B01D0F" w:rsidRPr="0060279D">
              <w:rPr>
                <w:spacing w:val="-4"/>
                <w:lang w:val="en-GB"/>
              </w:rPr>
              <w:t>6</w:t>
            </w:r>
            <w:r w:rsidR="0064527F">
              <w:rPr>
                <w:spacing w:val="-4"/>
                <w:lang w:val="en-GB"/>
              </w:rPr>
              <w:t>.</w:t>
            </w:r>
            <w:r w:rsidR="00B01D0F" w:rsidRPr="0060279D">
              <w:rPr>
                <w:spacing w:val="-4"/>
                <w:lang w:val="en-GB"/>
              </w:rPr>
              <w:t>3%</w:t>
            </w:r>
            <w:r w:rsidR="0064527F">
              <w:rPr>
                <w:spacing w:val="-4"/>
                <w:lang w:val="en-GB"/>
              </w:rPr>
              <w:t xml:space="preserve"> in year </w:t>
            </w:r>
            <w:r w:rsidR="00B01D0F" w:rsidRPr="0060279D">
              <w:rPr>
                <w:spacing w:val="-4"/>
                <w:lang w:val="en-GB"/>
              </w:rPr>
              <w:t>2020).</w:t>
            </w:r>
            <w:r w:rsidR="0064527F">
              <w:rPr>
                <w:spacing w:val="-4"/>
                <w:lang w:val="en-GB"/>
              </w:rPr>
              <w:t xml:space="preserve"> Except for agriculture and forestry it increased in all main branches, it however surpassed the pre</w:t>
            </w:r>
            <w:r w:rsidR="001F4C16">
              <w:rPr>
                <w:spacing w:val="-4"/>
                <w:lang w:val="en-GB"/>
              </w:rPr>
              <w:t xml:space="preserve"> </w:t>
            </w:r>
            <w:r w:rsidR="0064527F">
              <w:rPr>
                <w:spacing w:val="-4"/>
                <w:lang w:val="en-GB"/>
              </w:rPr>
              <w:t xml:space="preserve">pandemic level only in public services, in ICT area and in real estate activities and in construction. </w:t>
            </w:r>
            <w:r w:rsidR="001F4C16">
              <w:rPr>
                <w:spacing w:val="-4"/>
                <w:lang w:val="en-GB"/>
              </w:rPr>
              <w:t xml:space="preserve">On the contrary, it substantially fell behind in the division of trade, accommodation and restaurants </w:t>
            </w:r>
            <w:r w:rsidR="00B01D0F" w:rsidRPr="0060279D">
              <w:rPr>
                <w:spacing w:val="-4"/>
                <w:lang w:val="en-GB"/>
              </w:rPr>
              <w:t>(</w:t>
            </w:r>
            <w:r w:rsidR="001F4C16">
              <w:rPr>
                <w:spacing w:val="-4"/>
                <w:lang w:val="en-GB"/>
              </w:rPr>
              <w:t xml:space="preserve">by </w:t>
            </w:r>
            <w:r w:rsidR="00B01D0F" w:rsidRPr="0060279D">
              <w:rPr>
                <w:spacing w:val="-4"/>
                <w:lang w:val="en-GB"/>
              </w:rPr>
              <w:t>10%) a</w:t>
            </w:r>
            <w:r w:rsidR="001F4C16">
              <w:rPr>
                <w:spacing w:val="-4"/>
                <w:lang w:val="en-GB"/>
              </w:rPr>
              <w:t xml:space="preserve">nd in branch other services activities </w:t>
            </w:r>
            <w:r w:rsidR="00B01D0F" w:rsidRPr="0060279D">
              <w:rPr>
                <w:spacing w:val="-4"/>
                <w:lang w:val="en-GB"/>
              </w:rPr>
              <w:t>(14%).</w:t>
            </w:r>
          </w:p>
        </w:tc>
      </w:tr>
      <w:tr w:rsidR="00B01D0F" w:rsidRPr="009F2A8A" w14:paraId="2D7BF859" w14:textId="77777777" w:rsidTr="008E039E">
        <w:trPr>
          <w:trHeight w:val="155"/>
        </w:trPr>
        <w:tc>
          <w:tcPr>
            <w:tcW w:w="1600" w:type="dxa"/>
            <w:vMerge w:val="restart"/>
            <w:shd w:val="clear" w:color="auto" w:fill="auto"/>
            <w:tcMar>
              <w:left w:w="0" w:type="dxa"/>
            </w:tcMar>
          </w:tcPr>
          <w:p w14:paraId="467064BD" w14:textId="77777777" w:rsidR="00B01D0F" w:rsidRPr="00B43216" w:rsidRDefault="00B01D0F" w:rsidP="008E039E">
            <w:pPr>
              <w:pStyle w:val="Marginlie"/>
              <w:spacing w:after="120"/>
              <w:rPr>
                <w:spacing w:val="-4"/>
              </w:rPr>
            </w:pPr>
          </w:p>
        </w:tc>
        <w:tc>
          <w:tcPr>
            <w:tcW w:w="189" w:type="dxa"/>
            <w:vMerge w:val="restart"/>
            <w:shd w:val="clear" w:color="auto" w:fill="auto"/>
            <w:tcMar>
              <w:left w:w="0" w:type="dxa"/>
            </w:tcMar>
          </w:tcPr>
          <w:p w14:paraId="60D583F2" w14:textId="77777777" w:rsidR="00B01D0F" w:rsidRPr="00B43216" w:rsidRDefault="00B01D0F" w:rsidP="008E039E">
            <w:pPr>
              <w:pStyle w:val="Textpoznpodarou"/>
              <w:spacing w:after="120"/>
              <w:jc w:val="both"/>
              <w:rPr>
                <w:spacing w:val="-4"/>
              </w:rPr>
            </w:pPr>
          </w:p>
        </w:tc>
        <w:tc>
          <w:tcPr>
            <w:tcW w:w="7880" w:type="dxa"/>
            <w:shd w:val="clear" w:color="auto" w:fill="auto"/>
            <w:tcMar>
              <w:left w:w="0" w:type="dxa"/>
            </w:tcMar>
          </w:tcPr>
          <w:p w14:paraId="7A33BA38" w14:textId="0667EE11" w:rsidR="00B01D0F" w:rsidRPr="00CA5850" w:rsidRDefault="00C43766" w:rsidP="00A02E8B">
            <w:pPr>
              <w:spacing w:after="0"/>
              <w:rPr>
                <w:spacing w:val="-2"/>
              </w:rPr>
            </w:pPr>
            <w:r>
              <w:rPr>
                <w:rFonts w:cs="Arial"/>
                <w:b/>
                <w:bCs/>
                <w:color w:val="000000"/>
                <w:szCs w:val="20"/>
              </w:rPr>
              <w:t xml:space="preserve">Chart </w:t>
            </w:r>
            <w:r w:rsidR="001C3794">
              <w:rPr>
                <w:rFonts w:cs="Arial"/>
                <w:b/>
                <w:bCs/>
                <w:color w:val="000000"/>
                <w:szCs w:val="20"/>
              </w:rPr>
              <w:t>1</w:t>
            </w:r>
            <w:r w:rsidR="00A02E8B">
              <w:rPr>
                <w:rFonts w:cs="Arial"/>
                <w:b/>
                <w:bCs/>
                <w:color w:val="000000"/>
                <w:szCs w:val="20"/>
              </w:rPr>
              <w:t>4</w:t>
            </w:r>
            <w:r w:rsidR="00B01D0F" w:rsidRPr="0068569E">
              <w:rPr>
                <w:rFonts w:cs="Arial"/>
                <w:b/>
                <w:bCs/>
                <w:color w:val="000000"/>
                <w:sz w:val="18"/>
                <w:szCs w:val="18"/>
              </w:rPr>
              <w:t xml:space="preserve">  </w:t>
            </w:r>
            <w:r w:rsidR="00DF0714" w:rsidRPr="000A5DBC">
              <w:rPr>
                <w:rFonts w:cs="Arial"/>
                <w:b/>
                <w:bCs/>
                <w:color w:val="000000"/>
                <w:sz w:val="18"/>
                <w:szCs w:val="18"/>
                <w:lang w:val="en-GB"/>
              </w:rPr>
              <w:t>Total</w:t>
            </w:r>
            <w:r w:rsidR="00DF0714" w:rsidRPr="000A5DBC">
              <w:rPr>
                <w:b/>
                <w:bCs/>
                <w:lang w:val="en-GB" w:eastAsia="en-US"/>
              </w:rPr>
              <w:t xml:space="preserve"> employment </w:t>
            </w:r>
            <w:r w:rsidR="00DF0714" w:rsidRPr="000A5DBC">
              <w:rPr>
                <w:lang w:val="en-GB" w:eastAsia="en-US"/>
              </w:rPr>
              <w:t xml:space="preserve">(year-on-year in </w:t>
            </w:r>
            <w:r w:rsidR="00DF0714" w:rsidRPr="000A5DBC">
              <w:rPr>
                <w:spacing w:val="-2"/>
                <w:lang w:val="en-GB"/>
              </w:rPr>
              <w:t>%)</w:t>
            </w:r>
            <w:r w:rsidR="00DF0714" w:rsidRPr="000A5DBC">
              <w:rPr>
                <w:b/>
                <w:bCs/>
                <w:spacing w:val="-2"/>
                <w:lang w:val="en-GB"/>
              </w:rPr>
              <w:t xml:space="preserve">, contributions of branches to year-on-year employment change </w:t>
            </w:r>
            <w:r w:rsidR="00DF0714" w:rsidRPr="000A5DBC">
              <w:rPr>
                <w:spacing w:val="-2"/>
                <w:lang w:val="en-GB"/>
              </w:rPr>
              <w:t>(in p.p.)</w:t>
            </w:r>
            <w:r w:rsidR="00DF0714" w:rsidRPr="000A5DBC">
              <w:rPr>
                <w:b/>
                <w:bCs/>
                <w:spacing w:val="-2"/>
                <w:lang w:val="en-GB"/>
              </w:rPr>
              <w:t xml:space="preserve"> and expectations of employment development</w:t>
            </w:r>
            <w:r w:rsidR="00DF0714">
              <w:rPr>
                <w:b/>
                <w:bCs/>
                <w:spacing w:val="-2"/>
                <w:lang w:val="en-GB"/>
              </w:rPr>
              <w:t xml:space="preserve"> </w:t>
            </w:r>
            <w:r w:rsidR="00DF0714" w:rsidRPr="000A5DBC">
              <w:rPr>
                <w:spacing w:val="-2"/>
                <w:lang w:val="en-GB"/>
              </w:rPr>
              <w:t>(balance in p.p.</w:t>
            </w:r>
            <w:r w:rsidR="00DF0714">
              <w:rPr>
                <w:spacing w:val="-2"/>
                <w:lang w:val="en-GB"/>
              </w:rPr>
              <w:t>)</w:t>
            </w:r>
          </w:p>
        </w:tc>
      </w:tr>
      <w:tr w:rsidR="00B01D0F" w:rsidRPr="00B43216" w14:paraId="7C9B6C0D" w14:textId="77777777" w:rsidTr="00506F4A">
        <w:tblPrEx>
          <w:tblCellMar>
            <w:left w:w="70" w:type="dxa"/>
            <w:right w:w="70" w:type="dxa"/>
          </w:tblCellMar>
        </w:tblPrEx>
        <w:trPr>
          <w:trHeight w:val="155"/>
        </w:trPr>
        <w:tc>
          <w:tcPr>
            <w:tcW w:w="1600" w:type="dxa"/>
            <w:vMerge/>
            <w:shd w:val="clear" w:color="auto" w:fill="auto"/>
          </w:tcPr>
          <w:p w14:paraId="07F32782" w14:textId="77777777" w:rsidR="00B01D0F" w:rsidRPr="00B43216" w:rsidRDefault="00B01D0F" w:rsidP="008E039E">
            <w:pPr>
              <w:pStyle w:val="Marginlie"/>
              <w:spacing w:after="120"/>
              <w:rPr>
                <w:spacing w:val="-4"/>
              </w:rPr>
            </w:pPr>
          </w:p>
        </w:tc>
        <w:tc>
          <w:tcPr>
            <w:tcW w:w="189" w:type="dxa"/>
            <w:vMerge/>
            <w:shd w:val="clear" w:color="auto" w:fill="auto"/>
          </w:tcPr>
          <w:p w14:paraId="163F4A0C" w14:textId="77777777" w:rsidR="00B01D0F" w:rsidRPr="00B43216" w:rsidRDefault="00B01D0F" w:rsidP="008E039E">
            <w:pPr>
              <w:pStyle w:val="Textpoznpodarou"/>
              <w:spacing w:after="120"/>
              <w:jc w:val="both"/>
              <w:rPr>
                <w:spacing w:val="-4"/>
              </w:rPr>
            </w:pPr>
          </w:p>
        </w:tc>
        <w:tc>
          <w:tcPr>
            <w:tcW w:w="7880" w:type="dxa"/>
            <w:shd w:val="clear" w:color="auto" w:fill="auto"/>
          </w:tcPr>
          <w:p w14:paraId="15085B18" w14:textId="7DDCF7AA" w:rsidR="00B01D0F" w:rsidRPr="00B43216" w:rsidRDefault="00506F4A" w:rsidP="008E039E">
            <w:pPr>
              <w:spacing w:after="0"/>
              <w:rPr>
                <w:spacing w:val="-4"/>
              </w:rPr>
            </w:pPr>
            <w:r>
              <w:rPr>
                <w:noProof/>
              </w:rPr>
              <w:drawing>
                <wp:inline distT="0" distB="0" distL="0" distR="0" wp14:anchorId="21163DA7" wp14:editId="0CB97DDD">
                  <wp:extent cx="4702810" cy="3562502"/>
                  <wp:effectExtent l="0" t="0" r="254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1D0F" w:rsidRPr="00485ED5" w14:paraId="013B9A75" w14:textId="77777777" w:rsidTr="008E039E">
        <w:trPr>
          <w:trHeight w:val="671"/>
        </w:trPr>
        <w:tc>
          <w:tcPr>
            <w:tcW w:w="1600" w:type="dxa"/>
            <w:vMerge/>
            <w:shd w:val="clear" w:color="auto" w:fill="auto"/>
            <w:tcMar>
              <w:left w:w="0" w:type="dxa"/>
            </w:tcMar>
          </w:tcPr>
          <w:p w14:paraId="718D21BC" w14:textId="77777777" w:rsidR="00B01D0F" w:rsidRPr="00B43216" w:rsidRDefault="00B01D0F" w:rsidP="008E039E">
            <w:pPr>
              <w:pStyle w:val="Marginlie"/>
              <w:spacing w:after="120"/>
              <w:rPr>
                <w:spacing w:val="-4"/>
              </w:rPr>
            </w:pPr>
          </w:p>
        </w:tc>
        <w:tc>
          <w:tcPr>
            <w:tcW w:w="189" w:type="dxa"/>
            <w:vMerge/>
            <w:shd w:val="clear" w:color="auto" w:fill="auto"/>
            <w:tcMar>
              <w:left w:w="0" w:type="dxa"/>
            </w:tcMar>
          </w:tcPr>
          <w:p w14:paraId="4E54229B" w14:textId="77777777" w:rsidR="00B01D0F" w:rsidRPr="00B43216" w:rsidRDefault="00B01D0F" w:rsidP="008E039E">
            <w:pPr>
              <w:pStyle w:val="Textpoznpodarou"/>
              <w:spacing w:after="120"/>
              <w:jc w:val="both"/>
              <w:rPr>
                <w:spacing w:val="-4"/>
              </w:rPr>
            </w:pPr>
          </w:p>
        </w:tc>
        <w:tc>
          <w:tcPr>
            <w:tcW w:w="7880" w:type="dxa"/>
            <w:shd w:val="clear" w:color="auto" w:fill="auto"/>
            <w:tcMar>
              <w:left w:w="0" w:type="dxa"/>
            </w:tcMar>
          </w:tcPr>
          <w:p w14:paraId="7CDA8495" w14:textId="77777777" w:rsidR="004A127D" w:rsidRDefault="00B01D0F" w:rsidP="004A127D">
            <w:pPr>
              <w:spacing w:after="0" w:line="240" w:lineRule="auto"/>
              <w:rPr>
                <w:rFonts w:cs="Arial"/>
                <w:sz w:val="14"/>
                <w:szCs w:val="14"/>
                <w:lang w:val="en-GB"/>
              </w:rPr>
            </w:pPr>
            <w:r>
              <w:rPr>
                <w:rFonts w:cs="Arial"/>
                <w:color w:val="0D0D0D" w:themeColor="text1" w:themeTint="F2"/>
                <w:spacing w:val="-2"/>
                <w:sz w:val="14"/>
                <w:szCs w:val="14"/>
              </w:rPr>
              <w:t>*</w:t>
            </w:r>
            <w:r w:rsidRPr="00862F17">
              <w:rPr>
                <w:rFonts w:cs="Arial"/>
                <w:sz w:val="14"/>
                <w:szCs w:val="14"/>
              </w:rPr>
              <w:t xml:space="preserve"> </w:t>
            </w:r>
            <w:r w:rsidR="004A127D">
              <w:rPr>
                <w:rFonts w:cs="Arial"/>
                <w:sz w:val="14"/>
                <w:szCs w:val="14"/>
                <w:lang w:val="en-GB"/>
              </w:rPr>
              <w:t xml:space="preserve">Mining and energetics; Financial and insurance activities; Real estate activities; Arts, entertainment and recreation activities. </w:t>
            </w:r>
          </w:p>
          <w:p w14:paraId="661D4DBA" w14:textId="77777777" w:rsidR="004A127D" w:rsidRDefault="004A127D" w:rsidP="004A127D">
            <w:pPr>
              <w:spacing w:after="0" w:line="240" w:lineRule="auto"/>
              <w:rPr>
                <w:rFonts w:cs="Arial"/>
                <w:sz w:val="14"/>
                <w:szCs w:val="14"/>
              </w:rPr>
            </w:pPr>
            <w:r>
              <w:rPr>
                <w:rFonts w:cs="Arial"/>
                <w:sz w:val="14"/>
                <w:szCs w:val="14"/>
                <w:lang w:val="en-GB"/>
              </w:rPr>
              <w:t xml:space="preserve">Note: Balance of expectations expresses the difference in p.p. between categories growth vs. decrease of employment in the nearest three months. Data are seasonally adjusted and relate to the second month of the given quarter. </w:t>
            </w:r>
          </w:p>
          <w:p w14:paraId="1197A257" w14:textId="0A21FBF0" w:rsidR="004A127D" w:rsidRPr="00506F4A" w:rsidRDefault="004A127D" w:rsidP="00506F4A">
            <w:pPr>
              <w:spacing w:after="200" w:line="240" w:lineRule="auto"/>
              <w:rPr>
                <w:rFonts w:cs="Arial"/>
                <w:sz w:val="14"/>
                <w:szCs w:val="14"/>
                <w:lang w:val="en-GB"/>
              </w:rPr>
            </w:pPr>
            <w:r>
              <w:rPr>
                <w:rFonts w:cs="Arial"/>
                <w:sz w:val="14"/>
                <w:szCs w:val="14"/>
              </w:rPr>
              <w:t xml:space="preserve">Source: </w:t>
            </w:r>
            <w:r>
              <w:rPr>
                <w:rFonts w:cs="Arial"/>
                <w:sz w:val="14"/>
                <w:szCs w:val="14"/>
                <w:lang w:val="en-GB"/>
              </w:rPr>
              <w:t>CZSO (national ac</w:t>
            </w:r>
            <w:r w:rsidR="00506F4A">
              <w:rPr>
                <w:rFonts w:cs="Arial"/>
                <w:sz w:val="14"/>
                <w:szCs w:val="14"/>
                <w:lang w:val="en-GB"/>
              </w:rPr>
              <w:t>counts, business cycle surveys).</w:t>
            </w:r>
          </w:p>
        </w:tc>
      </w:tr>
      <w:tr w:rsidR="00AC7ACA" w:rsidRPr="00D82DBD" w14:paraId="121C6FF3" w14:textId="77777777" w:rsidTr="008E039E">
        <w:trPr>
          <w:trHeight w:val="145"/>
        </w:trPr>
        <w:tc>
          <w:tcPr>
            <w:tcW w:w="1600" w:type="dxa"/>
            <w:shd w:val="clear" w:color="auto" w:fill="auto"/>
            <w:tcMar>
              <w:left w:w="0" w:type="dxa"/>
            </w:tcMar>
          </w:tcPr>
          <w:p w14:paraId="16FD9CE1" w14:textId="70A3A890" w:rsidR="00AC7ACA" w:rsidRDefault="00AC7ACA" w:rsidP="00AC7ACA">
            <w:pPr>
              <w:pStyle w:val="Marginlie"/>
              <w:rPr>
                <w:color w:val="0D0D0D" w:themeColor="text1" w:themeTint="F2"/>
                <w:spacing w:val="-5"/>
                <w:lang w:val="en-GB"/>
              </w:rPr>
            </w:pPr>
            <w:r>
              <w:rPr>
                <w:spacing w:val="-4"/>
                <w:lang w:val="en-GB"/>
              </w:rPr>
              <w:t xml:space="preserve">The employment rate of persons aged 16 to 64 years hiked up to record level. </w:t>
            </w:r>
          </w:p>
        </w:tc>
        <w:tc>
          <w:tcPr>
            <w:tcW w:w="189" w:type="dxa"/>
            <w:shd w:val="clear" w:color="auto" w:fill="auto"/>
            <w:tcMar>
              <w:left w:w="0" w:type="dxa"/>
            </w:tcMar>
          </w:tcPr>
          <w:p w14:paraId="1A782E98" w14:textId="77777777" w:rsidR="00AC7ACA" w:rsidRPr="00B01310" w:rsidRDefault="00AC7ACA" w:rsidP="00AC7ACA">
            <w:pPr>
              <w:pStyle w:val="Textpoznpodarou"/>
              <w:spacing w:after="120"/>
              <w:jc w:val="both"/>
              <w:rPr>
                <w:color w:val="0D0D0D" w:themeColor="text1" w:themeTint="F2"/>
                <w:spacing w:val="-4"/>
                <w:lang w:val="en-GB"/>
              </w:rPr>
            </w:pPr>
          </w:p>
        </w:tc>
        <w:tc>
          <w:tcPr>
            <w:tcW w:w="7880" w:type="dxa"/>
            <w:shd w:val="clear" w:color="auto" w:fill="auto"/>
            <w:tcMar>
              <w:left w:w="0" w:type="dxa"/>
            </w:tcMar>
          </w:tcPr>
          <w:p w14:paraId="0FA0424E" w14:textId="518691F3" w:rsidR="00AC7ACA" w:rsidRDefault="00AC7ACA" w:rsidP="00AC7ACA">
            <w:pPr>
              <w:spacing w:after="200"/>
              <w:rPr>
                <w:spacing w:val="-4"/>
                <w:lang w:val="en-GB"/>
              </w:rPr>
            </w:pPr>
            <w:r>
              <w:rPr>
                <w:spacing w:val="-4"/>
                <w:lang w:val="en-GB"/>
              </w:rPr>
              <w:t xml:space="preserve">Already 75.4 persons out of one hundred persons aged </w:t>
            </w:r>
            <w:r w:rsidRPr="0060279D">
              <w:rPr>
                <w:spacing w:val="-4"/>
                <w:lang w:val="en-GB"/>
              </w:rPr>
              <w:t>15 </w:t>
            </w:r>
            <w:r>
              <w:rPr>
                <w:spacing w:val="-4"/>
                <w:lang w:val="en-GB"/>
              </w:rPr>
              <w:t xml:space="preserve">till </w:t>
            </w:r>
            <w:r w:rsidRPr="0060279D">
              <w:rPr>
                <w:spacing w:val="-4"/>
                <w:lang w:val="en-GB"/>
              </w:rPr>
              <w:t>64 </w:t>
            </w:r>
            <w:r>
              <w:rPr>
                <w:spacing w:val="-4"/>
                <w:lang w:val="en-GB"/>
              </w:rPr>
              <w:t>years worked in Q</w:t>
            </w:r>
            <w:r w:rsidRPr="0060279D">
              <w:rPr>
                <w:spacing w:val="-4"/>
                <w:lang w:val="en-GB"/>
              </w:rPr>
              <w:t>4. </w:t>
            </w:r>
            <w:r>
              <w:rPr>
                <w:spacing w:val="-4"/>
                <w:lang w:val="en-GB"/>
              </w:rPr>
              <w:t xml:space="preserve">The employment rate thus overtook the so far record value from the end of year 2019 for the first time. For males it was </w:t>
            </w:r>
            <w:r w:rsidRPr="0060279D">
              <w:rPr>
                <w:spacing w:val="2"/>
                <w:szCs w:val="20"/>
                <w:lang w:val="en-GB"/>
              </w:rPr>
              <w:t>82</w:t>
            </w:r>
            <w:r>
              <w:rPr>
                <w:spacing w:val="2"/>
                <w:szCs w:val="20"/>
                <w:lang w:val="en-GB"/>
              </w:rPr>
              <w:t>.</w:t>
            </w:r>
            <w:r w:rsidRPr="0060279D">
              <w:rPr>
                <w:spacing w:val="2"/>
                <w:szCs w:val="20"/>
                <w:lang w:val="en-GB"/>
              </w:rPr>
              <w:t>1% (</w:t>
            </w:r>
            <w:r>
              <w:rPr>
                <w:spacing w:val="2"/>
                <w:szCs w:val="20"/>
                <w:lang w:val="en-GB"/>
              </w:rPr>
              <w:t xml:space="preserve">with year-on-year growth of </w:t>
            </w:r>
            <w:r w:rsidRPr="0060279D">
              <w:rPr>
                <w:spacing w:val="2"/>
                <w:szCs w:val="20"/>
                <w:lang w:val="en-GB"/>
              </w:rPr>
              <w:t>0</w:t>
            </w:r>
            <w:r>
              <w:rPr>
                <w:spacing w:val="2"/>
                <w:szCs w:val="20"/>
                <w:lang w:val="en-GB"/>
              </w:rPr>
              <w:t>.</w:t>
            </w:r>
            <w:r w:rsidRPr="0060279D">
              <w:rPr>
                <w:spacing w:val="2"/>
                <w:szCs w:val="20"/>
                <w:lang w:val="en-GB"/>
              </w:rPr>
              <w:t>8 p.</w:t>
            </w:r>
            <w:r>
              <w:rPr>
                <w:spacing w:val="2"/>
                <w:szCs w:val="20"/>
                <w:lang w:val="en-GB"/>
              </w:rPr>
              <w:t>p</w:t>
            </w:r>
            <w:r w:rsidRPr="0060279D">
              <w:rPr>
                <w:spacing w:val="2"/>
                <w:szCs w:val="20"/>
                <w:lang w:val="en-GB"/>
              </w:rPr>
              <w:t>.),</w:t>
            </w:r>
            <w:r>
              <w:rPr>
                <w:spacing w:val="2"/>
                <w:szCs w:val="20"/>
                <w:lang w:val="en-GB"/>
              </w:rPr>
              <w:t xml:space="preserve"> for females </w:t>
            </w:r>
            <w:r w:rsidRPr="0060279D">
              <w:rPr>
                <w:spacing w:val="2"/>
                <w:szCs w:val="20"/>
                <w:lang w:val="en-GB"/>
              </w:rPr>
              <w:t>68</w:t>
            </w:r>
            <w:r>
              <w:rPr>
                <w:spacing w:val="2"/>
                <w:szCs w:val="20"/>
                <w:lang w:val="en-GB"/>
              </w:rPr>
              <w:t>.</w:t>
            </w:r>
            <w:r w:rsidRPr="0060279D">
              <w:rPr>
                <w:spacing w:val="2"/>
                <w:szCs w:val="20"/>
                <w:lang w:val="en-GB"/>
              </w:rPr>
              <w:t>3% (+1</w:t>
            </w:r>
            <w:r>
              <w:rPr>
                <w:spacing w:val="2"/>
                <w:szCs w:val="20"/>
                <w:lang w:val="en-GB"/>
              </w:rPr>
              <w:t>.</w:t>
            </w:r>
            <w:r w:rsidRPr="0060279D">
              <w:rPr>
                <w:spacing w:val="2"/>
                <w:szCs w:val="20"/>
                <w:lang w:val="en-GB"/>
              </w:rPr>
              <w:t>3 p.</w:t>
            </w:r>
            <w:r>
              <w:rPr>
                <w:spacing w:val="2"/>
                <w:szCs w:val="20"/>
                <w:lang w:val="en-GB"/>
              </w:rPr>
              <w:t>p</w:t>
            </w:r>
            <w:r w:rsidRPr="0060279D">
              <w:rPr>
                <w:spacing w:val="2"/>
                <w:szCs w:val="20"/>
                <w:lang w:val="en-GB"/>
              </w:rPr>
              <w:t xml:space="preserve">.). </w:t>
            </w:r>
            <w:r>
              <w:rPr>
                <w:spacing w:val="2"/>
                <w:szCs w:val="20"/>
                <w:lang w:val="en-GB"/>
              </w:rPr>
              <w:t xml:space="preserve">More favourable development for females is the result of swift recovery of demand for work in some branches of services strongly hit by pandemics. The faster </w:t>
            </w:r>
            <w:r>
              <w:rPr>
                <w:spacing w:val="2"/>
                <w:szCs w:val="20"/>
                <w:lang w:val="en-GB"/>
              </w:rPr>
              <w:lastRenderedPageBreak/>
              <w:t>increase of the pension age for females compared to males is also having an effect in the long term. Based on the up to date data from Q</w:t>
            </w:r>
            <w:r w:rsidRPr="0060279D">
              <w:rPr>
                <w:spacing w:val="2"/>
                <w:szCs w:val="20"/>
                <w:lang w:val="en-GB"/>
              </w:rPr>
              <w:t>3</w:t>
            </w:r>
            <w:r>
              <w:rPr>
                <w:spacing w:val="2"/>
                <w:szCs w:val="20"/>
                <w:lang w:val="en-GB"/>
              </w:rPr>
              <w:t xml:space="preserve"> </w:t>
            </w:r>
            <w:r w:rsidRPr="0060279D">
              <w:rPr>
                <w:spacing w:val="2"/>
                <w:szCs w:val="20"/>
                <w:lang w:val="en-GB"/>
              </w:rPr>
              <w:t>2021</w:t>
            </w:r>
            <w:r>
              <w:rPr>
                <w:spacing w:val="2"/>
                <w:szCs w:val="20"/>
                <w:lang w:val="en-GB"/>
              </w:rPr>
              <w:t xml:space="preserve">, the employment rate for males was </w:t>
            </w:r>
            <w:r w:rsidRPr="0060279D">
              <w:rPr>
                <w:spacing w:val="2"/>
                <w:szCs w:val="20"/>
                <w:lang w:val="en-GB"/>
              </w:rPr>
              <w:t>74</w:t>
            </w:r>
            <w:r>
              <w:rPr>
                <w:spacing w:val="2"/>
                <w:szCs w:val="20"/>
                <w:lang w:val="en-GB"/>
              </w:rPr>
              <w:t>.</w:t>
            </w:r>
            <w:r w:rsidRPr="0060279D">
              <w:rPr>
                <w:spacing w:val="2"/>
                <w:szCs w:val="20"/>
                <w:lang w:val="en-GB"/>
              </w:rPr>
              <w:t>3% a</w:t>
            </w:r>
            <w:r>
              <w:rPr>
                <w:spacing w:val="2"/>
                <w:szCs w:val="20"/>
                <w:lang w:val="en-GB"/>
              </w:rPr>
              <w:t xml:space="preserve">nd females </w:t>
            </w:r>
            <w:r w:rsidRPr="0060279D">
              <w:rPr>
                <w:spacing w:val="2"/>
                <w:szCs w:val="20"/>
                <w:lang w:val="en-GB"/>
              </w:rPr>
              <w:t>64</w:t>
            </w:r>
            <w:r>
              <w:rPr>
                <w:spacing w:val="2"/>
                <w:szCs w:val="20"/>
                <w:lang w:val="en-GB"/>
              </w:rPr>
              <w:t>.</w:t>
            </w:r>
            <w:r w:rsidRPr="0060279D">
              <w:rPr>
                <w:spacing w:val="2"/>
                <w:szCs w:val="20"/>
                <w:lang w:val="en-GB"/>
              </w:rPr>
              <w:t>3%</w:t>
            </w:r>
            <w:r w:rsidRPr="0060279D">
              <w:rPr>
                <w:rStyle w:val="Znakapoznpodarou"/>
                <w:spacing w:val="2"/>
                <w:szCs w:val="20"/>
                <w:lang w:val="en-GB"/>
              </w:rPr>
              <w:footnoteReference w:id="8"/>
            </w:r>
            <w:r>
              <w:rPr>
                <w:spacing w:val="2"/>
                <w:szCs w:val="20"/>
                <w:lang w:val="en-GB"/>
              </w:rPr>
              <w:t xml:space="preserve"> in the EU</w:t>
            </w:r>
            <w:r w:rsidRPr="0060279D">
              <w:rPr>
                <w:spacing w:val="2"/>
                <w:szCs w:val="20"/>
                <w:lang w:val="en-GB"/>
              </w:rPr>
              <w:t>.</w:t>
            </w:r>
          </w:p>
        </w:tc>
      </w:tr>
      <w:tr w:rsidR="00AC7ACA" w:rsidRPr="00D82DBD" w14:paraId="2CE1C1A9" w14:textId="77777777" w:rsidTr="008E039E">
        <w:trPr>
          <w:trHeight w:val="145"/>
        </w:trPr>
        <w:tc>
          <w:tcPr>
            <w:tcW w:w="1600" w:type="dxa"/>
            <w:shd w:val="clear" w:color="auto" w:fill="auto"/>
            <w:tcMar>
              <w:left w:w="0" w:type="dxa"/>
            </w:tcMar>
          </w:tcPr>
          <w:p w14:paraId="66A12C7B" w14:textId="6EAEF214" w:rsidR="00AC7ACA" w:rsidRPr="00B01310" w:rsidRDefault="00AC7ACA" w:rsidP="00AC7ACA">
            <w:pPr>
              <w:pStyle w:val="Marginlie"/>
              <w:rPr>
                <w:color w:val="0D0D0D" w:themeColor="text1" w:themeTint="F2"/>
                <w:spacing w:val="-5"/>
                <w:lang w:val="en-GB"/>
              </w:rPr>
            </w:pPr>
            <w:r>
              <w:rPr>
                <w:color w:val="0D0D0D" w:themeColor="text1" w:themeTint="F2"/>
                <w:spacing w:val="-5"/>
                <w:lang w:val="en-GB"/>
              </w:rPr>
              <w:lastRenderedPageBreak/>
              <w:t xml:space="preserve">Apart from industry, expectations of businesses in the area of employment strengthened for a major part of the last year. Mild pessimism lingered only in some areas of services at the beginning of year </w:t>
            </w:r>
            <w:r w:rsidRPr="00B01310">
              <w:rPr>
                <w:color w:val="0D0D0D" w:themeColor="text1" w:themeTint="F2"/>
                <w:spacing w:val="-5"/>
                <w:lang w:val="en-GB"/>
              </w:rPr>
              <w:t>2022</w:t>
            </w:r>
            <w:r>
              <w:rPr>
                <w:color w:val="0D0D0D" w:themeColor="text1" w:themeTint="F2"/>
                <w:spacing w:val="-5"/>
                <w:lang w:val="en-GB"/>
              </w:rPr>
              <w:t xml:space="preserve">. </w:t>
            </w:r>
          </w:p>
        </w:tc>
        <w:tc>
          <w:tcPr>
            <w:tcW w:w="189" w:type="dxa"/>
            <w:shd w:val="clear" w:color="auto" w:fill="auto"/>
            <w:tcMar>
              <w:left w:w="0" w:type="dxa"/>
            </w:tcMar>
          </w:tcPr>
          <w:p w14:paraId="50344A71" w14:textId="77777777" w:rsidR="00AC7ACA" w:rsidRPr="00B01310" w:rsidRDefault="00AC7ACA" w:rsidP="00AC7ACA">
            <w:pPr>
              <w:pStyle w:val="Textpoznpodarou"/>
              <w:spacing w:after="120"/>
              <w:jc w:val="both"/>
              <w:rPr>
                <w:color w:val="0D0D0D" w:themeColor="text1" w:themeTint="F2"/>
                <w:spacing w:val="-4"/>
                <w:lang w:val="en-GB"/>
              </w:rPr>
            </w:pPr>
          </w:p>
        </w:tc>
        <w:tc>
          <w:tcPr>
            <w:tcW w:w="7880" w:type="dxa"/>
            <w:shd w:val="clear" w:color="auto" w:fill="auto"/>
            <w:tcMar>
              <w:left w:w="0" w:type="dxa"/>
            </w:tcMar>
          </w:tcPr>
          <w:p w14:paraId="0118BB9A" w14:textId="79303591" w:rsidR="00AC7ACA" w:rsidRPr="00B01310" w:rsidRDefault="00AC7ACA" w:rsidP="00AC7ACA">
            <w:pPr>
              <w:spacing w:after="200"/>
              <w:rPr>
                <w:spacing w:val="-4"/>
                <w:lang w:val="en-GB"/>
              </w:rPr>
            </w:pPr>
            <w:r>
              <w:rPr>
                <w:spacing w:val="-4"/>
                <w:lang w:val="en-GB"/>
              </w:rPr>
              <w:t xml:space="preserve">According to the business cycle surveys, the short term positive expectations of businesses in the area of employment climbed up the highest in September </w:t>
            </w:r>
            <w:r w:rsidRPr="00B01310">
              <w:rPr>
                <w:spacing w:val="-4"/>
                <w:lang w:val="en-GB"/>
              </w:rPr>
              <w:t>2021</w:t>
            </w:r>
            <w:r>
              <w:rPr>
                <w:spacing w:val="-4"/>
                <w:lang w:val="en-GB"/>
              </w:rPr>
              <w:t xml:space="preserve"> since the Autumn 2019</w:t>
            </w:r>
            <w:r w:rsidRPr="00B01310">
              <w:rPr>
                <w:spacing w:val="-4"/>
                <w:lang w:val="en-GB"/>
              </w:rPr>
              <w:t xml:space="preserve">. </w:t>
            </w:r>
            <w:r>
              <w:rPr>
                <w:spacing w:val="-4"/>
                <w:lang w:val="en-GB"/>
              </w:rPr>
              <w:t>Mild cool down manifested as a result of difficulties in manufacturing during Q</w:t>
            </w:r>
            <w:r w:rsidRPr="00B01310">
              <w:rPr>
                <w:spacing w:val="-4"/>
                <w:lang w:val="en-GB"/>
              </w:rPr>
              <w:t>4</w:t>
            </w:r>
            <w:r>
              <w:rPr>
                <w:spacing w:val="-4"/>
                <w:lang w:val="en-GB"/>
              </w:rPr>
              <w:t xml:space="preserve">, the optimism however again strengthened at the beginning of year </w:t>
            </w:r>
            <w:r w:rsidRPr="00B01310">
              <w:rPr>
                <w:spacing w:val="-4"/>
                <w:lang w:val="en-GB"/>
              </w:rPr>
              <w:t>2022</w:t>
            </w:r>
            <w:r>
              <w:rPr>
                <w:spacing w:val="-4"/>
                <w:lang w:val="en-GB"/>
              </w:rPr>
              <w:t>. The expectations were positive mainly in trade and construction, but also in industry. Businesses planning job terminations still slightly outweighed in services</w:t>
            </w:r>
            <w:r w:rsidRPr="00B01310">
              <w:rPr>
                <w:spacing w:val="-4"/>
                <w:lang w:val="en-GB"/>
              </w:rPr>
              <w:t xml:space="preserve">, </w:t>
            </w:r>
            <w:r>
              <w:rPr>
                <w:spacing w:val="-4"/>
                <w:lang w:val="en-GB"/>
              </w:rPr>
              <w:t xml:space="preserve">this was nevertheless valid also in the period immediately before the onset of pandemics. Negative expectations endured e.g. in the air transport and in the financial sector. At the same time however, the proportion of businesses, which considered the shortage of labour one of the growth barriers, increased </w:t>
            </w:r>
            <w:r w:rsidRPr="00B01310">
              <w:rPr>
                <w:spacing w:val="-4"/>
                <w:lang w:val="en-GB"/>
              </w:rPr>
              <w:t xml:space="preserve"> – </w:t>
            </w:r>
            <w:r>
              <w:rPr>
                <w:spacing w:val="-4"/>
                <w:lang w:val="en-GB"/>
              </w:rPr>
              <w:t xml:space="preserve">it was already 45% in construction in February </w:t>
            </w:r>
            <w:r w:rsidRPr="00B01310">
              <w:rPr>
                <w:spacing w:val="-4"/>
                <w:lang w:val="en-GB"/>
              </w:rPr>
              <w:t>2022</w:t>
            </w:r>
            <w:r>
              <w:rPr>
                <w:spacing w:val="-4"/>
                <w:lang w:val="en-GB"/>
              </w:rPr>
              <w:t xml:space="preserve"> </w:t>
            </w:r>
            <w:r w:rsidRPr="00B01310">
              <w:rPr>
                <w:spacing w:val="-4"/>
                <w:lang w:val="en-GB"/>
              </w:rPr>
              <w:t>(</w:t>
            </w:r>
            <w:r>
              <w:rPr>
                <w:spacing w:val="-4"/>
                <w:lang w:val="en-GB"/>
              </w:rPr>
              <w:t>here it was the most significant growth barrier already the fourth year in a row</w:t>
            </w:r>
            <w:r w:rsidRPr="00B01310">
              <w:rPr>
                <w:spacing w:val="-4"/>
                <w:lang w:val="en-GB"/>
              </w:rPr>
              <w:t xml:space="preserve">), </w:t>
            </w:r>
            <w:r>
              <w:rPr>
                <w:spacing w:val="-4"/>
                <w:lang w:val="en-GB"/>
              </w:rPr>
              <w:t xml:space="preserve">in industry as well as in services approximately by </w:t>
            </w:r>
            <w:r w:rsidRPr="00B01310">
              <w:rPr>
                <w:spacing w:val="-4"/>
                <w:lang w:val="en-GB"/>
              </w:rPr>
              <w:t>20%</w:t>
            </w:r>
            <w:r w:rsidRPr="00B01310">
              <w:rPr>
                <w:rStyle w:val="Znakapoznpodarou"/>
                <w:spacing w:val="-4"/>
                <w:lang w:val="en-GB"/>
              </w:rPr>
              <w:footnoteReference w:id="9"/>
            </w:r>
            <w:r w:rsidRPr="00B01310">
              <w:rPr>
                <w:spacing w:val="-4"/>
                <w:lang w:val="en-GB"/>
              </w:rPr>
              <w:t xml:space="preserve">. </w:t>
            </w:r>
            <w:r>
              <w:rPr>
                <w:spacing w:val="-4"/>
                <w:lang w:val="en-GB"/>
              </w:rPr>
              <w:t xml:space="preserve">With the exception of industry, the difficulties with the labour force already climbed up to the level from year </w:t>
            </w:r>
            <w:r w:rsidRPr="00B01310">
              <w:rPr>
                <w:spacing w:val="-4"/>
                <w:lang w:val="en-GB"/>
              </w:rPr>
              <w:t>2019 a</w:t>
            </w:r>
            <w:r>
              <w:rPr>
                <w:spacing w:val="-4"/>
                <w:lang w:val="en-GB"/>
              </w:rPr>
              <w:t xml:space="preserve">nd thus prove the strong tension on the labour market. </w:t>
            </w:r>
          </w:p>
        </w:tc>
      </w:tr>
      <w:tr w:rsidR="00AC7ACA" w:rsidRPr="00B43216" w14:paraId="3585EDB3" w14:textId="77777777" w:rsidTr="008E039E">
        <w:trPr>
          <w:trHeight w:val="155"/>
        </w:trPr>
        <w:tc>
          <w:tcPr>
            <w:tcW w:w="1600" w:type="dxa"/>
            <w:vMerge w:val="restart"/>
            <w:shd w:val="clear" w:color="auto" w:fill="auto"/>
            <w:tcMar>
              <w:left w:w="0" w:type="dxa"/>
            </w:tcMar>
          </w:tcPr>
          <w:p w14:paraId="29D17993" w14:textId="77777777" w:rsidR="00AC7ACA" w:rsidRPr="00B43216" w:rsidRDefault="00AC7ACA" w:rsidP="00AC7ACA">
            <w:pPr>
              <w:pStyle w:val="Marginlie"/>
              <w:spacing w:after="120"/>
              <w:rPr>
                <w:spacing w:val="-4"/>
              </w:rPr>
            </w:pPr>
          </w:p>
        </w:tc>
        <w:tc>
          <w:tcPr>
            <w:tcW w:w="189" w:type="dxa"/>
            <w:vMerge w:val="restart"/>
            <w:shd w:val="clear" w:color="auto" w:fill="auto"/>
            <w:tcMar>
              <w:left w:w="0" w:type="dxa"/>
            </w:tcMar>
          </w:tcPr>
          <w:p w14:paraId="6431C036" w14:textId="77777777" w:rsidR="00AC7ACA" w:rsidRPr="00B43216" w:rsidRDefault="00AC7ACA" w:rsidP="00AC7ACA">
            <w:pPr>
              <w:pStyle w:val="Textpoznpodarou"/>
              <w:spacing w:after="120"/>
              <w:jc w:val="both"/>
              <w:rPr>
                <w:spacing w:val="-4"/>
              </w:rPr>
            </w:pPr>
          </w:p>
        </w:tc>
        <w:tc>
          <w:tcPr>
            <w:tcW w:w="7880" w:type="dxa"/>
            <w:shd w:val="clear" w:color="auto" w:fill="auto"/>
            <w:tcMar>
              <w:left w:w="0" w:type="dxa"/>
            </w:tcMar>
          </w:tcPr>
          <w:p w14:paraId="63A7C037" w14:textId="230F21B1" w:rsidR="00AC7ACA" w:rsidRPr="009C410C" w:rsidRDefault="00AC7ACA" w:rsidP="00AC7ACA">
            <w:pPr>
              <w:spacing w:after="0"/>
              <w:rPr>
                <w:b/>
                <w:spacing w:val="-4"/>
              </w:rPr>
            </w:pPr>
            <w:r>
              <w:rPr>
                <w:b/>
                <w:spacing w:val="-4"/>
              </w:rPr>
              <w:t>Chart 15</w:t>
            </w:r>
            <w:r w:rsidRPr="009C410C">
              <w:rPr>
                <w:b/>
                <w:spacing w:val="-4"/>
              </w:rPr>
              <w:t xml:space="preserve">  </w:t>
            </w:r>
            <w:r w:rsidRPr="000A5DBC">
              <w:rPr>
                <w:b/>
                <w:spacing w:val="-3"/>
                <w:lang w:val="en-GB"/>
              </w:rPr>
              <w:t>General</w:t>
            </w:r>
            <w:r w:rsidRPr="000A5DBC">
              <w:rPr>
                <w:rFonts w:cs="Arial"/>
                <w:b/>
                <w:spacing w:val="-3"/>
                <w:lang w:val="en-GB"/>
              </w:rPr>
              <w:t xml:space="preserve"> unemployment rate </w:t>
            </w:r>
            <w:r w:rsidRPr="000A5DBC">
              <w:rPr>
                <w:rFonts w:cs="Arial"/>
                <w:bCs/>
                <w:spacing w:val="-3"/>
                <w:lang w:val="en-GB"/>
              </w:rPr>
              <w:t>(in %)</w:t>
            </w:r>
            <w:r w:rsidRPr="000A5DBC">
              <w:rPr>
                <w:rFonts w:cs="Arial"/>
                <w:b/>
                <w:spacing w:val="-3"/>
                <w:lang w:val="en-GB"/>
              </w:rPr>
              <w:t>, ratio of long-term unemployed</w:t>
            </w:r>
            <w:r>
              <w:rPr>
                <w:rFonts w:cs="Arial"/>
                <w:b/>
                <w:spacing w:val="-3"/>
                <w:lang w:val="en-GB"/>
              </w:rPr>
              <w:t xml:space="preserve"> and persons aged up to 25 and above 50 years among unemployed</w:t>
            </w:r>
            <w:r w:rsidRPr="000A5DBC">
              <w:rPr>
                <w:rFonts w:cs="Arial"/>
                <w:b/>
                <w:spacing w:val="-3"/>
                <w:lang w:val="en-GB"/>
              </w:rPr>
              <w:t xml:space="preserve"> </w:t>
            </w:r>
            <w:r w:rsidRPr="000A5DBC">
              <w:rPr>
                <w:rFonts w:cs="Arial"/>
                <w:bCs/>
                <w:spacing w:val="-3"/>
                <w:lang w:val="en-GB"/>
              </w:rPr>
              <w:t>(in %)</w:t>
            </w:r>
            <w:r w:rsidRPr="000A5DBC">
              <w:rPr>
                <w:rFonts w:cs="Arial"/>
                <w:b/>
                <w:spacing w:val="-3"/>
                <w:lang w:val="en-GB"/>
              </w:rPr>
              <w:t xml:space="preserve">, economically inactive willing to work </w:t>
            </w:r>
            <w:r w:rsidRPr="000A5DBC">
              <w:rPr>
                <w:rFonts w:cs="Arial"/>
                <w:bCs/>
                <w:spacing w:val="-3"/>
                <w:lang w:val="en-GB"/>
              </w:rPr>
              <w:t>(in thousand)</w:t>
            </w:r>
            <w:r w:rsidRPr="009C410C">
              <w:rPr>
                <w:rFonts w:cs="Arial"/>
                <w:bCs/>
                <w:spacing w:val="-4"/>
              </w:rPr>
              <w:t>*</w:t>
            </w:r>
            <w:r>
              <w:rPr>
                <w:rFonts w:cs="Arial"/>
                <w:bCs/>
                <w:spacing w:val="-4"/>
              </w:rPr>
              <w:t xml:space="preserve"> </w:t>
            </w:r>
            <w:r>
              <w:rPr>
                <w:rFonts w:cs="Arial"/>
                <w:b/>
                <w:spacing w:val="-3"/>
                <w:lang w:val="en-GB"/>
              </w:rPr>
              <w:t xml:space="preserve">household expectations for unemployment </w:t>
            </w:r>
            <w:r w:rsidR="00506F4A">
              <w:rPr>
                <w:rFonts w:cs="Arial"/>
                <w:b/>
                <w:spacing w:val="-3"/>
                <w:lang w:val="en-GB"/>
              </w:rPr>
              <w:t xml:space="preserve">development </w:t>
            </w:r>
            <w:r w:rsidRPr="009C410C">
              <w:rPr>
                <w:rFonts w:cs="Arial"/>
                <w:bCs/>
                <w:spacing w:val="-4"/>
              </w:rPr>
              <w:t>(</w:t>
            </w:r>
            <w:r>
              <w:rPr>
                <w:rFonts w:cs="Arial"/>
                <w:bCs/>
                <w:spacing w:val="-4"/>
              </w:rPr>
              <w:t>in points</w:t>
            </w:r>
            <w:r w:rsidRPr="009C410C">
              <w:rPr>
                <w:rFonts w:cs="Arial"/>
                <w:bCs/>
                <w:spacing w:val="-4"/>
              </w:rPr>
              <w:t>)**</w:t>
            </w:r>
          </w:p>
        </w:tc>
      </w:tr>
      <w:tr w:rsidR="00AC7ACA" w:rsidRPr="00B43216" w14:paraId="4F2786C3" w14:textId="77777777" w:rsidTr="004F665D">
        <w:tblPrEx>
          <w:tblCellMar>
            <w:left w:w="70" w:type="dxa"/>
            <w:right w:w="70" w:type="dxa"/>
          </w:tblCellMar>
        </w:tblPrEx>
        <w:trPr>
          <w:trHeight w:val="155"/>
        </w:trPr>
        <w:tc>
          <w:tcPr>
            <w:tcW w:w="1600" w:type="dxa"/>
            <w:vMerge/>
            <w:shd w:val="clear" w:color="auto" w:fill="auto"/>
          </w:tcPr>
          <w:p w14:paraId="6DFCBF32" w14:textId="77777777" w:rsidR="00AC7ACA" w:rsidRPr="00B43216" w:rsidRDefault="00AC7ACA" w:rsidP="00AC7ACA">
            <w:pPr>
              <w:pStyle w:val="Marginlie"/>
              <w:spacing w:after="120"/>
              <w:rPr>
                <w:spacing w:val="-4"/>
              </w:rPr>
            </w:pPr>
          </w:p>
        </w:tc>
        <w:tc>
          <w:tcPr>
            <w:tcW w:w="189" w:type="dxa"/>
            <w:vMerge/>
            <w:shd w:val="clear" w:color="auto" w:fill="auto"/>
          </w:tcPr>
          <w:p w14:paraId="143FD2D5" w14:textId="77777777" w:rsidR="00AC7ACA" w:rsidRPr="00B43216" w:rsidRDefault="00AC7ACA" w:rsidP="00AC7ACA">
            <w:pPr>
              <w:pStyle w:val="Textpoznpodarou"/>
              <w:spacing w:after="120"/>
              <w:jc w:val="both"/>
              <w:rPr>
                <w:spacing w:val="-4"/>
              </w:rPr>
            </w:pPr>
          </w:p>
        </w:tc>
        <w:tc>
          <w:tcPr>
            <w:tcW w:w="7880" w:type="dxa"/>
            <w:shd w:val="clear" w:color="auto" w:fill="auto"/>
          </w:tcPr>
          <w:p w14:paraId="6F87FDFB" w14:textId="6E09222E" w:rsidR="00AC7ACA" w:rsidRPr="00B43216" w:rsidRDefault="004F665D" w:rsidP="00AC7ACA">
            <w:pPr>
              <w:spacing w:after="0"/>
              <w:rPr>
                <w:spacing w:val="-4"/>
              </w:rPr>
            </w:pPr>
            <w:r>
              <w:rPr>
                <w:noProof/>
              </w:rPr>
              <w:drawing>
                <wp:inline distT="0" distB="0" distL="0" distR="0" wp14:anchorId="6F712476" wp14:editId="4FD397E2">
                  <wp:extent cx="4734311" cy="3501501"/>
                  <wp:effectExtent l="0" t="0" r="0" b="381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C7ACA" w:rsidRPr="00B43216" w14:paraId="0E752125" w14:textId="77777777" w:rsidTr="008E039E">
        <w:trPr>
          <w:trHeight w:val="671"/>
        </w:trPr>
        <w:tc>
          <w:tcPr>
            <w:tcW w:w="1600" w:type="dxa"/>
            <w:vMerge/>
            <w:shd w:val="clear" w:color="auto" w:fill="auto"/>
            <w:tcMar>
              <w:left w:w="0" w:type="dxa"/>
            </w:tcMar>
          </w:tcPr>
          <w:p w14:paraId="3A69B4FE" w14:textId="77777777" w:rsidR="00AC7ACA" w:rsidRPr="00B43216" w:rsidRDefault="00AC7ACA" w:rsidP="00AC7ACA">
            <w:pPr>
              <w:pStyle w:val="Marginlie"/>
              <w:rPr>
                <w:spacing w:val="-4"/>
              </w:rPr>
            </w:pPr>
          </w:p>
        </w:tc>
        <w:tc>
          <w:tcPr>
            <w:tcW w:w="189" w:type="dxa"/>
            <w:vMerge/>
            <w:shd w:val="clear" w:color="auto" w:fill="auto"/>
            <w:tcMar>
              <w:left w:w="0" w:type="dxa"/>
            </w:tcMar>
          </w:tcPr>
          <w:p w14:paraId="04513910" w14:textId="77777777" w:rsidR="00AC7ACA" w:rsidRPr="00B43216" w:rsidRDefault="00AC7ACA" w:rsidP="00AC7ACA">
            <w:pPr>
              <w:pStyle w:val="Textpoznpodarou"/>
              <w:jc w:val="both"/>
              <w:rPr>
                <w:spacing w:val="-4"/>
              </w:rPr>
            </w:pPr>
          </w:p>
        </w:tc>
        <w:tc>
          <w:tcPr>
            <w:tcW w:w="7880" w:type="dxa"/>
            <w:shd w:val="clear" w:color="auto" w:fill="auto"/>
            <w:tcMar>
              <w:left w:w="0" w:type="dxa"/>
            </w:tcMar>
          </w:tcPr>
          <w:p w14:paraId="275365A6" w14:textId="77777777" w:rsidR="00AC7ACA" w:rsidRDefault="00AC7ACA" w:rsidP="00AC7ACA">
            <w:pPr>
              <w:spacing w:after="0" w:line="240" w:lineRule="auto"/>
              <w:rPr>
                <w:rFonts w:cs="Arial"/>
                <w:color w:val="0D0D0D" w:themeColor="text1" w:themeTint="F2"/>
                <w:sz w:val="14"/>
                <w:szCs w:val="14"/>
                <w:lang w:val="en-GB"/>
              </w:rPr>
            </w:pPr>
            <w:r>
              <w:rPr>
                <w:rFonts w:cs="Arial"/>
                <w:color w:val="0D0D0D" w:themeColor="text1" w:themeTint="F2"/>
                <w:sz w:val="14"/>
                <w:szCs w:val="14"/>
                <w:lang w:val="en-GB"/>
              </w:rPr>
              <w:t>Note.: Figures regarding the unemployment rate are seasonally adjusted, other data are not.</w:t>
            </w:r>
          </w:p>
          <w:p w14:paraId="456F5CC2" w14:textId="77777777" w:rsidR="00AC7ACA" w:rsidRDefault="00AC7ACA" w:rsidP="00AC7ACA">
            <w:pPr>
              <w:spacing w:after="0" w:line="240" w:lineRule="auto"/>
              <w:rPr>
                <w:rFonts w:cs="Arial"/>
                <w:bCs/>
                <w:color w:val="0D0D0D" w:themeColor="text1" w:themeTint="F2"/>
                <w:sz w:val="14"/>
                <w:szCs w:val="14"/>
                <w:lang w:val="en-GB"/>
              </w:rPr>
            </w:pPr>
            <w:r>
              <w:rPr>
                <w:rFonts w:cs="Arial"/>
                <w:bCs/>
                <w:color w:val="0D0D0D" w:themeColor="text1" w:themeTint="F2"/>
                <w:sz w:val="14"/>
                <w:szCs w:val="14"/>
                <w:lang w:val="en-GB"/>
              </w:rPr>
              <w:t xml:space="preserve">*Persons not in employment, not seeking work, but expressing the willingness to work. </w:t>
            </w:r>
          </w:p>
          <w:p w14:paraId="5C4654F1" w14:textId="0BA14278" w:rsidR="00AC7ACA" w:rsidRDefault="00AC7ACA" w:rsidP="00AC7ACA">
            <w:pPr>
              <w:spacing w:after="0" w:line="240" w:lineRule="auto"/>
              <w:rPr>
                <w:rFonts w:cs="Arial"/>
                <w:color w:val="0D0D0D" w:themeColor="text1" w:themeTint="F2"/>
                <w:spacing w:val="-2"/>
                <w:sz w:val="14"/>
                <w:szCs w:val="14"/>
                <w:lang w:val="en-GB"/>
              </w:rPr>
            </w:pPr>
            <w:r>
              <w:rPr>
                <w:rFonts w:cs="Arial"/>
                <w:color w:val="0D0D0D" w:themeColor="text1" w:themeTint="F2"/>
                <w:spacing w:val="-2"/>
                <w:sz w:val="14"/>
                <w:szCs w:val="14"/>
                <w:lang w:val="en-GB"/>
              </w:rPr>
              <w:t xml:space="preserve">**Seasonally adjusted balance of expectations of unemployment in the next 12 months (difference between percentage frequency of answers of households “growth” and “decrease” expressed in percentage points). Data relate to the middle month of the given quarter. </w:t>
            </w:r>
          </w:p>
          <w:p w14:paraId="20B658B0" w14:textId="049EC6C5" w:rsidR="00AC7ACA" w:rsidRPr="004F665D" w:rsidRDefault="00AC7ACA" w:rsidP="004F665D">
            <w:pPr>
              <w:spacing w:after="200" w:line="240" w:lineRule="auto"/>
              <w:rPr>
                <w:rFonts w:cs="Arial"/>
                <w:color w:val="0D0D0D" w:themeColor="text1" w:themeTint="F2"/>
                <w:sz w:val="14"/>
                <w:szCs w:val="14"/>
                <w:lang w:val="en-GB"/>
              </w:rPr>
            </w:pPr>
            <w:r>
              <w:rPr>
                <w:rFonts w:cs="Arial"/>
                <w:color w:val="0D0D0D" w:themeColor="text1" w:themeTint="F2"/>
                <w:sz w:val="14"/>
                <w:szCs w:val="14"/>
                <w:lang w:val="en-GB"/>
              </w:rPr>
              <w:t>Source: CZSO</w:t>
            </w:r>
            <w:r w:rsidR="004F665D">
              <w:rPr>
                <w:rFonts w:cs="Arial"/>
                <w:color w:val="0D0D0D" w:themeColor="text1" w:themeTint="F2"/>
                <w:sz w:val="14"/>
                <w:szCs w:val="14"/>
                <w:lang w:val="en-GB"/>
              </w:rPr>
              <w:t xml:space="preserve"> (LFSS, business cycle surveys)</w:t>
            </w:r>
          </w:p>
        </w:tc>
      </w:tr>
      <w:tr w:rsidR="00AC7ACA" w:rsidRPr="00B43216" w14:paraId="675EF485" w14:textId="77777777" w:rsidTr="008E039E">
        <w:trPr>
          <w:trHeight w:val="671"/>
        </w:trPr>
        <w:tc>
          <w:tcPr>
            <w:tcW w:w="1600" w:type="dxa"/>
            <w:shd w:val="clear" w:color="auto" w:fill="auto"/>
            <w:tcMar>
              <w:left w:w="0" w:type="dxa"/>
            </w:tcMar>
          </w:tcPr>
          <w:p w14:paraId="5D2D4049" w14:textId="4D62AE7A" w:rsidR="00AC7ACA" w:rsidRDefault="00AC7ACA" w:rsidP="00AC7ACA">
            <w:pPr>
              <w:pStyle w:val="Marginlie"/>
              <w:rPr>
                <w:color w:val="0D0D0D" w:themeColor="text1" w:themeTint="F2"/>
                <w:spacing w:val="-5"/>
                <w:lang w:val="en-GB"/>
              </w:rPr>
            </w:pPr>
            <w:r>
              <w:rPr>
                <w:color w:val="0D0D0D" w:themeColor="text1" w:themeTint="F2"/>
                <w:spacing w:val="-5"/>
                <w:lang w:val="en-GB"/>
              </w:rPr>
              <w:lastRenderedPageBreak/>
              <w:t xml:space="preserve">The general unemployment rate was shrinking for a major part of the last year, </w:t>
            </w:r>
            <w:r w:rsidRPr="008D5CFF">
              <w:rPr>
                <w:color w:val="0D0D0D" w:themeColor="text1" w:themeTint="F2"/>
                <w:spacing w:val="-5"/>
                <w:lang w:val="en-GB"/>
              </w:rPr>
              <w:t>prim</w:t>
            </w:r>
            <w:r>
              <w:rPr>
                <w:color w:val="0D0D0D" w:themeColor="text1" w:themeTint="F2"/>
                <w:spacing w:val="-5"/>
                <w:lang w:val="en-GB"/>
              </w:rPr>
              <w:t xml:space="preserve">arily due to females. </w:t>
            </w:r>
          </w:p>
          <w:p w14:paraId="62A2ACE5" w14:textId="77777777" w:rsidR="00AC7ACA" w:rsidRPr="008D5CFF" w:rsidRDefault="00AC7ACA" w:rsidP="00AC7ACA">
            <w:pPr>
              <w:pStyle w:val="Marginlie"/>
              <w:rPr>
                <w:color w:val="0D0D0D" w:themeColor="text1" w:themeTint="F2"/>
                <w:spacing w:val="-5"/>
                <w:lang w:val="en-GB"/>
              </w:rPr>
            </w:pPr>
          </w:p>
          <w:p w14:paraId="2C080A5C" w14:textId="77777777" w:rsidR="00AC7ACA" w:rsidRPr="008D5CFF" w:rsidRDefault="00AC7ACA" w:rsidP="00AC7ACA">
            <w:pPr>
              <w:pStyle w:val="Marginlie"/>
              <w:rPr>
                <w:color w:val="0D0D0D" w:themeColor="text1" w:themeTint="F2"/>
                <w:spacing w:val="-5"/>
                <w:lang w:val="en-GB"/>
              </w:rPr>
            </w:pPr>
          </w:p>
          <w:p w14:paraId="4B823D18" w14:textId="77777777" w:rsidR="00AC7ACA" w:rsidRPr="008D5CFF" w:rsidRDefault="00AC7ACA" w:rsidP="00AC7ACA">
            <w:pPr>
              <w:pStyle w:val="Marginlie"/>
              <w:rPr>
                <w:color w:val="0D0D0D" w:themeColor="text1" w:themeTint="F2"/>
                <w:spacing w:val="-5"/>
                <w:lang w:val="en-GB"/>
              </w:rPr>
            </w:pPr>
          </w:p>
          <w:p w14:paraId="5E6E9B1B" w14:textId="77777777" w:rsidR="00AC7ACA" w:rsidRPr="008D5CFF" w:rsidRDefault="00AC7ACA" w:rsidP="00AC7ACA">
            <w:pPr>
              <w:pStyle w:val="Marginlie"/>
              <w:rPr>
                <w:color w:val="0D0D0D" w:themeColor="text1" w:themeTint="F2"/>
                <w:spacing w:val="-5"/>
                <w:lang w:val="en-GB"/>
              </w:rPr>
            </w:pPr>
          </w:p>
          <w:p w14:paraId="54414F65" w14:textId="77777777" w:rsidR="00AC7ACA" w:rsidRPr="008D5CFF" w:rsidRDefault="00AC7ACA" w:rsidP="00AC7ACA">
            <w:pPr>
              <w:pStyle w:val="Marginlie"/>
              <w:rPr>
                <w:color w:val="0D0D0D" w:themeColor="text1" w:themeTint="F2"/>
                <w:spacing w:val="-5"/>
                <w:lang w:val="en-GB"/>
              </w:rPr>
            </w:pPr>
          </w:p>
          <w:p w14:paraId="4FCE64D2" w14:textId="3B1DA7AE" w:rsidR="00AC7ACA" w:rsidRPr="008D5CFF" w:rsidRDefault="00AC7ACA" w:rsidP="00AC7ACA">
            <w:pPr>
              <w:pStyle w:val="Marginlie"/>
              <w:rPr>
                <w:color w:val="0D0D0D" w:themeColor="text1" w:themeTint="F2"/>
                <w:spacing w:val="-5"/>
                <w:lang w:val="en-GB"/>
              </w:rPr>
            </w:pPr>
            <w:r>
              <w:rPr>
                <w:color w:val="0D0D0D" w:themeColor="text1" w:themeTint="F2"/>
                <w:spacing w:val="-5"/>
                <w:lang w:val="en-GB"/>
              </w:rPr>
              <w:t xml:space="preserve">Number of long-term unemployed expanded in the second part of the year, however. </w:t>
            </w:r>
          </w:p>
        </w:tc>
        <w:tc>
          <w:tcPr>
            <w:tcW w:w="189" w:type="dxa"/>
            <w:shd w:val="clear" w:color="auto" w:fill="auto"/>
            <w:tcMar>
              <w:left w:w="0" w:type="dxa"/>
            </w:tcMar>
          </w:tcPr>
          <w:p w14:paraId="3BFEADD9" w14:textId="77777777" w:rsidR="00AC7ACA" w:rsidRPr="008D5CFF" w:rsidRDefault="00AC7ACA" w:rsidP="00AC7ACA">
            <w:pPr>
              <w:pStyle w:val="Textpoznpodarou"/>
              <w:spacing w:line="276" w:lineRule="auto"/>
              <w:jc w:val="both"/>
              <w:rPr>
                <w:spacing w:val="-4"/>
                <w:lang w:val="en-GB"/>
              </w:rPr>
            </w:pPr>
          </w:p>
        </w:tc>
        <w:tc>
          <w:tcPr>
            <w:tcW w:w="7880" w:type="dxa"/>
            <w:shd w:val="clear" w:color="auto" w:fill="auto"/>
            <w:tcMar>
              <w:left w:w="0" w:type="dxa"/>
            </w:tcMar>
          </w:tcPr>
          <w:p w14:paraId="34602457" w14:textId="1A0C753C" w:rsidR="00AC7ACA" w:rsidRPr="008D5CFF" w:rsidRDefault="00AC7ACA" w:rsidP="00AC7ACA">
            <w:pPr>
              <w:spacing w:after="200"/>
              <w:rPr>
                <w:color w:val="0D0D0D" w:themeColor="text1" w:themeTint="F2"/>
                <w:spacing w:val="-4"/>
                <w:lang w:val="en-GB"/>
              </w:rPr>
            </w:pPr>
            <w:r>
              <w:rPr>
                <w:color w:val="0D0D0D" w:themeColor="text1" w:themeTint="F2"/>
                <w:spacing w:val="-4"/>
                <w:lang w:val="en-GB"/>
              </w:rPr>
              <w:t>The General unemployment rate</w:t>
            </w:r>
            <w:r w:rsidRPr="008D5CFF">
              <w:rPr>
                <w:rStyle w:val="Znakapoznpodarou"/>
                <w:color w:val="0D0D0D" w:themeColor="text1" w:themeTint="F2"/>
                <w:spacing w:val="-4"/>
                <w:lang w:val="en-GB"/>
              </w:rPr>
              <w:footnoteReference w:id="10"/>
            </w:r>
            <w:r w:rsidRPr="008D5CFF">
              <w:rPr>
                <w:color w:val="0D0D0D" w:themeColor="text1" w:themeTint="F2"/>
                <w:spacing w:val="-4"/>
                <w:lang w:val="en-GB"/>
              </w:rPr>
              <w:t xml:space="preserve"> (</w:t>
            </w:r>
            <w:r>
              <w:rPr>
                <w:color w:val="0D0D0D" w:themeColor="text1" w:themeTint="F2"/>
                <w:spacing w:val="-4"/>
                <w:lang w:val="en-GB"/>
              </w:rPr>
              <w:t xml:space="preserve">persons aged </w:t>
            </w:r>
            <w:r w:rsidRPr="008D5CFF">
              <w:rPr>
                <w:color w:val="0D0D0D" w:themeColor="text1" w:themeTint="F2"/>
                <w:spacing w:val="-4"/>
                <w:lang w:val="en-GB"/>
              </w:rPr>
              <w:t>15 </w:t>
            </w:r>
            <w:r>
              <w:rPr>
                <w:color w:val="0D0D0D" w:themeColor="text1" w:themeTint="F2"/>
                <w:spacing w:val="-4"/>
                <w:lang w:val="en-GB"/>
              </w:rPr>
              <w:t xml:space="preserve">to </w:t>
            </w:r>
            <w:r w:rsidRPr="008D5CFF">
              <w:rPr>
                <w:color w:val="0D0D0D" w:themeColor="text1" w:themeTint="F2"/>
                <w:spacing w:val="-4"/>
                <w:lang w:val="en-GB"/>
              </w:rPr>
              <w:t>64</w:t>
            </w:r>
            <w:r>
              <w:rPr>
                <w:color w:val="0D0D0D" w:themeColor="text1" w:themeTint="F2"/>
                <w:spacing w:val="-4"/>
                <w:lang w:val="en-GB"/>
              </w:rPr>
              <w:t xml:space="preserve"> years</w:t>
            </w:r>
            <w:r w:rsidRPr="008D5CFF">
              <w:rPr>
                <w:color w:val="0D0D0D" w:themeColor="text1" w:themeTint="F2"/>
                <w:spacing w:val="-4"/>
                <w:lang w:val="en-GB"/>
              </w:rPr>
              <w:t xml:space="preserve">) </w:t>
            </w:r>
            <w:r>
              <w:rPr>
                <w:color w:val="0D0D0D" w:themeColor="text1" w:themeTint="F2"/>
                <w:spacing w:val="-4"/>
                <w:lang w:val="en-GB"/>
              </w:rPr>
              <w:t xml:space="preserve">culminated during the pandemic period last year in March, when it reached the four-year maximum </w:t>
            </w:r>
            <w:r w:rsidRPr="008D5CFF">
              <w:rPr>
                <w:color w:val="0D0D0D" w:themeColor="text1" w:themeTint="F2"/>
                <w:spacing w:val="-4"/>
                <w:lang w:val="en-GB"/>
              </w:rPr>
              <w:t>(3</w:t>
            </w:r>
            <w:r>
              <w:rPr>
                <w:color w:val="0D0D0D" w:themeColor="text1" w:themeTint="F2"/>
                <w:spacing w:val="-4"/>
                <w:lang w:val="en-GB"/>
              </w:rPr>
              <w:t>.</w:t>
            </w:r>
            <w:r w:rsidRPr="008D5CFF">
              <w:rPr>
                <w:color w:val="0D0D0D" w:themeColor="text1" w:themeTint="F2"/>
                <w:spacing w:val="-4"/>
                <w:lang w:val="en-GB"/>
              </w:rPr>
              <w:t xml:space="preserve">4%). </w:t>
            </w:r>
            <w:r>
              <w:rPr>
                <w:color w:val="0D0D0D" w:themeColor="text1" w:themeTint="F2"/>
                <w:spacing w:val="-4"/>
                <w:lang w:val="en-GB"/>
              </w:rPr>
              <w:t xml:space="preserve">Favourable development in the remaining part of the year was completed in December </w:t>
            </w:r>
            <w:r w:rsidRPr="008D5CFF">
              <w:rPr>
                <w:color w:val="0D0D0D" w:themeColor="text1" w:themeTint="F2"/>
                <w:spacing w:val="-4"/>
                <w:lang w:val="en-GB"/>
              </w:rPr>
              <w:t xml:space="preserve">2021, </w:t>
            </w:r>
            <w:r>
              <w:rPr>
                <w:color w:val="0D0D0D" w:themeColor="text1" w:themeTint="F2"/>
                <w:spacing w:val="-4"/>
                <w:lang w:val="en-GB"/>
              </w:rPr>
              <w:t xml:space="preserve">when the unemployment closely approached </w:t>
            </w:r>
            <w:r w:rsidRPr="008D5CFF">
              <w:rPr>
                <w:color w:val="0D0D0D" w:themeColor="text1" w:themeTint="F2"/>
                <w:spacing w:val="-4"/>
                <w:lang w:val="en-GB"/>
              </w:rPr>
              <w:t>2%,</w:t>
            </w:r>
            <w:r>
              <w:rPr>
                <w:color w:val="0D0D0D" w:themeColor="text1" w:themeTint="F2"/>
                <w:spacing w:val="-4"/>
                <w:lang w:val="en-GB"/>
              </w:rPr>
              <w:t xml:space="preserve"> i.e. the level for the last phase of expansion. The effect of significant last year</w:t>
            </w:r>
            <w:r>
              <w:rPr>
                <w:color w:val="0D0D0D" w:themeColor="text1" w:themeTint="F2"/>
                <w:spacing w:val="-4"/>
                <w:lang w:val="en-US"/>
              </w:rPr>
              <w:t xml:space="preserve">’s reduction of government stabilization programs </w:t>
            </w:r>
            <w:r w:rsidRPr="008D5CFF">
              <w:rPr>
                <w:color w:val="0D0D0D" w:themeColor="text1" w:themeTint="F2"/>
                <w:spacing w:val="-4"/>
                <w:lang w:val="en-GB"/>
              </w:rPr>
              <w:t xml:space="preserve">(Antivirus, </w:t>
            </w:r>
            <w:r>
              <w:rPr>
                <w:color w:val="0D0D0D" w:themeColor="text1" w:themeTint="F2"/>
                <w:spacing w:val="-4"/>
                <w:lang w:val="en-GB"/>
              </w:rPr>
              <w:t>care benefits</w:t>
            </w:r>
            <w:r w:rsidRPr="008D5CFF">
              <w:rPr>
                <w:color w:val="0D0D0D" w:themeColor="text1" w:themeTint="F2"/>
                <w:spacing w:val="-4"/>
                <w:lang w:val="en-GB"/>
              </w:rPr>
              <w:t>)</w:t>
            </w:r>
            <w:r>
              <w:rPr>
                <w:color w:val="0D0D0D" w:themeColor="text1" w:themeTint="F2"/>
                <w:spacing w:val="-4"/>
                <w:lang w:val="en-GB"/>
              </w:rPr>
              <w:t xml:space="preserve"> was compensated by the positive impacts connected to the full </w:t>
            </w:r>
            <w:r w:rsidRPr="008D5CFF">
              <w:rPr>
                <w:color w:val="0D0D0D" w:themeColor="text1" w:themeTint="F2"/>
                <w:spacing w:val="-4"/>
                <w:lang w:val="en-GB"/>
              </w:rPr>
              <w:t>„</w:t>
            </w:r>
            <w:r>
              <w:rPr>
                <w:color w:val="0D0D0D" w:themeColor="text1" w:themeTint="F2"/>
                <w:spacing w:val="-4"/>
                <w:lang w:val="en-GB"/>
              </w:rPr>
              <w:t>opening</w:t>
            </w:r>
            <w:r w:rsidRPr="008D5CFF">
              <w:rPr>
                <w:color w:val="0D0D0D" w:themeColor="text1" w:themeTint="F2"/>
                <w:spacing w:val="-4"/>
                <w:lang w:val="en-GB"/>
              </w:rPr>
              <w:t>“</w:t>
            </w:r>
            <w:r>
              <w:rPr>
                <w:color w:val="0D0D0D" w:themeColor="text1" w:themeTint="F2"/>
                <w:spacing w:val="-4"/>
                <w:lang w:val="en-GB"/>
              </w:rPr>
              <w:t xml:space="preserve"> of the economy</w:t>
            </w:r>
            <w:r w:rsidRPr="008D5CFF">
              <w:rPr>
                <w:color w:val="0D0D0D" w:themeColor="text1" w:themeTint="F2"/>
                <w:spacing w:val="-4"/>
                <w:lang w:val="en-GB"/>
              </w:rPr>
              <w:t>.</w:t>
            </w:r>
            <w:r>
              <w:rPr>
                <w:color w:val="0D0D0D" w:themeColor="text1" w:themeTint="F2"/>
                <w:spacing w:val="-4"/>
                <w:lang w:val="en-GB"/>
              </w:rPr>
              <w:t xml:space="preserve"> The unemployment of females was falling faster </w:t>
            </w:r>
            <w:r w:rsidRPr="008D5CFF">
              <w:rPr>
                <w:color w:val="0D0D0D" w:themeColor="text1" w:themeTint="F2"/>
                <w:spacing w:val="-4"/>
                <w:lang w:val="en-GB"/>
              </w:rPr>
              <w:t>(</w:t>
            </w:r>
            <w:r>
              <w:rPr>
                <w:color w:val="0D0D0D" w:themeColor="text1" w:themeTint="F2"/>
                <w:spacing w:val="-4"/>
                <w:lang w:val="en-GB"/>
              </w:rPr>
              <w:t xml:space="preserve">to </w:t>
            </w:r>
            <w:r w:rsidRPr="008D5CFF">
              <w:rPr>
                <w:color w:val="0D0D0D" w:themeColor="text1" w:themeTint="F2"/>
                <w:spacing w:val="-4"/>
                <w:lang w:val="en-GB"/>
              </w:rPr>
              <w:t>2</w:t>
            </w:r>
            <w:r>
              <w:rPr>
                <w:color w:val="0D0D0D" w:themeColor="text1" w:themeTint="F2"/>
                <w:spacing w:val="-4"/>
                <w:lang w:val="en-GB"/>
              </w:rPr>
              <w:t>.</w:t>
            </w:r>
            <w:r w:rsidRPr="008D5CFF">
              <w:rPr>
                <w:color w:val="0D0D0D" w:themeColor="text1" w:themeTint="F2"/>
                <w:spacing w:val="-4"/>
                <w:lang w:val="en-GB"/>
              </w:rPr>
              <w:t>5%),</w:t>
            </w:r>
            <w:r>
              <w:rPr>
                <w:color w:val="0D0D0D" w:themeColor="text1" w:themeTint="F2"/>
                <w:spacing w:val="-4"/>
                <w:lang w:val="en-GB"/>
              </w:rPr>
              <w:t xml:space="preserve"> still the level from the turn of years </w:t>
            </w:r>
            <w:r w:rsidRPr="008D5CFF">
              <w:rPr>
                <w:color w:val="0D0D0D" w:themeColor="text1" w:themeTint="F2"/>
                <w:spacing w:val="-4"/>
                <w:lang w:val="en-GB"/>
              </w:rPr>
              <w:t>2019 a</w:t>
            </w:r>
            <w:r>
              <w:rPr>
                <w:color w:val="0D0D0D" w:themeColor="text1" w:themeTint="F2"/>
                <w:spacing w:val="-4"/>
                <w:lang w:val="en-GB"/>
              </w:rPr>
              <w:t>nd</w:t>
            </w:r>
            <w:r w:rsidRPr="008D5CFF">
              <w:rPr>
                <w:color w:val="0D0D0D" w:themeColor="text1" w:themeTint="F2"/>
                <w:spacing w:val="-4"/>
                <w:lang w:val="en-GB"/>
              </w:rPr>
              <w:t> 2020</w:t>
            </w:r>
            <w:r>
              <w:rPr>
                <w:color w:val="0D0D0D" w:themeColor="text1" w:themeTint="F2"/>
                <w:spacing w:val="-4"/>
                <w:lang w:val="en-GB"/>
              </w:rPr>
              <w:t xml:space="preserve"> slightly exceeded. The supply of part-time jobs, which would </w:t>
            </w:r>
            <w:r w:rsidRPr="008D5CFF">
              <w:rPr>
                <w:color w:val="0D0D0D" w:themeColor="text1" w:themeTint="F2"/>
                <w:spacing w:val="-4"/>
                <w:lang w:val="en-GB"/>
              </w:rPr>
              <w:t>„</w:t>
            </w:r>
            <w:r>
              <w:rPr>
                <w:color w:val="0D0D0D" w:themeColor="text1" w:themeTint="F2"/>
                <w:spacing w:val="-4"/>
                <w:lang w:val="en-GB"/>
              </w:rPr>
              <w:t>pull</w:t>
            </w:r>
            <w:r w:rsidRPr="008D5CFF">
              <w:rPr>
                <w:color w:val="0D0D0D" w:themeColor="text1" w:themeTint="F2"/>
                <w:spacing w:val="-4"/>
                <w:lang w:val="en-GB"/>
              </w:rPr>
              <w:t>“</w:t>
            </w:r>
            <w:r>
              <w:rPr>
                <w:color w:val="0D0D0D" w:themeColor="text1" w:themeTint="F2"/>
                <w:spacing w:val="-4"/>
                <w:lang w:val="en-GB"/>
              </w:rPr>
              <w:t xml:space="preserve"> even higher number of women on the labour market</w:t>
            </w:r>
            <w:r w:rsidRPr="008D5CFF">
              <w:rPr>
                <w:color w:val="0D0D0D" w:themeColor="text1" w:themeTint="F2"/>
                <w:spacing w:val="-4"/>
                <w:lang w:val="en-GB"/>
              </w:rPr>
              <w:t xml:space="preserve">, </w:t>
            </w:r>
            <w:r>
              <w:rPr>
                <w:color w:val="0D0D0D" w:themeColor="text1" w:themeTint="F2"/>
                <w:spacing w:val="-4"/>
                <w:lang w:val="en-GB"/>
              </w:rPr>
              <w:t xml:space="preserve">apparently has not reached the level from year </w:t>
            </w:r>
            <w:r w:rsidRPr="008D5CFF">
              <w:rPr>
                <w:color w:val="0D0D0D" w:themeColor="text1" w:themeTint="F2"/>
                <w:spacing w:val="-4"/>
                <w:lang w:val="en-GB"/>
              </w:rPr>
              <w:t>2019</w:t>
            </w:r>
            <w:r>
              <w:rPr>
                <w:color w:val="0D0D0D" w:themeColor="text1" w:themeTint="F2"/>
                <w:spacing w:val="-4"/>
                <w:lang w:val="en-GB"/>
              </w:rPr>
              <w:t xml:space="preserve"> so far</w:t>
            </w:r>
            <w:r w:rsidRPr="008D5CFF">
              <w:rPr>
                <w:rStyle w:val="Znakapoznpodarou"/>
                <w:color w:val="0D0D0D" w:themeColor="text1" w:themeTint="F2"/>
                <w:spacing w:val="-4"/>
                <w:lang w:val="en-GB"/>
              </w:rPr>
              <w:footnoteReference w:id="11"/>
            </w:r>
            <w:r w:rsidRPr="008D5CFF">
              <w:rPr>
                <w:color w:val="0D0D0D" w:themeColor="text1" w:themeTint="F2"/>
                <w:spacing w:val="-4"/>
                <w:lang w:val="en-GB"/>
              </w:rPr>
              <w:t>.</w:t>
            </w:r>
            <w:r>
              <w:rPr>
                <w:color w:val="0D0D0D" w:themeColor="text1" w:themeTint="F2"/>
                <w:spacing w:val="-4"/>
                <w:lang w:val="en-GB"/>
              </w:rPr>
              <w:t xml:space="preserve"> The position of job applicants younger 25 years, again mainly females, improved last year </w:t>
            </w:r>
            <w:r w:rsidRPr="008D5CFF">
              <w:rPr>
                <w:color w:val="0D0D0D" w:themeColor="text1" w:themeTint="F2"/>
                <w:spacing w:val="-4"/>
                <w:lang w:val="en-GB"/>
              </w:rPr>
              <w:t xml:space="preserve">– </w:t>
            </w:r>
            <w:r>
              <w:rPr>
                <w:color w:val="0D0D0D" w:themeColor="text1" w:themeTint="F2"/>
                <w:spacing w:val="-4"/>
                <w:lang w:val="en-GB"/>
              </w:rPr>
              <w:t xml:space="preserve">drop of the unemployment rate from </w:t>
            </w:r>
            <w:r w:rsidRPr="008D5CFF">
              <w:rPr>
                <w:color w:val="0D0D0D" w:themeColor="text1" w:themeTint="F2"/>
                <w:spacing w:val="-2"/>
                <w:lang w:val="en-GB"/>
              </w:rPr>
              <w:t>15</w:t>
            </w:r>
            <w:r>
              <w:rPr>
                <w:color w:val="0D0D0D" w:themeColor="text1" w:themeTint="F2"/>
                <w:spacing w:val="-2"/>
                <w:lang w:val="en-GB"/>
              </w:rPr>
              <w:t>.</w:t>
            </w:r>
            <w:r w:rsidRPr="008D5CFF">
              <w:rPr>
                <w:color w:val="0D0D0D" w:themeColor="text1" w:themeTint="F2"/>
                <w:spacing w:val="-2"/>
                <w:lang w:val="en-GB"/>
              </w:rPr>
              <w:t>6% (</w:t>
            </w:r>
            <w:r>
              <w:rPr>
                <w:color w:val="0D0D0D" w:themeColor="text1" w:themeTint="F2"/>
                <w:spacing w:val="-2"/>
                <w:lang w:val="en-GB"/>
              </w:rPr>
              <w:t>January</w:t>
            </w:r>
            <w:r w:rsidRPr="008D5CFF">
              <w:rPr>
                <w:color w:val="0D0D0D" w:themeColor="text1" w:themeTint="F2"/>
                <w:spacing w:val="-2"/>
                <w:lang w:val="en-GB"/>
              </w:rPr>
              <w:t xml:space="preserve">) </w:t>
            </w:r>
            <w:r>
              <w:rPr>
                <w:color w:val="0D0D0D" w:themeColor="text1" w:themeTint="F2"/>
                <w:spacing w:val="-2"/>
                <w:lang w:val="en-GB"/>
              </w:rPr>
              <w:t xml:space="preserve">to </w:t>
            </w:r>
            <w:r w:rsidRPr="008D5CFF">
              <w:rPr>
                <w:color w:val="0D0D0D" w:themeColor="text1" w:themeTint="F2"/>
                <w:spacing w:val="-2"/>
                <w:lang w:val="en-GB"/>
              </w:rPr>
              <w:t>6</w:t>
            </w:r>
            <w:r>
              <w:rPr>
                <w:color w:val="0D0D0D" w:themeColor="text1" w:themeTint="F2"/>
                <w:spacing w:val="-2"/>
                <w:lang w:val="en-GB"/>
              </w:rPr>
              <w:t>.</w:t>
            </w:r>
            <w:r w:rsidRPr="008D5CFF">
              <w:rPr>
                <w:color w:val="0D0D0D" w:themeColor="text1" w:themeTint="F2"/>
                <w:spacing w:val="-2"/>
                <w:lang w:val="en-GB"/>
              </w:rPr>
              <w:t>6% (</w:t>
            </w:r>
            <w:r>
              <w:rPr>
                <w:color w:val="0D0D0D" w:themeColor="text1" w:themeTint="F2"/>
                <w:spacing w:val="-2"/>
                <w:lang w:val="en-GB"/>
              </w:rPr>
              <w:t>December</w:t>
            </w:r>
            <w:r w:rsidRPr="008D5CFF">
              <w:rPr>
                <w:color w:val="0D0D0D" w:themeColor="text1" w:themeTint="F2"/>
                <w:spacing w:val="-2"/>
                <w:lang w:val="en-GB"/>
              </w:rPr>
              <w:t xml:space="preserve">). </w:t>
            </w:r>
            <w:r>
              <w:rPr>
                <w:color w:val="0D0D0D" w:themeColor="text1" w:themeTint="F2"/>
                <w:spacing w:val="-2"/>
                <w:lang w:val="en-GB"/>
              </w:rPr>
              <w:t xml:space="preserve">On the other hand, the number of long term unemployed expanded year-on-year in the second part of year </w:t>
            </w:r>
            <w:r w:rsidRPr="008D5CFF">
              <w:rPr>
                <w:color w:val="0D0D0D" w:themeColor="text1" w:themeTint="F2"/>
                <w:spacing w:val="-4"/>
                <w:lang w:val="en-GB"/>
              </w:rPr>
              <w:t>2021</w:t>
            </w:r>
            <w:r>
              <w:rPr>
                <w:color w:val="0D0D0D" w:themeColor="text1" w:themeTint="F2"/>
                <w:spacing w:val="-4"/>
                <w:lang w:val="en-GB"/>
              </w:rPr>
              <w:t xml:space="preserve">. </w:t>
            </w:r>
            <w:r w:rsidRPr="008D5CFF">
              <w:rPr>
                <w:color w:val="0D0D0D" w:themeColor="text1" w:themeTint="F2"/>
                <w:spacing w:val="-4"/>
                <w:lang w:val="en-GB"/>
              </w:rPr>
              <w:t>T</w:t>
            </w:r>
            <w:r>
              <w:rPr>
                <w:color w:val="0D0D0D" w:themeColor="text1" w:themeTint="F2"/>
                <w:spacing w:val="-4"/>
                <w:lang w:val="en-GB"/>
              </w:rPr>
              <w:t xml:space="preserve">hese formed already </w:t>
            </w:r>
            <w:r w:rsidRPr="008D5CFF">
              <w:rPr>
                <w:color w:val="0D0D0D" w:themeColor="text1" w:themeTint="F2"/>
                <w:spacing w:val="-4"/>
                <w:lang w:val="en-GB"/>
              </w:rPr>
              <w:t>45%</w:t>
            </w:r>
            <w:r>
              <w:rPr>
                <w:color w:val="0D0D0D" w:themeColor="text1" w:themeTint="F2"/>
                <w:spacing w:val="-4"/>
                <w:lang w:val="en-GB"/>
              </w:rPr>
              <w:t xml:space="preserve"> of all unemployed in Q4</w:t>
            </w:r>
            <w:r w:rsidRPr="008D5CFF">
              <w:rPr>
                <w:color w:val="0D0D0D" w:themeColor="text1" w:themeTint="F2"/>
                <w:spacing w:val="-4"/>
                <w:lang w:val="en-GB"/>
              </w:rPr>
              <w:t>.</w:t>
            </w:r>
            <w:r>
              <w:rPr>
                <w:color w:val="0D0D0D" w:themeColor="text1" w:themeTint="F2"/>
                <w:spacing w:val="-4"/>
                <w:lang w:val="en-GB"/>
              </w:rPr>
              <w:t xml:space="preserve"> Regional range of total unemployment rates </w:t>
            </w:r>
            <w:r w:rsidRPr="008D5CFF">
              <w:rPr>
                <w:color w:val="0D0D0D" w:themeColor="text1" w:themeTint="F2"/>
                <w:spacing w:val="-4"/>
                <w:lang w:val="en-GB"/>
              </w:rPr>
              <w:t>(</w:t>
            </w:r>
            <w:r>
              <w:rPr>
                <w:color w:val="0D0D0D" w:themeColor="text1" w:themeTint="F2"/>
                <w:spacing w:val="-4"/>
                <w:lang w:val="en-GB"/>
              </w:rPr>
              <w:t>not seasonally adjusted</w:t>
            </w:r>
            <w:r w:rsidRPr="008D5CFF">
              <w:rPr>
                <w:color w:val="0D0D0D" w:themeColor="text1" w:themeTint="F2"/>
                <w:spacing w:val="-4"/>
                <w:lang w:val="en-GB"/>
              </w:rPr>
              <w:t>)</w:t>
            </w:r>
            <w:r>
              <w:rPr>
                <w:color w:val="0D0D0D" w:themeColor="text1" w:themeTint="F2"/>
                <w:spacing w:val="-4"/>
                <w:lang w:val="en-GB"/>
              </w:rPr>
              <w:t xml:space="preserve"> were relatively narrow last year in Q</w:t>
            </w:r>
            <w:r w:rsidRPr="008D5CFF">
              <w:rPr>
                <w:color w:val="0D0D0D" w:themeColor="text1" w:themeTint="F2"/>
                <w:spacing w:val="-4"/>
                <w:lang w:val="en-GB"/>
              </w:rPr>
              <w:t>4</w:t>
            </w:r>
            <w:r>
              <w:rPr>
                <w:color w:val="0D0D0D" w:themeColor="text1" w:themeTint="F2"/>
                <w:spacing w:val="-4"/>
                <w:lang w:val="en-GB"/>
              </w:rPr>
              <w:t xml:space="preserve"> </w:t>
            </w:r>
            <w:r w:rsidRPr="008D5CFF">
              <w:rPr>
                <w:color w:val="0D0D0D" w:themeColor="text1" w:themeTint="F2"/>
                <w:spacing w:val="-4"/>
                <w:lang w:val="en-GB"/>
              </w:rPr>
              <w:t>(</w:t>
            </w:r>
            <w:r>
              <w:rPr>
                <w:color w:val="0D0D0D" w:themeColor="text1" w:themeTint="F2"/>
                <w:spacing w:val="-4"/>
                <w:lang w:val="en-GB"/>
              </w:rPr>
              <w:t xml:space="preserve">from </w:t>
            </w:r>
            <w:r w:rsidRPr="008D5CFF">
              <w:rPr>
                <w:color w:val="0D0D0D" w:themeColor="text1" w:themeTint="F2"/>
                <w:spacing w:val="-4"/>
                <w:lang w:val="en-GB"/>
              </w:rPr>
              <w:t>1</w:t>
            </w:r>
            <w:r>
              <w:rPr>
                <w:color w:val="0D0D0D" w:themeColor="text1" w:themeTint="F2"/>
                <w:spacing w:val="-4"/>
                <w:lang w:val="en-GB"/>
              </w:rPr>
              <w:t>.</w:t>
            </w:r>
            <w:r w:rsidRPr="008D5CFF">
              <w:rPr>
                <w:color w:val="0D0D0D" w:themeColor="text1" w:themeTint="F2"/>
                <w:spacing w:val="-4"/>
                <w:lang w:val="en-GB"/>
              </w:rPr>
              <w:t>1%</w:t>
            </w:r>
            <w:r>
              <w:rPr>
                <w:color w:val="0D0D0D" w:themeColor="text1" w:themeTint="F2"/>
                <w:spacing w:val="-4"/>
                <w:lang w:val="en-GB"/>
              </w:rPr>
              <w:t xml:space="preserve"> in the Jihoc</w:t>
            </w:r>
            <w:r w:rsidRPr="008D5CFF">
              <w:rPr>
                <w:color w:val="0D0D0D" w:themeColor="text1" w:themeTint="F2"/>
                <w:spacing w:val="-4"/>
                <w:lang w:val="en-GB"/>
              </w:rPr>
              <w:t>esk</w:t>
            </w:r>
            <w:r>
              <w:rPr>
                <w:color w:val="0D0D0D" w:themeColor="text1" w:themeTint="F2"/>
                <w:spacing w:val="-4"/>
                <w:lang w:val="en-GB"/>
              </w:rPr>
              <w:t xml:space="preserve">y region till even </w:t>
            </w:r>
            <w:r w:rsidRPr="008D5CFF">
              <w:rPr>
                <w:color w:val="0D0D0D" w:themeColor="text1" w:themeTint="F2"/>
                <w:spacing w:val="-4"/>
                <w:lang w:val="en-GB"/>
              </w:rPr>
              <w:t>4 </w:t>
            </w:r>
            <w:r>
              <w:rPr>
                <w:color w:val="0D0D0D" w:themeColor="text1" w:themeTint="F2"/>
                <w:spacing w:val="-4"/>
                <w:lang w:val="en-GB"/>
              </w:rPr>
              <w:t xml:space="preserve">% in the </w:t>
            </w:r>
            <w:r w:rsidRPr="008D5CFF">
              <w:rPr>
                <w:color w:val="0D0D0D" w:themeColor="text1" w:themeTint="F2"/>
                <w:spacing w:val="-4"/>
                <w:lang w:val="en-GB"/>
              </w:rPr>
              <w:t>Moravskoslezsk</w:t>
            </w:r>
            <w:r>
              <w:rPr>
                <w:color w:val="0D0D0D" w:themeColor="text1" w:themeTint="F2"/>
                <w:spacing w:val="-4"/>
                <w:lang w:val="en-GB"/>
              </w:rPr>
              <w:t>y region</w:t>
            </w:r>
            <w:r w:rsidRPr="008D5CFF">
              <w:rPr>
                <w:color w:val="0D0D0D" w:themeColor="text1" w:themeTint="F2"/>
                <w:spacing w:val="-4"/>
                <w:lang w:val="en-GB"/>
              </w:rPr>
              <w:t>).</w:t>
            </w:r>
            <w:r>
              <w:rPr>
                <w:color w:val="0D0D0D" w:themeColor="text1" w:themeTint="F2"/>
                <w:spacing w:val="-4"/>
                <w:lang w:val="en-GB"/>
              </w:rPr>
              <w:t xml:space="preserve"> </w:t>
            </w:r>
            <w:r w:rsidRPr="008D5CFF">
              <w:rPr>
                <w:color w:val="0D0D0D" w:themeColor="text1" w:themeTint="F2"/>
                <w:spacing w:val="-4"/>
                <w:lang w:val="en-GB"/>
              </w:rPr>
              <w:t>Pra</w:t>
            </w:r>
            <w:r>
              <w:rPr>
                <w:color w:val="0D0D0D" w:themeColor="text1" w:themeTint="F2"/>
                <w:spacing w:val="-4"/>
                <w:lang w:val="en-GB"/>
              </w:rPr>
              <w:t xml:space="preserve">gue </w:t>
            </w:r>
            <w:r w:rsidRPr="008D5CFF">
              <w:rPr>
                <w:color w:val="0D0D0D" w:themeColor="text1" w:themeTint="F2"/>
                <w:spacing w:val="-4"/>
                <w:lang w:val="en-GB"/>
              </w:rPr>
              <w:t>(</w:t>
            </w:r>
            <w:r>
              <w:rPr>
                <w:color w:val="0D0D0D" w:themeColor="text1" w:themeTint="F2"/>
                <w:spacing w:val="-4"/>
                <w:lang w:val="en-GB"/>
              </w:rPr>
              <w:t xml:space="preserve">by </w:t>
            </w:r>
            <w:r w:rsidRPr="008D5CFF">
              <w:rPr>
                <w:color w:val="0D0D0D" w:themeColor="text1" w:themeTint="F2"/>
                <w:spacing w:val="-4"/>
                <w:lang w:val="en-GB"/>
              </w:rPr>
              <w:t>1</w:t>
            </w:r>
            <w:r>
              <w:rPr>
                <w:color w:val="0D0D0D" w:themeColor="text1" w:themeTint="F2"/>
                <w:spacing w:val="-4"/>
                <w:lang w:val="en-GB"/>
              </w:rPr>
              <w:t>.</w:t>
            </w:r>
            <w:r w:rsidRPr="008D5CFF">
              <w:rPr>
                <w:color w:val="0D0D0D" w:themeColor="text1" w:themeTint="F2"/>
                <w:spacing w:val="-4"/>
                <w:lang w:val="en-GB"/>
              </w:rPr>
              <w:t>8 p.</w:t>
            </w:r>
            <w:r>
              <w:rPr>
                <w:color w:val="0D0D0D" w:themeColor="text1" w:themeTint="F2"/>
                <w:spacing w:val="-4"/>
                <w:lang w:val="en-GB"/>
              </w:rPr>
              <w:t>p.</w:t>
            </w:r>
            <w:r w:rsidRPr="008D5CFF">
              <w:rPr>
                <w:color w:val="0D0D0D" w:themeColor="text1" w:themeTint="F2"/>
                <w:spacing w:val="-4"/>
                <w:lang w:val="en-GB"/>
              </w:rPr>
              <w:t>) a</w:t>
            </w:r>
            <w:r>
              <w:rPr>
                <w:color w:val="0D0D0D" w:themeColor="text1" w:themeTint="F2"/>
                <w:spacing w:val="-4"/>
                <w:lang w:val="en-GB"/>
              </w:rPr>
              <w:t xml:space="preserve">nd Karlovarsky region </w:t>
            </w:r>
            <w:r w:rsidRPr="008D5CFF">
              <w:rPr>
                <w:color w:val="0D0D0D" w:themeColor="text1" w:themeTint="F2"/>
                <w:spacing w:val="-4"/>
                <w:lang w:val="en-GB"/>
              </w:rPr>
              <w:t>(2</w:t>
            </w:r>
            <w:r>
              <w:rPr>
                <w:color w:val="0D0D0D" w:themeColor="text1" w:themeTint="F2"/>
                <w:spacing w:val="-4"/>
                <w:lang w:val="en-GB"/>
              </w:rPr>
              <w:t>.</w:t>
            </w:r>
            <w:r w:rsidRPr="008D5CFF">
              <w:rPr>
                <w:color w:val="0D0D0D" w:themeColor="text1" w:themeTint="F2"/>
                <w:spacing w:val="-4"/>
                <w:lang w:val="en-GB"/>
              </w:rPr>
              <w:t>4 p.</w:t>
            </w:r>
            <w:r>
              <w:rPr>
                <w:color w:val="0D0D0D" w:themeColor="text1" w:themeTint="F2"/>
                <w:spacing w:val="-4"/>
                <w:lang w:val="en-GB"/>
              </w:rPr>
              <w:t>p</w:t>
            </w:r>
            <w:r w:rsidRPr="008D5CFF">
              <w:rPr>
                <w:color w:val="0D0D0D" w:themeColor="text1" w:themeTint="F2"/>
                <w:spacing w:val="-4"/>
                <w:lang w:val="en-GB"/>
              </w:rPr>
              <w:t>.)</w:t>
            </w:r>
            <w:r>
              <w:rPr>
                <w:color w:val="0D0D0D" w:themeColor="text1" w:themeTint="F2"/>
                <w:spacing w:val="-4"/>
                <w:lang w:val="en-GB"/>
              </w:rPr>
              <w:t xml:space="preserve"> recorded the highest year-on-year drop of unemployment</w:t>
            </w:r>
            <w:r w:rsidRPr="008D5CFF">
              <w:rPr>
                <w:color w:val="0D0D0D" w:themeColor="text1" w:themeTint="F2"/>
                <w:spacing w:val="-4"/>
                <w:lang w:val="en-GB"/>
              </w:rPr>
              <w:t>.</w:t>
            </w:r>
            <w:r>
              <w:rPr>
                <w:color w:val="0D0D0D" w:themeColor="text1" w:themeTint="F2"/>
                <w:spacing w:val="-4"/>
                <w:lang w:val="en-GB"/>
              </w:rPr>
              <w:t xml:space="preserve"> It represents the regions the most specialised on tourism in the CR </w:t>
            </w:r>
            <w:r w:rsidRPr="008D5CFF">
              <w:rPr>
                <w:color w:val="0D0D0D" w:themeColor="text1" w:themeTint="F2"/>
                <w:spacing w:val="-4"/>
                <w:lang w:val="en-GB"/>
              </w:rPr>
              <w:t>(a</w:t>
            </w:r>
            <w:r>
              <w:rPr>
                <w:color w:val="0D0D0D" w:themeColor="text1" w:themeTint="F2"/>
                <w:spacing w:val="-4"/>
                <w:lang w:val="en-GB"/>
              </w:rPr>
              <w:t>nd specifically on the foreign customer base</w:t>
            </w:r>
            <w:r w:rsidRPr="008D5CFF">
              <w:rPr>
                <w:color w:val="0D0D0D" w:themeColor="text1" w:themeTint="F2"/>
                <w:spacing w:val="-4"/>
                <w:lang w:val="en-GB"/>
              </w:rPr>
              <w:t>).</w:t>
            </w:r>
          </w:p>
        </w:tc>
      </w:tr>
      <w:tr w:rsidR="00AC7ACA" w:rsidRPr="00B43216" w14:paraId="19EE3F40" w14:textId="77777777" w:rsidTr="008E039E">
        <w:trPr>
          <w:trHeight w:val="671"/>
        </w:trPr>
        <w:tc>
          <w:tcPr>
            <w:tcW w:w="1600" w:type="dxa"/>
            <w:shd w:val="clear" w:color="auto" w:fill="auto"/>
            <w:tcMar>
              <w:left w:w="0" w:type="dxa"/>
            </w:tcMar>
          </w:tcPr>
          <w:p w14:paraId="3E854DAD" w14:textId="13ACA856" w:rsidR="00AC7ACA" w:rsidRPr="00447735" w:rsidRDefault="00AC7ACA" w:rsidP="00AC7ACA">
            <w:pPr>
              <w:pStyle w:val="Marginlie"/>
              <w:rPr>
                <w:spacing w:val="-4"/>
                <w:lang w:val="en-GB"/>
              </w:rPr>
            </w:pPr>
            <w:r>
              <w:rPr>
                <w:color w:val="0D0D0D" w:themeColor="text1" w:themeTint="F2"/>
                <w:spacing w:val="-5"/>
                <w:lang w:val="en-GB"/>
              </w:rPr>
              <w:t xml:space="preserve">Concerns of households from unemployment abated, number of job vacancies was growing. </w:t>
            </w:r>
          </w:p>
        </w:tc>
        <w:tc>
          <w:tcPr>
            <w:tcW w:w="189" w:type="dxa"/>
            <w:shd w:val="clear" w:color="auto" w:fill="auto"/>
            <w:tcMar>
              <w:left w:w="0" w:type="dxa"/>
            </w:tcMar>
          </w:tcPr>
          <w:p w14:paraId="1B01B965" w14:textId="77777777" w:rsidR="00AC7ACA" w:rsidRPr="00447735" w:rsidRDefault="00AC7ACA" w:rsidP="00AC7ACA">
            <w:pPr>
              <w:pStyle w:val="Textpoznpodarou"/>
              <w:spacing w:line="276" w:lineRule="auto"/>
              <w:jc w:val="both"/>
              <w:rPr>
                <w:spacing w:val="-4"/>
                <w:lang w:val="en-GB"/>
              </w:rPr>
            </w:pPr>
          </w:p>
        </w:tc>
        <w:tc>
          <w:tcPr>
            <w:tcW w:w="7880" w:type="dxa"/>
            <w:shd w:val="clear" w:color="auto" w:fill="auto"/>
            <w:tcMar>
              <w:left w:w="0" w:type="dxa"/>
            </w:tcMar>
          </w:tcPr>
          <w:p w14:paraId="2C321F79" w14:textId="3502D6C3" w:rsidR="00AC7ACA" w:rsidRPr="00447735" w:rsidRDefault="00AC7ACA" w:rsidP="00AC7ACA">
            <w:pPr>
              <w:spacing w:after="200"/>
              <w:rPr>
                <w:spacing w:val="-4"/>
                <w:lang w:val="en-GB"/>
              </w:rPr>
            </w:pPr>
            <w:r>
              <w:rPr>
                <w:color w:val="0D0D0D" w:themeColor="text1" w:themeTint="F2"/>
                <w:spacing w:val="-4"/>
                <w:lang w:val="en-GB"/>
              </w:rPr>
              <w:t xml:space="preserve">Household concerns regarding the unemployment growth </w:t>
            </w:r>
            <w:r w:rsidRPr="00447735">
              <w:rPr>
                <w:color w:val="0D0D0D" w:themeColor="text1" w:themeTint="F2"/>
                <w:spacing w:val="-4"/>
                <w:lang w:val="en-GB"/>
              </w:rPr>
              <w:t>(</w:t>
            </w:r>
            <w:r>
              <w:rPr>
                <w:color w:val="0D0D0D" w:themeColor="text1" w:themeTint="F2"/>
                <w:spacing w:val="-4"/>
                <w:lang w:val="en-GB"/>
              </w:rPr>
              <w:t>in the nearest twelve months</w:t>
            </w:r>
            <w:r w:rsidRPr="00447735">
              <w:rPr>
                <w:color w:val="0D0D0D" w:themeColor="text1" w:themeTint="F2"/>
                <w:spacing w:val="-4"/>
                <w:lang w:val="en-GB"/>
              </w:rPr>
              <w:t>)</w:t>
            </w:r>
            <w:r>
              <w:rPr>
                <w:color w:val="0D0D0D" w:themeColor="text1" w:themeTint="F2"/>
                <w:spacing w:val="-4"/>
                <w:lang w:val="en-GB"/>
              </w:rPr>
              <w:t xml:space="preserve"> sharply weakened during Q</w:t>
            </w:r>
            <w:r w:rsidRPr="00447735">
              <w:rPr>
                <w:color w:val="0D0D0D" w:themeColor="text1" w:themeTint="F2"/>
                <w:spacing w:val="-4"/>
                <w:lang w:val="en-GB"/>
              </w:rPr>
              <w:t>2</w:t>
            </w:r>
            <w:r>
              <w:rPr>
                <w:color w:val="0D0D0D" w:themeColor="text1" w:themeTint="F2"/>
                <w:spacing w:val="-4"/>
                <w:lang w:val="en-GB"/>
              </w:rPr>
              <w:t xml:space="preserve"> and returned to the lower level from the second half of year </w:t>
            </w:r>
            <w:r w:rsidRPr="00447735">
              <w:rPr>
                <w:color w:val="0D0D0D" w:themeColor="text1" w:themeTint="F2"/>
                <w:spacing w:val="-4"/>
                <w:lang w:val="en-GB"/>
              </w:rPr>
              <w:t>2019</w:t>
            </w:r>
            <w:r w:rsidRPr="00447735">
              <w:rPr>
                <w:rStyle w:val="Znakapoznpodarou"/>
                <w:color w:val="0D0D0D" w:themeColor="text1" w:themeTint="F2"/>
                <w:spacing w:val="-4"/>
                <w:lang w:val="en-GB"/>
              </w:rPr>
              <w:footnoteReference w:id="12"/>
            </w:r>
            <w:r w:rsidRPr="00447735">
              <w:rPr>
                <w:color w:val="0D0D0D" w:themeColor="text1" w:themeTint="F2"/>
                <w:spacing w:val="-4"/>
                <w:lang w:val="en-GB"/>
              </w:rPr>
              <w:t xml:space="preserve">. </w:t>
            </w:r>
            <w:r>
              <w:rPr>
                <w:color w:val="0D0D0D" w:themeColor="text1" w:themeTint="F2"/>
                <w:spacing w:val="-4"/>
                <w:lang w:val="en-GB"/>
              </w:rPr>
              <w:t xml:space="preserve">Number of job vacancies in the supply of labour offices arrived at </w:t>
            </w:r>
            <w:r w:rsidRPr="00447735">
              <w:rPr>
                <w:color w:val="0D0D0D" w:themeColor="text1" w:themeTint="F2"/>
                <w:spacing w:val="-4"/>
                <w:lang w:val="en-GB"/>
              </w:rPr>
              <w:t>343 t</w:t>
            </w:r>
            <w:r>
              <w:rPr>
                <w:color w:val="0D0D0D" w:themeColor="text1" w:themeTint="F2"/>
                <w:spacing w:val="-4"/>
                <w:lang w:val="en-GB"/>
              </w:rPr>
              <w:t>housand in December last year</w:t>
            </w:r>
            <w:r w:rsidRPr="00447735">
              <w:rPr>
                <w:rStyle w:val="Znakapoznpodarou"/>
                <w:color w:val="0D0D0D" w:themeColor="text1" w:themeTint="F2"/>
                <w:spacing w:val="-4"/>
                <w:lang w:val="en-GB"/>
              </w:rPr>
              <w:footnoteReference w:id="13"/>
            </w:r>
            <w:r>
              <w:rPr>
                <w:color w:val="0D0D0D" w:themeColor="text1" w:themeTint="F2"/>
                <w:spacing w:val="-4"/>
                <w:lang w:val="en-GB"/>
              </w:rPr>
              <w:t xml:space="preserve">. It was thus comparable with the end of year </w:t>
            </w:r>
            <w:r w:rsidRPr="00447735">
              <w:rPr>
                <w:color w:val="0D0D0D" w:themeColor="text1" w:themeTint="F2"/>
                <w:spacing w:val="-4"/>
                <w:lang w:val="en-GB"/>
              </w:rPr>
              <w:t>2019.</w:t>
            </w:r>
            <w:r>
              <w:rPr>
                <w:color w:val="0D0D0D" w:themeColor="text1" w:themeTint="F2"/>
                <w:spacing w:val="-4"/>
                <w:lang w:val="en-GB"/>
              </w:rPr>
              <w:t xml:space="preserve"> There were </w:t>
            </w:r>
            <w:r w:rsidRPr="00447735">
              <w:rPr>
                <w:color w:val="0D0D0D" w:themeColor="text1" w:themeTint="F2"/>
                <w:spacing w:val="-4"/>
                <w:lang w:val="en-GB"/>
              </w:rPr>
              <w:t>0</w:t>
            </w:r>
            <w:r>
              <w:rPr>
                <w:color w:val="0D0D0D" w:themeColor="text1" w:themeTint="F2"/>
                <w:spacing w:val="-4"/>
                <w:lang w:val="en-GB"/>
              </w:rPr>
              <w:t>.</w:t>
            </w:r>
            <w:r w:rsidRPr="00447735">
              <w:rPr>
                <w:color w:val="0D0D0D" w:themeColor="text1" w:themeTint="F2"/>
                <w:spacing w:val="-4"/>
                <w:lang w:val="en-GB"/>
              </w:rPr>
              <w:t>8</w:t>
            </w:r>
            <w:r>
              <w:rPr>
                <w:color w:val="0D0D0D" w:themeColor="text1" w:themeTint="F2"/>
                <w:spacing w:val="-4"/>
                <w:lang w:val="en-GB"/>
              </w:rPr>
              <w:t xml:space="preserve"> job applicants per one job vacancy. Approximately 60% of municipalities</w:t>
            </w:r>
            <w:r w:rsidRPr="00447735">
              <w:rPr>
                <w:rStyle w:val="Znakapoznpodarou"/>
                <w:color w:val="0D0D0D" w:themeColor="text1" w:themeTint="F2"/>
                <w:spacing w:val="-4"/>
                <w:lang w:val="en-GB"/>
              </w:rPr>
              <w:footnoteReference w:id="14"/>
            </w:r>
            <w:r>
              <w:rPr>
                <w:color w:val="0D0D0D" w:themeColor="text1" w:themeTint="F2"/>
                <w:spacing w:val="-4"/>
                <w:lang w:val="en-GB"/>
              </w:rPr>
              <w:t xml:space="preserve"> as well as regions in the CR signalled the excess of number of job vacancies over the registered applicants. Nearly two thirds from the total year-on-year increase represented the positions with very low qualification requirements. Supply for applicants with at least school leaving certificate however also mildly increased. Total supply of vacancies in the CR expanded mainly in Prague and Plzensky region last year. </w:t>
            </w:r>
          </w:p>
        </w:tc>
      </w:tr>
      <w:tr w:rsidR="00AC7ACA" w:rsidRPr="003D7E94" w14:paraId="3E5DFF42" w14:textId="77777777" w:rsidTr="008E039E">
        <w:trPr>
          <w:trHeight w:val="145"/>
        </w:trPr>
        <w:tc>
          <w:tcPr>
            <w:tcW w:w="1600" w:type="dxa"/>
            <w:shd w:val="clear" w:color="auto" w:fill="auto"/>
            <w:tcMar>
              <w:left w:w="0" w:type="dxa"/>
            </w:tcMar>
          </w:tcPr>
          <w:p w14:paraId="021AF265" w14:textId="76FFE86F" w:rsidR="00AC7ACA" w:rsidRPr="00447735" w:rsidRDefault="00AC7ACA" w:rsidP="00AC7ACA">
            <w:pPr>
              <w:pStyle w:val="Marginlie"/>
              <w:rPr>
                <w:color w:val="0D0D0D" w:themeColor="text1" w:themeTint="F2"/>
                <w:spacing w:val="-5"/>
                <w:lang w:val="en-GB"/>
              </w:rPr>
            </w:pPr>
            <w:r w:rsidRPr="00447735">
              <w:rPr>
                <w:color w:val="0D0D0D" w:themeColor="text1" w:themeTint="F2"/>
                <w:spacing w:val="-5"/>
                <w:lang w:val="en-GB"/>
              </w:rPr>
              <w:t>The average gross monthly wage broke the 40 CZK thousand boundary in Q4.</w:t>
            </w:r>
          </w:p>
          <w:p w14:paraId="5284DA31" w14:textId="4DB36AFB" w:rsidR="00AC7ACA" w:rsidRDefault="00AC7ACA" w:rsidP="00AC7ACA">
            <w:pPr>
              <w:pStyle w:val="Marginlie"/>
              <w:rPr>
                <w:color w:val="0D0D0D" w:themeColor="text1" w:themeTint="F2"/>
                <w:spacing w:val="-5"/>
              </w:rPr>
            </w:pPr>
          </w:p>
          <w:p w14:paraId="771C0F93" w14:textId="77777777" w:rsidR="00AC7ACA" w:rsidRDefault="00AC7ACA" w:rsidP="00AC7ACA">
            <w:pPr>
              <w:pStyle w:val="Marginlie"/>
              <w:rPr>
                <w:color w:val="0D0D0D" w:themeColor="text1" w:themeTint="F2"/>
                <w:spacing w:val="-5"/>
              </w:rPr>
            </w:pPr>
          </w:p>
          <w:p w14:paraId="5ED1B6CD" w14:textId="77777777" w:rsidR="00AC7ACA" w:rsidRDefault="00AC7ACA" w:rsidP="00AC7ACA">
            <w:pPr>
              <w:pStyle w:val="Marginlie"/>
              <w:rPr>
                <w:color w:val="0D0D0D" w:themeColor="text1" w:themeTint="F2"/>
                <w:spacing w:val="-5"/>
              </w:rPr>
            </w:pPr>
          </w:p>
          <w:p w14:paraId="2E5EB376" w14:textId="77777777" w:rsidR="00AC7ACA" w:rsidRDefault="00AC7ACA" w:rsidP="00AC7ACA">
            <w:pPr>
              <w:pStyle w:val="Marginlie"/>
              <w:rPr>
                <w:color w:val="0D0D0D" w:themeColor="text1" w:themeTint="F2"/>
                <w:spacing w:val="-5"/>
              </w:rPr>
            </w:pPr>
          </w:p>
          <w:p w14:paraId="0217904F" w14:textId="77777777" w:rsidR="00AC7ACA" w:rsidRDefault="00AC7ACA" w:rsidP="00AC7ACA">
            <w:pPr>
              <w:pStyle w:val="Marginlie"/>
              <w:rPr>
                <w:color w:val="0D0D0D" w:themeColor="text1" w:themeTint="F2"/>
                <w:spacing w:val="-5"/>
              </w:rPr>
            </w:pPr>
          </w:p>
          <w:p w14:paraId="5D07E364" w14:textId="77777777" w:rsidR="00AC7ACA" w:rsidRDefault="00AC7ACA" w:rsidP="00AC7ACA">
            <w:pPr>
              <w:pStyle w:val="Marginlie"/>
              <w:rPr>
                <w:color w:val="0D0D0D" w:themeColor="text1" w:themeTint="F2"/>
                <w:spacing w:val="-5"/>
              </w:rPr>
            </w:pPr>
          </w:p>
          <w:p w14:paraId="12AB521E" w14:textId="1703D499" w:rsidR="00AC7ACA" w:rsidRPr="003378EB" w:rsidRDefault="00AC7ACA" w:rsidP="00AC7ACA">
            <w:pPr>
              <w:pStyle w:val="Marginlie"/>
              <w:spacing w:after="120"/>
              <w:rPr>
                <w:color w:val="0D0D0D" w:themeColor="text1" w:themeTint="F2"/>
                <w:spacing w:val="-5"/>
                <w:lang w:val="en-GB"/>
              </w:rPr>
            </w:pPr>
            <w:r>
              <w:rPr>
                <w:lang w:val="en-GB"/>
              </w:rPr>
              <w:t>Pace of wages was affected by mixture of contradictory factors.</w:t>
            </w:r>
          </w:p>
        </w:tc>
        <w:tc>
          <w:tcPr>
            <w:tcW w:w="189" w:type="dxa"/>
            <w:shd w:val="clear" w:color="auto" w:fill="auto"/>
            <w:tcMar>
              <w:left w:w="0" w:type="dxa"/>
            </w:tcMar>
          </w:tcPr>
          <w:p w14:paraId="517A0AC2" w14:textId="77777777" w:rsidR="00AC7ACA" w:rsidRPr="00EA508C" w:rsidRDefault="00AC7ACA" w:rsidP="00AC7ACA">
            <w:pPr>
              <w:pStyle w:val="Textpoznpodarou"/>
              <w:spacing w:after="120"/>
              <w:jc w:val="both"/>
              <w:rPr>
                <w:color w:val="0D0D0D" w:themeColor="text1" w:themeTint="F2"/>
                <w:spacing w:val="-4"/>
              </w:rPr>
            </w:pPr>
          </w:p>
        </w:tc>
        <w:tc>
          <w:tcPr>
            <w:tcW w:w="7880" w:type="dxa"/>
            <w:shd w:val="clear" w:color="auto" w:fill="auto"/>
            <w:tcMar>
              <w:left w:w="0" w:type="dxa"/>
            </w:tcMar>
          </w:tcPr>
          <w:p w14:paraId="51FBA7B7" w14:textId="061E73B2" w:rsidR="00AC7ACA" w:rsidRPr="003D7E94" w:rsidRDefault="00AC7ACA" w:rsidP="00AC7ACA">
            <w:pPr>
              <w:spacing w:after="220"/>
              <w:rPr>
                <w:spacing w:val="-4"/>
                <w:lang w:val="en-GB"/>
              </w:rPr>
            </w:pPr>
            <w:r w:rsidRPr="003D7E94">
              <w:rPr>
                <w:spacing w:val="-4"/>
                <w:lang w:val="en-GB"/>
              </w:rPr>
              <w:t xml:space="preserve">The average gross monthly nominal wage (per employee </w:t>
            </w:r>
            <w:r>
              <w:rPr>
                <w:spacing w:val="-4"/>
                <w:lang w:val="en-GB"/>
              </w:rPr>
              <w:t xml:space="preserve">considering </w:t>
            </w:r>
            <w:r w:rsidRPr="003D7E94">
              <w:rPr>
                <w:spacing w:val="-4"/>
                <w:lang w:val="en-GB"/>
              </w:rPr>
              <w:t xml:space="preserve">the time of the job) rose by even 4% year-on-year last year in Q4 and for the first time in history, it crossed the boundary of 40 CZK thousand. Wage after adjustment for seasonal effects (e.g. also the paid out regular bonuses) increased by 0.9% quarter-on-quarter, i.e. </w:t>
            </w:r>
            <w:r>
              <w:rPr>
                <w:spacing w:val="-4"/>
                <w:lang w:val="en-GB"/>
              </w:rPr>
              <w:t xml:space="preserve">at </w:t>
            </w:r>
            <w:r w:rsidRPr="003D7E94">
              <w:rPr>
                <w:spacing w:val="-4"/>
                <w:lang w:val="en-GB"/>
              </w:rPr>
              <w:t xml:space="preserve">slightly lower pace compared to Q2 and </w:t>
            </w:r>
            <w:r w:rsidR="00A06545">
              <w:rPr>
                <w:spacing w:val="-4"/>
                <w:lang w:val="en-GB"/>
              </w:rPr>
              <w:t>Q</w:t>
            </w:r>
            <w:r w:rsidRPr="003D7E94">
              <w:rPr>
                <w:spacing w:val="-4"/>
                <w:lang w:val="en-GB"/>
              </w:rPr>
              <w:t xml:space="preserve">3 2021. The heighten tension on the labour market connected both to the low employment and high and further growing number of job vacancies exerted a pro-growth influence on the size of wage for a major part of the last year. </w:t>
            </w:r>
            <w:r>
              <w:rPr>
                <w:spacing w:val="-4"/>
                <w:lang w:val="en-GB"/>
              </w:rPr>
              <w:t>The shortage of employees limited the output in the majority of significant branches. The government measures also had some, even though opposite effect. While the continuing increase of the minimum wage (and derived system of guaranteed wages</w:t>
            </w:r>
            <w:r w:rsidRPr="003D7E94">
              <w:rPr>
                <w:spacing w:val="-4"/>
                <w:lang w:val="en-GB"/>
              </w:rPr>
              <w:t>)</w:t>
            </w:r>
            <w:r>
              <w:rPr>
                <w:spacing w:val="-4"/>
                <w:lang w:val="en-GB"/>
              </w:rPr>
              <w:t xml:space="preserve"> </w:t>
            </w:r>
            <w:r w:rsidRPr="003D7E94">
              <w:rPr>
                <w:spacing w:val="-4"/>
                <w:lang w:val="en-GB"/>
              </w:rPr>
              <w:t>had</w:t>
            </w:r>
            <w:r>
              <w:rPr>
                <w:spacing w:val="-4"/>
                <w:lang w:val="en-GB"/>
              </w:rPr>
              <w:t xml:space="preserve"> a stimulating effect mainly in branches with lower level of earnings</w:t>
            </w:r>
            <w:r w:rsidRPr="003D7E94">
              <w:rPr>
                <w:spacing w:val="-4"/>
                <w:lang w:val="en-GB"/>
              </w:rPr>
              <w:t>,</w:t>
            </w:r>
            <w:r>
              <w:rPr>
                <w:spacing w:val="-4"/>
                <w:lang w:val="en-GB"/>
              </w:rPr>
              <w:t xml:space="preserve"> the decrease of the effective taxation of workers, which enabled to firms to maintain high employment with lower pressure on the increase of labour costs, likely had an opposite effect. </w:t>
            </w:r>
            <w:r w:rsidRPr="003D7E94">
              <w:rPr>
                <w:spacing w:val="-4"/>
                <w:lang w:val="en-GB"/>
              </w:rPr>
              <w:t xml:space="preserve">Proportion of employers especially in market branches thus took into consideration the fact, </w:t>
            </w:r>
            <w:r w:rsidRPr="003D7E94">
              <w:rPr>
                <w:spacing w:val="-4"/>
                <w:lang w:val="en-GB"/>
              </w:rPr>
              <w:lastRenderedPageBreak/>
              <w:t xml:space="preserve">that people’ s earnings will rise even without the increase of gross wages. </w:t>
            </w:r>
            <w:r>
              <w:rPr>
                <w:spacing w:val="-4"/>
                <w:lang w:val="en-GB"/>
              </w:rPr>
              <w:t xml:space="preserve">In addition, many businesses in branches strongly hit by the pandemics faced financial difficulties despite the government stabilization programmes, which limited their options to improve their appraisal of both new and current workers. </w:t>
            </w:r>
          </w:p>
        </w:tc>
      </w:tr>
      <w:tr w:rsidR="00AC7ACA" w:rsidRPr="00191C35" w14:paraId="2B3ACB6E" w14:textId="77777777" w:rsidTr="008E039E">
        <w:trPr>
          <w:trHeight w:val="145"/>
        </w:trPr>
        <w:tc>
          <w:tcPr>
            <w:tcW w:w="1600" w:type="dxa"/>
            <w:shd w:val="clear" w:color="auto" w:fill="auto"/>
            <w:tcMar>
              <w:left w:w="0" w:type="dxa"/>
            </w:tcMar>
          </w:tcPr>
          <w:p w14:paraId="37165068" w14:textId="7D17E6EE" w:rsidR="00AC7ACA" w:rsidRPr="006B79EE" w:rsidRDefault="00AC7ACA" w:rsidP="00AC7ACA">
            <w:pPr>
              <w:pStyle w:val="Marginlie"/>
              <w:spacing w:after="120"/>
              <w:rPr>
                <w:lang w:val="en-GB"/>
              </w:rPr>
            </w:pPr>
            <w:r>
              <w:rPr>
                <w:lang w:val="en-GB"/>
              </w:rPr>
              <w:lastRenderedPageBreak/>
              <w:t xml:space="preserve">The wage growth was below average in manufacturing as well as construction during the whole year. </w:t>
            </w:r>
          </w:p>
        </w:tc>
        <w:tc>
          <w:tcPr>
            <w:tcW w:w="189" w:type="dxa"/>
            <w:shd w:val="clear" w:color="auto" w:fill="auto"/>
            <w:tcMar>
              <w:left w:w="0" w:type="dxa"/>
            </w:tcMar>
          </w:tcPr>
          <w:p w14:paraId="6E177FEB" w14:textId="77777777" w:rsidR="00AC7ACA" w:rsidRPr="006B79EE" w:rsidRDefault="00AC7ACA" w:rsidP="00AC7ACA">
            <w:pPr>
              <w:pStyle w:val="Textpoznpodarou"/>
              <w:spacing w:after="120"/>
              <w:jc w:val="both"/>
              <w:rPr>
                <w:spacing w:val="-4"/>
                <w:lang w:val="en-GB"/>
              </w:rPr>
            </w:pPr>
          </w:p>
        </w:tc>
        <w:tc>
          <w:tcPr>
            <w:tcW w:w="7880" w:type="dxa"/>
            <w:shd w:val="clear" w:color="auto" w:fill="auto"/>
            <w:tcMar>
              <w:left w:w="0" w:type="dxa"/>
            </w:tcMar>
          </w:tcPr>
          <w:p w14:paraId="169347EB" w14:textId="0E739A84" w:rsidR="00AC7ACA" w:rsidRPr="006B79EE" w:rsidRDefault="00AC7ACA" w:rsidP="00AC7ACA">
            <w:pPr>
              <w:spacing w:after="220"/>
              <w:rPr>
                <w:spacing w:val="-4"/>
                <w:lang w:val="en-GB"/>
              </w:rPr>
            </w:pPr>
            <w:r>
              <w:rPr>
                <w:spacing w:val="-4"/>
                <w:lang w:val="en-GB"/>
              </w:rPr>
              <w:t>The average wages increased by 3.9% in the weight most significant branch of manufacturing in Q</w:t>
            </w:r>
            <w:r w:rsidRPr="006B79EE">
              <w:rPr>
                <w:spacing w:val="-6"/>
                <w:lang w:val="en-GB"/>
              </w:rPr>
              <w:t>4</w:t>
            </w:r>
            <w:r>
              <w:rPr>
                <w:spacing w:val="-6"/>
                <w:lang w:val="en-GB"/>
              </w:rPr>
              <w:t xml:space="preserve"> </w:t>
            </w:r>
            <w:r w:rsidRPr="006B79EE">
              <w:rPr>
                <w:spacing w:val="-6"/>
                <w:lang w:val="en-GB"/>
              </w:rPr>
              <w:t>2021</w:t>
            </w:r>
            <w:r>
              <w:rPr>
                <w:spacing w:val="-6"/>
                <w:lang w:val="en-GB"/>
              </w:rPr>
              <w:t xml:space="preserve"> </w:t>
            </w:r>
            <w:r w:rsidRPr="006B79EE">
              <w:rPr>
                <w:spacing w:val="-6"/>
                <w:lang w:val="en-GB"/>
              </w:rPr>
              <w:t>(</w:t>
            </w:r>
            <w:r>
              <w:rPr>
                <w:spacing w:val="-6"/>
                <w:lang w:val="en-GB"/>
              </w:rPr>
              <w:t>the below average wage was recorded for the twelve quarter in a row</w:t>
            </w:r>
            <w:r w:rsidRPr="006B79EE">
              <w:rPr>
                <w:spacing w:val="-6"/>
                <w:lang w:val="en-GB"/>
              </w:rPr>
              <w:t>).</w:t>
            </w:r>
            <w:r>
              <w:rPr>
                <w:spacing w:val="-6"/>
                <w:lang w:val="en-GB"/>
              </w:rPr>
              <w:t xml:space="preserve"> In motor vehicle itself, the wages only stagnated, which could have been connected to the lower number of hours worked due to the unplanned production shutdown in October </w:t>
            </w:r>
            <w:r w:rsidRPr="006B79EE">
              <w:rPr>
                <w:spacing w:val="-6"/>
                <w:lang w:val="en-GB"/>
              </w:rPr>
              <w:t>(</w:t>
            </w:r>
            <w:r>
              <w:rPr>
                <w:spacing w:val="-6"/>
                <w:lang w:val="en-GB"/>
              </w:rPr>
              <w:t>the wage growth mildly lagged behind the whole industry here last year also in the yearly view</w:t>
            </w:r>
            <w:r w:rsidRPr="006B79EE">
              <w:rPr>
                <w:spacing w:val="-6"/>
                <w:lang w:val="en-GB"/>
              </w:rPr>
              <w:t>).</w:t>
            </w:r>
            <w:r>
              <w:rPr>
                <w:spacing w:val="-6"/>
                <w:lang w:val="en-GB"/>
              </w:rPr>
              <w:t xml:space="preserve"> In non-manufacturing industrial branches, the earnings grew by a faster pace. In case of mining and quarrying </w:t>
            </w:r>
            <w:r w:rsidRPr="006B79EE">
              <w:rPr>
                <w:spacing w:val="-6"/>
                <w:lang w:val="en-GB"/>
              </w:rPr>
              <w:t>(+9</w:t>
            </w:r>
            <w:r>
              <w:rPr>
                <w:spacing w:val="-6"/>
                <w:lang w:val="en-GB"/>
              </w:rPr>
              <w:t>.</w:t>
            </w:r>
            <w:r w:rsidRPr="006B79EE">
              <w:rPr>
                <w:spacing w:val="-6"/>
                <w:lang w:val="en-GB"/>
              </w:rPr>
              <w:t>1%)</w:t>
            </w:r>
            <w:r>
              <w:rPr>
                <w:spacing w:val="-6"/>
                <w:lang w:val="en-GB"/>
              </w:rPr>
              <w:t xml:space="preserve"> it was however accompanied by unprecedented deep drop of employment</w:t>
            </w:r>
            <w:r w:rsidRPr="006B79EE">
              <w:rPr>
                <w:spacing w:val="-6"/>
                <w:lang w:val="en-GB"/>
              </w:rPr>
              <w:t xml:space="preserve">. </w:t>
            </w:r>
            <w:r>
              <w:rPr>
                <w:spacing w:val="-6"/>
                <w:lang w:val="en-GB"/>
              </w:rPr>
              <w:t>Wages rose only by 3.7% in construction in Q</w:t>
            </w:r>
            <w:r w:rsidRPr="006B79EE">
              <w:rPr>
                <w:spacing w:val="-6"/>
                <w:lang w:val="en-GB"/>
              </w:rPr>
              <w:t>4</w:t>
            </w:r>
            <w:r>
              <w:rPr>
                <w:spacing w:val="-6"/>
                <w:lang w:val="en-GB"/>
              </w:rPr>
              <w:t xml:space="preserve"> </w:t>
            </w:r>
            <w:r w:rsidRPr="006B79EE">
              <w:rPr>
                <w:spacing w:val="-6"/>
                <w:lang w:val="en-GB"/>
              </w:rPr>
              <w:t>(</w:t>
            </w:r>
            <w:r>
              <w:rPr>
                <w:spacing w:val="-6"/>
                <w:lang w:val="en-GB"/>
              </w:rPr>
              <w:t xml:space="preserve">similarly to the rate for the whole year </w:t>
            </w:r>
            <w:r w:rsidRPr="006B79EE">
              <w:rPr>
                <w:spacing w:val="-6"/>
                <w:lang w:val="en-GB"/>
              </w:rPr>
              <w:t xml:space="preserve">2021), </w:t>
            </w:r>
            <w:r>
              <w:rPr>
                <w:spacing w:val="-6"/>
                <w:lang w:val="en-GB"/>
              </w:rPr>
              <w:t xml:space="preserve">despite strong demand for work accompanied by difficulties when searching for new employees. </w:t>
            </w:r>
          </w:p>
        </w:tc>
      </w:tr>
      <w:tr w:rsidR="00AC7ACA" w:rsidRPr="00191C35" w14:paraId="7EFF5E20" w14:textId="77777777" w:rsidTr="008E039E">
        <w:trPr>
          <w:trHeight w:val="145"/>
        </w:trPr>
        <w:tc>
          <w:tcPr>
            <w:tcW w:w="1600" w:type="dxa"/>
            <w:shd w:val="clear" w:color="auto" w:fill="auto"/>
            <w:tcMar>
              <w:left w:w="0" w:type="dxa"/>
            </w:tcMar>
          </w:tcPr>
          <w:p w14:paraId="099AF243" w14:textId="63293018" w:rsidR="00AC7ACA" w:rsidRPr="005F40CA" w:rsidRDefault="00AC7ACA" w:rsidP="00AC7ACA">
            <w:pPr>
              <w:pStyle w:val="Marginlie"/>
              <w:spacing w:after="120"/>
              <w:rPr>
                <w:lang w:val="en-GB"/>
              </w:rPr>
            </w:pPr>
            <w:r>
              <w:rPr>
                <w:lang w:val="en-GB"/>
              </w:rPr>
              <w:t xml:space="preserve">Wage growth was further noticeably differentiated in the public services. </w:t>
            </w:r>
          </w:p>
        </w:tc>
        <w:tc>
          <w:tcPr>
            <w:tcW w:w="189" w:type="dxa"/>
            <w:shd w:val="clear" w:color="auto" w:fill="auto"/>
            <w:tcMar>
              <w:left w:w="0" w:type="dxa"/>
            </w:tcMar>
          </w:tcPr>
          <w:p w14:paraId="184CA9C4" w14:textId="77777777" w:rsidR="00AC7ACA" w:rsidRPr="005F40CA" w:rsidRDefault="00AC7ACA" w:rsidP="00AC7ACA">
            <w:pPr>
              <w:pStyle w:val="Textpoznpodarou"/>
              <w:spacing w:after="120"/>
              <w:jc w:val="both"/>
              <w:rPr>
                <w:spacing w:val="-4"/>
                <w:lang w:val="en-GB"/>
              </w:rPr>
            </w:pPr>
          </w:p>
        </w:tc>
        <w:tc>
          <w:tcPr>
            <w:tcW w:w="7880" w:type="dxa"/>
            <w:shd w:val="clear" w:color="auto" w:fill="auto"/>
            <w:tcMar>
              <w:left w:w="0" w:type="dxa"/>
            </w:tcMar>
          </w:tcPr>
          <w:p w14:paraId="50198B3C" w14:textId="7DFD8AA8" w:rsidR="00AC7ACA" w:rsidRPr="005F40CA" w:rsidRDefault="00AC7ACA" w:rsidP="00506F4A">
            <w:pPr>
              <w:spacing w:after="200"/>
              <w:rPr>
                <w:spacing w:val="-4"/>
                <w:lang w:val="en-GB"/>
              </w:rPr>
            </w:pPr>
            <w:r>
              <w:rPr>
                <w:spacing w:val="-6"/>
                <w:lang w:val="en-GB"/>
              </w:rPr>
              <w:t>In the whole services sector, the average wage grew by a similar pace to manufacturing with its value (41.6 CZK thousand monthly) in Q</w:t>
            </w:r>
            <w:r w:rsidRPr="005F40CA">
              <w:rPr>
                <w:spacing w:val="-6"/>
                <w:lang w:val="en-GB"/>
              </w:rPr>
              <w:t>4</w:t>
            </w:r>
            <w:r>
              <w:rPr>
                <w:spacing w:val="-6"/>
                <w:lang w:val="en-GB"/>
              </w:rPr>
              <w:t xml:space="preserve"> </w:t>
            </w:r>
            <w:r w:rsidRPr="005F40CA">
              <w:rPr>
                <w:spacing w:val="-6"/>
                <w:lang w:val="en-GB"/>
              </w:rPr>
              <w:t>2021</w:t>
            </w:r>
            <w:r>
              <w:rPr>
                <w:spacing w:val="-6"/>
                <w:lang w:val="en-GB"/>
              </w:rPr>
              <w:t xml:space="preserve">, however it exceeded this branch by nearly one tenth. The development was extraordinarily varied among services and oscillated considerably during the </w:t>
            </w:r>
            <w:r w:rsidRPr="00425EC2">
              <w:rPr>
                <w:spacing w:val="-6"/>
                <w:lang w:val="en-GB"/>
              </w:rPr>
              <w:t xml:space="preserve">year. The segment of services with a significant role of state illustrates this well. </w:t>
            </w:r>
            <w:r>
              <w:rPr>
                <w:spacing w:val="-6"/>
                <w:lang w:val="en-GB"/>
              </w:rPr>
              <w:t>If the wage growth was 6.2% in education thanks to the increase of the wage tariffs and paid out bonuses, in health and social care the average wages due to the high basis from the end of the year before the last</w:t>
            </w:r>
            <w:r w:rsidRPr="00425EC2">
              <w:rPr>
                <w:rStyle w:val="Znakapoznpodarou"/>
                <w:spacing w:val="-6"/>
                <w:lang w:val="en-GB"/>
              </w:rPr>
              <w:footnoteReference w:id="15"/>
            </w:r>
            <w:r w:rsidRPr="00425EC2">
              <w:rPr>
                <w:spacing w:val="-6"/>
                <w:lang w:val="en-GB"/>
              </w:rPr>
              <w:t xml:space="preserve"> </w:t>
            </w:r>
            <w:r>
              <w:rPr>
                <w:spacing w:val="-6"/>
                <w:lang w:val="en-GB"/>
              </w:rPr>
              <w:t xml:space="preserve">dropped by </w:t>
            </w:r>
            <w:r w:rsidRPr="00425EC2">
              <w:rPr>
                <w:spacing w:val="-6"/>
                <w:lang w:val="en-GB"/>
              </w:rPr>
              <w:t>8</w:t>
            </w:r>
            <w:r>
              <w:rPr>
                <w:spacing w:val="-6"/>
                <w:lang w:val="en-GB"/>
              </w:rPr>
              <w:t>.</w:t>
            </w:r>
            <w:r w:rsidRPr="00425EC2">
              <w:rPr>
                <w:spacing w:val="-6"/>
                <w:lang w:val="en-GB"/>
              </w:rPr>
              <w:t>1% (</w:t>
            </w:r>
            <w:r>
              <w:rPr>
                <w:spacing w:val="-6"/>
                <w:lang w:val="en-GB"/>
              </w:rPr>
              <w:t xml:space="preserve">they however increased by </w:t>
            </w:r>
            <w:r w:rsidRPr="00425EC2">
              <w:rPr>
                <w:spacing w:val="-6"/>
                <w:lang w:val="en-GB"/>
              </w:rPr>
              <w:t>12</w:t>
            </w:r>
            <w:r>
              <w:rPr>
                <w:spacing w:val="-6"/>
                <w:lang w:val="en-GB"/>
              </w:rPr>
              <w:t>.</w:t>
            </w:r>
            <w:r w:rsidRPr="00425EC2">
              <w:rPr>
                <w:spacing w:val="-6"/>
                <w:lang w:val="en-GB"/>
              </w:rPr>
              <w:t>2%</w:t>
            </w:r>
            <w:r>
              <w:rPr>
                <w:spacing w:val="-6"/>
                <w:lang w:val="en-GB"/>
              </w:rPr>
              <w:t xml:space="preserve"> for the whole last year</w:t>
            </w:r>
            <w:r w:rsidRPr="00425EC2">
              <w:rPr>
                <w:spacing w:val="-6"/>
                <w:lang w:val="en-GB"/>
              </w:rPr>
              <w:t xml:space="preserve">, </w:t>
            </w:r>
            <w:r>
              <w:rPr>
                <w:spacing w:val="-6"/>
                <w:lang w:val="en-GB"/>
              </w:rPr>
              <w:t>mainly thanks to the extraordinary Spring bonuses</w:t>
            </w:r>
            <w:r w:rsidRPr="00425EC2">
              <w:rPr>
                <w:spacing w:val="-6"/>
                <w:lang w:val="en-GB"/>
              </w:rPr>
              <w:t>). The wages rose by 1.4% in p</w:t>
            </w:r>
            <w:r w:rsidRPr="00425EC2">
              <w:rPr>
                <w:rFonts w:cs="Arial"/>
                <w:szCs w:val="20"/>
                <w:lang w:val="en-GB"/>
              </w:rPr>
              <w:t>ublic administration, education, health and social work, the least in the last eight years.</w:t>
            </w:r>
            <w:r>
              <w:rPr>
                <w:rFonts w:cs="Arial"/>
                <w:szCs w:val="20"/>
              </w:rPr>
              <w:t xml:space="preserve"> </w:t>
            </w:r>
          </w:p>
        </w:tc>
      </w:tr>
      <w:tr w:rsidR="00AC7ACA" w:rsidRPr="00191C35" w14:paraId="6BE6939A" w14:textId="77777777" w:rsidTr="008E039E">
        <w:trPr>
          <w:trHeight w:val="145"/>
        </w:trPr>
        <w:tc>
          <w:tcPr>
            <w:tcW w:w="1600" w:type="dxa"/>
            <w:shd w:val="clear" w:color="auto" w:fill="auto"/>
            <w:tcMar>
              <w:left w:w="0" w:type="dxa"/>
            </w:tcMar>
          </w:tcPr>
          <w:p w14:paraId="25CAEFF5" w14:textId="46CCD437" w:rsidR="00AC7ACA" w:rsidRPr="00D931D5" w:rsidRDefault="00AC7ACA" w:rsidP="00AC7ACA">
            <w:pPr>
              <w:pStyle w:val="Marginlie"/>
              <w:spacing w:after="120"/>
              <w:rPr>
                <w:lang w:val="en-GB"/>
              </w:rPr>
            </w:pPr>
            <w:r>
              <w:rPr>
                <w:lang w:val="en-GB"/>
              </w:rPr>
              <w:t xml:space="preserve">Wages significantly strengthened after the decrease in the first year of the pandemics in trade, accommodation, food service and restaurants last year. </w:t>
            </w:r>
          </w:p>
        </w:tc>
        <w:tc>
          <w:tcPr>
            <w:tcW w:w="189" w:type="dxa"/>
            <w:shd w:val="clear" w:color="auto" w:fill="auto"/>
            <w:tcMar>
              <w:left w:w="0" w:type="dxa"/>
            </w:tcMar>
          </w:tcPr>
          <w:p w14:paraId="75644711" w14:textId="77777777" w:rsidR="00AC7ACA" w:rsidRPr="00D931D5" w:rsidRDefault="00AC7ACA" w:rsidP="00AC7ACA">
            <w:pPr>
              <w:pStyle w:val="Textpoznpodarou"/>
              <w:spacing w:after="120"/>
              <w:jc w:val="both"/>
              <w:rPr>
                <w:spacing w:val="-4"/>
                <w:lang w:val="en-GB"/>
              </w:rPr>
            </w:pPr>
          </w:p>
        </w:tc>
        <w:tc>
          <w:tcPr>
            <w:tcW w:w="7880" w:type="dxa"/>
            <w:shd w:val="clear" w:color="auto" w:fill="auto"/>
            <w:tcMar>
              <w:left w:w="0" w:type="dxa"/>
            </w:tcMar>
          </w:tcPr>
          <w:p w14:paraId="230758CE" w14:textId="48E4BBA5" w:rsidR="00AC7ACA" w:rsidRPr="00D931D5" w:rsidRDefault="00AC7ACA" w:rsidP="00AC7ACA">
            <w:pPr>
              <w:rPr>
                <w:spacing w:val="-4"/>
                <w:lang w:val="en-GB"/>
              </w:rPr>
            </w:pPr>
            <w:r>
              <w:rPr>
                <w:spacing w:val="-4"/>
                <w:lang w:val="en-GB"/>
              </w:rPr>
              <w:t>Real estate activities stood out among the services branches in Q</w:t>
            </w:r>
            <w:r w:rsidRPr="00D931D5">
              <w:rPr>
                <w:spacing w:val="-4"/>
                <w:lang w:val="en-GB"/>
              </w:rPr>
              <w:t>4</w:t>
            </w:r>
            <w:r>
              <w:rPr>
                <w:spacing w:val="-4"/>
                <w:lang w:val="en-GB"/>
              </w:rPr>
              <w:t xml:space="preserve"> </w:t>
            </w:r>
            <w:r w:rsidRPr="00D931D5">
              <w:rPr>
                <w:spacing w:val="-4"/>
                <w:lang w:val="en-GB"/>
              </w:rPr>
              <w:t>(</w:t>
            </w:r>
            <w:r>
              <w:rPr>
                <w:spacing w:val="-4"/>
                <w:lang w:val="en-GB"/>
              </w:rPr>
              <w:t>and also during the whole last year</w:t>
            </w:r>
            <w:r w:rsidRPr="00D931D5">
              <w:rPr>
                <w:spacing w:val="-4"/>
                <w:lang w:val="en-GB"/>
              </w:rPr>
              <w:t>)</w:t>
            </w:r>
            <w:r>
              <w:rPr>
                <w:spacing w:val="-4"/>
                <w:lang w:val="en-GB"/>
              </w:rPr>
              <w:t xml:space="preserve"> and their </w:t>
            </w:r>
            <w:r>
              <w:rPr>
                <w:spacing w:val="-5"/>
                <w:lang w:val="en-GB"/>
              </w:rPr>
              <w:t>year-on-year growth of sales attained double digit values</w:t>
            </w:r>
            <w:r w:rsidRPr="00D931D5">
              <w:rPr>
                <w:rStyle w:val="Znakapoznpodarou"/>
                <w:spacing w:val="-5"/>
                <w:lang w:val="en-GB"/>
              </w:rPr>
              <w:footnoteReference w:id="16"/>
            </w:r>
            <w:r w:rsidRPr="00D931D5">
              <w:rPr>
                <w:spacing w:val="-5"/>
                <w:lang w:val="en-GB"/>
              </w:rPr>
              <w:t>. S</w:t>
            </w:r>
            <w:r>
              <w:rPr>
                <w:spacing w:val="-5"/>
                <w:lang w:val="en-GB"/>
              </w:rPr>
              <w:t xml:space="preserve">wift wage growth in the key branch of trade </w:t>
            </w:r>
            <w:r w:rsidRPr="00D931D5">
              <w:rPr>
                <w:spacing w:val="-5"/>
                <w:lang w:val="en-GB"/>
              </w:rPr>
              <w:t>(+8</w:t>
            </w:r>
            <w:r>
              <w:rPr>
                <w:spacing w:val="-5"/>
                <w:lang w:val="en-GB"/>
              </w:rPr>
              <w:t>.</w:t>
            </w:r>
            <w:r w:rsidRPr="00D931D5">
              <w:rPr>
                <w:spacing w:val="-5"/>
                <w:lang w:val="en-GB"/>
              </w:rPr>
              <w:t>9%)</w:t>
            </w:r>
            <w:r>
              <w:rPr>
                <w:spacing w:val="-5"/>
                <w:lang w:val="en-GB"/>
              </w:rPr>
              <w:t xml:space="preserve"> was associated with the lowered basis from year </w:t>
            </w:r>
            <w:r w:rsidRPr="00D931D5">
              <w:rPr>
                <w:spacing w:val="-5"/>
                <w:lang w:val="en-GB"/>
              </w:rPr>
              <w:t>2020</w:t>
            </w:r>
            <w:r>
              <w:rPr>
                <w:spacing w:val="-5"/>
                <w:lang w:val="en-GB"/>
              </w:rPr>
              <w:t xml:space="preserve"> as a result of considerable limitation of sale due to the government restrictions. The effect of the post crisis revival was even more visible in accommodation, food service and restaurants </w:t>
            </w:r>
            <w:r w:rsidRPr="00D931D5">
              <w:rPr>
                <w:spacing w:val="-5"/>
                <w:lang w:val="en-GB"/>
              </w:rPr>
              <w:t>(+9</w:t>
            </w:r>
            <w:r>
              <w:rPr>
                <w:spacing w:val="-5"/>
                <w:lang w:val="en-GB"/>
              </w:rPr>
              <w:t>.</w:t>
            </w:r>
            <w:r w:rsidRPr="00D931D5">
              <w:rPr>
                <w:spacing w:val="-5"/>
                <w:lang w:val="en-GB"/>
              </w:rPr>
              <w:t xml:space="preserve">7%), </w:t>
            </w:r>
            <w:r>
              <w:rPr>
                <w:spacing w:val="-5"/>
                <w:lang w:val="en-GB"/>
              </w:rPr>
              <w:t xml:space="preserve">the level of average wages was the lower from all branches here, when it reached only one third of earnings of branch information and communication (where it was </w:t>
            </w:r>
            <w:r w:rsidRPr="00D931D5">
              <w:rPr>
                <w:spacing w:val="-5"/>
                <w:lang w:val="en-GB"/>
              </w:rPr>
              <w:t>66 </w:t>
            </w:r>
            <w:r>
              <w:rPr>
                <w:spacing w:val="-5"/>
                <w:lang w:val="en-GB"/>
              </w:rPr>
              <w:t>CZK thousand monthly</w:t>
            </w:r>
            <w:r w:rsidRPr="00D931D5">
              <w:rPr>
                <w:spacing w:val="-5"/>
                <w:lang w:val="en-GB"/>
              </w:rPr>
              <w:t xml:space="preserve">). </w:t>
            </w:r>
            <w:r>
              <w:rPr>
                <w:spacing w:val="-5"/>
                <w:lang w:val="en-GB"/>
              </w:rPr>
              <w:t xml:space="preserve">Wages in financial and insurance activities remained tightly below </w:t>
            </w:r>
            <w:r w:rsidRPr="00D931D5">
              <w:rPr>
                <w:spacing w:val="-5"/>
                <w:lang w:val="en-GB"/>
              </w:rPr>
              <w:t>60 </w:t>
            </w:r>
            <w:r>
              <w:rPr>
                <w:spacing w:val="-5"/>
                <w:lang w:val="en-GB"/>
              </w:rPr>
              <w:t xml:space="preserve">CZK thousand. It is apparent especially from the annual view, that both by the level of earnings and especially creation of new job positions, this branch rather lags behind the dynamically developing ICT area. Wages of employees in administrative and support services activities improved on average by </w:t>
            </w:r>
            <w:r w:rsidRPr="00D931D5">
              <w:rPr>
                <w:spacing w:val="-5"/>
                <w:lang w:val="en-GB"/>
              </w:rPr>
              <w:t>8</w:t>
            </w:r>
            <w:r>
              <w:rPr>
                <w:spacing w:val="-5"/>
                <w:lang w:val="en-GB"/>
              </w:rPr>
              <w:t>.</w:t>
            </w:r>
            <w:r w:rsidRPr="00D931D5">
              <w:rPr>
                <w:spacing w:val="-5"/>
                <w:lang w:val="en-GB"/>
              </w:rPr>
              <w:t>5%</w:t>
            </w:r>
            <w:r>
              <w:rPr>
                <w:spacing w:val="-5"/>
                <w:lang w:val="en-GB"/>
              </w:rPr>
              <w:t xml:space="preserve"> year-on-year</w:t>
            </w:r>
            <w:r w:rsidRPr="00D931D5">
              <w:rPr>
                <w:spacing w:val="-5"/>
                <w:lang w:val="en-GB"/>
              </w:rPr>
              <w:t xml:space="preserve">, </w:t>
            </w:r>
            <w:r>
              <w:rPr>
                <w:spacing w:val="-5"/>
                <w:lang w:val="en-GB"/>
              </w:rPr>
              <w:t xml:space="preserve">the size of their earnings however reached only two thirds of the level of the national economy. </w:t>
            </w:r>
          </w:p>
        </w:tc>
      </w:tr>
      <w:tr w:rsidR="00AC7ACA" w:rsidRPr="00191C35" w14:paraId="7DA68FB2" w14:textId="77777777" w:rsidTr="008E039E">
        <w:trPr>
          <w:trHeight w:val="145"/>
        </w:trPr>
        <w:tc>
          <w:tcPr>
            <w:tcW w:w="1600" w:type="dxa"/>
            <w:shd w:val="clear" w:color="auto" w:fill="auto"/>
            <w:tcMar>
              <w:left w:w="0" w:type="dxa"/>
            </w:tcMar>
          </w:tcPr>
          <w:p w14:paraId="07B960B4" w14:textId="063DCAA3" w:rsidR="00AC7ACA" w:rsidRPr="00D931D5" w:rsidRDefault="00AC7ACA" w:rsidP="00AC7ACA">
            <w:pPr>
              <w:pStyle w:val="Marginlie"/>
              <w:spacing w:after="120"/>
              <w:rPr>
                <w:lang w:val="en-GB"/>
              </w:rPr>
            </w:pPr>
            <w:r>
              <w:rPr>
                <w:lang w:val="en-GB"/>
              </w:rPr>
              <w:t>The real wage decreased in the majority of significant branches in Q</w:t>
            </w:r>
            <w:r w:rsidRPr="00D931D5">
              <w:rPr>
                <w:lang w:val="en-GB"/>
              </w:rPr>
              <w:t>4.</w:t>
            </w:r>
          </w:p>
        </w:tc>
        <w:tc>
          <w:tcPr>
            <w:tcW w:w="189" w:type="dxa"/>
            <w:shd w:val="clear" w:color="auto" w:fill="auto"/>
            <w:tcMar>
              <w:left w:w="0" w:type="dxa"/>
            </w:tcMar>
          </w:tcPr>
          <w:p w14:paraId="6DBF8047" w14:textId="77777777" w:rsidR="00AC7ACA" w:rsidRPr="00D931D5" w:rsidRDefault="00AC7ACA" w:rsidP="00AC7ACA">
            <w:pPr>
              <w:pStyle w:val="Textpoznpodarou"/>
              <w:spacing w:after="120"/>
              <w:jc w:val="both"/>
              <w:rPr>
                <w:spacing w:val="-4"/>
                <w:lang w:val="en-GB"/>
              </w:rPr>
            </w:pPr>
          </w:p>
        </w:tc>
        <w:tc>
          <w:tcPr>
            <w:tcW w:w="7880" w:type="dxa"/>
            <w:shd w:val="clear" w:color="auto" w:fill="auto"/>
            <w:tcMar>
              <w:left w:w="0" w:type="dxa"/>
            </w:tcMar>
          </w:tcPr>
          <w:p w14:paraId="66A9080C" w14:textId="06C3112B" w:rsidR="00AC7ACA" w:rsidRPr="00D931D5" w:rsidRDefault="00AC7ACA" w:rsidP="00AC7ACA">
            <w:pPr>
              <w:rPr>
                <w:spacing w:val="-4"/>
                <w:lang w:val="en-GB"/>
              </w:rPr>
            </w:pPr>
            <w:r>
              <w:rPr>
                <w:spacing w:val="-4"/>
                <w:lang w:val="en-GB"/>
              </w:rPr>
              <w:t xml:space="preserve">The average nominal wage increased by 6.1% in total for the last year </w:t>
            </w:r>
            <w:r w:rsidRPr="00D931D5">
              <w:rPr>
                <w:spacing w:val="-4"/>
                <w:lang w:val="en-GB"/>
              </w:rPr>
              <w:t>(</w:t>
            </w:r>
            <w:r>
              <w:rPr>
                <w:spacing w:val="-4"/>
                <w:lang w:val="en-GB"/>
              </w:rPr>
              <w:t>doubled pace in comparison to the first year of pandemics</w:t>
            </w:r>
            <w:r w:rsidRPr="00D931D5">
              <w:rPr>
                <w:spacing w:val="-4"/>
                <w:lang w:val="en-GB"/>
              </w:rPr>
              <w:t>),</w:t>
            </w:r>
            <w:r>
              <w:rPr>
                <w:spacing w:val="-4"/>
                <w:lang w:val="en-GB"/>
              </w:rPr>
              <w:t xml:space="preserve"> which was sufficient to its return to real growth. Nevertheless due to the accelerating consumer inflation the </w:t>
            </w:r>
            <w:r w:rsidRPr="00C16556">
              <w:rPr>
                <w:spacing w:val="-4"/>
                <w:lang w:val="en-GB"/>
              </w:rPr>
              <w:t xml:space="preserve">last year’s real growth was the lowest after year 2013. </w:t>
            </w:r>
            <w:r>
              <w:rPr>
                <w:spacing w:val="-4"/>
                <w:lang w:val="en-GB"/>
              </w:rPr>
              <w:t>The purchasing power of average employee earnings however decreased by even 2% year-on-year in Q4 2021 itself</w:t>
            </w:r>
            <w:r w:rsidRPr="00C16556">
              <w:rPr>
                <w:spacing w:val="-4"/>
                <w:lang w:val="en-GB"/>
              </w:rPr>
              <w:t>. Among the more significant branches</w:t>
            </w:r>
            <w:r w:rsidRPr="00C16556">
              <w:rPr>
                <w:rStyle w:val="Znakapoznpodarou"/>
                <w:spacing w:val="-4"/>
                <w:lang w:val="en-GB"/>
              </w:rPr>
              <w:footnoteReference w:id="17"/>
            </w:r>
            <w:r w:rsidRPr="00C16556">
              <w:rPr>
                <w:spacing w:val="-4"/>
                <w:lang w:val="en-GB"/>
              </w:rPr>
              <w:t xml:space="preserve"> thus only employees in trade, transportation and warehousing and also in education had at their disposal higher purchasing power.</w:t>
            </w:r>
            <w:r>
              <w:rPr>
                <w:spacing w:val="-4"/>
                <w:lang w:val="en-GB"/>
              </w:rPr>
              <w:t xml:space="preserve"> </w:t>
            </w:r>
          </w:p>
        </w:tc>
      </w:tr>
      <w:tr w:rsidR="00AC7ACA" w:rsidRPr="00191C35" w14:paraId="4185725E" w14:textId="77777777" w:rsidTr="008E039E">
        <w:trPr>
          <w:trHeight w:val="145"/>
        </w:trPr>
        <w:tc>
          <w:tcPr>
            <w:tcW w:w="1600" w:type="dxa"/>
            <w:shd w:val="clear" w:color="auto" w:fill="auto"/>
            <w:tcMar>
              <w:left w:w="0" w:type="dxa"/>
            </w:tcMar>
          </w:tcPr>
          <w:p w14:paraId="79E3899C" w14:textId="0CE6FAE5" w:rsidR="00AC7ACA" w:rsidRPr="00DF2AD9" w:rsidRDefault="00AC7ACA" w:rsidP="00AC7ACA">
            <w:pPr>
              <w:pStyle w:val="Marginlie"/>
              <w:spacing w:after="120"/>
              <w:rPr>
                <w:lang w:val="en-GB"/>
              </w:rPr>
            </w:pPr>
            <w:r>
              <w:rPr>
                <w:lang w:val="en-GB"/>
              </w:rPr>
              <w:t>Wage median grew faster than the average wage in Q</w:t>
            </w:r>
            <w:r w:rsidRPr="00DF2AD9">
              <w:rPr>
                <w:lang w:val="en-GB"/>
              </w:rPr>
              <w:t>4.</w:t>
            </w:r>
          </w:p>
        </w:tc>
        <w:tc>
          <w:tcPr>
            <w:tcW w:w="189" w:type="dxa"/>
            <w:shd w:val="clear" w:color="auto" w:fill="auto"/>
            <w:tcMar>
              <w:left w:w="0" w:type="dxa"/>
            </w:tcMar>
          </w:tcPr>
          <w:p w14:paraId="29231FE2" w14:textId="77777777" w:rsidR="00AC7ACA" w:rsidRPr="00DF2AD9" w:rsidRDefault="00AC7ACA" w:rsidP="00AC7ACA">
            <w:pPr>
              <w:pStyle w:val="Textpoznpodarou"/>
              <w:spacing w:after="120"/>
              <w:jc w:val="both"/>
              <w:rPr>
                <w:spacing w:val="-4"/>
                <w:lang w:val="en-GB"/>
              </w:rPr>
            </w:pPr>
          </w:p>
        </w:tc>
        <w:tc>
          <w:tcPr>
            <w:tcW w:w="7880" w:type="dxa"/>
            <w:shd w:val="clear" w:color="auto" w:fill="auto"/>
            <w:tcMar>
              <w:left w:w="0" w:type="dxa"/>
            </w:tcMar>
          </w:tcPr>
          <w:p w14:paraId="438ADE78" w14:textId="120AC825" w:rsidR="00AC7ACA" w:rsidRPr="00DF2AD9" w:rsidRDefault="00AC7ACA" w:rsidP="00AC7ACA">
            <w:pPr>
              <w:rPr>
                <w:spacing w:val="-4"/>
                <w:lang w:val="en-GB"/>
              </w:rPr>
            </w:pPr>
            <w:r>
              <w:rPr>
                <w:bCs/>
                <w:spacing w:val="-4"/>
                <w:lang w:val="en-GB"/>
              </w:rPr>
              <w:t xml:space="preserve">Wage median attained </w:t>
            </w:r>
            <w:r w:rsidRPr="00DF2AD9">
              <w:rPr>
                <w:bCs/>
                <w:spacing w:val="-4"/>
                <w:lang w:val="en-GB"/>
              </w:rPr>
              <w:t>36</w:t>
            </w:r>
            <w:r>
              <w:rPr>
                <w:bCs/>
                <w:spacing w:val="-4"/>
                <w:lang w:val="en-GB"/>
              </w:rPr>
              <w:t>.</w:t>
            </w:r>
            <w:r w:rsidRPr="00DF2AD9">
              <w:rPr>
                <w:bCs/>
                <w:spacing w:val="-4"/>
                <w:lang w:val="en-GB"/>
              </w:rPr>
              <w:t>8</w:t>
            </w:r>
            <w:r>
              <w:rPr>
                <w:bCs/>
                <w:spacing w:val="-4"/>
                <w:lang w:val="en-GB"/>
              </w:rPr>
              <w:t xml:space="preserve"> CZK thousand for males</w:t>
            </w:r>
            <w:r w:rsidRPr="00DF2AD9">
              <w:rPr>
                <w:bCs/>
                <w:spacing w:val="-4"/>
                <w:lang w:val="en-GB"/>
              </w:rPr>
              <w:t>,</w:t>
            </w:r>
            <w:r>
              <w:rPr>
                <w:bCs/>
                <w:spacing w:val="-4"/>
                <w:lang w:val="en-GB"/>
              </w:rPr>
              <w:t xml:space="preserve"> </w:t>
            </w:r>
            <w:r w:rsidRPr="00DF2AD9">
              <w:rPr>
                <w:bCs/>
                <w:spacing w:val="-4"/>
                <w:lang w:val="en-GB"/>
              </w:rPr>
              <w:t>31</w:t>
            </w:r>
            <w:r>
              <w:rPr>
                <w:bCs/>
                <w:spacing w:val="-4"/>
                <w:lang w:val="en-GB"/>
              </w:rPr>
              <w:t>.</w:t>
            </w:r>
            <w:r w:rsidRPr="00DF2AD9">
              <w:rPr>
                <w:bCs/>
                <w:spacing w:val="-4"/>
                <w:lang w:val="en-GB"/>
              </w:rPr>
              <w:t>7</w:t>
            </w:r>
            <w:r>
              <w:rPr>
                <w:bCs/>
                <w:spacing w:val="-4"/>
                <w:lang w:val="en-GB"/>
              </w:rPr>
              <w:t xml:space="preserve"> CZK thousand for females in Q4</w:t>
            </w:r>
            <w:r w:rsidRPr="00DF2AD9">
              <w:rPr>
                <w:bCs/>
                <w:spacing w:val="-4"/>
                <w:lang w:val="en-GB"/>
              </w:rPr>
              <w:t>.</w:t>
            </w:r>
            <w:r>
              <w:rPr>
                <w:bCs/>
                <w:spacing w:val="-4"/>
                <w:lang w:val="en-GB"/>
              </w:rPr>
              <w:t xml:space="preserve"> </w:t>
            </w:r>
            <w:r w:rsidRPr="00DF2AD9">
              <w:rPr>
                <w:bCs/>
                <w:spacing w:val="-4"/>
                <w:lang w:val="en-GB"/>
              </w:rPr>
              <w:t xml:space="preserve"> </w:t>
            </w:r>
            <w:r>
              <w:rPr>
                <w:bCs/>
                <w:spacing w:val="-4"/>
                <w:lang w:val="en-GB"/>
              </w:rPr>
              <w:t xml:space="preserve">In contrast to the previous part of the last year it increased more for males year-on-year </w:t>
            </w:r>
            <w:r w:rsidRPr="00DF2AD9">
              <w:rPr>
                <w:bCs/>
                <w:spacing w:val="-4"/>
                <w:lang w:val="en-GB"/>
              </w:rPr>
              <w:t>(5</w:t>
            </w:r>
            <w:r>
              <w:rPr>
                <w:bCs/>
                <w:spacing w:val="-4"/>
                <w:lang w:val="en-GB"/>
              </w:rPr>
              <w:t>.</w:t>
            </w:r>
            <w:r w:rsidRPr="00DF2AD9">
              <w:rPr>
                <w:bCs/>
                <w:spacing w:val="-4"/>
                <w:lang w:val="en-GB"/>
              </w:rPr>
              <w:t>4%)</w:t>
            </w:r>
            <w:r>
              <w:rPr>
                <w:bCs/>
                <w:spacing w:val="-4"/>
                <w:lang w:val="en-GB"/>
              </w:rPr>
              <w:t xml:space="preserve"> </w:t>
            </w:r>
            <w:r>
              <w:rPr>
                <w:bCs/>
                <w:spacing w:val="-4"/>
                <w:lang w:val="en-GB"/>
              </w:rPr>
              <w:lastRenderedPageBreak/>
              <w:t xml:space="preserve">than females </w:t>
            </w:r>
            <w:r w:rsidRPr="00DF2AD9">
              <w:rPr>
                <w:bCs/>
                <w:spacing w:val="-4"/>
                <w:lang w:val="en-GB"/>
              </w:rPr>
              <w:t>(4</w:t>
            </w:r>
            <w:r>
              <w:rPr>
                <w:bCs/>
                <w:spacing w:val="-4"/>
                <w:lang w:val="en-GB"/>
              </w:rPr>
              <w:t>.</w:t>
            </w:r>
            <w:r w:rsidRPr="00DF2AD9">
              <w:rPr>
                <w:bCs/>
                <w:spacing w:val="-4"/>
                <w:lang w:val="en-GB"/>
              </w:rPr>
              <w:t>6%). M</w:t>
            </w:r>
            <w:r>
              <w:rPr>
                <w:bCs/>
                <w:spacing w:val="-4"/>
                <w:lang w:val="en-GB"/>
              </w:rPr>
              <w:t xml:space="preserve">oderate widening of the wage differentiation signal in the preceding part of the year thus presumably halted. </w:t>
            </w:r>
          </w:p>
        </w:tc>
      </w:tr>
      <w:tr w:rsidR="00AC7ACA" w:rsidRPr="00191C35" w14:paraId="3E51F1BF" w14:textId="77777777" w:rsidTr="008E039E">
        <w:trPr>
          <w:trHeight w:val="145"/>
        </w:trPr>
        <w:tc>
          <w:tcPr>
            <w:tcW w:w="1600" w:type="dxa"/>
            <w:shd w:val="clear" w:color="auto" w:fill="auto"/>
            <w:tcMar>
              <w:left w:w="0" w:type="dxa"/>
            </w:tcMar>
          </w:tcPr>
          <w:p w14:paraId="378152A5" w14:textId="77777777" w:rsidR="00AC7ACA" w:rsidRDefault="00AC7ACA" w:rsidP="00AC7ACA">
            <w:pPr>
              <w:pStyle w:val="Marginlie"/>
              <w:spacing w:after="120"/>
            </w:pPr>
          </w:p>
        </w:tc>
        <w:tc>
          <w:tcPr>
            <w:tcW w:w="189" w:type="dxa"/>
            <w:shd w:val="clear" w:color="auto" w:fill="auto"/>
            <w:tcMar>
              <w:left w:w="0" w:type="dxa"/>
            </w:tcMar>
          </w:tcPr>
          <w:p w14:paraId="774C5D41" w14:textId="77777777" w:rsidR="00AC7ACA" w:rsidRPr="00B43216" w:rsidRDefault="00AC7ACA" w:rsidP="00AC7ACA">
            <w:pPr>
              <w:pStyle w:val="Textpoznpodarou"/>
              <w:spacing w:after="120"/>
              <w:jc w:val="both"/>
              <w:rPr>
                <w:spacing w:val="-4"/>
              </w:rPr>
            </w:pPr>
          </w:p>
        </w:tc>
        <w:tc>
          <w:tcPr>
            <w:tcW w:w="7880" w:type="dxa"/>
            <w:shd w:val="clear" w:color="auto" w:fill="auto"/>
            <w:tcMar>
              <w:left w:w="0" w:type="dxa"/>
            </w:tcMar>
          </w:tcPr>
          <w:p w14:paraId="47A2743C" w14:textId="16BA931D" w:rsidR="00AC7ACA" w:rsidRPr="00716203" w:rsidRDefault="00AC7ACA" w:rsidP="00AC7ACA">
            <w:pPr>
              <w:spacing w:after="0"/>
              <w:rPr>
                <w:spacing w:val="-4"/>
              </w:rPr>
            </w:pPr>
            <w:r>
              <w:rPr>
                <w:b/>
                <w:spacing w:val="-4"/>
              </w:rPr>
              <w:t>Chart 16</w:t>
            </w:r>
            <w:r w:rsidRPr="003E01D3">
              <w:rPr>
                <w:b/>
                <w:spacing w:val="-4"/>
              </w:rPr>
              <w:t xml:space="preserve">  </w:t>
            </w:r>
            <w:r>
              <w:rPr>
                <w:b/>
                <w:spacing w:val="-2"/>
                <w:lang w:val="en-GB"/>
              </w:rPr>
              <w:t xml:space="preserve">Average nominal and real wage and wage median </w:t>
            </w:r>
            <w:r>
              <w:rPr>
                <w:spacing w:val="-2"/>
                <w:lang w:val="en-GB"/>
              </w:rPr>
              <w:t>(year-on-year, in %)</w:t>
            </w:r>
          </w:p>
        </w:tc>
      </w:tr>
      <w:tr w:rsidR="00AC7ACA" w:rsidRPr="00191C35" w14:paraId="20724711" w14:textId="77777777" w:rsidTr="00D73223">
        <w:tblPrEx>
          <w:tblCellMar>
            <w:left w:w="70" w:type="dxa"/>
            <w:right w:w="70" w:type="dxa"/>
          </w:tblCellMar>
        </w:tblPrEx>
        <w:trPr>
          <w:trHeight w:val="145"/>
        </w:trPr>
        <w:tc>
          <w:tcPr>
            <w:tcW w:w="1600" w:type="dxa"/>
            <w:shd w:val="clear" w:color="auto" w:fill="auto"/>
          </w:tcPr>
          <w:p w14:paraId="68B3FEF5" w14:textId="77777777" w:rsidR="00AC7ACA" w:rsidRDefault="00AC7ACA" w:rsidP="00AC7ACA">
            <w:pPr>
              <w:pStyle w:val="Marginlie"/>
              <w:spacing w:after="120"/>
            </w:pPr>
          </w:p>
        </w:tc>
        <w:tc>
          <w:tcPr>
            <w:tcW w:w="189" w:type="dxa"/>
            <w:shd w:val="clear" w:color="auto" w:fill="auto"/>
          </w:tcPr>
          <w:p w14:paraId="5C48DD49" w14:textId="77777777" w:rsidR="00AC7ACA" w:rsidRPr="00B43216" w:rsidRDefault="00AC7ACA" w:rsidP="00AC7ACA">
            <w:pPr>
              <w:pStyle w:val="Textpoznpodarou"/>
              <w:spacing w:after="120"/>
              <w:jc w:val="both"/>
              <w:rPr>
                <w:spacing w:val="-4"/>
              </w:rPr>
            </w:pPr>
          </w:p>
        </w:tc>
        <w:tc>
          <w:tcPr>
            <w:tcW w:w="7880" w:type="dxa"/>
            <w:shd w:val="clear" w:color="auto" w:fill="auto"/>
          </w:tcPr>
          <w:p w14:paraId="725E2304" w14:textId="6B463AE7" w:rsidR="00AC7ACA" w:rsidRPr="003E01D3" w:rsidRDefault="00D73223" w:rsidP="00AC7ACA">
            <w:pPr>
              <w:spacing w:after="0"/>
              <w:rPr>
                <w:b/>
                <w:spacing w:val="-4"/>
              </w:rPr>
            </w:pPr>
            <w:r>
              <w:rPr>
                <w:noProof/>
              </w:rPr>
              <w:drawing>
                <wp:inline distT="0" distB="0" distL="0" distR="0" wp14:anchorId="004EB2D2" wp14:editId="54447A5F">
                  <wp:extent cx="4794389" cy="3616712"/>
                  <wp:effectExtent l="0" t="0" r="6350" b="317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C7ACA" w:rsidRPr="00191C35" w14:paraId="77FC60D3" w14:textId="77777777" w:rsidTr="008E039E">
        <w:trPr>
          <w:trHeight w:val="145"/>
        </w:trPr>
        <w:tc>
          <w:tcPr>
            <w:tcW w:w="1600" w:type="dxa"/>
            <w:shd w:val="clear" w:color="auto" w:fill="auto"/>
            <w:tcMar>
              <w:left w:w="0" w:type="dxa"/>
            </w:tcMar>
          </w:tcPr>
          <w:p w14:paraId="5B1D1F55" w14:textId="77777777" w:rsidR="00AC7ACA" w:rsidRDefault="00AC7ACA" w:rsidP="00AC7ACA">
            <w:pPr>
              <w:pStyle w:val="Marginlie"/>
              <w:spacing w:after="120"/>
            </w:pPr>
          </w:p>
        </w:tc>
        <w:tc>
          <w:tcPr>
            <w:tcW w:w="189" w:type="dxa"/>
            <w:shd w:val="clear" w:color="auto" w:fill="auto"/>
            <w:tcMar>
              <w:left w:w="0" w:type="dxa"/>
            </w:tcMar>
          </w:tcPr>
          <w:p w14:paraId="0747D6A6" w14:textId="77777777" w:rsidR="00AC7ACA" w:rsidRPr="00B43216" w:rsidRDefault="00AC7ACA" w:rsidP="00AC7ACA">
            <w:pPr>
              <w:pStyle w:val="Textpoznpodarou"/>
              <w:spacing w:after="120"/>
              <w:jc w:val="both"/>
              <w:rPr>
                <w:spacing w:val="-4"/>
              </w:rPr>
            </w:pPr>
          </w:p>
        </w:tc>
        <w:tc>
          <w:tcPr>
            <w:tcW w:w="7880" w:type="dxa"/>
            <w:shd w:val="clear" w:color="auto" w:fill="auto"/>
            <w:tcMar>
              <w:left w:w="0" w:type="dxa"/>
            </w:tcMar>
          </w:tcPr>
          <w:p w14:paraId="3AE8D685" w14:textId="77777777" w:rsidR="00AC7ACA" w:rsidRDefault="00AC7ACA" w:rsidP="00AC7ACA">
            <w:pPr>
              <w:spacing w:after="0"/>
              <w:rPr>
                <w:rFonts w:cs="Arial"/>
                <w:spacing w:val="-3"/>
                <w:sz w:val="14"/>
                <w:szCs w:val="14"/>
                <w:lang w:val="en-GB"/>
              </w:rPr>
            </w:pPr>
            <w:r w:rsidRPr="00F6560A">
              <w:rPr>
                <w:bCs/>
                <w:sz w:val="14"/>
                <w:szCs w:val="14"/>
              </w:rPr>
              <w:t>*</w:t>
            </w:r>
            <w:r w:rsidRPr="002D7496">
              <w:rPr>
                <w:rFonts w:cs="Arial"/>
                <w:spacing w:val="-3"/>
                <w:sz w:val="14"/>
                <w:szCs w:val="14"/>
                <w:lang w:val="en-GB"/>
              </w:rPr>
              <w:t xml:space="preserve"> Includes branches</w:t>
            </w:r>
            <w:r>
              <w:rPr>
                <w:rFonts w:cs="Arial"/>
                <w:spacing w:val="-3"/>
                <w:sz w:val="14"/>
                <w:szCs w:val="14"/>
                <w:lang w:val="en-GB"/>
              </w:rPr>
              <w:t xml:space="preserve"> with significant state role</w:t>
            </w:r>
            <w:r w:rsidRPr="002D7496">
              <w:rPr>
                <w:rFonts w:cs="Arial"/>
                <w:spacing w:val="-3"/>
                <w:sz w:val="14"/>
                <w:szCs w:val="14"/>
                <w:lang w:val="en-GB"/>
              </w:rPr>
              <w:t>: Public administration, defence, social security; Education</w:t>
            </w:r>
            <w:r>
              <w:rPr>
                <w:rFonts w:cs="Arial"/>
                <w:spacing w:val="-3"/>
                <w:sz w:val="14"/>
                <w:szCs w:val="14"/>
                <w:lang w:val="en-GB"/>
              </w:rPr>
              <w:t>;</w:t>
            </w:r>
            <w:r w:rsidRPr="002D7496">
              <w:rPr>
                <w:rFonts w:cs="Arial"/>
                <w:spacing w:val="-3"/>
                <w:sz w:val="14"/>
                <w:szCs w:val="14"/>
                <w:lang w:val="en-GB"/>
              </w:rPr>
              <w:t xml:space="preserve"> Hu</w:t>
            </w:r>
            <w:r>
              <w:rPr>
                <w:rFonts w:cs="Arial"/>
                <w:spacing w:val="-3"/>
                <w:sz w:val="14"/>
                <w:szCs w:val="14"/>
                <w:lang w:val="en-GB"/>
              </w:rPr>
              <w:t>m</w:t>
            </w:r>
            <w:r w:rsidRPr="002D7496">
              <w:rPr>
                <w:rFonts w:cs="Arial"/>
                <w:spacing w:val="-3"/>
                <w:sz w:val="14"/>
                <w:szCs w:val="14"/>
                <w:lang w:val="en-GB"/>
              </w:rPr>
              <w:t xml:space="preserve">an health and social work activities; </w:t>
            </w:r>
            <w:r>
              <w:rPr>
                <w:rFonts w:cs="Arial"/>
                <w:spacing w:val="-3"/>
                <w:sz w:val="14"/>
                <w:szCs w:val="14"/>
                <w:lang w:val="en-GB"/>
              </w:rPr>
              <w:t xml:space="preserve">Cultural, entertainment and recreational activities. </w:t>
            </w:r>
          </w:p>
          <w:p w14:paraId="04D9402C" w14:textId="3D031928" w:rsidR="00AC7ACA" w:rsidRDefault="00AC7ACA" w:rsidP="00AC7ACA">
            <w:pPr>
              <w:spacing w:after="0"/>
              <w:jc w:val="right"/>
              <w:rPr>
                <w:rFonts w:cs="Arial"/>
                <w:sz w:val="14"/>
                <w:szCs w:val="14"/>
                <w:lang w:val="en-GB"/>
              </w:rPr>
            </w:pPr>
            <w:r w:rsidRPr="002D7496">
              <w:rPr>
                <w:spacing w:val="-3"/>
                <w:sz w:val="14"/>
                <w:szCs w:val="14"/>
                <w:lang w:val="en-GB"/>
              </w:rPr>
              <w:t>Source:</w:t>
            </w:r>
            <w:r w:rsidRPr="002D7496">
              <w:rPr>
                <w:rFonts w:cs="Arial"/>
                <w:sz w:val="14"/>
                <w:szCs w:val="14"/>
                <w:lang w:val="en-GB"/>
              </w:rPr>
              <w:t xml:space="preserve"> CZSO</w:t>
            </w:r>
          </w:p>
          <w:p w14:paraId="6A025ED1" w14:textId="425F312E" w:rsidR="00AC7ACA" w:rsidRPr="00F6560A" w:rsidRDefault="00AC7ACA" w:rsidP="00D73223">
            <w:pPr>
              <w:spacing w:after="0"/>
              <w:rPr>
                <w:noProof/>
                <w:sz w:val="14"/>
                <w:szCs w:val="14"/>
              </w:rPr>
            </w:pPr>
          </w:p>
        </w:tc>
      </w:tr>
    </w:tbl>
    <w:p w14:paraId="5BAB8EA3" w14:textId="2CCF54AC" w:rsidR="000663F0" w:rsidRPr="00E42054" w:rsidRDefault="000663F0" w:rsidP="00AB3BA7">
      <w:pPr>
        <w:pStyle w:val="Nadpis11"/>
        <w:rPr>
          <w:b w:val="0"/>
          <w:sz w:val="2"/>
          <w:szCs w:val="2"/>
        </w:rPr>
      </w:pPr>
      <w:bookmarkStart w:id="2" w:name="_GoBack"/>
      <w:bookmarkEnd w:id="2"/>
    </w:p>
    <w:sectPr w:rsidR="000663F0" w:rsidRPr="00E42054" w:rsidSect="00E87F02">
      <w:headerReference w:type="even" r:id="rId12"/>
      <w:headerReference w:type="default" r:id="rId13"/>
      <w:footerReference w:type="even" r:id="rId14"/>
      <w:footerReference w:type="default" r:id="rId15"/>
      <w:pgSz w:w="11906" w:h="16838" w:code="9"/>
      <w:pgMar w:top="1134" w:right="1134" w:bottom="1418" w:left="1134" w:header="680" w:footer="737"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B6CE" w14:textId="77777777" w:rsidR="00FF055A" w:rsidRDefault="00FF055A" w:rsidP="00E71A58">
      <w:r>
        <w:separator/>
      </w:r>
    </w:p>
  </w:endnote>
  <w:endnote w:type="continuationSeparator" w:id="0">
    <w:p w14:paraId="1E43C720" w14:textId="77777777" w:rsidR="00FF055A" w:rsidRDefault="00FF055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3636CCAC" w:rsidR="007C581C" w:rsidRPr="00932443" w:rsidRDefault="007C58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87F02">
      <w:rPr>
        <w:szCs w:val="16"/>
      </w:rPr>
      <w:t>36</w:t>
    </w:r>
    <w:r w:rsidRPr="00932443">
      <w:rPr>
        <w:szCs w:val="16"/>
      </w:rPr>
      <w:fldChar w:fldCharType="end"/>
    </w:r>
    <w:r w:rsidRPr="00932443">
      <w:rPr>
        <w:szCs w:val="16"/>
      </w:rPr>
      <w:tab/>
    </w:r>
    <w:r>
      <w:rPr>
        <w:szCs w:val="16"/>
      </w:rPr>
      <w:t>year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6EE51DEA" w:rsidR="007C581C" w:rsidRPr="00932443" w:rsidRDefault="00E81D18" w:rsidP="00FA6CB6">
    <w:pPr>
      <w:pStyle w:val="Zpat"/>
      <w:rPr>
        <w:szCs w:val="16"/>
      </w:rPr>
    </w:pPr>
    <w:r>
      <w:rPr>
        <w:lang w:eastAsia="cs-CZ"/>
      </w:rPr>
      <w:drawing>
        <wp:anchor distT="0" distB="0" distL="114300" distR="114300" simplePos="0" relativeHeight="251670016" behindDoc="0" locked="0" layoutInCell="1" allowOverlap="1" wp14:anchorId="06D08D78" wp14:editId="29900516">
          <wp:simplePos x="0" y="0"/>
          <wp:positionH relativeFrom="margin">
            <wp:align>left</wp:align>
          </wp:positionH>
          <wp:positionV relativeFrom="paragraph">
            <wp:posOffset>-74428</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1C" w:rsidRPr="00FA6CB6">
      <w:rPr>
        <w:szCs w:val="16"/>
      </w:rPr>
      <w:tab/>
    </w:r>
    <w:r w:rsidR="007C581C">
      <w:rPr>
        <w:szCs w:val="16"/>
      </w:rPr>
      <w:t>Year 2021</w:t>
    </w:r>
    <w:r w:rsidR="007C581C" w:rsidRPr="00932443">
      <w:rPr>
        <w:szCs w:val="16"/>
      </w:rPr>
      <w:tab/>
    </w:r>
    <w:r w:rsidR="007C581C" w:rsidRPr="00932443">
      <w:rPr>
        <w:rStyle w:val="ZpatChar"/>
        <w:szCs w:val="16"/>
      </w:rPr>
      <w:fldChar w:fldCharType="begin"/>
    </w:r>
    <w:r w:rsidR="007C581C" w:rsidRPr="00932443">
      <w:rPr>
        <w:rStyle w:val="ZpatChar"/>
        <w:szCs w:val="16"/>
      </w:rPr>
      <w:instrText>PAGE   \* MERGEFORMAT</w:instrText>
    </w:r>
    <w:r w:rsidR="007C581C" w:rsidRPr="00932443">
      <w:rPr>
        <w:rStyle w:val="ZpatChar"/>
        <w:szCs w:val="16"/>
      </w:rPr>
      <w:fldChar w:fldCharType="separate"/>
    </w:r>
    <w:r w:rsidR="00E87F02">
      <w:rPr>
        <w:rStyle w:val="ZpatChar"/>
        <w:szCs w:val="16"/>
      </w:rPr>
      <w:t>37</w:t>
    </w:r>
    <w:r w:rsidR="007C581C"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8815" w14:textId="77777777" w:rsidR="00FF055A" w:rsidRDefault="00FF055A" w:rsidP="00A21B4D">
      <w:pPr>
        <w:spacing w:after="0"/>
      </w:pPr>
      <w:r>
        <w:separator/>
      </w:r>
    </w:p>
  </w:footnote>
  <w:footnote w:type="continuationSeparator" w:id="0">
    <w:p w14:paraId="0AE09036" w14:textId="77777777" w:rsidR="00FF055A" w:rsidRDefault="00FF055A" w:rsidP="00E71A58">
      <w:r>
        <w:continuationSeparator/>
      </w:r>
    </w:p>
  </w:footnote>
  <w:footnote w:id="1">
    <w:p w14:paraId="112D0E6A" w14:textId="10001C70" w:rsidR="007C581C" w:rsidRPr="00B95CD4" w:rsidRDefault="007C581C" w:rsidP="00B01D0F">
      <w:pPr>
        <w:pStyle w:val="Textpoznpodarou"/>
        <w:jc w:val="both"/>
        <w:rPr>
          <w:color w:val="0D0D0D" w:themeColor="text1" w:themeTint="F2"/>
          <w:spacing w:val="-2"/>
          <w:sz w:val="16"/>
          <w:szCs w:val="16"/>
          <w:lang w:val="en-GB"/>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w:t>
      </w:r>
      <w:r w:rsidRPr="00B95CD4">
        <w:rPr>
          <w:color w:val="0D0D0D" w:themeColor="text1" w:themeTint="F2"/>
          <w:spacing w:val="-2"/>
          <w:sz w:val="16"/>
          <w:szCs w:val="16"/>
          <w:lang w:val="en-GB"/>
        </w:rPr>
        <w:t xml:space="preserve">Data regarding employment in this chapter stem from the national accounts conception. They are expressed in physical persons and adjusted for seasonal effects. </w:t>
      </w:r>
    </w:p>
  </w:footnote>
  <w:footnote w:id="2">
    <w:p w14:paraId="088EB162" w14:textId="511C1629" w:rsidR="007C581C" w:rsidRPr="00B95CD4" w:rsidRDefault="007C581C" w:rsidP="00B01D0F">
      <w:pPr>
        <w:pStyle w:val="Textpoznpodarou"/>
        <w:jc w:val="both"/>
        <w:rPr>
          <w:color w:val="0D0D0D" w:themeColor="text1" w:themeTint="F2"/>
          <w:sz w:val="16"/>
          <w:szCs w:val="16"/>
          <w:lang w:val="en-GB"/>
        </w:rPr>
      </w:pPr>
      <w:r w:rsidRPr="00B95CD4">
        <w:rPr>
          <w:rStyle w:val="Znakapoznpodarou"/>
          <w:color w:val="0D0D0D" w:themeColor="text1" w:themeTint="F2"/>
          <w:sz w:val="16"/>
          <w:szCs w:val="16"/>
          <w:lang w:val="en-GB"/>
        </w:rPr>
        <w:footnoteRef/>
      </w:r>
      <w:r w:rsidRPr="00B95CD4">
        <w:rPr>
          <w:color w:val="0D0D0D" w:themeColor="text1" w:themeTint="F2"/>
          <w:sz w:val="16"/>
          <w:szCs w:val="16"/>
          <w:lang w:val="en-GB"/>
        </w:rPr>
        <w:t xml:space="preserve"> </w:t>
      </w:r>
      <w:r>
        <w:rPr>
          <w:color w:val="0D0D0D" w:themeColor="text1" w:themeTint="F2"/>
          <w:sz w:val="16"/>
          <w:szCs w:val="16"/>
          <w:lang w:val="en-GB"/>
        </w:rPr>
        <w:t xml:space="preserve">The more detailed data from the Labour Force Sample Survey </w:t>
      </w:r>
      <w:r w:rsidRPr="00B95CD4">
        <w:rPr>
          <w:color w:val="0D0D0D" w:themeColor="text1" w:themeTint="F2"/>
          <w:sz w:val="16"/>
          <w:szCs w:val="16"/>
          <w:lang w:val="en-GB"/>
        </w:rPr>
        <w:t>(</w:t>
      </w:r>
      <w:r>
        <w:rPr>
          <w:color w:val="0D0D0D" w:themeColor="text1" w:themeTint="F2"/>
          <w:sz w:val="16"/>
          <w:szCs w:val="16"/>
          <w:lang w:val="en-GB"/>
        </w:rPr>
        <w:t>LFSS</w:t>
      </w:r>
      <w:r w:rsidRPr="00B95CD4">
        <w:rPr>
          <w:spacing w:val="-3"/>
          <w:sz w:val="16"/>
          <w:szCs w:val="16"/>
          <w:lang w:val="en-GB"/>
        </w:rPr>
        <w:t>)</w:t>
      </w:r>
      <w:r w:rsidRPr="00B95CD4">
        <w:rPr>
          <w:color w:val="0D0D0D" w:themeColor="text1" w:themeTint="F2"/>
          <w:sz w:val="16"/>
          <w:szCs w:val="16"/>
          <w:lang w:val="en-GB"/>
        </w:rPr>
        <w:t xml:space="preserve"> </w:t>
      </w:r>
      <w:r>
        <w:rPr>
          <w:color w:val="0D0D0D" w:themeColor="text1" w:themeTint="F2"/>
          <w:sz w:val="16"/>
          <w:szCs w:val="16"/>
          <w:lang w:val="en-GB"/>
        </w:rPr>
        <w:t>show, that next to the entrepreneurs without employees the number of entrepreneurs with employees and assisting family members also fell year-on-year in Q</w:t>
      </w:r>
      <w:r w:rsidRPr="00B95CD4">
        <w:rPr>
          <w:color w:val="0D0D0D" w:themeColor="text1" w:themeTint="F2"/>
          <w:sz w:val="16"/>
          <w:szCs w:val="16"/>
          <w:lang w:val="en-GB"/>
        </w:rPr>
        <w:t>4</w:t>
      </w:r>
      <w:r>
        <w:rPr>
          <w:color w:val="0D0D0D" w:themeColor="text1" w:themeTint="F2"/>
          <w:sz w:val="16"/>
          <w:szCs w:val="16"/>
          <w:lang w:val="en-GB"/>
        </w:rPr>
        <w:t xml:space="preserve"> </w:t>
      </w:r>
      <w:r w:rsidRPr="00B95CD4">
        <w:rPr>
          <w:color w:val="0D0D0D" w:themeColor="text1" w:themeTint="F2"/>
          <w:sz w:val="16"/>
          <w:szCs w:val="16"/>
          <w:lang w:val="en-GB"/>
        </w:rPr>
        <w:t>2021</w:t>
      </w:r>
      <w:r>
        <w:rPr>
          <w:color w:val="0D0D0D" w:themeColor="text1" w:themeTint="F2"/>
          <w:sz w:val="16"/>
          <w:szCs w:val="16"/>
          <w:lang w:val="en-GB"/>
        </w:rPr>
        <w:t xml:space="preserve"> </w:t>
      </w:r>
      <w:r w:rsidRPr="00B95CD4">
        <w:rPr>
          <w:color w:val="0D0D0D" w:themeColor="text1" w:themeTint="F2"/>
          <w:sz w:val="16"/>
          <w:szCs w:val="16"/>
          <w:lang w:val="en-GB"/>
        </w:rPr>
        <w:t>(</w:t>
      </w:r>
      <w:r>
        <w:rPr>
          <w:color w:val="0D0D0D" w:themeColor="text1" w:themeTint="F2"/>
          <w:sz w:val="16"/>
          <w:szCs w:val="16"/>
          <w:lang w:val="en-GB"/>
        </w:rPr>
        <w:t xml:space="preserve">by </w:t>
      </w:r>
      <w:r w:rsidRPr="00B95CD4">
        <w:rPr>
          <w:color w:val="0D0D0D" w:themeColor="text1" w:themeTint="F2"/>
          <w:sz w:val="16"/>
          <w:szCs w:val="16"/>
          <w:lang w:val="en-GB"/>
        </w:rPr>
        <w:t>11 t</w:t>
      </w:r>
      <w:r>
        <w:rPr>
          <w:color w:val="0D0D0D" w:themeColor="text1" w:themeTint="F2"/>
          <w:sz w:val="16"/>
          <w:szCs w:val="16"/>
          <w:lang w:val="en-GB"/>
        </w:rPr>
        <w:t>housand and 8 thousand respectively</w:t>
      </w:r>
      <w:r w:rsidRPr="00B95CD4">
        <w:rPr>
          <w:color w:val="0D0D0D" w:themeColor="text1" w:themeTint="F2"/>
          <w:sz w:val="16"/>
          <w:szCs w:val="16"/>
          <w:lang w:val="en-GB"/>
        </w:rPr>
        <w:t>)</w:t>
      </w:r>
      <w:r>
        <w:rPr>
          <w:color w:val="0D0D0D" w:themeColor="text1" w:themeTint="F2"/>
          <w:sz w:val="16"/>
          <w:szCs w:val="16"/>
          <w:lang w:val="en-GB"/>
        </w:rPr>
        <w:t xml:space="preserve">. Both these categories are within the national accounts conception placed into the employee group. </w:t>
      </w:r>
    </w:p>
  </w:footnote>
  <w:footnote w:id="3">
    <w:p w14:paraId="6537AAE8" w14:textId="3E722EFD" w:rsidR="007C581C" w:rsidRPr="00B95CD4" w:rsidRDefault="007C581C" w:rsidP="00B01D0F">
      <w:pPr>
        <w:pStyle w:val="Textpoznpodarou"/>
        <w:jc w:val="both"/>
        <w:rPr>
          <w:color w:val="0D0D0D" w:themeColor="text1" w:themeTint="F2"/>
          <w:sz w:val="16"/>
          <w:szCs w:val="16"/>
          <w:lang w:val="en-GB"/>
        </w:rPr>
      </w:pPr>
      <w:r w:rsidRPr="00B95CD4">
        <w:rPr>
          <w:rStyle w:val="Znakapoznpodarou"/>
          <w:color w:val="0D0D0D" w:themeColor="text1" w:themeTint="F2"/>
          <w:sz w:val="16"/>
          <w:szCs w:val="16"/>
          <w:lang w:val="en-GB"/>
        </w:rPr>
        <w:footnoteRef/>
      </w:r>
      <w:r w:rsidRPr="00B95CD4">
        <w:rPr>
          <w:color w:val="0D0D0D" w:themeColor="text1" w:themeTint="F2"/>
          <w:sz w:val="16"/>
          <w:szCs w:val="16"/>
          <w:lang w:val="en-GB"/>
        </w:rPr>
        <w:t xml:space="preserve"> </w:t>
      </w:r>
      <w:r>
        <w:rPr>
          <w:color w:val="0D0D0D" w:themeColor="text1" w:themeTint="F2"/>
          <w:sz w:val="16"/>
          <w:szCs w:val="16"/>
          <w:lang w:val="en-GB"/>
        </w:rPr>
        <w:t xml:space="preserve">Mild decrease of the number of self-employed manifested for example in the period of after crisis expansion of the domestic economy in years </w:t>
      </w:r>
      <w:r w:rsidRPr="00B95CD4">
        <w:rPr>
          <w:color w:val="0D0D0D" w:themeColor="text1" w:themeTint="F2"/>
          <w:sz w:val="16"/>
          <w:szCs w:val="16"/>
          <w:lang w:val="en-GB"/>
        </w:rPr>
        <w:t>2014 a</w:t>
      </w:r>
      <w:r>
        <w:rPr>
          <w:color w:val="0D0D0D" w:themeColor="text1" w:themeTint="F2"/>
          <w:sz w:val="16"/>
          <w:szCs w:val="16"/>
          <w:lang w:val="en-GB"/>
        </w:rPr>
        <w:t>nd</w:t>
      </w:r>
      <w:r w:rsidRPr="00B95CD4">
        <w:rPr>
          <w:color w:val="0D0D0D" w:themeColor="text1" w:themeTint="F2"/>
          <w:sz w:val="16"/>
          <w:szCs w:val="16"/>
          <w:lang w:val="en-GB"/>
        </w:rPr>
        <w:t> 2015.</w:t>
      </w:r>
    </w:p>
  </w:footnote>
  <w:footnote w:id="4">
    <w:p w14:paraId="23A469DD" w14:textId="14B1996B" w:rsidR="007C581C" w:rsidRPr="00B95CD4" w:rsidRDefault="007C581C" w:rsidP="00B01D0F">
      <w:pPr>
        <w:pStyle w:val="Textpoznpodarou"/>
        <w:jc w:val="both"/>
        <w:rPr>
          <w:color w:val="0D0D0D" w:themeColor="text1" w:themeTint="F2"/>
          <w:sz w:val="16"/>
          <w:szCs w:val="16"/>
          <w:lang w:val="en-GB"/>
        </w:rPr>
      </w:pPr>
      <w:r w:rsidRPr="00B95CD4">
        <w:rPr>
          <w:rStyle w:val="Znakapoznpodarou"/>
          <w:color w:val="0D0D0D" w:themeColor="text1" w:themeTint="F2"/>
          <w:sz w:val="16"/>
          <w:szCs w:val="16"/>
          <w:lang w:val="en-GB"/>
        </w:rPr>
        <w:footnoteRef/>
      </w:r>
      <w:r w:rsidRPr="00B95CD4">
        <w:rPr>
          <w:color w:val="0D0D0D" w:themeColor="text1" w:themeTint="F2"/>
          <w:sz w:val="16"/>
          <w:szCs w:val="16"/>
          <w:lang w:val="en-GB"/>
        </w:rPr>
        <w:t xml:space="preserve"> </w:t>
      </w:r>
      <w:r>
        <w:rPr>
          <w:color w:val="0D0D0D" w:themeColor="text1" w:themeTint="F2"/>
          <w:sz w:val="16"/>
          <w:szCs w:val="16"/>
          <w:lang w:val="en-GB"/>
        </w:rPr>
        <w:t>Branches with the predominance of the public services, containing apart from the above mentioned activities also p</w:t>
      </w:r>
      <w:r w:rsidRPr="00010816">
        <w:rPr>
          <w:color w:val="0D0D0D" w:themeColor="text1" w:themeTint="F2"/>
          <w:sz w:val="16"/>
          <w:szCs w:val="16"/>
          <w:lang w:val="en-GB"/>
        </w:rPr>
        <w:t>ublic administration, education, health and social work</w:t>
      </w:r>
      <w:r w:rsidRPr="00B95CD4">
        <w:rPr>
          <w:color w:val="0D0D0D" w:themeColor="text1" w:themeTint="F2"/>
          <w:sz w:val="16"/>
          <w:szCs w:val="16"/>
          <w:lang w:val="en-GB"/>
        </w:rPr>
        <w:t xml:space="preserve">, </w:t>
      </w:r>
      <w:r>
        <w:rPr>
          <w:color w:val="0D0D0D" w:themeColor="text1" w:themeTint="F2"/>
          <w:sz w:val="16"/>
          <w:szCs w:val="16"/>
          <w:lang w:val="en-GB"/>
        </w:rPr>
        <w:t xml:space="preserve">had a pro-growth effect on the total employment the most out of all branches also for the whole period of years </w:t>
      </w:r>
      <w:r w:rsidRPr="00B95CD4">
        <w:rPr>
          <w:color w:val="0D0D0D" w:themeColor="text1" w:themeTint="F2"/>
          <w:sz w:val="16"/>
          <w:szCs w:val="16"/>
          <w:lang w:val="en-GB"/>
        </w:rPr>
        <w:t>2020 a</w:t>
      </w:r>
      <w:r>
        <w:rPr>
          <w:color w:val="0D0D0D" w:themeColor="text1" w:themeTint="F2"/>
          <w:sz w:val="16"/>
          <w:szCs w:val="16"/>
          <w:lang w:val="en-GB"/>
        </w:rPr>
        <w:t>nd</w:t>
      </w:r>
      <w:r w:rsidRPr="00B95CD4">
        <w:rPr>
          <w:color w:val="0D0D0D" w:themeColor="text1" w:themeTint="F2"/>
          <w:sz w:val="16"/>
          <w:szCs w:val="16"/>
          <w:lang w:val="en-GB"/>
        </w:rPr>
        <w:t> 2021.</w:t>
      </w:r>
    </w:p>
  </w:footnote>
  <w:footnote w:id="5">
    <w:p w14:paraId="757E061E" w14:textId="3288C8CC" w:rsidR="007C581C" w:rsidRPr="00B95CD4" w:rsidRDefault="007C581C" w:rsidP="00B01D0F">
      <w:pPr>
        <w:pStyle w:val="Textpoznpodarou"/>
        <w:jc w:val="both"/>
        <w:rPr>
          <w:color w:val="0D0D0D" w:themeColor="text1" w:themeTint="F2"/>
          <w:sz w:val="16"/>
          <w:szCs w:val="16"/>
          <w:lang w:val="en-GB"/>
        </w:rPr>
      </w:pPr>
      <w:r w:rsidRPr="00B95CD4">
        <w:rPr>
          <w:rStyle w:val="Znakapoznpodarou"/>
          <w:color w:val="0D0D0D" w:themeColor="text1" w:themeTint="F2"/>
          <w:sz w:val="16"/>
          <w:szCs w:val="16"/>
          <w:lang w:val="en-GB"/>
        </w:rPr>
        <w:footnoteRef/>
      </w:r>
      <w:r w:rsidRPr="00B95CD4">
        <w:rPr>
          <w:color w:val="0D0D0D" w:themeColor="text1" w:themeTint="F2"/>
          <w:sz w:val="16"/>
          <w:szCs w:val="16"/>
          <w:lang w:val="en-GB"/>
        </w:rPr>
        <w:t xml:space="preserve"> </w:t>
      </w:r>
      <w:r>
        <w:rPr>
          <w:color w:val="0D0D0D" w:themeColor="text1" w:themeTint="F2"/>
          <w:sz w:val="16"/>
          <w:szCs w:val="16"/>
          <w:lang w:val="en-GB"/>
        </w:rPr>
        <w:t xml:space="preserve">It however remained by more than 5% (resp. 67 thousand persons) behind its pre-pandemic peak. </w:t>
      </w:r>
    </w:p>
  </w:footnote>
  <w:footnote w:id="6">
    <w:p w14:paraId="7EBDADFF" w14:textId="17C230E0" w:rsidR="007C581C" w:rsidRPr="00B95CD4" w:rsidRDefault="007C581C" w:rsidP="00B01D0F">
      <w:pPr>
        <w:pStyle w:val="Textpoznpodarou"/>
        <w:jc w:val="both"/>
        <w:rPr>
          <w:color w:val="0D0D0D" w:themeColor="text1" w:themeTint="F2"/>
          <w:sz w:val="16"/>
          <w:szCs w:val="16"/>
          <w:lang w:val="en-GB"/>
        </w:rPr>
      </w:pPr>
      <w:r w:rsidRPr="00B95CD4">
        <w:rPr>
          <w:rStyle w:val="Znakapoznpodarou"/>
          <w:color w:val="0D0D0D" w:themeColor="text1" w:themeTint="F2"/>
          <w:sz w:val="16"/>
          <w:szCs w:val="16"/>
          <w:lang w:val="en-GB"/>
        </w:rPr>
        <w:footnoteRef/>
      </w:r>
      <w:r w:rsidRPr="00B95CD4">
        <w:rPr>
          <w:color w:val="0D0D0D" w:themeColor="text1" w:themeTint="F2"/>
          <w:sz w:val="16"/>
          <w:szCs w:val="16"/>
          <w:lang w:val="en-GB"/>
        </w:rPr>
        <w:t xml:space="preserve"> </w:t>
      </w:r>
      <w:r>
        <w:rPr>
          <w:color w:val="0D0D0D" w:themeColor="text1" w:themeTint="F2"/>
          <w:sz w:val="16"/>
          <w:szCs w:val="16"/>
          <w:lang w:val="en-GB"/>
        </w:rPr>
        <w:t xml:space="preserve">More than 35% of all workers in these branches consisted of self-employed persons in year </w:t>
      </w:r>
      <w:r w:rsidRPr="00B95CD4">
        <w:rPr>
          <w:color w:val="0D0D0D" w:themeColor="text1" w:themeTint="F2"/>
          <w:sz w:val="16"/>
          <w:szCs w:val="16"/>
          <w:lang w:val="en-GB"/>
        </w:rPr>
        <w:t xml:space="preserve">2021. </w:t>
      </w:r>
      <w:r>
        <w:rPr>
          <w:color w:val="0D0D0D" w:themeColor="text1" w:themeTint="F2"/>
          <w:sz w:val="16"/>
          <w:szCs w:val="16"/>
          <w:lang w:val="en-GB"/>
        </w:rPr>
        <w:t xml:space="preserve">They also had more than doubled representation compared to the whole economy in construction </w:t>
      </w:r>
      <w:r w:rsidRPr="00B95CD4">
        <w:rPr>
          <w:color w:val="0D0D0D" w:themeColor="text1" w:themeTint="F2"/>
          <w:sz w:val="16"/>
          <w:szCs w:val="16"/>
          <w:lang w:val="en-GB"/>
        </w:rPr>
        <w:t xml:space="preserve">(33%), </w:t>
      </w:r>
      <w:r>
        <w:rPr>
          <w:color w:val="0D0D0D" w:themeColor="text1" w:themeTint="F2"/>
          <w:sz w:val="16"/>
          <w:szCs w:val="16"/>
          <w:lang w:val="en-GB"/>
        </w:rPr>
        <w:t xml:space="preserve">real estate activities </w:t>
      </w:r>
      <w:r w:rsidRPr="00B95CD4">
        <w:rPr>
          <w:color w:val="0D0D0D" w:themeColor="text1" w:themeTint="F2"/>
          <w:sz w:val="16"/>
          <w:szCs w:val="16"/>
          <w:lang w:val="en-GB"/>
        </w:rPr>
        <w:t>(31%) a</w:t>
      </w:r>
      <w:r>
        <w:rPr>
          <w:color w:val="0D0D0D" w:themeColor="text1" w:themeTint="F2"/>
          <w:sz w:val="16"/>
          <w:szCs w:val="16"/>
          <w:lang w:val="en-GB"/>
        </w:rPr>
        <w:t xml:space="preserve">nd agriculture and forestry </w:t>
      </w:r>
      <w:r w:rsidRPr="00B95CD4">
        <w:rPr>
          <w:color w:val="0D0D0D" w:themeColor="text1" w:themeTint="F2"/>
          <w:sz w:val="16"/>
          <w:szCs w:val="16"/>
          <w:lang w:val="en-GB"/>
        </w:rPr>
        <w:t>(29%).</w:t>
      </w:r>
    </w:p>
  </w:footnote>
  <w:footnote w:id="7">
    <w:p w14:paraId="4DC90EA4" w14:textId="47DC5D7B" w:rsidR="007C581C" w:rsidRPr="0008695E" w:rsidRDefault="007C581C" w:rsidP="00B01D0F">
      <w:pPr>
        <w:pStyle w:val="Textpoznpodarou"/>
        <w:jc w:val="both"/>
        <w:rPr>
          <w:spacing w:val="-4"/>
          <w:sz w:val="16"/>
          <w:szCs w:val="16"/>
          <w:lang w:val="en-GB"/>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w:t>
      </w:r>
      <w:r w:rsidRPr="0008695E">
        <w:rPr>
          <w:color w:val="0D0D0D" w:themeColor="text1" w:themeTint="F2"/>
          <w:sz w:val="16"/>
          <w:szCs w:val="16"/>
          <w:lang w:val="en-GB"/>
        </w:rPr>
        <w:t>Number of all foreigners working in the CR in the employee position strongly grew for a major part of the last year.</w:t>
      </w:r>
      <w:r>
        <w:rPr>
          <w:color w:val="0D0D0D" w:themeColor="text1" w:themeTint="F2"/>
          <w:sz w:val="16"/>
          <w:szCs w:val="16"/>
          <w:lang w:val="en-GB"/>
        </w:rPr>
        <w:t xml:space="preserve"> In September the labour offices registered record </w:t>
      </w:r>
      <w:r w:rsidRPr="0008695E">
        <w:rPr>
          <w:color w:val="0D0D0D" w:themeColor="text1" w:themeTint="F2"/>
          <w:spacing w:val="-4"/>
          <w:sz w:val="16"/>
          <w:szCs w:val="16"/>
          <w:lang w:val="en-GB"/>
        </w:rPr>
        <w:t>720 t</w:t>
      </w:r>
      <w:r>
        <w:rPr>
          <w:color w:val="0D0D0D" w:themeColor="text1" w:themeTint="F2"/>
          <w:spacing w:val="-4"/>
          <w:sz w:val="16"/>
          <w:szCs w:val="16"/>
          <w:lang w:val="en-GB"/>
        </w:rPr>
        <w:t>housand of them</w:t>
      </w:r>
      <w:r w:rsidRPr="0008695E">
        <w:rPr>
          <w:color w:val="0D0D0D" w:themeColor="text1" w:themeTint="F2"/>
          <w:spacing w:val="-4"/>
          <w:sz w:val="16"/>
          <w:szCs w:val="16"/>
          <w:lang w:val="en-GB"/>
        </w:rPr>
        <w:t>.</w:t>
      </w:r>
      <w:r>
        <w:rPr>
          <w:color w:val="0D0D0D" w:themeColor="text1" w:themeTint="F2"/>
          <w:spacing w:val="-4"/>
          <w:sz w:val="16"/>
          <w:szCs w:val="16"/>
          <w:lang w:val="en-GB"/>
        </w:rPr>
        <w:t xml:space="preserve"> Their number mildly fell just at the end of the year </w:t>
      </w:r>
      <w:r w:rsidRPr="0008695E">
        <w:rPr>
          <w:color w:val="0D0D0D" w:themeColor="text1" w:themeTint="F2"/>
          <w:spacing w:val="-4"/>
          <w:sz w:val="16"/>
          <w:szCs w:val="16"/>
          <w:lang w:val="en-GB"/>
        </w:rPr>
        <w:t>(</w:t>
      </w:r>
      <w:r>
        <w:rPr>
          <w:color w:val="0D0D0D" w:themeColor="text1" w:themeTint="F2"/>
          <w:spacing w:val="-4"/>
          <w:sz w:val="16"/>
          <w:szCs w:val="16"/>
          <w:lang w:val="en-GB"/>
        </w:rPr>
        <w:t xml:space="preserve">to </w:t>
      </w:r>
      <w:r w:rsidRPr="0008695E">
        <w:rPr>
          <w:color w:val="0D0D0D" w:themeColor="text1" w:themeTint="F2"/>
          <w:spacing w:val="-4"/>
          <w:sz w:val="16"/>
          <w:szCs w:val="16"/>
          <w:lang w:val="en-GB"/>
        </w:rPr>
        <w:t>702 t</w:t>
      </w:r>
      <w:r>
        <w:rPr>
          <w:color w:val="0D0D0D" w:themeColor="text1" w:themeTint="F2"/>
          <w:spacing w:val="-4"/>
          <w:sz w:val="16"/>
          <w:szCs w:val="16"/>
          <w:lang w:val="en-GB"/>
        </w:rPr>
        <w:t>housand</w:t>
      </w:r>
      <w:r w:rsidRPr="0008695E">
        <w:rPr>
          <w:color w:val="0D0D0D" w:themeColor="text1" w:themeTint="F2"/>
          <w:spacing w:val="-4"/>
          <w:sz w:val="16"/>
          <w:szCs w:val="16"/>
          <w:lang w:val="en-GB"/>
        </w:rPr>
        <w:t xml:space="preserve">), </w:t>
      </w:r>
      <w:r>
        <w:rPr>
          <w:color w:val="0D0D0D" w:themeColor="text1" w:themeTint="F2"/>
          <w:spacing w:val="-4"/>
          <w:sz w:val="16"/>
          <w:szCs w:val="16"/>
          <w:lang w:val="en-GB"/>
        </w:rPr>
        <w:t xml:space="preserve">still it was by nearly one tenth higher year-on-year. This increase was from nearly two thirds the result of the strong inflow of workers from Ukraine, whose number </w:t>
      </w:r>
      <w:r w:rsidRPr="0008695E">
        <w:rPr>
          <w:color w:val="0D0D0D" w:themeColor="text1" w:themeTint="F2"/>
          <w:spacing w:val="-4"/>
          <w:sz w:val="16"/>
          <w:szCs w:val="16"/>
          <w:lang w:val="en-GB"/>
        </w:rPr>
        <w:t>(195 t</w:t>
      </w:r>
      <w:r>
        <w:rPr>
          <w:color w:val="0D0D0D" w:themeColor="text1" w:themeTint="F2"/>
          <w:spacing w:val="-4"/>
          <w:sz w:val="16"/>
          <w:szCs w:val="16"/>
          <w:lang w:val="en-GB"/>
        </w:rPr>
        <w:t>housand</w:t>
      </w:r>
      <w:r w:rsidRPr="0008695E">
        <w:rPr>
          <w:color w:val="0D0D0D" w:themeColor="text1" w:themeTint="F2"/>
          <w:spacing w:val="-4"/>
          <w:sz w:val="16"/>
          <w:szCs w:val="16"/>
          <w:lang w:val="en-GB"/>
        </w:rPr>
        <w:t xml:space="preserve">) </w:t>
      </w:r>
      <w:r>
        <w:rPr>
          <w:color w:val="0D0D0D" w:themeColor="text1" w:themeTint="F2"/>
          <w:spacing w:val="-4"/>
          <w:sz w:val="16"/>
          <w:szCs w:val="16"/>
          <w:lang w:val="en-GB"/>
        </w:rPr>
        <w:t xml:space="preserve">approached the long-term dominant group of workers from Slovakia </w:t>
      </w:r>
      <w:r w:rsidRPr="0008695E">
        <w:rPr>
          <w:color w:val="0D0D0D" w:themeColor="text1" w:themeTint="F2"/>
          <w:spacing w:val="-4"/>
          <w:sz w:val="16"/>
          <w:szCs w:val="16"/>
          <w:lang w:val="en-GB"/>
        </w:rPr>
        <w:t>(209 t</w:t>
      </w:r>
      <w:r>
        <w:rPr>
          <w:color w:val="0D0D0D" w:themeColor="text1" w:themeTint="F2"/>
          <w:spacing w:val="-4"/>
          <w:sz w:val="16"/>
          <w:szCs w:val="16"/>
          <w:lang w:val="en-GB"/>
        </w:rPr>
        <w:t>housand</w:t>
      </w:r>
      <w:r w:rsidRPr="0008695E">
        <w:rPr>
          <w:color w:val="0D0D0D" w:themeColor="text1" w:themeTint="F2"/>
          <w:spacing w:val="-4"/>
          <w:sz w:val="16"/>
          <w:szCs w:val="16"/>
          <w:lang w:val="en-GB"/>
        </w:rPr>
        <w:t>).</w:t>
      </w:r>
      <w:r>
        <w:rPr>
          <w:color w:val="0D0D0D" w:themeColor="text1" w:themeTint="F2"/>
          <w:spacing w:val="-4"/>
          <w:sz w:val="16"/>
          <w:szCs w:val="16"/>
          <w:lang w:val="en-GB"/>
        </w:rPr>
        <w:t xml:space="preserve"> Nearly one half of all registered employees from Ukraine did not need a work permit in the CR, the most often due to granted permanent residency. 3</w:t>
      </w:r>
      <w:r w:rsidRPr="0008695E">
        <w:rPr>
          <w:color w:val="0D0D0D" w:themeColor="text1" w:themeTint="F2"/>
          <w:spacing w:val="-4"/>
          <w:sz w:val="16"/>
          <w:szCs w:val="16"/>
          <w:lang w:val="en-GB"/>
        </w:rPr>
        <w:t>7%</w:t>
      </w:r>
      <w:r>
        <w:rPr>
          <w:color w:val="0D0D0D" w:themeColor="text1" w:themeTint="F2"/>
          <w:spacing w:val="-4"/>
          <w:sz w:val="16"/>
          <w:szCs w:val="16"/>
          <w:lang w:val="en-GB"/>
        </w:rPr>
        <w:t xml:space="preserve"> of Ukrainians had at their disposal the residency permit, thanks to the employee cards further 70 thousand were working here. 58% of all employees from Ukraine were males, slightly less than for all foreign employees in the CR </w:t>
      </w:r>
      <w:r w:rsidRPr="0008695E">
        <w:rPr>
          <w:color w:val="0D0D0D" w:themeColor="text1" w:themeTint="F2"/>
          <w:spacing w:val="-4"/>
          <w:sz w:val="16"/>
          <w:szCs w:val="16"/>
          <w:lang w:val="en-GB"/>
        </w:rPr>
        <w:t>(62%).</w:t>
      </w:r>
    </w:p>
  </w:footnote>
  <w:footnote w:id="8">
    <w:p w14:paraId="3299F803" w14:textId="49031BB6" w:rsidR="007C581C" w:rsidRPr="0008695E" w:rsidRDefault="007C581C" w:rsidP="00B01D0F">
      <w:pPr>
        <w:pStyle w:val="Textpoznpodarou"/>
        <w:jc w:val="both"/>
        <w:rPr>
          <w:sz w:val="16"/>
          <w:szCs w:val="16"/>
          <w:lang w:val="en-GB"/>
        </w:rPr>
      </w:pPr>
      <w:r w:rsidRPr="0008695E">
        <w:rPr>
          <w:rStyle w:val="Znakapoznpodarou"/>
          <w:sz w:val="16"/>
          <w:szCs w:val="16"/>
          <w:lang w:val="en-GB"/>
        </w:rPr>
        <w:footnoteRef/>
      </w:r>
      <w:r w:rsidRPr="0008695E">
        <w:rPr>
          <w:sz w:val="16"/>
          <w:szCs w:val="16"/>
          <w:lang w:val="en-GB"/>
        </w:rPr>
        <w:t xml:space="preserve"> </w:t>
      </w:r>
      <w:r w:rsidR="00417849">
        <w:rPr>
          <w:sz w:val="16"/>
          <w:szCs w:val="16"/>
          <w:lang w:val="en-GB"/>
        </w:rPr>
        <w:t>E</w:t>
      </w:r>
      <w:r>
        <w:rPr>
          <w:sz w:val="16"/>
          <w:szCs w:val="16"/>
          <w:lang w:val="en-GB"/>
        </w:rPr>
        <w:t xml:space="preserve">mployment rate for males in the productive age was in the CR the third highest among the Union members </w:t>
      </w:r>
      <w:r w:rsidRPr="0008695E">
        <w:rPr>
          <w:spacing w:val="2"/>
          <w:sz w:val="16"/>
          <w:szCs w:val="16"/>
          <w:lang w:val="en-GB"/>
        </w:rPr>
        <w:t xml:space="preserve">– </w:t>
      </w:r>
      <w:r>
        <w:rPr>
          <w:spacing w:val="2"/>
          <w:sz w:val="16"/>
          <w:szCs w:val="16"/>
          <w:lang w:val="en-GB"/>
        </w:rPr>
        <w:t xml:space="preserve">after Netherlands </w:t>
      </w:r>
      <w:r w:rsidRPr="0008695E">
        <w:rPr>
          <w:spacing w:val="2"/>
          <w:sz w:val="16"/>
          <w:szCs w:val="16"/>
          <w:lang w:val="en-GB"/>
        </w:rPr>
        <w:t>(84</w:t>
      </w:r>
      <w:r>
        <w:rPr>
          <w:spacing w:val="2"/>
          <w:sz w:val="16"/>
          <w:szCs w:val="16"/>
          <w:lang w:val="en-GB"/>
        </w:rPr>
        <w:t>.</w:t>
      </w:r>
      <w:r w:rsidRPr="0008695E">
        <w:rPr>
          <w:spacing w:val="2"/>
          <w:sz w:val="16"/>
          <w:szCs w:val="16"/>
          <w:lang w:val="en-GB"/>
        </w:rPr>
        <w:t>8%) a</w:t>
      </w:r>
      <w:r>
        <w:rPr>
          <w:spacing w:val="2"/>
          <w:sz w:val="16"/>
          <w:szCs w:val="16"/>
          <w:lang w:val="en-GB"/>
        </w:rPr>
        <w:t xml:space="preserve">nd Malta </w:t>
      </w:r>
      <w:r w:rsidRPr="0008695E">
        <w:rPr>
          <w:spacing w:val="2"/>
          <w:sz w:val="16"/>
          <w:szCs w:val="16"/>
          <w:lang w:val="en-GB"/>
        </w:rPr>
        <w:t xml:space="preserve">(83%). </w:t>
      </w:r>
      <w:r>
        <w:rPr>
          <w:spacing w:val="2"/>
          <w:sz w:val="16"/>
          <w:szCs w:val="16"/>
          <w:lang w:val="en-GB"/>
        </w:rPr>
        <w:t xml:space="preserve">For females thirteen countries reached higher rate </w:t>
      </w:r>
      <w:r w:rsidRPr="0008695E">
        <w:rPr>
          <w:spacing w:val="2"/>
          <w:sz w:val="16"/>
          <w:szCs w:val="16"/>
          <w:lang w:val="en-GB"/>
        </w:rPr>
        <w:t xml:space="preserve">– </w:t>
      </w:r>
      <w:r>
        <w:rPr>
          <w:spacing w:val="2"/>
          <w:sz w:val="16"/>
          <w:szCs w:val="16"/>
          <w:lang w:val="en-GB"/>
        </w:rPr>
        <w:t xml:space="preserve">next to the Netherlands </w:t>
      </w:r>
      <w:r w:rsidRPr="0008695E">
        <w:rPr>
          <w:spacing w:val="2"/>
          <w:sz w:val="16"/>
          <w:szCs w:val="16"/>
          <w:lang w:val="en-GB"/>
        </w:rPr>
        <w:t>(78</w:t>
      </w:r>
      <w:r>
        <w:rPr>
          <w:spacing w:val="2"/>
          <w:sz w:val="16"/>
          <w:szCs w:val="16"/>
          <w:lang w:val="en-GB"/>
        </w:rPr>
        <w:t>.</w:t>
      </w:r>
      <w:r w:rsidRPr="0008695E">
        <w:rPr>
          <w:spacing w:val="2"/>
          <w:sz w:val="16"/>
          <w:szCs w:val="16"/>
          <w:lang w:val="en-GB"/>
        </w:rPr>
        <w:t>3%)</w:t>
      </w:r>
      <w:r>
        <w:rPr>
          <w:spacing w:val="2"/>
          <w:sz w:val="16"/>
          <w:szCs w:val="16"/>
          <w:lang w:val="en-GB"/>
        </w:rPr>
        <w:t xml:space="preserve"> also for example all Baltic states, Hungary or Slovenia. The majority of states of the South Europe traditionally presented low employment – mainly Italy </w:t>
      </w:r>
      <w:r w:rsidRPr="0008695E">
        <w:rPr>
          <w:spacing w:val="2"/>
          <w:sz w:val="16"/>
          <w:szCs w:val="16"/>
          <w:lang w:val="en-GB"/>
        </w:rPr>
        <w:t>(</w:t>
      </w:r>
      <w:r>
        <w:rPr>
          <w:spacing w:val="2"/>
          <w:sz w:val="16"/>
          <w:szCs w:val="16"/>
          <w:lang w:val="en-GB"/>
        </w:rPr>
        <w:t xml:space="preserve">males </w:t>
      </w:r>
      <w:r w:rsidRPr="0008695E">
        <w:rPr>
          <w:spacing w:val="2"/>
          <w:sz w:val="16"/>
          <w:szCs w:val="16"/>
          <w:lang w:val="en-GB"/>
        </w:rPr>
        <w:t>68</w:t>
      </w:r>
      <w:r>
        <w:rPr>
          <w:spacing w:val="2"/>
          <w:sz w:val="16"/>
          <w:szCs w:val="16"/>
          <w:lang w:val="en-GB"/>
        </w:rPr>
        <w:t>.</w:t>
      </w:r>
      <w:r w:rsidRPr="0008695E">
        <w:rPr>
          <w:spacing w:val="2"/>
          <w:sz w:val="16"/>
          <w:szCs w:val="16"/>
          <w:lang w:val="en-GB"/>
        </w:rPr>
        <w:t xml:space="preserve">5%, </w:t>
      </w:r>
      <w:r>
        <w:rPr>
          <w:spacing w:val="2"/>
          <w:sz w:val="16"/>
          <w:szCs w:val="16"/>
          <w:lang w:val="en-GB"/>
        </w:rPr>
        <w:t xml:space="preserve">females </w:t>
      </w:r>
      <w:r w:rsidRPr="0008695E">
        <w:rPr>
          <w:spacing w:val="2"/>
          <w:sz w:val="16"/>
          <w:szCs w:val="16"/>
          <w:lang w:val="en-GB"/>
        </w:rPr>
        <w:t>49</w:t>
      </w:r>
      <w:r>
        <w:rPr>
          <w:spacing w:val="2"/>
          <w:sz w:val="16"/>
          <w:szCs w:val="16"/>
          <w:lang w:val="en-GB"/>
        </w:rPr>
        <w:t>.</w:t>
      </w:r>
      <w:r w:rsidRPr="0008695E">
        <w:rPr>
          <w:spacing w:val="2"/>
          <w:sz w:val="16"/>
          <w:szCs w:val="16"/>
          <w:lang w:val="en-GB"/>
        </w:rPr>
        <w:t>9%).</w:t>
      </w:r>
      <w:r>
        <w:rPr>
          <w:spacing w:val="2"/>
          <w:sz w:val="16"/>
          <w:szCs w:val="16"/>
          <w:lang w:val="en-GB"/>
        </w:rPr>
        <w:t xml:space="preserve"> The total employment rate of persons aged </w:t>
      </w:r>
      <w:r w:rsidRPr="0008695E">
        <w:rPr>
          <w:spacing w:val="2"/>
          <w:sz w:val="16"/>
          <w:szCs w:val="16"/>
          <w:lang w:val="en-GB"/>
        </w:rPr>
        <w:t>55 </w:t>
      </w:r>
      <w:r>
        <w:rPr>
          <w:spacing w:val="2"/>
          <w:sz w:val="16"/>
          <w:szCs w:val="16"/>
          <w:lang w:val="en-GB"/>
        </w:rPr>
        <w:t xml:space="preserve">till </w:t>
      </w:r>
      <w:r w:rsidRPr="0008695E">
        <w:rPr>
          <w:spacing w:val="2"/>
          <w:sz w:val="16"/>
          <w:szCs w:val="16"/>
          <w:lang w:val="en-GB"/>
        </w:rPr>
        <w:t>64 </w:t>
      </w:r>
      <w:r>
        <w:rPr>
          <w:spacing w:val="2"/>
          <w:sz w:val="16"/>
          <w:szCs w:val="16"/>
          <w:lang w:val="en-GB"/>
        </w:rPr>
        <w:t xml:space="preserve">years in the CR </w:t>
      </w:r>
      <w:r w:rsidRPr="0008695E">
        <w:rPr>
          <w:spacing w:val="2"/>
          <w:sz w:val="16"/>
          <w:szCs w:val="16"/>
          <w:lang w:val="en-GB"/>
        </w:rPr>
        <w:t>(70</w:t>
      </w:r>
      <w:r>
        <w:rPr>
          <w:spacing w:val="2"/>
          <w:sz w:val="16"/>
          <w:szCs w:val="16"/>
          <w:lang w:val="en-GB"/>
        </w:rPr>
        <w:t>.</w:t>
      </w:r>
      <w:r w:rsidRPr="0008695E">
        <w:rPr>
          <w:spacing w:val="2"/>
          <w:sz w:val="16"/>
          <w:szCs w:val="16"/>
          <w:lang w:val="en-GB"/>
        </w:rPr>
        <w:t>8%)</w:t>
      </w:r>
      <w:r>
        <w:rPr>
          <w:spacing w:val="2"/>
          <w:sz w:val="16"/>
          <w:szCs w:val="16"/>
          <w:lang w:val="en-GB"/>
        </w:rPr>
        <w:t xml:space="preserve"> was within the EU states the sixth highest, it was placed above the level of the Union also for persons aged </w:t>
      </w:r>
      <w:r w:rsidRPr="0008695E">
        <w:rPr>
          <w:spacing w:val="2"/>
          <w:sz w:val="16"/>
          <w:szCs w:val="16"/>
          <w:lang w:val="en-GB"/>
        </w:rPr>
        <w:t>65</w:t>
      </w:r>
      <w:r>
        <w:rPr>
          <w:spacing w:val="2"/>
          <w:sz w:val="16"/>
          <w:szCs w:val="16"/>
          <w:lang w:val="en-GB"/>
        </w:rPr>
        <w:t xml:space="preserve"> till </w:t>
      </w:r>
      <w:r w:rsidRPr="0008695E">
        <w:rPr>
          <w:spacing w:val="2"/>
          <w:sz w:val="16"/>
          <w:szCs w:val="16"/>
          <w:lang w:val="en-GB"/>
        </w:rPr>
        <w:t>74 </w:t>
      </w:r>
      <w:r>
        <w:rPr>
          <w:spacing w:val="2"/>
          <w:sz w:val="16"/>
          <w:szCs w:val="16"/>
          <w:lang w:val="en-GB"/>
        </w:rPr>
        <w:t xml:space="preserve">years, on the contrary for young people up to </w:t>
      </w:r>
      <w:r w:rsidRPr="0008695E">
        <w:rPr>
          <w:spacing w:val="2"/>
          <w:sz w:val="16"/>
          <w:szCs w:val="16"/>
          <w:lang w:val="en-GB"/>
        </w:rPr>
        <w:t>25 </w:t>
      </w:r>
      <w:r>
        <w:rPr>
          <w:spacing w:val="2"/>
          <w:sz w:val="16"/>
          <w:szCs w:val="16"/>
          <w:lang w:val="en-GB"/>
        </w:rPr>
        <w:t xml:space="preserve">years </w:t>
      </w:r>
      <w:r w:rsidRPr="0008695E">
        <w:rPr>
          <w:spacing w:val="2"/>
          <w:sz w:val="16"/>
          <w:szCs w:val="16"/>
          <w:lang w:val="en-GB"/>
        </w:rPr>
        <w:t>(25</w:t>
      </w:r>
      <w:r>
        <w:rPr>
          <w:spacing w:val="2"/>
          <w:sz w:val="16"/>
          <w:szCs w:val="16"/>
          <w:lang w:val="en-GB"/>
        </w:rPr>
        <w:t>.</w:t>
      </w:r>
      <w:r w:rsidRPr="0008695E">
        <w:rPr>
          <w:spacing w:val="2"/>
          <w:sz w:val="16"/>
          <w:szCs w:val="16"/>
          <w:lang w:val="en-GB"/>
        </w:rPr>
        <w:t>8%)</w:t>
      </w:r>
      <w:r>
        <w:rPr>
          <w:spacing w:val="2"/>
          <w:sz w:val="16"/>
          <w:szCs w:val="16"/>
          <w:lang w:val="en-GB"/>
        </w:rPr>
        <w:t xml:space="preserve"> it considerably lagged behind the level of the EU </w:t>
      </w:r>
      <w:r w:rsidRPr="0008695E">
        <w:rPr>
          <w:spacing w:val="2"/>
          <w:sz w:val="16"/>
          <w:szCs w:val="16"/>
          <w:lang w:val="en-GB"/>
        </w:rPr>
        <w:t>(34</w:t>
      </w:r>
      <w:r>
        <w:rPr>
          <w:spacing w:val="2"/>
          <w:sz w:val="16"/>
          <w:szCs w:val="16"/>
          <w:lang w:val="en-GB"/>
        </w:rPr>
        <w:t>.</w:t>
      </w:r>
      <w:r w:rsidRPr="0008695E">
        <w:rPr>
          <w:spacing w:val="2"/>
          <w:sz w:val="16"/>
          <w:szCs w:val="16"/>
          <w:lang w:val="en-GB"/>
        </w:rPr>
        <w:t>5%).</w:t>
      </w:r>
    </w:p>
  </w:footnote>
  <w:footnote w:id="9">
    <w:p w14:paraId="7968F94D" w14:textId="62D1C99E" w:rsidR="007C581C" w:rsidRPr="00BE5F23" w:rsidRDefault="007C581C" w:rsidP="00B01D0F">
      <w:pPr>
        <w:pStyle w:val="Textpoznpodarou"/>
        <w:jc w:val="both"/>
        <w:rPr>
          <w:sz w:val="16"/>
          <w:szCs w:val="16"/>
          <w:lang w:val="en-GB"/>
        </w:rPr>
      </w:pPr>
      <w:r w:rsidRPr="001907B2">
        <w:rPr>
          <w:rStyle w:val="Znakapoznpodarou"/>
          <w:sz w:val="16"/>
          <w:szCs w:val="16"/>
        </w:rPr>
        <w:footnoteRef/>
      </w:r>
      <w:r w:rsidRPr="001907B2">
        <w:rPr>
          <w:sz w:val="16"/>
          <w:szCs w:val="16"/>
        </w:rPr>
        <w:t xml:space="preserve"> </w:t>
      </w:r>
      <w:r>
        <w:rPr>
          <w:sz w:val="16"/>
          <w:szCs w:val="16"/>
        </w:rPr>
        <w:t xml:space="preserve">In </w:t>
      </w:r>
      <w:r w:rsidRPr="00BE5F23">
        <w:rPr>
          <w:sz w:val="16"/>
          <w:szCs w:val="16"/>
          <w:lang w:val="en-GB"/>
        </w:rPr>
        <w:t xml:space="preserve">industry this difficulty was especially pressing in the manufacturing of construction materials and also in many smaller manufacturing activities. In services analogically mainly in the land transport, warehousing, postal and courier services, architectural and engineering activities and activities associated with buildings and landscape activities. </w:t>
      </w:r>
    </w:p>
  </w:footnote>
  <w:footnote w:id="10">
    <w:p w14:paraId="32D2CB3B" w14:textId="5CB06FD1" w:rsidR="007C581C" w:rsidRPr="00C55AC4" w:rsidRDefault="007C581C" w:rsidP="00B01D0F">
      <w:pPr>
        <w:pStyle w:val="Textpoznpodarou"/>
        <w:jc w:val="both"/>
        <w:rPr>
          <w:spacing w:val="-3"/>
          <w:sz w:val="16"/>
          <w:szCs w:val="16"/>
          <w:lang w:val="en-GB"/>
        </w:rPr>
      </w:pPr>
      <w:r w:rsidRPr="004E68B1">
        <w:rPr>
          <w:rStyle w:val="Znakapoznpodarou"/>
          <w:spacing w:val="-3"/>
          <w:sz w:val="16"/>
          <w:szCs w:val="16"/>
        </w:rPr>
        <w:footnoteRef/>
      </w:r>
      <w:r>
        <w:rPr>
          <w:spacing w:val="-3"/>
          <w:sz w:val="16"/>
          <w:szCs w:val="16"/>
        </w:rPr>
        <w:t xml:space="preserve"> </w:t>
      </w:r>
      <w:r w:rsidRPr="00C55AC4">
        <w:rPr>
          <w:spacing w:val="-3"/>
          <w:sz w:val="16"/>
          <w:szCs w:val="16"/>
          <w:lang w:val="en-GB"/>
        </w:rPr>
        <w:t xml:space="preserve">Unless stated otherwise, all date regarding the unemployment rate stem from the LFSS (based on the ILO methodology) and are adjusted for seasonal effects. </w:t>
      </w:r>
    </w:p>
  </w:footnote>
  <w:footnote w:id="11">
    <w:p w14:paraId="5BCB6B07" w14:textId="223C327B" w:rsidR="007C581C" w:rsidRPr="00C55AC4" w:rsidRDefault="007C581C" w:rsidP="00B01D0F">
      <w:pPr>
        <w:pStyle w:val="Textpoznpodarou"/>
        <w:jc w:val="both"/>
        <w:rPr>
          <w:sz w:val="16"/>
          <w:szCs w:val="16"/>
          <w:lang w:val="en-GB"/>
        </w:rPr>
      </w:pPr>
      <w:r w:rsidRPr="00C55AC4">
        <w:rPr>
          <w:rStyle w:val="Znakapoznpodarou"/>
          <w:sz w:val="16"/>
          <w:szCs w:val="16"/>
          <w:lang w:val="en-GB"/>
        </w:rPr>
        <w:footnoteRef/>
      </w:r>
      <w:r w:rsidRPr="00C55AC4">
        <w:rPr>
          <w:sz w:val="16"/>
          <w:szCs w:val="16"/>
          <w:lang w:val="en-GB"/>
        </w:rPr>
        <w:t xml:space="preserve"> </w:t>
      </w:r>
      <w:r>
        <w:rPr>
          <w:sz w:val="16"/>
          <w:szCs w:val="16"/>
          <w:lang w:val="en-GB"/>
        </w:rPr>
        <w:t>While 12.3% of females aged 15 and over worked part-time in Q1 2019</w:t>
      </w:r>
      <w:r w:rsidRPr="00C55AC4">
        <w:rPr>
          <w:sz w:val="16"/>
          <w:szCs w:val="16"/>
          <w:lang w:val="en-GB"/>
        </w:rPr>
        <w:t>,</w:t>
      </w:r>
      <w:r>
        <w:rPr>
          <w:sz w:val="16"/>
          <w:szCs w:val="16"/>
          <w:lang w:val="en-GB"/>
        </w:rPr>
        <w:t xml:space="preserve"> only </w:t>
      </w:r>
      <w:r w:rsidRPr="00C55AC4">
        <w:rPr>
          <w:sz w:val="16"/>
          <w:szCs w:val="16"/>
          <w:lang w:val="en-GB"/>
        </w:rPr>
        <w:t>10</w:t>
      </w:r>
      <w:r>
        <w:rPr>
          <w:sz w:val="16"/>
          <w:szCs w:val="16"/>
          <w:lang w:val="en-GB"/>
        </w:rPr>
        <w:t>.</w:t>
      </w:r>
      <w:r w:rsidRPr="00C55AC4">
        <w:rPr>
          <w:sz w:val="16"/>
          <w:szCs w:val="16"/>
          <w:lang w:val="en-GB"/>
        </w:rPr>
        <w:t>7%</w:t>
      </w:r>
      <w:r>
        <w:rPr>
          <w:sz w:val="16"/>
          <w:szCs w:val="16"/>
          <w:lang w:val="en-GB"/>
        </w:rPr>
        <w:t xml:space="preserve"> in Q3 2021</w:t>
      </w:r>
      <w:r w:rsidRPr="00C55AC4">
        <w:rPr>
          <w:sz w:val="16"/>
          <w:szCs w:val="16"/>
          <w:lang w:val="en-GB"/>
        </w:rPr>
        <w:t xml:space="preserve">. </w:t>
      </w:r>
      <w:r>
        <w:rPr>
          <w:sz w:val="16"/>
          <w:szCs w:val="16"/>
          <w:lang w:val="en-GB"/>
        </w:rPr>
        <w:t xml:space="preserve">The situation of females aged 15 to 29 years improved during the last </w:t>
      </w:r>
      <w:r w:rsidRPr="00455F84">
        <w:rPr>
          <w:sz w:val="16"/>
          <w:szCs w:val="16"/>
          <w:lang w:val="en-GB"/>
        </w:rPr>
        <w:t xml:space="preserve">year’s Summer, the proportion of part-time jobs reached 14.1% here (the level closed to years 2018 and 2019). </w:t>
      </w:r>
      <w:r>
        <w:rPr>
          <w:sz w:val="16"/>
          <w:szCs w:val="16"/>
          <w:lang w:val="en-GB"/>
        </w:rPr>
        <w:t xml:space="preserve">It also led to the increase of the employment rate of young women during the year </w:t>
      </w:r>
      <w:r w:rsidRPr="00455F84">
        <w:rPr>
          <w:sz w:val="16"/>
          <w:szCs w:val="16"/>
          <w:lang w:val="en-GB"/>
        </w:rPr>
        <w:t>2021</w:t>
      </w:r>
      <w:r>
        <w:rPr>
          <w:sz w:val="16"/>
          <w:szCs w:val="16"/>
          <w:lang w:val="en-GB"/>
        </w:rPr>
        <w:t xml:space="preserve">. By contrast the employment rate for both males and females aged </w:t>
      </w:r>
      <w:r w:rsidRPr="00455F84">
        <w:rPr>
          <w:sz w:val="16"/>
          <w:szCs w:val="16"/>
          <w:lang w:val="en-GB"/>
        </w:rPr>
        <w:t>65 </w:t>
      </w:r>
      <w:r>
        <w:rPr>
          <w:sz w:val="16"/>
          <w:szCs w:val="16"/>
          <w:lang w:val="en-GB"/>
        </w:rPr>
        <w:t xml:space="preserve">till </w:t>
      </w:r>
      <w:r w:rsidRPr="00455F84">
        <w:rPr>
          <w:sz w:val="16"/>
          <w:szCs w:val="16"/>
          <w:lang w:val="en-GB"/>
        </w:rPr>
        <w:t>74 </w:t>
      </w:r>
      <w:r>
        <w:rPr>
          <w:sz w:val="16"/>
          <w:szCs w:val="16"/>
          <w:lang w:val="en-GB"/>
        </w:rPr>
        <w:t xml:space="preserve">years stagnated year-on-year and the percentage share of part-time jobs among the employed was decreasing. </w:t>
      </w:r>
    </w:p>
  </w:footnote>
  <w:footnote w:id="12">
    <w:p w14:paraId="63830BC8" w14:textId="7FE2E9B3" w:rsidR="007C581C" w:rsidRPr="00C55AC4" w:rsidRDefault="007C581C" w:rsidP="00B01D0F">
      <w:pPr>
        <w:pStyle w:val="Textpoznpodarou"/>
        <w:jc w:val="both"/>
        <w:rPr>
          <w:sz w:val="16"/>
          <w:szCs w:val="16"/>
          <w:lang w:val="en-GB"/>
        </w:rPr>
      </w:pPr>
      <w:r w:rsidRPr="00C55AC4">
        <w:rPr>
          <w:rStyle w:val="Znakapoznpodarou"/>
          <w:sz w:val="16"/>
          <w:szCs w:val="16"/>
          <w:lang w:val="en-GB"/>
        </w:rPr>
        <w:footnoteRef/>
      </w:r>
      <w:r w:rsidRPr="00C55AC4">
        <w:rPr>
          <w:sz w:val="16"/>
          <w:szCs w:val="16"/>
          <w:lang w:val="en-GB"/>
        </w:rPr>
        <w:t xml:space="preserve"> </w:t>
      </w:r>
      <w:r>
        <w:rPr>
          <w:sz w:val="16"/>
          <w:szCs w:val="16"/>
          <w:lang w:val="en-GB"/>
        </w:rPr>
        <w:t xml:space="preserve">However they again increased in connection with the dynamic worsening of the epidemic situation for a short time </w:t>
      </w:r>
      <w:r>
        <w:rPr>
          <w:color w:val="0D0D0D" w:themeColor="text1" w:themeTint="F2"/>
          <w:spacing w:val="-4"/>
          <w:sz w:val="16"/>
          <w:szCs w:val="16"/>
          <w:lang w:val="en-GB"/>
        </w:rPr>
        <w:t>in November</w:t>
      </w:r>
      <w:r w:rsidRPr="00C55AC4">
        <w:rPr>
          <w:color w:val="0D0D0D" w:themeColor="text1" w:themeTint="F2"/>
          <w:spacing w:val="-4"/>
          <w:sz w:val="16"/>
          <w:szCs w:val="16"/>
          <w:lang w:val="en-GB"/>
        </w:rPr>
        <w:t xml:space="preserve">, </w:t>
      </w:r>
      <w:r>
        <w:rPr>
          <w:color w:val="0D0D0D" w:themeColor="text1" w:themeTint="F2"/>
          <w:spacing w:val="-4"/>
          <w:sz w:val="16"/>
          <w:szCs w:val="16"/>
          <w:lang w:val="en-GB"/>
        </w:rPr>
        <w:t xml:space="preserve">they were however far from reaching the level from the beginning of the year. </w:t>
      </w:r>
    </w:p>
  </w:footnote>
  <w:footnote w:id="13">
    <w:p w14:paraId="3567EE92" w14:textId="0AE289D1" w:rsidR="007C581C" w:rsidRPr="00F23C06" w:rsidRDefault="007C581C" w:rsidP="00B01D0F">
      <w:pPr>
        <w:pStyle w:val="Textpoznpodarou"/>
        <w:jc w:val="both"/>
        <w:rPr>
          <w:rFonts w:cs="Arial"/>
          <w:sz w:val="16"/>
          <w:szCs w:val="16"/>
          <w:lang w:val="en-GB" w:eastAsia="en-US"/>
        </w:rPr>
      </w:pPr>
      <w:r w:rsidRPr="008E23D8">
        <w:rPr>
          <w:rStyle w:val="Znakapoznpodarou"/>
          <w:sz w:val="16"/>
          <w:szCs w:val="16"/>
        </w:rPr>
        <w:footnoteRef/>
      </w:r>
      <w:r w:rsidRPr="008E23D8">
        <w:rPr>
          <w:sz w:val="16"/>
          <w:szCs w:val="16"/>
        </w:rPr>
        <w:t xml:space="preserve"> </w:t>
      </w:r>
      <w:r w:rsidRPr="00F23C06">
        <w:rPr>
          <w:sz w:val="16"/>
          <w:szCs w:val="16"/>
          <w:lang w:val="en-GB"/>
        </w:rPr>
        <w:t xml:space="preserve">Significant part of the positions however remains vacant in the long-term, they cannot be actively considered. </w:t>
      </w:r>
      <w:r>
        <w:rPr>
          <w:sz w:val="16"/>
          <w:szCs w:val="16"/>
          <w:lang w:val="en-GB"/>
        </w:rPr>
        <w:t xml:space="preserve">Among the job vacancies offered on the internet website of the labour office in January </w:t>
      </w:r>
      <w:r w:rsidRPr="00F23C06">
        <w:rPr>
          <w:color w:val="0D0D0D" w:themeColor="text1" w:themeTint="F2"/>
          <w:spacing w:val="-4"/>
          <w:sz w:val="16"/>
          <w:szCs w:val="16"/>
          <w:lang w:val="en-GB"/>
        </w:rPr>
        <w:t>2022</w:t>
      </w:r>
      <w:r>
        <w:rPr>
          <w:color w:val="0D0D0D" w:themeColor="text1" w:themeTint="F2"/>
          <w:spacing w:val="-4"/>
          <w:sz w:val="16"/>
          <w:szCs w:val="16"/>
          <w:lang w:val="en-GB"/>
        </w:rPr>
        <w:t xml:space="preserve">, only approximate one half was active </w:t>
      </w:r>
      <w:r w:rsidRPr="00F23C06">
        <w:rPr>
          <w:color w:val="0D0D0D" w:themeColor="text1" w:themeTint="F2"/>
          <w:spacing w:val="-4"/>
          <w:sz w:val="16"/>
          <w:szCs w:val="16"/>
          <w:lang w:val="en-GB"/>
        </w:rPr>
        <w:t>(</w:t>
      </w:r>
      <w:r>
        <w:rPr>
          <w:color w:val="0D0D0D" w:themeColor="text1" w:themeTint="F2"/>
          <w:spacing w:val="-4"/>
          <w:sz w:val="16"/>
          <w:szCs w:val="16"/>
          <w:lang w:val="en-GB"/>
        </w:rPr>
        <w:t xml:space="preserve">offers, where last change occurred after </w:t>
      </w:r>
      <w:r w:rsidRPr="00F23C06">
        <w:rPr>
          <w:color w:val="0D0D0D" w:themeColor="text1" w:themeTint="F2"/>
          <w:spacing w:val="-4"/>
          <w:sz w:val="16"/>
          <w:szCs w:val="16"/>
          <w:lang w:val="en-GB"/>
        </w:rPr>
        <w:t>1</w:t>
      </w:r>
      <w:r w:rsidRPr="00F23C06">
        <w:rPr>
          <w:color w:val="0D0D0D" w:themeColor="text1" w:themeTint="F2"/>
          <w:spacing w:val="-4"/>
          <w:sz w:val="16"/>
          <w:szCs w:val="16"/>
          <w:vertAlign w:val="superscript"/>
          <w:lang w:val="en-GB"/>
        </w:rPr>
        <w:t>st</w:t>
      </w:r>
      <w:r>
        <w:rPr>
          <w:color w:val="0D0D0D" w:themeColor="text1" w:themeTint="F2"/>
          <w:spacing w:val="-4"/>
          <w:sz w:val="16"/>
          <w:szCs w:val="16"/>
          <w:lang w:val="en-GB"/>
        </w:rPr>
        <w:t xml:space="preserve"> July </w:t>
      </w:r>
      <w:r w:rsidRPr="00F23C06">
        <w:rPr>
          <w:color w:val="0D0D0D" w:themeColor="text1" w:themeTint="F2"/>
          <w:spacing w:val="-4"/>
          <w:sz w:val="16"/>
          <w:szCs w:val="16"/>
          <w:lang w:val="en-GB"/>
        </w:rPr>
        <w:t>2021 a</w:t>
      </w:r>
      <w:r>
        <w:rPr>
          <w:color w:val="0D0D0D" w:themeColor="text1" w:themeTint="F2"/>
          <w:spacing w:val="-4"/>
          <w:sz w:val="16"/>
          <w:szCs w:val="16"/>
          <w:lang w:val="en-GB"/>
        </w:rPr>
        <w:t xml:space="preserve">nd the starting date was </w:t>
      </w:r>
      <w:r w:rsidRPr="00F23C06">
        <w:rPr>
          <w:color w:val="0D0D0D" w:themeColor="text1" w:themeTint="F2"/>
          <w:spacing w:val="-4"/>
          <w:sz w:val="16"/>
          <w:szCs w:val="16"/>
          <w:lang w:val="en-GB"/>
        </w:rPr>
        <w:t>1</w:t>
      </w:r>
      <w:r w:rsidRPr="00F23C06">
        <w:rPr>
          <w:color w:val="0D0D0D" w:themeColor="text1" w:themeTint="F2"/>
          <w:spacing w:val="-4"/>
          <w:sz w:val="16"/>
          <w:szCs w:val="16"/>
          <w:vertAlign w:val="superscript"/>
          <w:lang w:val="en-GB"/>
        </w:rPr>
        <w:t>st</w:t>
      </w:r>
      <w:r>
        <w:rPr>
          <w:color w:val="0D0D0D" w:themeColor="text1" w:themeTint="F2"/>
          <w:spacing w:val="-4"/>
          <w:sz w:val="16"/>
          <w:szCs w:val="16"/>
          <w:lang w:val="en-GB"/>
        </w:rPr>
        <w:t xml:space="preserve"> October </w:t>
      </w:r>
      <w:r w:rsidRPr="00F23C06">
        <w:rPr>
          <w:color w:val="0D0D0D" w:themeColor="text1" w:themeTint="F2"/>
          <w:spacing w:val="-4"/>
          <w:sz w:val="16"/>
          <w:szCs w:val="16"/>
          <w:lang w:val="en-GB"/>
        </w:rPr>
        <w:t>2021</w:t>
      </w:r>
      <w:r>
        <w:rPr>
          <w:color w:val="0D0D0D" w:themeColor="text1" w:themeTint="F2"/>
          <w:spacing w:val="-4"/>
          <w:sz w:val="16"/>
          <w:szCs w:val="16"/>
          <w:lang w:val="en-GB"/>
        </w:rPr>
        <w:t xml:space="preserve"> or later</w:t>
      </w:r>
      <w:r w:rsidRPr="00F23C06">
        <w:rPr>
          <w:color w:val="0D0D0D" w:themeColor="text1" w:themeTint="F2"/>
          <w:spacing w:val="-4"/>
          <w:sz w:val="16"/>
          <w:szCs w:val="16"/>
          <w:lang w:val="en-GB"/>
        </w:rPr>
        <w:t>)</w:t>
      </w:r>
      <w:r>
        <w:rPr>
          <w:color w:val="0D0D0D" w:themeColor="text1" w:themeTint="F2"/>
          <w:spacing w:val="-4"/>
          <w:sz w:val="16"/>
          <w:szCs w:val="16"/>
          <w:lang w:val="en-GB"/>
        </w:rPr>
        <w:t xml:space="preserve">. </w:t>
      </w:r>
    </w:p>
  </w:footnote>
  <w:footnote w:id="14">
    <w:p w14:paraId="6A82CF55" w14:textId="1AF2A4CE" w:rsidR="007C581C" w:rsidRPr="00F23C06" w:rsidRDefault="007C581C" w:rsidP="00301FB5">
      <w:pPr>
        <w:pStyle w:val="Textpoznpodarou"/>
        <w:jc w:val="both"/>
        <w:rPr>
          <w:sz w:val="16"/>
          <w:szCs w:val="16"/>
          <w:lang w:val="en-GB"/>
        </w:rPr>
      </w:pPr>
      <w:r w:rsidRPr="00F23C06">
        <w:rPr>
          <w:rStyle w:val="Znakapoznpodarou"/>
          <w:sz w:val="16"/>
          <w:szCs w:val="16"/>
          <w:lang w:val="en-GB"/>
        </w:rPr>
        <w:footnoteRef/>
      </w:r>
      <w:r w:rsidRPr="00F23C06">
        <w:rPr>
          <w:sz w:val="16"/>
          <w:szCs w:val="16"/>
          <w:lang w:val="en-GB"/>
        </w:rPr>
        <w:t xml:space="preserve"> </w:t>
      </w:r>
      <w:r>
        <w:rPr>
          <w:sz w:val="16"/>
          <w:szCs w:val="16"/>
          <w:lang w:val="en-GB"/>
        </w:rPr>
        <w:t xml:space="preserve">It generally concerned the districts of the Central, South and West CR. The largest number of job applicants per one job vacancy was reported from the </w:t>
      </w:r>
      <w:r w:rsidRPr="00F23C06">
        <w:rPr>
          <w:sz w:val="16"/>
          <w:szCs w:val="16"/>
          <w:lang w:val="en-GB"/>
        </w:rPr>
        <w:t>Karviná</w:t>
      </w:r>
      <w:r>
        <w:rPr>
          <w:sz w:val="16"/>
          <w:szCs w:val="16"/>
          <w:lang w:val="en-GB"/>
        </w:rPr>
        <w:t xml:space="preserve"> district</w:t>
      </w:r>
      <w:r w:rsidRPr="00F23C06">
        <w:rPr>
          <w:sz w:val="16"/>
          <w:szCs w:val="16"/>
          <w:lang w:val="en-GB"/>
        </w:rPr>
        <w:t xml:space="preserve"> (10), Bruntál, Ústí nad Labem a</w:t>
      </w:r>
      <w:r>
        <w:rPr>
          <w:sz w:val="16"/>
          <w:szCs w:val="16"/>
          <w:lang w:val="en-GB"/>
        </w:rPr>
        <w:t>nd</w:t>
      </w:r>
      <w:r w:rsidRPr="00F23C06">
        <w:rPr>
          <w:sz w:val="16"/>
          <w:szCs w:val="16"/>
          <w:lang w:val="en-GB"/>
        </w:rPr>
        <w:t> Most (s</w:t>
      </w:r>
      <w:r>
        <w:rPr>
          <w:sz w:val="16"/>
          <w:szCs w:val="16"/>
          <w:lang w:val="en-GB"/>
        </w:rPr>
        <w:t xml:space="preserve">imilarly </w:t>
      </w:r>
      <w:r w:rsidRPr="00F23C06">
        <w:rPr>
          <w:sz w:val="16"/>
          <w:szCs w:val="16"/>
          <w:lang w:val="en-GB"/>
        </w:rPr>
        <w:t>5).</w:t>
      </w:r>
    </w:p>
  </w:footnote>
  <w:footnote w:id="15">
    <w:p w14:paraId="557C4A2A" w14:textId="57574941" w:rsidR="007C581C" w:rsidRPr="00F23C06" w:rsidRDefault="007C581C" w:rsidP="00B01D0F">
      <w:pPr>
        <w:pStyle w:val="Textpoznpodarou"/>
        <w:rPr>
          <w:sz w:val="16"/>
          <w:szCs w:val="16"/>
          <w:lang w:val="en-GB"/>
        </w:rPr>
      </w:pPr>
      <w:r w:rsidRPr="00F23C06">
        <w:rPr>
          <w:rStyle w:val="Znakapoznpodarou"/>
          <w:sz w:val="16"/>
          <w:szCs w:val="16"/>
          <w:lang w:val="en-GB"/>
        </w:rPr>
        <w:footnoteRef/>
      </w:r>
      <w:r w:rsidRPr="00F23C06">
        <w:rPr>
          <w:sz w:val="16"/>
          <w:szCs w:val="16"/>
          <w:lang w:val="en-GB"/>
        </w:rPr>
        <w:t xml:space="preserve"> </w:t>
      </w:r>
      <w:r>
        <w:rPr>
          <w:sz w:val="16"/>
          <w:szCs w:val="16"/>
          <w:lang w:val="en-GB"/>
        </w:rPr>
        <w:t xml:space="preserve">Reason was the payment of extraordinary bonuses for the first pandemic wave </w:t>
      </w:r>
      <w:r w:rsidRPr="00F23C06">
        <w:rPr>
          <w:sz w:val="16"/>
          <w:szCs w:val="16"/>
          <w:lang w:val="en-GB"/>
        </w:rPr>
        <w:t>(</w:t>
      </w:r>
      <w:r>
        <w:rPr>
          <w:sz w:val="16"/>
          <w:szCs w:val="16"/>
          <w:lang w:val="en-GB"/>
        </w:rPr>
        <w:t xml:space="preserve">from the Spring </w:t>
      </w:r>
      <w:r w:rsidRPr="00F23C06">
        <w:rPr>
          <w:sz w:val="16"/>
          <w:szCs w:val="16"/>
          <w:lang w:val="en-GB"/>
        </w:rPr>
        <w:t>2020).</w:t>
      </w:r>
    </w:p>
  </w:footnote>
  <w:footnote w:id="16">
    <w:p w14:paraId="1C3619D5" w14:textId="1D9300DD" w:rsidR="007C581C" w:rsidRPr="00F23C06" w:rsidRDefault="007C581C" w:rsidP="00B01D0F">
      <w:pPr>
        <w:pStyle w:val="Textpoznpodarou"/>
        <w:jc w:val="both"/>
        <w:rPr>
          <w:spacing w:val="-6"/>
          <w:sz w:val="16"/>
          <w:szCs w:val="16"/>
          <w:lang w:val="en-GB"/>
        </w:rPr>
      </w:pPr>
      <w:r w:rsidRPr="00F23C06">
        <w:rPr>
          <w:rStyle w:val="Znakapoznpodarou"/>
          <w:spacing w:val="-6"/>
          <w:sz w:val="16"/>
          <w:szCs w:val="16"/>
          <w:lang w:val="en-GB"/>
        </w:rPr>
        <w:footnoteRef/>
      </w:r>
      <w:r w:rsidRPr="00F23C06">
        <w:rPr>
          <w:spacing w:val="-6"/>
          <w:sz w:val="16"/>
          <w:szCs w:val="16"/>
          <w:lang w:val="en-GB"/>
        </w:rPr>
        <w:t xml:space="preserve"> </w:t>
      </w:r>
      <w:r>
        <w:rPr>
          <w:spacing w:val="-6"/>
          <w:sz w:val="16"/>
          <w:szCs w:val="16"/>
          <w:lang w:val="en-GB"/>
        </w:rPr>
        <w:t xml:space="preserve">In this small branch, the development of both wages and employment is usually volatile. The size of earnings was affected </w:t>
      </w:r>
      <w:r w:rsidRPr="00F23C06">
        <w:rPr>
          <w:spacing w:val="-6"/>
          <w:sz w:val="16"/>
          <w:szCs w:val="16"/>
          <w:lang w:val="en-GB"/>
        </w:rPr>
        <w:t>(</w:t>
      </w:r>
      <w:r>
        <w:rPr>
          <w:spacing w:val="-6"/>
          <w:sz w:val="16"/>
          <w:szCs w:val="16"/>
          <w:lang w:val="en-GB"/>
        </w:rPr>
        <w:t>mainly in Q</w:t>
      </w:r>
      <w:r w:rsidRPr="00F23C06">
        <w:rPr>
          <w:spacing w:val="-6"/>
          <w:sz w:val="16"/>
          <w:szCs w:val="16"/>
          <w:lang w:val="en-GB"/>
        </w:rPr>
        <w:t>4)</w:t>
      </w:r>
      <w:r>
        <w:rPr>
          <w:spacing w:val="-6"/>
          <w:sz w:val="16"/>
          <w:szCs w:val="16"/>
          <w:lang w:val="en-GB"/>
        </w:rPr>
        <w:t xml:space="preserve"> by the swift growth of the number of hours worked. </w:t>
      </w:r>
    </w:p>
  </w:footnote>
  <w:footnote w:id="17">
    <w:p w14:paraId="6289BB6C" w14:textId="466BF20D" w:rsidR="007C581C" w:rsidRPr="00DF65BA" w:rsidRDefault="007C581C" w:rsidP="00B01D0F">
      <w:pPr>
        <w:pStyle w:val="Textpoznpodarou"/>
        <w:rPr>
          <w:sz w:val="16"/>
          <w:szCs w:val="16"/>
        </w:rPr>
      </w:pPr>
      <w:r w:rsidRPr="00DF65BA">
        <w:rPr>
          <w:rStyle w:val="Znakapoznpodarou"/>
          <w:sz w:val="16"/>
          <w:szCs w:val="16"/>
        </w:rPr>
        <w:footnoteRef/>
      </w:r>
      <w:r w:rsidRPr="00DF65BA">
        <w:rPr>
          <w:sz w:val="16"/>
          <w:szCs w:val="16"/>
        </w:rPr>
        <w:t xml:space="preserve"> </w:t>
      </w:r>
      <w:r w:rsidRPr="00926FBD">
        <w:rPr>
          <w:sz w:val="16"/>
          <w:szCs w:val="16"/>
          <w:lang w:val="en-GB"/>
        </w:rPr>
        <w:t>With more than 200 thousand employees</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2A94712D" w:rsidR="007C581C" w:rsidRPr="00504720" w:rsidRDefault="007C581C" w:rsidP="00937AE2">
    <w:pPr>
      <w:pStyle w:val="Zhlav"/>
      <w:rPr>
        <w:lang w:val="en-GB"/>
      </w:rPr>
    </w:pPr>
    <w:r w:rsidRPr="00504720">
      <w:rPr>
        <w:lang w:val="en-GB"/>
      </w:rPr>
      <w:t>The Czech Economy Development</w:t>
    </w:r>
  </w:p>
  <w:p w14:paraId="3E881AB3" w14:textId="77777777" w:rsidR="007C581C" w:rsidRPr="006F5416" w:rsidRDefault="007C58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28CD1F5" w:rsidR="007C581C" w:rsidRPr="00504720" w:rsidRDefault="007C581C" w:rsidP="00937AE2">
    <w:pPr>
      <w:pStyle w:val="Zhlav"/>
      <w:rPr>
        <w:lang w:val="en-GB"/>
      </w:rPr>
    </w:pPr>
    <w:r w:rsidRPr="00504720">
      <w:rPr>
        <w:lang w:val="en-GB"/>
      </w:rPr>
      <w:t>The Czech Economy Development</w:t>
    </w:r>
  </w:p>
  <w:p w14:paraId="57266714" w14:textId="77777777" w:rsidR="007C581C" w:rsidRPr="006F5416" w:rsidRDefault="007C58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31A"/>
    <w:rsid w:val="000005AF"/>
    <w:rsid w:val="00000B55"/>
    <w:rsid w:val="0000209D"/>
    <w:rsid w:val="0000232E"/>
    <w:rsid w:val="00002566"/>
    <w:rsid w:val="0000370A"/>
    <w:rsid w:val="00003849"/>
    <w:rsid w:val="00003F5C"/>
    <w:rsid w:val="00004D5A"/>
    <w:rsid w:val="00005613"/>
    <w:rsid w:val="0000567F"/>
    <w:rsid w:val="000056D5"/>
    <w:rsid w:val="00005D9E"/>
    <w:rsid w:val="000063D5"/>
    <w:rsid w:val="00006625"/>
    <w:rsid w:val="00006ABD"/>
    <w:rsid w:val="00006B67"/>
    <w:rsid w:val="00006C0B"/>
    <w:rsid w:val="000073A0"/>
    <w:rsid w:val="0000767A"/>
    <w:rsid w:val="00007ABE"/>
    <w:rsid w:val="00010256"/>
    <w:rsid w:val="00010702"/>
    <w:rsid w:val="00010816"/>
    <w:rsid w:val="00010A2C"/>
    <w:rsid w:val="00010A36"/>
    <w:rsid w:val="000110E8"/>
    <w:rsid w:val="0001128E"/>
    <w:rsid w:val="00011912"/>
    <w:rsid w:val="00011BFC"/>
    <w:rsid w:val="000129B7"/>
    <w:rsid w:val="00012A35"/>
    <w:rsid w:val="00012F79"/>
    <w:rsid w:val="0001387D"/>
    <w:rsid w:val="00014ED0"/>
    <w:rsid w:val="00015657"/>
    <w:rsid w:val="00016420"/>
    <w:rsid w:val="00016BDB"/>
    <w:rsid w:val="00017945"/>
    <w:rsid w:val="00017B01"/>
    <w:rsid w:val="000200BE"/>
    <w:rsid w:val="000205D1"/>
    <w:rsid w:val="00020F22"/>
    <w:rsid w:val="0002195D"/>
    <w:rsid w:val="00021F9B"/>
    <w:rsid w:val="000221DD"/>
    <w:rsid w:val="000228AE"/>
    <w:rsid w:val="000233D1"/>
    <w:rsid w:val="000234D6"/>
    <w:rsid w:val="00023D29"/>
    <w:rsid w:val="00024219"/>
    <w:rsid w:val="00024348"/>
    <w:rsid w:val="00026109"/>
    <w:rsid w:val="00026389"/>
    <w:rsid w:val="0002669F"/>
    <w:rsid w:val="000279A9"/>
    <w:rsid w:val="000279E5"/>
    <w:rsid w:val="00027EF4"/>
    <w:rsid w:val="000305E0"/>
    <w:rsid w:val="00031AE0"/>
    <w:rsid w:val="00031BB2"/>
    <w:rsid w:val="000322EF"/>
    <w:rsid w:val="00033FCD"/>
    <w:rsid w:val="000348AF"/>
    <w:rsid w:val="00034B70"/>
    <w:rsid w:val="00034DF7"/>
    <w:rsid w:val="00034E68"/>
    <w:rsid w:val="000350C8"/>
    <w:rsid w:val="00036195"/>
    <w:rsid w:val="00037362"/>
    <w:rsid w:val="000374B2"/>
    <w:rsid w:val="000376C0"/>
    <w:rsid w:val="000403A7"/>
    <w:rsid w:val="00040632"/>
    <w:rsid w:val="00041AFC"/>
    <w:rsid w:val="00041CEC"/>
    <w:rsid w:val="00041D02"/>
    <w:rsid w:val="00042596"/>
    <w:rsid w:val="00042A4A"/>
    <w:rsid w:val="00044183"/>
    <w:rsid w:val="0004431D"/>
    <w:rsid w:val="0004443E"/>
    <w:rsid w:val="00044AAC"/>
    <w:rsid w:val="0004694F"/>
    <w:rsid w:val="00046F2F"/>
    <w:rsid w:val="00047AD4"/>
    <w:rsid w:val="00047D54"/>
    <w:rsid w:val="0005054A"/>
    <w:rsid w:val="00050CD8"/>
    <w:rsid w:val="00051506"/>
    <w:rsid w:val="000522E4"/>
    <w:rsid w:val="00053713"/>
    <w:rsid w:val="0005434E"/>
    <w:rsid w:val="0005480E"/>
    <w:rsid w:val="00055CB6"/>
    <w:rsid w:val="0005658B"/>
    <w:rsid w:val="000572DD"/>
    <w:rsid w:val="00057B1E"/>
    <w:rsid w:val="0006033F"/>
    <w:rsid w:val="000610E1"/>
    <w:rsid w:val="000616AD"/>
    <w:rsid w:val="00061E88"/>
    <w:rsid w:val="000622A6"/>
    <w:rsid w:val="000627BD"/>
    <w:rsid w:val="0006286E"/>
    <w:rsid w:val="00062D70"/>
    <w:rsid w:val="00062EC5"/>
    <w:rsid w:val="00062F22"/>
    <w:rsid w:val="00063975"/>
    <w:rsid w:val="00063CEA"/>
    <w:rsid w:val="0006444D"/>
    <w:rsid w:val="000645FC"/>
    <w:rsid w:val="0006533F"/>
    <w:rsid w:val="00065348"/>
    <w:rsid w:val="0006551C"/>
    <w:rsid w:val="00065A75"/>
    <w:rsid w:val="000663F0"/>
    <w:rsid w:val="00066558"/>
    <w:rsid w:val="000668F1"/>
    <w:rsid w:val="000671DB"/>
    <w:rsid w:val="000672E3"/>
    <w:rsid w:val="000676FF"/>
    <w:rsid w:val="00067982"/>
    <w:rsid w:val="00070A87"/>
    <w:rsid w:val="000712B3"/>
    <w:rsid w:val="00071A7C"/>
    <w:rsid w:val="00071E38"/>
    <w:rsid w:val="00072FF5"/>
    <w:rsid w:val="00073A5A"/>
    <w:rsid w:val="000743F9"/>
    <w:rsid w:val="0007474E"/>
    <w:rsid w:val="00074988"/>
    <w:rsid w:val="0007512B"/>
    <w:rsid w:val="00075551"/>
    <w:rsid w:val="000767F5"/>
    <w:rsid w:val="00076D90"/>
    <w:rsid w:val="00077FF0"/>
    <w:rsid w:val="0008115C"/>
    <w:rsid w:val="00081A55"/>
    <w:rsid w:val="0008263E"/>
    <w:rsid w:val="00082BA0"/>
    <w:rsid w:val="00082C19"/>
    <w:rsid w:val="00082F89"/>
    <w:rsid w:val="000837CD"/>
    <w:rsid w:val="000838A0"/>
    <w:rsid w:val="000842E9"/>
    <w:rsid w:val="00084BFF"/>
    <w:rsid w:val="00085185"/>
    <w:rsid w:val="00085395"/>
    <w:rsid w:val="00086896"/>
    <w:rsid w:val="0008695E"/>
    <w:rsid w:val="00086AC1"/>
    <w:rsid w:val="00086D19"/>
    <w:rsid w:val="00087634"/>
    <w:rsid w:val="00087F2B"/>
    <w:rsid w:val="00090694"/>
    <w:rsid w:val="00090EE2"/>
    <w:rsid w:val="00090FC6"/>
    <w:rsid w:val="000913B1"/>
    <w:rsid w:val="0009290F"/>
    <w:rsid w:val="00093241"/>
    <w:rsid w:val="00093532"/>
    <w:rsid w:val="00093868"/>
    <w:rsid w:val="00094A84"/>
    <w:rsid w:val="00095025"/>
    <w:rsid w:val="00095135"/>
    <w:rsid w:val="00095B8B"/>
    <w:rsid w:val="0009626E"/>
    <w:rsid w:val="0009644D"/>
    <w:rsid w:val="00097191"/>
    <w:rsid w:val="000974D1"/>
    <w:rsid w:val="00097784"/>
    <w:rsid w:val="0009799E"/>
    <w:rsid w:val="000A07CB"/>
    <w:rsid w:val="000A0BC0"/>
    <w:rsid w:val="000A1077"/>
    <w:rsid w:val="000A1183"/>
    <w:rsid w:val="000A12ED"/>
    <w:rsid w:val="000A1973"/>
    <w:rsid w:val="000A1D49"/>
    <w:rsid w:val="000A1F6A"/>
    <w:rsid w:val="000A2065"/>
    <w:rsid w:val="000A212B"/>
    <w:rsid w:val="000A242D"/>
    <w:rsid w:val="000A256D"/>
    <w:rsid w:val="000A2643"/>
    <w:rsid w:val="000A2E5F"/>
    <w:rsid w:val="000A337A"/>
    <w:rsid w:val="000A3A2C"/>
    <w:rsid w:val="000A3D9E"/>
    <w:rsid w:val="000A4A54"/>
    <w:rsid w:val="000A4ED9"/>
    <w:rsid w:val="000A5DB7"/>
    <w:rsid w:val="000A6753"/>
    <w:rsid w:val="000A6D94"/>
    <w:rsid w:val="000A7377"/>
    <w:rsid w:val="000A74A4"/>
    <w:rsid w:val="000A775A"/>
    <w:rsid w:val="000A7FF4"/>
    <w:rsid w:val="000B03CC"/>
    <w:rsid w:val="000B2BA8"/>
    <w:rsid w:val="000B4212"/>
    <w:rsid w:val="000B5C9C"/>
    <w:rsid w:val="000B67B7"/>
    <w:rsid w:val="000B7141"/>
    <w:rsid w:val="000C0CA6"/>
    <w:rsid w:val="000C0EA8"/>
    <w:rsid w:val="000C13A2"/>
    <w:rsid w:val="000C1C5A"/>
    <w:rsid w:val="000C21E7"/>
    <w:rsid w:val="000C23EC"/>
    <w:rsid w:val="000C26A2"/>
    <w:rsid w:val="000C290E"/>
    <w:rsid w:val="000C30C3"/>
    <w:rsid w:val="000C3408"/>
    <w:rsid w:val="000C35AB"/>
    <w:rsid w:val="000C3F7B"/>
    <w:rsid w:val="000C3FD8"/>
    <w:rsid w:val="000C4093"/>
    <w:rsid w:val="000C4769"/>
    <w:rsid w:val="000C4D56"/>
    <w:rsid w:val="000C5DFA"/>
    <w:rsid w:val="000C6AFD"/>
    <w:rsid w:val="000C6C90"/>
    <w:rsid w:val="000C72B7"/>
    <w:rsid w:val="000D009F"/>
    <w:rsid w:val="000D0236"/>
    <w:rsid w:val="000D0237"/>
    <w:rsid w:val="000D0A26"/>
    <w:rsid w:val="000D0B8E"/>
    <w:rsid w:val="000D13CB"/>
    <w:rsid w:val="000D2196"/>
    <w:rsid w:val="000D2312"/>
    <w:rsid w:val="000D296A"/>
    <w:rsid w:val="000D3058"/>
    <w:rsid w:val="000D310A"/>
    <w:rsid w:val="000D3EF4"/>
    <w:rsid w:val="000D4761"/>
    <w:rsid w:val="000D4DC0"/>
    <w:rsid w:val="000D55BA"/>
    <w:rsid w:val="000D5637"/>
    <w:rsid w:val="000D5A03"/>
    <w:rsid w:val="000D5ED3"/>
    <w:rsid w:val="000D6AAF"/>
    <w:rsid w:val="000D6D7C"/>
    <w:rsid w:val="000D6F4E"/>
    <w:rsid w:val="000D6FDA"/>
    <w:rsid w:val="000D7082"/>
    <w:rsid w:val="000D73BB"/>
    <w:rsid w:val="000D79D1"/>
    <w:rsid w:val="000E0E96"/>
    <w:rsid w:val="000E298B"/>
    <w:rsid w:val="000E2C7D"/>
    <w:rsid w:val="000E3E56"/>
    <w:rsid w:val="000E440D"/>
    <w:rsid w:val="000E4AC5"/>
    <w:rsid w:val="000E6253"/>
    <w:rsid w:val="000E6AC4"/>
    <w:rsid w:val="000E6E4D"/>
    <w:rsid w:val="000E6FBD"/>
    <w:rsid w:val="000E6FCB"/>
    <w:rsid w:val="000F090B"/>
    <w:rsid w:val="000F0C1C"/>
    <w:rsid w:val="000F3669"/>
    <w:rsid w:val="000F3F3B"/>
    <w:rsid w:val="000F4721"/>
    <w:rsid w:val="000F47E8"/>
    <w:rsid w:val="000F70E4"/>
    <w:rsid w:val="000F76EA"/>
    <w:rsid w:val="00100A8B"/>
    <w:rsid w:val="00100F5C"/>
    <w:rsid w:val="00100FB5"/>
    <w:rsid w:val="00101CDA"/>
    <w:rsid w:val="00102037"/>
    <w:rsid w:val="00102D7B"/>
    <w:rsid w:val="00103378"/>
    <w:rsid w:val="00103DCB"/>
    <w:rsid w:val="00104C4C"/>
    <w:rsid w:val="00105015"/>
    <w:rsid w:val="001055D2"/>
    <w:rsid w:val="001057C2"/>
    <w:rsid w:val="0010591C"/>
    <w:rsid w:val="00105B6B"/>
    <w:rsid w:val="00105C5C"/>
    <w:rsid w:val="00107124"/>
    <w:rsid w:val="00107243"/>
    <w:rsid w:val="0011038E"/>
    <w:rsid w:val="00110978"/>
    <w:rsid w:val="0011127D"/>
    <w:rsid w:val="00111573"/>
    <w:rsid w:val="00111B33"/>
    <w:rsid w:val="001125EF"/>
    <w:rsid w:val="00112CAB"/>
    <w:rsid w:val="0011440C"/>
    <w:rsid w:val="001145F6"/>
    <w:rsid w:val="00114C33"/>
    <w:rsid w:val="00116D3F"/>
    <w:rsid w:val="00117474"/>
    <w:rsid w:val="00117623"/>
    <w:rsid w:val="00117FEA"/>
    <w:rsid w:val="001200CF"/>
    <w:rsid w:val="001208E3"/>
    <w:rsid w:val="00120D71"/>
    <w:rsid w:val="00121609"/>
    <w:rsid w:val="0012192F"/>
    <w:rsid w:val="00122994"/>
    <w:rsid w:val="00123204"/>
    <w:rsid w:val="001239D6"/>
    <w:rsid w:val="00124B46"/>
    <w:rsid w:val="001257BE"/>
    <w:rsid w:val="001257E0"/>
    <w:rsid w:val="00125D20"/>
    <w:rsid w:val="00125D69"/>
    <w:rsid w:val="00125FB3"/>
    <w:rsid w:val="0012799C"/>
    <w:rsid w:val="00127BC2"/>
    <w:rsid w:val="00127E15"/>
    <w:rsid w:val="00130ADC"/>
    <w:rsid w:val="00130D9F"/>
    <w:rsid w:val="00132C4D"/>
    <w:rsid w:val="00133FC1"/>
    <w:rsid w:val="00134659"/>
    <w:rsid w:val="00135111"/>
    <w:rsid w:val="00135F31"/>
    <w:rsid w:val="001368DC"/>
    <w:rsid w:val="00136A6F"/>
    <w:rsid w:val="00136C1A"/>
    <w:rsid w:val="001405FA"/>
    <w:rsid w:val="00140D1A"/>
    <w:rsid w:val="00141184"/>
    <w:rsid w:val="001411A4"/>
    <w:rsid w:val="00141315"/>
    <w:rsid w:val="00141AA0"/>
    <w:rsid w:val="001425C3"/>
    <w:rsid w:val="0014262D"/>
    <w:rsid w:val="00142B29"/>
    <w:rsid w:val="00144108"/>
    <w:rsid w:val="00144588"/>
    <w:rsid w:val="001447DD"/>
    <w:rsid w:val="00145358"/>
    <w:rsid w:val="001459BC"/>
    <w:rsid w:val="00150333"/>
    <w:rsid w:val="00150ECA"/>
    <w:rsid w:val="00151707"/>
    <w:rsid w:val="00152C86"/>
    <w:rsid w:val="00152F4F"/>
    <w:rsid w:val="0015329F"/>
    <w:rsid w:val="001544A1"/>
    <w:rsid w:val="0015462F"/>
    <w:rsid w:val="00154DAC"/>
    <w:rsid w:val="001553B8"/>
    <w:rsid w:val="001554C2"/>
    <w:rsid w:val="00156CA1"/>
    <w:rsid w:val="00156D21"/>
    <w:rsid w:val="001571C0"/>
    <w:rsid w:val="0015753D"/>
    <w:rsid w:val="00157984"/>
    <w:rsid w:val="00157CC9"/>
    <w:rsid w:val="001603C1"/>
    <w:rsid w:val="001604A9"/>
    <w:rsid w:val="00160C21"/>
    <w:rsid w:val="001612F4"/>
    <w:rsid w:val="00161553"/>
    <w:rsid w:val="0016216F"/>
    <w:rsid w:val="0016256B"/>
    <w:rsid w:val="00162F81"/>
    <w:rsid w:val="00163793"/>
    <w:rsid w:val="00164CA1"/>
    <w:rsid w:val="00165313"/>
    <w:rsid w:val="00165DF4"/>
    <w:rsid w:val="0016623D"/>
    <w:rsid w:val="00167485"/>
    <w:rsid w:val="001679F5"/>
    <w:rsid w:val="00167AD0"/>
    <w:rsid w:val="00167B92"/>
    <w:rsid w:val="00167CB9"/>
    <w:rsid w:val="00167DD8"/>
    <w:rsid w:val="001705AD"/>
    <w:rsid w:val="001706D6"/>
    <w:rsid w:val="001714F2"/>
    <w:rsid w:val="001719C1"/>
    <w:rsid w:val="00171FEA"/>
    <w:rsid w:val="00173622"/>
    <w:rsid w:val="001751DC"/>
    <w:rsid w:val="0017580C"/>
    <w:rsid w:val="00175B9F"/>
    <w:rsid w:val="001762F4"/>
    <w:rsid w:val="00176664"/>
    <w:rsid w:val="00176D0A"/>
    <w:rsid w:val="001777BA"/>
    <w:rsid w:val="00181029"/>
    <w:rsid w:val="00181BBC"/>
    <w:rsid w:val="0018385F"/>
    <w:rsid w:val="00183BCF"/>
    <w:rsid w:val="00184017"/>
    <w:rsid w:val="001843D0"/>
    <w:rsid w:val="001847BB"/>
    <w:rsid w:val="00184B08"/>
    <w:rsid w:val="00184C25"/>
    <w:rsid w:val="00185010"/>
    <w:rsid w:val="00185C22"/>
    <w:rsid w:val="00185CB1"/>
    <w:rsid w:val="0018690D"/>
    <w:rsid w:val="00186BA9"/>
    <w:rsid w:val="00186D4B"/>
    <w:rsid w:val="00187D50"/>
    <w:rsid w:val="0019196C"/>
    <w:rsid w:val="001926A9"/>
    <w:rsid w:val="00192D81"/>
    <w:rsid w:val="00192E0C"/>
    <w:rsid w:val="00192F05"/>
    <w:rsid w:val="00193706"/>
    <w:rsid w:val="0019448A"/>
    <w:rsid w:val="00194729"/>
    <w:rsid w:val="00194850"/>
    <w:rsid w:val="00195234"/>
    <w:rsid w:val="00196016"/>
    <w:rsid w:val="001960FD"/>
    <w:rsid w:val="00196117"/>
    <w:rsid w:val="001977EB"/>
    <w:rsid w:val="00197A70"/>
    <w:rsid w:val="00197C0F"/>
    <w:rsid w:val="00197D0E"/>
    <w:rsid w:val="001A0487"/>
    <w:rsid w:val="001A0675"/>
    <w:rsid w:val="001A0A37"/>
    <w:rsid w:val="001A1529"/>
    <w:rsid w:val="001A1EED"/>
    <w:rsid w:val="001A1F68"/>
    <w:rsid w:val="001A21FA"/>
    <w:rsid w:val="001A4D7C"/>
    <w:rsid w:val="001A4EF0"/>
    <w:rsid w:val="001A552F"/>
    <w:rsid w:val="001A70B1"/>
    <w:rsid w:val="001A7388"/>
    <w:rsid w:val="001B0738"/>
    <w:rsid w:val="001B07F9"/>
    <w:rsid w:val="001B1235"/>
    <w:rsid w:val="001B158D"/>
    <w:rsid w:val="001B2CA9"/>
    <w:rsid w:val="001B3110"/>
    <w:rsid w:val="001B3E38"/>
    <w:rsid w:val="001B40F5"/>
    <w:rsid w:val="001B4729"/>
    <w:rsid w:val="001B494B"/>
    <w:rsid w:val="001B4F0E"/>
    <w:rsid w:val="001B5922"/>
    <w:rsid w:val="001B5F40"/>
    <w:rsid w:val="001B61EC"/>
    <w:rsid w:val="001B6310"/>
    <w:rsid w:val="001B63A8"/>
    <w:rsid w:val="001B6C09"/>
    <w:rsid w:val="001B6E12"/>
    <w:rsid w:val="001B7320"/>
    <w:rsid w:val="001B752A"/>
    <w:rsid w:val="001C05CD"/>
    <w:rsid w:val="001C064B"/>
    <w:rsid w:val="001C082B"/>
    <w:rsid w:val="001C0F17"/>
    <w:rsid w:val="001C1B24"/>
    <w:rsid w:val="001C1B66"/>
    <w:rsid w:val="001C1BB5"/>
    <w:rsid w:val="001C2732"/>
    <w:rsid w:val="001C2EB2"/>
    <w:rsid w:val="001C31A2"/>
    <w:rsid w:val="001C351D"/>
    <w:rsid w:val="001C3794"/>
    <w:rsid w:val="001C4A56"/>
    <w:rsid w:val="001C4B8F"/>
    <w:rsid w:val="001C4BB8"/>
    <w:rsid w:val="001C4FD0"/>
    <w:rsid w:val="001C544D"/>
    <w:rsid w:val="001C547D"/>
    <w:rsid w:val="001C5E46"/>
    <w:rsid w:val="001C6594"/>
    <w:rsid w:val="001C673E"/>
    <w:rsid w:val="001C6B3B"/>
    <w:rsid w:val="001C7A26"/>
    <w:rsid w:val="001C7E3F"/>
    <w:rsid w:val="001D02D7"/>
    <w:rsid w:val="001D0EF1"/>
    <w:rsid w:val="001D129C"/>
    <w:rsid w:val="001D22C2"/>
    <w:rsid w:val="001D2C99"/>
    <w:rsid w:val="001D386E"/>
    <w:rsid w:val="001D3B75"/>
    <w:rsid w:val="001D3D68"/>
    <w:rsid w:val="001D452E"/>
    <w:rsid w:val="001D54C1"/>
    <w:rsid w:val="001D556E"/>
    <w:rsid w:val="001D5DF2"/>
    <w:rsid w:val="001D6175"/>
    <w:rsid w:val="001D68B2"/>
    <w:rsid w:val="001D7A6E"/>
    <w:rsid w:val="001D7EFD"/>
    <w:rsid w:val="001D7F60"/>
    <w:rsid w:val="001E085B"/>
    <w:rsid w:val="001E149B"/>
    <w:rsid w:val="001E15CB"/>
    <w:rsid w:val="001E3306"/>
    <w:rsid w:val="001E3A13"/>
    <w:rsid w:val="001E504C"/>
    <w:rsid w:val="001E509E"/>
    <w:rsid w:val="001E56AC"/>
    <w:rsid w:val="001E5A17"/>
    <w:rsid w:val="001E6525"/>
    <w:rsid w:val="001E74C5"/>
    <w:rsid w:val="001F1236"/>
    <w:rsid w:val="001F1536"/>
    <w:rsid w:val="001F2F90"/>
    <w:rsid w:val="001F3BF9"/>
    <w:rsid w:val="001F3E54"/>
    <w:rsid w:val="001F4597"/>
    <w:rsid w:val="001F4826"/>
    <w:rsid w:val="001F4933"/>
    <w:rsid w:val="001F4C16"/>
    <w:rsid w:val="001F59C8"/>
    <w:rsid w:val="001F5A16"/>
    <w:rsid w:val="001F6CD3"/>
    <w:rsid w:val="001F75DA"/>
    <w:rsid w:val="001F7CE0"/>
    <w:rsid w:val="00200085"/>
    <w:rsid w:val="00203332"/>
    <w:rsid w:val="00203418"/>
    <w:rsid w:val="00203CD5"/>
    <w:rsid w:val="00203D8F"/>
    <w:rsid w:val="00203DA4"/>
    <w:rsid w:val="00203F9B"/>
    <w:rsid w:val="0020446B"/>
    <w:rsid w:val="00204563"/>
    <w:rsid w:val="00204D3D"/>
    <w:rsid w:val="00204EA6"/>
    <w:rsid w:val="00205186"/>
    <w:rsid w:val="00206516"/>
    <w:rsid w:val="00206E75"/>
    <w:rsid w:val="002070CF"/>
    <w:rsid w:val="002071D5"/>
    <w:rsid w:val="00207F4E"/>
    <w:rsid w:val="002111E5"/>
    <w:rsid w:val="0021149E"/>
    <w:rsid w:val="002118B9"/>
    <w:rsid w:val="002125EB"/>
    <w:rsid w:val="00213691"/>
    <w:rsid w:val="002142C0"/>
    <w:rsid w:val="00214CFF"/>
    <w:rsid w:val="00215602"/>
    <w:rsid w:val="00216E10"/>
    <w:rsid w:val="00217C5B"/>
    <w:rsid w:val="00220A43"/>
    <w:rsid w:val="0022139E"/>
    <w:rsid w:val="00222729"/>
    <w:rsid w:val="0022287B"/>
    <w:rsid w:val="002228DB"/>
    <w:rsid w:val="00223185"/>
    <w:rsid w:val="00223264"/>
    <w:rsid w:val="002233D6"/>
    <w:rsid w:val="0022441D"/>
    <w:rsid w:val="00224574"/>
    <w:rsid w:val="00224E3F"/>
    <w:rsid w:val="00225000"/>
    <w:rsid w:val="00225255"/>
    <w:rsid w:val="002252E0"/>
    <w:rsid w:val="0022556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0D"/>
    <w:rsid w:val="00236443"/>
    <w:rsid w:val="00236700"/>
    <w:rsid w:val="00236B3A"/>
    <w:rsid w:val="00237C8B"/>
    <w:rsid w:val="002401A3"/>
    <w:rsid w:val="00240391"/>
    <w:rsid w:val="00240AF3"/>
    <w:rsid w:val="002418D5"/>
    <w:rsid w:val="00241A9F"/>
    <w:rsid w:val="00241B06"/>
    <w:rsid w:val="0024224D"/>
    <w:rsid w:val="002426C9"/>
    <w:rsid w:val="0024343A"/>
    <w:rsid w:val="002434D1"/>
    <w:rsid w:val="002436BA"/>
    <w:rsid w:val="002438DC"/>
    <w:rsid w:val="00244652"/>
    <w:rsid w:val="00244A15"/>
    <w:rsid w:val="002452D9"/>
    <w:rsid w:val="00245800"/>
    <w:rsid w:val="002468FB"/>
    <w:rsid w:val="00247319"/>
    <w:rsid w:val="0024799E"/>
    <w:rsid w:val="00247E60"/>
    <w:rsid w:val="002511CC"/>
    <w:rsid w:val="00251496"/>
    <w:rsid w:val="002515B3"/>
    <w:rsid w:val="00251B08"/>
    <w:rsid w:val="00251C53"/>
    <w:rsid w:val="00252465"/>
    <w:rsid w:val="00252AB9"/>
    <w:rsid w:val="002532B1"/>
    <w:rsid w:val="00253C0F"/>
    <w:rsid w:val="00254C1C"/>
    <w:rsid w:val="002558C1"/>
    <w:rsid w:val="00256207"/>
    <w:rsid w:val="002575F3"/>
    <w:rsid w:val="002577BB"/>
    <w:rsid w:val="002603E1"/>
    <w:rsid w:val="002605FE"/>
    <w:rsid w:val="0026120E"/>
    <w:rsid w:val="002613D4"/>
    <w:rsid w:val="002617EE"/>
    <w:rsid w:val="00262582"/>
    <w:rsid w:val="0026291D"/>
    <w:rsid w:val="00262CF3"/>
    <w:rsid w:val="00263F44"/>
    <w:rsid w:val="00264309"/>
    <w:rsid w:val="00264992"/>
    <w:rsid w:val="00264B4F"/>
    <w:rsid w:val="0026564B"/>
    <w:rsid w:val="00265C83"/>
    <w:rsid w:val="00265E85"/>
    <w:rsid w:val="0026718D"/>
    <w:rsid w:val="00267B49"/>
    <w:rsid w:val="00267C51"/>
    <w:rsid w:val="002700D9"/>
    <w:rsid w:val="0027025F"/>
    <w:rsid w:val="002709CC"/>
    <w:rsid w:val="00270D25"/>
    <w:rsid w:val="00271022"/>
    <w:rsid w:val="00271465"/>
    <w:rsid w:val="00271A07"/>
    <w:rsid w:val="00271E47"/>
    <w:rsid w:val="0027217A"/>
    <w:rsid w:val="002721F5"/>
    <w:rsid w:val="00272DF4"/>
    <w:rsid w:val="00273A9F"/>
    <w:rsid w:val="002744B9"/>
    <w:rsid w:val="00275062"/>
    <w:rsid w:val="0027563A"/>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7A"/>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BD3"/>
    <w:rsid w:val="002C1F09"/>
    <w:rsid w:val="002C22A4"/>
    <w:rsid w:val="002C2583"/>
    <w:rsid w:val="002C260B"/>
    <w:rsid w:val="002C27A6"/>
    <w:rsid w:val="002C31E4"/>
    <w:rsid w:val="002C398D"/>
    <w:rsid w:val="002C3D02"/>
    <w:rsid w:val="002C40D2"/>
    <w:rsid w:val="002C43BD"/>
    <w:rsid w:val="002C5245"/>
    <w:rsid w:val="002C564A"/>
    <w:rsid w:val="002C59D8"/>
    <w:rsid w:val="002C5B25"/>
    <w:rsid w:val="002C5FEB"/>
    <w:rsid w:val="002C6494"/>
    <w:rsid w:val="002D05CB"/>
    <w:rsid w:val="002D0E59"/>
    <w:rsid w:val="002D1F41"/>
    <w:rsid w:val="002D2C4F"/>
    <w:rsid w:val="002D39E0"/>
    <w:rsid w:val="002D3EBB"/>
    <w:rsid w:val="002D455C"/>
    <w:rsid w:val="002D6066"/>
    <w:rsid w:val="002D6A4C"/>
    <w:rsid w:val="002E02A1"/>
    <w:rsid w:val="002E06F7"/>
    <w:rsid w:val="002E196A"/>
    <w:rsid w:val="002E1B00"/>
    <w:rsid w:val="002E1F8A"/>
    <w:rsid w:val="002E20C7"/>
    <w:rsid w:val="002E20CD"/>
    <w:rsid w:val="002E222E"/>
    <w:rsid w:val="002E25FF"/>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1F85"/>
    <w:rsid w:val="002F311F"/>
    <w:rsid w:val="002F333D"/>
    <w:rsid w:val="002F351A"/>
    <w:rsid w:val="002F46D6"/>
    <w:rsid w:val="002F498A"/>
    <w:rsid w:val="002F4AD8"/>
    <w:rsid w:val="002F5285"/>
    <w:rsid w:val="002F5820"/>
    <w:rsid w:val="002F64BB"/>
    <w:rsid w:val="002F7611"/>
    <w:rsid w:val="002F7756"/>
    <w:rsid w:val="002F7D9B"/>
    <w:rsid w:val="00300900"/>
    <w:rsid w:val="00300C31"/>
    <w:rsid w:val="00300E74"/>
    <w:rsid w:val="003017EC"/>
    <w:rsid w:val="00301FB5"/>
    <w:rsid w:val="00301FD5"/>
    <w:rsid w:val="00302165"/>
    <w:rsid w:val="00302D5A"/>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45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2F7"/>
    <w:rsid w:val="003247E1"/>
    <w:rsid w:val="00324B59"/>
    <w:rsid w:val="00325E46"/>
    <w:rsid w:val="0032656E"/>
    <w:rsid w:val="0032788F"/>
    <w:rsid w:val="0033117D"/>
    <w:rsid w:val="003313AD"/>
    <w:rsid w:val="00332190"/>
    <w:rsid w:val="00332A98"/>
    <w:rsid w:val="003334BD"/>
    <w:rsid w:val="00333973"/>
    <w:rsid w:val="00333CD0"/>
    <w:rsid w:val="0033448D"/>
    <w:rsid w:val="00334AD2"/>
    <w:rsid w:val="00334CB6"/>
    <w:rsid w:val="00335FA6"/>
    <w:rsid w:val="0033709C"/>
    <w:rsid w:val="003370C5"/>
    <w:rsid w:val="003373C6"/>
    <w:rsid w:val="0033753A"/>
    <w:rsid w:val="003378EB"/>
    <w:rsid w:val="00340BF3"/>
    <w:rsid w:val="00341D26"/>
    <w:rsid w:val="00341D2E"/>
    <w:rsid w:val="00341F05"/>
    <w:rsid w:val="00341FFE"/>
    <w:rsid w:val="00342521"/>
    <w:rsid w:val="0034335E"/>
    <w:rsid w:val="00344668"/>
    <w:rsid w:val="00344940"/>
    <w:rsid w:val="00346234"/>
    <w:rsid w:val="003462D9"/>
    <w:rsid w:val="0034723F"/>
    <w:rsid w:val="00347247"/>
    <w:rsid w:val="003474B6"/>
    <w:rsid w:val="00347A07"/>
    <w:rsid w:val="00347DD4"/>
    <w:rsid w:val="00350728"/>
    <w:rsid w:val="00352B43"/>
    <w:rsid w:val="00352C28"/>
    <w:rsid w:val="00353A0B"/>
    <w:rsid w:val="00354D85"/>
    <w:rsid w:val="00354F89"/>
    <w:rsid w:val="0035506D"/>
    <w:rsid w:val="00360663"/>
    <w:rsid w:val="0036077F"/>
    <w:rsid w:val="00360C86"/>
    <w:rsid w:val="00360F7A"/>
    <w:rsid w:val="00360FBC"/>
    <w:rsid w:val="00361537"/>
    <w:rsid w:val="00361FB7"/>
    <w:rsid w:val="0036242A"/>
    <w:rsid w:val="00362581"/>
    <w:rsid w:val="00362C23"/>
    <w:rsid w:val="00362DCA"/>
    <w:rsid w:val="00362E90"/>
    <w:rsid w:val="00363AD0"/>
    <w:rsid w:val="00364B62"/>
    <w:rsid w:val="00364FA0"/>
    <w:rsid w:val="003657F3"/>
    <w:rsid w:val="00365844"/>
    <w:rsid w:val="0036624C"/>
    <w:rsid w:val="00367F84"/>
    <w:rsid w:val="0037076B"/>
    <w:rsid w:val="003712BC"/>
    <w:rsid w:val="00372164"/>
    <w:rsid w:val="003734C8"/>
    <w:rsid w:val="003738BD"/>
    <w:rsid w:val="00374263"/>
    <w:rsid w:val="003744AA"/>
    <w:rsid w:val="003746F0"/>
    <w:rsid w:val="00374A20"/>
    <w:rsid w:val="00374E21"/>
    <w:rsid w:val="0037537A"/>
    <w:rsid w:val="00377B2E"/>
    <w:rsid w:val="0038079A"/>
    <w:rsid w:val="003808C1"/>
    <w:rsid w:val="003810F0"/>
    <w:rsid w:val="00381548"/>
    <w:rsid w:val="003815D4"/>
    <w:rsid w:val="003818DC"/>
    <w:rsid w:val="003823C4"/>
    <w:rsid w:val="00382513"/>
    <w:rsid w:val="00383388"/>
    <w:rsid w:val="003834F8"/>
    <w:rsid w:val="003838D0"/>
    <w:rsid w:val="003840C2"/>
    <w:rsid w:val="00384327"/>
    <w:rsid w:val="00384A89"/>
    <w:rsid w:val="00384E6A"/>
    <w:rsid w:val="00385086"/>
    <w:rsid w:val="00385D98"/>
    <w:rsid w:val="003863EB"/>
    <w:rsid w:val="00390306"/>
    <w:rsid w:val="003908A6"/>
    <w:rsid w:val="0039109D"/>
    <w:rsid w:val="00391527"/>
    <w:rsid w:val="00391989"/>
    <w:rsid w:val="00391A6C"/>
    <w:rsid w:val="003927F6"/>
    <w:rsid w:val="0039398D"/>
    <w:rsid w:val="003939DA"/>
    <w:rsid w:val="00393B3F"/>
    <w:rsid w:val="003962AB"/>
    <w:rsid w:val="00396739"/>
    <w:rsid w:val="003978B1"/>
    <w:rsid w:val="003A04F6"/>
    <w:rsid w:val="003A0837"/>
    <w:rsid w:val="003A2B4D"/>
    <w:rsid w:val="003A2D12"/>
    <w:rsid w:val="003A2EBA"/>
    <w:rsid w:val="003A45E3"/>
    <w:rsid w:val="003A46A0"/>
    <w:rsid w:val="003A46B8"/>
    <w:rsid w:val="003A478C"/>
    <w:rsid w:val="003A4A32"/>
    <w:rsid w:val="003A4A38"/>
    <w:rsid w:val="003A4EF2"/>
    <w:rsid w:val="003A5525"/>
    <w:rsid w:val="003A5889"/>
    <w:rsid w:val="003A5C8C"/>
    <w:rsid w:val="003A6B38"/>
    <w:rsid w:val="003A6B83"/>
    <w:rsid w:val="003A6C97"/>
    <w:rsid w:val="003A722F"/>
    <w:rsid w:val="003A7373"/>
    <w:rsid w:val="003A76A7"/>
    <w:rsid w:val="003A7D09"/>
    <w:rsid w:val="003B039F"/>
    <w:rsid w:val="003B0DF4"/>
    <w:rsid w:val="003B1AC5"/>
    <w:rsid w:val="003B1F9D"/>
    <w:rsid w:val="003B2249"/>
    <w:rsid w:val="003B2A8D"/>
    <w:rsid w:val="003B2AD1"/>
    <w:rsid w:val="003B2D2E"/>
    <w:rsid w:val="003B376A"/>
    <w:rsid w:val="003B461F"/>
    <w:rsid w:val="003B483F"/>
    <w:rsid w:val="003B4998"/>
    <w:rsid w:val="003B5A32"/>
    <w:rsid w:val="003B5B59"/>
    <w:rsid w:val="003B6D10"/>
    <w:rsid w:val="003B709D"/>
    <w:rsid w:val="003B7313"/>
    <w:rsid w:val="003B7B50"/>
    <w:rsid w:val="003C0B07"/>
    <w:rsid w:val="003C2CE7"/>
    <w:rsid w:val="003C2DB8"/>
    <w:rsid w:val="003C3490"/>
    <w:rsid w:val="003C3608"/>
    <w:rsid w:val="003C3AE8"/>
    <w:rsid w:val="003C3D2C"/>
    <w:rsid w:val="003C4014"/>
    <w:rsid w:val="003C4E13"/>
    <w:rsid w:val="003C58A5"/>
    <w:rsid w:val="003C6221"/>
    <w:rsid w:val="003C63D7"/>
    <w:rsid w:val="003C68CC"/>
    <w:rsid w:val="003C7E62"/>
    <w:rsid w:val="003D12B9"/>
    <w:rsid w:val="003D1E7A"/>
    <w:rsid w:val="003D242B"/>
    <w:rsid w:val="003D2492"/>
    <w:rsid w:val="003D29AA"/>
    <w:rsid w:val="003D2A99"/>
    <w:rsid w:val="003D34DA"/>
    <w:rsid w:val="003D472E"/>
    <w:rsid w:val="003D6920"/>
    <w:rsid w:val="003D7E94"/>
    <w:rsid w:val="003E0249"/>
    <w:rsid w:val="003E0487"/>
    <w:rsid w:val="003E08A4"/>
    <w:rsid w:val="003E1EF8"/>
    <w:rsid w:val="003E2DFB"/>
    <w:rsid w:val="003E4466"/>
    <w:rsid w:val="003E4C91"/>
    <w:rsid w:val="003E52D8"/>
    <w:rsid w:val="003E55D6"/>
    <w:rsid w:val="003E62F1"/>
    <w:rsid w:val="003E6DEE"/>
    <w:rsid w:val="003E6F84"/>
    <w:rsid w:val="003F313C"/>
    <w:rsid w:val="003F33B1"/>
    <w:rsid w:val="003F33B9"/>
    <w:rsid w:val="003F37FC"/>
    <w:rsid w:val="003F3E76"/>
    <w:rsid w:val="003F4318"/>
    <w:rsid w:val="003F4B2C"/>
    <w:rsid w:val="003F551C"/>
    <w:rsid w:val="003F626D"/>
    <w:rsid w:val="003F69BC"/>
    <w:rsid w:val="003F6B37"/>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9BA"/>
    <w:rsid w:val="00407C13"/>
    <w:rsid w:val="004103F6"/>
    <w:rsid w:val="00410638"/>
    <w:rsid w:val="00410D65"/>
    <w:rsid w:val="00412511"/>
    <w:rsid w:val="004125C2"/>
    <w:rsid w:val="00412DFA"/>
    <w:rsid w:val="00413465"/>
    <w:rsid w:val="004135F4"/>
    <w:rsid w:val="00413DBE"/>
    <w:rsid w:val="004149AC"/>
    <w:rsid w:val="0041501E"/>
    <w:rsid w:val="00415452"/>
    <w:rsid w:val="004159C3"/>
    <w:rsid w:val="00415A57"/>
    <w:rsid w:val="0041664E"/>
    <w:rsid w:val="00416DAC"/>
    <w:rsid w:val="00417849"/>
    <w:rsid w:val="00420880"/>
    <w:rsid w:val="00421179"/>
    <w:rsid w:val="00423623"/>
    <w:rsid w:val="0042470E"/>
    <w:rsid w:val="00424877"/>
    <w:rsid w:val="00425352"/>
    <w:rsid w:val="00425EC2"/>
    <w:rsid w:val="00426C99"/>
    <w:rsid w:val="00430C96"/>
    <w:rsid w:val="0043174F"/>
    <w:rsid w:val="00431BFF"/>
    <w:rsid w:val="00432199"/>
    <w:rsid w:val="0043271A"/>
    <w:rsid w:val="00432A58"/>
    <w:rsid w:val="004331C3"/>
    <w:rsid w:val="00433BC4"/>
    <w:rsid w:val="00433C17"/>
    <w:rsid w:val="00434617"/>
    <w:rsid w:val="00434DE9"/>
    <w:rsid w:val="00435051"/>
    <w:rsid w:val="00435C69"/>
    <w:rsid w:val="004360F5"/>
    <w:rsid w:val="004360FB"/>
    <w:rsid w:val="00436A40"/>
    <w:rsid w:val="00437CED"/>
    <w:rsid w:val="004407BF"/>
    <w:rsid w:val="00440900"/>
    <w:rsid w:val="0044121D"/>
    <w:rsid w:val="00441BF6"/>
    <w:rsid w:val="00441D2B"/>
    <w:rsid w:val="00441F8B"/>
    <w:rsid w:val="00442085"/>
    <w:rsid w:val="0044279E"/>
    <w:rsid w:val="00442990"/>
    <w:rsid w:val="004429BC"/>
    <w:rsid w:val="004441A0"/>
    <w:rsid w:val="0044546A"/>
    <w:rsid w:val="00445861"/>
    <w:rsid w:val="00445A8E"/>
    <w:rsid w:val="00446D44"/>
    <w:rsid w:val="00447735"/>
    <w:rsid w:val="0045078A"/>
    <w:rsid w:val="0045086D"/>
    <w:rsid w:val="00450DAB"/>
    <w:rsid w:val="00450F53"/>
    <w:rsid w:val="0045125B"/>
    <w:rsid w:val="00451E25"/>
    <w:rsid w:val="00451EF1"/>
    <w:rsid w:val="00452E60"/>
    <w:rsid w:val="0045321B"/>
    <w:rsid w:val="0045412A"/>
    <w:rsid w:val="00455F84"/>
    <w:rsid w:val="00456FE5"/>
    <w:rsid w:val="00457490"/>
    <w:rsid w:val="0045786C"/>
    <w:rsid w:val="00457953"/>
    <w:rsid w:val="004604D8"/>
    <w:rsid w:val="00460656"/>
    <w:rsid w:val="00460FB3"/>
    <w:rsid w:val="00463D3C"/>
    <w:rsid w:val="00464851"/>
    <w:rsid w:val="004649C1"/>
    <w:rsid w:val="00464AF9"/>
    <w:rsid w:val="00466359"/>
    <w:rsid w:val="00466595"/>
    <w:rsid w:val="00466B3E"/>
    <w:rsid w:val="0046746A"/>
    <w:rsid w:val="00467B14"/>
    <w:rsid w:val="004701E1"/>
    <w:rsid w:val="004707FE"/>
    <w:rsid w:val="0047080E"/>
    <w:rsid w:val="00470EDC"/>
    <w:rsid w:val="00472418"/>
    <w:rsid w:val="0047276D"/>
    <w:rsid w:val="00472AF6"/>
    <w:rsid w:val="00473482"/>
    <w:rsid w:val="00474310"/>
    <w:rsid w:val="00474646"/>
    <w:rsid w:val="00474A04"/>
    <w:rsid w:val="00474B3D"/>
    <w:rsid w:val="00476240"/>
    <w:rsid w:val="00476439"/>
    <w:rsid w:val="00476450"/>
    <w:rsid w:val="004769BF"/>
    <w:rsid w:val="004769E1"/>
    <w:rsid w:val="0047735C"/>
    <w:rsid w:val="004776BC"/>
    <w:rsid w:val="00477820"/>
    <w:rsid w:val="00477B96"/>
    <w:rsid w:val="00477DB5"/>
    <w:rsid w:val="00480802"/>
    <w:rsid w:val="00480BAE"/>
    <w:rsid w:val="00480D7F"/>
    <w:rsid w:val="0048139F"/>
    <w:rsid w:val="00481C74"/>
    <w:rsid w:val="00481E40"/>
    <w:rsid w:val="00482405"/>
    <w:rsid w:val="004826A7"/>
    <w:rsid w:val="0048368C"/>
    <w:rsid w:val="0048372F"/>
    <w:rsid w:val="00483A0C"/>
    <w:rsid w:val="004841CC"/>
    <w:rsid w:val="00484ECE"/>
    <w:rsid w:val="00485E82"/>
    <w:rsid w:val="00486132"/>
    <w:rsid w:val="004867CC"/>
    <w:rsid w:val="0048686D"/>
    <w:rsid w:val="00486A4D"/>
    <w:rsid w:val="004915CB"/>
    <w:rsid w:val="004924DC"/>
    <w:rsid w:val="00492879"/>
    <w:rsid w:val="004933FF"/>
    <w:rsid w:val="00493E85"/>
    <w:rsid w:val="00495145"/>
    <w:rsid w:val="0049531F"/>
    <w:rsid w:val="00496EC3"/>
    <w:rsid w:val="004979A5"/>
    <w:rsid w:val="00497FD4"/>
    <w:rsid w:val="004A0144"/>
    <w:rsid w:val="004A036E"/>
    <w:rsid w:val="004A0498"/>
    <w:rsid w:val="004A0597"/>
    <w:rsid w:val="004A06B0"/>
    <w:rsid w:val="004A0D0E"/>
    <w:rsid w:val="004A127D"/>
    <w:rsid w:val="004A14E4"/>
    <w:rsid w:val="004A204E"/>
    <w:rsid w:val="004A26A5"/>
    <w:rsid w:val="004A27F0"/>
    <w:rsid w:val="004A3212"/>
    <w:rsid w:val="004A37CD"/>
    <w:rsid w:val="004A40D9"/>
    <w:rsid w:val="004A49A5"/>
    <w:rsid w:val="004A4BE6"/>
    <w:rsid w:val="004A4F8A"/>
    <w:rsid w:val="004A52AB"/>
    <w:rsid w:val="004A5494"/>
    <w:rsid w:val="004A5A24"/>
    <w:rsid w:val="004A5AC1"/>
    <w:rsid w:val="004A5D4E"/>
    <w:rsid w:val="004A61C5"/>
    <w:rsid w:val="004A62A0"/>
    <w:rsid w:val="004A77DF"/>
    <w:rsid w:val="004B1417"/>
    <w:rsid w:val="004B305C"/>
    <w:rsid w:val="004B31B8"/>
    <w:rsid w:val="004B339A"/>
    <w:rsid w:val="004B4C83"/>
    <w:rsid w:val="004B55B7"/>
    <w:rsid w:val="004B5BFA"/>
    <w:rsid w:val="004B619E"/>
    <w:rsid w:val="004B6468"/>
    <w:rsid w:val="004B67FC"/>
    <w:rsid w:val="004B6EF8"/>
    <w:rsid w:val="004B7125"/>
    <w:rsid w:val="004B756A"/>
    <w:rsid w:val="004B7FB1"/>
    <w:rsid w:val="004C0B3F"/>
    <w:rsid w:val="004C0F87"/>
    <w:rsid w:val="004C258C"/>
    <w:rsid w:val="004C25F9"/>
    <w:rsid w:val="004C2794"/>
    <w:rsid w:val="004C2BB6"/>
    <w:rsid w:val="004C2C2D"/>
    <w:rsid w:val="004C3027"/>
    <w:rsid w:val="004C32A9"/>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0DE"/>
    <w:rsid w:val="004D2D31"/>
    <w:rsid w:val="004D2DBD"/>
    <w:rsid w:val="004D2E03"/>
    <w:rsid w:val="004D3296"/>
    <w:rsid w:val="004D4056"/>
    <w:rsid w:val="004D42F8"/>
    <w:rsid w:val="004D45B7"/>
    <w:rsid w:val="004D4CB0"/>
    <w:rsid w:val="004D57FF"/>
    <w:rsid w:val="004D5ACB"/>
    <w:rsid w:val="004D5B0F"/>
    <w:rsid w:val="004D7626"/>
    <w:rsid w:val="004E10D9"/>
    <w:rsid w:val="004E186A"/>
    <w:rsid w:val="004E1A40"/>
    <w:rsid w:val="004E200A"/>
    <w:rsid w:val="004E23FC"/>
    <w:rsid w:val="004E2409"/>
    <w:rsid w:val="004E261D"/>
    <w:rsid w:val="004E36CA"/>
    <w:rsid w:val="004E3927"/>
    <w:rsid w:val="004E3B7F"/>
    <w:rsid w:val="004E3C34"/>
    <w:rsid w:val="004E57BF"/>
    <w:rsid w:val="004E5F41"/>
    <w:rsid w:val="004E6011"/>
    <w:rsid w:val="004E6DE6"/>
    <w:rsid w:val="004E765E"/>
    <w:rsid w:val="004E7815"/>
    <w:rsid w:val="004F06F5"/>
    <w:rsid w:val="004F12A4"/>
    <w:rsid w:val="004F253F"/>
    <w:rsid w:val="004F33A0"/>
    <w:rsid w:val="004F3873"/>
    <w:rsid w:val="004F3BD2"/>
    <w:rsid w:val="004F3D93"/>
    <w:rsid w:val="004F3ECA"/>
    <w:rsid w:val="004F46ED"/>
    <w:rsid w:val="004F49A3"/>
    <w:rsid w:val="004F4C99"/>
    <w:rsid w:val="004F5226"/>
    <w:rsid w:val="004F5358"/>
    <w:rsid w:val="004F6484"/>
    <w:rsid w:val="004F6539"/>
    <w:rsid w:val="004F665D"/>
    <w:rsid w:val="004F7395"/>
    <w:rsid w:val="00503D54"/>
    <w:rsid w:val="00504720"/>
    <w:rsid w:val="005048E2"/>
    <w:rsid w:val="00504A69"/>
    <w:rsid w:val="00505FAA"/>
    <w:rsid w:val="00505FC8"/>
    <w:rsid w:val="00506603"/>
    <w:rsid w:val="0050689D"/>
    <w:rsid w:val="00506F4A"/>
    <w:rsid w:val="00507032"/>
    <w:rsid w:val="00507216"/>
    <w:rsid w:val="005077F5"/>
    <w:rsid w:val="005108C0"/>
    <w:rsid w:val="0051094F"/>
    <w:rsid w:val="00511217"/>
    <w:rsid w:val="00511873"/>
    <w:rsid w:val="00511BAF"/>
    <w:rsid w:val="00512461"/>
    <w:rsid w:val="00512585"/>
    <w:rsid w:val="00512A2F"/>
    <w:rsid w:val="005136FA"/>
    <w:rsid w:val="00513B7E"/>
    <w:rsid w:val="00513E9D"/>
    <w:rsid w:val="0051475D"/>
    <w:rsid w:val="00514B11"/>
    <w:rsid w:val="00515485"/>
    <w:rsid w:val="00515BE9"/>
    <w:rsid w:val="00515C74"/>
    <w:rsid w:val="0051630F"/>
    <w:rsid w:val="005169D3"/>
    <w:rsid w:val="005170C3"/>
    <w:rsid w:val="00517113"/>
    <w:rsid w:val="0052007E"/>
    <w:rsid w:val="00521CAD"/>
    <w:rsid w:val="0052200D"/>
    <w:rsid w:val="00522425"/>
    <w:rsid w:val="005224F8"/>
    <w:rsid w:val="00522A1B"/>
    <w:rsid w:val="00522E01"/>
    <w:rsid w:val="0052337A"/>
    <w:rsid w:val="00523908"/>
    <w:rsid w:val="00524385"/>
    <w:rsid w:val="005246BE"/>
    <w:rsid w:val="00525137"/>
    <w:rsid w:val="005251DD"/>
    <w:rsid w:val="0052762C"/>
    <w:rsid w:val="0053012B"/>
    <w:rsid w:val="005301A6"/>
    <w:rsid w:val="00530A68"/>
    <w:rsid w:val="00530AD4"/>
    <w:rsid w:val="0053129F"/>
    <w:rsid w:val="005318C3"/>
    <w:rsid w:val="00531C5A"/>
    <w:rsid w:val="00532CE7"/>
    <w:rsid w:val="00532D8B"/>
    <w:rsid w:val="0053324C"/>
    <w:rsid w:val="005337A1"/>
    <w:rsid w:val="00533A8D"/>
    <w:rsid w:val="00533D9E"/>
    <w:rsid w:val="00534A28"/>
    <w:rsid w:val="00535018"/>
    <w:rsid w:val="0053595E"/>
    <w:rsid w:val="00537571"/>
    <w:rsid w:val="00540056"/>
    <w:rsid w:val="005410E2"/>
    <w:rsid w:val="00541508"/>
    <w:rsid w:val="00541AE3"/>
    <w:rsid w:val="005431E6"/>
    <w:rsid w:val="00543498"/>
    <w:rsid w:val="00544011"/>
    <w:rsid w:val="00544BE5"/>
    <w:rsid w:val="005453A3"/>
    <w:rsid w:val="005455F6"/>
    <w:rsid w:val="00545631"/>
    <w:rsid w:val="0054582F"/>
    <w:rsid w:val="00546FC7"/>
    <w:rsid w:val="005500F9"/>
    <w:rsid w:val="00550160"/>
    <w:rsid w:val="005508EB"/>
    <w:rsid w:val="005519E2"/>
    <w:rsid w:val="00552152"/>
    <w:rsid w:val="0055230D"/>
    <w:rsid w:val="005523A8"/>
    <w:rsid w:val="00552796"/>
    <w:rsid w:val="00552F2C"/>
    <w:rsid w:val="00553A25"/>
    <w:rsid w:val="005547EB"/>
    <w:rsid w:val="00554863"/>
    <w:rsid w:val="005555E0"/>
    <w:rsid w:val="00555713"/>
    <w:rsid w:val="0055599F"/>
    <w:rsid w:val="00556621"/>
    <w:rsid w:val="00556D68"/>
    <w:rsid w:val="0055707B"/>
    <w:rsid w:val="005570D6"/>
    <w:rsid w:val="00557B02"/>
    <w:rsid w:val="00557E0E"/>
    <w:rsid w:val="00557E45"/>
    <w:rsid w:val="00560C41"/>
    <w:rsid w:val="00560CAC"/>
    <w:rsid w:val="00561F44"/>
    <w:rsid w:val="00562B4D"/>
    <w:rsid w:val="00562DB1"/>
    <w:rsid w:val="00563EB8"/>
    <w:rsid w:val="005647BF"/>
    <w:rsid w:val="00564AF1"/>
    <w:rsid w:val="00564EEE"/>
    <w:rsid w:val="005655DB"/>
    <w:rsid w:val="00565E88"/>
    <w:rsid w:val="00567339"/>
    <w:rsid w:val="005678EE"/>
    <w:rsid w:val="00567910"/>
    <w:rsid w:val="00570270"/>
    <w:rsid w:val="00570464"/>
    <w:rsid w:val="00570BC3"/>
    <w:rsid w:val="0057182A"/>
    <w:rsid w:val="00571E59"/>
    <w:rsid w:val="00572079"/>
    <w:rsid w:val="00572900"/>
    <w:rsid w:val="005731CA"/>
    <w:rsid w:val="00573343"/>
    <w:rsid w:val="00573602"/>
    <w:rsid w:val="0057364B"/>
    <w:rsid w:val="00574773"/>
    <w:rsid w:val="005761EC"/>
    <w:rsid w:val="00577C07"/>
    <w:rsid w:val="00577DB1"/>
    <w:rsid w:val="0058075B"/>
    <w:rsid w:val="00580AD3"/>
    <w:rsid w:val="00580DE7"/>
    <w:rsid w:val="00580E89"/>
    <w:rsid w:val="005810E1"/>
    <w:rsid w:val="005820CD"/>
    <w:rsid w:val="005823F4"/>
    <w:rsid w:val="00582530"/>
    <w:rsid w:val="00583BDD"/>
    <w:rsid w:val="00583E52"/>
    <w:rsid w:val="00583FFD"/>
    <w:rsid w:val="00584252"/>
    <w:rsid w:val="005848DD"/>
    <w:rsid w:val="0058519A"/>
    <w:rsid w:val="005856BD"/>
    <w:rsid w:val="00585983"/>
    <w:rsid w:val="00586BCA"/>
    <w:rsid w:val="00587038"/>
    <w:rsid w:val="005877E0"/>
    <w:rsid w:val="00590608"/>
    <w:rsid w:val="00590B28"/>
    <w:rsid w:val="005911BE"/>
    <w:rsid w:val="00591273"/>
    <w:rsid w:val="00591E9E"/>
    <w:rsid w:val="005927A4"/>
    <w:rsid w:val="00593152"/>
    <w:rsid w:val="00593319"/>
    <w:rsid w:val="00593389"/>
    <w:rsid w:val="00593407"/>
    <w:rsid w:val="00593FE6"/>
    <w:rsid w:val="005956A3"/>
    <w:rsid w:val="00595958"/>
    <w:rsid w:val="00595CAB"/>
    <w:rsid w:val="0059622E"/>
    <w:rsid w:val="00597671"/>
    <w:rsid w:val="00597BBF"/>
    <w:rsid w:val="00597E79"/>
    <w:rsid w:val="005A0463"/>
    <w:rsid w:val="005A0948"/>
    <w:rsid w:val="005A0A03"/>
    <w:rsid w:val="005A0F21"/>
    <w:rsid w:val="005A10F2"/>
    <w:rsid w:val="005A16C0"/>
    <w:rsid w:val="005A2156"/>
    <w:rsid w:val="005A21E0"/>
    <w:rsid w:val="005A28FF"/>
    <w:rsid w:val="005A2C09"/>
    <w:rsid w:val="005A3778"/>
    <w:rsid w:val="005A37B0"/>
    <w:rsid w:val="005A3DF8"/>
    <w:rsid w:val="005A5549"/>
    <w:rsid w:val="005A566A"/>
    <w:rsid w:val="005A7756"/>
    <w:rsid w:val="005A7ABD"/>
    <w:rsid w:val="005A7CF8"/>
    <w:rsid w:val="005B0EDA"/>
    <w:rsid w:val="005B121D"/>
    <w:rsid w:val="005B26B0"/>
    <w:rsid w:val="005B418A"/>
    <w:rsid w:val="005B41C9"/>
    <w:rsid w:val="005B44E6"/>
    <w:rsid w:val="005B4853"/>
    <w:rsid w:val="005B4FC7"/>
    <w:rsid w:val="005B6CA1"/>
    <w:rsid w:val="005B770C"/>
    <w:rsid w:val="005C016A"/>
    <w:rsid w:val="005C06ED"/>
    <w:rsid w:val="005C0CE1"/>
    <w:rsid w:val="005C11B8"/>
    <w:rsid w:val="005C216C"/>
    <w:rsid w:val="005C2609"/>
    <w:rsid w:val="005C2B30"/>
    <w:rsid w:val="005C32E1"/>
    <w:rsid w:val="005C412B"/>
    <w:rsid w:val="005C431E"/>
    <w:rsid w:val="005C43EC"/>
    <w:rsid w:val="005C45DD"/>
    <w:rsid w:val="005C4704"/>
    <w:rsid w:val="005C4CB1"/>
    <w:rsid w:val="005C6558"/>
    <w:rsid w:val="005D2FD8"/>
    <w:rsid w:val="005D3F06"/>
    <w:rsid w:val="005D4B73"/>
    <w:rsid w:val="005D5645"/>
    <w:rsid w:val="005D5802"/>
    <w:rsid w:val="005D5AA9"/>
    <w:rsid w:val="005D66E6"/>
    <w:rsid w:val="005D703F"/>
    <w:rsid w:val="005D7119"/>
    <w:rsid w:val="005D76C8"/>
    <w:rsid w:val="005D7890"/>
    <w:rsid w:val="005E021D"/>
    <w:rsid w:val="005E19C1"/>
    <w:rsid w:val="005E2194"/>
    <w:rsid w:val="005E24F0"/>
    <w:rsid w:val="005E30A8"/>
    <w:rsid w:val="005E3113"/>
    <w:rsid w:val="005E3515"/>
    <w:rsid w:val="005E36FE"/>
    <w:rsid w:val="005E3F66"/>
    <w:rsid w:val="005E490F"/>
    <w:rsid w:val="005E4BC9"/>
    <w:rsid w:val="005E5314"/>
    <w:rsid w:val="005E6D0F"/>
    <w:rsid w:val="005E7C78"/>
    <w:rsid w:val="005F04A7"/>
    <w:rsid w:val="005F114F"/>
    <w:rsid w:val="005F1255"/>
    <w:rsid w:val="005F18C5"/>
    <w:rsid w:val="005F2463"/>
    <w:rsid w:val="005F2A08"/>
    <w:rsid w:val="005F353D"/>
    <w:rsid w:val="005F36CC"/>
    <w:rsid w:val="005F3EB1"/>
    <w:rsid w:val="005F40CA"/>
    <w:rsid w:val="005F413E"/>
    <w:rsid w:val="005F466B"/>
    <w:rsid w:val="005F46D8"/>
    <w:rsid w:val="005F480F"/>
    <w:rsid w:val="005F5469"/>
    <w:rsid w:val="005F5B50"/>
    <w:rsid w:val="005F63F3"/>
    <w:rsid w:val="005F66F0"/>
    <w:rsid w:val="005F6D7F"/>
    <w:rsid w:val="005F7174"/>
    <w:rsid w:val="00600FFC"/>
    <w:rsid w:val="0060120D"/>
    <w:rsid w:val="006017C1"/>
    <w:rsid w:val="00601ADE"/>
    <w:rsid w:val="00601EEF"/>
    <w:rsid w:val="0060255A"/>
    <w:rsid w:val="0060279D"/>
    <w:rsid w:val="00602998"/>
    <w:rsid w:val="00602EB3"/>
    <w:rsid w:val="0060384A"/>
    <w:rsid w:val="00603DC9"/>
    <w:rsid w:val="00604307"/>
    <w:rsid w:val="006044A3"/>
    <w:rsid w:val="0060487F"/>
    <w:rsid w:val="00604EAD"/>
    <w:rsid w:val="0060513F"/>
    <w:rsid w:val="00605A97"/>
    <w:rsid w:val="006065E2"/>
    <w:rsid w:val="0060694B"/>
    <w:rsid w:val="006104FB"/>
    <w:rsid w:val="0061176D"/>
    <w:rsid w:val="0061200F"/>
    <w:rsid w:val="00612756"/>
    <w:rsid w:val="00612A2F"/>
    <w:rsid w:val="00612AAE"/>
    <w:rsid w:val="00612B07"/>
    <w:rsid w:val="00612FD9"/>
    <w:rsid w:val="0061333D"/>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4B45"/>
    <w:rsid w:val="00625A84"/>
    <w:rsid w:val="0062604A"/>
    <w:rsid w:val="00626079"/>
    <w:rsid w:val="00627A5F"/>
    <w:rsid w:val="006301D2"/>
    <w:rsid w:val="00631698"/>
    <w:rsid w:val="006319BC"/>
    <w:rsid w:val="00631E44"/>
    <w:rsid w:val="006344C3"/>
    <w:rsid w:val="006347C6"/>
    <w:rsid w:val="00634C57"/>
    <w:rsid w:val="00634CE7"/>
    <w:rsid w:val="00634DCA"/>
    <w:rsid w:val="006350D5"/>
    <w:rsid w:val="0063642C"/>
    <w:rsid w:val="006365C6"/>
    <w:rsid w:val="006369CC"/>
    <w:rsid w:val="006376B3"/>
    <w:rsid w:val="00637858"/>
    <w:rsid w:val="006404A7"/>
    <w:rsid w:val="00640A38"/>
    <w:rsid w:val="00640E6B"/>
    <w:rsid w:val="00641787"/>
    <w:rsid w:val="0064179B"/>
    <w:rsid w:val="0064200D"/>
    <w:rsid w:val="00642489"/>
    <w:rsid w:val="006425DA"/>
    <w:rsid w:val="00644055"/>
    <w:rsid w:val="00644137"/>
    <w:rsid w:val="0064478C"/>
    <w:rsid w:val="00645160"/>
    <w:rsid w:val="006451E4"/>
    <w:rsid w:val="0064527F"/>
    <w:rsid w:val="0064574B"/>
    <w:rsid w:val="0064587C"/>
    <w:rsid w:val="00645B33"/>
    <w:rsid w:val="006516CB"/>
    <w:rsid w:val="00652165"/>
    <w:rsid w:val="00652E30"/>
    <w:rsid w:val="00653BD0"/>
    <w:rsid w:val="00654110"/>
    <w:rsid w:val="00655BD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455"/>
    <w:rsid w:val="006657AF"/>
    <w:rsid w:val="00665982"/>
    <w:rsid w:val="00665BA4"/>
    <w:rsid w:val="00666479"/>
    <w:rsid w:val="00666B00"/>
    <w:rsid w:val="00666BF3"/>
    <w:rsid w:val="00667203"/>
    <w:rsid w:val="00667856"/>
    <w:rsid w:val="00667AF2"/>
    <w:rsid w:val="00667F1B"/>
    <w:rsid w:val="00670489"/>
    <w:rsid w:val="006710C9"/>
    <w:rsid w:val="00671D85"/>
    <w:rsid w:val="006723AD"/>
    <w:rsid w:val="00672586"/>
    <w:rsid w:val="006741CD"/>
    <w:rsid w:val="00674B62"/>
    <w:rsid w:val="00674D89"/>
    <w:rsid w:val="0067514E"/>
    <w:rsid w:val="00675E37"/>
    <w:rsid w:val="006762B5"/>
    <w:rsid w:val="0067635D"/>
    <w:rsid w:val="0067657E"/>
    <w:rsid w:val="00676736"/>
    <w:rsid w:val="006769A4"/>
    <w:rsid w:val="006769C6"/>
    <w:rsid w:val="00676D76"/>
    <w:rsid w:val="00676F9F"/>
    <w:rsid w:val="00677519"/>
    <w:rsid w:val="00677591"/>
    <w:rsid w:val="00677594"/>
    <w:rsid w:val="00677FA3"/>
    <w:rsid w:val="0068032F"/>
    <w:rsid w:val="00680443"/>
    <w:rsid w:val="00680D37"/>
    <w:rsid w:val="0068174E"/>
    <w:rsid w:val="00681DCE"/>
    <w:rsid w:val="00682110"/>
    <w:rsid w:val="0068260E"/>
    <w:rsid w:val="00683EB8"/>
    <w:rsid w:val="006846B3"/>
    <w:rsid w:val="00684851"/>
    <w:rsid w:val="00684B9B"/>
    <w:rsid w:val="00684D59"/>
    <w:rsid w:val="00684E25"/>
    <w:rsid w:val="006858A4"/>
    <w:rsid w:val="00685C08"/>
    <w:rsid w:val="00686718"/>
    <w:rsid w:val="00686BFA"/>
    <w:rsid w:val="00686DED"/>
    <w:rsid w:val="00686F03"/>
    <w:rsid w:val="006875A0"/>
    <w:rsid w:val="006878C6"/>
    <w:rsid w:val="00687D27"/>
    <w:rsid w:val="00687D2B"/>
    <w:rsid w:val="006904BB"/>
    <w:rsid w:val="00691943"/>
    <w:rsid w:val="0069225B"/>
    <w:rsid w:val="00693550"/>
    <w:rsid w:val="00694622"/>
    <w:rsid w:val="00695065"/>
    <w:rsid w:val="00695BEF"/>
    <w:rsid w:val="00696225"/>
    <w:rsid w:val="00696251"/>
    <w:rsid w:val="006963A7"/>
    <w:rsid w:val="006966C7"/>
    <w:rsid w:val="006968C1"/>
    <w:rsid w:val="006977F6"/>
    <w:rsid w:val="00697A13"/>
    <w:rsid w:val="00697FFC"/>
    <w:rsid w:val="006A01C3"/>
    <w:rsid w:val="006A08CE"/>
    <w:rsid w:val="006A0DD4"/>
    <w:rsid w:val="006A109C"/>
    <w:rsid w:val="006A209C"/>
    <w:rsid w:val="006A4E91"/>
    <w:rsid w:val="006A5F4B"/>
    <w:rsid w:val="006A6114"/>
    <w:rsid w:val="006A6565"/>
    <w:rsid w:val="006A6A4C"/>
    <w:rsid w:val="006A7665"/>
    <w:rsid w:val="006A7691"/>
    <w:rsid w:val="006A7EE2"/>
    <w:rsid w:val="006B0514"/>
    <w:rsid w:val="006B0F92"/>
    <w:rsid w:val="006B2785"/>
    <w:rsid w:val="006B27C7"/>
    <w:rsid w:val="006B344A"/>
    <w:rsid w:val="006B4CBF"/>
    <w:rsid w:val="006B502E"/>
    <w:rsid w:val="006B58C9"/>
    <w:rsid w:val="006B60ED"/>
    <w:rsid w:val="006B6CC5"/>
    <w:rsid w:val="006B6D3E"/>
    <w:rsid w:val="006B74AC"/>
    <w:rsid w:val="006B78D8"/>
    <w:rsid w:val="006B79EA"/>
    <w:rsid w:val="006B79EE"/>
    <w:rsid w:val="006C0C5D"/>
    <w:rsid w:val="006C113F"/>
    <w:rsid w:val="006C123E"/>
    <w:rsid w:val="006C15A1"/>
    <w:rsid w:val="006C1752"/>
    <w:rsid w:val="006C1BF0"/>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D6CE9"/>
    <w:rsid w:val="006E0095"/>
    <w:rsid w:val="006E1081"/>
    <w:rsid w:val="006E1332"/>
    <w:rsid w:val="006E19CB"/>
    <w:rsid w:val="006E1DF6"/>
    <w:rsid w:val="006E279A"/>
    <w:rsid w:val="006E313B"/>
    <w:rsid w:val="006E34B2"/>
    <w:rsid w:val="006E3A45"/>
    <w:rsid w:val="006E3AB8"/>
    <w:rsid w:val="006E4078"/>
    <w:rsid w:val="006E51C4"/>
    <w:rsid w:val="006E53AD"/>
    <w:rsid w:val="006E58CB"/>
    <w:rsid w:val="006E6A93"/>
    <w:rsid w:val="006E7227"/>
    <w:rsid w:val="006E761A"/>
    <w:rsid w:val="006F0646"/>
    <w:rsid w:val="006F0741"/>
    <w:rsid w:val="006F1C27"/>
    <w:rsid w:val="006F1F09"/>
    <w:rsid w:val="006F2992"/>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373"/>
    <w:rsid w:val="00701C0D"/>
    <w:rsid w:val="00701C1E"/>
    <w:rsid w:val="0070398A"/>
    <w:rsid w:val="00705242"/>
    <w:rsid w:val="007055E0"/>
    <w:rsid w:val="007056ED"/>
    <w:rsid w:val="00705F4E"/>
    <w:rsid w:val="0070658E"/>
    <w:rsid w:val="007065C5"/>
    <w:rsid w:val="007068E1"/>
    <w:rsid w:val="00706AA0"/>
    <w:rsid w:val="00706AD4"/>
    <w:rsid w:val="00707150"/>
    <w:rsid w:val="007118D5"/>
    <w:rsid w:val="007124D7"/>
    <w:rsid w:val="007129DE"/>
    <w:rsid w:val="00712C20"/>
    <w:rsid w:val="00713549"/>
    <w:rsid w:val="007140BE"/>
    <w:rsid w:val="007147AB"/>
    <w:rsid w:val="00714D3E"/>
    <w:rsid w:val="00715502"/>
    <w:rsid w:val="00715D01"/>
    <w:rsid w:val="00715E4D"/>
    <w:rsid w:val="00715F12"/>
    <w:rsid w:val="0071677A"/>
    <w:rsid w:val="007168F1"/>
    <w:rsid w:val="00716F48"/>
    <w:rsid w:val="007170FB"/>
    <w:rsid w:val="00717114"/>
    <w:rsid w:val="0071779F"/>
    <w:rsid w:val="007202BD"/>
    <w:rsid w:val="00720310"/>
    <w:rsid w:val="00720D7A"/>
    <w:rsid w:val="007210D0"/>
    <w:rsid w:val="007211F5"/>
    <w:rsid w:val="007213C3"/>
    <w:rsid w:val="00721601"/>
    <w:rsid w:val="00722777"/>
    <w:rsid w:val="00723435"/>
    <w:rsid w:val="00723436"/>
    <w:rsid w:val="00723EFB"/>
    <w:rsid w:val="007240E2"/>
    <w:rsid w:val="007243A2"/>
    <w:rsid w:val="0072454C"/>
    <w:rsid w:val="00725647"/>
    <w:rsid w:val="0072583E"/>
    <w:rsid w:val="00725BB5"/>
    <w:rsid w:val="00727240"/>
    <w:rsid w:val="00727C02"/>
    <w:rsid w:val="0073008E"/>
    <w:rsid w:val="00730A8B"/>
    <w:rsid w:val="00730AE8"/>
    <w:rsid w:val="00730DA9"/>
    <w:rsid w:val="00730F1B"/>
    <w:rsid w:val="0073186D"/>
    <w:rsid w:val="00731D3A"/>
    <w:rsid w:val="00732258"/>
    <w:rsid w:val="0073261D"/>
    <w:rsid w:val="0073333D"/>
    <w:rsid w:val="007343D9"/>
    <w:rsid w:val="00734F71"/>
    <w:rsid w:val="00735301"/>
    <w:rsid w:val="00735448"/>
    <w:rsid w:val="00736BB4"/>
    <w:rsid w:val="00736F07"/>
    <w:rsid w:val="007377BD"/>
    <w:rsid w:val="00737DEC"/>
    <w:rsid w:val="0074004D"/>
    <w:rsid w:val="00740DDF"/>
    <w:rsid w:val="00741493"/>
    <w:rsid w:val="007434E5"/>
    <w:rsid w:val="0074499B"/>
    <w:rsid w:val="007450BF"/>
    <w:rsid w:val="00746F45"/>
    <w:rsid w:val="007471A1"/>
    <w:rsid w:val="007477BD"/>
    <w:rsid w:val="007477DA"/>
    <w:rsid w:val="00747EE9"/>
    <w:rsid w:val="00750275"/>
    <w:rsid w:val="007520B6"/>
    <w:rsid w:val="00752180"/>
    <w:rsid w:val="00752323"/>
    <w:rsid w:val="00752330"/>
    <w:rsid w:val="007532B7"/>
    <w:rsid w:val="00753630"/>
    <w:rsid w:val="0075399B"/>
    <w:rsid w:val="00753CAB"/>
    <w:rsid w:val="00754A70"/>
    <w:rsid w:val="00754BC9"/>
    <w:rsid w:val="00755202"/>
    <w:rsid w:val="00755D3A"/>
    <w:rsid w:val="007562AA"/>
    <w:rsid w:val="007563D7"/>
    <w:rsid w:val="00757241"/>
    <w:rsid w:val="0075751D"/>
    <w:rsid w:val="0075763E"/>
    <w:rsid w:val="007578D3"/>
    <w:rsid w:val="00757A01"/>
    <w:rsid w:val="007602CF"/>
    <w:rsid w:val="00760391"/>
    <w:rsid w:val="007607E0"/>
    <w:rsid w:val="007609C6"/>
    <w:rsid w:val="00760B2F"/>
    <w:rsid w:val="007615F3"/>
    <w:rsid w:val="0076175D"/>
    <w:rsid w:val="00761CB5"/>
    <w:rsid w:val="007629D5"/>
    <w:rsid w:val="007635F8"/>
    <w:rsid w:val="00763B85"/>
    <w:rsid w:val="00764231"/>
    <w:rsid w:val="00764974"/>
    <w:rsid w:val="00764D17"/>
    <w:rsid w:val="00764D18"/>
    <w:rsid w:val="0076521E"/>
    <w:rsid w:val="00765BCC"/>
    <w:rsid w:val="0076600D"/>
    <w:rsid w:val="007661E9"/>
    <w:rsid w:val="0076636A"/>
    <w:rsid w:val="00766460"/>
    <w:rsid w:val="00767062"/>
    <w:rsid w:val="00767601"/>
    <w:rsid w:val="00767777"/>
    <w:rsid w:val="00770CFC"/>
    <w:rsid w:val="0077130E"/>
    <w:rsid w:val="007715EE"/>
    <w:rsid w:val="00771972"/>
    <w:rsid w:val="00772279"/>
    <w:rsid w:val="00772DAB"/>
    <w:rsid w:val="00772FF9"/>
    <w:rsid w:val="0077348B"/>
    <w:rsid w:val="007743DB"/>
    <w:rsid w:val="0077463E"/>
    <w:rsid w:val="00774D2C"/>
    <w:rsid w:val="0077605B"/>
    <w:rsid w:val="00776169"/>
    <w:rsid w:val="00776527"/>
    <w:rsid w:val="00777040"/>
    <w:rsid w:val="00777CE6"/>
    <w:rsid w:val="00777D57"/>
    <w:rsid w:val="007800BC"/>
    <w:rsid w:val="00780EF1"/>
    <w:rsid w:val="00781A91"/>
    <w:rsid w:val="00781AD3"/>
    <w:rsid w:val="00781F36"/>
    <w:rsid w:val="00783576"/>
    <w:rsid w:val="00785778"/>
    <w:rsid w:val="00785EC7"/>
    <w:rsid w:val="00786C87"/>
    <w:rsid w:val="0078755E"/>
    <w:rsid w:val="007877C9"/>
    <w:rsid w:val="00790764"/>
    <w:rsid w:val="0079085F"/>
    <w:rsid w:val="00790943"/>
    <w:rsid w:val="00790E96"/>
    <w:rsid w:val="00791005"/>
    <w:rsid w:val="007910A8"/>
    <w:rsid w:val="007918DF"/>
    <w:rsid w:val="00793D78"/>
    <w:rsid w:val="0079420B"/>
    <w:rsid w:val="0079453C"/>
    <w:rsid w:val="00794677"/>
    <w:rsid w:val="00794827"/>
    <w:rsid w:val="00795759"/>
    <w:rsid w:val="00795C29"/>
    <w:rsid w:val="007A011D"/>
    <w:rsid w:val="007A170B"/>
    <w:rsid w:val="007A1D4F"/>
    <w:rsid w:val="007A20EB"/>
    <w:rsid w:val="007A26FD"/>
    <w:rsid w:val="007A282C"/>
    <w:rsid w:val="007A293C"/>
    <w:rsid w:val="007A2A3A"/>
    <w:rsid w:val="007A33E2"/>
    <w:rsid w:val="007A3CAF"/>
    <w:rsid w:val="007A4664"/>
    <w:rsid w:val="007A4782"/>
    <w:rsid w:val="007A4E9B"/>
    <w:rsid w:val="007A50A1"/>
    <w:rsid w:val="007A516D"/>
    <w:rsid w:val="007A5E65"/>
    <w:rsid w:val="007A65E1"/>
    <w:rsid w:val="007A6AAA"/>
    <w:rsid w:val="007A7033"/>
    <w:rsid w:val="007A714A"/>
    <w:rsid w:val="007A775D"/>
    <w:rsid w:val="007B04B0"/>
    <w:rsid w:val="007B04C6"/>
    <w:rsid w:val="007B0834"/>
    <w:rsid w:val="007B0E83"/>
    <w:rsid w:val="007B11FA"/>
    <w:rsid w:val="007B1396"/>
    <w:rsid w:val="007B16D6"/>
    <w:rsid w:val="007B2011"/>
    <w:rsid w:val="007B2BC5"/>
    <w:rsid w:val="007B2CFE"/>
    <w:rsid w:val="007B309B"/>
    <w:rsid w:val="007B309E"/>
    <w:rsid w:val="007B3D5E"/>
    <w:rsid w:val="007B3DCB"/>
    <w:rsid w:val="007B5725"/>
    <w:rsid w:val="007B5C1F"/>
    <w:rsid w:val="007B6689"/>
    <w:rsid w:val="007B6747"/>
    <w:rsid w:val="007B6F72"/>
    <w:rsid w:val="007B74AA"/>
    <w:rsid w:val="007C10BD"/>
    <w:rsid w:val="007C162D"/>
    <w:rsid w:val="007C1F0C"/>
    <w:rsid w:val="007C1FFB"/>
    <w:rsid w:val="007C2B93"/>
    <w:rsid w:val="007C2D94"/>
    <w:rsid w:val="007C3418"/>
    <w:rsid w:val="007C4A6B"/>
    <w:rsid w:val="007C4CDC"/>
    <w:rsid w:val="007C57FA"/>
    <w:rsid w:val="007C581C"/>
    <w:rsid w:val="007C5A80"/>
    <w:rsid w:val="007C5F92"/>
    <w:rsid w:val="007C6227"/>
    <w:rsid w:val="007C6BBD"/>
    <w:rsid w:val="007C6D89"/>
    <w:rsid w:val="007C6F5E"/>
    <w:rsid w:val="007C7C2B"/>
    <w:rsid w:val="007C7C8E"/>
    <w:rsid w:val="007D0382"/>
    <w:rsid w:val="007D0F6B"/>
    <w:rsid w:val="007D14FE"/>
    <w:rsid w:val="007D1A1F"/>
    <w:rsid w:val="007D1AA7"/>
    <w:rsid w:val="007D1D38"/>
    <w:rsid w:val="007D213B"/>
    <w:rsid w:val="007D2E18"/>
    <w:rsid w:val="007D40DF"/>
    <w:rsid w:val="007D42E5"/>
    <w:rsid w:val="007D4458"/>
    <w:rsid w:val="007D5F38"/>
    <w:rsid w:val="007D6AF9"/>
    <w:rsid w:val="007E051D"/>
    <w:rsid w:val="007E0535"/>
    <w:rsid w:val="007E07F2"/>
    <w:rsid w:val="007E0D4A"/>
    <w:rsid w:val="007E1041"/>
    <w:rsid w:val="007E1788"/>
    <w:rsid w:val="007E1EE3"/>
    <w:rsid w:val="007E239D"/>
    <w:rsid w:val="007E29B4"/>
    <w:rsid w:val="007E2F12"/>
    <w:rsid w:val="007E3F0E"/>
    <w:rsid w:val="007E435A"/>
    <w:rsid w:val="007E445C"/>
    <w:rsid w:val="007E49F7"/>
    <w:rsid w:val="007E4AC8"/>
    <w:rsid w:val="007E4C70"/>
    <w:rsid w:val="007E5B5F"/>
    <w:rsid w:val="007E5CF0"/>
    <w:rsid w:val="007E5ECB"/>
    <w:rsid w:val="007E69C6"/>
    <w:rsid w:val="007E78B6"/>
    <w:rsid w:val="007E7E61"/>
    <w:rsid w:val="007F0845"/>
    <w:rsid w:val="007F0873"/>
    <w:rsid w:val="007F20F3"/>
    <w:rsid w:val="007F22F1"/>
    <w:rsid w:val="007F2353"/>
    <w:rsid w:val="007F2390"/>
    <w:rsid w:val="007F2CAC"/>
    <w:rsid w:val="007F2F8E"/>
    <w:rsid w:val="007F4740"/>
    <w:rsid w:val="007F595A"/>
    <w:rsid w:val="007F5C38"/>
    <w:rsid w:val="007F708D"/>
    <w:rsid w:val="007F7E3F"/>
    <w:rsid w:val="0080001B"/>
    <w:rsid w:val="008006B3"/>
    <w:rsid w:val="00800B63"/>
    <w:rsid w:val="0080127B"/>
    <w:rsid w:val="0080158A"/>
    <w:rsid w:val="00801CCF"/>
    <w:rsid w:val="00801E13"/>
    <w:rsid w:val="00803008"/>
    <w:rsid w:val="00803069"/>
    <w:rsid w:val="00803230"/>
    <w:rsid w:val="008032D9"/>
    <w:rsid w:val="0080346B"/>
    <w:rsid w:val="00804155"/>
    <w:rsid w:val="00804C9F"/>
    <w:rsid w:val="0080559E"/>
    <w:rsid w:val="00805AF3"/>
    <w:rsid w:val="00806C9C"/>
    <w:rsid w:val="0080734C"/>
    <w:rsid w:val="00807C82"/>
    <w:rsid w:val="00807D2B"/>
    <w:rsid w:val="008117CC"/>
    <w:rsid w:val="00811FF8"/>
    <w:rsid w:val="008130D2"/>
    <w:rsid w:val="0081335A"/>
    <w:rsid w:val="00813D58"/>
    <w:rsid w:val="00813DCA"/>
    <w:rsid w:val="008161A6"/>
    <w:rsid w:val="008165B8"/>
    <w:rsid w:val="00816905"/>
    <w:rsid w:val="00816D98"/>
    <w:rsid w:val="00816E42"/>
    <w:rsid w:val="00817040"/>
    <w:rsid w:val="00817A17"/>
    <w:rsid w:val="00817EC1"/>
    <w:rsid w:val="0082112D"/>
    <w:rsid w:val="00821624"/>
    <w:rsid w:val="00821FF6"/>
    <w:rsid w:val="008223DB"/>
    <w:rsid w:val="00822574"/>
    <w:rsid w:val="00822910"/>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37D4"/>
    <w:rsid w:val="00834304"/>
    <w:rsid w:val="00834FAA"/>
    <w:rsid w:val="00835026"/>
    <w:rsid w:val="008354FB"/>
    <w:rsid w:val="00835FF1"/>
    <w:rsid w:val="00836086"/>
    <w:rsid w:val="00836096"/>
    <w:rsid w:val="0083630F"/>
    <w:rsid w:val="00836A06"/>
    <w:rsid w:val="00836C91"/>
    <w:rsid w:val="008374BC"/>
    <w:rsid w:val="008379D6"/>
    <w:rsid w:val="00837E48"/>
    <w:rsid w:val="00840293"/>
    <w:rsid w:val="008402AD"/>
    <w:rsid w:val="00840714"/>
    <w:rsid w:val="008407EA"/>
    <w:rsid w:val="008408D4"/>
    <w:rsid w:val="00840A91"/>
    <w:rsid w:val="008417B5"/>
    <w:rsid w:val="00841901"/>
    <w:rsid w:val="008458BD"/>
    <w:rsid w:val="00845CE4"/>
    <w:rsid w:val="00846121"/>
    <w:rsid w:val="008461C2"/>
    <w:rsid w:val="008462F1"/>
    <w:rsid w:val="008466C6"/>
    <w:rsid w:val="0084708F"/>
    <w:rsid w:val="008477C8"/>
    <w:rsid w:val="008478A6"/>
    <w:rsid w:val="008502F6"/>
    <w:rsid w:val="0085036C"/>
    <w:rsid w:val="00850E83"/>
    <w:rsid w:val="0085114D"/>
    <w:rsid w:val="008514DE"/>
    <w:rsid w:val="00851F47"/>
    <w:rsid w:val="008520A8"/>
    <w:rsid w:val="0085220A"/>
    <w:rsid w:val="00852217"/>
    <w:rsid w:val="00852421"/>
    <w:rsid w:val="008525EE"/>
    <w:rsid w:val="00853282"/>
    <w:rsid w:val="0085334C"/>
    <w:rsid w:val="00854291"/>
    <w:rsid w:val="00855408"/>
    <w:rsid w:val="00855D03"/>
    <w:rsid w:val="00856D65"/>
    <w:rsid w:val="00856FA4"/>
    <w:rsid w:val="00860D79"/>
    <w:rsid w:val="008616E4"/>
    <w:rsid w:val="00861816"/>
    <w:rsid w:val="00861B41"/>
    <w:rsid w:val="00861B9F"/>
    <w:rsid w:val="00861BE3"/>
    <w:rsid w:val="008625D3"/>
    <w:rsid w:val="00862C0A"/>
    <w:rsid w:val="00863434"/>
    <w:rsid w:val="0086344F"/>
    <w:rsid w:val="008641AC"/>
    <w:rsid w:val="00864FA4"/>
    <w:rsid w:val="00865E4C"/>
    <w:rsid w:val="00866074"/>
    <w:rsid w:val="00867546"/>
    <w:rsid w:val="0086796D"/>
    <w:rsid w:val="00867DAB"/>
    <w:rsid w:val="0087000B"/>
    <w:rsid w:val="008701E4"/>
    <w:rsid w:val="008704E9"/>
    <w:rsid w:val="008708AD"/>
    <w:rsid w:val="00870ECD"/>
    <w:rsid w:val="0087187B"/>
    <w:rsid w:val="00872F5D"/>
    <w:rsid w:val="0087347C"/>
    <w:rsid w:val="008734E7"/>
    <w:rsid w:val="0087368D"/>
    <w:rsid w:val="008740CC"/>
    <w:rsid w:val="0087442A"/>
    <w:rsid w:val="00874FE8"/>
    <w:rsid w:val="00875A32"/>
    <w:rsid w:val="00876086"/>
    <w:rsid w:val="00876651"/>
    <w:rsid w:val="00876E83"/>
    <w:rsid w:val="008772BC"/>
    <w:rsid w:val="00880299"/>
    <w:rsid w:val="00880A0E"/>
    <w:rsid w:val="008817FE"/>
    <w:rsid w:val="00881CD7"/>
    <w:rsid w:val="0088220D"/>
    <w:rsid w:val="00882911"/>
    <w:rsid w:val="00882F6E"/>
    <w:rsid w:val="00883202"/>
    <w:rsid w:val="00884E02"/>
    <w:rsid w:val="0088502B"/>
    <w:rsid w:val="00885BC2"/>
    <w:rsid w:val="00885D40"/>
    <w:rsid w:val="008873D4"/>
    <w:rsid w:val="00890CB1"/>
    <w:rsid w:val="00891EDF"/>
    <w:rsid w:val="00892872"/>
    <w:rsid w:val="0089296D"/>
    <w:rsid w:val="00893E85"/>
    <w:rsid w:val="00893EBE"/>
    <w:rsid w:val="00894031"/>
    <w:rsid w:val="00894C5D"/>
    <w:rsid w:val="008952FE"/>
    <w:rsid w:val="00895508"/>
    <w:rsid w:val="008967E9"/>
    <w:rsid w:val="00896A5C"/>
    <w:rsid w:val="008972D2"/>
    <w:rsid w:val="0089754C"/>
    <w:rsid w:val="008A0659"/>
    <w:rsid w:val="008A0ADD"/>
    <w:rsid w:val="008A0D27"/>
    <w:rsid w:val="008A0E38"/>
    <w:rsid w:val="008A1A3B"/>
    <w:rsid w:val="008A1C59"/>
    <w:rsid w:val="008A1F51"/>
    <w:rsid w:val="008A37E2"/>
    <w:rsid w:val="008A388E"/>
    <w:rsid w:val="008A394E"/>
    <w:rsid w:val="008A3CBA"/>
    <w:rsid w:val="008A4B59"/>
    <w:rsid w:val="008A569C"/>
    <w:rsid w:val="008A5BFA"/>
    <w:rsid w:val="008A63E1"/>
    <w:rsid w:val="008A66B7"/>
    <w:rsid w:val="008A68BB"/>
    <w:rsid w:val="008A6AA5"/>
    <w:rsid w:val="008A7127"/>
    <w:rsid w:val="008B0CBA"/>
    <w:rsid w:val="008B0FD5"/>
    <w:rsid w:val="008B2639"/>
    <w:rsid w:val="008B3537"/>
    <w:rsid w:val="008B3690"/>
    <w:rsid w:val="008B391B"/>
    <w:rsid w:val="008B3A80"/>
    <w:rsid w:val="008B3AEC"/>
    <w:rsid w:val="008B3C07"/>
    <w:rsid w:val="008B3F7B"/>
    <w:rsid w:val="008B43CA"/>
    <w:rsid w:val="008B5324"/>
    <w:rsid w:val="008B5C99"/>
    <w:rsid w:val="008B6106"/>
    <w:rsid w:val="008B7C02"/>
    <w:rsid w:val="008B7D2B"/>
    <w:rsid w:val="008B7EF9"/>
    <w:rsid w:val="008C0049"/>
    <w:rsid w:val="008C0314"/>
    <w:rsid w:val="008C0A2C"/>
    <w:rsid w:val="008C0E88"/>
    <w:rsid w:val="008C1537"/>
    <w:rsid w:val="008C1717"/>
    <w:rsid w:val="008C17B6"/>
    <w:rsid w:val="008C17F0"/>
    <w:rsid w:val="008C1D39"/>
    <w:rsid w:val="008C209F"/>
    <w:rsid w:val="008C3B05"/>
    <w:rsid w:val="008C4B50"/>
    <w:rsid w:val="008C5A37"/>
    <w:rsid w:val="008C7569"/>
    <w:rsid w:val="008C786A"/>
    <w:rsid w:val="008C79C3"/>
    <w:rsid w:val="008D006F"/>
    <w:rsid w:val="008D033D"/>
    <w:rsid w:val="008D04A7"/>
    <w:rsid w:val="008D0DBD"/>
    <w:rsid w:val="008D117E"/>
    <w:rsid w:val="008D127E"/>
    <w:rsid w:val="008D1CA8"/>
    <w:rsid w:val="008D1E0A"/>
    <w:rsid w:val="008D1E6A"/>
    <w:rsid w:val="008D2407"/>
    <w:rsid w:val="008D29A4"/>
    <w:rsid w:val="008D2A16"/>
    <w:rsid w:val="008D2AEC"/>
    <w:rsid w:val="008D3295"/>
    <w:rsid w:val="008D33F5"/>
    <w:rsid w:val="008D35E4"/>
    <w:rsid w:val="008D3ACD"/>
    <w:rsid w:val="008D5CFF"/>
    <w:rsid w:val="008D62D6"/>
    <w:rsid w:val="008D6B82"/>
    <w:rsid w:val="008D6C3A"/>
    <w:rsid w:val="008D70E2"/>
    <w:rsid w:val="008D7710"/>
    <w:rsid w:val="008D77D6"/>
    <w:rsid w:val="008E0001"/>
    <w:rsid w:val="008E039E"/>
    <w:rsid w:val="008E0AE5"/>
    <w:rsid w:val="008E0D78"/>
    <w:rsid w:val="008E1491"/>
    <w:rsid w:val="008E19AF"/>
    <w:rsid w:val="008E1FD8"/>
    <w:rsid w:val="008E292B"/>
    <w:rsid w:val="008E2C57"/>
    <w:rsid w:val="008E3174"/>
    <w:rsid w:val="008E31FF"/>
    <w:rsid w:val="008E3287"/>
    <w:rsid w:val="008E38E4"/>
    <w:rsid w:val="008E3DFA"/>
    <w:rsid w:val="008E51EB"/>
    <w:rsid w:val="008E5746"/>
    <w:rsid w:val="008E5F94"/>
    <w:rsid w:val="008E6DCB"/>
    <w:rsid w:val="008E6F06"/>
    <w:rsid w:val="008E7000"/>
    <w:rsid w:val="008E723E"/>
    <w:rsid w:val="008E7B8E"/>
    <w:rsid w:val="008E7FC9"/>
    <w:rsid w:val="008F0107"/>
    <w:rsid w:val="008F029B"/>
    <w:rsid w:val="008F0589"/>
    <w:rsid w:val="008F1DA0"/>
    <w:rsid w:val="008F2A5D"/>
    <w:rsid w:val="008F2BC7"/>
    <w:rsid w:val="008F3636"/>
    <w:rsid w:val="008F3FC9"/>
    <w:rsid w:val="008F509F"/>
    <w:rsid w:val="008F5383"/>
    <w:rsid w:val="008F585B"/>
    <w:rsid w:val="008F69C3"/>
    <w:rsid w:val="008F7FB0"/>
    <w:rsid w:val="009003A8"/>
    <w:rsid w:val="009005E4"/>
    <w:rsid w:val="00900977"/>
    <w:rsid w:val="009021DA"/>
    <w:rsid w:val="00902442"/>
    <w:rsid w:val="00902500"/>
    <w:rsid w:val="0090250E"/>
    <w:rsid w:val="00902EFF"/>
    <w:rsid w:val="00903A0D"/>
    <w:rsid w:val="00903A8E"/>
    <w:rsid w:val="0090432C"/>
    <w:rsid w:val="00904AFB"/>
    <w:rsid w:val="00904F96"/>
    <w:rsid w:val="00904FA3"/>
    <w:rsid w:val="009052A3"/>
    <w:rsid w:val="00905314"/>
    <w:rsid w:val="009056D7"/>
    <w:rsid w:val="00905B8D"/>
    <w:rsid w:val="00906401"/>
    <w:rsid w:val="009065CB"/>
    <w:rsid w:val="009067EA"/>
    <w:rsid w:val="00906B79"/>
    <w:rsid w:val="00906E5F"/>
    <w:rsid w:val="0090786F"/>
    <w:rsid w:val="00907F11"/>
    <w:rsid w:val="0091001E"/>
    <w:rsid w:val="00910C18"/>
    <w:rsid w:val="009110F7"/>
    <w:rsid w:val="009112E3"/>
    <w:rsid w:val="0091155E"/>
    <w:rsid w:val="00911619"/>
    <w:rsid w:val="00911A66"/>
    <w:rsid w:val="00912437"/>
    <w:rsid w:val="00912A92"/>
    <w:rsid w:val="00912FCB"/>
    <w:rsid w:val="00913237"/>
    <w:rsid w:val="0091476D"/>
    <w:rsid w:val="00915D07"/>
    <w:rsid w:val="009162AE"/>
    <w:rsid w:val="00917251"/>
    <w:rsid w:val="0091728D"/>
    <w:rsid w:val="0092036B"/>
    <w:rsid w:val="009203CC"/>
    <w:rsid w:val="00920B7E"/>
    <w:rsid w:val="00920D6A"/>
    <w:rsid w:val="00920EC4"/>
    <w:rsid w:val="0092180B"/>
    <w:rsid w:val="00921F14"/>
    <w:rsid w:val="0092292F"/>
    <w:rsid w:val="00922D28"/>
    <w:rsid w:val="0092303E"/>
    <w:rsid w:val="009234E1"/>
    <w:rsid w:val="00923CB0"/>
    <w:rsid w:val="00923D8C"/>
    <w:rsid w:val="00924871"/>
    <w:rsid w:val="00924AC8"/>
    <w:rsid w:val="00925429"/>
    <w:rsid w:val="00925615"/>
    <w:rsid w:val="0092597A"/>
    <w:rsid w:val="00926520"/>
    <w:rsid w:val="00926CF0"/>
    <w:rsid w:val="00926FBD"/>
    <w:rsid w:val="009273A9"/>
    <w:rsid w:val="00927FD6"/>
    <w:rsid w:val="00930251"/>
    <w:rsid w:val="0093033E"/>
    <w:rsid w:val="009305FC"/>
    <w:rsid w:val="00930FB1"/>
    <w:rsid w:val="0093139F"/>
    <w:rsid w:val="00931903"/>
    <w:rsid w:val="00931D3C"/>
    <w:rsid w:val="00932097"/>
    <w:rsid w:val="00932443"/>
    <w:rsid w:val="00932782"/>
    <w:rsid w:val="009328EE"/>
    <w:rsid w:val="00932B32"/>
    <w:rsid w:val="00932DB3"/>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590F"/>
    <w:rsid w:val="00947B6E"/>
    <w:rsid w:val="00950921"/>
    <w:rsid w:val="00951A1F"/>
    <w:rsid w:val="00951D68"/>
    <w:rsid w:val="00951E5B"/>
    <w:rsid w:val="00952050"/>
    <w:rsid w:val="00952315"/>
    <w:rsid w:val="009523D9"/>
    <w:rsid w:val="00952B7B"/>
    <w:rsid w:val="0095357B"/>
    <w:rsid w:val="009538B3"/>
    <w:rsid w:val="00954F39"/>
    <w:rsid w:val="009555FD"/>
    <w:rsid w:val="0095639D"/>
    <w:rsid w:val="0095664B"/>
    <w:rsid w:val="009568DC"/>
    <w:rsid w:val="00956912"/>
    <w:rsid w:val="00957140"/>
    <w:rsid w:val="00957445"/>
    <w:rsid w:val="0095759C"/>
    <w:rsid w:val="009579E0"/>
    <w:rsid w:val="009611FD"/>
    <w:rsid w:val="009618EE"/>
    <w:rsid w:val="00961DDD"/>
    <w:rsid w:val="009624D2"/>
    <w:rsid w:val="009628D9"/>
    <w:rsid w:val="00962D60"/>
    <w:rsid w:val="009636BE"/>
    <w:rsid w:val="009637AE"/>
    <w:rsid w:val="00963A06"/>
    <w:rsid w:val="00963D65"/>
    <w:rsid w:val="00964068"/>
    <w:rsid w:val="009640F6"/>
    <w:rsid w:val="0096469D"/>
    <w:rsid w:val="00964776"/>
    <w:rsid w:val="00964A4E"/>
    <w:rsid w:val="00964B35"/>
    <w:rsid w:val="009651C7"/>
    <w:rsid w:val="0096547B"/>
    <w:rsid w:val="00965797"/>
    <w:rsid w:val="00965A10"/>
    <w:rsid w:val="00965AD0"/>
    <w:rsid w:val="00966781"/>
    <w:rsid w:val="009670A3"/>
    <w:rsid w:val="009674BE"/>
    <w:rsid w:val="00967DBA"/>
    <w:rsid w:val="00970FB5"/>
    <w:rsid w:val="00971710"/>
    <w:rsid w:val="00971B87"/>
    <w:rsid w:val="00971C77"/>
    <w:rsid w:val="0097203A"/>
    <w:rsid w:val="00972835"/>
    <w:rsid w:val="00972FCD"/>
    <w:rsid w:val="00973324"/>
    <w:rsid w:val="009736DF"/>
    <w:rsid w:val="0097386E"/>
    <w:rsid w:val="009741AE"/>
    <w:rsid w:val="009741FC"/>
    <w:rsid w:val="00974782"/>
    <w:rsid w:val="00974923"/>
    <w:rsid w:val="0097527D"/>
    <w:rsid w:val="00975909"/>
    <w:rsid w:val="00975BAF"/>
    <w:rsid w:val="00977C3D"/>
    <w:rsid w:val="009805C9"/>
    <w:rsid w:val="00980D3D"/>
    <w:rsid w:val="0098103E"/>
    <w:rsid w:val="0098157D"/>
    <w:rsid w:val="00983101"/>
    <w:rsid w:val="00983E41"/>
    <w:rsid w:val="009845E1"/>
    <w:rsid w:val="009848AF"/>
    <w:rsid w:val="00984D1B"/>
    <w:rsid w:val="009854B3"/>
    <w:rsid w:val="00986246"/>
    <w:rsid w:val="00986841"/>
    <w:rsid w:val="00987A30"/>
    <w:rsid w:val="00990257"/>
    <w:rsid w:val="00990312"/>
    <w:rsid w:val="0099045F"/>
    <w:rsid w:val="0099182E"/>
    <w:rsid w:val="00991A2D"/>
    <w:rsid w:val="00991D45"/>
    <w:rsid w:val="00992AC0"/>
    <w:rsid w:val="00992BB3"/>
    <w:rsid w:val="00992CF3"/>
    <w:rsid w:val="00993194"/>
    <w:rsid w:val="0099321E"/>
    <w:rsid w:val="009937B7"/>
    <w:rsid w:val="00994171"/>
    <w:rsid w:val="00994868"/>
    <w:rsid w:val="00994976"/>
    <w:rsid w:val="00994D28"/>
    <w:rsid w:val="00994F2C"/>
    <w:rsid w:val="00995720"/>
    <w:rsid w:val="009957CC"/>
    <w:rsid w:val="0099596C"/>
    <w:rsid w:val="00995D25"/>
    <w:rsid w:val="009968D6"/>
    <w:rsid w:val="00997953"/>
    <w:rsid w:val="00997D55"/>
    <w:rsid w:val="009A096C"/>
    <w:rsid w:val="009A0BFF"/>
    <w:rsid w:val="009A10A0"/>
    <w:rsid w:val="009A1CAB"/>
    <w:rsid w:val="009A2359"/>
    <w:rsid w:val="009A24F1"/>
    <w:rsid w:val="009A27E0"/>
    <w:rsid w:val="009A2A2E"/>
    <w:rsid w:val="009A4D57"/>
    <w:rsid w:val="009A51A5"/>
    <w:rsid w:val="009A5309"/>
    <w:rsid w:val="009A60C7"/>
    <w:rsid w:val="009A60D1"/>
    <w:rsid w:val="009A6225"/>
    <w:rsid w:val="009A64F5"/>
    <w:rsid w:val="009B00D2"/>
    <w:rsid w:val="009B039B"/>
    <w:rsid w:val="009B05B3"/>
    <w:rsid w:val="009B0A5E"/>
    <w:rsid w:val="009B0CAF"/>
    <w:rsid w:val="009B0ED1"/>
    <w:rsid w:val="009B1324"/>
    <w:rsid w:val="009B1601"/>
    <w:rsid w:val="009B2558"/>
    <w:rsid w:val="009B284F"/>
    <w:rsid w:val="009B3764"/>
    <w:rsid w:val="009B3840"/>
    <w:rsid w:val="009B52AC"/>
    <w:rsid w:val="009B553D"/>
    <w:rsid w:val="009B59EA"/>
    <w:rsid w:val="009B66CE"/>
    <w:rsid w:val="009B6FD3"/>
    <w:rsid w:val="009B72BE"/>
    <w:rsid w:val="009B78A4"/>
    <w:rsid w:val="009B7A4F"/>
    <w:rsid w:val="009B7CFC"/>
    <w:rsid w:val="009B7DB2"/>
    <w:rsid w:val="009C03DB"/>
    <w:rsid w:val="009C15AF"/>
    <w:rsid w:val="009C1750"/>
    <w:rsid w:val="009C2E29"/>
    <w:rsid w:val="009C3E8F"/>
    <w:rsid w:val="009C554B"/>
    <w:rsid w:val="009C5E83"/>
    <w:rsid w:val="009C667A"/>
    <w:rsid w:val="009C7126"/>
    <w:rsid w:val="009C719E"/>
    <w:rsid w:val="009C7799"/>
    <w:rsid w:val="009D07A9"/>
    <w:rsid w:val="009D0AE2"/>
    <w:rsid w:val="009D0D9F"/>
    <w:rsid w:val="009D0EBB"/>
    <w:rsid w:val="009D2C46"/>
    <w:rsid w:val="009D3081"/>
    <w:rsid w:val="009D3ACD"/>
    <w:rsid w:val="009D3FA4"/>
    <w:rsid w:val="009D4254"/>
    <w:rsid w:val="009D4F21"/>
    <w:rsid w:val="009D587D"/>
    <w:rsid w:val="009D6D47"/>
    <w:rsid w:val="009D7731"/>
    <w:rsid w:val="009D7BFB"/>
    <w:rsid w:val="009E1120"/>
    <w:rsid w:val="009E1393"/>
    <w:rsid w:val="009E1922"/>
    <w:rsid w:val="009E1A3D"/>
    <w:rsid w:val="009E35E6"/>
    <w:rsid w:val="009E3A31"/>
    <w:rsid w:val="009E4080"/>
    <w:rsid w:val="009E4715"/>
    <w:rsid w:val="009E484D"/>
    <w:rsid w:val="009E4A58"/>
    <w:rsid w:val="009E4F3B"/>
    <w:rsid w:val="009E5273"/>
    <w:rsid w:val="009E57A8"/>
    <w:rsid w:val="009E5B85"/>
    <w:rsid w:val="009E5DDB"/>
    <w:rsid w:val="009E7BC6"/>
    <w:rsid w:val="009F150E"/>
    <w:rsid w:val="009F1CA6"/>
    <w:rsid w:val="009F1F7E"/>
    <w:rsid w:val="009F2921"/>
    <w:rsid w:val="009F2A54"/>
    <w:rsid w:val="009F42CF"/>
    <w:rsid w:val="009F4982"/>
    <w:rsid w:val="009F4CA7"/>
    <w:rsid w:val="009F4F6A"/>
    <w:rsid w:val="009F4F95"/>
    <w:rsid w:val="009F55BA"/>
    <w:rsid w:val="009F7D36"/>
    <w:rsid w:val="009F7D61"/>
    <w:rsid w:val="00A00E71"/>
    <w:rsid w:val="00A0187B"/>
    <w:rsid w:val="00A01A7C"/>
    <w:rsid w:val="00A02E8B"/>
    <w:rsid w:val="00A0306F"/>
    <w:rsid w:val="00A03511"/>
    <w:rsid w:val="00A03B10"/>
    <w:rsid w:val="00A03E2E"/>
    <w:rsid w:val="00A04616"/>
    <w:rsid w:val="00A04717"/>
    <w:rsid w:val="00A05D8F"/>
    <w:rsid w:val="00A05EE4"/>
    <w:rsid w:val="00A06545"/>
    <w:rsid w:val="00A06F99"/>
    <w:rsid w:val="00A07CD3"/>
    <w:rsid w:val="00A1040E"/>
    <w:rsid w:val="00A1053B"/>
    <w:rsid w:val="00A10D66"/>
    <w:rsid w:val="00A113A4"/>
    <w:rsid w:val="00A14114"/>
    <w:rsid w:val="00A1580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647"/>
    <w:rsid w:val="00A21B4D"/>
    <w:rsid w:val="00A22073"/>
    <w:rsid w:val="00A2214A"/>
    <w:rsid w:val="00A221E5"/>
    <w:rsid w:val="00A223E0"/>
    <w:rsid w:val="00A22959"/>
    <w:rsid w:val="00A23158"/>
    <w:rsid w:val="00A232D7"/>
    <w:rsid w:val="00A23847"/>
    <w:rsid w:val="00A23E43"/>
    <w:rsid w:val="00A24726"/>
    <w:rsid w:val="00A24DEB"/>
    <w:rsid w:val="00A24ED9"/>
    <w:rsid w:val="00A251DB"/>
    <w:rsid w:val="00A25216"/>
    <w:rsid w:val="00A2597D"/>
    <w:rsid w:val="00A25FAC"/>
    <w:rsid w:val="00A2628E"/>
    <w:rsid w:val="00A266BF"/>
    <w:rsid w:val="00A26777"/>
    <w:rsid w:val="00A2731E"/>
    <w:rsid w:val="00A309AC"/>
    <w:rsid w:val="00A30F65"/>
    <w:rsid w:val="00A3279E"/>
    <w:rsid w:val="00A33DB1"/>
    <w:rsid w:val="00A33EEB"/>
    <w:rsid w:val="00A340F5"/>
    <w:rsid w:val="00A35900"/>
    <w:rsid w:val="00A36581"/>
    <w:rsid w:val="00A36F76"/>
    <w:rsid w:val="00A4027D"/>
    <w:rsid w:val="00A40EAC"/>
    <w:rsid w:val="00A418BC"/>
    <w:rsid w:val="00A419FF"/>
    <w:rsid w:val="00A41C73"/>
    <w:rsid w:val="00A41FCF"/>
    <w:rsid w:val="00A42936"/>
    <w:rsid w:val="00A43B21"/>
    <w:rsid w:val="00A43CF8"/>
    <w:rsid w:val="00A43DF2"/>
    <w:rsid w:val="00A445A8"/>
    <w:rsid w:val="00A44B0D"/>
    <w:rsid w:val="00A44D21"/>
    <w:rsid w:val="00A45087"/>
    <w:rsid w:val="00A452F3"/>
    <w:rsid w:val="00A45489"/>
    <w:rsid w:val="00A45858"/>
    <w:rsid w:val="00A45CED"/>
    <w:rsid w:val="00A465E9"/>
    <w:rsid w:val="00A46650"/>
    <w:rsid w:val="00A46670"/>
    <w:rsid w:val="00A46702"/>
    <w:rsid w:val="00A468E7"/>
    <w:rsid w:val="00A46DE0"/>
    <w:rsid w:val="00A478BA"/>
    <w:rsid w:val="00A50D73"/>
    <w:rsid w:val="00A50F40"/>
    <w:rsid w:val="00A518BB"/>
    <w:rsid w:val="00A51C60"/>
    <w:rsid w:val="00A52A88"/>
    <w:rsid w:val="00A52CAD"/>
    <w:rsid w:val="00A52F34"/>
    <w:rsid w:val="00A53FC7"/>
    <w:rsid w:val="00A55569"/>
    <w:rsid w:val="00A566A0"/>
    <w:rsid w:val="00A601E7"/>
    <w:rsid w:val="00A60AC1"/>
    <w:rsid w:val="00A61210"/>
    <w:rsid w:val="00A61990"/>
    <w:rsid w:val="00A626FF"/>
    <w:rsid w:val="00A62CE1"/>
    <w:rsid w:val="00A6335D"/>
    <w:rsid w:val="00A65469"/>
    <w:rsid w:val="00A65528"/>
    <w:rsid w:val="00A655D3"/>
    <w:rsid w:val="00A662D9"/>
    <w:rsid w:val="00A6630C"/>
    <w:rsid w:val="00A6741E"/>
    <w:rsid w:val="00A67E29"/>
    <w:rsid w:val="00A7016A"/>
    <w:rsid w:val="00A7018D"/>
    <w:rsid w:val="00A7074A"/>
    <w:rsid w:val="00A70794"/>
    <w:rsid w:val="00A7191D"/>
    <w:rsid w:val="00A722F9"/>
    <w:rsid w:val="00A72D42"/>
    <w:rsid w:val="00A73998"/>
    <w:rsid w:val="00A746C9"/>
    <w:rsid w:val="00A74C2A"/>
    <w:rsid w:val="00A74C60"/>
    <w:rsid w:val="00A75E40"/>
    <w:rsid w:val="00A76818"/>
    <w:rsid w:val="00A77A5D"/>
    <w:rsid w:val="00A77D1D"/>
    <w:rsid w:val="00A77E6B"/>
    <w:rsid w:val="00A81652"/>
    <w:rsid w:val="00A82BF0"/>
    <w:rsid w:val="00A82C91"/>
    <w:rsid w:val="00A83150"/>
    <w:rsid w:val="00A8331C"/>
    <w:rsid w:val="00A83398"/>
    <w:rsid w:val="00A83D6E"/>
    <w:rsid w:val="00A83FD5"/>
    <w:rsid w:val="00A84763"/>
    <w:rsid w:val="00A8521A"/>
    <w:rsid w:val="00A857C0"/>
    <w:rsid w:val="00A85ACB"/>
    <w:rsid w:val="00A90335"/>
    <w:rsid w:val="00A9092B"/>
    <w:rsid w:val="00A90F2C"/>
    <w:rsid w:val="00A90FED"/>
    <w:rsid w:val="00A91482"/>
    <w:rsid w:val="00A9189D"/>
    <w:rsid w:val="00A91E71"/>
    <w:rsid w:val="00A91F03"/>
    <w:rsid w:val="00A925B1"/>
    <w:rsid w:val="00A92A3E"/>
    <w:rsid w:val="00A934F9"/>
    <w:rsid w:val="00A934FB"/>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3F1D"/>
    <w:rsid w:val="00AA4282"/>
    <w:rsid w:val="00AA43F2"/>
    <w:rsid w:val="00AA4790"/>
    <w:rsid w:val="00AA52BF"/>
    <w:rsid w:val="00AA559A"/>
    <w:rsid w:val="00AA570E"/>
    <w:rsid w:val="00AA6C31"/>
    <w:rsid w:val="00AA7752"/>
    <w:rsid w:val="00AA7CAD"/>
    <w:rsid w:val="00AA7CE8"/>
    <w:rsid w:val="00AA7FEB"/>
    <w:rsid w:val="00AB1457"/>
    <w:rsid w:val="00AB2AF1"/>
    <w:rsid w:val="00AB32CB"/>
    <w:rsid w:val="00AB3AD7"/>
    <w:rsid w:val="00AB3BA7"/>
    <w:rsid w:val="00AB3EC7"/>
    <w:rsid w:val="00AB5A64"/>
    <w:rsid w:val="00AB5CA1"/>
    <w:rsid w:val="00AB6456"/>
    <w:rsid w:val="00AB75C5"/>
    <w:rsid w:val="00AC044E"/>
    <w:rsid w:val="00AC0580"/>
    <w:rsid w:val="00AC2118"/>
    <w:rsid w:val="00AC2395"/>
    <w:rsid w:val="00AC2960"/>
    <w:rsid w:val="00AC2AC4"/>
    <w:rsid w:val="00AC3B41"/>
    <w:rsid w:val="00AC4284"/>
    <w:rsid w:val="00AC45BD"/>
    <w:rsid w:val="00AC50BB"/>
    <w:rsid w:val="00AC5256"/>
    <w:rsid w:val="00AC5726"/>
    <w:rsid w:val="00AC673A"/>
    <w:rsid w:val="00AC7578"/>
    <w:rsid w:val="00AC78F1"/>
    <w:rsid w:val="00AC7ACA"/>
    <w:rsid w:val="00AD0996"/>
    <w:rsid w:val="00AD0B22"/>
    <w:rsid w:val="00AD0EE7"/>
    <w:rsid w:val="00AD168E"/>
    <w:rsid w:val="00AD306C"/>
    <w:rsid w:val="00AD44CD"/>
    <w:rsid w:val="00AD5AD2"/>
    <w:rsid w:val="00AD6462"/>
    <w:rsid w:val="00AD66C5"/>
    <w:rsid w:val="00AD68C4"/>
    <w:rsid w:val="00AD71F9"/>
    <w:rsid w:val="00AE009C"/>
    <w:rsid w:val="00AE06C5"/>
    <w:rsid w:val="00AE09B3"/>
    <w:rsid w:val="00AE1A83"/>
    <w:rsid w:val="00AE30BE"/>
    <w:rsid w:val="00AE3E6A"/>
    <w:rsid w:val="00AE417E"/>
    <w:rsid w:val="00AE552C"/>
    <w:rsid w:val="00AE56EE"/>
    <w:rsid w:val="00AE6414"/>
    <w:rsid w:val="00AE68C1"/>
    <w:rsid w:val="00AE7269"/>
    <w:rsid w:val="00AE74E0"/>
    <w:rsid w:val="00AE797C"/>
    <w:rsid w:val="00AE7CE7"/>
    <w:rsid w:val="00AE7FAB"/>
    <w:rsid w:val="00AF0DE4"/>
    <w:rsid w:val="00AF12A0"/>
    <w:rsid w:val="00AF1866"/>
    <w:rsid w:val="00AF1E87"/>
    <w:rsid w:val="00AF2BB0"/>
    <w:rsid w:val="00AF436B"/>
    <w:rsid w:val="00AF5131"/>
    <w:rsid w:val="00AF5179"/>
    <w:rsid w:val="00AF5CC2"/>
    <w:rsid w:val="00AF6776"/>
    <w:rsid w:val="00AF6F98"/>
    <w:rsid w:val="00AF7277"/>
    <w:rsid w:val="00B00550"/>
    <w:rsid w:val="00B00875"/>
    <w:rsid w:val="00B00913"/>
    <w:rsid w:val="00B01310"/>
    <w:rsid w:val="00B01593"/>
    <w:rsid w:val="00B01D0F"/>
    <w:rsid w:val="00B01FF9"/>
    <w:rsid w:val="00B023F2"/>
    <w:rsid w:val="00B026FE"/>
    <w:rsid w:val="00B0271F"/>
    <w:rsid w:val="00B03591"/>
    <w:rsid w:val="00B038CA"/>
    <w:rsid w:val="00B041B3"/>
    <w:rsid w:val="00B0467A"/>
    <w:rsid w:val="00B05F00"/>
    <w:rsid w:val="00B06602"/>
    <w:rsid w:val="00B06DB4"/>
    <w:rsid w:val="00B0750D"/>
    <w:rsid w:val="00B07850"/>
    <w:rsid w:val="00B0799C"/>
    <w:rsid w:val="00B102CE"/>
    <w:rsid w:val="00B10A4D"/>
    <w:rsid w:val="00B10C90"/>
    <w:rsid w:val="00B10DFD"/>
    <w:rsid w:val="00B11002"/>
    <w:rsid w:val="00B1114F"/>
    <w:rsid w:val="00B11712"/>
    <w:rsid w:val="00B121B2"/>
    <w:rsid w:val="00B131B1"/>
    <w:rsid w:val="00B133AE"/>
    <w:rsid w:val="00B141B6"/>
    <w:rsid w:val="00B14BC1"/>
    <w:rsid w:val="00B154DE"/>
    <w:rsid w:val="00B162C3"/>
    <w:rsid w:val="00B16DD1"/>
    <w:rsid w:val="00B16EB8"/>
    <w:rsid w:val="00B1700A"/>
    <w:rsid w:val="00B177DF"/>
    <w:rsid w:val="00B17E6E"/>
    <w:rsid w:val="00B17E71"/>
    <w:rsid w:val="00B17FDE"/>
    <w:rsid w:val="00B20632"/>
    <w:rsid w:val="00B2379C"/>
    <w:rsid w:val="00B23D5D"/>
    <w:rsid w:val="00B23E6E"/>
    <w:rsid w:val="00B2450C"/>
    <w:rsid w:val="00B2598C"/>
    <w:rsid w:val="00B26608"/>
    <w:rsid w:val="00B2687D"/>
    <w:rsid w:val="00B271AB"/>
    <w:rsid w:val="00B27BDF"/>
    <w:rsid w:val="00B30ACB"/>
    <w:rsid w:val="00B3108D"/>
    <w:rsid w:val="00B32DDB"/>
    <w:rsid w:val="00B32F57"/>
    <w:rsid w:val="00B3345C"/>
    <w:rsid w:val="00B3385E"/>
    <w:rsid w:val="00B34255"/>
    <w:rsid w:val="00B342DE"/>
    <w:rsid w:val="00B343C4"/>
    <w:rsid w:val="00B34528"/>
    <w:rsid w:val="00B34750"/>
    <w:rsid w:val="00B34CC9"/>
    <w:rsid w:val="00B34CDA"/>
    <w:rsid w:val="00B3563B"/>
    <w:rsid w:val="00B36327"/>
    <w:rsid w:val="00B36BDC"/>
    <w:rsid w:val="00B37387"/>
    <w:rsid w:val="00B37D3A"/>
    <w:rsid w:val="00B37D96"/>
    <w:rsid w:val="00B402FC"/>
    <w:rsid w:val="00B410B8"/>
    <w:rsid w:val="00B422E2"/>
    <w:rsid w:val="00B42517"/>
    <w:rsid w:val="00B42D5F"/>
    <w:rsid w:val="00B43216"/>
    <w:rsid w:val="00B439DA"/>
    <w:rsid w:val="00B4411A"/>
    <w:rsid w:val="00B44A29"/>
    <w:rsid w:val="00B44BD5"/>
    <w:rsid w:val="00B45304"/>
    <w:rsid w:val="00B45DA6"/>
    <w:rsid w:val="00B45FE8"/>
    <w:rsid w:val="00B46604"/>
    <w:rsid w:val="00B47089"/>
    <w:rsid w:val="00B47587"/>
    <w:rsid w:val="00B4776F"/>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57F25"/>
    <w:rsid w:val="00B57FF9"/>
    <w:rsid w:val="00B60AC1"/>
    <w:rsid w:val="00B61FF6"/>
    <w:rsid w:val="00B62316"/>
    <w:rsid w:val="00B62E55"/>
    <w:rsid w:val="00B63A11"/>
    <w:rsid w:val="00B64425"/>
    <w:rsid w:val="00B64C24"/>
    <w:rsid w:val="00B65CEF"/>
    <w:rsid w:val="00B6608F"/>
    <w:rsid w:val="00B67749"/>
    <w:rsid w:val="00B679FB"/>
    <w:rsid w:val="00B70E48"/>
    <w:rsid w:val="00B7188C"/>
    <w:rsid w:val="00B71FBF"/>
    <w:rsid w:val="00B734A0"/>
    <w:rsid w:val="00B73A14"/>
    <w:rsid w:val="00B748BD"/>
    <w:rsid w:val="00B76100"/>
    <w:rsid w:val="00B761FC"/>
    <w:rsid w:val="00B7620F"/>
    <w:rsid w:val="00B7680F"/>
    <w:rsid w:val="00B76B48"/>
    <w:rsid w:val="00B76D1E"/>
    <w:rsid w:val="00B77117"/>
    <w:rsid w:val="00B77543"/>
    <w:rsid w:val="00B77584"/>
    <w:rsid w:val="00B77E34"/>
    <w:rsid w:val="00B80BC9"/>
    <w:rsid w:val="00B80D89"/>
    <w:rsid w:val="00B80EC6"/>
    <w:rsid w:val="00B81288"/>
    <w:rsid w:val="00B816E5"/>
    <w:rsid w:val="00B81D70"/>
    <w:rsid w:val="00B833B9"/>
    <w:rsid w:val="00B838BC"/>
    <w:rsid w:val="00B83AAF"/>
    <w:rsid w:val="00B83E07"/>
    <w:rsid w:val="00B84CF6"/>
    <w:rsid w:val="00B85016"/>
    <w:rsid w:val="00B8561A"/>
    <w:rsid w:val="00B865FC"/>
    <w:rsid w:val="00B86628"/>
    <w:rsid w:val="00B86643"/>
    <w:rsid w:val="00B868F7"/>
    <w:rsid w:val="00B869B1"/>
    <w:rsid w:val="00B86EB1"/>
    <w:rsid w:val="00B871A7"/>
    <w:rsid w:val="00B90131"/>
    <w:rsid w:val="00B92951"/>
    <w:rsid w:val="00B92D1D"/>
    <w:rsid w:val="00B92D7E"/>
    <w:rsid w:val="00B930CE"/>
    <w:rsid w:val="00B935CC"/>
    <w:rsid w:val="00B938C5"/>
    <w:rsid w:val="00B940A8"/>
    <w:rsid w:val="00B9554A"/>
    <w:rsid w:val="00B95940"/>
    <w:rsid w:val="00B95ACA"/>
    <w:rsid w:val="00B95CD4"/>
    <w:rsid w:val="00B9619C"/>
    <w:rsid w:val="00B96AC3"/>
    <w:rsid w:val="00B96D74"/>
    <w:rsid w:val="00B9720E"/>
    <w:rsid w:val="00B97ACC"/>
    <w:rsid w:val="00B97FE2"/>
    <w:rsid w:val="00BA0E0B"/>
    <w:rsid w:val="00BA201A"/>
    <w:rsid w:val="00BA21DF"/>
    <w:rsid w:val="00BA246A"/>
    <w:rsid w:val="00BA361D"/>
    <w:rsid w:val="00BA3787"/>
    <w:rsid w:val="00BA3ECA"/>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57B"/>
    <w:rsid w:val="00BB6EA2"/>
    <w:rsid w:val="00BB76F3"/>
    <w:rsid w:val="00BB7B5B"/>
    <w:rsid w:val="00BB7EB1"/>
    <w:rsid w:val="00BC003F"/>
    <w:rsid w:val="00BC0930"/>
    <w:rsid w:val="00BC327F"/>
    <w:rsid w:val="00BC3512"/>
    <w:rsid w:val="00BC4B35"/>
    <w:rsid w:val="00BC50BE"/>
    <w:rsid w:val="00BC5332"/>
    <w:rsid w:val="00BC5715"/>
    <w:rsid w:val="00BC59FE"/>
    <w:rsid w:val="00BC5C12"/>
    <w:rsid w:val="00BC641B"/>
    <w:rsid w:val="00BC7154"/>
    <w:rsid w:val="00BC731E"/>
    <w:rsid w:val="00BC7614"/>
    <w:rsid w:val="00BD041B"/>
    <w:rsid w:val="00BD111B"/>
    <w:rsid w:val="00BD25BB"/>
    <w:rsid w:val="00BD2AF8"/>
    <w:rsid w:val="00BD366B"/>
    <w:rsid w:val="00BD3C09"/>
    <w:rsid w:val="00BD410B"/>
    <w:rsid w:val="00BD4A73"/>
    <w:rsid w:val="00BD4EDD"/>
    <w:rsid w:val="00BD4EF4"/>
    <w:rsid w:val="00BD6659"/>
    <w:rsid w:val="00BD6C75"/>
    <w:rsid w:val="00BD6D50"/>
    <w:rsid w:val="00BD7105"/>
    <w:rsid w:val="00BD73D2"/>
    <w:rsid w:val="00BD74E3"/>
    <w:rsid w:val="00BD7821"/>
    <w:rsid w:val="00BE0AD1"/>
    <w:rsid w:val="00BE0EF9"/>
    <w:rsid w:val="00BE10A1"/>
    <w:rsid w:val="00BE115B"/>
    <w:rsid w:val="00BE18B9"/>
    <w:rsid w:val="00BE190A"/>
    <w:rsid w:val="00BE2495"/>
    <w:rsid w:val="00BE24DD"/>
    <w:rsid w:val="00BE386D"/>
    <w:rsid w:val="00BE4DA9"/>
    <w:rsid w:val="00BE511E"/>
    <w:rsid w:val="00BE54BF"/>
    <w:rsid w:val="00BE557B"/>
    <w:rsid w:val="00BE5F23"/>
    <w:rsid w:val="00BE67AA"/>
    <w:rsid w:val="00BE6BAC"/>
    <w:rsid w:val="00BE7F5F"/>
    <w:rsid w:val="00BF02C8"/>
    <w:rsid w:val="00BF1578"/>
    <w:rsid w:val="00BF15CA"/>
    <w:rsid w:val="00BF1D12"/>
    <w:rsid w:val="00BF1D3A"/>
    <w:rsid w:val="00BF2B5B"/>
    <w:rsid w:val="00BF2D41"/>
    <w:rsid w:val="00BF3274"/>
    <w:rsid w:val="00BF32DC"/>
    <w:rsid w:val="00BF35C9"/>
    <w:rsid w:val="00BF4308"/>
    <w:rsid w:val="00BF4329"/>
    <w:rsid w:val="00BF4E43"/>
    <w:rsid w:val="00BF5C4C"/>
    <w:rsid w:val="00BF77FC"/>
    <w:rsid w:val="00C006D6"/>
    <w:rsid w:val="00C00BD7"/>
    <w:rsid w:val="00C00D3A"/>
    <w:rsid w:val="00C01410"/>
    <w:rsid w:val="00C024F0"/>
    <w:rsid w:val="00C02704"/>
    <w:rsid w:val="00C02B16"/>
    <w:rsid w:val="00C02D23"/>
    <w:rsid w:val="00C03D4D"/>
    <w:rsid w:val="00C044F4"/>
    <w:rsid w:val="00C04B78"/>
    <w:rsid w:val="00C052AA"/>
    <w:rsid w:val="00C06EE3"/>
    <w:rsid w:val="00C06F2F"/>
    <w:rsid w:val="00C07279"/>
    <w:rsid w:val="00C07749"/>
    <w:rsid w:val="00C07AD5"/>
    <w:rsid w:val="00C07C67"/>
    <w:rsid w:val="00C108C5"/>
    <w:rsid w:val="00C10950"/>
    <w:rsid w:val="00C110EA"/>
    <w:rsid w:val="00C11244"/>
    <w:rsid w:val="00C11D48"/>
    <w:rsid w:val="00C121E8"/>
    <w:rsid w:val="00C12304"/>
    <w:rsid w:val="00C12316"/>
    <w:rsid w:val="00C1246C"/>
    <w:rsid w:val="00C12FCC"/>
    <w:rsid w:val="00C139A8"/>
    <w:rsid w:val="00C1493E"/>
    <w:rsid w:val="00C15DBD"/>
    <w:rsid w:val="00C161C5"/>
    <w:rsid w:val="00C16556"/>
    <w:rsid w:val="00C167E9"/>
    <w:rsid w:val="00C172F7"/>
    <w:rsid w:val="00C2010D"/>
    <w:rsid w:val="00C20A61"/>
    <w:rsid w:val="00C20CB5"/>
    <w:rsid w:val="00C21382"/>
    <w:rsid w:val="00C21430"/>
    <w:rsid w:val="00C216DF"/>
    <w:rsid w:val="00C21E61"/>
    <w:rsid w:val="00C21F94"/>
    <w:rsid w:val="00C221B9"/>
    <w:rsid w:val="00C224BD"/>
    <w:rsid w:val="00C234DB"/>
    <w:rsid w:val="00C23909"/>
    <w:rsid w:val="00C23C5C"/>
    <w:rsid w:val="00C23F90"/>
    <w:rsid w:val="00C2479A"/>
    <w:rsid w:val="00C24903"/>
    <w:rsid w:val="00C2590D"/>
    <w:rsid w:val="00C25D9C"/>
    <w:rsid w:val="00C27913"/>
    <w:rsid w:val="00C27FA7"/>
    <w:rsid w:val="00C300E2"/>
    <w:rsid w:val="00C31F21"/>
    <w:rsid w:val="00C323C4"/>
    <w:rsid w:val="00C32631"/>
    <w:rsid w:val="00C33301"/>
    <w:rsid w:val="00C33311"/>
    <w:rsid w:val="00C33B68"/>
    <w:rsid w:val="00C33F7D"/>
    <w:rsid w:val="00C34AD4"/>
    <w:rsid w:val="00C35570"/>
    <w:rsid w:val="00C35A2A"/>
    <w:rsid w:val="00C36A79"/>
    <w:rsid w:val="00C37491"/>
    <w:rsid w:val="00C401A9"/>
    <w:rsid w:val="00C401D2"/>
    <w:rsid w:val="00C4031A"/>
    <w:rsid w:val="00C405D4"/>
    <w:rsid w:val="00C419D5"/>
    <w:rsid w:val="00C41D54"/>
    <w:rsid w:val="00C42EBB"/>
    <w:rsid w:val="00C43766"/>
    <w:rsid w:val="00C4513B"/>
    <w:rsid w:val="00C459E9"/>
    <w:rsid w:val="00C475E8"/>
    <w:rsid w:val="00C50E79"/>
    <w:rsid w:val="00C5197D"/>
    <w:rsid w:val="00C525FB"/>
    <w:rsid w:val="00C5390B"/>
    <w:rsid w:val="00C54257"/>
    <w:rsid w:val="00C54697"/>
    <w:rsid w:val="00C550CE"/>
    <w:rsid w:val="00C553A5"/>
    <w:rsid w:val="00C55402"/>
    <w:rsid w:val="00C55AC4"/>
    <w:rsid w:val="00C5603B"/>
    <w:rsid w:val="00C601AA"/>
    <w:rsid w:val="00C60AE3"/>
    <w:rsid w:val="00C61F47"/>
    <w:rsid w:val="00C62828"/>
    <w:rsid w:val="00C63B51"/>
    <w:rsid w:val="00C659B4"/>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976DD"/>
    <w:rsid w:val="00CA0346"/>
    <w:rsid w:val="00CA0DA1"/>
    <w:rsid w:val="00CA1454"/>
    <w:rsid w:val="00CA1BD6"/>
    <w:rsid w:val="00CA2201"/>
    <w:rsid w:val="00CA37FF"/>
    <w:rsid w:val="00CA423A"/>
    <w:rsid w:val="00CA47BC"/>
    <w:rsid w:val="00CA4D42"/>
    <w:rsid w:val="00CA5EAD"/>
    <w:rsid w:val="00CA669C"/>
    <w:rsid w:val="00CA6AB4"/>
    <w:rsid w:val="00CA6BE6"/>
    <w:rsid w:val="00CA7255"/>
    <w:rsid w:val="00CA749B"/>
    <w:rsid w:val="00CB111E"/>
    <w:rsid w:val="00CB1857"/>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1B66"/>
    <w:rsid w:val="00CC20FE"/>
    <w:rsid w:val="00CC225C"/>
    <w:rsid w:val="00CC2E7D"/>
    <w:rsid w:val="00CC4408"/>
    <w:rsid w:val="00CC5875"/>
    <w:rsid w:val="00CC5BE8"/>
    <w:rsid w:val="00CC612B"/>
    <w:rsid w:val="00CC655F"/>
    <w:rsid w:val="00CC66F9"/>
    <w:rsid w:val="00CC6BB7"/>
    <w:rsid w:val="00CC6C2A"/>
    <w:rsid w:val="00CC6C3D"/>
    <w:rsid w:val="00CC6FE5"/>
    <w:rsid w:val="00CC7458"/>
    <w:rsid w:val="00CC76BD"/>
    <w:rsid w:val="00CC7A87"/>
    <w:rsid w:val="00CD08BF"/>
    <w:rsid w:val="00CD0D6B"/>
    <w:rsid w:val="00CD1024"/>
    <w:rsid w:val="00CD1060"/>
    <w:rsid w:val="00CD10A5"/>
    <w:rsid w:val="00CD1129"/>
    <w:rsid w:val="00CD1A80"/>
    <w:rsid w:val="00CD1CB5"/>
    <w:rsid w:val="00CD2076"/>
    <w:rsid w:val="00CD24CE"/>
    <w:rsid w:val="00CD29B5"/>
    <w:rsid w:val="00CD2B78"/>
    <w:rsid w:val="00CD3866"/>
    <w:rsid w:val="00CD3FAB"/>
    <w:rsid w:val="00CD52EB"/>
    <w:rsid w:val="00CD5456"/>
    <w:rsid w:val="00CD5C3E"/>
    <w:rsid w:val="00CD5C57"/>
    <w:rsid w:val="00CD6331"/>
    <w:rsid w:val="00CD6C09"/>
    <w:rsid w:val="00CD7E9E"/>
    <w:rsid w:val="00CE14BE"/>
    <w:rsid w:val="00CE17A4"/>
    <w:rsid w:val="00CE1BA9"/>
    <w:rsid w:val="00CE2D8F"/>
    <w:rsid w:val="00CE3532"/>
    <w:rsid w:val="00CE3695"/>
    <w:rsid w:val="00CE3E48"/>
    <w:rsid w:val="00CE46C0"/>
    <w:rsid w:val="00CE47B8"/>
    <w:rsid w:val="00CE54FD"/>
    <w:rsid w:val="00CE5C92"/>
    <w:rsid w:val="00CE62FA"/>
    <w:rsid w:val="00CE670B"/>
    <w:rsid w:val="00CE6833"/>
    <w:rsid w:val="00CE7FE1"/>
    <w:rsid w:val="00CF020B"/>
    <w:rsid w:val="00CF060D"/>
    <w:rsid w:val="00CF112D"/>
    <w:rsid w:val="00CF1183"/>
    <w:rsid w:val="00CF15BF"/>
    <w:rsid w:val="00CF284E"/>
    <w:rsid w:val="00CF2E4D"/>
    <w:rsid w:val="00CF4205"/>
    <w:rsid w:val="00CF4908"/>
    <w:rsid w:val="00CF51EC"/>
    <w:rsid w:val="00CF545D"/>
    <w:rsid w:val="00CF5873"/>
    <w:rsid w:val="00CF60B8"/>
    <w:rsid w:val="00CF6AB7"/>
    <w:rsid w:val="00CF73AE"/>
    <w:rsid w:val="00CF7514"/>
    <w:rsid w:val="00CF7777"/>
    <w:rsid w:val="00CF7897"/>
    <w:rsid w:val="00D00007"/>
    <w:rsid w:val="00D0085A"/>
    <w:rsid w:val="00D0197F"/>
    <w:rsid w:val="00D01B31"/>
    <w:rsid w:val="00D0242D"/>
    <w:rsid w:val="00D02716"/>
    <w:rsid w:val="00D02AA9"/>
    <w:rsid w:val="00D03A72"/>
    <w:rsid w:val="00D040DD"/>
    <w:rsid w:val="00D04134"/>
    <w:rsid w:val="00D04E27"/>
    <w:rsid w:val="00D05C65"/>
    <w:rsid w:val="00D06B56"/>
    <w:rsid w:val="00D06D68"/>
    <w:rsid w:val="00D075BE"/>
    <w:rsid w:val="00D07AFF"/>
    <w:rsid w:val="00D10C15"/>
    <w:rsid w:val="00D11011"/>
    <w:rsid w:val="00D11476"/>
    <w:rsid w:val="00D11E98"/>
    <w:rsid w:val="00D12C25"/>
    <w:rsid w:val="00D133B4"/>
    <w:rsid w:val="00D13986"/>
    <w:rsid w:val="00D13F3E"/>
    <w:rsid w:val="00D14262"/>
    <w:rsid w:val="00D14930"/>
    <w:rsid w:val="00D14C5B"/>
    <w:rsid w:val="00D15FED"/>
    <w:rsid w:val="00D16712"/>
    <w:rsid w:val="00D17137"/>
    <w:rsid w:val="00D17884"/>
    <w:rsid w:val="00D214EF"/>
    <w:rsid w:val="00D215B0"/>
    <w:rsid w:val="00D21D6D"/>
    <w:rsid w:val="00D21D83"/>
    <w:rsid w:val="00D2240D"/>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857"/>
    <w:rsid w:val="00D43ED2"/>
    <w:rsid w:val="00D447AE"/>
    <w:rsid w:val="00D50F46"/>
    <w:rsid w:val="00D51ABF"/>
    <w:rsid w:val="00D533C4"/>
    <w:rsid w:val="00D5384E"/>
    <w:rsid w:val="00D544E7"/>
    <w:rsid w:val="00D5499F"/>
    <w:rsid w:val="00D5560A"/>
    <w:rsid w:val="00D56916"/>
    <w:rsid w:val="00D56FBF"/>
    <w:rsid w:val="00D57677"/>
    <w:rsid w:val="00D576E0"/>
    <w:rsid w:val="00D5781F"/>
    <w:rsid w:val="00D6014A"/>
    <w:rsid w:val="00D60415"/>
    <w:rsid w:val="00D60674"/>
    <w:rsid w:val="00D60BE8"/>
    <w:rsid w:val="00D60E3C"/>
    <w:rsid w:val="00D60FA7"/>
    <w:rsid w:val="00D61FAB"/>
    <w:rsid w:val="00D63BE5"/>
    <w:rsid w:val="00D6475F"/>
    <w:rsid w:val="00D65528"/>
    <w:rsid w:val="00D655D4"/>
    <w:rsid w:val="00D66223"/>
    <w:rsid w:val="00D667B8"/>
    <w:rsid w:val="00D67D55"/>
    <w:rsid w:val="00D70289"/>
    <w:rsid w:val="00D7041F"/>
    <w:rsid w:val="00D70822"/>
    <w:rsid w:val="00D72076"/>
    <w:rsid w:val="00D721B4"/>
    <w:rsid w:val="00D726A9"/>
    <w:rsid w:val="00D72DBA"/>
    <w:rsid w:val="00D73223"/>
    <w:rsid w:val="00D743E0"/>
    <w:rsid w:val="00D7469D"/>
    <w:rsid w:val="00D7490C"/>
    <w:rsid w:val="00D75AC1"/>
    <w:rsid w:val="00D77252"/>
    <w:rsid w:val="00D8084C"/>
    <w:rsid w:val="00D81809"/>
    <w:rsid w:val="00D81E79"/>
    <w:rsid w:val="00D82EF1"/>
    <w:rsid w:val="00D83937"/>
    <w:rsid w:val="00D84CC9"/>
    <w:rsid w:val="00D84F43"/>
    <w:rsid w:val="00D85114"/>
    <w:rsid w:val="00D85821"/>
    <w:rsid w:val="00D8598C"/>
    <w:rsid w:val="00D87C06"/>
    <w:rsid w:val="00D915EA"/>
    <w:rsid w:val="00D919ED"/>
    <w:rsid w:val="00D922A1"/>
    <w:rsid w:val="00D922F4"/>
    <w:rsid w:val="00D928BE"/>
    <w:rsid w:val="00D931D5"/>
    <w:rsid w:val="00D932B8"/>
    <w:rsid w:val="00D95302"/>
    <w:rsid w:val="00D95889"/>
    <w:rsid w:val="00D95B60"/>
    <w:rsid w:val="00D95C5D"/>
    <w:rsid w:val="00D96515"/>
    <w:rsid w:val="00D97D00"/>
    <w:rsid w:val="00DA096C"/>
    <w:rsid w:val="00DA1AB6"/>
    <w:rsid w:val="00DA21B0"/>
    <w:rsid w:val="00DA2E65"/>
    <w:rsid w:val="00DA37DE"/>
    <w:rsid w:val="00DA3ADF"/>
    <w:rsid w:val="00DA4174"/>
    <w:rsid w:val="00DA47DC"/>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67EA"/>
    <w:rsid w:val="00DB7342"/>
    <w:rsid w:val="00DB7489"/>
    <w:rsid w:val="00DB7E0D"/>
    <w:rsid w:val="00DC0CBB"/>
    <w:rsid w:val="00DC17D0"/>
    <w:rsid w:val="00DC1E5D"/>
    <w:rsid w:val="00DC21F3"/>
    <w:rsid w:val="00DC25AB"/>
    <w:rsid w:val="00DC2B41"/>
    <w:rsid w:val="00DC2EA7"/>
    <w:rsid w:val="00DC3128"/>
    <w:rsid w:val="00DC435B"/>
    <w:rsid w:val="00DC4AC4"/>
    <w:rsid w:val="00DC4FD0"/>
    <w:rsid w:val="00DC53D8"/>
    <w:rsid w:val="00DC56FE"/>
    <w:rsid w:val="00DC5B3B"/>
    <w:rsid w:val="00DC6C2D"/>
    <w:rsid w:val="00DC7B1A"/>
    <w:rsid w:val="00DC7F51"/>
    <w:rsid w:val="00DD04B0"/>
    <w:rsid w:val="00DD0C95"/>
    <w:rsid w:val="00DD129F"/>
    <w:rsid w:val="00DD13FC"/>
    <w:rsid w:val="00DD1A3F"/>
    <w:rsid w:val="00DD29B5"/>
    <w:rsid w:val="00DD32DD"/>
    <w:rsid w:val="00DD33E8"/>
    <w:rsid w:val="00DD5287"/>
    <w:rsid w:val="00DD5B36"/>
    <w:rsid w:val="00DD6DAD"/>
    <w:rsid w:val="00DD7849"/>
    <w:rsid w:val="00DE03DE"/>
    <w:rsid w:val="00DE0D8B"/>
    <w:rsid w:val="00DE1237"/>
    <w:rsid w:val="00DE140F"/>
    <w:rsid w:val="00DE17E9"/>
    <w:rsid w:val="00DE1CEC"/>
    <w:rsid w:val="00DE2491"/>
    <w:rsid w:val="00DE277A"/>
    <w:rsid w:val="00DE3E5D"/>
    <w:rsid w:val="00DE450F"/>
    <w:rsid w:val="00DE4865"/>
    <w:rsid w:val="00DE5CA6"/>
    <w:rsid w:val="00DE5E55"/>
    <w:rsid w:val="00DE7156"/>
    <w:rsid w:val="00DE7AC8"/>
    <w:rsid w:val="00DF0714"/>
    <w:rsid w:val="00DF0830"/>
    <w:rsid w:val="00DF199C"/>
    <w:rsid w:val="00DF2AD9"/>
    <w:rsid w:val="00DF2C5D"/>
    <w:rsid w:val="00DF3643"/>
    <w:rsid w:val="00DF42FF"/>
    <w:rsid w:val="00DF4369"/>
    <w:rsid w:val="00DF4423"/>
    <w:rsid w:val="00DF4ADF"/>
    <w:rsid w:val="00DF57D6"/>
    <w:rsid w:val="00DF5D1E"/>
    <w:rsid w:val="00DF63E3"/>
    <w:rsid w:val="00DF77E4"/>
    <w:rsid w:val="00DF7F88"/>
    <w:rsid w:val="00E00B88"/>
    <w:rsid w:val="00E01C0E"/>
    <w:rsid w:val="00E0368F"/>
    <w:rsid w:val="00E03D73"/>
    <w:rsid w:val="00E03E1E"/>
    <w:rsid w:val="00E03F9A"/>
    <w:rsid w:val="00E040DA"/>
    <w:rsid w:val="00E04694"/>
    <w:rsid w:val="00E1168B"/>
    <w:rsid w:val="00E11F8B"/>
    <w:rsid w:val="00E12191"/>
    <w:rsid w:val="00E129E7"/>
    <w:rsid w:val="00E12ABE"/>
    <w:rsid w:val="00E12B1E"/>
    <w:rsid w:val="00E135EB"/>
    <w:rsid w:val="00E13995"/>
    <w:rsid w:val="00E1444C"/>
    <w:rsid w:val="00E14544"/>
    <w:rsid w:val="00E17262"/>
    <w:rsid w:val="00E1742F"/>
    <w:rsid w:val="00E17F36"/>
    <w:rsid w:val="00E20016"/>
    <w:rsid w:val="00E2009B"/>
    <w:rsid w:val="00E20BB9"/>
    <w:rsid w:val="00E20BCC"/>
    <w:rsid w:val="00E20D05"/>
    <w:rsid w:val="00E21E9A"/>
    <w:rsid w:val="00E2251C"/>
    <w:rsid w:val="00E2363D"/>
    <w:rsid w:val="00E23C6A"/>
    <w:rsid w:val="00E2484B"/>
    <w:rsid w:val="00E25391"/>
    <w:rsid w:val="00E253A2"/>
    <w:rsid w:val="00E260F6"/>
    <w:rsid w:val="00E267F2"/>
    <w:rsid w:val="00E27127"/>
    <w:rsid w:val="00E27233"/>
    <w:rsid w:val="00E274BB"/>
    <w:rsid w:val="00E30F15"/>
    <w:rsid w:val="00E31771"/>
    <w:rsid w:val="00E3186D"/>
    <w:rsid w:val="00E31A3E"/>
    <w:rsid w:val="00E3205D"/>
    <w:rsid w:val="00E32080"/>
    <w:rsid w:val="00E32778"/>
    <w:rsid w:val="00E3309D"/>
    <w:rsid w:val="00E34E3F"/>
    <w:rsid w:val="00E350B1"/>
    <w:rsid w:val="00E35A53"/>
    <w:rsid w:val="00E35AA3"/>
    <w:rsid w:val="00E3634A"/>
    <w:rsid w:val="00E3656B"/>
    <w:rsid w:val="00E37069"/>
    <w:rsid w:val="00E3712B"/>
    <w:rsid w:val="00E371BE"/>
    <w:rsid w:val="00E3724A"/>
    <w:rsid w:val="00E378B1"/>
    <w:rsid w:val="00E417BE"/>
    <w:rsid w:val="00E41B25"/>
    <w:rsid w:val="00E41CD5"/>
    <w:rsid w:val="00E42054"/>
    <w:rsid w:val="00E4335A"/>
    <w:rsid w:val="00E4372D"/>
    <w:rsid w:val="00E43A9E"/>
    <w:rsid w:val="00E44243"/>
    <w:rsid w:val="00E453F9"/>
    <w:rsid w:val="00E45D7D"/>
    <w:rsid w:val="00E4623F"/>
    <w:rsid w:val="00E4665D"/>
    <w:rsid w:val="00E469FC"/>
    <w:rsid w:val="00E47854"/>
    <w:rsid w:val="00E478E2"/>
    <w:rsid w:val="00E47EBA"/>
    <w:rsid w:val="00E50156"/>
    <w:rsid w:val="00E504EB"/>
    <w:rsid w:val="00E5076C"/>
    <w:rsid w:val="00E50D2E"/>
    <w:rsid w:val="00E50D7D"/>
    <w:rsid w:val="00E51229"/>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7A3"/>
    <w:rsid w:val="00E61EB5"/>
    <w:rsid w:val="00E6324D"/>
    <w:rsid w:val="00E65084"/>
    <w:rsid w:val="00E6519D"/>
    <w:rsid w:val="00E65683"/>
    <w:rsid w:val="00E66062"/>
    <w:rsid w:val="00E6660E"/>
    <w:rsid w:val="00E66768"/>
    <w:rsid w:val="00E67305"/>
    <w:rsid w:val="00E67696"/>
    <w:rsid w:val="00E709AF"/>
    <w:rsid w:val="00E70C5F"/>
    <w:rsid w:val="00E71009"/>
    <w:rsid w:val="00E713E6"/>
    <w:rsid w:val="00E71A58"/>
    <w:rsid w:val="00E728D7"/>
    <w:rsid w:val="00E72A26"/>
    <w:rsid w:val="00E72A7A"/>
    <w:rsid w:val="00E7335A"/>
    <w:rsid w:val="00E736CE"/>
    <w:rsid w:val="00E73986"/>
    <w:rsid w:val="00E73B5E"/>
    <w:rsid w:val="00E7467D"/>
    <w:rsid w:val="00E747DC"/>
    <w:rsid w:val="00E74A2D"/>
    <w:rsid w:val="00E75597"/>
    <w:rsid w:val="00E75C94"/>
    <w:rsid w:val="00E76A08"/>
    <w:rsid w:val="00E76B9B"/>
    <w:rsid w:val="00E76E61"/>
    <w:rsid w:val="00E76EE4"/>
    <w:rsid w:val="00E77B7A"/>
    <w:rsid w:val="00E77CC0"/>
    <w:rsid w:val="00E80B3D"/>
    <w:rsid w:val="00E80CA3"/>
    <w:rsid w:val="00E81D18"/>
    <w:rsid w:val="00E81D99"/>
    <w:rsid w:val="00E82618"/>
    <w:rsid w:val="00E82A42"/>
    <w:rsid w:val="00E84E09"/>
    <w:rsid w:val="00E852EE"/>
    <w:rsid w:val="00E86E5D"/>
    <w:rsid w:val="00E87CE2"/>
    <w:rsid w:val="00E87F02"/>
    <w:rsid w:val="00E90CA8"/>
    <w:rsid w:val="00E911C6"/>
    <w:rsid w:val="00E91794"/>
    <w:rsid w:val="00E918E3"/>
    <w:rsid w:val="00E930A1"/>
    <w:rsid w:val="00E93820"/>
    <w:rsid w:val="00E94A86"/>
    <w:rsid w:val="00E94DD2"/>
    <w:rsid w:val="00E951AB"/>
    <w:rsid w:val="00E953F6"/>
    <w:rsid w:val="00E96143"/>
    <w:rsid w:val="00E96833"/>
    <w:rsid w:val="00E96F8D"/>
    <w:rsid w:val="00E97506"/>
    <w:rsid w:val="00E97BB5"/>
    <w:rsid w:val="00E97D5B"/>
    <w:rsid w:val="00E97F14"/>
    <w:rsid w:val="00EA0467"/>
    <w:rsid w:val="00EA0C68"/>
    <w:rsid w:val="00EA0E39"/>
    <w:rsid w:val="00EA1D0E"/>
    <w:rsid w:val="00EA1EC5"/>
    <w:rsid w:val="00EA2072"/>
    <w:rsid w:val="00EA2691"/>
    <w:rsid w:val="00EA2841"/>
    <w:rsid w:val="00EA32BC"/>
    <w:rsid w:val="00EA35A7"/>
    <w:rsid w:val="00EA3B32"/>
    <w:rsid w:val="00EA3CEB"/>
    <w:rsid w:val="00EA3D05"/>
    <w:rsid w:val="00EA4222"/>
    <w:rsid w:val="00EA4402"/>
    <w:rsid w:val="00EA46EA"/>
    <w:rsid w:val="00EA4B8D"/>
    <w:rsid w:val="00EA513E"/>
    <w:rsid w:val="00EA601A"/>
    <w:rsid w:val="00EA70BC"/>
    <w:rsid w:val="00EA7419"/>
    <w:rsid w:val="00EB0AD5"/>
    <w:rsid w:val="00EB0E32"/>
    <w:rsid w:val="00EB1520"/>
    <w:rsid w:val="00EB3882"/>
    <w:rsid w:val="00EB3E60"/>
    <w:rsid w:val="00EB4511"/>
    <w:rsid w:val="00EB48D7"/>
    <w:rsid w:val="00EB49F1"/>
    <w:rsid w:val="00EB4A8E"/>
    <w:rsid w:val="00EB4BC5"/>
    <w:rsid w:val="00EB5BF7"/>
    <w:rsid w:val="00EB5E79"/>
    <w:rsid w:val="00EB61F4"/>
    <w:rsid w:val="00EB6FAC"/>
    <w:rsid w:val="00EB7BAC"/>
    <w:rsid w:val="00EB7CC9"/>
    <w:rsid w:val="00EC03D7"/>
    <w:rsid w:val="00EC12F5"/>
    <w:rsid w:val="00EC13A7"/>
    <w:rsid w:val="00EC2EB6"/>
    <w:rsid w:val="00EC4CA3"/>
    <w:rsid w:val="00EC4FFF"/>
    <w:rsid w:val="00EC5517"/>
    <w:rsid w:val="00EC6E8C"/>
    <w:rsid w:val="00ED0EF0"/>
    <w:rsid w:val="00ED0F1A"/>
    <w:rsid w:val="00ED12B9"/>
    <w:rsid w:val="00ED16B8"/>
    <w:rsid w:val="00ED1959"/>
    <w:rsid w:val="00ED1A00"/>
    <w:rsid w:val="00ED1DF0"/>
    <w:rsid w:val="00ED1ED0"/>
    <w:rsid w:val="00ED2386"/>
    <w:rsid w:val="00ED2EA1"/>
    <w:rsid w:val="00ED3851"/>
    <w:rsid w:val="00ED3E51"/>
    <w:rsid w:val="00ED3F10"/>
    <w:rsid w:val="00ED3F9B"/>
    <w:rsid w:val="00ED4D04"/>
    <w:rsid w:val="00ED566D"/>
    <w:rsid w:val="00ED5907"/>
    <w:rsid w:val="00ED5F5B"/>
    <w:rsid w:val="00ED62C6"/>
    <w:rsid w:val="00ED6491"/>
    <w:rsid w:val="00ED64C1"/>
    <w:rsid w:val="00ED781F"/>
    <w:rsid w:val="00EE0A20"/>
    <w:rsid w:val="00EE0E7E"/>
    <w:rsid w:val="00EE249F"/>
    <w:rsid w:val="00EE2EB4"/>
    <w:rsid w:val="00EE3446"/>
    <w:rsid w:val="00EE3E78"/>
    <w:rsid w:val="00EE41FD"/>
    <w:rsid w:val="00EE460E"/>
    <w:rsid w:val="00EE4B1B"/>
    <w:rsid w:val="00EE5FBA"/>
    <w:rsid w:val="00EE64BA"/>
    <w:rsid w:val="00EE6680"/>
    <w:rsid w:val="00EE6E06"/>
    <w:rsid w:val="00EE7179"/>
    <w:rsid w:val="00EF072A"/>
    <w:rsid w:val="00EF0D90"/>
    <w:rsid w:val="00EF150D"/>
    <w:rsid w:val="00EF1F5A"/>
    <w:rsid w:val="00EF23B5"/>
    <w:rsid w:val="00EF326A"/>
    <w:rsid w:val="00EF3898"/>
    <w:rsid w:val="00EF39FD"/>
    <w:rsid w:val="00EF47BF"/>
    <w:rsid w:val="00EF48DC"/>
    <w:rsid w:val="00EF52F7"/>
    <w:rsid w:val="00EF55AD"/>
    <w:rsid w:val="00EF59B1"/>
    <w:rsid w:val="00EF5A13"/>
    <w:rsid w:val="00EF5FF9"/>
    <w:rsid w:val="00EF77D4"/>
    <w:rsid w:val="00EF7CC7"/>
    <w:rsid w:val="00F00535"/>
    <w:rsid w:val="00F00853"/>
    <w:rsid w:val="00F00866"/>
    <w:rsid w:val="00F00EC8"/>
    <w:rsid w:val="00F0160B"/>
    <w:rsid w:val="00F0193E"/>
    <w:rsid w:val="00F01C0D"/>
    <w:rsid w:val="00F03E2F"/>
    <w:rsid w:val="00F03F8D"/>
    <w:rsid w:val="00F04811"/>
    <w:rsid w:val="00F0488C"/>
    <w:rsid w:val="00F04BDB"/>
    <w:rsid w:val="00F07174"/>
    <w:rsid w:val="00F073ED"/>
    <w:rsid w:val="00F07C4C"/>
    <w:rsid w:val="00F10BA4"/>
    <w:rsid w:val="00F10F11"/>
    <w:rsid w:val="00F11159"/>
    <w:rsid w:val="00F11379"/>
    <w:rsid w:val="00F115E4"/>
    <w:rsid w:val="00F11AC4"/>
    <w:rsid w:val="00F120A5"/>
    <w:rsid w:val="00F12CFB"/>
    <w:rsid w:val="00F13897"/>
    <w:rsid w:val="00F13E60"/>
    <w:rsid w:val="00F13FDB"/>
    <w:rsid w:val="00F14C88"/>
    <w:rsid w:val="00F1533F"/>
    <w:rsid w:val="00F15AAA"/>
    <w:rsid w:val="00F15BEF"/>
    <w:rsid w:val="00F15C73"/>
    <w:rsid w:val="00F17898"/>
    <w:rsid w:val="00F20134"/>
    <w:rsid w:val="00F204BF"/>
    <w:rsid w:val="00F207C2"/>
    <w:rsid w:val="00F21337"/>
    <w:rsid w:val="00F219A1"/>
    <w:rsid w:val="00F21E3B"/>
    <w:rsid w:val="00F23C06"/>
    <w:rsid w:val="00F23E20"/>
    <w:rsid w:val="00F24407"/>
    <w:rsid w:val="00F24756"/>
    <w:rsid w:val="00F24FAA"/>
    <w:rsid w:val="00F25040"/>
    <w:rsid w:val="00F27071"/>
    <w:rsid w:val="00F27331"/>
    <w:rsid w:val="00F276D3"/>
    <w:rsid w:val="00F27EE5"/>
    <w:rsid w:val="00F27FB1"/>
    <w:rsid w:val="00F27FD6"/>
    <w:rsid w:val="00F307CB"/>
    <w:rsid w:val="00F30C0C"/>
    <w:rsid w:val="00F30C65"/>
    <w:rsid w:val="00F31A67"/>
    <w:rsid w:val="00F31B27"/>
    <w:rsid w:val="00F321D2"/>
    <w:rsid w:val="00F32649"/>
    <w:rsid w:val="00F33523"/>
    <w:rsid w:val="00F3364D"/>
    <w:rsid w:val="00F33914"/>
    <w:rsid w:val="00F349BF"/>
    <w:rsid w:val="00F34AF4"/>
    <w:rsid w:val="00F34DDC"/>
    <w:rsid w:val="00F352C5"/>
    <w:rsid w:val="00F36191"/>
    <w:rsid w:val="00F3629F"/>
    <w:rsid w:val="00F36DF3"/>
    <w:rsid w:val="00F37362"/>
    <w:rsid w:val="00F37EDC"/>
    <w:rsid w:val="00F437CC"/>
    <w:rsid w:val="00F44537"/>
    <w:rsid w:val="00F45EEF"/>
    <w:rsid w:val="00F46185"/>
    <w:rsid w:val="00F46423"/>
    <w:rsid w:val="00F4696A"/>
    <w:rsid w:val="00F47067"/>
    <w:rsid w:val="00F47234"/>
    <w:rsid w:val="00F47C48"/>
    <w:rsid w:val="00F51ADD"/>
    <w:rsid w:val="00F525AB"/>
    <w:rsid w:val="00F525EB"/>
    <w:rsid w:val="00F529FB"/>
    <w:rsid w:val="00F52CB5"/>
    <w:rsid w:val="00F53378"/>
    <w:rsid w:val="00F53A68"/>
    <w:rsid w:val="00F53E9C"/>
    <w:rsid w:val="00F54934"/>
    <w:rsid w:val="00F54F86"/>
    <w:rsid w:val="00F55A92"/>
    <w:rsid w:val="00F5615B"/>
    <w:rsid w:val="00F56700"/>
    <w:rsid w:val="00F575D3"/>
    <w:rsid w:val="00F57A76"/>
    <w:rsid w:val="00F57D57"/>
    <w:rsid w:val="00F6178B"/>
    <w:rsid w:val="00F62701"/>
    <w:rsid w:val="00F62BFF"/>
    <w:rsid w:val="00F62CCE"/>
    <w:rsid w:val="00F63092"/>
    <w:rsid w:val="00F63AAE"/>
    <w:rsid w:val="00F63DDE"/>
    <w:rsid w:val="00F63FB7"/>
    <w:rsid w:val="00F6421B"/>
    <w:rsid w:val="00F647F1"/>
    <w:rsid w:val="00F649D2"/>
    <w:rsid w:val="00F64C00"/>
    <w:rsid w:val="00F64D5A"/>
    <w:rsid w:val="00F6602B"/>
    <w:rsid w:val="00F6741E"/>
    <w:rsid w:val="00F6799D"/>
    <w:rsid w:val="00F7150B"/>
    <w:rsid w:val="00F717E4"/>
    <w:rsid w:val="00F71DE6"/>
    <w:rsid w:val="00F72C90"/>
    <w:rsid w:val="00F72D71"/>
    <w:rsid w:val="00F7381C"/>
    <w:rsid w:val="00F73A0C"/>
    <w:rsid w:val="00F752DC"/>
    <w:rsid w:val="00F7549F"/>
    <w:rsid w:val="00F756DB"/>
    <w:rsid w:val="00F766BE"/>
    <w:rsid w:val="00F767A8"/>
    <w:rsid w:val="00F77590"/>
    <w:rsid w:val="00F77A50"/>
    <w:rsid w:val="00F8046A"/>
    <w:rsid w:val="00F82670"/>
    <w:rsid w:val="00F82D14"/>
    <w:rsid w:val="00F84123"/>
    <w:rsid w:val="00F84593"/>
    <w:rsid w:val="00F84E7D"/>
    <w:rsid w:val="00F85066"/>
    <w:rsid w:val="00F8663C"/>
    <w:rsid w:val="00F87A4D"/>
    <w:rsid w:val="00F91B66"/>
    <w:rsid w:val="00F93688"/>
    <w:rsid w:val="00F939F3"/>
    <w:rsid w:val="00F93C6E"/>
    <w:rsid w:val="00F93F2C"/>
    <w:rsid w:val="00F94882"/>
    <w:rsid w:val="00F962AD"/>
    <w:rsid w:val="00F9644E"/>
    <w:rsid w:val="00F96E43"/>
    <w:rsid w:val="00FA0105"/>
    <w:rsid w:val="00FA05A0"/>
    <w:rsid w:val="00FA0AEF"/>
    <w:rsid w:val="00FA0EB0"/>
    <w:rsid w:val="00FA17CC"/>
    <w:rsid w:val="00FA1A7F"/>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0F9"/>
    <w:rsid w:val="00FA7AD7"/>
    <w:rsid w:val="00FA7AEC"/>
    <w:rsid w:val="00FB00D6"/>
    <w:rsid w:val="00FB0AEA"/>
    <w:rsid w:val="00FB0EE2"/>
    <w:rsid w:val="00FB1A79"/>
    <w:rsid w:val="00FB208B"/>
    <w:rsid w:val="00FB2B2D"/>
    <w:rsid w:val="00FB346E"/>
    <w:rsid w:val="00FB35D1"/>
    <w:rsid w:val="00FB4932"/>
    <w:rsid w:val="00FB542E"/>
    <w:rsid w:val="00FB5580"/>
    <w:rsid w:val="00FB564F"/>
    <w:rsid w:val="00FB79BB"/>
    <w:rsid w:val="00FB7DBB"/>
    <w:rsid w:val="00FC04A1"/>
    <w:rsid w:val="00FC05F8"/>
    <w:rsid w:val="00FC077B"/>
    <w:rsid w:val="00FC0950"/>
    <w:rsid w:val="00FC0E5F"/>
    <w:rsid w:val="00FC1070"/>
    <w:rsid w:val="00FC1266"/>
    <w:rsid w:val="00FC1A95"/>
    <w:rsid w:val="00FC1ED4"/>
    <w:rsid w:val="00FC3BEC"/>
    <w:rsid w:val="00FC440B"/>
    <w:rsid w:val="00FC56DE"/>
    <w:rsid w:val="00FC61B5"/>
    <w:rsid w:val="00FC63D9"/>
    <w:rsid w:val="00FC64DE"/>
    <w:rsid w:val="00FC6785"/>
    <w:rsid w:val="00FC684B"/>
    <w:rsid w:val="00FC79D0"/>
    <w:rsid w:val="00FC7D98"/>
    <w:rsid w:val="00FD1135"/>
    <w:rsid w:val="00FD3265"/>
    <w:rsid w:val="00FD3CF7"/>
    <w:rsid w:val="00FD4124"/>
    <w:rsid w:val="00FD41A0"/>
    <w:rsid w:val="00FD4916"/>
    <w:rsid w:val="00FD4D12"/>
    <w:rsid w:val="00FD4DC7"/>
    <w:rsid w:val="00FD4F73"/>
    <w:rsid w:val="00FD595E"/>
    <w:rsid w:val="00FD66A4"/>
    <w:rsid w:val="00FD75AC"/>
    <w:rsid w:val="00FD75D3"/>
    <w:rsid w:val="00FD7802"/>
    <w:rsid w:val="00FD7D3B"/>
    <w:rsid w:val="00FE263A"/>
    <w:rsid w:val="00FE27C7"/>
    <w:rsid w:val="00FE2C7E"/>
    <w:rsid w:val="00FE2F78"/>
    <w:rsid w:val="00FE3137"/>
    <w:rsid w:val="00FE346B"/>
    <w:rsid w:val="00FE346F"/>
    <w:rsid w:val="00FE3E07"/>
    <w:rsid w:val="00FE431E"/>
    <w:rsid w:val="00FE460E"/>
    <w:rsid w:val="00FE48E4"/>
    <w:rsid w:val="00FE5466"/>
    <w:rsid w:val="00FE634C"/>
    <w:rsid w:val="00FE6E69"/>
    <w:rsid w:val="00FE6F59"/>
    <w:rsid w:val="00FF01B6"/>
    <w:rsid w:val="00FF055A"/>
    <w:rsid w:val="00FF0989"/>
    <w:rsid w:val="00FF1136"/>
    <w:rsid w:val="00FF38A4"/>
    <w:rsid w:val="00FF3D76"/>
    <w:rsid w:val="00FF4E35"/>
    <w:rsid w:val="00FF5838"/>
    <w:rsid w:val="00FF596B"/>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43325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5450447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841476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898828998">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0995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651008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0638267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4652621">
      <w:bodyDiv w:val="1"/>
      <w:marLeft w:val="0"/>
      <w:marRight w:val="0"/>
      <w:marTop w:val="0"/>
      <w:marBottom w:val="0"/>
      <w:divBdr>
        <w:top w:val="none" w:sz="0" w:space="0" w:color="auto"/>
        <w:left w:val="none" w:sz="0" w:space="0" w:color="auto"/>
        <w:bottom w:val="none" w:sz="0" w:space="0" w:color="auto"/>
        <w:right w:val="none" w:sz="0" w:space="0" w:color="auto"/>
      </w:divBdr>
    </w:div>
    <w:div w:id="1658848773">
      <w:bodyDiv w:val="1"/>
      <w:marLeft w:val="0"/>
      <w:marRight w:val="0"/>
      <w:marTop w:val="0"/>
      <w:marBottom w:val="0"/>
      <w:divBdr>
        <w:top w:val="none" w:sz="0" w:space="0" w:color="auto"/>
        <w:left w:val="none" w:sz="0" w:space="0" w:color="auto"/>
        <w:bottom w:val="none" w:sz="0" w:space="0" w:color="auto"/>
        <w:right w:val="none" w:sz="0" w:space="0" w:color="auto"/>
      </w:divBdr>
    </w:div>
    <w:div w:id="182041887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517120">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Grafy-trh%20pr&#225;ce-2021-celor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Grafy-trh%20pr&#225;ce-2021-celor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Grafy-trh%20pr&#225;ce-2021-celor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Agriculture, forestry and fishing</c:v>
                </c:pt>
              </c:strCache>
            </c:strRef>
          </c:tx>
          <c:spPr>
            <a:solidFill>
              <a:srgbClr val="7DBB2D"/>
            </a:solidFill>
            <a:ln>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1-SNÚ'!$AC$28:$AC$56</c:f>
              <c:numCache>
                <c:formatCode>#\ ##0.0</c:formatCode>
                <c:ptCount val="29"/>
                <c:pt idx="0">
                  <c:v>-5.6677054184560781E-2</c:v>
                </c:pt>
                <c:pt idx="1">
                  <c:v>-5.1607322824015513E-2</c:v>
                </c:pt>
                <c:pt idx="2">
                  <c:v>-6.9891278713406377E-2</c:v>
                </c:pt>
                <c:pt idx="3">
                  <c:v>-0.14152766500586728</c:v>
                </c:pt>
                <c:pt idx="4">
                  <c:v>-0.11957614913941057</c:v>
                </c:pt>
                <c:pt idx="5">
                  <c:v>-3.02348639604662E-2</c:v>
                </c:pt>
                <c:pt idx="6">
                  <c:v>-4.7646022434106698E-2</c:v>
                </c:pt>
                <c:pt idx="7">
                  <c:v>5.3596790651858295E-2</c:v>
                </c:pt>
                <c:pt idx="8">
                  <c:v>0.10353112845488527</c:v>
                </c:pt>
                <c:pt idx="9">
                  <c:v>3.4547187522400186E-2</c:v>
                </c:pt>
                <c:pt idx="10">
                  <c:v>1.7808989286696726E-2</c:v>
                </c:pt>
                <c:pt idx="11">
                  <c:v>-9.5124644980561279E-2</c:v>
                </c:pt>
                <c:pt idx="12">
                  <c:v>3.2050098392482823E-2</c:v>
                </c:pt>
                <c:pt idx="13">
                  <c:v>2.9656752150723571E-2</c:v>
                </c:pt>
                <c:pt idx="14">
                  <c:v>1.6015798281392987E-2</c:v>
                </c:pt>
                <c:pt idx="15">
                  <c:v>8.185225491141454E-2</c:v>
                </c:pt>
                <c:pt idx="16">
                  <c:v>-3.1059507716079723E-2</c:v>
                </c:pt>
                <c:pt idx="17">
                  <c:v>-9.207748512930998E-2</c:v>
                </c:pt>
                <c:pt idx="18">
                  <c:v>-0.12566979454251256</c:v>
                </c:pt>
                <c:pt idx="19">
                  <c:v>-0.13346654214698095</c:v>
                </c:pt>
                <c:pt idx="20">
                  <c:v>-0.11129581706934633</c:v>
                </c:pt>
                <c:pt idx="21">
                  <c:v>-3.5239401139523695E-2</c:v>
                </c:pt>
                <c:pt idx="22">
                  <c:v>5.2608204632653276E-2</c:v>
                </c:pt>
                <c:pt idx="23">
                  <c:v>4.4272879849206082E-2</c:v>
                </c:pt>
                <c:pt idx="24">
                  <c:v>1.206569744457428E-2</c:v>
                </c:pt>
                <c:pt idx="25">
                  <c:v>-5.8581505694808828E-2</c:v>
                </c:pt>
                <c:pt idx="26">
                  <c:v>-8.8950126067353225E-2</c:v>
                </c:pt>
                <c:pt idx="27">
                  <c:v>-3.8876259187133444E-2</c:v>
                </c:pt>
              </c:numCache>
            </c:numRef>
          </c:val>
          <c:extLst>
            <c:ext xmlns:c16="http://schemas.microsoft.com/office/drawing/2014/chart" uri="{C3380CC4-5D6E-409C-BE32-E72D297353CC}">
              <c16:uniqueId val="{00000000-932E-48DF-9AA9-1CEA53F9AD11}"/>
            </c:ext>
          </c:extLst>
        </c:ser>
        <c:ser>
          <c:idx val="1"/>
          <c:order val="1"/>
          <c:tx>
            <c:strRef>
              <c:f>'Trh práce 1-SNÚ'!$AD$7</c:f>
              <c:strCache>
                <c:ptCount val="1"/>
                <c:pt idx="0">
                  <c:v>Manufacturing</c:v>
                </c:pt>
              </c:strCache>
            </c:strRef>
          </c:tx>
          <c:spPr>
            <a:solidFill>
              <a:srgbClr val="A6CDE8"/>
            </a:solidFill>
            <a:ln>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1-SNÚ'!$AD$28:$AD$56</c:f>
              <c:numCache>
                <c:formatCode>#\ ##0.0</c:formatCode>
                <c:ptCount val="29"/>
                <c:pt idx="0">
                  <c:v>0.8973211837957854</c:v>
                </c:pt>
                <c:pt idx="1">
                  <c:v>0.93240500328089182</c:v>
                </c:pt>
                <c:pt idx="2">
                  <c:v>0.78322390473214842</c:v>
                </c:pt>
                <c:pt idx="3">
                  <c:v>0.92856953615549465</c:v>
                </c:pt>
                <c:pt idx="4">
                  <c:v>0.86888766422551245</c:v>
                </c:pt>
                <c:pt idx="5">
                  <c:v>0.63466218902728611</c:v>
                </c:pt>
                <c:pt idx="6">
                  <c:v>0.67030166755296461</c:v>
                </c:pt>
                <c:pt idx="7">
                  <c:v>0.52226112325646856</c:v>
                </c:pt>
                <c:pt idx="8">
                  <c:v>0.25692544860143091</c:v>
                </c:pt>
                <c:pt idx="9">
                  <c:v>0.4029301034533323</c:v>
                </c:pt>
                <c:pt idx="10">
                  <c:v>0.49305079188297163</c:v>
                </c:pt>
                <c:pt idx="11">
                  <c:v>0.4790569189501015</c:v>
                </c:pt>
                <c:pt idx="12">
                  <c:v>0.34915953751387369</c:v>
                </c:pt>
                <c:pt idx="13">
                  <c:v>0.29129979245897197</c:v>
                </c:pt>
                <c:pt idx="14">
                  <c:v>9.8459913388051989E-2</c:v>
                </c:pt>
                <c:pt idx="15">
                  <c:v>8.7027357678158501E-2</c:v>
                </c:pt>
                <c:pt idx="16">
                  <c:v>0.15622524191719908</c:v>
                </c:pt>
                <c:pt idx="17">
                  <c:v>-1.4335858201041258E-2</c:v>
                </c:pt>
                <c:pt idx="18">
                  <c:v>-0.16956473525850688</c:v>
                </c:pt>
                <c:pt idx="19">
                  <c:v>-0.55893946933332894</c:v>
                </c:pt>
                <c:pt idx="20">
                  <c:v>-0.94324538896959975</c:v>
                </c:pt>
                <c:pt idx="21">
                  <c:v>-1.2295778121418588</c:v>
                </c:pt>
                <c:pt idx="22">
                  <c:v>-1.234377103936751</c:v>
                </c:pt>
                <c:pt idx="23">
                  <c:v>-1.0657457809109596</c:v>
                </c:pt>
                <c:pt idx="24">
                  <c:v>-0.57049805382709806</c:v>
                </c:pt>
                <c:pt idx="25">
                  <c:v>-0.15973874374756808</c:v>
                </c:pt>
                <c:pt idx="26">
                  <c:v>5.7756657199897851E-2</c:v>
                </c:pt>
                <c:pt idx="27">
                  <c:v>0.18206387854158756</c:v>
                </c:pt>
              </c:numCache>
            </c:numRef>
          </c:val>
          <c:extLst>
            <c:ext xmlns:c16="http://schemas.microsoft.com/office/drawing/2014/chart" uri="{C3380CC4-5D6E-409C-BE32-E72D297353CC}">
              <c16:uniqueId val="{00000001-932E-48DF-9AA9-1CEA53F9AD11}"/>
            </c:ext>
          </c:extLst>
        </c:ser>
        <c:ser>
          <c:idx val="2"/>
          <c:order val="2"/>
          <c:tx>
            <c:strRef>
              <c:f>'Trh práce 1-SNÚ'!$AE$7</c:f>
              <c:strCache>
                <c:ptCount val="1"/>
                <c:pt idx="0">
                  <c:v>Construction</c:v>
                </c:pt>
              </c:strCache>
            </c:strRef>
          </c:tx>
          <c:spPr>
            <a:solidFill>
              <a:srgbClr val="48AEE7"/>
            </a:solidFill>
            <a:ln w="19050">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1-SNÚ'!$AE$28:$AE$56</c:f>
              <c:numCache>
                <c:formatCode>#\ ##0.0</c:formatCode>
                <c:ptCount val="29"/>
                <c:pt idx="0">
                  <c:v>-0.10869652798016841</c:v>
                </c:pt>
                <c:pt idx="1">
                  <c:v>-0.10209615994424059</c:v>
                </c:pt>
                <c:pt idx="2">
                  <c:v>-0.16545690470928856</c:v>
                </c:pt>
                <c:pt idx="3">
                  <c:v>-0.17895019005421842</c:v>
                </c:pt>
                <c:pt idx="4">
                  <c:v>-0.11373322367009846</c:v>
                </c:pt>
                <c:pt idx="5">
                  <c:v>-0.12545154650943438</c:v>
                </c:pt>
                <c:pt idx="6">
                  <c:v>-3.1860386360670866E-2</c:v>
                </c:pt>
                <c:pt idx="7">
                  <c:v>1.8032205750158924E-2</c:v>
                </c:pt>
                <c:pt idx="8">
                  <c:v>-1.9444350441111414E-2</c:v>
                </c:pt>
                <c:pt idx="9">
                  <c:v>1.8614032242393937E-2</c:v>
                </c:pt>
                <c:pt idx="10">
                  <c:v>7.0286650681611176E-2</c:v>
                </c:pt>
                <c:pt idx="11">
                  <c:v>-6.0221710983330345E-2</c:v>
                </c:pt>
                <c:pt idx="12">
                  <c:v>9.978678488335628E-2</c:v>
                </c:pt>
                <c:pt idx="13">
                  <c:v>7.2735902872823929E-2</c:v>
                </c:pt>
                <c:pt idx="14">
                  <c:v>5.9649537087560163E-2</c:v>
                </c:pt>
                <c:pt idx="15">
                  <c:v>0.1162536574759572</c:v>
                </c:pt>
                <c:pt idx="16">
                  <c:v>2.9352533576366864E-2</c:v>
                </c:pt>
                <c:pt idx="17">
                  <c:v>9.3127798647895263E-2</c:v>
                </c:pt>
                <c:pt idx="18">
                  <c:v>0.10007825071187611</c:v>
                </c:pt>
                <c:pt idx="19">
                  <c:v>0.12319422069622019</c:v>
                </c:pt>
                <c:pt idx="20">
                  <c:v>0.2163727572715346</c:v>
                </c:pt>
                <c:pt idx="21">
                  <c:v>-8.4471727588227696E-3</c:v>
                </c:pt>
                <c:pt idx="22">
                  <c:v>7.7604469929050512E-2</c:v>
                </c:pt>
                <c:pt idx="23">
                  <c:v>0.12629596568001819</c:v>
                </c:pt>
                <c:pt idx="24">
                  <c:v>-5.7659577189048523E-2</c:v>
                </c:pt>
                <c:pt idx="25">
                  <c:v>0.15744952411439489</c:v>
                </c:pt>
                <c:pt idx="26">
                  <c:v>-3.7042244280103262E-2</c:v>
                </c:pt>
                <c:pt idx="27">
                  <c:v>6.0342141261348799E-2</c:v>
                </c:pt>
              </c:numCache>
            </c:numRef>
          </c:val>
          <c:extLst>
            <c:ext xmlns:c16="http://schemas.microsoft.com/office/drawing/2014/chart" uri="{C3380CC4-5D6E-409C-BE32-E72D297353CC}">
              <c16:uniqueId val="{00000002-932E-48DF-9AA9-1CEA53F9AD11}"/>
            </c:ext>
          </c:extLst>
        </c:ser>
        <c:ser>
          <c:idx val="3"/>
          <c:order val="3"/>
          <c:tx>
            <c:strRef>
              <c:f>'Trh práce 1-SNÚ'!$AF$7</c:f>
              <c:strCache>
                <c:ptCount val="1"/>
                <c:pt idx="0">
                  <c:v>Trade, transport, accommod., food service</c:v>
                </c:pt>
              </c:strCache>
            </c:strRef>
          </c:tx>
          <c:spPr>
            <a:solidFill>
              <a:srgbClr val="FDDEB3"/>
            </a:solidFill>
            <a:ln w="19050">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1-SNÚ'!$AF$28:$AF$56</c:f>
              <c:numCache>
                <c:formatCode>#\ ##0.0</c:formatCode>
                <c:ptCount val="29"/>
                <c:pt idx="0">
                  <c:v>0.21725549029484031</c:v>
                </c:pt>
                <c:pt idx="1">
                  <c:v>0.47973225414506893</c:v>
                </c:pt>
                <c:pt idx="2">
                  <c:v>0.31856511270432697</c:v>
                </c:pt>
                <c:pt idx="3">
                  <c:v>0.19833353853058974</c:v>
                </c:pt>
                <c:pt idx="4">
                  <c:v>6.3068653986030024E-2</c:v>
                </c:pt>
                <c:pt idx="5">
                  <c:v>0.14785774033727989</c:v>
                </c:pt>
                <c:pt idx="6">
                  <c:v>6.688175479221287E-3</c:v>
                </c:pt>
                <c:pt idx="7">
                  <c:v>0.15925244395982574</c:v>
                </c:pt>
                <c:pt idx="8">
                  <c:v>0.19450086237701714</c:v>
                </c:pt>
                <c:pt idx="9">
                  <c:v>-6.8447922443940921E-4</c:v>
                </c:pt>
                <c:pt idx="10">
                  <c:v>0.33618739157733363</c:v>
                </c:pt>
                <c:pt idx="11">
                  <c:v>0.18398562829243031</c:v>
                </c:pt>
                <c:pt idx="12">
                  <c:v>0.17924314286166321</c:v>
                </c:pt>
                <c:pt idx="13">
                  <c:v>0.42149330932798285</c:v>
                </c:pt>
                <c:pt idx="14">
                  <c:v>0.20459251153416669</c:v>
                </c:pt>
                <c:pt idx="15">
                  <c:v>0.19123680116101013</c:v>
                </c:pt>
                <c:pt idx="16">
                  <c:v>0.41047161840073582</c:v>
                </c:pt>
                <c:pt idx="17">
                  <c:v>0.14533022317687969</c:v>
                </c:pt>
                <c:pt idx="18">
                  <c:v>-1.374599866894316E-2</c:v>
                </c:pt>
                <c:pt idx="19">
                  <c:v>-5.1195924649759174E-2</c:v>
                </c:pt>
                <c:pt idx="20">
                  <c:v>-0.40407980401338806</c:v>
                </c:pt>
                <c:pt idx="21">
                  <c:v>-0.94494481700761324</c:v>
                </c:pt>
                <c:pt idx="22">
                  <c:v>-0.75454827954039783</c:v>
                </c:pt>
                <c:pt idx="23">
                  <c:v>-1.2550326678789345</c:v>
                </c:pt>
                <c:pt idx="24">
                  <c:v>-1.1433499380312484</c:v>
                </c:pt>
                <c:pt idx="25">
                  <c:v>-0.49829931621759876</c:v>
                </c:pt>
                <c:pt idx="26">
                  <c:v>-0.15152452455266935</c:v>
                </c:pt>
                <c:pt idx="27">
                  <c:v>0.26626747922638316</c:v>
                </c:pt>
              </c:numCache>
            </c:numRef>
          </c:val>
          <c:extLst>
            <c:ext xmlns:c16="http://schemas.microsoft.com/office/drawing/2014/chart" uri="{C3380CC4-5D6E-409C-BE32-E72D297353CC}">
              <c16:uniqueId val="{00000003-932E-48DF-9AA9-1CEA53F9AD11}"/>
            </c:ext>
          </c:extLst>
        </c:ser>
        <c:ser>
          <c:idx val="4"/>
          <c:order val="4"/>
          <c:tx>
            <c:strRef>
              <c:f>'Trh práce 1-SNÚ'!$AG$7</c:f>
              <c:strCache>
                <c:ptCount val="1"/>
                <c:pt idx="0">
                  <c:v>Information and communication</c:v>
                </c:pt>
              </c:strCache>
            </c:strRef>
          </c:tx>
          <c:spPr>
            <a:solidFill>
              <a:srgbClr val="F8A124"/>
            </a:solidFill>
            <a:ln w="19050">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1-SNÚ'!$AG$28:$AG$56</c:f>
              <c:numCache>
                <c:formatCode>#\ ##0.0</c:formatCode>
                <c:ptCount val="29"/>
                <c:pt idx="0">
                  <c:v>7.5857638402359439E-3</c:v>
                </c:pt>
                <c:pt idx="1">
                  <c:v>5.8337859602965066E-2</c:v>
                </c:pt>
                <c:pt idx="2">
                  <c:v>7.3076148277366471E-2</c:v>
                </c:pt>
                <c:pt idx="3">
                  <c:v>0.101592122918871</c:v>
                </c:pt>
                <c:pt idx="4">
                  <c:v>0.11899379776373163</c:v>
                </c:pt>
                <c:pt idx="5">
                  <c:v>0.11409419008550926</c:v>
                </c:pt>
                <c:pt idx="6">
                  <c:v>0.12987010483859668</c:v>
                </c:pt>
                <c:pt idx="7">
                  <c:v>0.16669217063926228</c:v>
                </c:pt>
                <c:pt idx="8">
                  <c:v>0.14027846527673005</c:v>
                </c:pt>
                <c:pt idx="9">
                  <c:v>0.1351276068914134</c:v>
                </c:pt>
                <c:pt idx="10">
                  <c:v>0.13451672611540119</c:v>
                </c:pt>
                <c:pt idx="11">
                  <c:v>0.11997176069642783</c:v>
                </c:pt>
                <c:pt idx="12">
                  <c:v>0.11565167779721315</c:v>
                </c:pt>
                <c:pt idx="13">
                  <c:v>0.13697970162157849</c:v>
                </c:pt>
                <c:pt idx="14">
                  <c:v>0.12890855314395611</c:v>
                </c:pt>
                <c:pt idx="15">
                  <c:v>0.14791858483650214</c:v>
                </c:pt>
                <c:pt idx="16">
                  <c:v>0.14590918081197787</c:v>
                </c:pt>
                <c:pt idx="17">
                  <c:v>8.1482217178668936E-2</c:v>
                </c:pt>
                <c:pt idx="18">
                  <c:v>0.13404655077835173</c:v>
                </c:pt>
                <c:pt idx="19">
                  <c:v>0.14640819444068129</c:v>
                </c:pt>
                <c:pt idx="20">
                  <c:v>0.2038062102293188</c:v>
                </c:pt>
                <c:pt idx="21">
                  <c:v>0.15911902598956371</c:v>
                </c:pt>
                <c:pt idx="22">
                  <c:v>0.16845309221485091</c:v>
                </c:pt>
                <c:pt idx="23">
                  <c:v>0.13904566814076619</c:v>
                </c:pt>
                <c:pt idx="24">
                  <c:v>0.11098217557313486</c:v>
                </c:pt>
                <c:pt idx="25">
                  <c:v>0.16790112522650527</c:v>
                </c:pt>
                <c:pt idx="26">
                  <c:v>0.11245770416818798</c:v>
                </c:pt>
                <c:pt idx="27">
                  <c:v>4.3610825444275837E-2</c:v>
                </c:pt>
              </c:numCache>
            </c:numRef>
          </c:val>
          <c:extLst>
            <c:ext xmlns:c16="http://schemas.microsoft.com/office/drawing/2014/chart" uri="{C3380CC4-5D6E-409C-BE32-E72D297353CC}">
              <c16:uniqueId val="{00000004-932E-48DF-9AA9-1CEA53F9AD11}"/>
            </c:ext>
          </c:extLst>
        </c:ser>
        <c:ser>
          <c:idx val="5"/>
          <c:order val="5"/>
          <c:tx>
            <c:strRef>
              <c:f>'Trh práce 1-SNÚ'!$AH$7</c:f>
              <c:strCache>
                <c:ptCount val="1"/>
                <c:pt idx="0">
                  <c:v>Professional, scientific,technic.,admin. act.</c:v>
                </c:pt>
              </c:strCache>
            </c:strRef>
          </c:tx>
          <c:spPr>
            <a:solidFill>
              <a:srgbClr val="E8C0BE"/>
            </a:solidFill>
            <a:ln w="19050">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1-SNÚ'!$AH$28:$AH$56</c:f>
              <c:numCache>
                <c:formatCode>#\ ##0.0</c:formatCode>
                <c:ptCount val="29"/>
                <c:pt idx="0">
                  <c:v>0.10653478180808044</c:v>
                </c:pt>
                <c:pt idx="1">
                  <c:v>0.12599643340418387</c:v>
                </c:pt>
                <c:pt idx="2">
                  <c:v>0.26797844214547623</c:v>
                </c:pt>
                <c:pt idx="3">
                  <c:v>0.33512738074273013</c:v>
                </c:pt>
                <c:pt idx="4">
                  <c:v>0.23895818115359482</c:v>
                </c:pt>
                <c:pt idx="5">
                  <c:v>0.24936049791884499</c:v>
                </c:pt>
                <c:pt idx="6">
                  <c:v>0.24520740186355397</c:v>
                </c:pt>
                <c:pt idx="7">
                  <c:v>0.26629223246396738</c:v>
                </c:pt>
                <c:pt idx="8">
                  <c:v>0.40401039249864829</c:v>
                </c:pt>
                <c:pt idx="9">
                  <c:v>0.35370463922906481</c:v>
                </c:pt>
                <c:pt idx="10">
                  <c:v>0.31524569095555699</c:v>
                </c:pt>
                <c:pt idx="11">
                  <c:v>0.14696965180455621</c:v>
                </c:pt>
                <c:pt idx="12">
                  <c:v>0.1718005862096757</c:v>
                </c:pt>
                <c:pt idx="13">
                  <c:v>0.14108515593321466</c:v>
                </c:pt>
                <c:pt idx="14">
                  <c:v>9.7714992537754661E-2</c:v>
                </c:pt>
                <c:pt idx="15">
                  <c:v>0.19309834891883168</c:v>
                </c:pt>
                <c:pt idx="16">
                  <c:v>-1.7477930865320849E-2</c:v>
                </c:pt>
                <c:pt idx="17">
                  <c:v>-1.9200468181857312E-2</c:v>
                </c:pt>
                <c:pt idx="18">
                  <c:v>-2.754735035266059E-2</c:v>
                </c:pt>
                <c:pt idx="19">
                  <c:v>-0.21095077330513856</c:v>
                </c:pt>
                <c:pt idx="20">
                  <c:v>-0.16421146757214683</c:v>
                </c:pt>
                <c:pt idx="21">
                  <c:v>-0.27534110509954046</c:v>
                </c:pt>
                <c:pt idx="22">
                  <c:v>-0.39281161197175457</c:v>
                </c:pt>
                <c:pt idx="23">
                  <c:v>-0.22225133506938682</c:v>
                </c:pt>
                <c:pt idx="24">
                  <c:v>-0.23006375173502383</c:v>
                </c:pt>
                <c:pt idx="25">
                  <c:v>0.11667514491041682</c:v>
                </c:pt>
                <c:pt idx="26">
                  <c:v>0.19334701796810982</c:v>
                </c:pt>
                <c:pt idx="27">
                  <c:v>9.1484646801357192E-2</c:v>
                </c:pt>
              </c:numCache>
            </c:numRef>
          </c:val>
          <c:extLst>
            <c:ext xmlns:c16="http://schemas.microsoft.com/office/drawing/2014/chart" uri="{C3380CC4-5D6E-409C-BE32-E72D297353CC}">
              <c16:uniqueId val="{00000005-932E-48DF-9AA9-1CEA53F9AD11}"/>
            </c:ext>
          </c:extLst>
        </c:ser>
        <c:ser>
          <c:idx val="6"/>
          <c:order val="6"/>
          <c:tx>
            <c:strRef>
              <c:f>'Trh práce 1-SNÚ'!$AI$7</c:f>
              <c:strCache>
                <c:ptCount val="1"/>
                <c:pt idx="0">
                  <c:v>Public admin, education, health, soc. work</c:v>
                </c:pt>
              </c:strCache>
            </c:strRef>
          </c:tx>
          <c:spPr>
            <a:solidFill>
              <a:srgbClr val="D58D8B"/>
            </a:solidFill>
            <a:ln>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1-SNÚ'!$AI$28:$AI$56</c:f>
              <c:numCache>
                <c:formatCode>#\ ##0.0</c:formatCode>
                <c:ptCount val="29"/>
                <c:pt idx="0">
                  <c:v>0.22808387339320821</c:v>
                </c:pt>
                <c:pt idx="1">
                  <c:v>0.23731519476564394</c:v>
                </c:pt>
                <c:pt idx="2">
                  <c:v>0.11834818987059058</c:v>
                </c:pt>
                <c:pt idx="3">
                  <c:v>0.11257926718085437</c:v>
                </c:pt>
                <c:pt idx="4">
                  <c:v>0.34574201174059122</c:v>
                </c:pt>
                <c:pt idx="5">
                  <c:v>0.35302288864044334</c:v>
                </c:pt>
                <c:pt idx="6">
                  <c:v>0.44180506724700391</c:v>
                </c:pt>
                <c:pt idx="7">
                  <c:v>0.52441422245051739</c:v>
                </c:pt>
                <c:pt idx="8">
                  <c:v>0.4402223883053985</c:v>
                </c:pt>
                <c:pt idx="9">
                  <c:v>0.48225364024114387</c:v>
                </c:pt>
                <c:pt idx="10">
                  <c:v>0.54201601935673571</c:v>
                </c:pt>
                <c:pt idx="11">
                  <c:v>0.53510914430457346</c:v>
                </c:pt>
                <c:pt idx="12">
                  <c:v>0.4041402471607079</c:v>
                </c:pt>
                <c:pt idx="13">
                  <c:v>0.44415766669222101</c:v>
                </c:pt>
                <c:pt idx="14">
                  <c:v>0.30949599027729074</c:v>
                </c:pt>
                <c:pt idx="15">
                  <c:v>0.28546834866193815</c:v>
                </c:pt>
                <c:pt idx="16">
                  <c:v>0.18663535729751846</c:v>
                </c:pt>
                <c:pt idx="17">
                  <c:v>0.12854363343247277</c:v>
                </c:pt>
                <c:pt idx="18">
                  <c:v>0.15565267754524093</c:v>
                </c:pt>
                <c:pt idx="19">
                  <c:v>0.18823384737281104</c:v>
                </c:pt>
                <c:pt idx="20">
                  <c:v>0.39758494148644485</c:v>
                </c:pt>
                <c:pt idx="21">
                  <c:v>0.34783988347308897</c:v>
                </c:pt>
                <c:pt idx="22">
                  <c:v>0.48822845370744922</c:v>
                </c:pt>
                <c:pt idx="23">
                  <c:v>0.42506399334354628</c:v>
                </c:pt>
                <c:pt idx="24">
                  <c:v>0.43959172348757725</c:v>
                </c:pt>
                <c:pt idx="25">
                  <c:v>0.55815678039647132</c:v>
                </c:pt>
                <c:pt idx="26">
                  <c:v>0.54342996935015864</c:v>
                </c:pt>
                <c:pt idx="27">
                  <c:v>0.59746076346106969</c:v>
                </c:pt>
              </c:numCache>
            </c:numRef>
          </c:val>
          <c:extLst>
            <c:ext xmlns:c16="http://schemas.microsoft.com/office/drawing/2014/chart" uri="{C3380CC4-5D6E-409C-BE32-E72D297353CC}">
              <c16:uniqueId val="{00000006-932E-48DF-9AA9-1CEA53F9AD11}"/>
            </c:ext>
          </c:extLst>
        </c:ser>
        <c:ser>
          <c:idx val="7"/>
          <c:order val="7"/>
          <c:tx>
            <c:strRef>
              <c:f>'Trh práce 1-SNÚ'!$AJ$7</c:f>
              <c:strCache>
                <c:ptCount val="1"/>
                <c:pt idx="0">
                  <c:v>Other branches*</c:v>
                </c:pt>
              </c:strCache>
            </c:strRef>
          </c:tx>
          <c:spPr>
            <a:solidFill>
              <a:schemeClr val="bg1">
                <a:lumMod val="85000"/>
              </a:schemeClr>
            </a:solidFill>
            <a:ln>
              <a:noFill/>
            </a:ln>
          </c:spPr>
          <c:invertIfNegative val="0"/>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1-SNÚ'!$AJ$28:$AJ$56</c:f>
              <c:numCache>
                <c:formatCode>#\ ##0.0</c:formatCode>
                <c:ptCount val="29"/>
                <c:pt idx="0">
                  <c:v>-5.233390960245677E-2</c:v>
                </c:pt>
                <c:pt idx="1">
                  <c:v>8.3788315003249514E-2</c:v>
                </c:pt>
                <c:pt idx="2">
                  <c:v>4.7987973307275944E-2</c:v>
                </c:pt>
                <c:pt idx="3">
                  <c:v>-2.0669078124050264E-2</c:v>
                </c:pt>
                <c:pt idx="4">
                  <c:v>0.12695259989801055</c:v>
                </c:pt>
                <c:pt idx="5">
                  <c:v>7.2154885803612609E-2</c:v>
                </c:pt>
                <c:pt idx="6">
                  <c:v>0.1033294200118309</c:v>
                </c:pt>
                <c:pt idx="7">
                  <c:v>0.18514730658825221</c:v>
                </c:pt>
                <c:pt idx="8">
                  <c:v>-4.7740946953249951E-2</c:v>
                </c:pt>
                <c:pt idx="9">
                  <c:v>-2.5097571562778392E-3</c:v>
                </c:pt>
                <c:pt idx="10">
                  <c:v>4.0668288968128352E-2</c:v>
                </c:pt>
                <c:pt idx="11">
                  <c:v>3.8449826749381966E-2</c:v>
                </c:pt>
                <c:pt idx="12">
                  <c:v>0.19957356976671253</c:v>
                </c:pt>
                <c:pt idx="13">
                  <c:v>0.1982053353284452</c:v>
                </c:pt>
                <c:pt idx="14">
                  <c:v>1.7449770918215368E-2</c:v>
                </c:pt>
                <c:pt idx="15">
                  <c:v>1.7777781087196014E-2</c:v>
                </c:pt>
                <c:pt idx="16">
                  <c:v>-3.7497768873474988E-2</c:v>
                </c:pt>
                <c:pt idx="17">
                  <c:v>2.0932564159875149E-2</c:v>
                </c:pt>
                <c:pt idx="18">
                  <c:v>0.11376889636604499</c:v>
                </c:pt>
                <c:pt idx="19">
                  <c:v>0.12518241194475455</c:v>
                </c:pt>
                <c:pt idx="20">
                  <c:v>7.6392830628521424E-2</c:v>
                </c:pt>
                <c:pt idx="21">
                  <c:v>-0.14874369423144443</c:v>
                </c:pt>
                <c:pt idx="22">
                  <c:v>-0.14330946500071517</c:v>
                </c:pt>
                <c:pt idx="23">
                  <c:v>-0.23261739750486451</c:v>
                </c:pt>
                <c:pt idx="24">
                  <c:v>-0.19227272701999015</c:v>
                </c:pt>
                <c:pt idx="25">
                  <c:v>9.9262064422017543E-3</c:v>
                </c:pt>
                <c:pt idx="26">
                  <c:v>-5.6219479046573727E-2</c:v>
                </c:pt>
                <c:pt idx="27">
                  <c:v>6.4039252760950044E-2</c:v>
                </c:pt>
              </c:numCache>
            </c:numRef>
          </c:val>
          <c:extLst>
            <c:ext xmlns:c16="http://schemas.microsoft.com/office/drawing/2014/chart" uri="{C3380CC4-5D6E-409C-BE32-E72D297353CC}">
              <c16:uniqueId val="{00000007-932E-48DF-9AA9-1CEA53F9AD11}"/>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Total employment</c:v>
                </c:pt>
              </c:strCache>
            </c:strRef>
          </c:tx>
          <c:spPr>
            <a:ln w="22225">
              <a:solidFill>
                <a:schemeClr val="tx1">
                  <a:lumMod val="95000"/>
                  <a:lumOff val="5000"/>
                </a:schemeClr>
              </a:solidFill>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1-SNÚ'!$AK$28:$AK$56</c:f>
              <c:numCache>
                <c:formatCode>#\ ##0.0</c:formatCode>
                <c:ptCount val="29"/>
                <c:pt idx="0">
                  <c:v>1.2390736013649644</c:v>
                </c:pt>
                <c:pt idx="1">
                  <c:v>1.763871577433747</c:v>
                </c:pt>
                <c:pt idx="2">
                  <c:v>1.3738315876144895</c:v>
                </c:pt>
                <c:pt idx="3">
                  <c:v>1.335054912344404</c:v>
                </c:pt>
                <c:pt idx="4">
                  <c:v>1.5292935359579616</c:v>
                </c:pt>
                <c:pt idx="5">
                  <c:v>1.4154659813430754</c:v>
                </c:pt>
                <c:pt idx="6">
                  <c:v>1.5176954281983939</c:v>
                </c:pt>
                <c:pt idx="7">
                  <c:v>1.8956884957603108</c:v>
                </c:pt>
                <c:pt idx="8">
                  <c:v>1.4722833881197488</c:v>
                </c:pt>
                <c:pt idx="9">
                  <c:v>1.4239829731990312</c:v>
                </c:pt>
                <c:pt idx="10">
                  <c:v>1.9497805488244353</c:v>
                </c:pt>
                <c:pt idx="11">
                  <c:v>1.3481965748335796</c:v>
                </c:pt>
                <c:pt idx="12">
                  <c:v>1.5514056445856852</c:v>
                </c:pt>
                <c:pt idx="13">
                  <c:v>1.7356136163859617</c:v>
                </c:pt>
                <c:pt idx="14">
                  <c:v>0.93228706716838872</c:v>
                </c:pt>
                <c:pt idx="15">
                  <c:v>1.1206331347310083</c:v>
                </c:pt>
                <c:pt idx="16">
                  <c:v>0.84255872454892256</c:v>
                </c:pt>
                <c:pt idx="17">
                  <c:v>0.34380262508358328</c:v>
                </c:pt>
                <c:pt idx="18">
                  <c:v>0.16701849657889056</c:v>
                </c:pt>
                <c:pt idx="19">
                  <c:v>-0.37153403498074056</c:v>
                </c:pt>
                <c:pt idx="20">
                  <c:v>-0.72867573800866126</c:v>
                </c:pt>
                <c:pt idx="21">
                  <c:v>-2.1353350929161508</c:v>
                </c:pt>
                <c:pt idx="22">
                  <c:v>-1.7381522399656149</c:v>
                </c:pt>
                <c:pt idx="23">
                  <c:v>-2.0409686743506086</c:v>
                </c:pt>
                <c:pt idx="24">
                  <c:v>-1.6312044512971227</c:v>
                </c:pt>
                <c:pt idx="25">
                  <c:v>0.29348921543001438</c:v>
                </c:pt>
                <c:pt idx="26">
                  <c:v>0.5732549747396547</c:v>
                </c:pt>
                <c:pt idx="27">
                  <c:v>1.2663927283098388</c:v>
                </c:pt>
              </c:numCache>
            </c:numRef>
          </c:val>
          <c:smooth val="0"/>
          <c:extLst>
            <c:ext xmlns:c16="http://schemas.microsoft.com/office/drawing/2014/chart" uri="{C3380CC4-5D6E-409C-BE32-E72D297353CC}">
              <c16:uniqueId val="{00000008-932E-48DF-9AA9-1CEA53F9AD11}"/>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1-SNÚ'!$AL$28:$AL$56</c:f>
              <c:numCache>
                <c:formatCode>General</c:formatCode>
                <c:ptCount val="29"/>
              </c:numCache>
            </c:numRef>
          </c:val>
          <c:smooth val="0"/>
          <c:extLst>
            <c:ext xmlns:c16="http://schemas.microsoft.com/office/drawing/2014/chart" uri="{C3380CC4-5D6E-409C-BE32-E72D297353CC}">
              <c16:uniqueId val="{00000009-932E-48DF-9AA9-1CEA53F9AD11}"/>
            </c:ext>
          </c:extLst>
        </c:ser>
        <c:ser>
          <c:idx val="10"/>
          <c:order val="10"/>
          <c:tx>
            <c:strRef>
              <c:f>'Trh práce 1-SNÚ'!$AM$7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1-SNÚ'!$AM$28:$AM$56</c:f>
              <c:numCache>
                <c:formatCode>General</c:formatCode>
                <c:ptCount val="29"/>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c:v>-5.9</c:v>
                </c:pt>
                <c:pt idx="24">
                  <c:v>0.1</c:v>
                </c:pt>
                <c:pt idx="25">
                  <c:v>9.4</c:v>
                </c:pt>
                <c:pt idx="26">
                  <c:v>6.4</c:v>
                </c:pt>
                <c:pt idx="27">
                  <c:v>2.9</c:v>
                </c:pt>
                <c:pt idx="28">
                  <c:v>8.1999999999999993</c:v>
                </c:pt>
              </c:numCache>
            </c:numRef>
          </c:val>
          <c:smooth val="0"/>
          <c:extLst>
            <c:ext xmlns:c16="http://schemas.microsoft.com/office/drawing/2014/chart" uri="{C3380CC4-5D6E-409C-BE32-E72D297353CC}">
              <c16:uniqueId val="{0000000A-932E-48DF-9AA9-1CEA53F9AD11}"/>
            </c:ext>
          </c:extLst>
        </c:ser>
        <c:ser>
          <c:idx val="11"/>
          <c:order val="11"/>
          <c:tx>
            <c:strRef>
              <c:f>'Trh práce 1-SNÚ'!$AN$7</c:f>
              <c:strCache>
                <c:ptCount val="1"/>
                <c:pt idx="0">
                  <c:v>Employment expectations (construction)</c:v>
                </c:pt>
              </c:strCache>
            </c:strRef>
          </c:tx>
          <c:spPr>
            <a:ln w="15875">
              <a:solidFill>
                <a:srgbClr val="00B0F0"/>
              </a:solidFill>
              <a:prstDash val="sysDot"/>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1-SNÚ'!$AN$28:$AN$56</c:f>
              <c:numCache>
                <c:formatCode>General</c:formatCode>
                <c:ptCount val="29"/>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c:v>-3.1</c:v>
                </c:pt>
                <c:pt idx="24">
                  <c:v>2.1</c:v>
                </c:pt>
                <c:pt idx="25">
                  <c:v>3.6</c:v>
                </c:pt>
                <c:pt idx="26">
                  <c:v>3</c:v>
                </c:pt>
                <c:pt idx="27">
                  <c:v>8.4</c:v>
                </c:pt>
                <c:pt idx="28">
                  <c:v>10.3</c:v>
                </c:pt>
              </c:numCache>
            </c:numRef>
          </c:val>
          <c:smooth val="0"/>
          <c:extLst>
            <c:ext xmlns:c16="http://schemas.microsoft.com/office/drawing/2014/chart" uri="{C3380CC4-5D6E-409C-BE32-E72D297353CC}">
              <c16:uniqueId val="{0000000B-932E-48DF-9AA9-1CEA53F9AD11}"/>
            </c:ext>
          </c:extLst>
        </c:ser>
        <c:ser>
          <c:idx val="12"/>
          <c:order val="12"/>
          <c:tx>
            <c:strRef>
              <c:f>'Trh práce 1-SNÚ'!$AO$7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1-SNÚ'!$AO$28:$AO$56</c:f>
              <c:numCache>
                <c:formatCode>General</c:formatCode>
                <c:ptCount val="29"/>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c:v>1.3</c:v>
                </c:pt>
                <c:pt idx="24">
                  <c:v>4.2</c:v>
                </c:pt>
                <c:pt idx="25">
                  <c:v>11.5</c:v>
                </c:pt>
                <c:pt idx="26">
                  <c:v>10.199999999999999</c:v>
                </c:pt>
                <c:pt idx="27">
                  <c:v>11.7</c:v>
                </c:pt>
                <c:pt idx="28">
                  <c:v>11</c:v>
                </c:pt>
              </c:numCache>
            </c:numRef>
          </c:val>
          <c:smooth val="0"/>
          <c:extLst>
            <c:ext xmlns:c16="http://schemas.microsoft.com/office/drawing/2014/chart" uri="{C3380CC4-5D6E-409C-BE32-E72D297353CC}">
              <c16:uniqueId val="{0000000C-932E-48DF-9AA9-1CEA53F9AD11}"/>
            </c:ext>
          </c:extLst>
        </c:ser>
        <c:ser>
          <c:idx val="13"/>
          <c:order val="13"/>
          <c:tx>
            <c:strRef>
              <c:f>'Trh práce 1-SNÚ'!$AP$7</c:f>
              <c:strCache>
                <c:ptCount val="1"/>
                <c:pt idx="0">
                  <c:v>Employment expectations (services)</c:v>
                </c:pt>
              </c:strCache>
            </c:strRef>
          </c:tx>
          <c:spPr>
            <a:ln w="15875">
              <a:solidFill>
                <a:srgbClr val="C00000"/>
              </a:solidFill>
              <a:prstDash val="sysDot"/>
            </a:ln>
          </c:spPr>
          <c:marker>
            <c:symbol val="none"/>
          </c:marker>
          <c:cat>
            <c:multiLvlStrRef>
              <c:f>'Trh práce 1-SNÚ'!$AA$28:$AB$56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 1-SNÚ'!$AP$28:$AP$56</c:f>
              <c:numCache>
                <c:formatCode>General</c:formatCode>
                <c:ptCount val="29"/>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c:v>-27.3</c:v>
                </c:pt>
                <c:pt idx="24">
                  <c:v>-28</c:v>
                </c:pt>
                <c:pt idx="25">
                  <c:v>-29.7</c:v>
                </c:pt>
                <c:pt idx="26">
                  <c:v>-16.899999999999999</c:v>
                </c:pt>
                <c:pt idx="27">
                  <c:v>-12.3</c:v>
                </c:pt>
                <c:pt idx="28">
                  <c:v>-6.6</c:v>
                </c:pt>
              </c:numCache>
            </c:numRef>
          </c:val>
          <c:smooth val="0"/>
          <c:extLst>
            <c:ext xmlns:c16="http://schemas.microsoft.com/office/drawing/2014/chart" uri="{C3380CC4-5D6E-409C-BE32-E72D297353CC}">
              <c16:uniqueId val="{0000000D-932E-48DF-9AA9-1CEA53F9AD11}"/>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Contribution to the employment growth</a:t>
                </a:r>
                <a:endParaRPr lang="cs-CZ" sz="700">
                  <a:effectLst/>
                </a:endParaRP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Expectations of the employment</a:t>
                </a:r>
                <a:endParaRPr lang="cs-CZ" sz="700">
                  <a:effectLst/>
                </a:endParaRP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9715650693013726E-3"/>
          <c:y val="0.77992823117070742"/>
          <c:w val="0.9897590451102081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1977794207149635"/>
          <c:h val="0.75393509070294773"/>
        </c:manualLayout>
      </c:layout>
      <c:barChart>
        <c:barDir val="col"/>
        <c:grouping val="clustered"/>
        <c:varyColors val="0"/>
        <c:ser>
          <c:idx val="0"/>
          <c:order val="0"/>
          <c:tx>
            <c:strRef>
              <c:f>'Trh práce-2b'!$A$29</c:f>
              <c:strCache>
                <c:ptCount val="1"/>
                <c:pt idx="0">
                  <c:v>Male unemployment rate</c:v>
                </c:pt>
              </c:strCache>
            </c:strRef>
          </c:tx>
          <c:spPr>
            <a:solidFill>
              <a:srgbClr val="BCBCBC"/>
            </a:solidFill>
          </c:spPr>
          <c:invertIfNegative val="0"/>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práce-2b'!$B$29:$AD$29</c:f>
              <c:numCache>
                <c:formatCode>0.0</c:formatCode>
                <c:ptCount val="29"/>
                <c:pt idx="0">
                  <c:v>5.0290014664854814</c:v>
                </c:pt>
                <c:pt idx="1">
                  <c:v>4.3009457153014301</c:v>
                </c:pt>
                <c:pt idx="2">
                  <c:v>4.0587125330367906</c:v>
                </c:pt>
                <c:pt idx="3">
                  <c:v>3.7969572912959282</c:v>
                </c:pt>
                <c:pt idx="4">
                  <c:v>3.6553332329093564</c:v>
                </c:pt>
                <c:pt idx="5">
                  <c:v>3.5539591184965933</c:v>
                </c:pt>
                <c:pt idx="6">
                  <c:v>3.3917790118720608</c:v>
                </c:pt>
                <c:pt idx="7">
                  <c:v>3.1612825593430807</c:v>
                </c:pt>
                <c:pt idx="8">
                  <c:v>2.697241045949077</c:v>
                </c:pt>
                <c:pt idx="9">
                  <c:v>2.48030986612476</c:v>
                </c:pt>
                <c:pt idx="10">
                  <c:v>2.2514120156942874</c:v>
                </c:pt>
                <c:pt idx="11">
                  <c:v>2.0863761423141498</c:v>
                </c:pt>
                <c:pt idx="12">
                  <c:v>1.895133304795128</c:v>
                </c:pt>
                <c:pt idx="13">
                  <c:v>1.8237411506101482</c:v>
                </c:pt>
                <c:pt idx="14">
                  <c:v>1.8904849959500023</c:v>
                </c:pt>
                <c:pt idx="15">
                  <c:v>1.6835180713381881</c:v>
                </c:pt>
                <c:pt idx="16">
                  <c:v>1.8022477920019948</c:v>
                </c:pt>
                <c:pt idx="17">
                  <c:v>1.668280325539877</c:v>
                </c:pt>
                <c:pt idx="18">
                  <c:v>1.7671536991907173</c:v>
                </c:pt>
                <c:pt idx="19">
                  <c:v>1.8600482599066901</c:v>
                </c:pt>
                <c:pt idx="20">
                  <c:v>1.8422311021306721</c:v>
                </c:pt>
                <c:pt idx="21">
                  <c:v>2.2752544160230044</c:v>
                </c:pt>
                <c:pt idx="22">
                  <c:v>2.5137825740824611</c:v>
                </c:pt>
                <c:pt idx="23">
                  <c:v>2.5711644664036886</c:v>
                </c:pt>
                <c:pt idx="24">
                  <c:v>2.6527196825033972</c:v>
                </c:pt>
                <c:pt idx="25">
                  <c:v>2.5406738205349781</c:v>
                </c:pt>
                <c:pt idx="26">
                  <c:v>2.2839644676610145</c:v>
                </c:pt>
                <c:pt idx="27">
                  <c:v>1.9665394735259405</c:v>
                </c:pt>
              </c:numCache>
            </c:numRef>
          </c:val>
          <c:extLst>
            <c:ext xmlns:c16="http://schemas.microsoft.com/office/drawing/2014/chart" uri="{C3380CC4-5D6E-409C-BE32-E72D297353CC}">
              <c16:uniqueId val="{00000000-BF83-441B-A484-8ED0AE1C948A}"/>
            </c:ext>
          </c:extLst>
        </c:ser>
        <c:ser>
          <c:idx val="1"/>
          <c:order val="1"/>
          <c:tx>
            <c:strRef>
              <c:f>'Trh práce-2b'!$A$30</c:f>
              <c:strCache>
                <c:ptCount val="1"/>
                <c:pt idx="0">
                  <c:v>Female unemployment rate</c:v>
                </c:pt>
              </c:strCache>
            </c:strRef>
          </c:tx>
          <c:spPr>
            <a:solidFill>
              <a:schemeClr val="bg1">
                <a:lumMod val="95000"/>
              </a:schemeClr>
            </a:solidFill>
            <a:ln>
              <a:solidFill>
                <a:schemeClr val="bg1">
                  <a:lumMod val="65000"/>
                </a:schemeClr>
              </a:solidFill>
            </a:ln>
          </c:spPr>
          <c:invertIfNegative val="0"/>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práce-2b'!$B$30:$AD$30</c:f>
              <c:numCache>
                <c:formatCode>0.0</c:formatCode>
                <c:ptCount val="29"/>
                <c:pt idx="0">
                  <c:v>6.9394779965253726</c:v>
                </c:pt>
                <c:pt idx="1">
                  <c:v>6.1781503503313715</c:v>
                </c:pt>
                <c:pt idx="2">
                  <c:v>5.9641936009467287</c:v>
                </c:pt>
                <c:pt idx="3">
                  <c:v>5.6630580280378586</c:v>
                </c:pt>
                <c:pt idx="4">
                  <c:v>5.0707579080892717</c:v>
                </c:pt>
                <c:pt idx="5">
                  <c:v>4.8222524149082213</c:v>
                </c:pt>
                <c:pt idx="6">
                  <c:v>4.7881707902001311</c:v>
                </c:pt>
                <c:pt idx="7">
                  <c:v>4.3460462284586621</c:v>
                </c:pt>
                <c:pt idx="8">
                  <c:v>4.2801834373251353</c:v>
                </c:pt>
                <c:pt idx="9">
                  <c:v>3.9072859467171228</c:v>
                </c:pt>
                <c:pt idx="10">
                  <c:v>3.3965176024170414</c:v>
                </c:pt>
                <c:pt idx="11">
                  <c:v>3.0081056202038514</c:v>
                </c:pt>
                <c:pt idx="12">
                  <c:v>2.9433805466677296</c:v>
                </c:pt>
                <c:pt idx="13">
                  <c:v>2.9105432738455903</c:v>
                </c:pt>
                <c:pt idx="14">
                  <c:v>2.8531062017543412</c:v>
                </c:pt>
                <c:pt idx="15">
                  <c:v>2.6506471270765348</c:v>
                </c:pt>
                <c:pt idx="16">
                  <c:v>2.2578393592374222</c:v>
                </c:pt>
                <c:pt idx="17">
                  <c:v>2.4932430957470935</c:v>
                </c:pt>
                <c:pt idx="18">
                  <c:v>2.551673663527803</c:v>
                </c:pt>
                <c:pt idx="19">
                  <c:v>2.4451341420556951</c:v>
                </c:pt>
                <c:pt idx="20">
                  <c:v>2.0472262390551008</c:v>
                </c:pt>
                <c:pt idx="21">
                  <c:v>2.8385232771182185</c:v>
                </c:pt>
                <c:pt idx="22">
                  <c:v>3.3525545053635519</c:v>
                </c:pt>
                <c:pt idx="23">
                  <c:v>3.8839073696202768</c:v>
                </c:pt>
                <c:pt idx="24">
                  <c:v>4.1450763292723929</c:v>
                </c:pt>
                <c:pt idx="25">
                  <c:v>3.9358600172887765</c:v>
                </c:pt>
                <c:pt idx="26">
                  <c:v>3.2650225641396453</c:v>
                </c:pt>
                <c:pt idx="27">
                  <c:v>2.6862730964186547</c:v>
                </c:pt>
              </c:numCache>
            </c:numRef>
          </c:val>
          <c:extLst>
            <c:ext xmlns:c16="http://schemas.microsoft.com/office/drawing/2014/chart" uri="{C3380CC4-5D6E-409C-BE32-E72D297353CC}">
              <c16:uniqueId val="{00000001-BF83-441B-A484-8ED0AE1C948A}"/>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Ratio of long-term unemployed (right axis)</c:v>
                </c:pt>
              </c:strCache>
            </c:strRef>
          </c:tx>
          <c:spPr>
            <a:ln w="19050">
              <a:solidFill>
                <a:srgbClr val="663300"/>
              </a:solidFill>
              <a:prstDash val="sysDash"/>
            </a:ln>
          </c:spPr>
          <c:marker>
            <c:symbol val="none"/>
          </c:marker>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práce-2b'!$B$31:$AD$31</c:f>
              <c:numCache>
                <c:formatCode>0.0</c:formatCode>
                <c:ptCount val="29"/>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29.4</c:v>
                </c:pt>
                <c:pt idx="21">
                  <c:v>20.823436262866192</c:v>
                </c:pt>
                <c:pt idx="22">
                  <c:v>20.012995451591941</c:v>
                </c:pt>
                <c:pt idx="23">
                  <c:v>21.521335807050093</c:v>
                </c:pt>
                <c:pt idx="24">
                  <c:v>19.387186629526461</c:v>
                </c:pt>
                <c:pt idx="25">
                  <c:v>28.499369482976043</c:v>
                </c:pt>
                <c:pt idx="26">
                  <c:v>28.84615384615385</c:v>
                </c:pt>
                <c:pt idx="27">
                  <c:v>44.632290786136942</c:v>
                </c:pt>
              </c:numCache>
            </c:numRef>
          </c:val>
          <c:smooth val="0"/>
          <c:extLst>
            <c:ext xmlns:c16="http://schemas.microsoft.com/office/drawing/2014/chart" uri="{C3380CC4-5D6E-409C-BE32-E72D297353CC}">
              <c16:uniqueId val="{00000002-BF83-441B-A484-8ED0AE1C948A}"/>
            </c:ext>
          </c:extLst>
        </c:ser>
        <c:ser>
          <c:idx val="3"/>
          <c:order val="3"/>
          <c:tx>
            <c:strRef>
              <c:f>'Trh práce-2b'!$A$32</c:f>
              <c:strCache>
                <c:ptCount val="1"/>
                <c:pt idx="0">
                  <c:v>Ratio of unemployed aged &lt; 25 (right axis)</c:v>
                </c:pt>
              </c:strCache>
            </c:strRef>
          </c:tx>
          <c:spPr>
            <a:ln w="19050">
              <a:solidFill>
                <a:srgbClr val="00B050"/>
              </a:solidFill>
              <a:prstDash val="sysDash"/>
            </a:ln>
          </c:spPr>
          <c:marker>
            <c:symbol val="none"/>
          </c:marker>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práce-2b'!$B$32:$AD$32</c:f>
              <c:numCache>
                <c:formatCode>0.0</c:formatCode>
                <c:ptCount val="29"/>
                <c:pt idx="0">
                  <c:v>15.528146742567998</c:v>
                </c:pt>
                <c:pt idx="1">
                  <c:v>15.699006875477464</c:v>
                </c:pt>
                <c:pt idx="2">
                  <c:v>17.548638132295721</c:v>
                </c:pt>
                <c:pt idx="3">
                  <c:v>16.603295310519645</c:v>
                </c:pt>
                <c:pt idx="4">
                  <c:v>13.711072664359861</c:v>
                </c:pt>
                <c:pt idx="5">
                  <c:v>15.450643776824036</c:v>
                </c:pt>
                <c:pt idx="6">
                  <c:v>18.122065727699532</c:v>
                </c:pt>
                <c:pt idx="7">
                  <c:v>18.684759916492691</c:v>
                </c:pt>
                <c:pt idx="8">
                  <c:v>14.75054229934924</c:v>
                </c:pt>
                <c:pt idx="9">
                  <c:v>16.320100819155638</c:v>
                </c:pt>
                <c:pt idx="10">
                  <c:v>18.837675350701407</c:v>
                </c:pt>
                <c:pt idx="11">
                  <c:v>14.996114996114999</c:v>
                </c:pt>
                <c:pt idx="12">
                  <c:v>14.560862865947611</c:v>
                </c:pt>
                <c:pt idx="13">
                  <c:v>17.00507614213198</c:v>
                </c:pt>
                <c:pt idx="14">
                  <c:v>18.09598741148702</c:v>
                </c:pt>
                <c:pt idx="15">
                  <c:v>16.15523465703971</c:v>
                </c:pt>
                <c:pt idx="16">
                  <c:v>14.311759343664537</c:v>
                </c:pt>
                <c:pt idx="17">
                  <c:v>15.52734375</c:v>
                </c:pt>
                <c:pt idx="18">
                  <c:v>15.491731940818102</c:v>
                </c:pt>
                <c:pt idx="19">
                  <c:v>13.761467889908257</c:v>
                </c:pt>
                <c:pt idx="20">
                  <c:v>13.477851083883131</c:v>
                </c:pt>
                <c:pt idx="21">
                  <c:v>14.251781472684085</c:v>
                </c:pt>
                <c:pt idx="22">
                  <c:v>16.829109811565949</c:v>
                </c:pt>
                <c:pt idx="23">
                  <c:v>15.779702970297031</c:v>
                </c:pt>
                <c:pt idx="24">
                  <c:v>14.312267657992564</c:v>
                </c:pt>
                <c:pt idx="25">
                  <c:v>11.368421052631577</c:v>
                </c:pt>
                <c:pt idx="26">
                  <c:v>15.789473684210527</c:v>
                </c:pt>
                <c:pt idx="27">
                  <c:v>16.619718309859159</c:v>
                </c:pt>
              </c:numCache>
            </c:numRef>
          </c:val>
          <c:smooth val="0"/>
          <c:extLst>
            <c:ext xmlns:c16="http://schemas.microsoft.com/office/drawing/2014/chart" uri="{C3380CC4-5D6E-409C-BE32-E72D297353CC}">
              <c16:uniqueId val="{00000003-BF83-441B-A484-8ED0AE1C948A}"/>
            </c:ext>
          </c:extLst>
        </c:ser>
        <c:ser>
          <c:idx val="6"/>
          <c:order val="4"/>
          <c:tx>
            <c:strRef>
              <c:f>'Trh práce-2b'!$A$33</c:f>
              <c:strCache>
                <c:ptCount val="1"/>
                <c:pt idx="0">
                  <c:v>Ratio of unemployed aged ≥ 50 (right axis)</c:v>
                </c:pt>
              </c:strCache>
            </c:strRef>
          </c:tx>
          <c:spPr>
            <a:ln w="19050">
              <a:solidFill>
                <a:srgbClr val="0070C0"/>
              </a:solidFill>
              <a:prstDash val="sysDash"/>
            </a:ln>
          </c:spPr>
          <c:marker>
            <c:symbol val="none"/>
          </c:marker>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práce-2b'!$B$33:$AD$33</c:f>
              <c:numCache>
                <c:formatCode>0.0</c:formatCode>
                <c:ptCount val="29"/>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pt idx="23">
                  <c:v>20.544554455445546</c:v>
                </c:pt>
                <c:pt idx="24">
                  <c:v>23.145566090351366</c:v>
                </c:pt>
                <c:pt idx="25">
                  <c:v>26.166456494325345</c:v>
                </c:pt>
                <c:pt idx="26">
                  <c:v>24.235077455692107</c:v>
                </c:pt>
              </c:numCache>
            </c:numRef>
          </c:val>
          <c:smooth val="0"/>
          <c:extLst>
            <c:ext xmlns:c16="http://schemas.microsoft.com/office/drawing/2014/chart" uri="{C3380CC4-5D6E-409C-BE32-E72D297353CC}">
              <c16:uniqueId val="{00000004-BF83-441B-A484-8ED0AE1C948A}"/>
            </c:ext>
          </c:extLst>
        </c:ser>
        <c:ser>
          <c:idx val="7"/>
          <c:order val="5"/>
          <c:tx>
            <c:strRef>
              <c:f>'Trh práce-2b'!$A$34</c:f>
              <c:strCache>
                <c:ptCount val="1"/>
                <c:pt idx="0">
                  <c:v>Economically inactive seeking empl. (r. axis)</c:v>
                </c:pt>
              </c:strCache>
            </c:strRef>
          </c:tx>
          <c:spPr>
            <a:ln w="19050">
              <a:solidFill>
                <a:schemeClr val="accent2">
                  <a:lumMod val="60000"/>
                  <a:lumOff val="40000"/>
                </a:schemeClr>
              </a:solidFill>
              <a:prstDash val="solid"/>
            </a:ln>
          </c:spPr>
          <c:marker>
            <c:symbol val="none"/>
          </c:marker>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práce-2b'!$B$34:$AD$34</c:f>
              <c:numCache>
                <c:formatCode>General</c:formatCode>
                <c:ptCount val="29"/>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pt idx="24" formatCode="0.0">
                  <c:v>108</c:v>
                </c:pt>
                <c:pt idx="25" formatCode="0.0">
                  <c:v>113.5</c:v>
                </c:pt>
                <c:pt idx="26" formatCode="0.0">
                  <c:v>66</c:v>
                </c:pt>
                <c:pt idx="27" formatCode="0.0">
                  <c:v>64.5</c:v>
                </c:pt>
              </c:numCache>
            </c:numRef>
          </c:val>
          <c:smooth val="0"/>
          <c:extLst>
            <c:ext xmlns:c16="http://schemas.microsoft.com/office/drawing/2014/chart" uri="{C3380CC4-5D6E-409C-BE32-E72D297353CC}">
              <c16:uniqueId val="{00000005-BF83-441B-A484-8ED0AE1C948A}"/>
            </c:ext>
          </c:extLst>
        </c:ser>
        <c:ser>
          <c:idx val="4"/>
          <c:order val="6"/>
          <c:tx>
            <c:strRef>
              <c:f>'Trh práce-2b'!$A$35</c:f>
              <c:strCache>
                <c:ptCount val="1"/>
                <c:pt idx="0">
                  <c:v>Balance of unempl. expectations (right axis)</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práce-2b'!$B$27:$AD$28</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'Trh práce-2b'!$B$35:$AD$35</c:f>
              <c:numCache>
                <c:formatCode>#\ ##0.0</c:formatCode>
                <c:ptCount val="29"/>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pt idx="25">
                  <c:v>17.8</c:v>
                </c:pt>
                <c:pt idx="26">
                  <c:v>14.2</c:v>
                </c:pt>
                <c:pt idx="27">
                  <c:v>24.8</c:v>
                </c:pt>
                <c:pt idx="28">
                  <c:v>15.5</c:v>
                </c:pt>
              </c:numCache>
            </c:numRef>
          </c:val>
          <c:smooth val="0"/>
          <c:extLst>
            <c:ext xmlns:c16="http://schemas.microsoft.com/office/drawing/2014/chart" uri="{C3380CC4-5D6E-409C-BE32-E72D297353CC}">
              <c16:uniqueId val="{00000006-BF83-441B-A484-8ED0AE1C948A}"/>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Unemployment rate</a:t>
                </a:r>
                <a:endParaRPr lang="cs-CZ" sz="700">
                  <a:effectLst/>
                </a:endParaRP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en-GB" sz="700" b="0" i="1" u="none" strike="noStrike" baseline="0">
                    <a:effectLst/>
                  </a:rPr>
                  <a:t>Ec</a:t>
                </a:r>
                <a:r>
                  <a:rPr lang="cs-CZ" sz="700" b="0" i="1" u="none" strike="noStrike" baseline="0">
                    <a:effectLst/>
                  </a:rPr>
                  <a:t>onomically</a:t>
                </a:r>
                <a:r>
                  <a:rPr lang="en-GB" sz="700" b="0" i="1" u="none" strike="noStrike" baseline="0">
                    <a:effectLst/>
                  </a:rPr>
                  <a:t> inactive, Selected groups of unemployed, </a:t>
                </a:r>
                <a:endParaRPr lang="cs-CZ" sz="700" b="0" i="1" u="none" strike="noStrike" baseline="0">
                  <a:effectLst/>
                </a:endParaRPr>
              </a:p>
              <a:p>
                <a:pPr>
                  <a:defRPr sz="700" b="0" i="1"/>
                </a:pPr>
                <a:r>
                  <a:rPr lang="en-GB" sz="700" b="0" i="1" u="none" strike="noStrike" baseline="0">
                    <a:effectLst/>
                  </a:rPr>
                  <a:t>Unemployment expectations</a:t>
                </a:r>
                <a:endParaRPr lang="cs-CZ" sz="700" b="0" i="1"/>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5.2911311483940021E-3"/>
          <c:y val="0.85929280045351475"/>
          <c:w val="0.98967939521434356"/>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Wage (real)</c:v>
                </c:pt>
              </c:strCache>
            </c:strRef>
          </c:tx>
          <c:spPr>
            <a:solidFill>
              <a:srgbClr val="DBDBDB"/>
            </a:solidFill>
            <a:ln w="19050">
              <a:noFill/>
            </a:ln>
          </c:spPr>
          <c:invertIfNegative val="0"/>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3'!$D$29:$D$56</c:f>
              <c:numCache>
                <c:formatCode>#\ ##0.0</c:formatCode>
                <c:ptCount val="28"/>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0.20000000000000284</c:v>
                </c:pt>
                <c:pt idx="21">
                  <c:v>-3.5999999999999943</c:v>
                </c:pt>
                <c:pt idx="22">
                  <c:v>0.70000000000000284</c:v>
                </c:pt>
                <c:pt idx="23">
                  <c:v>2.5999999999999943</c:v>
                </c:pt>
                <c:pt idx="24">
                  <c:v>1.2000000000000028</c:v>
                </c:pt>
                <c:pt idx="25">
                  <c:v>8.4000000000000057</c:v>
                </c:pt>
                <c:pt idx="26">
                  <c:v>1.5</c:v>
                </c:pt>
                <c:pt idx="27">
                  <c:v>-2</c:v>
                </c:pt>
              </c:numCache>
            </c:numRef>
          </c:val>
          <c:extLst>
            <c:ext xmlns:c16="http://schemas.microsoft.com/office/drawing/2014/chart" uri="{C3380CC4-5D6E-409C-BE32-E72D297353CC}">
              <c16:uniqueId val="{00000000-4354-4B8E-995E-ABF6822344EB}"/>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Wage (nominal)</c:v>
                </c:pt>
              </c:strCache>
            </c:strRef>
          </c:tx>
          <c:spPr>
            <a:ln w="19050">
              <a:solidFill>
                <a:schemeClr val="tx1">
                  <a:lumMod val="95000"/>
                  <a:lumOff val="5000"/>
                </a:schemeClr>
              </a:solidFill>
              <a:prstDash val="sysDash"/>
            </a:ln>
          </c:spPr>
          <c:marker>
            <c:symbol val="none"/>
          </c:marker>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3'!$C$29:$C$56</c:f>
              <c:numCache>
                <c:formatCode>0.0</c:formatCode>
                <c:ptCount val="28"/>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3.7999999999999972</c:v>
                </c:pt>
                <c:pt idx="21">
                  <c:v>-0.59999999999999432</c:v>
                </c:pt>
                <c:pt idx="22">
                  <c:v>4</c:v>
                </c:pt>
                <c:pt idx="23">
                  <c:v>5.2999999999999972</c:v>
                </c:pt>
                <c:pt idx="24">
                  <c:v>3.4000000000000057</c:v>
                </c:pt>
                <c:pt idx="25">
                  <c:v>11.5</c:v>
                </c:pt>
                <c:pt idx="26">
                  <c:v>5.7000000000000028</c:v>
                </c:pt>
                <c:pt idx="27">
                  <c:v>4</c:v>
                </c:pt>
              </c:numCache>
            </c:numRef>
          </c:val>
          <c:smooth val="0"/>
          <c:extLst>
            <c:ext xmlns:c16="http://schemas.microsoft.com/office/drawing/2014/chart" uri="{C3380CC4-5D6E-409C-BE32-E72D297353CC}">
              <c16:uniqueId val="{00000001-4354-4B8E-995E-ABF6822344EB}"/>
            </c:ext>
          </c:extLst>
        </c:ser>
        <c:ser>
          <c:idx val="5"/>
          <c:order val="2"/>
          <c:tx>
            <c:strRef>
              <c:f>'Trh práce 3'!$E$8</c:f>
              <c:strCache>
                <c:ptCount val="1"/>
                <c:pt idx="0">
                  <c:v>Wage in industry (nominal)</c:v>
                </c:pt>
              </c:strCache>
            </c:strRef>
          </c:tx>
          <c:spPr>
            <a:ln w="9525">
              <a:solidFill>
                <a:srgbClr val="C00000"/>
              </a:solidFill>
              <a:prstDash val="solid"/>
            </a:ln>
          </c:spPr>
          <c:marker>
            <c:symbol val="none"/>
          </c:marker>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3'!$E$29:$E$56</c:f>
              <c:numCache>
                <c:formatCode>0.0</c:formatCode>
                <c:ptCount val="28"/>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3.2413919637942712</c:v>
                </c:pt>
                <c:pt idx="21">
                  <c:v>-4.9579232634431634</c:v>
                </c:pt>
                <c:pt idx="22">
                  <c:v>1.4528998451827988</c:v>
                </c:pt>
                <c:pt idx="23">
                  <c:v>2.5087223791327489</c:v>
                </c:pt>
                <c:pt idx="24">
                  <c:v>2.3754516912505039</c:v>
                </c:pt>
                <c:pt idx="25">
                  <c:v>10.745265179938173</c:v>
                </c:pt>
                <c:pt idx="26">
                  <c:v>5.2999178307313173</c:v>
                </c:pt>
                <c:pt idx="27">
                  <c:v>4.1545110750945469</c:v>
                </c:pt>
              </c:numCache>
            </c:numRef>
          </c:val>
          <c:smooth val="0"/>
          <c:extLst>
            <c:ext xmlns:c16="http://schemas.microsoft.com/office/drawing/2014/chart" uri="{C3380CC4-5D6E-409C-BE32-E72D297353CC}">
              <c16:uniqueId val="{00000002-4354-4B8E-995E-ABF6822344EB}"/>
            </c:ext>
          </c:extLst>
        </c:ser>
        <c:ser>
          <c:idx val="1"/>
          <c:order val="3"/>
          <c:tx>
            <c:strRef>
              <c:f>'Trh práce 3'!$F$8</c:f>
              <c:strCache>
                <c:ptCount val="1"/>
                <c:pt idx="0">
                  <c:v>Wage in trade (nominal)</c:v>
                </c:pt>
              </c:strCache>
            </c:strRef>
          </c:tx>
          <c:spPr>
            <a:ln w="9525">
              <a:solidFill>
                <a:srgbClr val="0070C0"/>
              </a:solidFill>
              <a:prstDash val="solid"/>
            </a:ln>
          </c:spPr>
          <c:marker>
            <c:symbol val="none"/>
          </c:marker>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3'!$F$29:$F$56</c:f>
              <c:numCache>
                <c:formatCode>0.0</c:formatCode>
                <c:ptCount val="28"/>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3.0935709739019757</c:v>
                </c:pt>
                <c:pt idx="21">
                  <c:v>-2.0939942862524816</c:v>
                </c:pt>
                <c:pt idx="22">
                  <c:v>1.6200752510961109</c:v>
                </c:pt>
                <c:pt idx="23">
                  <c:v>-0.64424611383651609</c:v>
                </c:pt>
                <c:pt idx="24">
                  <c:v>2.0622375895282801</c:v>
                </c:pt>
                <c:pt idx="25">
                  <c:v>9.4786121977810609</c:v>
                </c:pt>
                <c:pt idx="26">
                  <c:v>6.6003671970624254</c:v>
                </c:pt>
                <c:pt idx="27">
                  <c:v>8.9351576442593625</c:v>
                </c:pt>
              </c:numCache>
            </c:numRef>
          </c:val>
          <c:smooth val="0"/>
          <c:extLst>
            <c:ext xmlns:c16="http://schemas.microsoft.com/office/drawing/2014/chart" uri="{C3380CC4-5D6E-409C-BE32-E72D297353CC}">
              <c16:uniqueId val="{00000003-4354-4B8E-995E-ABF6822344EB}"/>
            </c:ext>
          </c:extLst>
        </c:ser>
        <c:ser>
          <c:idx val="2"/>
          <c:order val="4"/>
          <c:tx>
            <c:strRef>
              <c:f>'Trh práce 3'!$G$8</c:f>
              <c:strCache>
                <c:ptCount val="1"/>
                <c:pt idx="0">
                  <c:v>Wage in public services (nominal)*</c:v>
                </c:pt>
              </c:strCache>
            </c:strRef>
          </c:tx>
          <c:spPr>
            <a:ln w="9525">
              <a:solidFill>
                <a:srgbClr val="00B050"/>
              </a:solidFill>
              <a:prstDash val="solid"/>
            </a:ln>
          </c:spPr>
          <c:marker>
            <c:symbol val="none"/>
          </c:marker>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3'!$G$29:$G$56</c:f>
              <c:numCache>
                <c:formatCode>0.0</c:formatCode>
                <c:ptCount val="28"/>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4.0761706440969334</c:v>
                </c:pt>
                <c:pt idx="21">
                  <c:v>3.8609569062914204</c:v>
                </c:pt>
                <c:pt idx="22">
                  <c:v>7.6176258951069542</c:v>
                </c:pt>
                <c:pt idx="23">
                  <c:v>12.682983973452551</c:v>
                </c:pt>
                <c:pt idx="24">
                  <c:v>4.9818798199971184</c:v>
                </c:pt>
                <c:pt idx="25">
                  <c:v>17.938700198321527</c:v>
                </c:pt>
                <c:pt idx="26">
                  <c:v>5.6419466663737268</c:v>
                </c:pt>
                <c:pt idx="27">
                  <c:v>-0.14867678635997095</c:v>
                </c:pt>
              </c:numCache>
            </c:numRef>
          </c:val>
          <c:smooth val="0"/>
          <c:extLst>
            <c:ext xmlns:c16="http://schemas.microsoft.com/office/drawing/2014/chart" uri="{C3380CC4-5D6E-409C-BE32-E72D297353CC}">
              <c16:uniqueId val="{00000004-4354-4B8E-995E-ABF6822344EB}"/>
            </c:ext>
          </c:extLst>
        </c:ser>
        <c:ser>
          <c:idx val="3"/>
          <c:order val="5"/>
          <c:tx>
            <c:strRef>
              <c:f>'Trh práce 3'!$H$8</c:f>
              <c:strCache>
                <c:ptCount val="1"/>
                <c:pt idx="0">
                  <c:v>Total median wage (nominal)</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3'!$A$29:$B$56</c:f>
              <c:multiLvlStrCache>
                <c:ptCount val="2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lvl>
                <c:lvl>
                  <c:pt idx="0">
                    <c:v>2015</c:v>
                  </c:pt>
                  <c:pt idx="4">
                    <c:v>2016</c:v>
                  </c:pt>
                  <c:pt idx="8">
                    <c:v>2017</c:v>
                  </c:pt>
                  <c:pt idx="12">
                    <c:v>2018</c:v>
                  </c:pt>
                  <c:pt idx="16">
                    <c:v>2019</c:v>
                  </c:pt>
                  <c:pt idx="20">
                    <c:v>2020</c:v>
                  </c:pt>
                  <c:pt idx="24">
                    <c:v>2021</c:v>
                  </c:pt>
                </c:lvl>
              </c:multiLvlStrCache>
            </c:multiLvlStrRef>
          </c:cat>
          <c:val>
            <c:numRef>
              <c:f>'Trh práce 3'!$H$29:$H$56</c:f>
              <c:numCache>
                <c:formatCode>0.0</c:formatCode>
                <c:ptCount val="28"/>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7.2000000000000028</c:v>
                </c:pt>
                <c:pt idx="17">
                  <c:v>6.4000000000000057</c:v>
                </c:pt>
                <c:pt idx="18">
                  <c:v>7.2999999999999972</c:v>
                </c:pt>
                <c:pt idx="19">
                  <c:v>6.4000000000000057</c:v>
                </c:pt>
                <c:pt idx="20">
                  <c:v>4.9000000000000057</c:v>
                </c:pt>
                <c:pt idx="21">
                  <c:v>-0.40000000000000568</c:v>
                </c:pt>
                <c:pt idx="22">
                  <c:v>5</c:v>
                </c:pt>
                <c:pt idx="23">
                  <c:v>5.2000000000000028</c:v>
                </c:pt>
                <c:pt idx="24">
                  <c:v>3</c:v>
                </c:pt>
                <c:pt idx="25">
                  <c:v>11.799999999999997</c:v>
                </c:pt>
                <c:pt idx="26">
                  <c:v>5.7000000000000028</c:v>
                </c:pt>
                <c:pt idx="27">
                  <c:v>4.9000000000000057</c:v>
                </c:pt>
              </c:numCache>
            </c:numRef>
          </c:val>
          <c:smooth val="0"/>
          <c:extLst>
            <c:ext xmlns:c16="http://schemas.microsoft.com/office/drawing/2014/chart" uri="{C3380CC4-5D6E-409C-BE32-E72D297353CC}">
              <c16:uniqueId val="{00000005-4354-4B8E-995E-ABF6822344EB}"/>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6"/>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1858669558714E-3"/>
          <c:y val="0.87578174603174608"/>
          <c:w val="0.9774444484255399"/>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4CEB-AC6D-4152-A98F-4DDBD44B547C}">
  <ds:schemaRefs>
    <ds:schemaRef ds:uri="http://schemas.openxmlformats.org/officeDocument/2006/bibliography"/>
  </ds:schemaRefs>
</ds:datastoreItem>
</file>

<file path=customXml/itemProps2.xml><?xml version="1.0" encoding="utf-8"?>
<ds:datastoreItem xmlns:ds="http://schemas.openxmlformats.org/officeDocument/2006/customXml" ds:itemID="{01EB7542-7A52-4A76-8453-B8EFCCAE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2567</Words>
  <Characters>15149</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17681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2022-04-21T10:41:00Z</dcterms:created>
  <dcterms:modified xsi:type="dcterms:W3CDTF">2022-04-21T10:50:00Z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2022-03-21T18:27:05Z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4e549edd-b07e-4b32-91fb-7727dcdc0524</vt:lpwstr>
  </property>
  <property fmtid="{D5CDD505-2E9C-101B-9397-08002B2CF9AE}" pid="8" name="MSIP_Label_29db9e61-aac5-4f6e-805d-ceb8cb9983a1_ContentBits">
    <vt:lpwstr>0</vt:lpwstr>
  </property>
</Properties>
</file>