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D4" w:rsidRPr="009110F7" w:rsidRDefault="00935BD4" w:rsidP="001554C2">
      <w:pPr>
        <w:pStyle w:val="Nadpis11"/>
      </w:pPr>
      <w:bookmarkStart w:id="0" w:name="_Toc525046022"/>
      <w:r w:rsidRPr="009110F7">
        <w:t>3</w:t>
      </w:r>
      <w:r w:rsidR="001554C2" w:rsidRPr="009110F7">
        <w:t xml:space="preserve">. </w:t>
      </w:r>
      <w:bookmarkStart w:id="1" w:name="_Toc454185150"/>
      <w:bookmarkStart w:id="2" w:name="_Toc493683635"/>
      <w:r w:rsidRPr="009110F7">
        <w:t>Výkonnost odvětví</w:t>
      </w:r>
      <w:bookmarkEnd w:id="0"/>
      <w:bookmarkEnd w:id="1"/>
      <w:bookmarkEnd w:id="2"/>
    </w:p>
    <w:tbl>
      <w:tblPr>
        <w:tblW w:w="964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29"/>
        <w:gridCol w:w="235"/>
        <w:gridCol w:w="7580"/>
      </w:tblGrid>
      <w:tr w:rsidR="008C7569" w:rsidRPr="009110F7" w:rsidTr="00194729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D21D6D" w:rsidRPr="009110F7" w:rsidRDefault="00F93688" w:rsidP="008417B5">
            <w:pPr>
              <w:pStyle w:val="Marginlie"/>
            </w:pPr>
            <w:proofErr w:type="spellStart"/>
            <w:r>
              <w:t>Mezikvartální</w:t>
            </w:r>
            <w:proofErr w:type="spellEnd"/>
            <w:r>
              <w:t xml:space="preserve"> růst hrubé přidané hodnoty (HPH)</w:t>
            </w:r>
            <w:r w:rsidR="00D70822">
              <w:t xml:space="preserve"> </w:t>
            </w:r>
            <w:r>
              <w:t>v ekonomice byl nejslabší za posledních sedm čtvrtletí.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8A388E" w:rsidRPr="009110F7" w:rsidRDefault="00F93688" w:rsidP="00541AE3">
            <w:pPr>
              <w:spacing w:after="220"/>
            </w:pPr>
            <w:r>
              <w:t>Hrubá přidaná hodnota (HPH)</w:t>
            </w:r>
            <w:r>
              <w:rPr>
                <w:rStyle w:val="Znakapoznpodarou"/>
                <w:spacing w:val="-4"/>
              </w:rPr>
              <w:footnoteReference w:id="1"/>
            </w:r>
            <w:r>
              <w:t xml:space="preserve"> vyjadřující souhrnný výkon všech odvětví ekonomiky naznačovala zpomalování. Ve 2. čtvrtletí se </w:t>
            </w:r>
            <w:proofErr w:type="spellStart"/>
            <w:r>
              <w:t>mezikvartální</w:t>
            </w:r>
            <w:proofErr w:type="spellEnd"/>
            <w:r>
              <w:t xml:space="preserve"> růst HPH zmírnil již podruhé v řadě. Jeho dosažené tempo (+0,5</w:t>
            </w:r>
            <w:r w:rsidR="007B0E83">
              <w:t> %</w:t>
            </w:r>
            <w:r>
              <w:t>) bylo zároveň nejslabší za posledních sedm čtvrtletí. I tak však tuzemská ekonomika vykazovala stále vyšší růst než EU (+0,4</w:t>
            </w:r>
            <w:r w:rsidR="007B0E83">
              <w:t> %</w:t>
            </w:r>
            <w:r>
              <w:t>) či sousední Německo (+0,3</w:t>
            </w:r>
            <w:r w:rsidR="007B0E83">
              <w:t> %</w:t>
            </w:r>
            <w:r>
              <w:t>). Zvolňování bylo v ČR patrné rovněž v meziroční</w:t>
            </w:r>
            <w:r w:rsidR="00D70822">
              <w:t>m</w:t>
            </w:r>
            <w:r>
              <w:t xml:space="preserve"> srovnání (v 1. čtvrtletí +4,2</w:t>
            </w:r>
            <w:r w:rsidR="007B0E83">
              <w:t> %</w:t>
            </w:r>
            <w:r>
              <w:t xml:space="preserve">, </w:t>
            </w:r>
            <w:r w:rsidR="00ED0EF0">
              <w:t>ve 2</w:t>
            </w:r>
            <w:r>
              <w:t>. čtvrtletí +2,4</w:t>
            </w:r>
            <w:r w:rsidR="007B0E83">
              <w:t> %</w:t>
            </w:r>
            <w:r>
              <w:t>). Nelze ale opomenout, že v první polovině loňského roku se ekonomice mimořádně dařilo, když došlo k aktivizaci všech významných zdrojů na nabídkové i poptávkové straně.</w:t>
            </w:r>
          </w:p>
        </w:tc>
      </w:tr>
      <w:tr w:rsidR="00F93688" w:rsidRPr="009110F7" w:rsidTr="00194729">
        <w:trPr>
          <w:trHeight w:val="17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Marginlie"/>
            </w:pPr>
            <w:r>
              <w:t>Více než polovinu růst</w:t>
            </w:r>
            <w:r w:rsidR="001762F4">
              <w:t>u</w:t>
            </w:r>
            <w:r>
              <w:t xml:space="preserve"> HPH zajistily v 1. pololetí služby. Výkon průmyslu citelně zvolnil, stavebnictví výrazně ožilo.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2E20C7">
            <w:pPr>
              <w:spacing w:after="220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Těžiště růstu HPH se přesunulo od zpracovatelského průmyslu k terciárnímu sektoru. Výkon služeb vzrostl v 1. pololetí meziročně o 3,0</w:t>
            </w:r>
            <w:r w:rsidR="007B0E83">
              <w:rPr>
                <w:rFonts w:cs="Arial"/>
                <w:spacing w:val="-4"/>
              </w:rPr>
              <w:t> %</w:t>
            </w:r>
            <w:r>
              <w:rPr>
                <w:rFonts w:cs="Arial"/>
                <w:spacing w:val="-4"/>
              </w:rPr>
              <w:t xml:space="preserve"> a k navýšení celkové přidané hodnoty přispěl 1,8</w:t>
            </w:r>
            <w:r w:rsidR="00EA4402">
              <w:rPr>
                <w:rFonts w:cs="Arial"/>
                <w:spacing w:val="-4"/>
              </w:rPr>
              <w:t> p. b.</w:t>
            </w:r>
            <w:r>
              <w:rPr>
                <w:rFonts w:cs="Arial"/>
                <w:spacing w:val="-4"/>
              </w:rPr>
              <w:t xml:space="preserve"> Dařilo se především informačním a komunikačním činnostem a také finančnímu sektoru – v obou případech jde také o dlouhodobě dynamické obory. Ve váhově dominantním uskupení o</w:t>
            </w:r>
            <w:r w:rsidRPr="00374A20">
              <w:rPr>
                <w:rFonts w:cs="Arial"/>
                <w:spacing w:val="-4"/>
              </w:rPr>
              <w:t>bchod, doprava, ubytování a pohostinství</w:t>
            </w:r>
            <w:r>
              <w:rPr>
                <w:rFonts w:cs="Arial"/>
                <w:spacing w:val="-4"/>
              </w:rPr>
              <w:t xml:space="preserve"> se růstové tempo meziročně více než zdvojnásobilo (na 4,5</w:t>
            </w:r>
            <w:r w:rsidR="007B0E83">
              <w:rPr>
                <w:rFonts w:cs="Arial"/>
                <w:spacing w:val="-4"/>
              </w:rPr>
              <w:t> %</w:t>
            </w:r>
            <w:r>
              <w:rPr>
                <w:rFonts w:cs="Arial"/>
                <w:spacing w:val="-4"/>
              </w:rPr>
              <w:t xml:space="preserve">). Naopak v činnostech v oblasti nemovitostí i ve významném segmentu služeb s dominantní rolí státu přetrvával (podobně jako vloni) nevýrazný růst. Zpracovatelský průmysl ubral z loňského tempa více než polovinu, i tak zde </w:t>
            </w:r>
            <w:r w:rsidR="001762F4">
              <w:rPr>
                <w:rFonts w:cs="Arial"/>
                <w:spacing w:val="-4"/>
              </w:rPr>
              <w:t xml:space="preserve">ale </w:t>
            </w:r>
            <w:r>
              <w:rPr>
                <w:rFonts w:cs="Arial"/>
                <w:spacing w:val="-4"/>
              </w:rPr>
              <w:t>přidaná hodnota rostla</w:t>
            </w:r>
            <w:r w:rsidR="002E20C7">
              <w:rPr>
                <w:rFonts w:cs="Arial"/>
                <w:spacing w:val="-4"/>
              </w:rPr>
              <w:t xml:space="preserve"> o bezmála 5 %, tedy svižněji</w:t>
            </w:r>
            <w:r>
              <w:rPr>
                <w:rFonts w:cs="Arial"/>
                <w:spacing w:val="-4"/>
              </w:rPr>
              <w:t xml:space="preserve"> než v celé ekonomice. Výrazný pozitivní obrat zaznamenalo stavebnictví, kde meziroční růst HPH o 5,3</w:t>
            </w:r>
            <w:r w:rsidR="007B0E83">
              <w:rPr>
                <w:rFonts w:cs="Arial"/>
                <w:spacing w:val="-4"/>
              </w:rPr>
              <w:t> %</w:t>
            </w:r>
            <w:r>
              <w:rPr>
                <w:rFonts w:cs="Arial"/>
                <w:spacing w:val="-4"/>
              </w:rPr>
              <w:t xml:space="preserve"> znamenal nejlepší pololetní výsledek od roku 2007. Naproti tomu mírný loňský pokles výkonu v zemědělství, lesnictví a rybářství se letos prohloubil (</w:t>
            </w:r>
            <w:proofErr w:type="gramStart"/>
            <w:r>
              <w:rPr>
                <w:rFonts w:cs="Arial"/>
                <w:spacing w:val="-4"/>
              </w:rPr>
              <w:t xml:space="preserve">na </w:t>
            </w:r>
            <w:r w:rsidR="001762F4">
              <w:rPr>
                <w:rFonts w:cs="Arial"/>
                <w:spacing w:val="-4"/>
              </w:rPr>
              <w:t>–</w:t>
            </w:r>
            <w:r>
              <w:rPr>
                <w:rFonts w:cs="Arial"/>
                <w:spacing w:val="-4"/>
              </w:rPr>
              <w:t>3,9</w:t>
            </w:r>
            <w:proofErr w:type="gramEnd"/>
            <w:r w:rsidR="007B0E83">
              <w:rPr>
                <w:rFonts w:cs="Arial"/>
                <w:spacing w:val="-4"/>
              </w:rPr>
              <w:t> %</w:t>
            </w:r>
            <w:r>
              <w:rPr>
                <w:rFonts w:cs="Arial"/>
                <w:spacing w:val="-4"/>
              </w:rPr>
              <w:t xml:space="preserve">). </w:t>
            </w:r>
          </w:p>
        </w:tc>
      </w:tr>
      <w:tr w:rsidR="00F93688" w:rsidRPr="009110F7" w:rsidTr="00194729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Marginlie"/>
            </w:pPr>
            <w:r>
              <w:t>Meziroční růst průmyslové produkce se ve 2. čtvrtletí ztenčil na 2,3</w:t>
            </w:r>
            <w:r w:rsidR="007B0E83">
              <w:t> %</w:t>
            </w:r>
            <w:r>
              <w:t>, mezičtvrtletní vývoj ale vyslal pozitivnější signál.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spacing w:val="-4"/>
              </w:rPr>
              <w:t>Zvolňování tempa růstu průmyslu potvrzují i podnikové</w:t>
            </w:r>
            <w:r w:rsidRPr="002533E1">
              <w:rPr>
                <w:spacing w:val="-4"/>
              </w:rPr>
              <w:t xml:space="preserve"> statistik</w:t>
            </w:r>
            <w:r>
              <w:rPr>
                <w:spacing w:val="-4"/>
              </w:rPr>
              <w:t>y. I</w:t>
            </w:r>
            <w:r>
              <w:rPr>
                <w:color w:val="000000" w:themeColor="text1"/>
                <w:spacing w:val="-4"/>
              </w:rPr>
              <w:t>ndex průmyslové</w:t>
            </w:r>
            <w:r w:rsidRPr="008D59A9">
              <w:rPr>
                <w:color w:val="000000" w:themeColor="text1"/>
                <w:spacing w:val="-4"/>
              </w:rPr>
              <w:t xml:space="preserve"> produkce</w:t>
            </w:r>
            <w:r w:rsidRPr="008D59A9">
              <w:rPr>
                <w:color w:val="000000" w:themeColor="text1"/>
                <w:spacing w:val="-4"/>
                <w:vertAlign w:val="superscript"/>
              </w:rPr>
              <w:footnoteReference w:id="2"/>
            </w:r>
            <w:r>
              <w:rPr>
                <w:color w:val="000000" w:themeColor="text1"/>
                <w:spacing w:val="-4"/>
              </w:rPr>
              <w:t xml:space="preserve"> vzrostl v 1. pololetí meziročně o 3,2</w:t>
            </w:r>
            <w:r w:rsidR="007B0E83">
              <w:rPr>
                <w:color w:val="000000" w:themeColor="text1"/>
                <w:spacing w:val="-4"/>
              </w:rPr>
              <w:t> %</w:t>
            </w:r>
            <w:r>
              <w:rPr>
                <w:rStyle w:val="Znakapoznpodarou"/>
                <w:color w:val="000000" w:themeColor="text1"/>
                <w:spacing w:val="-4"/>
              </w:rPr>
              <w:footnoteReference w:id="3"/>
            </w:r>
            <w:r>
              <w:rPr>
                <w:color w:val="000000" w:themeColor="text1"/>
                <w:spacing w:val="-4"/>
              </w:rPr>
              <w:t xml:space="preserve"> (v samotném 2. čtvrtletí dokonce jen o 2,3</w:t>
            </w:r>
            <w:r w:rsidR="007B0E83">
              <w:rPr>
                <w:color w:val="000000" w:themeColor="text1"/>
                <w:spacing w:val="-4"/>
              </w:rPr>
              <w:t> %</w:t>
            </w:r>
            <w:r>
              <w:rPr>
                <w:color w:val="000000" w:themeColor="text1"/>
                <w:spacing w:val="-4"/>
              </w:rPr>
              <w:t>). Příznivějším signálem může být skutečnost, že po slabším vstupu do letošního roku (+0,2</w:t>
            </w:r>
            <w:r w:rsidR="007B0E83">
              <w:rPr>
                <w:color w:val="000000" w:themeColor="text1"/>
                <w:spacing w:val="-4"/>
              </w:rPr>
              <w:t> %</w:t>
            </w:r>
            <w:r>
              <w:rPr>
                <w:color w:val="000000" w:themeColor="text1"/>
                <w:spacing w:val="-4"/>
              </w:rPr>
              <w:t xml:space="preserve">) se </w:t>
            </w:r>
            <w:proofErr w:type="spellStart"/>
            <w:r>
              <w:rPr>
                <w:color w:val="000000" w:themeColor="text1"/>
                <w:spacing w:val="-4"/>
              </w:rPr>
              <w:t>mezikvartální</w:t>
            </w:r>
            <w:proofErr w:type="spellEnd"/>
            <w:r>
              <w:rPr>
                <w:color w:val="000000" w:themeColor="text1"/>
                <w:spacing w:val="-4"/>
              </w:rPr>
              <w:t xml:space="preserve"> tempo růstu produkce ve 2. čtvrtletí navýšilo (na +1,1</w:t>
            </w:r>
            <w:r w:rsidR="007B0E83">
              <w:rPr>
                <w:color w:val="000000" w:themeColor="text1"/>
                <w:spacing w:val="-4"/>
              </w:rPr>
              <w:t> %</w:t>
            </w:r>
            <w:r>
              <w:rPr>
                <w:color w:val="000000" w:themeColor="text1"/>
                <w:spacing w:val="-4"/>
              </w:rPr>
              <w:t>). Přispěl k tomu nejen zpracovatelský průmysl, ale i energetika či těžba a</w:t>
            </w:r>
            <w:r w:rsidRPr="002533E1">
              <w:rPr>
                <w:spacing w:val="-4"/>
              </w:rPr>
              <w:t> </w:t>
            </w:r>
            <w:r>
              <w:rPr>
                <w:color w:val="000000" w:themeColor="text1"/>
                <w:spacing w:val="-4"/>
              </w:rPr>
              <w:t xml:space="preserve">dobývání. </w:t>
            </w:r>
          </w:p>
        </w:tc>
      </w:tr>
      <w:tr w:rsidR="00F93688" w:rsidRPr="009110F7" w:rsidTr="00194729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Default="00F93688" w:rsidP="00793D78">
            <w:pPr>
              <w:pStyle w:val="Marginlie"/>
            </w:pPr>
            <w:r>
              <w:t>Produkce v automobilovém průmyslu i výrobě pryžových a plastových výrobků dosáhla ve 2. čtvrtletí nejslabších temp od konce recese…</w:t>
            </w:r>
            <w:r w:rsidR="005F2A08">
              <w:t>,</w:t>
            </w: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  <w:r>
              <w:t>…</w:t>
            </w:r>
            <w:r w:rsidR="00631E44">
              <w:t> </w:t>
            </w:r>
            <w:r>
              <w:t>elektrotechnice i výrobě počítačů a elektronických a optických</w:t>
            </w:r>
            <w:r w:rsidRPr="00764974">
              <w:t xml:space="preserve"> přístrojů</w:t>
            </w:r>
            <w:r>
              <w:t xml:space="preserve"> se ale nadále dařilo.</w:t>
            </w: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2E20C7" w:rsidRDefault="002E20C7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Pr="009110F7" w:rsidRDefault="00F93688" w:rsidP="00793D78">
            <w:pPr>
              <w:pStyle w:val="Marginlie"/>
            </w:pPr>
            <w:r>
              <w:t>Zlepšilo se postavení hutnictví a slévárenství či těžebního průmyslu. Nadále se dařilo většině malých průmyslových oborů.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spacing w:after="220"/>
              <w:rPr>
                <w:spacing w:val="-2"/>
                <w:szCs w:val="20"/>
              </w:rPr>
            </w:pPr>
            <w:r>
              <w:rPr>
                <w:spacing w:val="-2"/>
                <w:szCs w:val="20"/>
              </w:rPr>
              <w:t xml:space="preserve">Výraznější krátkodobé zpomalení růstu průmyslu není v současném konjunkturním období zdaleka ojedinělé. Během let 2014 i 2016, kdy k podobné situaci rovněž došlo, si výraznou </w:t>
            </w:r>
            <w:proofErr w:type="spellStart"/>
            <w:r>
              <w:rPr>
                <w:spacing w:val="-2"/>
                <w:szCs w:val="20"/>
              </w:rPr>
              <w:t>prorůstovou</w:t>
            </w:r>
            <w:proofErr w:type="spellEnd"/>
            <w:r>
              <w:rPr>
                <w:spacing w:val="-2"/>
                <w:szCs w:val="20"/>
              </w:rPr>
              <w:t xml:space="preserve"> roli zachovalo klíčové odvětví výroby motorových vozidel. Současné zpomalení ale z velké části souvisí právě s tímto oborem. Zatímco po celý loňský rok osciloval meziroční růst produkce výrobců motorových vozidel kolem 10</w:t>
            </w:r>
            <w:r w:rsidR="007B0E83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>, na počátku letošního roku klesl pod 3</w:t>
            </w:r>
            <w:r w:rsidR="007B0E83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 xml:space="preserve"> a ve 2. čtvrtletí se ztenčil na 1,5</w:t>
            </w:r>
            <w:r w:rsidR="007B0E83">
              <w:rPr>
                <w:spacing w:val="-2"/>
                <w:szCs w:val="20"/>
              </w:rPr>
              <w:t> %</w:t>
            </w:r>
            <w:r>
              <w:rPr>
                <w:spacing w:val="-2"/>
                <w:szCs w:val="20"/>
              </w:rPr>
              <w:t xml:space="preserve"> (nejslabší tempo od konce poslední recese).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Neudržitelnost vysoké dynamiky produkce signalizovaly v tomto odvětví i nové zakázky, jejichž objem již od 2. čtvrtletí 2017 meziročně fakticky stagnoval. Podobným vývojem prošla v posledních měsících také výroba </w:t>
            </w:r>
            <w:r w:rsidRPr="00D05C65">
              <w:rPr>
                <w:rFonts w:cs="Arial"/>
                <w:color w:val="0D0D0D" w:themeColor="text1" w:themeTint="F2"/>
                <w:spacing w:val="-4"/>
              </w:rPr>
              <w:t>pryžových a plastových výrobků</w:t>
            </w:r>
            <w:r>
              <w:rPr>
                <w:rFonts w:cs="Arial"/>
                <w:color w:val="0D0D0D" w:themeColor="text1" w:themeTint="F2"/>
                <w:spacing w:val="-4"/>
              </w:rPr>
              <w:t>. Naproti tomu jinému odvětví navázanému na výrobu dopravních prostředků – elektrotechnice – se letos dařilo obdobně jako loni (růst v 1. pololetí mezi 7 a 8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). Výrobci motorových vozidel spolu s nejbližšími návaznými obory se tak letos na růstu průmyslové produkce podíleli necelou třetinou. Nejdynamičtějším průmyslovým oborem se stala výrazně exportně orientovaná výroba </w:t>
            </w:r>
            <w:r>
              <w:t>počítačů a elektronických a optických</w:t>
            </w:r>
            <w:r w:rsidRPr="00764974">
              <w:t xml:space="preserve"> přístrojů</w:t>
            </w:r>
            <w:r>
              <w:t xml:space="preserve">, kde produkce </w:t>
            </w:r>
            <w:r>
              <w:rPr>
                <w:rFonts w:cs="Arial"/>
                <w:color w:val="0D0D0D" w:themeColor="text1" w:themeTint="F2"/>
                <w:spacing w:val="-4"/>
              </w:rPr>
              <w:t>v 1. pololetí</w:t>
            </w:r>
            <w:r>
              <w:t xml:space="preserve"> vzrostla o</w:t>
            </w:r>
            <w:r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t>10,8</w:t>
            </w:r>
            <w:r w:rsidR="007B0E83">
              <w:t> %</w:t>
            </w:r>
            <w:r>
              <w:t xml:space="preserve"> (za dva roky skoro o čtvrtinu). Dařilo se i váhově významným odvětvím strojírenství </w:t>
            </w:r>
            <w:r w:rsidR="00631E44">
              <w:t xml:space="preserve">a </w:t>
            </w:r>
            <w:r>
              <w:t xml:space="preserve">kovovýroby. Ze silné tuzemské poptávky po stavebních materiálech již druhý rok v řadě profitovali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výrobci </w:t>
            </w:r>
            <w:r w:rsidRPr="00572079">
              <w:rPr>
                <w:rFonts w:cs="Arial"/>
                <w:color w:val="0D0D0D" w:themeColor="text1" w:themeTint="F2"/>
                <w:spacing w:val="-4"/>
              </w:rPr>
              <w:t>ostatních nekovových minerálních výrobků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Oproti loňskému roku se zlepšilo postavení </w:t>
            </w:r>
            <w:r>
              <w:rPr>
                <w:color w:val="0D0D0D" w:themeColor="text1" w:themeTint="F2"/>
                <w:spacing w:val="-4"/>
              </w:rPr>
              <w:t>hutnictví a slévárenství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, podobně jako výroby </w:t>
            </w:r>
            <w:r>
              <w:rPr>
                <w:rFonts w:cs="Arial"/>
                <w:color w:val="0D0D0D" w:themeColor="text1" w:themeTint="F2"/>
                <w:spacing w:val="-4"/>
              </w:rPr>
              <w:lastRenderedPageBreak/>
              <w:t xml:space="preserve">ostatních (zejména kolejových) dopravních prostředků. Silný růstový </w:t>
            </w:r>
            <w:r w:rsidR="00631E44">
              <w:rPr>
                <w:rFonts w:cs="Arial"/>
                <w:color w:val="0D0D0D" w:themeColor="text1" w:themeTint="F2"/>
                <w:spacing w:val="-4"/>
              </w:rPr>
              <w:t xml:space="preserve">impulz </w:t>
            </w:r>
            <w:r>
              <w:rPr>
                <w:rFonts w:cs="Arial"/>
                <w:color w:val="0D0D0D" w:themeColor="text1" w:themeTint="F2"/>
                <w:spacing w:val="-4"/>
              </w:rPr>
              <w:t>v souvislosti s ukončením nucených odstávek v chemickém průmyslu naopak vyprchával (i tak však zde rostla letos produkce o bezmála 5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). Nadále si dobré výsledky připisovala i většina malých zpracovatelských oborů (oděvní, dřevozpracující i nábytkářský průmysl). Výjimkou byl kožedělný průmysl, jehož výkon po krátkodobém mírném oživení v letech 2016 i 2017 se letos výrazně </w:t>
            </w:r>
            <w:proofErr w:type="gramStart"/>
            <w:r>
              <w:rPr>
                <w:rFonts w:cs="Arial"/>
                <w:color w:val="0D0D0D" w:themeColor="text1" w:themeTint="F2"/>
                <w:spacing w:val="-4"/>
              </w:rPr>
              <w:t xml:space="preserve">propadl </w:t>
            </w:r>
            <w:r w:rsidR="00631E44">
              <w:rPr>
                <w:rFonts w:cs="Arial"/>
                <w:color w:val="0D0D0D" w:themeColor="text1" w:themeTint="F2"/>
                <w:spacing w:val="-4"/>
              </w:rPr>
              <w:t>(–</w:t>
            </w:r>
            <w:r>
              <w:rPr>
                <w:rFonts w:cs="Arial"/>
                <w:color w:val="0D0D0D" w:themeColor="text1" w:themeTint="F2"/>
                <w:spacing w:val="-4"/>
              </w:rPr>
              <w:t>25</w:t>
            </w:r>
            <w:proofErr w:type="gramEnd"/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>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4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V nezpracovatelských oborech se zlepšilo postavení těžebního průmyslu. Přispěla k tomu nejen vyšší poptávka po stavebních materiálech (kámen, písek), ale nově i zastavení poklesu produkce ve váhově dominantní těžbě </w:t>
            </w:r>
            <w:r w:rsidR="002E20C7">
              <w:rPr>
                <w:rFonts w:cs="Arial"/>
                <w:color w:val="0D0D0D" w:themeColor="text1" w:themeTint="F2"/>
                <w:spacing w:val="-4"/>
              </w:rPr>
              <w:t xml:space="preserve">hnědého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uhlí. Letošní pokles výkonu </w:t>
            </w:r>
            <w:proofErr w:type="gramStart"/>
            <w:r>
              <w:rPr>
                <w:rFonts w:cs="Arial"/>
                <w:color w:val="0D0D0D" w:themeColor="text1" w:themeTint="F2"/>
                <w:spacing w:val="-4"/>
              </w:rPr>
              <w:t xml:space="preserve">energetiky </w:t>
            </w:r>
            <w:r w:rsidR="00B06DB4">
              <w:rPr>
                <w:rFonts w:cs="Arial"/>
                <w:color w:val="0D0D0D" w:themeColor="text1" w:themeTint="F2"/>
                <w:spacing w:val="-4"/>
              </w:rPr>
              <w:t>(–</w:t>
            </w:r>
            <w:r>
              <w:rPr>
                <w:rFonts w:cs="Arial"/>
                <w:color w:val="0D0D0D" w:themeColor="text1" w:themeTint="F2"/>
                <w:spacing w:val="-4"/>
              </w:rPr>
              <w:t>2,5</w:t>
            </w:r>
            <w:proofErr w:type="gramEnd"/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>) souvisel s mírnou zimou i krátkodobými výkyvy produkce jaderných elektráren.</w:t>
            </w:r>
          </w:p>
        </w:tc>
      </w:tr>
      <w:tr w:rsidR="00F93688" w:rsidRPr="009110F7" w:rsidTr="00194729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EA513E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EA513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Default="00F93688" w:rsidP="00F93688">
            <w:pPr>
              <w:spacing w:after="0" w:line="240" w:lineRule="auto"/>
              <w:rPr>
                <w:b/>
              </w:rPr>
            </w:pPr>
            <w:r w:rsidRPr="00C06323">
              <w:rPr>
                <w:rFonts w:cs="Arial"/>
                <w:b/>
                <w:bCs/>
                <w:color w:val="000000"/>
                <w:szCs w:val="20"/>
              </w:rPr>
              <w:t xml:space="preserve">Graf </w:t>
            </w:r>
            <w:proofErr w:type="gramStart"/>
            <w:r w:rsidRPr="00C06323">
              <w:rPr>
                <w:rFonts w:cs="Arial"/>
                <w:b/>
                <w:bCs/>
                <w:color w:val="000000"/>
                <w:szCs w:val="20"/>
              </w:rPr>
              <w:t xml:space="preserve">č. </w:t>
            </w: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  <w:r w:rsidRPr="00631B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</w:rPr>
              <w:t>Příspěvky</w:t>
            </w:r>
            <w:proofErr w:type="gramEnd"/>
            <w:r>
              <w:rPr>
                <w:b/>
              </w:rPr>
              <w:t xml:space="preserve"> dílčích odvětví k meziroční změně průmyslové produkce </w:t>
            </w:r>
          </w:p>
          <w:p w:rsidR="00F93688" w:rsidRPr="0093666A" w:rsidRDefault="00F93688" w:rsidP="00F93688">
            <w:pPr>
              <w:spacing w:after="0" w:line="240" w:lineRule="auto"/>
            </w:pPr>
            <w:r>
              <w:t>(v procentních bodech, očištěno o kalendářní vlivy</w:t>
            </w:r>
            <w:r w:rsidRPr="001D04BA">
              <w:t>)</w:t>
            </w:r>
          </w:p>
        </w:tc>
      </w:tr>
      <w:tr w:rsidR="00F93688" w:rsidRPr="009110F7" w:rsidTr="00194729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ED0EF0" w:rsidP="005F114F">
            <w:pPr>
              <w:spacing w:after="0"/>
              <w:rPr>
                <w:spacing w:val="-2"/>
                <w:szCs w:val="20"/>
              </w:rPr>
            </w:pPr>
            <w:r w:rsidRPr="00ED0EF0">
              <w:rPr>
                <w:noProof/>
                <w:spacing w:val="-2"/>
                <w:szCs w:val="20"/>
              </w:rPr>
              <w:drawing>
                <wp:inline distT="0" distB="0" distL="0" distR="0">
                  <wp:extent cx="4794250" cy="3854450"/>
                  <wp:effectExtent l="19050" t="0" r="0" b="0"/>
                  <wp:docPr id="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93688" w:rsidRPr="009110F7" w:rsidTr="00194729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CC0834">
            <w:pPr>
              <w:spacing w:after="220"/>
              <w:rPr>
                <w:color w:val="0D0D0D" w:themeColor="text1" w:themeTint="F2"/>
                <w:spacing w:val="-4"/>
              </w:rPr>
            </w:pPr>
            <w:r w:rsidRPr="00535F78">
              <w:rPr>
                <w:rFonts w:cs="Arial"/>
                <w:sz w:val="14"/>
                <w:szCs w:val="14"/>
              </w:rPr>
              <w:t xml:space="preserve">Zdroj: </w:t>
            </w:r>
            <w:r>
              <w:rPr>
                <w:rFonts w:cs="Arial"/>
                <w:sz w:val="14"/>
                <w:szCs w:val="14"/>
              </w:rPr>
              <w:t>ČSÚ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Marginlie"/>
            </w:pPr>
            <w:r>
              <w:t>Růst tržeb průmyslových podniků se prakticky zastavil. Nejvýrazněji se zvyšovaly v hutnictví a slévárenství.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spacing w:after="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Růst nominálních tržeb průmyslových podniků se letos zastavil. V 1. čtvrtletí meziročně stagnovaly, v dalším kvartálu vzrostly o mírných 2,1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>
              <w:rPr>
                <w:color w:val="0D0D0D" w:themeColor="text1" w:themeTint="F2"/>
                <w:spacing w:val="-4"/>
              </w:rPr>
              <w:t>. Zatímco po celý loňský rok se podnikům zvyšovaly rychleji tržby z tuzemska nežli z přímého vývozu, ve 2. čtvrtletí se jejich tempa prakticky srovnala. Nejvýrazněji – o desetinu – rostly v 1. pololetí tržby v hutnictví a slévárenství, polovičním tempem pak v kovovýrobě, dřevozpracujícím průmyslu a také v ostatním zpracovatelském průmyslu (který z</w:t>
            </w:r>
            <w:r w:rsidR="00BE0EF9">
              <w:rPr>
                <w:color w:val="0D0D0D" w:themeColor="text1" w:themeTint="F2"/>
                <w:spacing w:val="-4"/>
              </w:rPr>
              <w:t>ahrnuje např. sportovní potřeby</w:t>
            </w:r>
            <w:r>
              <w:rPr>
                <w:color w:val="0D0D0D" w:themeColor="text1" w:themeTint="F2"/>
                <w:spacing w:val="-4"/>
              </w:rPr>
              <w:t>, hračky, hudební nástroje či bižuterii). Výrobcům motorových vozidel tržby jak v tuzemsku, tak z přímého vývozu mírně klesly (celkově o 2,5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>
              <w:rPr>
                <w:color w:val="0D0D0D" w:themeColor="text1" w:themeTint="F2"/>
                <w:spacing w:val="-4"/>
              </w:rPr>
              <w:t>). Solidní vyhlídky pro průmyslové podniky naznačoval letošní vývoj nových zakázek.</w:t>
            </w:r>
            <w:r w:rsidR="008466C6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Byť na počátku roku vzrostly jen o necelá 2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>
              <w:rPr>
                <w:color w:val="0D0D0D" w:themeColor="text1" w:themeTint="F2"/>
                <w:spacing w:val="-4"/>
              </w:rPr>
              <w:t>, ve 2. čtvrtletí již tempo zesílilo na 4,5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>
              <w:rPr>
                <w:color w:val="0D0D0D" w:themeColor="text1" w:themeTint="F2"/>
                <w:spacing w:val="-4"/>
              </w:rPr>
              <w:t xml:space="preserve"> a nejaktuálnější údaje tento trend potvrzují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5"/>
            </w:r>
            <w:r>
              <w:rPr>
                <w:color w:val="0D0D0D" w:themeColor="text1" w:themeTint="F2"/>
                <w:spacing w:val="-4"/>
              </w:rPr>
              <w:t xml:space="preserve">. Nejvyšší poptávku signalizovaly hutnictví a slévárenství a také kovovýroba. Alespoň mírný růst zakázek měly tři čtvrtiny sledovaných odvětví. 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540CB3" w:rsidRDefault="00F93688" w:rsidP="00F93688">
            <w:pPr>
              <w:pStyle w:val="Textpoznpodarou"/>
              <w:rPr>
                <w:b/>
                <w:spacing w:val="-2"/>
              </w:rPr>
            </w:pPr>
            <w:r>
              <w:rPr>
                <w:b/>
              </w:rPr>
              <w:t xml:space="preserve">Graf </w:t>
            </w:r>
            <w:proofErr w:type="gramStart"/>
            <w:r>
              <w:rPr>
                <w:b/>
              </w:rPr>
              <w:t xml:space="preserve">č. 6  </w:t>
            </w:r>
            <w:r w:rsidRPr="00540CB3">
              <w:rPr>
                <w:b/>
                <w:spacing w:val="-2"/>
              </w:rPr>
              <w:t>Nové</w:t>
            </w:r>
            <w:proofErr w:type="gramEnd"/>
            <w:r w:rsidRPr="00540CB3">
              <w:rPr>
                <w:b/>
                <w:spacing w:val="-2"/>
              </w:rPr>
              <w:t xml:space="preserve"> zakázky v automobilovém průmyslu, v průmyslu celkem </w:t>
            </w:r>
          </w:p>
          <w:p w:rsidR="00F93688" w:rsidRPr="00F704D2" w:rsidRDefault="00F93688" w:rsidP="00F93688">
            <w:pPr>
              <w:pStyle w:val="Textpoznpodarou"/>
            </w:pPr>
            <w:r>
              <w:rPr>
                <w:bCs/>
                <w:spacing w:val="-2"/>
              </w:rPr>
              <w:t>(v běžných</w:t>
            </w:r>
            <w:r w:rsidRPr="00540CB3">
              <w:rPr>
                <w:bCs/>
                <w:spacing w:val="-2"/>
              </w:rPr>
              <w:t xml:space="preserve"> cenách, </w:t>
            </w:r>
            <w:r w:rsidRPr="00540CB3">
              <w:rPr>
                <w:spacing w:val="-2"/>
              </w:rPr>
              <w:t>meziročně</w:t>
            </w:r>
            <w:r w:rsidRPr="00540CB3">
              <w:rPr>
                <w:bCs/>
                <w:spacing w:val="-2"/>
              </w:rPr>
              <w:t xml:space="preserve"> v</w:t>
            </w:r>
            <w:r w:rsidR="007B0E83">
              <w:rPr>
                <w:bCs/>
                <w:spacing w:val="-2"/>
              </w:rPr>
              <w:t> %</w:t>
            </w:r>
            <w:r w:rsidRPr="00540CB3">
              <w:rPr>
                <w:bCs/>
                <w:spacing w:val="-2"/>
              </w:rPr>
              <w:t xml:space="preserve">) </w:t>
            </w:r>
            <w:r w:rsidRPr="00540CB3">
              <w:rPr>
                <w:b/>
                <w:spacing w:val="-2"/>
              </w:rPr>
              <w:t>a saldo indikátoru důvěry v</w:t>
            </w:r>
            <w:r>
              <w:rPr>
                <w:b/>
                <w:spacing w:val="-2"/>
              </w:rPr>
              <w:t> </w:t>
            </w:r>
            <w:r w:rsidRPr="00540CB3">
              <w:rPr>
                <w:b/>
                <w:spacing w:val="-2"/>
              </w:rPr>
              <w:t>průmyslu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BE0EF9" w:rsidP="00840293">
            <w:pPr>
              <w:spacing w:after="0"/>
              <w:rPr>
                <w:color w:val="0D0D0D" w:themeColor="text1" w:themeTint="F2"/>
                <w:spacing w:val="-4"/>
              </w:rPr>
            </w:pPr>
            <w:r w:rsidRPr="00BE0EF9">
              <w:rPr>
                <w:noProof/>
                <w:color w:val="0D0D0D" w:themeColor="text1" w:themeTint="F2"/>
                <w:spacing w:val="-4"/>
              </w:rPr>
              <w:drawing>
                <wp:inline distT="0" distB="0" distL="0" distR="0">
                  <wp:extent cx="4772801" cy="3553200"/>
                  <wp:effectExtent l="0" t="0" r="0" b="0"/>
                  <wp:docPr id="1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D82EF1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535F78">
              <w:rPr>
                <w:rFonts w:cs="Arial"/>
                <w:sz w:val="14"/>
                <w:szCs w:val="14"/>
              </w:rPr>
              <w:t xml:space="preserve">Zdroj: </w:t>
            </w:r>
            <w:r>
              <w:rPr>
                <w:rFonts w:cs="Arial"/>
                <w:sz w:val="14"/>
                <w:szCs w:val="14"/>
              </w:rPr>
              <w:t>ČSÚ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Default="00F93688" w:rsidP="00793D78">
            <w:pPr>
              <w:pStyle w:val="Marginlie"/>
            </w:pPr>
            <w:r>
              <w:t>Saldo indikátoru důvěry v průmyslu letos mírně klesalo, nadále však zůstávalo v pozitivním pásmu.</w:t>
            </w: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Default="00F93688" w:rsidP="00793D78">
            <w:pPr>
              <w:pStyle w:val="Marginlie"/>
            </w:pPr>
          </w:p>
          <w:p w:rsidR="00F93688" w:rsidRPr="009110F7" w:rsidRDefault="00F93688" w:rsidP="00793D78">
            <w:pPr>
              <w:pStyle w:val="Marginlie"/>
            </w:pPr>
            <w:r>
              <w:t xml:space="preserve">Hlavní bariérou růstu v průmyslu nadále zůstává nedostatek zaměstnanců. Role nedostatečné poptávky byla nejslabší od konce konjunktury minulé dekády.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7532B7" w:rsidRDefault="00F93688" w:rsidP="00793D78">
            <w:pPr>
              <w:spacing w:after="200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Se zvolňováním růstu výkonových ukazatelů průmyslu korespondoval i vývoj s</w:t>
            </w:r>
            <w:r>
              <w:rPr>
                <w:rFonts w:cs="Arial"/>
                <w:color w:val="0D0D0D" w:themeColor="text1" w:themeTint="F2"/>
                <w:spacing w:val="-4"/>
              </w:rPr>
              <w:t>ezónně očištěného salda indikátoru důvěry (dle hodnocení manažerů průmyslových podniků). To v průběhu roku 2018 mírně klesalo a v červenci dosáhlo nejnižší hodnoty za posledních třináct měsíců. Přesto se udržovalo v pozitivním pásmu (v srpnu +2,3</w:t>
            </w:r>
            <w:r w:rsidR="004331C3">
              <w:rPr>
                <w:rFonts w:cs="Arial"/>
                <w:color w:val="0D0D0D" w:themeColor="text1" w:themeTint="F2"/>
                <w:spacing w:val="-4"/>
              </w:rPr>
              <w:t> p. </w:t>
            </w:r>
            <w:proofErr w:type="spellStart"/>
            <w:r w:rsidR="004331C3"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 w:rsidR="004331C3">
              <w:rPr>
                <w:rFonts w:cs="Arial"/>
                <w:color w:val="0D0D0D" w:themeColor="text1" w:themeTint="F2"/>
                <w:spacing w:val="-4"/>
              </w:rPr>
              <w:t>.</w:t>
            </w:r>
            <w:r>
              <w:rPr>
                <w:rFonts w:cs="Arial"/>
                <w:color w:val="0D0D0D" w:themeColor="text1" w:themeTint="F2"/>
                <w:spacing w:val="-4"/>
              </w:rPr>
              <w:t>). Hlavní bariérou růstu průmyslu</w:t>
            </w:r>
            <w:r w:rsidR="00E47854">
              <w:rPr>
                <w:rStyle w:val="Znakapoznpodarou"/>
                <w:color w:val="0D0D0D" w:themeColor="text1" w:themeTint="F2"/>
                <w:spacing w:val="-4"/>
              </w:rPr>
              <w:footnoteReference w:id="6"/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zůstává již od poloviny loňského roku nedostatek zaměstnanců. Na počátku 3. čtvrtletí 2018 ho zmiňovalo 44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podniků – nejvíce v historii sledování. Ne</w:t>
            </w:r>
            <w:r w:rsidR="00E47854">
              <w:rPr>
                <w:rFonts w:cs="Arial"/>
                <w:color w:val="0D0D0D" w:themeColor="text1" w:themeTint="F2"/>
                <w:spacing w:val="-4"/>
              </w:rPr>
              <w:t>dostatečná poptávka omezovala 32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podniků, což bylo nejméně od konjunktury minulé dekády. Současné využití produkční</w:t>
            </w:r>
            <w:r w:rsidR="009D07A9">
              <w:rPr>
                <w:rFonts w:cs="Arial"/>
                <w:color w:val="0D0D0D" w:themeColor="text1" w:themeTint="F2"/>
                <w:spacing w:val="-4"/>
              </w:rPr>
              <w:t>ch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kapacit průmyslu přesáhlo 86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(nejvyšší hodnota po roce 2009). Krátkodobá očekávání vývoje zaměstnanosti zůstala na počátku 3. čtvrtletí srovnatelná se stejným obdobím loňského roku. Podíl podniků očekávajících nárůst zaměstnanosti byl ve srovnání s podniky plánujícími redukci o 8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p.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b. </w:t>
            </w:r>
            <w:proofErr w:type="gramStart"/>
            <w:r>
              <w:rPr>
                <w:rFonts w:cs="Arial"/>
                <w:color w:val="0D0D0D" w:themeColor="text1" w:themeTint="F2"/>
                <w:spacing w:val="-4"/>
              </w:rPr>
              <w:t>vyšší</w:t>
            </w:r>
            <w:proofErr w:type="gramEnd"/>
            <w:r>
              <w:rPr>
                <w:rFonts w:cs="Arial"/>
                <w:color w:val="0D0D0D" w:themeColor="text1" w:themeTint="F2"/>
                <w:spacing w:val="-4"/>
              </w:rPr>
              <w:t>. Evidenční počet zaměstnanců se dle podnikových sta</w:t>
            </w:r>
            <w:r w:rsidR="00C72984">
              <w:rPr>
                <w:rFonts w:cs="Arial"/>
                <w:color w:val="0D0D0D" w:themeColor="text1" w:themeTint="F2"/>
                <w:spacing w:val="-4"/>
              </w:rPr>
              <w:t>tistik v 1. </w:t>
            </w:r>
            <w:r w:rsidR="00BE0EF9">
              <w:rPr>
                <w:rFonts w:cs="Arial"/>
                <w:color w:val="0D0D0D" w:themeColor="text1" w:themeTint="F2"/>
                <w:spacing w:val="-4"/>
              </w:rPr>
              <w:t>pololetí meziročně navýšil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o 1,6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>. Tempo růstu ve srovnání s rokem 2017 výrazně nepolevovalo. K vyššímu počtu zaměstnanců (+20 tis.) téměř třetinou přispěl automobilový průmysl. Relativně nejvíce lid</w:t>
            </w:r>
            <w:r w:rsidR="00BE0EF9">
              <w:rPr>
                <w:rFonts w:cs="Arial"/>
                <w:color w:val="0D0D0D" w:themeColor="text1" w:themeTint="F2"/>
                <w:spacing w:val="-4"/>
              </w:rPr>
              <w:t>í ale přibylo v energetice (+6,7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>), více než 5% růst si připsaly také chemický a farmaceutický průmysl. Růst průměrných mezd v průmyslu na rozdíl od ostatních odvětví letos výrazně nezrychloval. Ve většině průmyslových oborů se pohyboval mezi 7 až 9</w:t>
            </w:r>
            <w:r w:rsidR="007B0E83">
              <w:rPr>
                <w:rFonts w:cs="Arial"/>
                <w:color w:val="0D0D0D" w:themeColor="text1" w:themeTint="F2"/>
                <w:spacing w:val="-4"/>
              </w:rPr>
              <w:t> %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Výrazné rozdíly ale přetrvávaly v dosažené úrovni mezd. Ta byla v energetice 2,7krát </w:t>
            </w:r>
            <w:r w:rsidR="00C72984">
              <w:rPr>
                <w:rFonts w:cs="Arial"/>
                <w:color w:val="0D0D0D" w:themeColor="text1" w:themeTint="F2"/>
                <w:spacing w:val="-4"/>
              </w:rPr>
              <w:t>vyšší než v oděvním průmyslu (s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hrubou měsíční mzdou </w:t>
            </w:r>
            <w:r w:rsidR="00BE0EF9">
              <w:rPr>
                <w:rFonts w:cs="Arial"/>
                <w:color w:val="0D0D0D" w:themeColor="text1" w:themeTint="F2"/>
                <w:spacing w:val="-4"/>
              </w:rPr>
              <w:t xml:space="preserve">necelých </w:t>
            </w:r>
            <w:r>
              <w:rPr>
                <w:rFonts w:cs="Arial"/>
                <w:color w:val="0D0D0D" w:themeColor="text1" w:themeTint="F2"/>
                <w:spacing w:val="-4"/>
              </w:rPr>
              <w:t>17 tis. korun).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Default="00F93688" w:rsidP="00793D78">
            <w:pPr>
              <w:pStyle w:val="Marginlie"/>
              <w:rPr>
                <w:spacing w:val="-4"/>
              </w:rPr>
            </w:pPr>
            <w:r w:rsidRPr="00F30C65">
              <w:rPr>
                <w:spacing w:val="-4"/>
              </w:rPr>
              <w:t>Stavební produkce vzrostla v 1. pololetí o téměř 9</w:t>
            </w:r>
            <w:r w:rsidR="007B0E83">
              <w:rPr>
                <w:spacing w:val="-4"/>
              </w:rPr>
              <w:t> %</w:t>
            </w:r>
            <w:r w:rsidRPr="00F30C65">
              <w:rPr>
                <w:spacing w:val="-4"/>
              </w:rPr>
              <w:t xml:space="preserve">. Pozitivní obrat nastal v inženýrském stavitelství. Vedle příznivého počasí se projevilo i zrychlené čerpání financí z rozpočtu </w:t>
            </w:r>
            <w:r w:rsidRPr="00F30C65">
              <w:rPr>
                <w:spacing w:val="-4"/>
              </w:rPr>
              <w:lastRenderedPageBreak/>
              <w:t>EU.</w:t>
            </w:r>
          </w:p>
          <w:p w:rsidR="00F93688" w:rsidRDefault="00F93688" w:rsidP="00793D78">
            <w:pPr>
              <w:pStyle w:val="Marginlie"/>
              <w:rPr>
                <w:spacing w:val="-4"/>
              </w:rPr>
            </w:pPr>
          </w:p>
          <w:p w:rsidR="00F93688" w:rsidRDefault="00F93688" w:rsidP="00793D78">
            <w:pPr>
              <w:pStyle w:val="Marginlie"/>
              <w:rPr>
                <w:spacing w:val="-4"/>
              </w:rPr>
            </w:pPr>
          </w:p>
          <w:p w:rsidR="00F93688" w:rsidRPr="00F30C65" w:rsidRDefault="00F93688" w:rsidP="00793D78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 xml:space="preserve">Bytová výstavba mírně ožívala. Počet zahájených bytů vzrostl v drtivé většině krajů. V Praze však výrazně zaostával za celkovým přírůstkem obyvatel.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93D7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7A5E65">
            <w:pPr>
              <w:spacing w:after="20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Stavebnictví v 1. pololetí výrazně ožilo. Zatímco produkce</w:t>
            </w:r>
            <w:r>
              <w:rPr>
                <w:rStyle w:val="Znakapoznpodarou"/>
                <w:spacing w:val="-4"/>
              </w:rPr>
              <w:footnoteReference w:id="7"/>
            </w:r>
            <w:r>
              <w:rPr>
                <w:color w:val="0D0D0D" w:themeColor="text1" w:themeTint="F2"/>
                <w:spacing w:val="-4"/>
              </w:rPr>
              <w:t xml:space="preserve"> ve váhově dominantním segmentu pozemního stavitelství již rostla po celý loňský rok, v inženýrském stavitelství přišel rozhodující obrat až s příchodem </w:t>
            </w:r>
            <w:r w:rsidR="00420880">
              <w:rPr>
                <w:color w:val="0D0D0D" w:themeColor="text1" w:themeTint="F2"/>
                <w:spacing w:val="-4"/>
              </w:rPr>
              <w:t>roku letošního</w:t>
            </w:r>
            <w:r>
              <w:rPr>
                <w:color w:val="0D0D0D" w:themeColor="text1" w:themeTint="F2"/>
                <w:spacing w:val="-4"/>
              </w:rPr>
              <w:t xml:space="preserve"> (v 1. čtvrtletí zde produkce meziročně posílila o téměř 7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>
              <w:rPr>
                <w:color w:val="0D0D0D" w:themeColor="text1" w:themeTint="F2"/>
                <w:spacing w:val="-4"/>
              </w:rPr>
              <w:t>). Za 1. pololetí vzrostl výkon celého stavebnictví o 8,9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>
              <w:rPr>
                <w:color w:val="0D0D0D" w:themeColor="text1" w:themeTint="F2"/>
                <w:spacing w:val="-4"/>
              </w:rPr>
              <w:t>, téměř z 90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>
              <w:rPr>
                <w:color w:val="0D0D0D" w:themeColor="text1" w:themeTint="F2"/>
                <w:spacing w:val="-4"/>
              </w:rPr>
              <w:t xml:space="preserve"> zásluhou pozemního stavitelství. Ve 2. čtvrtletí byla poprvé překonána </w:t>
            </w:r>
            <w:r>
              <w:rPr>
                <w:color w:val="0D0D0D" w:themeColor="text1" w:themeTint="F2"/>
                <w:spacing w:val="-4"/>
              </w:rPr>
              <w:lastRenderedPageBreak/>
              <w:t>úroveň produkce z roku 2015 (lokál</w:t>
            </w:r>
            <w:r w:rsidR="002E20C7">
              <w:rPr>
                <w:color w:val="0D0D0D" w:themeColor="text1" w:themeTint="F2"/>
                <w:spacing w:val="-4"/>
              </w:rPr>
              <w:t>ní maximum ve 2. čtvrtletí), kdy</w:t>
            </w:r>
            <w:r>
              <w:rPr>
                <w:color w:val="0D0D0D" w:themeColor="text1" w:themeTint="F2"/>
                <w:spacing w:val="-4"/>
              </w:rPr>
              <w:t xml:space="preserve"> celé odvětví dostalo výrazný </w:t>
            </w:r>
            <w:r w:rsidR="00420880">
              <w:rPr>
                <w:color w:val="0D0D0D" w:themeColor="text1" w:themeTint="F2"/>
                <w:spacing w:val="-4"/>
              </w:rPr>
              <w:t xml:space="preserve">impulz </w:t>
            </w:r>
            <w:r>
              <w:rPr>
                <w:color w:val="0D0D0D" w:themeColor="text1" w:themeTint="F2"/>
                <w:spacing w:val="-4"/>
              </w:rPr>
              <w:t>vlivem dočerpávání prostředků z evropských fondů na sklonku programového období. Ve srovnání s absolutním maximem z konjunkturního roku 2008 (1. čtvrtletí) však stavebnictví stále zhruba o šestinu zaostávalo. V letošním výkonu stavebnictví se vedle příznivého počasí promítá i zrychlení v čerpání prostředků z fondů EU. Pozitivně působilo i oživení bytové výstavby. V 1. pololetí byla v Česku zahájena výstavba 16,6 tis. bytů. Jejich počet byl meziročně o desetinu vyšší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8"/>
            </w:r>
            <w:r>
              <w:rPr>
                <w:color w:val="0D0D0D" w:themeColor="text1" w:themeTint="F2"/>
                <w:spacing w:val="-4"/>
              </w:rPr>
              <w:t>. Bytů se zahajovalo více ve všech druzích staveb vyjma domovů pro seniory, kde ovšem nízká intenzita výstavby přetrvává již více než celou dekádu. K vyššímu počtu bytů přispěla nejvíce výstavba ve Středočeském kraji a na Vysočině. Zahájených bytů ale přibylo v drtivé většině krajů (vyjma Plzeňského a Olomouckého). Přestože v Praze se výstavba zvyšoval</w:t>
            </w:r>
            <w:r w:rsidR="007A5E65">
              <w:rPr>
                <w:color w:val="0D0D0D" w:themeColor="text1" w:themeTint="F2"/>
                <w:spacing w:val="-4"/>
              </w:rPr>
              <w:t>a</w:t>
            </w:r>
            <w:r>
              <w:rPr>
                <w:color w:val="0D0D0D" w:themeColor="text1" w:themeTint="F2"/>
                <w:spacing w:val="-4"/>
              </w:rPr>
              <w:t xml:space="preserve"> již druhý</w:t>
            </w:r>
            <w:r w:rsidR="00420880">
              <w:rPr>
                <w:color w:val="0D0D0D" w:themeColor="text1" w:themeTint="F2"/>
                <w:spacing w:val="-4"/>
              </w:rPr>
              <w:t>m</w:t>
            </w:r>
            <w:r>
              <w:rPr>
                <w:color w:val="0D0D0D" w:themeColor="text1" w:themeTint="F2"/>
                <w:spacing w:val="-4"/>
              </w:rPr>
              <w:t xml:space="preserve"> rokem v řadě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9"/>
            </w:r>
            <w:r>
              <w:rPr>
                <w:color w:val="0D0D0D" w:themeColor="text1" w:themeTint="F2"/>
                <w:spacing w:val="-4"/>
              </w:rPr>
              <w:t xml:space="preserve">, počet zahájených bytů v 1. pololetí (1,8 tis.) </w:t>
            </w:r>
            <w:r w:rsidR="00420880">
              <w:rPr>
                <w:color w:val="0D0D0D" w:themeColor="text1" w:themeTint="F2"/>
                <w:spacing w:val="-4"/>
              </w:rPr>
              <w:t xml:space="preserve">výrazně </w:t>
            </w:r>
            <w:r>
              <w:rPr>
                <w:color w:val="0D0D0D" w:themeColor="text1" w:themeTint="F2"/>
                <w:spacing w:val="-4"/>
              </w:rPr>
              <w:t xml:space="preserve">zaostal </w:t>
            </w:r>
            <w:r w:rsidR="00420880">
              <w:rPr>
                <w:color w:val="0D0D0D" w:themeColor="text1" w:themeTint="F2"/>
                <w:spacing w:val="-4"/>
              </w:rPr>
              <w:t xml:space="preserve">za </w:t>
            </w:r>
            <w:r>
              <w:rPr>
                <w:color w:val="0D0D0D" w:themeColor="text1" w:themeTint="F2"/>
                <w:spacing w:val="-4"/>
              </w:rPr>
              <w:t>celkovým přírůstkem obyvatel (6,6 tis.). Rostoucí napětí na rezidenčním trhu se v metropoli odráží v prudkém růstu realizovaných cen nových bytů.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Default="00F93688" w:rsidP="00F93688">
            <w:pPr>
              <w:pStyle w:val="Textpoznpodarou"/>
              <w:rPr>
                <w:bCs/>
              </w:rPr>
            </w:pPr>
            <w:r>
              <w:rPr>
                <w:b/>
              </w:rPr>
              <w:t xml:space="preserve">Graf </w:t>
            </w:r>
            <w:proofErr w:type="gramStart"/>
            <w:r>
              <w:rPr>
                <w:b/>
              </w:rPr>
              <w:t>č. 7  Stavební</w:t>
            </w:r>
            <w:proofErr w:type="gramEnd"/>
            <w:r>
              <w:rPr>
                <w:b/>
              </w:rPr>
              <w:t xml:space="preserve"> produkce*, hodnota nových zakázek </w:t>
            </w:r>
            <w:r>
              <w:rPr>
                <w:bCs/>
              </w:rPr>
              <w:t>(</w:t>
            </w:r>
            <w:r w:rsidRPr="00540CB3">
              <w:rPr>
                <w:spacing w:val="-2"/>
              </w:rPr>
              <w:t>meziročně</w:t>
            </w:r>
            <w:r w:rsidRPr="00540CB3">
              <w:rPr>
                <w:bCs/>
                <w:spacing w:val="-2"/>
              </w:rPr>
              <w:t xml:space="preserve"> v</w:t>
            </w:r>
            <w:r w:rsidR="007B0E83">
              <w:rPr>
                <w:bCs/>
                <w:spacing w:val="-2"/>
              </w:rPr>
              <w:t> %</w:t>
            </w:r>
            <w:r w:rsidRPr="00540CB3">
              <w:rPr>
                <w:bCs/>
                <w:spacing w:val="-2"/>
              </w:rPr>
              <w:t>)</w:t>
            </w:r>
            <w:r>
              <w:rPr>
                <w:bCs/>
              </w:rPr>
              <w:t xml:space="preserve"> </w:t>
            </w:r>
          </w:p>
          <w:p w:rsidR="00F93688" w:rsidRPr="009110F7" w:rsidRDefault="00F93688" w:rsidP="00F93688">
            <w:pPr>
              <w:spacing w:after="0"/>
              <w:rPr>
                <w:color w:val="0D0D0D" w:themeColor="text1" w:themeTint="F2"/>
                <w:spacing w:val="-4"/>
              </w:rPr>
            </w:pPr>
            <w:r w:rsidRPr="006B4FFB">
              <w:rPr>
                <w:b/>
              </w:rPr>
              <w:t>a</w:t>
            </w:r>
            <w:r>
              <w:rPr>
                <w:b/>
              </w:rPr>
              <w:t xml:space="preserve"> saldo indikátoru důvěry ve stavebnictví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5F114F">
            <w:pPr>
              <w:spacing w:after="0"/>
              <w:rPr>
                <w:color w:val="0D0D0D" w:themeColor="text1" w:themeTint="F2"/>
                <w:spacing w:val="-4"/>
              </w:rPr>
            </w:pPr>
            <w:r w:rsidRPr="005F114F">
              <w:rPr>
                <w:noProof/>
                <w:color w:val="0D0D0D" w:themeColor="text1" w:themeTint="F2"/>
                <w:spacing w:val="-4"/>
              </w:rPr>
              <w:drawing>
                <wp:inline distT="0" distB="0" distL="0" distR="0">
                  <wp:extent cx="4737100" cy="3371850"/>
                  <wp:effectExtent l="0" t="0" r="0" b="0"/>
                  <wp:docPr id="3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D82EF1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535F78">
              <w:rPr>
                <w:rFonts w:cs="Arial"/>
                <w:sz w:val="14"/>
                <w:szCs w:val="14"/>
              </w:rPr>
              <w:t xml:space="preserve">Zdroj: </w:t>
            </w:r>
            <w:r>
              <w:rPr>
                <w:rFonts w:cs="Arial"/>
                <w:sz w:val="14"/>
                <w:szCs w:val="14"/>
              </w:rPr>
              <w:t>ČSÚ</w:t>
            </w:r>
          </w:p>
        </w:tc>
      </w:tr>
      <w:tr w:rsidR="00F93688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Default="00F93688" w:rsidP="00F93688">
            <w:pPr>
              <w:pStyle w:val="Marginlie"/>
            </w:pPr>
            <w:r>
              <w:t xml:space="preserve">Příliv nových zakázek výrazně zrychlil – jak v pozemním, tak </w:t>
            </w:r>
            <w:r w:rsidR="00634C57">
              <w:t>v </w:t>
            </w:r>
            <w:r>
              <w:t>inženýrském stavitelství.</w:t>
            </w:r>
          </w:p>
          <w:p w:rsidR="00F93688" w:rsidRDefault="00F93688" w:rsidP="00F93688">
            <w:pPr>
              <w:pStyle w:val="Marginlie"/>
            </w:pPr>
          </w:p>
          <w:p w:rsidR="00F93688" w:rsidRDefault="00F93688" w:rsidP="00F93688">
            <w:pPr>
              <w:pStyle w:val="Marginlie"/>
            </w:pPr>
          </w:p>
          <w:p w:rsidR="00F93688" w:rsidRDefault="00F93688" w:rsidP="00F93688">
            <w:pPr>
              <w:pStyle w:val="Marginlie"/>
            </w:pPr>
          </w:p>
          <w:p w:rsidR="00F93688" w:rsidRDefault="00F93688" w:rsidP="00F93688">
            <w:pPr>
              <w:pStyle w:val="Marginlie"/>
            </w:pPr>
          </w:p>
          <w:p w:rsidR="00F93688" w:rsidRPr="009110F7" w:rsidRDefault="00F93688" w:rsidP="00F93688">
            <w:pPr>
              <w:pStyle w:val="Marginlie"/>
            </w:pPr>
            <w:r>
              <w:t>Výkony stavebních podniků jsou stále více limitovány nedostatkem pracovníků.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9110F7" w:rsidRDefault="00F9368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93688" w:rsidRPr="000837CD" w:rsidRDefault="00F93688" w:rsidP="00E47854">
            <w:pPr>
              <w:rPr>
                <w:color w:val="0D0D0D" w:themeColor="text1" w:themeTint="F2"/>
                <w:spacing w:val="-4"/>
              </w:rPr>
            </w:pPr>
            <w:r w:rsidRPr="000837CD">
              <w:rPr>
                <w:color w:val="0D0D0D" w:themeColor="text1" w:themeTint="F2"/>
                <w:spacing w:val="-4"/>
              </w:rPr>
              <w:t>Růst hodnoty nových stavebních zakázek v tuzemsku</w:t>
            </w:r>
            <w:r w:rsidRPr="000837CD">
              <w:rPr>
                <w:rStyle w:val="Znakapoznpodarou"/>
                <w:spacing w:val="-4"/>
                <w:szCs w:val="20"/>
              </w:rPr>
              <w:footnoteReference w:id="10"/>
            </w:r>
            <w:r w:rsidRPr="000837CD">
              <w:rPr>
                <w:color w:val="0D0D0D" w:themeColor="text1" w:themeTint="F2"/>
                <w:spacing w:val="-4"/>
              </w:rPr>
              <w:t xml:space="preserve">, jenž byl patrný po většinu loňského roku, letos akceleroval. Meziročně byl </w:t>
            </w:r>
            <w:r w:rsidR="002E20C7">
              <w:rPr>
                <w:color w:val="0D0D0D" w:themeColor="text1" w:themeTint="F2"/>
                <w:spacing w:val="-4"/>
              </w:rPr>
              <w:t xml:space="preserve">za celé pololetí </w:t>
            </w:r>
            <w:r w:rsidRPr="000837CD">
              <w:rPr>
                <w:color w:val="0D0D0D" w:themeColor="text1" w:themeTint="F2"/>
                <w:spacing w:val="-4"/>
              </w:rPr>
              <w:t>v pozemní</w:t>
            </w:r>
            <w:r w:rsidR="00634C57">
              <w:rPr>
                <w:color w:val="0D0D0D" w:themeColor="text1" w:themeTint="F2"/>
                <w:spacing w:val="-4"/>
              </w:rPr>
              <w:t>m</w:t>
            </w:r>
            <w:r w:rsidRPr="000837CD">
              <w:rPr>
                <w:color w:val="0D0D0D" w:themeColor="text1" w:themeTint="F2"/>
                <w:spacing w:val="-4"/>
              </w:rPr>
              <w:t xml:space="preserve"> stavitelství vyšší o 26,5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 w:rsidRPr="000837CD">
              <w:rPr>
                <w:color w:val="0D0D0D" w:themeColor="text1" w:themeTint="F2"/>
                <w:spacing w:val="-4"/>
              </w:rPr>
              <w:t>, v inženýrském pak o 34</w:t>
            </w:r>
            <w:r w:rsidR="002E20C7">
              <w:rPr>
                <w:color w:val="0D0D0D" w:themeColor="text1" w:themeTint="F2"/>
                <w:spacing w:val="-4"/>
              </w:rPr>
              <w:t>,0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 w:rsidRPr="000837CD">
              <w:rPr>
                <w:color w:val="0D0D0D" w:themeColor="text1" w:themeTint="F2"/>
                <w:spacing w:val="-4"/>
              </w:rPr>
              <w:t>. Pro stavební podniky bylo také p</w:t>
            </w:r>
            <w:r w:rsidR="002E20C7">
              <w:rPr>
                <w:color w:val="0D0D0D" w:themeColor="text1" w:themeTint="F2"/>
                <w:spacing w:val="-4"/>
              </w:rPr>
              <w:t>říznivé, že se postupně rozjížděly</w:t>
            </w:r>
            <w:r w:rsidRPr="000837CD">
              <w:rPr>
                <w:color w:val="0D0D0D" w:themeColor="text1" w:themeTint="F2"/>
                <w:spacing w:val="-4"/>
              </w:rPr>
              <w:t xml:space="preserve"> i realizace větších projektů. Svědčí o tom i navýšení průměrné hodnoty připadajíc</w:t>
            </w:r>
            <w:r>
              <w:rPr>
                <w:color w:val="0D0D0D" w:themeColor="text1" w:themeTint="F2"/>
                <w:spacing w:val="-4"/>
              </w:rPr>
              <w:t>í</w:t>
            </w:r>
            <w:r w:rsidRPr="000837CD">
              <w:rPr>
                <w:color w:val="0D0D0D" w:themeColor="text1" w:themeTint="F2"/>
                <w:spacing w:val="-4"/>
              </w:rPr>
              <w:t xml:space="preserve"> na nově uzavřenou zakázku (4,3 mil. korun,</w:t>
            </w:r>
            <w:r w:rsidR="00C72984">
              <w:rPr>
                <w:color w:val="0D0D0D" w:themeColor="text1" w:themeTint="F2"/>
                <w:spacing w:val="-4"/>
              </w:rPr>
              <w:t xml:space="preserve"> meziročně o více než 1</w:t>
            </w:r>
            <w:r w:rsidR="00C72984"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 xml:space="preserve">mil.). </w:t>
            </w:r>
            <w:r w:rsidRPr="000837CD">
              <w:rPr>
                <w:color w:val="0D0D0D" w:themeColor="text1" w:themeTint="F2"/>
                <w:spacing w:val="-4"/>
              </w:rPr>
              <w:t xml:space="preserve">Vývoj zakázek mohl doznat i vyšší dynamiky, nebýt skutečnosti, že mnoho stavebních firem se v současnosti nachází na hranici produkčních schopností. Z velké části k tomu přispívá nedostatek jak nekvalifikovaných pracovníků, tak i technických </w:t>
            </w:r>
            <w:r>
              <w:rPr>
                <w:color w:val="0D0D0D" w:themeColor="text1" w:themeTint="F2"/>
                <w:spacing w:val="-4"/>
              </w:rPr>
              <w:t>a</w:t>
            </w:r>
            <w:r w:rsidRPr="000837CD">
              <w:rPr>
                <w:color w:val="0D0D0D" w:themeColor="text1" w:themeTint="F2"/>
                <w:spacing w:val="-4"/>
              </w:rPr>
              <w:t xml:space="preserve"> odborných pracovníků či specialistů. Na počátku 3. čtvrtletí 2018 </w:t>
            </w:r>
            <w:r w:rsidR="00634C57" w:rsidRPr="000837CD">
              <w:rPr>
                <w:color w:val="0D0D0D" w:themeColor="text1" w:themeTint="F2"/>
                <w:spacing w:val="-4"/>
              </w:rPr>
              <w:t>považoval</w:t>
            </w:r>
            <w:r w:rsidR="00634C57">
              <w:rPr>
                <w:color w:val="0D0D0D" w:themeColor="text1" w:themeTint="F2"/>
                <w:spacing w:val="-4"/>
              </w:rPr>
              <w:t>o</w:t>
            </w:r>
            <w:r w:rsidR="00634C57" w:rsidRPr="000837CD">
              <w:rPr>
                <w:color w:val="0D0D0D" w:themeColor="text1" w:themeTint="F2"/>
                <w:spacing w:val="-4"/>
              </w:rPr>
              <w:t xml:space="preserve"> </w:t>
            </w:r>
            <w:r w:rsidRPr="000837CD">
              <w:rPr>
                <w:color w:val="0D0D0D" w:themeColor="text1" w:themeTint="F2"/>
                <w:spacing w:val="-4"/>
              </w:rPr>
              <w:t>nedostatek pracovníků za hlavní bariéru růstu již více než 30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 w:rsidRPr="000837CD">
              <w:rPr>
                <w:color w:val="0D0D0D" w:themeColor="text1" w:themeTint="F2"/>
                <w:spacing w:val="-4"/>
              </w:rPr>
              <w:t xml:space="preserve"> stavebních podniků (o rok dříve jen 18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 w:rsidRPr="000837CD">
              <w:rPr>
                <w:color w:val="0D0D0D" w:themeColor="text1" w:themeTint="F2"/>
                <w:spacing w:val="-4"/>
              </w:rPr>
              <w:t xml:space="preserve">). Paralelně s tím výrazně klesal vliv nedostatečné poptávky. </w:t>
            </w:r>
            <w:r w:rsidRPr="000837CD">
              <w:rPr>
                <w:color w:val="0D0D0D" w:themeColor="text1" w:themeTint="F2"/>
                <w:spacing w:val="-4"/>
              </w:rPr>
              <w:lastRenderedPageBreak/>
              <w:t>Zatímco v říjnu 2017 ji jako bariéru růstu uvádělo 51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 w:rsidRPr="000837CD">
              <w:rPr>
                <w:color w:val="0D0D0D" w:themeColor="text1" w:themeTint="F2"/>
                <w:spacing w:val="-4"/>
              </w:rPr>
              <w:t xml:space="preserve"> podniků, letos v červenci již jen 35</w:t>
            </w:r>
            <w:r w:rsidR="007B0E83">
              <w:rPr>
                <w:color w:val="0D0D0D" w:themeColor="text1" w:themeTint="F2"/>
                <w:spacing w:val="-4"/>
              </w:rPr>
              <w:t> %</w:t>
            </w:r>
            <w:r w:rsidRPr="000837CD">
              <w:rPr>
                <w:color w:val="0D0D0D" w:themeColor="text1" w:themeTint="F2"/>
                <w:spacing w:val="-4"/>
              </w:rPr>
              <w:t xml:space="preserve">. </w:t>
            </w:r>
            <w:r>
              <w:rPr>
                <w:color w:val="0D0D0D" w:themeColor="text1" w:themeTint="F2"/>
                <w:spacing w:val="-4"/>
              </w:rPr>
              <w:t>Tomu odpovídal i</w:t>
            </w:r>
            <w:r w:rsidRPr="000837CD">
              <w:rPr>
                <w:color w:val="0D0D0D" w:themeColor="text1" w:themeTint="F2"/>
                <w:spacing w:val="-4"/>
              </w:rPr>
              <w:t> vývoj s</w:t>
            </w:r>
            <w:r w:rsidRPr="000837CD">
              <w:rPr>
                <w:rFonts w:cs="Arial"/>
                <w:color w:val="0D0D0D" w:themeColor="text1" w:themeTint="F2"/>
                <w:spacing w:val="-4"/>
              </w:rPr>
              <w:t xml:space="preserve">ezónně očištěného salda indikátoru důvěry. Jeho hodnota vystoupala v letošním srpnu nejvýše za posledních deset </w:t>
            </w:r>
            <w:proofErr w:type="gramStart"/>
            <w:r w:rsidRPr="000837CD">
              <w:rPr>
                <w:rFonts w:cs="Arial"/>
                <w:color w:val="0D0D0D" w:themeColor="text1" w:themeTint="F2"/>
                <w:spacing w:val="-4"/>
              </w:rPr>
              <w:t>let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634C57" w:rsidRPr="000837CD">
              <w:rPr>
                <w:rFonts w:cs="Arial"/>
                <w:color w:val="0D0D0D" w:themeColor="text1" w:themeTint="F2"/>
                <w:spacing w:val="-4"/>
              </w:rPr>
              <w:t>(</w:t>
            </w:r>
            <w:r w:rsidR="00634C57">
              <w:rPr>
                <w:rFonts w:cs="Arial"/>
                <w:color w:val="0D0D0D" w:themeColor="text1" w:themeTint="F2"/>
                <w:spacing w:val="-4"/>
              </w:rPr>
              <w:t>–</w:t>
            </w:r>
            <w:r w:rsidRPr="000837CD">
              <w:rPr>
                <w:rFonts w:cs="Arial"/>
                <w:color w:val="0D0D0D" w:themeColor="text1" w:themeTint="F2"/>
                <w:spacing w:val="-4"/>
              </w:rPr>
              <w:t>2,0</w:t>
            </w:r>
            <w:proofErr w:type="gramEnd"/>
            <w:r w:rsidRPr="000837CD">
              <w:rPr>
                <w:color w:val="0D0D0D" w:themeColor="text1" w:themeTint="F2"/>
                <w:spacing w:val="-4"/>
              </w:rPr>
              <w:t> </w:t>
            </w:r>
            <w:r w:rsidRPr="000837CD">
              <w:rPr>
                <w:rFonts w:cs="Arial"/>
                <w:color w:val="0D0D0D" w:themeColor="text1" w:themeTint="F2"/>
                <w:spacing w:val="-4"/>
              </w:rPr>
              <w:t>bodu).</w:t>
            </w:r>
          </w:p>
        </w:tc>
      </w:tr>
      <w:tr w:rsidR="000C13A2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2E20C7">
            <w:pPr>
              <w:pStyle w:val="Marginlie"/>
            </w:pPr>
            <w:r>
              <w:lastRenderedPageBreak/>
              <w:t>Tržby ve vybraných službách pokračovaly již více než rok ve svižném růstu. Přispívaly k tomu především doprava a skladování.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2E20C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2E20C7">
            <w:pPr>
              <w:rPr>
                <w:color w:val="0D0D0D" w:themeColor="text1" w:themeTint="F2"/>
                <w:spacing w:val="-4"/>
              </w:rPr>
            </w:pPr>
            <w:r>
              <w:t xml:space="preserve">Rovněž terciárnímu sektoru ekonomiky se letos dařilo. </w:t>
            </w:r>
            <w:r>
              <w:rPr>
                <w:spacing w:val="-4"/>
              </w:rPr>
              <w:t>Tržby</w:t>
            </w:r>
            <w:r w:rsidRPr="00E476F6">
              <w:rPr>
                <w:spacing w:val="-4"/>
              </w:rPr>
              <w:t xml:space="preserve"> </w:t>
            </w:r>
            <w:r w:rsidRPr="00E476F6">
              <w:rPr>
                <w:color w:val="0D0D0D" w:themeColor="text1" w:themeTint="F2"/>
                <w:spacing w:val="-4"/>
              </w:rPr>
              <w:t>ve vybraných službách</w:t>
            </w:r>
            <w:r w:rsidRPr="00E476F6">
              <w:rPr>
                <w:color w:val="0D0D0D" w:themeColor="text1" w:themeTint="F2"/>
                <w:spacing w:val="-4"/>
                <w:vertAlign w:val="superscript"/>
              </w:rPr>
              <w:footnoteReference w:id="11"/>
            </w:r>
            <w:r>
              <w:rPr>
                <w:color w:val="0D0D0D" w:themeColor="text1" w:themeTint="F2"/>
                <w:spacing w:val="-4"/>
              </w:rPr>
              <w:t xml:space="preserve"> pokračovaly již více než rok ve svižném růstu. Navzdory vysoké loňské základně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2"/>
            </w:r>
            <w:r>
              <w:rPr>
                <w:color w:val="0D0D0D" w:themeColor="text1" w:themeTint="F2"/>
                <w:spacing w:val="-4"/>
              </w:rPr>
              <w:t xml:space="preserve"> posílily v 1. pololetí o 3,6 %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3"/>
            </w:r>
            <w:r>
              <w:rPr>
                <w:color w:val="0D0D0D" w:themeColor="text1" w:themeTint="F2"/>
                <w:spacing w:val="-4"/>
              </w:rPr>
              <w:t xml:space="preserve">. Pozitivní bylo, že i přes značnou různorodost celého segmentu služeb zaznamenala letos růst drtivá většina jeho dílčích odvětví. Z hlavních odvětví v tomto směru vybočovaly pouze </w:t>
            </w:r>
            <w:r w:rsidRPr="006F624B">
              <w:rPr>
                <w:color w:val="0D0D0D" w:themeColor="text1" w:themeTint="F2"/>
                <w:spacing w:val="-2"/>
              </w:rPr>
              <w:t>činnost</w:t>
            </w:r>
            <w:r>
              <w:rPr>
                <w:color w:val="0D0D0D" w:themeColor="text1" w:themeTint="F2"/>
                <w:spacing w:val="-2"/>
              </w:rPr>
              <w:t>i</w:t>
            </w:r>
            <w:r w:rsidRPr="006F624B">
              <w:rPr>
                <w:color w:val="0D0D0D" w:themeColor="text1" w:themeTint="F2"/>
                <w:spacing w:val="-2"/>
              </w:rPr>
              <w:t xml:space="preserve"> v oblasti nemovitostí, kde však mírný pokles </w:t>
            </w:r>
            <w:proofErr w:type="gramStart"/>
            <w:r w:rsidRPr="006F624B">
              <w:rPr>
                <w:color w:val="0D0D0D" w:themeColor="text1" w:themeTint="F2"/>
                <w:spacing w:val="-2"/>
              </w:rPr>
              <w:t>výkonů</w:t>
            </w:r>
            <w:r>
              <w:rPr>
                <w:color w:val="0D0D0D" w:themeColor="text1" w:themeTint="F2"/>
                <w:spacing w:val="-2"/>
              </w:rPr>
              <w:t xml:space="preserve"> (–0,9</w:t>
            </w:r>
            <w:proofErr w:type="gramEnd"/>
            <w:r>
              <w:rPr>
                <w:color w:val="0D0D0D" w:themeColor="text1" w:themeTint="F2"/>
                <w:spacing w:val="-2"/>
              </w:rPr>
              <w:t> %</w:t>
            </w:r>
            <w:r w:rsidRPr="006F624B">
              <w:rPr>
                <w:color w:val="0D0D0D" w:themeColor="text1" w:themeTint="F2"/>
                <w:spacing w:val="-2"/>
              </w:rPr>
              <w:t xml:space="preserve">) </w:t>
            </w:r>
            <w:r>
              <w:rPr>
                <w:color w:val="0D0D0D" w:themeColor="text1" w:themeTint="F2"/>
                <w:spacing w:val="-2"/>
              </w:rPr>
              <w:t>bezprostředně</w:t>
            </w:r>
            <w:r w:rsidRPr="006F624B">
              <w:rPr>
                <w:color w:val="0D0D0D" w:themeColor="text1" w:themeTint="F2"/>
                <w:spacing w:val="-2"/>
              </w:rPr>
              <w:t xml:space="preserve"> nesouvisel s celkovou situací na realitním trhu.</w:t>
            </w:r>
            <w:r>
              <w:rPr>
                <w:color w:val="0D0D0D" w:themeColor="text1" w:themeTint="F2"/>
                <w:spacing w:val="-2"/>
              </w:rPr>
              <w:t xml:space="preserve"> Celkový růst tržeb ve službách byl – podobně jako po celý loňský rok – zásadně ovlivněn dynamickým vývojem v dopravě a skladování. Role tohoto odvětví se v letošním roce ještě zvýraznila, v 1. pololetí přispěl k růstu služeb téměř polovinou. Významnější příspěvek</w:t>
            </w:r>
            <w:r>
              <w:rPr>
                <w:color w:val="0D0D0D" w:themeColor="text1" w:themeTint="F2"/>
                <w:spacing w:val="-4"/>
              </w:rPr>
              <w:t xml:space="preserve"> zajistily také i</w:t>
            </w:r>
            <w:r w:rsidRPr="00406EB0">
              <w:rPr>
                <w:color w:val="0D0D0D" w:themeColor="text1" w:themeTint="F2"/>
                <w:spacing w:val="-4"/>
              </w:rPr>
              <w:t xml:space="preserve">nformační a </w:t>
            </w:r>
            <w:r>
              <w:rPr>
                <w:color w:val="0D0D0D" w:themeColor="text1" w:themeTint="F2"/>
                <w:spacing w:val="-4"/>
              </w:rPr>
              <w:t>komunikační činnosti, role ostatních odvětví služeb byla spíše okrajová.</w:t>
            </w:r>
          </w:p>
        </w:tc>
      </w:tr>
      <w:tr w:rsidR="000C13A2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Default="000C13A2" w:rsidP="000C13A2">
            <w:pPr>
              <w:pStyle w:val="Textpoznpodarou"/>
              <w:rPr>
                <w:b/>
                <w:spacing w:val="-2"/>
              </w:rPr>
            </w:pPr>
            <w:r>
              <w:rPr>
                <w:b/>
              </w:rPr>
              <w:t xml:space="preserve">Graf </w:t>
            </w:r>
            <w:proofErr w:type="gramStart"/>
            <w:r>
              <w:rPr>
                <w:b/>
              </w:rPr>
              <w:t xml:space="preserve">č. 8  </w:t>
            </w:r>
            <w:r>
              <w:rPr>
                <w:b/>
                <w:spacing w:val="-2"/>
              </w:rPr>
              <w:t>Tržby</w:t>
            </w:r>
            <w:proofErr w:type="gramEnd"/>
            <w:r>
              <w:rPr>
                <w:b/>
                <w:spacing w:val="-2"/>
              </w:rPr>
              <w:t xml:space="preserve"> za maloobchod a prodej a opravy motorových vozidel</w:t>
            </w:r>
          </w:p>
          <w:p w:rsidR="000C13A2" w:rsidRPr="008972D2" w:rsidRDefault="000C13A2" w:rsidP="000C13A2">
            <w:pPr>
              <w:spacing w:after="0"/>
              <w:rPr>
                <w:noProof/>
                <w:color w:val="0D0D0D" w:themeColor="text1" w:themeTint="F2"/>
                <w:spacing w:val="-4"/>
              </w:rPr>
            </w:pPr>
            <w:r w:rsidRPr="00E62A33">
              <w:rPr>
                <w:bCs/>
                <w:spacing w:val="-2"/>
              </w:rPr>
              <w:t xml:space="preserve">(reálně, </w:t>
            </w:r>
            <w:r w:rsidRPr="00E62A33">
              <w:rPr>
                <w:rFonts w:cs="Arial"/>
                <w:spacing w:val="-2"/>
              </w:rPr>
              <w:t xml:space="preserve">očištěno od vlivu počtu pracovních dnů, </w:t>
            </w:r>
            <w:r w:rsidRPr="00E62A33">
              <w:rPr>
                <w:spacing w:val="-2"/>
              </w:rPr>
              <w:t>meziročně</w:t>
            </w:r>
            <w:r w:rsidRPr="00E62A33">
              <w:rPr>
                <w:bCs/>
                <w:spacing w:val="-2"/>
              </w:rPr>
              <w:t xml:space="preserve"> v</w:t>
            </w:r>
            <w:r>
              <w:rPr>
                <w:bCs/>
                <w:spacing w:val="-2"/>
              </w:rPr>
              <w:t> %</w:t>
            </w:r>
            <w:r w:rsidRPr="00E62A33">
              <w:rPr>
                <w:bCs/>
                <w:spacing w:val="-2"/>
              </w:rPr>
              <w:t>)</w:t>
            </w:r>
          </w:p>
        </w:tc>
      </w:tr>
      <w:tr w:rsidR="000C13A2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0293">
            <w:pPr>
              <w:spacing w:after="0"/>
              <w:rPr>
                <w:color w:val="0D0D0D" w:themeColor="text1" w:themeTint="F2"/>
                <w:spacing w:val="-4"/>
              </w:rPr>
            </w:pPr>
            <w:r w:rsidRPr="008972D2">
              <w:rPr>
                <w:noProof/>
                <w:color w:val="0D0D0D" w:themeColor="text1" w:themeTint="F2"/>
                <w:spacing w:val="-4"/>
              </w:rPr>
              <w:drawing>
                <wp:inline distT="0" distB="0" distL="0" distR="0">
                  <wp:extent cx="4737100" cy="3568700"/>
                  <wp:effectExtent l="0" t="0" r="6350" b="0"/>
                  <wp:docPr id="1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0C13A2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D35E4">
            <w:pPr>
              <w:rPr>
                <w:color w:val="0D0D0D" w:themeColor="text1" w:themeTint="F2"/>
                <w:spacing w:val="-4"/>
              </w:rPr>
            </w:pPr>
            <w:r w:rsidRPr="00535F78">
              <w:rPr>
                <w:rFonts w:cs="Arial"/>
                <w:sz w:val="14"/>
                <w:szCs w:val="14"/>
              </w:rPr>
              <w:t xml:space="preserve">Zdroj: </w:t>
            </w:r>
            <w:r>
              <w:rPr>
                <w:rFonts w:cs="Arial"/>
                <w:sz w:val="14"/>
                <w:szCs w:val="14"/>
              </w:rPr>
              <w:t>ČSÚ</w:t>
            </w:r>
          </w:p>
        </w:tc>
      </w:tr>
      <w:tr w:rsidR="000C13A2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Default="000C13A2" w:rsidP="008417B5">
            <w:pPr>
              <w:pStyle w:val="Marginlie"/>
            </w:pPr>
            <w:r>
              <w:t>Dynamický růst v dopravě a skladování souvisel s příznivým vývojem průmyslu, obchodu i s rekordní výší zaměstnanosti.</w:t>
            </w:r>
          </w:p>
          <w:p w:rsidR="000C13A2" w:rsidRDefault="000C13A2" w:rsidP="008417B5">
            <w:pPr>
              <w:pStyle w:val="Marginlie"/>
            </w:pPr>
          </w:p>
          <w:p w:rsidR="000C13A2" w:rsidRDefault="000C13A2" w:rsidP="008417B5">
            <w:pPr>
              <w:pStyle w:val="Marginlie"/>
            </w:pPr>
          </w:p>
          <w:p w:rsidR="000C13A2" w:rsidRDefault="000C13A2" w:rsidP="008417B5">
            <w:pPr>
              <w:pStyle w:val="Marginlie"/>
            </w:pPr>
          </w:p>
          <w:p w:rsidR="000C13A2" w:rsidRDefault="000C13A2" w:rsidP="008417B5">
            <w:pPr>
              <w:pStyle w:val="Marginlie"/>
            </w:pPr>
          </w:p>
          <w:p w:rsidR="000C13A2" w:rsidRDefault="000C13A2" w:rsidP="008417B5">
            <w:pPr>
              <w:pStyle w:val="Marginlie"/>
            </w:pPr>
          </w:p>
          <w:p w:rsidR="000C13A2" w:rsidRDefault="000C13A2" w:rsidP="008417B5">
            <w:pPr>
              <w:pStyle w:val="Marginlie"/>
            </w:pPr>
          </w:p>
          <w:p w:rsidR="000C13A2" w:rsidRDefault="000C13A2" w:rsidP="008417B5">
            <w:pPr>
              <w:pStyle w:val="Marginlie"/>
            </w:pPr>
          </w:p>
          <w:p w:rsidR="000C13A2" w:rsidRPr="00C85F0E" w:rsidRDefault="000C13A2" w:rsidP="008417B5">
            <w:pPr>
              <w:pStyle w:val="Marginlie"/>
              <w:rPr>
                <w:spacing w:val="-3"/>
              </w:rPr>
            </w:pPr>
            <w:r w:rsidRPr="00C85F0E">
              <w:rPr>
                <w:spacing w:val="-3"/>
              </w:rPr>
              <w:t>Tempo růstu tržeb výrazně zvolnilo v aktivitách souvisejících</w:t>
            </w:r>
            <w:r>
              <w:rPr>
                <w:spacing w:val="-3"/>
              </w:rPr>
              <w:t xml:space="preserve"> </w:t>
            </w:r>
            <w:r w:rsidRPr="00C85F0E">
              <w:rPr>
                <w:spacing w:val="-3"/>
              </w:rPr>
              <w:t xml:space="preserve">s cestovním ruchem </w:t>
            </w:r>
            <w:r>
              <w:rPr>
                <w:spacing w:val="-3"/>
              </w:rPr>
              <w:t xml:space="preserve">a rovněž </w:t>
            </w:r>
            <w:r w:rsidRPr="00C85F0E">
              <w:rPr>
                <w:spacing w:val="-3"/>
              </w:rPr>
              <w:t xml:space="preserve">v administrativních </w:t>
            </w:r>
            <w:r>
              <w:rPr>
                <w:spacing w:val="-3"/>
              </w:rPr>
              <w:t>a</w:t>
            </w:r>
            <w:r w:rsidRPr="00C85F0E">
              <w:rPr>
                <w:spacing w:val="-3"/>
              </w:rPr>
              <w:t> podpůrných činnostech.</w:t>
            </w:r>
          </w:p>
          <w:p w:rsidR="000C13A2" w:rsidRPr="009110F7" w:rsidRDefault="000C13A2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Default="000C13A2" w:rsidP="00FE48E4">
            <w:pPr>
              <w:spacing w:after="0"/>
              <w:rPr>
                <w:color w:val="0D0D0D" w:themeColor="text1" w:themeTint="F2"/>
                <w:spacing w:val="-2"/>
              </w:rPr>
            </w:pPr>
            <w:r>
              <w:rPr>
                <w:color w:val="0D0D0D" w:themeColor="text1" w:themeTint="F2"/>
                <w:spacing w:val="-4"/>
              </w:rPr>
              <w:t xml:space="preserve">V dopravě a skladování v 1. pololetí tržby vzrostly o 5,8 % (nejvyšším tempem od konce roku 2013). Výkony se navyšovaly v osobní i nákladní dopravě. Ve skladování tržby zrychlily na 9,5 %. Celé odvětví těžilo z dobré kondice průmyslu i obchodu. Rostoucí mobilitu podporoval i rekordní počet pracujících. Výkon v dlouhodobě dynamickém odvětví informačních a komunikačních činností zrychlil (5,1 %, o rok dříve 4,5 %). </w:t>
            </w:r>
            <w:r>
              <w:rPr>
                <w:color w:val="0D0D0D" w:themeColor="text1" w:themeTint="F2"/>
                <w:spacing w:val="-2"/>
              </w:rPr>
              <w:t>N</w:t>
            </w:r>
            <w:r w:rsidRPr="005E4BC9">
              <w:rPr>
                <w:color w:val="0D0D0D" w:themeColor="text1" w:themeTint="F2"/>
                <w:spacing w:val="-2"/>
              </w:rPr>
              <w:t xml:space="preserve">ejvíce </w:t>
            </w:r>
            <w:r>
              <w:rPr>
                <w:color w:val="0D0D0D" w:themeColor="text1" w:themeTint="F2"/>
                <w:spacing w:val="-2"/>
              </w:rPr>
              <w:t>se projevil</w:t>
            </w:r>
            <w:r w:rsidRPr="005E4BC9">
              <w:rPr>
                <w:color w:val="0D0D0D" w:themeColor="text1" w:themeTint="F2"/>
                <w:spacing w:val="-2"/>
              </w:rPr>
              <w:t xml:space="preserve"> vliv činností v oblasti IT (programování, správa počítačového vybavení), vyšší výkony ale letos zaznamenaly </w:t>
            </w:r>
            <w:r>
              <w:rPr>
                <w:color w:val="0D0D0D" w:themeColor="text1" w:themeTint="F2"/>
                <w:spacing w:val="-2"/>
              </w:rPr>
              <w:t xml:space="preserve">(vyjma filmového a hudebního průmyslu) </w:t>
            </w:r>
            <w:r w:rsidRPr="005E4BC9">
              <w:rPr>
                <w:color w:val="0D0D0D" w:themeColor="text1" w:themeTint="F2"/>
                <w:spacing w:val="-2"/>
              </w:rPr>
              <w:t>všechny odvětvové oddíly</w:t>
            </w:r>
            <w:r>
              <w:rPr>
                <w:color w:val="0D0D0D" w:themeColor="text1" w:themeTint="F2"/>
                <w:spacing w:val="-2"/>
              </w:rPr>
              <w:t xml:space="preserve">. V odvětví ubytování, stravování a pohostinství rostly letos tržby jen </w:t>
            </w:r>
            <w:r>
              <w:rPr>
                <w:color w:val="0D0D0D" w:themeColor="text1" w:themeTint="F2"/>
                <w:spacing w:val="-2"/>
              </w:rPr>
              <w:lastRenderedPageBreak/>
              <w:t>o</w:t>
            </w:r>
            <w:r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2"/>
              </w:rPr>
              <w:t xml:space="preserve">1,4 %. </w:t>
            </w:r>
            <w:r w:rsidRPr="005E4BC9">
              <w:rPr>
                <w:color w:val="0D0D0D" w:themeColor="text1" w:themeTint="F2"/>
                <w:spacing w:val="-2"/>
              </w:rPr>
              <w:t>Projevil se efekt vysoké srovnávací základny</w:t>
            </w:r>
            <w:r>
              <w:rPr>
                <w:rStyle w:val="Znakapoznpodarou"/>
                <w:color w:val="0D0D0D" w:themeColor="text1" w:themeTint="F2"/>
                <w:spacing w:val="-2"/>
              </w:rPr>
              <w:footnoteReference w:id="14"/>
            </w:r>
            <w:r>
              <w:rPr>
                <w:color w:val="0D0D0D" w:themeColor="text1" w:themeTint="F2"/>
                <w:spacing w:val="-2"/>
              </w:rPr>
              <w:t xml:space="preserve"> ovlivněné i</w:t>
            </w:r>
            <w:r w:rsidRPr="005E4BC9">
              <w:rPr>
                <w:color w:val="0D0D0D" w:themeColor="text1" w:themeTint="F2"/>
                <w:spacing w:val="-2"/>
              </w:rPr>
              <w:t xml:space="preserve"> legislativními </w:t>
            </w:r>
            <w:r>
              <w:rPr>
                <w:color w:val="0D0D0D" w:themeColor="text1" w:themeTint="F2"/>
                <w:spacing w:val="-2"/>
              </w:rPr>
              <w:t>změnami</w:t>
            </w:r>
            <w:r w:rsidRPr="005E4BC9">
              <w:rPr>
                <w:color w:val="0D0D0D" w:themeColor="text1" w:themeTint="F2"/>
                <w:spacing w:val="-2"/>
              </w:rPr>
              <w:t xml:space="preserve"> souvisejícími s výběrem daně.</w:t>
            </w:r>
            <w:r>
              <w:rPr>
                <w:color w:val="0D0D0D" w:themeColor="text1" w:themeTint="F2"/>
                <w:spacing w:val="-2"/>
              </w:rPr>
              <w:t xml:space="preserve"> Ve značně heterogenním odvětví p</w:t>
            </w:r>
            <w:r w:rsidRPr="005E4BC9">
              <w:rPr>
                <w:color w:val="0D0D0D" w:themeColor="text1" w:themeTint="F2"/>
                <w:spacing w:val="-2"/>
              </w:rPr>
              <w:t>rofesní</w:t>
            </w:r>
            <w:r>
              <w:rPr>
                <w:color w:val="0D0D0D" w:themeColor="text1" w:themeTint="F2"/>
                <w:spacing w:val="-2"/>
              </w:rPr>
              <w:t xml:space="preserve">ch, vědeckých a technických činností pokračoval v souvislosti s oživením ve stavebnictví mírný růst </w:t>
            </w:r>
            <w:r w:rsidRPr="005E4BC9">
              <w:rPr>
                <w:color w:val="0D0D0D" w:themeColor="text1" w:themeTint="F2"/>
                <w:spacing w:val="-2"/>
              </w:rPr>
              <w:t>a</w:t>
            </w:r>
            <w:r>
              <w:rPr>
                <w:color w:val="0D0D0D" w:themeColor="text1" w:themeTint="F2"/>
                <w:spacing w:val="-2"/>
              </w:rPr>
              <w:t>rchitektonických</w:t>
            </w:r>
            <w:r w:rsidRPr="005E4BC9">
              <w:rPr>
                <w:color w:val="0D0D0D" w:themeColor="text1" w:themeTint="F2"/>
                <w:spacing w:val="-2"/>
              </w:rPr>
              <w:t xml:space="preserve"> a inženýrs</w:t>
            </w:r>
            <w:r>
              <w:rPr>
                <w:color w:val="0D0D0D" w:themeColor="text1" w:themeTint="F2"/>
                <w:spacing w:val="-2"/>
              </w:rPr>
              <w:t>kých činností (+1,2 %). Dařilo se i</w:t>
            </w:r>
            <w:r w:rsidRPr="005E4BC9">
              <w:rPr>
                <w:color w:val="0D0D0D" w:themeColor="text1" w:themeTint="F2"/>
                <w:spacing w:val="-2"/>
              </w:rPr>
              <w:t> </w:t>
            </w:r>
            <w:r>
              <w:rPr>
                <w:color w:val="0D0D0D" w:themeColor="text1" w:themeTint="F2"/>
                <w:spacing w:val="-2"/>
              </w:rPr>
              <w:t>fotografickým, návrhářským a překladatelským činnostem i výzkumu trhu a veřejného mínění. Tržby za reklamní činnosti naopak klesly. Výrazné zvolnění růstu v odvětví administrativních a</w:t>
            </w:r>
            <w:r w:rsidRPr="005E4BC9">
              <w:rPr>
                <w:color w:val="0D0D0D" w:themeColor="text1" w:themeTint="F2"/>
                <w:spacing w:val="-2"/>
              </w:rPr>
              <w:t> </w:t>
            </w:r>
            <w:r>
              <w:rPr>
                <w:color w:val="0D0D0D" w:themeColor="text1" w:themeTint="F2"/>
                <w:spacing w:val="-2"/>
              </w:rPr>
              <w:t>podpůrných činností (z loňských 9,8 % na 3,0 %) bylo ovlivněno zejména vývojem u</w:t>
            </w:r>
            <w:r w:rsidRPr="005E4BC9">
              <w:rPr>
                <w:color w:val="0D0D0D" w:themeColor="text1" w:themeTint="F2"/>
                <w:spacing w:val="-2"/>
              </w:rPr>
              <w:t> </w:t>
            </w:r>
            <w:r>
              <w:rPr>
                <w:color w:val="0D0D0D" w:themeColor="text1" w:themeTint="F2"/>
                <w:spacing w:val="-2"/>
              </w:rPr>
              <w:t>pracovních agentur, kde slabší reálný růst tržeb souvisel s</w:t>
            </w:r>
            <w:r w:rsidRPr="005E4BC9">
              <w:rPr>
                <w:color w:val="0D0D0D" w:themeColor="text1" w:themeTint="F2"/>
                <w:spacing w:val="-2"/>
              </w:rPr>
              <w:t> cenovými vlivy</w:t>
            </w:r>
            <w:r>
              <w:rPr>
                <w:rStyle w:val="Znakapoznpodarou"/>
                <w:color w:val="0D0D0D" w:themeColor="text1" w:themeTint="F2"/>
                <w:spacing w:val="-2"/>
              </w:rPr>
              <w:footnoteReference w:id="15"/>
            </w:r>
            <w:r>
              <w:rPr>
                <w:color w:val="0D0D0D" w:themeColor="text1" w:themeTint="F2"/>
                <w:spacing w:val="-2"/>
              </w:rPr>
              <w:t>. Dařilo se i cestovním agenturám (+5,0 %). Podobným tempem pokračoval i dlouhodobý růst pronájmu a</w:t>
            </w:r>
            <w:r w:rsidRPr="005E4BC9">
              <w:rPr>
                <w:color w:val="0D0D0D" w:themeColor="text1" w:themeTint="F2"/>
                <w:spacing w:val="-2"/>
              </w:rPr>
              <w:t> </w:t>
            </w:r>
            <w:r>
              <w:rPr>
                <w:color w:val="0D0D0D" w:themeColor="text1" w:themeTint="F2"/>
                <w:spacing w:val="-2"/>
              </w:rPr>
              <w:t>operativního leasingu (kde se zvyšovala poptávka např. po stavebních strojích).</w:t>
            </w:r>
          </w:p>
          <w:p w:rsidR="000C13A2" w:rsidRPr="009110F7" w:rsidRDefault="000C13A2" w:rsidP="00FE48E4">
            <w:pPr>
              <w:spacing w:after="0"/>
              <w:rPr>
                <w:color w:val="0D0D0D" w:themeColor="text1" w:themeTint="F2"/>
                <w:spacing w:val="-4"/>
              </w:rPr>
            </w:pPr>
          </w:p>
        </w:tc>
      </w:tr>
      <w:tr w:rsidR="000C13A2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Marginlie"/>
            </w:pPr>
            <w:r>
              <w:lastRenderedPageBreak/>
              <w:t>Tržby v maloobchodu odrážely velmi optimistické naladění spotřebitelů.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195234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Svižný růst příjmů domácností (sycený příznivou konstelací na pracovním trhu) doprovázený rekordní spotřebitelskou důvěrou vytvářel velmi příhodné podmínky pro segment maloobchodu. </w:t>
            </w:r>
            <w:r w:rsidRPr="00097191">
              <w:rPr>
                <w:color w:val="0D0D0D" w:themeColor="text1" w:themeTint="F2"/>
                <w:spacing w:val="-4"/>
              </w:rPr>
              <w:t>Tržby v maloobchodu</w:t>
            </w:r>
            <w:r w:rsidRPr="00097191">
              <w:rPr>
                <w:rStyle w:val="Znakapoznpodarou"/>
                <w:color w:val="0D0D0D" w:themeColor="text1" w:themeTint="F2"/>
                <w:spacing w:val="-4"/>
              </w:rPr>
              <w:footnoteReference w:id="16"/>
            </w:r>
            <w:r>
              <w:rPr>
                <w:color w:val="0D0D0D" w:themeColor="text1" w:themeTint="F2"/>
                <w:spacing w:val="-4"/>
              </w:rPr>
              <w:t xml:space="preserve"> na počátku roku dále </w:t>
            </w:r>
            <w:r w:rsidRPr="00097191">
              <w:rPr>
                <w:color w:val="0D0D0D" w:themeColor="text1" w:themeTint="F2"/>
                <w:spacing w:val="-4"/>
              </w:rPr>
              <w:t xml:space="preserve">sílily a v 1. čtvrtletí </w:t>
            </w:r>
            <w:r>
              <w:rPr>
                <w:color w:val="0D0D0D" w:themeColor="text1" w:themeTint="F2"/>
                <w:spacing w:val="-4"/>
              </w:rPr>
              <w:t xml:space="preserve">2018 </w:t>
            </w:r>
            <w:r w:rsidRPr="00097191">
              <w:rPr>
                <w:color w:val="0D0D0D" w:themeColor="text1" w:themeTint="F2"/>
                <w:spacing w:val="-4"/>
              </w:rPr>
              <w:t>vzro</w:t>
            </w:r>
            <w:r>
              <w:rPr>
                <w:color w:val="0D0D0D" w:themeColor="text1" w:themeTint="F2"/>
                <w:spacing w:val="-4"/>
              </w:rPr>
              <w:t>stl</w:t>
            </w:r>
            <w:r w:rsidRPr="00097191">
              <w:rPr>
                <w:color w:val="0D0D0D" w:themeColor="text1" w:themeTint="F2"/>
                <w:spacing w:val="-4"/>
              </w:rPr>
              <w:t>y</w:t>
            </w:r>
            <w:r>
              <w:rPr>
                <w:color w:val="0D0D0D" w:themeColor="text1" w:themeTint="F2"/>
                <w:spacing w:val="-4"/>
              </w:rPr>
              <w:t xml:space="preserve"> meziročně o 6,3 % (nejsilněji po</w:t>
            </w:r>
            <w:r w:rsidRPr="00097191">
              <w:rPr>
                <w:color w:val="0D0D0D" w:themeColor="text1" w:themeTint="F2"/>
                <w:spacing w:val="-4"/>
              </w:rPr>
              <w:t xml:space="preserve"> 3. čtvrtletí 2007).</w:t>
            </w:r>
            <w:r>
              <w:rPr>
                <w:color w:val="0D0D0D" w:themeColor="text1" w:themeTint="F2"/>
                <w:spacing w:val="-4"/>
              </w:rPr>
              <w:t xml:space="preserve"> V následujícím čtvrtletí se meziroční i</w:t>
            </w:r>
            <w:r w:rsidRPr="00097191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4"/>
              </w:rPr>
              <w:t xml:space="preserve">mezičtvrtletní tempa mírně snížila. Ve srovnání s první polovinou loňského roku utržili letos maloobchodní prodejci o 5,3 % více. Česko se tak zařadilo v žebříčku zemí EU na sedmé místo. Maloobchod v posledních čtvrtletích roste tradičně nejdynamičtěji v zemích střední a východní Evropy. </w:t>
            </w:r>
          </w:p>
        </w:tc>
      </w:tr>
      <w:tr w:rsidR="000C13A2" w:rsidRPr="009110F7" w:rsidTr="00BC5332">
        <w:trPr>
          <w:trHeight w:val="14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Default="000C13A2" w:rsidP="008417B5">
            <w:pPr>
              <w:pStyle w:val="Marginlie"/>
            </w:pPr>
            <w:r>
              <w:t>Pokračoval svižný růst tržeb za prodej nepotravinářského zboží.</w:t>
            </w:r>
          </w:p>
          <w:p w:rsidR="000C13A2" w:rsidRPr="009110F7" w:rsidRDefault="000C13A2" w:rsidP="008417B5">
            <w:pPr>
              <w:pStyle w:val="Marginlie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Pr="009110F7" w:rsidRDefault="000C13A2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0C13A2" w:rsidRDefault="000C13A2" w:rsidP="00FA70D3">
            <w:pPr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K růstu maloobchodu přispěl tradičně nejvíce prodej nepotravinářského zboží, jehož tempa převyšovala 7% hranici již sedmé čtvrtletí v řadě. </w:t>
            </w:r>
            <w:r w:rsidRPr="004A27F0">
              <w:rPr>
                <w:color w:val="0D0D0D" w:themeColor="text1" w:themeTint="F2"/>
                <w:spacing w:val="-4"/>
              </w:rPr>
              <w:t>Mezi specializovanými prodejnami</w:t>
            </w:r>
            <w:r>
              <w:rPr>
                <w:color w:val="0D0D0D" w:themeColor="text1" w:themeTint="F2"/>
                <w:spacing w:val="-4"/>
              </w:rPr>
              <w:t xml:space="preserve"> se v 1. pololetí dařilo zejména m</w:t>
            </w:r>
            <w:r w:rsidRPr="00FA70D3">
              <w:rPr>
                <w:color w:val="0D0D0D" w:themeColor="text1" w:themeTint="F2"/>
                <w:spacing w:val="-4"/>
              </w:rPr>
              <w:t>aloobchod</w:t>
            </w:r>
            <w:r>
              <w:rPr>
                <w:color w:val="0D0D0D" w:themeColor="text1" w:themeTint="F2"/>
                <w:spacing w:val="-4"/>
              </w:rPr>
              <w:t>u</w:t>
            </w:r>
            <w:r w:rsidRPr="00FA70D3">
              <w:rPr>
                <w:color w:val="0D0D0D" w:themeColor="text1" w:themeTint="F2"/>
                <w:spacing w:val="-4"/>
              </w:rPr>
              <w:t xml:space="preserve"> s počítačovým a komunikačním zařízením</w:t>
            </w:r>
            <w:r>
              <w:rPr>
                <w:color w:val="0D0D0D" w:themeColor="text1" w:themeTint="F2"/>
                <w:spacing w:val="-4"/>
              </w:rPr>
              <w:t xml:space="preserve"> a také výrobkům pro domácnost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7"/>
            </w:r>
            <w:r>
              <w:rPr>
                <w:color w:val="0D0D0D" w:themeColor="text1" w:themeTint="F2"/>
                <w:spacing w:val="-4"/>
              </w:rPr>
              <w:t xml:space="preserve">. Podobně jako ve většině zemí EU pokračoval i v Česku dynamický růst prodeje přes internet a zásilkovou službu (meziročně o pětinu). Mírně zvolnil naopak růst tržeb za prodej potravinářského zboží (na 2,2 %). Svižný růst si naopak udrželi prodejci pohonných hmot (5,2 %), a to navzdory faktu, že vývoj cen byl v první polovině motoristické sezóny z pohledu spotřebitelů méně příznivý než vloni. Tržby za prodej a opravy motorových vozidel i vlivem vysoké loňské základny letos o více než 1 % meziročně poklesly, a zaznamenaly tak nejslabší pololetní výsledek od konce roku 2012. </w:t>
            </w:r>
          </w:p>
          <w:p w:rsidR="000C13A2" w:rsidRDefault="000C13A2" w:rsidP="00FA70D3">
            <w:pPr>
              <w:rPr>
                <w:color w:val="0D0D0D" w:themeColor="text1" w:themeTint="F2"/>
                <w:spacing w:val="-4"/>
              </w:rPr>
            </w:pPr>
          </w:p>
          <w:p w:rsidR="000C13A2" w:rsidRDefault="000C13A2" w:rsidP="00FA70D3">
            <w:pPr>
              <w:rPr>
                <w:color w:val="0D0D0D" w:themeColor="text1" w:themeTint="F2"/>
                <w:spacing w:val="-4"/>
              </w:rPr>
            </w:pPr>
          </w:p>
          <w:p w:rsidR="000C13A2" w:rsidRDefault="000C13A2" w:rsidP="00FA70D3">
            <w:pPr>
              <w:rPr>
                <w:color w:val="0D0D0D" w:themeColor="text1" w:themeTint="F2"/>
                <w:spacing w:val="-4"/>
              </w:rPr>
            </w:pPr>
          </w:p>
          <w:p w:rsidR="000C13A2" w:rsidRDefault="000C13A2" w:rsidP="00FA70D3">
            <w:pPr>
              <w:rPr>
                <w:color w:val="0D0D0D" w:themeColor="text1" w:themeTint="F2"/>
                <w:spacing w:val="-4"/>
              </w:rPr>
            </w:pPr>
          </w:p>
          <w:p w:rsidR="000C13A2" w:rsidRDefault="000C13A2" w:rsidP="00FA70D3">
            <w:pPr>
              <w:rPr>
                <w:color w:val="0D0D0D" w:themeColor="text1" w:themeTint="F2"/>
                <w:spacing w:val="-4"/>
              </w:rPr>
            </w:pPr>
          </w:p>
          <w:p w:rsidR="000C13A2" w:rsidRDefault="000C13A2" w:rsidP="00FA70D3">
            <w:pPr>
              <w:rPr>
                <w:color w:val="0D0D0D" w:themeColor="text1" w:themeTint="F2"/>
                <w:spacing w:val="-4"/>
              </w:rPr>
            </w:pPr>
          </w:p>
          <w:p w:rsidR="000C13A2" w:rsidRPr="009110F7" w:rsidRDefault="000C13A2" w:rsidP="00FA70D3">
            <w:pPr>
              <w:rPr>
                <w:color w:val="0D0D0D" w:themeColor="text1" w:themeTint="F2"/>
                <w:spacing w:val="-4"/>
              </w:rPr>
            </w:pPr>
          </w:p>
        </w:tc>
      </w:tr>
    </w:tbl>
    <w:p w:rsidR="00A50D73" w:rsidRPr="009110F7" w:rsidRDefault="00A50D73" w:rsidP="009D2622">
      <w:pPr>
        <w:pStyle w:val="Nadpis11"/>
        <w:rPr>
          <w:sz w:val="2"/>
          <w:szCs w:val="2"/>
        </w:rPr>
      </w:pPr>
    </w:p>
    <w:sectPr w:rsidR="00A50D73" w:rsidRPr="009110F7" w:rsidSect="009D2622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9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E760D" w15:done="0"/>
  <w15:commentEx w15:paraId="3B519ED9" w15:done="0"/>
  <w15:commentEx w15:paraId="588A2EF8" w15:done="0"/>
  <w15:commentEx w15:paraId="4BDBDFCE" w15:done="0"/>
  <w15:commentEx w15:paraId="4D4FFA55" w15:done="0"/>
  <w15:commentEx w15:paraId="420266E6" w15:done="0"/>
  <w15:commentEx w15:paraId="2F6E1997" w15:done="0"/>
  <w15:commentEx w15:paraId="1361B781" w15:done="0"/>
  <w15:commentEx w15:paraId="6AB9BB51" w15:done="0"/>
  <w15:commentEx w15:paraId="76A98BA5" w15:done="0"/>
  <w15:commentEx w15:paraId="0F376D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E760D" w16cid:durableId="1F49FDD6"/>
  <w16cid:commentId w16cid:paraId="3B519ED9" w16cid:durableId="1F4A0B4B"/>
  <w16cid:commentId w16cid:paraId="588A2EF8" w16cid:durableId="1F4A0D4D"/>
  <w16cid:commentId w16cid:paraId="4BDBDFCE" w16cid:durableId="1F4A116C"/>
  <w16cid:commentId w16cid:paraId="4D4FFA55" w16cid:durableId="1F4A4EB7"/>
  <w16cid:commentId w16cid:paraId="420266E6" w16cid:durableId="1F4A80EA"/>
  <w16cid:commentId w16cid:paraId="2F6E1997" w16cid:durableId="1F4A86F8"/>
  <w16cid:commentId w16cid:paraId="1361B781" w16cid:durableId="1F4A88EC"/>
  <w16cid:commentId w16cid:paraId="6AB9BB51" w16cid:durableId="1F4B66E4"/>
  <w16cid:commentId w16cid:paraId="76A98BA5" w16cid:durableId="1F4B67FD"/>
  <w16cid:commentId w16cid:paraId="0F376D82" w16cid:durableId="1F4B72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FE" w:rsidRDefault="002445FE" w:rsidP="00E71A58">
      <w:r>
        <w:separator/>
      </w:r>
    </w:p>
  </w:endnote>
  <w:endnote w:type="continuationSeparator" w:id="0">
    <w:p w:rsidR="002445FE" w:rsidRDefault="002445F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63C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C9263C" w:rsidRPr="00932443">
      <w:rPr>
        <w:szCs w:val="16"/>
      </w:rPr>
      <w:fldChar w:fldCharType="separate"/>
    </w:r>
    <w:r w:rsidR="009D2622">
      <w:rPr>
        <w:szCs w:val="16"/>
      </w:rPr>
      <w:t>14</w:t>
    </w:r>
    <w:r w:rsidR="00C9263C" w:rsidRPr="00932443">
      <w:rPr>
        <w:szCs w:val="16"/>
      </w:rPr>
      <w:fldChar w:fldCharType="end"/>
    </w:r>
    <w:r w:rsidRPr="00932443">
      <w:rPr>
        <w:szCs w:val="16"/>
      </w:rPr>
      <w:tab/>
    </w:r>
    <w:r>
      <w:t>1. pololetí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932443" w:rsidRDefault="00077FF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pololetí 2018</w:t>
    </w:r>
    <w:r w:rsidRPr="00932443">
      <w:rPr>
        <w:szCs w:val="16"/>
      </w:rPr>
      <w:tab/>
    </w:r>
    <w:r w:rsidR="00C9263C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C9263C" w:rsidRPr="00932443">
      <w:rPr>
        <w:rStyle w:val="ZpatChar"/>
        <w:szCs w:val="16"/>
      </w:rPr>
      <w:fldChar w:fldCharType="separate"/>
    </w:r>
    <w:r w:rsidR="009D2622">
      <w:rPr>
        <w:rStyle w:val="ZpatChar"/>
        <w:szCs w:val="16"/>
      </w:rPr>
      <w:t>13</w:t>
    </w:r>
    <w:r w:rsidR="00C9263C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FE" w:rsidRDefault="002445FE" w:rsidP="00E71A58">
      <w:r>
        <w:separator/>
      </w:r>
    </w:p>
  </w:footnote>
  <w:footnote w:type="continuationSeparator" w:id="0">
    <w:p w:rsidR="002445FE" w:rsidRDefault="002445FE" w:rsidP="00E71A58">
      <w:r>
        <w:continuationSeparator/>
      </w:r>
    </w:p>
  </w:footnote>
  <w:footnote w:id="1">
    <w:p w:rsidR="00077FF0" w:rsidRPr="0027583D" w:rsidRDefault="00077FF0" w:rsidP="00F93688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27583D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 Údaje o HPH jsou vyjádřeny ve stálých cenách a v očištění o sezónní a kalendářní vlivy.</w:t>
      </w:r>
    </w:p>
  </w:footnote>
  <w:footnote w:id="2">
    <w:p w:rsidR="00077FF0" w:rsidRPr="0027583D" w:rsidRDefault="00077FF0" w:rsidP="0087368D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27583D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 Zahrnutá odvětví: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t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ěžba a dobývání,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z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pracovatelský průmysl,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e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nergetika. Všechna meziroční tempa produkce (na úrovni odvětvových sekcí i oddílů) jsou očištěna o kalendářní vlivy.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Mezičtvrtletní tempa pak kromě toho také o vliv sezónnosti.</w:t>
      </w:r>
    </w:p>
  </w:footnote>
  <w:footnote w:id="3">
    <w:p w:rsidR="00077FF0" w:rsidRPr="00E41CD5" w:rsidRDefault="00077FF0" w:rsidP="00E41CD5">
      <w:pPr>
        <w:pStyle w:val="Textpoznpodarou"/>
        <w:jc w:val="both"/>
        <w:rPr>
          <w:rFonts w:cs="Arial"/>
          <w:color w:val="0D0D0D" w:themeColor="text1" w:themeTint="F2"/>
          <w:spacing w:val="-3"/>
          <w:sz w:val="16"/>
          <w:szCs w:val="16"/>
        </w:rPr>
      </w:pPr>
      <w:r w:rsidRPr="0027583D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z w:val="16"/>
          <w:szCs w:val="16"/>
        </w:rPr>
        <w:t xml:space="preserve"> </w:t>
      </w:r>
      <w:r>
        <w:rPr>
          <w:rFonts w:cs="Arial"/>
          <w:color w:val="0D0D0D" w:themeColor="text1" w:themeTint="F2"/>
          <w:spacing w:val="-3"/>
          <w:sz w:val="16"/>
          <w:szCs w:val="16"/>
        </w:rPr>
        <w:t>V 1. pololetí</w:t>
      </w:r>
      <w:r w:rsidRPr="0027583D">
        <w:rPr>
          <w:rFonts w:cs="Arial"/>
          <w:color w:val="0D0D0D" w:themeColor="text1" w:themeTint="F2"/>
          <w:spacing w:val="-3"/>
          <w:sz w:val="16"/>
          <w:szCs w:val="16"/>
        </w:rPr>
        <w:t> 2018 bylo ve srovnání se</w:t>
      </w:r>
      <w:r>
        <w:rPr>
          <w:rFonts w:cs="Arial"/>
          <w:color w:val="0D0D0D" w:themeColor="text1" w:themeTint="F2"/>
          <w:spacing w:val="-3"/>
          <w:sz w:val="16"/>
          <w:szCs w:val="16"/>
        </w:rPr>
        <w:t xml:space="preserve"> stejným obdobím roku </w:t>
      </w:r>
      <w:r w:rsidRPr="003220A5">
        <w:rPr>
          <w:rFonts w:cs="Arial"/>
          <w:color w:val="0D0D0D" w:themeColor="text1" w:themeTint="F2"/>
          <w:spacing w:val="-3"/>
          <w:sz w:val="16"/>
          <w:szCs w:val="16"/>
        </w:rPr>
        <w:t>2017 o jeden pracovní den</w:t>
      </w:r>
      <w:r>
        <w:rPr>
          <w:rFonts w:cs="Arial"/>
          <w:color w:val="0D0D0D" w:themeColor="text1" w:themeTint="F2"/>
          <w:spacing w:val="-3"/>
          <w:sz w:val="16"/>
          <w:szCs w:val="16"/>
        </w:rPr>
        <w:t xml:space="preserve"> méně. Bez očištění o tento vliv činil letos meziroční růst jen 2,4 %.</w:t>
      </w:r>
    </w:p>
  </w:footnote>
  <w:footnote w:id="4">
    <w:p w:rsidR="00077FF0" w:rsidRPr="00A2731E" w:rsidRDefault="00077FF0">
      <w:pPr>
        <w:pStyle w:val="Textpoznpodarou"/>
        <w:rPr>
          <w:sz w:val="16"/>
          <w:szCs w:val="16"/>
        </w:rPr>
      </w:pPr>
      <w:r w:rsidRPr="00A2731E">
        <w:rPr>
          <w:rStyle w:val="Znakapoznpodarou"/>
          <w:sz w:val="16"/>
          <w:szCs w:val="16"/>
        </w:rPr>
        <w:footnoteRef/>
      </w:r>
      <w:r w:rsidRPr="00A2731E">
        <w:rPr>
          <w:sz w:val="16"/>
          <w:szCs w:val="16"/>
        </w:rPr>
        <w:t xml:space="preserve"> Společně s opravou strojů a zařízení však šlo o jediné zpracovatelské obory, jejichž produkce </w:t>
      </w:r>
      <w:r>
        <w:rPr>
          <w:sz w:val="16"/>
          <w:szCs w:val="16"/>
        </w:rPr>
        <w:t>v </w:t>
      </w:r>
      <w:r w:rsidRPr="00A2731E">
        <w:rPr>
          <w:sz w:val="16"/>
          <w:szCs w:val="16"/>
        </w:rPr>
        <w:t xml:space="preserve">letošním 1. pololetí meziročně klesla. </w:t>
      </w:r>
    </w:p>
  </w:footnote>
  <w:footnote w:id="5">
    <w:p w:rsidR="00077FF0" w:rsidRPr="00CC0834" w:rsidRDefault="00077FF0">
      <w:pPr>
        <w:pStyle w:val="Textpoznpodarou"/>
        <w:rPr>
          <w:sz w:val="16"/>
          <w:szCs w:val="16"/>
        </w:rPr>
      </w:pPr>
      <w:r w:rsidRPr="00CC0834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 letošním červenci převýšil meziroční růst zakázek 11 % (dvou</w:t>
      </w:r>
      <w:r w:rsidRPr="00CC0834">
        <w:rPr>
          <w:sz w:val="16"/>
          <w:szCs w:val="16"/>
        </w:rPr>
        <w:t>ciferného temp</w:t>
      </w:r>
      <w:r>
        <w:rPr>
          <w:sz w:val="16"/>
          <w:szCs w:val="16"/>
        </w:rPr>
        <w:t>a dosáhla</w:t>
      </w:r>
      <w:r w:rsidRPr="00CC0834">
        <w:rPr>
          <w:sz w:val="16"/>
          <w:szCs w:val="16"/>
        </w:rPr>
        <w:t xml:space="preserve"> jak tuzemská, tak zahraniční po</w:t>
      </w:r>
      <w:r>
        <w:rPr>
          <w:sz w:val="16"/>
          <w:szCs w:val="16"/>
        </w:rPr>
        <w:t>p</w:t>
      </w:r>
      <w:r w:rsidRPr="00CC0834">
        <w:rPr>
          <w:sz w:val="16"/>
          <w:szCs w:val="16"/>
        </w:rPr>
        <w:t>távka).</w:t>
      </w:r>
      <w:r>
        <w:rPr>
          <w:sz w:val="16"/>
          <w:szCs w:val="16"/>
        </w:rPr>
        <w:t xml:space="preserve"> Hodnota zakázek se podstatně zvýšila i ve výrobě motorových vozidel (+8 %).</w:t>
      </w:r>
    </w:p>
  </w:footnote>
  <w:footnote w:id="6">
    <w:p w:rsidR="00077FF0" w:rsidRPr="00E47854" w:rsidRDefault="00077FF0">
      <w:pPr>
        <w:pStyle w:val="Textpoznpodarou"/>
        <w:rPr>
          <w:sz w:val="16"/>
          <w:szCs w:val="16"/>
        </w:rPr>
      </w:pPr>
      <w:r w:rsidRPr="00E47854">
        <w:rPr>
          <w:rStyle w:val="Znakapoznpodarou"/>
          <w:sz w:val="16"/>
          <w:szCs w:val="16"/>
        </w:rPr>
        <w:footnoteRef/>
      </w:r>
      <w:r w:rsidRPr="00E47854">
        <w:rPr>
          <w:sz w:val="16"/>
          <w:szCs w:val="16"/>
        </w:rPr>
        <w:t xml:space="preserve"> Podle </w:t>
      </w:r>
      <w:r>
        <w:rPr>
          <w:sz w:val="16"/>
          <w:szCs w:val="16"/>
        </w:rPr>
        <w:t xml:space="preserve">sezónně očištěných </w:t>
      </w:r>
      <w:r w:rsidRPr="00E47854">
        <w:rPr>
          <w:sz w:val="16"/>
          <w:szCs w:val="16"/>
        </w:rPr>
        <w:t xml:space="preserve">údajů </w:t>
      </w:r>
      <w:proofErr w:type="spellStart"/>
      <w:r w:rsidRPr="00E47854">
        <w:rPr>
          <w:sz w:val="16"/>
          <w:szCs w:val="16"/>
        </w:rPr>
        <w:t>Eurostatu</w:t>
      </w:r>
      <w:proofErr w:type="spellEnd"/>
      <w:r w:rsidRPr="00E47854">
        <w:rPr>
          <w:sz w:val="16"/>
          <w:szCs w:val="16"/>
        </w:rPr>
        <w:t xml:space="preserve">. </w:t>
      </w:r>
      <w:r>
        <w:rPr>
          <w:sz w:val="16"/>
          <w:szCs w:val="16"/>
        </w:rPr>
        <w:t>Podniky mohly uvést i více druhů bariér současně. V celé EU považovalo na počátku 3. čtvrtletí 2018 nedostatečnou poptávku za bariéru svého růstu 24 % průmyslových podniků, nedostatek pracovníků pak 20 %.</w:t>
      </w:r>
    </w:p>
  </w:footnote>
  <w:footnote w:id="7">
    <w:p w:rsidR="00077FF0" w:rsidRPr="00D85B50" w:rsidRDefault="00077FF0" w:rsidP="00F07C4C">
      <w:pPr>
        <w:pStyle w:val="Textpoznpodarou"/>
        <w:jc w:val="both"/>
        <w:rPr>
          <w:spacing w:val="-4"/>
          <w:sz w:val="16"/>
          <w:szCs w:val="16"/>
        </w:rPr>
      </w:pPr>
      <w:r w:rsidRPr="00D85B50">
        <w:rPr>
          <w:rStyle w:val="Znakapoznpodarou"/>
          <w:color w:val="0D0D0D" w:themeColor="text1" w:themeTint="F2"/>
          <w:spacing w:val="-4"/>
          <w:sz w:val="16"/>
          <w:szCs w:val="16"/>
        </w:rPr>
        <w:footnoteRef/>
      </w:r>
      <w:r w:rsidRPr="00D85B50">
        <w:rPr>
          <w:color w:val="0D0D0D" w:themeColor="text1" w:themeTint="F2"/>
          <w:spacing w:val="-4"/>
          <w:sz w:val="16"/>
          <w:szCs w:val="16"/>
        </w:rPr>
        <w:t xml:space="preserve"> </w:t>
      </w:r>
      <w:r>
        <w:rPr>
          <w:color w:val="0D0D0D" w:themeColor="text1" w:themeTint="F2"/>
          <w:spacing w:val="-4"/>
          <w:sz w:val="16"/>
          <w:szCs w:val="16"/>
        </w:rPr>
        <w:t>Všechny m</w:t>
      </w:r>
      <w:r w:rsidRPr="00D85B50">
        <w:rPr>
          <w:color w:val="0D0D0D" w:themeColor="text1" w:themeTint="F2"/>
          <w:spacing w:val="-4"/>
          <w:sz w:val="16"/>
          <w:szCs w:val="16"/>
        </w:rPr>
        <w:t>eziroční údaje o s</w:t>
      </w:r>
      <w:r>
        <w:rPr>
          <w:color w:val="0D0D0D" w:themeColor="text1" w:themeTint="F2"/>
          <w:spacing w:val="-4"/>
          <w:sz w:val="16"/>
          <w:szCs w:val="16"/>
        </w:rPr>
        <w:t>tavební produkci jsou očištěny</w:t>
      </w:r>
      <w:r w:rsidRPr="00D85B50">
        <w:rPr>
          <w:color w:val="0D0D0D" w:themeColor="text1" w:themeTint="F2"/>
          <w:spacing w:val="-4"/>
          <w:sz w:val="16"/>
          <w:szCs w:val="16"/>
        </w:rPr>
        <w:t xml:space="preserve"> o kalendářní vlivy</w:t>
      </w:r>
      <w:r>
        <w:rPr>
          <w:color w:val="0D0D0D" w:themeColor="text1" w:themeTint="F2"/>
          <w:spacing w:val="-4"/>
          <w:sz w:val="16"/>
          <w:szCs w:val="16"/>
        </w:rPr>
        <w:t xml:space="preserve">, </w:t>
      </w:r>
      <w:proofErr w:type="spellStart"/>
      <w:r>
        <w:rPr>
          <w:rFonts w:cs="Arial"/>
          <w:color w:val="0D0D0D" w:themeColor="text1" w:themeTint="F2"/>
          <w:spacing w:val="-2"/>
          <w:sz w:val="16"/>
          <w:szCs w:val="16"/>
        </w:rPr>
        <w:t>mezičtvrtletní</w:t>
      </w:r>
      <w:proofErr w:type="spellEnd"/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tempa pak kromě toho také o vliv sezónnosti.</w:t>
      </w:r>
    </w:p>
  </w:footnote>
  <w:footnote w:id="8">
    <w:p w:rsidR="00077FF0" w:rsidRPr="0070398A" w:rsidRDefault="00077FF0">
      <w:pPr>
        <w:pStyle w:val="Textpoznpodarou"/>
        <w:rPr>
          <w:sz w:val="16"/>
          <w:szCs w:val="16"/>
        </w:rPr>
      </w:pPr>
      <w:r w:rsidRPr="0070398A">
        <w:rPr>
          <w:rStyle w:val="Znakapoznpodarou"/>
          <w:sz w:val="16"/>
          <w:szCs w:val="16"/>
        </w:rPr>
        <w:footnoteRef/>
      </w:r>
      <w:r w:rsidRPr="0070398A">
        <w:rPr>
          <w:sz w:val="16"/>
          <w:szCs w:val="16"/>
        </w:rPr>
        <w:t xml:space="preserve"> V 1. pololetí roku 2013, kdy v celé ekonomice i samotném stavebnictví doznívala recese, se počet zahájených bytů pohyboval těsně pod 11 tis. Ve stejném období konjunkturního roku 2008 byl dvojnásobný.</w:t>
      </w:r>
    </w:p>
  </w:footnote>
  <w:footnote w:id="9">
    <w:p w:rsidR="00077FF0" w:rsidRPr="00BC327F" w:rsidRDefault="00077FF0">
      <w:pPr>
        <w:pStyle w:val="Textpoznpodarou"/>
        <w:rPr>
          <w:sz w:val="16"/>
          <w:szCs w:val="16"/>
        </w:rPr>
      </w:pPr>
      <w:r w:rsidRPr="00BC327F">
        <w:rPr>
          <w:rStyle w:val="Znakapoznpodarou"/>
          <w:sz w:val="16"/>
          <w:szCs w:val="16"/>
        </w:rPr>
        <w:footnoteRef/>
      </w:r>
      <w:r w:rsidRPr="00BC327F">
        <w:rPr>
          <w:sz w:val="16"/>
          <w:szCs w:val="16"/>
        </w:rPr>
        <w:t xml:space="preserve"> V 1. pololetí 2016 klesla četnost </w:t>
      </w:r>
      <w:r>
        <w:rPr>
          <w:sz w:val="16"/>
          <w:szCs w:val="16"/>
        </w:rPr>
        <w:t>zaháje</w:t>
      </w:r>
      <w:r w:rsidRPr="00BC327F">
        <w:rPr>
          <w:sz w:val="16"/>
          <w:szCs w:val="16"/>
        </w:rPr>
        <w:t>ných bytů v metropoli na nejnižší hodnotu od poloviny 90. let</w:t>
      </w:r>
      <w:r>
        <w:rPr>
          <w:sz w:val="16"/>
          <w:szCs w:val="16"/>
        </w:rPr>
        <w:t xml:space="preserve"> (1037).</w:t>
      </w:r>
    </w:p>
  </w:footnote>
  <w:footnote w:id="10">
    <w:p w:rsidR="00077FF0" w:rsidRPr="001459BC" w:rsidRDefault="00077FF0" w:rsidP="00F93688">
      <w:pPr>
        <w:pStyle w:val="Textpoznpodarou"/>
        <w:rPr>
          <w:sz w:val="16"/>
          <w:szCs w:val="16"/>
        </w:rPr>
      </w:pPr>
      <w:r w:rsidRPr="001459BC">
        <w:rPr>
          <w:rStyle w:val="Znakapoznpodarou"/>
          <w:sz w:val="16"/>
          <w:szCs w:val="16"/>
        </w:rPr>
        <w:footnoteRef/>
      </w:r>
      <w:r w:rsidRPr="001459BC">
        <w:rPr>
          <w:sz w:val="16"/>
          <w:szCs w:val="16"/>
        </w:rPr>
        <w:t xml:space="preserve"> Pokrývá pouze podniky s 50 a více zaměstnanci.</w:t>
      </w:r>
    </w:p>
  </w:footnote>
  <w:footnote w:id="11">
    <w:p w:rsidR="00077FF0" w:rsidRPr="00DE38E6" w:rsidRDefault="00077FF0" w:rsidP="00252AB9">
      <w:pPr>
        <w:spacing w:after="0" w:line="240" w:lineRule="auto"/>
      </w:pPr>
      <w:r w:rsidRPr="004A26AF">
        <w:rPr>
          <w:rStyle w:val="Znakapoznpodarou"/>
          <w:color w:val="0D0D0D" w:themeColor="text1" w:themeTint="F2"/>
          <w:sz w:val="16"/>
          <w:szCs w:val="16"/>
        </w:rPr>
        <w:footnoteRef/>
      </w:r>
      <w:r w:rsidRPr="004A26AF">
        <w:rPr>
          <w:color w:val="0D0D0D" w:themeColor="text1" w:themeTint="F2"/>
          <w:sz w:val="16"/>
          <w:szCs w:val="16"/>
        </w:rPr>
        <w:t>Bez obchodu, peněžnictví, poji</w:t>
      </w:r>
      <w:r>
        <w:rPr>
          <w:color w:val="0D0D0D" w:themeColor="text1" w:themeTint="F2"/>
          <w:sz w:val="16"/>
          <w:szCs w:val="16"/>
        </w:rPr>
        <w:t>šťovnictví, vědy, výzkumu a veřejných</w:t>
      </w:r>
      <w:r w:rsidRPr="004A26AF">
        <w:rPr>
          <w:color w:val="0D0D0D" w:themeColor="text1" w:themeTint="F2"/>
          <w:sz w:val="16"/>
          <w:szCs w:val="16"/>
        </w:rPr>
        <w:t xml:space="preserve"> služeb. Všechny údaje za služby jsou </w:t>
      </w:r>
      <w:r>
        <w:rPr>
          <w:color w:val="0D0D0D" w:themeColor="text1" w:themeTint="F2"/>
          <w:sz w:val="16"/>
          <w:szCs w:val="16"/>
        </w:rPr>
        <w:t xml:space="preserve">ve stálých cenách, meziroční údaje jsou </w:t>
      </w:r>
      <w:r w:rsidRPr="004A26AF">
        <w:rPr>
          <w:color w:val="0D0D0D" w:themeColor="text1" w:themeTint="F2"/>
          <w:sz w:val="16"/>
          <w:szCs w:val="16"/>
        </w:rPr>
        <w:t>očištěny o kal</w:t>
      </w:r>
      <w:r>
        <w:rPr>
          <w:color w:val="0D0D0D" w:themeColor="text1" w:themeTint="F2"/>
          <w:sz w:val="16"/>
          <w:szCs w:val="16"/>
        </w:rPr>
        <w:t xml:space="preserve">endářní vlivy, </w:t>
      </w:r>
      <w:proofErr w:type="spellStart"/>
      <w:r>
        <w:rPr>
          <w:color w:val="0D0D0D" w:themeColor="text1" w:themeTint="F2"/>
          <w:sz w:val="16"/>
          <w:szCs w:val="16"/>
        </w:rPr>
        <w:t>mezičtvrtletní</w:t>
      </w:r>
      <w:proofErr w:type="spellEnd"/>
      <w:r>
        <w:rPr>
          <w:color w:val="0D0D0D" w:themeColor="text1" w:themeTint="F2"/>
          <w:sz w:val="16"/>
          <w:szCs w:val="16"/>
        </w:rPr>
        <w:t xml:space="preserve"> jsou očištěny o sezónní vlivy (včetně vlivu počtu pracovních dnů)</w:t>
      </w:r>
      <w:r w:rsidRPr="004A26AF">
        <w:rPr>
          <w:color w:val="0D0D0D" w:themeColor="text1" w:themeTint="F2"/>
          <w:sz w:val="16"/>
          <w:szCs w:val="16"/>
        </w:rPr>
        <w:t>.</w:t>
      </w:r>
    </w:p>
  </w:footnote>
  <w:footnote w:id="12">
    <w:p w:rsidR="00077FF0" w:rsidRPr="00FD3CF7" w:rsidRDefault="00077FF0">
      <w:pPr>
        <w:pStyle w:val="Textpoznpodarou"/>
        <w:rPr>
          <w:sz w:val="16"/>
          <w:szCs w:val="16"/>
        </w:rPr>
      </w:pPr>
      <w:r w:rsidRPr="00FD3CF7">
        <w:rPr>
          <w:rStyle w:val="Znakapoznpodarou"/>
          <w:sz w:val="16"/>
          <w:szCs w:val="16"/>
        </w:rPr>
        <w:footnoteRef/>
      </w:r>
      <w:r w:rsidRPr="00FD3CF7">
        <w:rPr>
          <w:sz w:val="16"/>
          <w:szCs w:val="16"/>
        </w:rPr>
        <w:t xml:space="preserve"> V 1. </w:t>
      </w:r>
      <w:r>
        <w:rPr>
          <w:sz w:val="16"/>
          <w:szCs w:val="16"/>
        </w:rPr>
        <w:t>p</w:t>
      </w:r>
      <w:r w:rsidRPr="00FD3CF7">
        <w:rPr>
          <w:sz w:val="16"/>
          <w:szCs w:val="16"/>
        </w:rPr>
        <w:t>ololetí 2017 meziroční růst tržeb ve službách akceleroval, když dosáhl 5,7</w:t>
      </w:r>
      <w:r>
        <w:rPr>
          <w:sz w:val="16"/>
          <w:szCs w:val="16"/>
        </w:rPr>
        <w:t> %</w:t>
      </w:r>
      <w:r w:rsidRPr="00FD3CF7">
        <w:rPr>
          <w:sz w:val="16"/>
          <w:szCs w:val="16"/>
        </w:rPr>
        <w:t xml:space="preserve"> (nejvyšší</w:t>
      </w:r>
      <w:r>
        <w:rPr>
          <w:sz w:val="16"/>
          <w:szCs w:val="16"/>
        </w:rPr>
        <w:t>ho</w:t>
      </w:r>
      <w:r w:rsidRPr="00FD3CF7">
        <w:rPr>
          <w:sz w:val="16"/>
          <w:szCs w:val="16"/>
        </w:rPr>
        <w:t xml:space="preserve"> temp</w:t>
      </w:r>
      <w:r>
        <w:rPr>
          <w:sz w:val="16"/>
          <w:szCs w:val="16"/>
        </w:rPr>
        <w:t>a</w:t>
      </w:r>
      <w:r w:rsidRPr="00FD3CF7">
        <w:rPr>
          <w:sz w:val="16"/>
          <w:szCs w:val="16"/>
        </w:rPr>
        <w:t xml:space="preserve"> od konce roku 2007).</w:t>
      </w:r>
    </w:p>
  </w:footnote>
  <w:footnote w:id="13">
    <w:p w:rsidR="00077FF0" w:rsidRPr="00252AB9" w:rsidRDefault="00077FF0">
      <w:pPr>
        <w:pStyle w:val="Textpoznpodarou"/>
        <w:rPr>
          <w:sz w:val="16"/>
          <w:szCs w:val="16"/>
        </w:rPr>
      </w:pPr>
      <w:r w:rsidRPr="00252AB9">
        <w:rPr>
          <w:rStyle w:val="Znakapoznpodarou"/>
          <w:sz w:val="16"/>
          <w:szCs w:val="16"/>
        </w:rPr>
        <w:footnoteRef/>
      </w:r>
      <w:r w:rsidRPr="00252AB9">
        <w:rPr>
          <w:sz w:val="16"/>
          <w:szCs w:val="16"/>
        </w:rPr>
        <w:t xml:space="preserve"> Bez očištění o rozdílný počet pracovních dn</w:t>
      </w:r>
      <w:r>
        <w:rPr>
          <w:sz w:val="16"/>
          <w:szCs w:val="16"/>
        </w:rPr>
        <w:t>ů</w:t>
      </w:r>
      <w:r w:rsidRPr="00252AB9">
        <w:rPr>
          <w:sz w:val="16"/>
          <w:szCs w:val="16"/>
        </w:rPr>
        <w:t xml:space="preserve"> činil růst 3,3</w:t>
      </w:r>
      <w:r>
        <w:rPr>
          <w:sz w:val="16"/>
          <w:szCs w:val="16"/>
        </w:rPr>
        <w:t> %</w:t>
      </w:r>
      <w:r w:rsidRPr="00252AB9">
        <w:rPr>
          <w:sz w:val="16"/>
          <w:szCs w:val="16"/>
        </w:rPr>
        <w:t>.</w:t>
      </w:r>
    </w:p>
  </w:footnote>
  <w:footnote w:id="14">
    <w:p w:rsidR="00077FF0" w:rsidRPr="00FE48E4" w:rsidRDefault="00077FF0">
      <w:pPr>
        <w:pStyle w:val="Textpoznpodarou"/>
        <w:rPr>
          <w:sz w:val="16"/>
          <w:szCs w:val="16"/>
        </w:rPr>
      </w:pPr>
      <w:r w:rsidRPr="00FE48E4">
        <w:rPr>
          <w:rStyle w:val="Znakapoznpodarou"/>
          <w:sz w:val="16"/>
          <w:szCs w:val="16"/>
        </w:rPr>
        <w:footnoteRef/>
      </w:r>
      <w:r w:rsidRPr="00FE48E4">
        <w:rPr>
          <w:sz w:val="16"/>
          <w:szCs w:val="16"/>
        </w:rPr>
        <w:t xml:space="preserve"> To bylo patrné i v naturálních ukazatelích. Počet přenocování hostů v hromadných ubytovacích zařízeních </w:t>
      </w:r>
      <w:r>
        <w:rPr>
          <w:sz w:val="16"/>
          <w:szCs w:val="16"/>
        </w:rPr>
        <w:t>v ČR rostl ve 2. čtvrtletí 2018 meziročně již jen o 2,2 %. Ve stejném období loňského roku přitom dosahoval růst mimořádných 12,7 %.</w:t>
      </w:r>
    </w:p>
  </w:footnote>
  <w:footnote w:id="15">
    <w:p w:rsidR="00077FF0" w:rsidRPr="00F12CFB" w:rsidRDefault="00077FF0">
      <w:pPr>
        <w:pStyle w:val="Textpoznpodarou"/>
        <w:rPr>
          <w:sz w:val="16"/>
          <w:szCs w:val="16"/>
        </w:rPr>
      </w:pPr>
      <w:r w:rsidRPr="00F12CFB">
        <w:rPr>
          <w:rStyle w:val="Znakapoznpodarou"/>
          <w:sz w:val="16"/>
          <w:szCs w:val="16"/>
        </w:rPr>
        <w:footnoteRef/>
      </w:r>
      <w:r w:rsidRPr="00F12CFB">
        <w:rPr>
          <w:sz w:val="16"/>
          <w:szCs w:val="16"/>
        </w:rPr>
        <w:t xml:space="preserve"> Šlo o důsledek zvyšování minimální mzdy. </w:t>
      </w:r>
      <w:r w:rsidRPr="00F12CFB">
        <w:rPr>
          <w:color w:val="0D0D0D" w:themeColor="text1" w:themeTint="F2"/>
          <w:spacing w:val="-2"/>
          <w:sz w:val="16"/>
          <w:szCs w:val="16"/>
        </w:rPr>
        <w:t xml:space="preserve">V běžných cenách dvojciferný </w:t>
      </w:r>
      <w:r>
        <w:rPr>
          <w:color w:val="0D0D0D" w:themeColor="text1" w:themeTint="F2"/>
          <w:spacing w:val="-2"/>
          <w:sz w:val="16"/>
          <w:szCs w:val="16"/>
        </w:rPr>
        <w:t xml:space="preserve">meziroční </w:t>
      </w:r>
      <w:r w:rsidRPr="00F12CFB">
        <w:rPr>
          <w:color w:val="0D0D0D" w:themeColor="text1" w:themeTint="F2"/>
          <w:spacing w:val="-2"/>
          <w:sz w:val="16"/>
          <w:szCs w:val="16"/>
        </w:rPr>
        <w:t>růst tržeb agentur pokračoval.</w:t>
      </w:r>
    </w:p>
  </w:footnote>
  <w:footnote w:id="16">
    <w:p w:rsidR="00077FF0" w:rsidRPr="00122994" w:rsidRDefault="00077FF0" w:rsidP="00D87C06">
      <w:pPr>
        <w:pStyle w:val="Textpoznpodarou"/>
      </w:pPr>
      <w:r w:rsidRPr="004A62A0">
        <w:rPr>
          <w:rStyle w:val="Znakapoznpodarou"/>
          <w:sz w:val="16"/>
          <w:szCs w:val="16"/>
        </w:rPr>
        <w:footnoteRef/>
      </w:r>
      <w:r w:rsidRPr="004A62A0">
        <w:rPr>
          <w:sz w:val="16"/>
          <w:szCs w:val="16"/>
        </w:rPr>
        <w:t xml:space="preserve"> Data nezahrnují motoristický segment. Údaje o maloobchodu jsou vyjádřeny ve stálých cenách a očištěny o kalendářní vlivy.</w:t>
      </w:r>
      <w:r w:rsidRPr="00122994">
        <w:t xml:space="preserve"> </w:t>
      </w:r>
    </w:p>
  </w:footnote>
  <w:footnote w:id="17">
    <w:p w:rsidR="00077FF0" w:rsidRPr="006C52EC" w:rsidRDefault="00077FF0" w:rsidP="00E47854">
      <w:pPr>
        <w:pStyle w:val="Textpoznpodarou"/>
        <w:rPr>
          <w:sz w:val="16"/>
          <w:szCs w:val="16"/>
        </w:rPr>
      </w:pPr>
      <w:r w:rsidRPr="006C52EC">
        <w:rPr>
          <w:rStyle w:val="Znakapoznpodarou"/>
          <w:sz w:val="16"/>
          <w:szCs w:val="16"/>
        </w:rPr>
        <w:footnoteRef/>
      </w:r>
      <w:r w:rsidRPr="006C52EC">
        <w:rPr>
          <w:sz w:val="16"/>
          <w:szCs w:val="16"/>
        </w:rPr>
        <w:t xml:space="preserve"> Zahrnuje maloobchod s železářským zbožím, barvami, sklem, potřebami pro kutily, textilem, koberci, podlahovými krytinami, nástěnnými obklady, elektrospotřebiči, elektronikou, nábytkem či svítidly.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F0" w:rsidRPr="006F5416" w:rsidRDefault="00077FF0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19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33D1"/>
    <w:rsid w:val="000234D6"/>
    <w:rsid w:val="00023D29"/>
    <w:rsid w:val="00026389"/>
    <w:rsid w:val="00031AE0"/>
    <w:rsid w:val="000322EF"/>
    <w:rsid w:val="00033FCD"/>
    <w:rsid w:val="00034DF7"/>
    <w:rsid w:val="00034E68"/>
    <w:rsid w:val="00036195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7FF0"/>
    <w:rsid w:val="00081A55"/>
    <w:rsid w:val="0008263E"/>
    <w:rsid w:val="00082C19"/>
    <w:rsid w:val="000837CD"/>
    <w:rsid w:val="00084BFF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A7377"/>
    <w:rsid w:val="000B03CC"/>
    <w:rsid w:val="000B4212"/>
    <w:rsid w:val="000C0EA8"/>
    <w:rsid w:val="000C13A2"/>
    <w:rsid w:val="000C3408"/>
    <w:rsid w:val="000C35AB"/>
    <w:rsid w:val="000C6AFD"/>
    <w:rsid w:val="000D3058"/>
    <w:rsid w:val="000D310A"/>
    <w:rsid w:val="000D5637"/>
    <w:rsid w:val="000E0E96"/>
    <w:rsid w:val="000E2C7D"/>
    <w:rsid w:val="000E4AC5"/>
    <w:rsid w:val="000E6253"/>
    <w:rsid w:val="000E6FBD"/>
    <w:rsid w:val="00100F5C"/>
    <w:rsid w:val="00101CDA"/>
    <w:rsid w:val="00102037"/>
    <w:rsid w:val="00103DCB"/>
    <w:rsid w:val="00104C4C"/>
    <w:rsid w:val="001057C2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32C4D"/>
    <w:rsid w:val="00133FC1"/>
    <w:rsid w:val="001405FA"/>
    <w:rsid w:val="001425C3"/>
    <w:rsid w:val="0014262D"/>
    <w:rsid w:val="001459BC"/>
    <w:rsid w:val="001554C2"/>
    <w:rsid w:val="001571C0"/>
    <w:rsid w:val="0015753D"/>
    <w:rsid w:val="001612F4"/>
    <w:rsid w:val="00161553"/>
    <w:rsid w:val="0016256B"/>
    <w:rsid w:val="00163793"/>
    <w:rsid w:val="00167CB9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92F05"/>
    <w:rsid w:val="00194729"/>
    <w:rsid w:val="00195234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0F17"/>
    <w:rsid w:val="001C1B66"/>
    <w:rsid w:val="001C31A2"/>
    <w:rsid w:val="001D22C2"/>
    <w:rsid w:val="001D54C1"/>
    <w:rsid w:val="001D556E"/>
    <w:rsid w:val="001D5DF2"/>
    <w:rsid w:val="001D68B2"/>
    <w:rsid w:val="001D7F60"/>
    <w:rsid w:val="001E504C"/>
    <w:rsid w:val="001E5A17"/>
    <w:rsid w:val="001F4597"/>
    <w:rsid w:val="00200085"/>
    <w:rsid w:val="00203332"/>
    <w:rsid w:val="00203CD5"/>
    <w:rsid w:val="00203D8F"/>
    <w:rsid w:val="00203DA4"/>
    <w:rsid w:val="002071D5"/>
    <w:rsid w:val="002118B9"/>
    <w:rsid w:val="002142C0"/>
    <w:rsid w:val="00217C5B"/>
    <w:rsid w:val="00220A43"/>
    <w:rsid w:val="0022139E"/>
    <w:rsid w:val="00222729"/>
    <w:rsid w:val="0022441D"/>
    <w:rsid w:val="002252E0"/>
    <w:rsid w:val="002255F6"/>
    <w:rsid w:val="00227605"/>
    <w:rsid w:val="00227850"/>
    <w:rsid w:val="00227A53"/>
    <w:rsid w:val="00227E2E"/>
    <w:rsid w:val="00230C6E"/>
    <w:rsid w:val="00233603"/>
    <w:rsid w:val="00236443"/>
    <w:rsid w:val="00241B06"/>
    <w:rsid w:val="002436BA"/>
    <w:rsid w:val="002445FE"/>
    <w:rsid w:val="00244A15"/>
    <w:rsid w:val="002452D9"/>
    <w:rsid w:val="00247319"/>
    <w:rsid w:val="0024799E"/>
    <w:rsid w:val="00247E60"/>
    <w:rsid w:val="00252AB9"/>
    <w:rsid w:val="00253C0F"/>
    <w:rsid w:val="002558C1"/>
    <w:rsid w:val="00256207"/>
    <w:rsid w:val="002603E1"/>
    <w:rsid w:val="0026291D"/>
    <w:rsid w:val="00267B49"/>
    <w:rsid w:val="0027025F"/>
    <w:rsid w:val="00271022"/>
    <w:rsid w:val="00271465"/>
    <w:rsid w:val="00272DF4"/>
    <w:rsid w:val="0027583D"/>
    <w:rsid w:val="00275DEF"/>
    <w:rsid w:val="00276B33"/>
    <w:rsid w:val="002812E3"/>
    <w:rsid w:val="002837AE"/>
    <w:rsid w:val="002853FA"/>
    <w:rsid w:val="00285412"/>
    <w:rsid w:val="00291640"/>
    <w:rsid w:val="0029237E"/>
    <w:rsid w:val="00292997"/>
    <w:rsid w:val="0029588F"/>
    <w:rsid w:val="00297256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B4845"/>
    <w:rsid w:val="002C27A6"/>
    <w:rsid w:val="002C43BD"/>
    <w:rsid w:val="002D0E59"/>
    <w:rsid w:val="002E02A1"/>
    <w:rsid w:val="002E196A"/>
    <w:rsid w:val="002E20C7"/>
    <w:rsid w:val="002E222E"/>
    <w:rsid w:val="002E37D1"/>
    <w:rsid w:val="002E3BEE"/>
    <w:rsid w:val="002E4E4C"/>
    <w:rsid w:val="002E4EA7"/>
    <w:rsid w:val="002E5846"/>
    <w:rsid w:val="002F333D"/>
    <w:rsid w:val="002F498A"/>
    <w:rsid w:val="002F4AD8"/>
    <w:rsid w:val="002F5820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9D6"/>
    <w:rsid w:val="003217B9"/>
    <w:rsid w:val="00321924"/>
    <w:rsid w:val="00321EB6"/>
    <w:rsid w:val="003220A5"/>
    <w:rsid w:val="0032656E"/>
    <w:rsid w:val="00332190"/>
    <w:rsid w:val="00333CD0"/>
    <w:rsid w:val="003370C5"/>
    <w:rsid w:val="00341F05"/>
    <w:rsid w:val="0034335E"/>
    <w:rsid w:val="00344668"/>
    <w:rsid w:val="003462D9"/>
    <w:rsid w:val="00352C28"/>
    <w:rsid w:val="0036077F"/>
    <w:rsid w:val="00360C86"/>
    <w:rsid w:val="00360FBC"/>
    <w:rsid w:val="00361537"/>
    <w:rsid w:val="0036242A"/>
    <w:rsid w:val="00362E90"/>
    <w:rsid w:val="00364FA0"/>
    <w:rsid w:val="003657F3"/>
    <w:rsid w:val="00367F84"/>
    <w:rsid w:val="003738BD"/>
    <w:rsid w:val="00374A20"/>
    <w:rsid w:val="00374E21"/>
    <w:rsid w:val="003818DC"/>
    <w:rsid w:val="00383388"/>
    <w:rsid w:val="003834F8"/>
    <w:rsid w:val="003838D0"/>
    <w:rsid w:val="00384327"/>
    <w:rsid w:val="00385D98"/>
    <w:rsid w:val="003908A6"/>
    <w:rsid w:val="003927F6"/>
    <w:rsid w:val="003A04F6"/>
    <w:rsid w:val="003A2B4D"/>
    <w:rsid w:val="003A2D12"/>
    <w:rsid w:val="003A45E3"/>
    <w:rsid w:val="003A478C"/>
    <w:rsid w:val="003A5525"/>
    <w:rsid w:val="003A6B38"/>
    <w:rsid w:val="003A6B83"/>
    <w:rsid w:val="003A722F"/>
    <w:rsid w:val="003B0DF4"/>
    <w:rsid w:val="003B1F9D"/>
    <w:rsid w:val="003B461F"/>
    <w:rsid w:val="003B4998"/>
    <w:rsid w:val="003B5A32"/>
    <w:rsid w:val="003C3490"/>
    <w:rsid w:val="003C6221"/>
    <w:rsid w:val="003C7E62"/>
    <w:rsid w:val="003D242B"/>
    <w:rsid w:val="003D2492"/>
    <w:rsid w:val="003D2A99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099D"/>
    <w:rsid w:val="00402ADB"/>
    <w:rsid w:val="004059D2"/>
    <w:rsid w:val="00406C2E"/>
    <w:rsid w:val="00406EB0"/>
    <w:rsid w:val="00407C13"/>
    <w:rsid w:val="00410638"/>
    <w:rsid w:val="00412511"/>
    <w:rsid w:val="004125C2"/>
    <w:rsid w:val="00413465"/>
    <w:rsid w:val="0041501E"/>
    <w:rsid w:val="004159C3"/>
    <w:rsid w:val="00416DAC"/>
    <w:rsid w:val="00420880"/>
    <w:rsid w:val="00432A58"/>
    <w:rsid w:val="004331C3"/>
    <w:rsid w:val="00434617"/>
    <w:rsid w:val="00435051"/>
    <w:rsid w:val="00435C69"/>
    <w:rsid w:val="00437CED"/>
    <w:rsid w:val="00440900"/>
    <w:rsid w:val="0044121D"/>
    <w:rsid w:val="00441BF6"/>
    <w:rsid w:val="004441A0"/>
    <w:rsid w:val="00446D44"/>
    <w:rsid w:val="0045078A"/>
    <w:rsid w:val="0045086D"/>
    <w:rsid w:val="00451EF1"/>
    <w:rsid w:val="00457953"/>
    <w:rsid w:val="00460FB3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4F8A"/>
    <w:rsid w:val="004A5494"/>
    <w:rsid w:val="004A61C5"/>
    <w:rsid w:val="004A62A0"/>
    <w:rsid w:val="004A77DF"/>
    <w:rsid w:val="004B1417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165"/>
    <w:rsid w:val="004C6E0E"/>
    <w:rsid w:val="004C70DC"/>
    <w:rsid w:val="004D0211"/>
    <w:rsid w:val="004D0794"/>
    <w:rsid w:val="004E1A40"/>
    <w:rsid w:val="004E200A"/>
    <w:rsid w:val="004E23FC"/>
    <w:rsid w:val="004E6DE6"/>
    <w:rsid w:val="004E765E"/>
    <w:rsid w:val="004F06F5"/>
    <w:rsid w:val="004F12A4"/>
    <w:rsid w:val="004F253F"/>
    <w:rsid w:val="004F33A0"/>
    <w:rsid w:val="004F3BD2"/>
    <w:rsid w:val="0050689D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6BE"/>
    <w:rsid w:val="00525137"/>
    <w:rsid w:val="005251DD"/>
    <w:rsid w:val="00530A68"/>
    <w:rsid w:val="00532CE7"/>
    <w:rsid w:val="00532D8B"/>
    <w:rsid w:val="0053324C"/>
    <w:rsid w:val="00534A28"/>
    <w:rsid w:val="00535018"/>
    <w:rsid w:val="00537571"/>
    <w:rsid w:val="00541508"/>
    <w:rsid w:val="00541AE3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655DB"/>
    <w:rsid w:val="00570BC3"/>
    <w:rsid w:val="0057182A"/>
    <w:rsid w:val="00572079"/>
    <w:rsid w:val="00573602"/>
    <w:rsid w:val="0057364B"/>
    <w:rsid w:val="00574773"/>
    <w:rsid w:val="00577C07"/>
    <w:rsid w:val="00577DB1"/>
    <w:rsid w:val="00580DE7"/>
    <w:rsid w:val="00583E52"/>
    <w:rsid w:val="00583FFD"/>
    <w:rsid w:val="0058519A"/>
    <w:rsid w:val="005856BD"/>
    <w:rsid w:val="00590B28"/>
    <w:rsid w:val="005911BE"/>
    <w:rsid w:val="00591273"/>
    <w:rsid w:val="005927A4"/>
    <w:rsid w:val="00593152"/>
    <w:rsid w:val="005956A3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B121D"/>
    <w:rsid w:val="005B4853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4307"/>
    <w:rsid w:val="0060487F"/>
    <w:rsid w:val="00604EAD"/>
    <w:rsid w:val="006104FB"/>
    <w:rsid w:val="00612A2F"/>
    <w:rsid w:val="00612AAE"/>
    <w:rsid w:val="006156B4"/>
    <w:rsid w:val="00616E05"/>
    <w:rsid w:val="00617985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4137"/>
    <w:rsid w:val="006451E4"/>
    <w:rsid w:val="00645B33"/>
    <w:rsid w:val="006516CB"/>
    <w:rsid w:val="00654110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736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2EC"/>
    <w:rsid w:val="006C56D4"/>
    <w:rsid w:val="006C6681"/>
    <w:rsid w:val="006C6924"/>
    <w:rsid w:val="006C7CA6"/>
    <w:rsid w:val="006D18B3"/>
    <w:rsid w:val="006D3E8A"/>
    <w:rsid w:val="006D61F6"/>
    <w:rsid w:val="006E1332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24B"/>
    <w:rsid w:val="0070398A"/>
    <w:rsid w:val="00705242"/>
    <w:rsid w:val="007065C5"/>
    <w:rsid w:val="00706AD4"/>
    <w:rsid w:val="00707150"/>
    <w:rsid w:val="00713549"/>
    <w:rsid w:val="007140BE"/>
    <w:rsid w:val="00715E4D"/>
    <w:rsid w:val="00716F48"/>
    <w:rsid w:val="00717114"/>
    <w:rsid w:val="0071779F"/>
    <w:rsid w:val="007211F5"/>
    <w:rsid w:val="007240E2"/>
    <w:rsid w:val="0072583E"/>
    <w:rsid w:val="00725BB5"/>
    <w:rsid w:val="00730AE8"/>
    <w:rsid w:val="00730F1B"/>
    <w:rsid w:val="0073186D"/>
    <w:rsid w:val="007343D9"/>
    <w:rsid w:val="00741493"/>
    <w:rsid w:val="007434E5"/>
    <w:rsid w:val="00752180"/>
    <w:rsid w:val="00752323"/>
    <w:rsid w:val="007532B7"/>
    <w:rsid w:val="00753CAB"/>
    <w:rsid w:val="00754A70"/>
    <w:rsid w:val="00755202"/>
    <w:rsid w:val="00755D3A"/>
    <w:rsid w:val="0075751D"/>
    <w:rsid w:val="007578D3"/>
    <w:rsid w:val="00760391"/>
    <w:rsid w:val="007609C6"/>
    <w:rsid w:val="007615F3"/>
    <w:rsid w:val="0076175D"/>
    <w:rsid w:val="00763B85"/>
    <w:rsid w:val="00764974"/>
    <w:rsid w:val="0076521E"/>
    <w:rsid w:val="007661E9"/>
    <w:rsid w:val="00767062"/>
    <w:rsid w:val="00771972"/>
    <w:rsid w:val="00774D2C"/>
    <w:rsid w:val="00776169"/>
    <w:rsid w:val="00776527"/>
    <w:rsid w:val="00777040"/>
    <w:rsid w:val="00780EF1"/>
    <w:rsid w:val="00786C87"/>
    <w:rsid w:val="007877C9"/>
    <w:rsid w:val="00790764"/>
    <w:rsid w:val="0079085F"/>
    <w:rsid w:val="00793D78"/>
    <w:rsid w:val="0079453C"/>
    <w:rsid w:val="00794677"/>
    <w:rsid w:val="007A33E2"/>
    <w:rsid w:val="007A3CAF"/>
    <w:rsid w:val="007A516D"/>
    <w:rsid w:val="007A5E65"/>
    <w:rsid w:val="007A775D"/>
    <w:rsid w:val="007B0834"/>
    <w:rsid w:val="007B0E83"/>
    <w:rsid w:val="007B11FA"/>
    <w:rsid w:val="007B1396"/>
    <w:rsid w:val="007B2011"/>
    <w:rsid w:val="007B2CFE"/>
    <w:rsid w:val="007B3DCB"/>
    <w:rsid w:val="007B6689"/>
    <w:rsid w:val="007B6F72"/>
    <w:rsid w:val="007C1FFB"/>
    <w:rsid w:val="007C2D94"/>
    <w:rsid w:val="007C5F92"/>
    <w:rsid w:val="007C6227"/>
    <w:rsid w:val="007C6BBD"/>
    <w:rsid w:val="007D0382"/>
    <w:rsid w:val="007D1A1F"/>
    <w:rsid w:val="007D40DF"/>
    <w:rsid w:val="007D4458"/>
    <w:rsid w:val="007E0D4A"/>
    <w:rsid w:val="007E1788"/>
    <w:rsid w:val="007E29B4"/>
    <w:rsid w:val="007E435A"/>
    <w:rsid w:val="007E49F7"/>
    <w:rsid w:val="007E4C70"/>
    <w:rsid w:val="007E7E61"/>
    <w:rsid w:val="007F0845"/>
    <w:rsid w:val="007F20F3"/>
    <w:rsid w:val="007F2390"/>
    <w:rsid w:val="007F708D"/>
    <w:rsid w:val="00801E13"/>
    <w:rsid w:val="00803069"/>
    <w:rsid w:val="0080734C"/>
    <w:rsid w:val="00807C82"/>
    <w:rsid w:val="008117CC"/>
    <w:rsid w:val="00813DCA"/>
    <w:rsid w:val="008161A6"/>
    <w:rsid w:val="00816905"/>
    <w:rsid w:val="00817A17"/>
    <w:rsid w:val="00817EC1"/>
    <w:rsid w:val="0082112D"/>
    <w:rsid w:val="00821FF6"/>
    <w:rsid w:val="00822574"/>
    <w:rsid w:val="00825C4D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1901"/>
    <w:rsid w:val="00846121"/>
    <w:rsid w:val="008466C6"/>
    <w:rsid w:val="0084708F"/>
    <w:rsid w:val="008477C8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5E4C"/>
    <w:rsid w:val="00867DAB"/>
    <w:rsid w:val="008701E4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72D2"/>
    <w:rsid w:val="008A0ADD"/>
    <w:rsid w:val="008A388E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D33F5"/>
    <w:rsid w:val="008D35E4"/>
    <w:rsid w:val="008E292B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432C"/>
    <w:rsid w:val="00904F96"/>
    <w:rsid w:val="009052A3"/>
    <w:rsid w:val="009056D7"/>
    <w:rsid w:val="00905B8D"/>
    <w:rsid w:val="00906401"/>
    <w:rsid w:val="0090786F"/>
    <w:rsid w:val="009110F7"/>
    <w:rsid w:val="0091155E"/>
    <w:rsid w:val="00912A92"/>
    <w:rsid w:val="00915D07"/>
    <w:rsid w:val="009162AE"/>
    <w:rsid w:val="00917251"/>
    <w:rsid w:val="0091728D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3033E"/>
    <w:rsid w:val="009305FC"/>
    <w:rsid w:val="00930FB1"/>
    <w:rsid w:val="0093139F"/>
    <w:rsid w:val="00932443"/>
    <w:rsid w:val="00933F4A"/>
    <w:rsid w:val="00935BD4"/>
    <w:rsid w:val="009373B2"/>
    <w:rsid w:val="00937AE2"/>
    <w:rsid w:val="0094416B"/>
    <w:rsid w:val="0094427A"/>
    <w:rsid w:val="00944C7C"/>
    <w:rsid w:val="00945245"/>
    <w:rsid w:val="009568DC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4D57"/>
    <w:rsid w:val="009A60D1"/>
    <w:rsid w:val="009B05B3"/>
    <w:rsid w:val="009B3764"/>
    <w:rsid w:val="009B66CE"/>
    <w:rsid w:val="009B6FD3"/>
    <w:rsid w:val="009C1750"/>
    <w:rsid w:val="009C2E29"/>
    <w:rsid w:val="009C3E8F"/>
    <w:rsid w:val="009C554B"/>
    <w:rsid w:val="009C719E"/>
    <w:rsid w:val="009C7799"/>
    <w:rsid w:val="009D07A9"/>
    <w:rsid w:val="009D2622"/>
    <w:rsid w:val="009D3ACD"/>
    <w:rsid w:val="009D7731"/>
    <w:rsid w:val="009E1922"/>
    <w:rsid w:val="009E4715"/>
    <w:rsid w:val="009E5273"/>
    <w:rsid w:val="009E5DDB"/>
    <w:rsid w:val="009F4982"/>
    <w:rsid w:val="009F4CA7"/>
    <w:rsid w:val="009F7D36"/>
    <w:rsid w:val="00A00E71"/>
    <w:rsid w:val="00A03B10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3E43"/>
    <w:rsid w:val="00A24ED9"/>
    <w:rsid w:val="00A25216"/>
    <w:rsid w:val="00A2628E"/>
    <w:rsid w:val="00A2731E"/>
    <w:rsid w:val="00A309AC"/>
    <w:rsid w:val="00A30F65"/>
    <w:rsid w:val="00A3279E"/>
    <w:rsid w:val="00A35900"/>
    <w:rsid w:val="00A40EAC"/>
    <w:rsid w:val="00A418BC"/>
    <w:rsid w:val="00A43CF8"/>
    <w:rsid w:val="00A43DF2"/>
    <w:rsid w:val="00A445A8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016A"/>
    <w:rsid w:val="00A7018D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89D"/>
    <w:rsid w:val="00A91E71"/>
    <w:rsid w:val="00A96116"/>
    <w:rsid w:val="00A9614E"/>
    <w:rsid w:val="00A96C0F"/>
    <w:rsid w:val="00AA212F"/>
    <w:rsid w:val="00AA2996"/>
    <w:rsid w:val="00AA2AF4"/>
    <w:rsid w:val="00AA52BF"/>
    <w:rsid w:val="00AA559A"/>
    <w:rsid w:val="00AA6C31"/>
    <w:rsid w:val="00AA7CE8"/>
    <w:rsid w:val="00AB2AF1"/>
    <w:rsid w:val="00AB5A64"/>
    <w:rsid w:val="00AB6456"/>
    <w:rsid w:val="00AC044E"/>
    <w:rsid w:val="00AC2395"/>
    <w:rsid w:val="00AC2960"/>
    <w:rsid w:val="00AC2AC4"/>
    <w:rsid w:val="00AC4284"/>
    <w:rsid w:val="00AC45BD"/>
    <w:rsid w:val="00AD0EE7"/>
    <w:rsid w:val="00AD168E"/>
    <w:rsid w:val="00AD306C"/>
    <w:rsid w:val="00AD5AD2"/>
    <w:rsid w:val="00AD6462"/>
    <w:rsid w:val="00AD68C4"/>
    <w:rsid w:val="00AD71F9"/>
    <w:rsid w:val="00AE09B3"/>
    <w:rsid w:val="00AE1A83"/>
    <w:rsid w:val="00AE7CE7"/>
    <w:rsid w:val="00AE7FAB"/>
    <w:rsid w:val="00AF1E87"/>
    <w:rsid w:val="00AF436B"/>
    <w:rsid w:val="00AF5179"/>
    <w:rsid w:val="00AF5CC2"/>
    <w:rsid w:val="00AF6F98"/>
    <w:rsid w:val="00B00913"/>
    <w:rsid w:val="00B01593"/>
    <w:rsid w:val="00B01FF9"/>
    <w:rsid w:val="00B023F2"/>
    <w:rsid w:val="00B06DB4"/>
    <w:rsid w:val="00B10A4D"/>
    <w:rsid w:val="00B10C90"/>
    <w:rsid w:val="00B11002"/>
    <w:rsid w:val="00B121B2"/>
    <w:rsid w:val="00B14BC1"/>
    <w:rsid w:val="00B16EB8"/>
    <w:rsid w:val="00B17E71"/>
    <w:rsid w:val="00B17FDE"/>
    <w:rsid w:val="00B20632"/>
    <w:rsid w:val="00B2379C"/>
    <w:rsid w:val="00B23D5D"/>
    <w:rsid w:val="00B2687D"/>
    <w:rsid w:val="00B32DDB"/>
    <w:rsid w:val="00B32F57"/>
    <w:rsid w:val="00B3345C"/>
    <w:rsid w:val="00B34528"/>
    <w:rsid w:val="00B34CC9"/>
    <w:rsid w:val="00B3563B"/>
    <w:rsid w:val="00B402FC"/>
    <w:rsid w:val="00B422E2"/>
    <w:rsid w:val="00B439DA"/>
    <w:rsid w:val="00B4411A"/>
    <w:rsid w:val="00B46604"/>
    <w:rsid w:val="00B47089"/>
    <w:rsid w:val="00B52151"/>
    <w:rsid w:val="00B530CD"/>
    <w:rsid w:val="00B55F5E"/>
    <w:rsid w:val="00B56B6F"/>
    <w:rsid w:val="00B5752E"/>
    <w:rsid w:val="00B62316"/>
    <w:rsid w:val="00B63A11"/>
    <w:rsid w:val="00B64425"/>
    <w:rsid w:val="00B64C24"/>
    <w:rsid w:val="00B65CEF"/>
    <w:rsid w:val="00B6608F"/>
    <w:rsid w:val="00B679FB"/>
    <w:rsid w:val="00B76D1E"/>
    <w:rsid w:val="00B77543"/>
    <w:rsid w:val="00B80EC6"/>
    <w:rsid w:val="00B81D70"/>
    <w:rsid w:val="00B83E07"/>
    <w:rsid w:val="00B84CF6"/>
    <w:rsid w:val="00B85016"/>
    <w:rsid w:val="00B8561A"/>
    <w:rsid w:val="00B92D1D"/>
    <w:rsid w:val="00B938C5"/>
    <w:rsid w:val="00B95940"/>
    <w:rsid w:val="00B95ACA"/>
    <w:rsid w:val="00B97ACC"/>
    <w:rsid w:val="00BA3787"/>
    <w:rsid w:val="00BA46E8"/>
    <w:rsid w:val="00BA6C2B"/>
    <w:rsid w:val="00BA7B64"/>
    <w:rsid w:val="00BB0351"/>
    <w:rsid w:val="00BB15C3"/>
    <w:rsid w:val="00BB1AF4"/>
    <w:rsid w:val="00BB46F3"/>
    <w:rsid w:val="00BB4CB1"/>
    <w:rsid w:val="00BB4F98"/>
    <w:rsid w:val="00BB5ABF"/>
    <w:rsid w:val="00BB6EA2"/>
    <w:rsid w:val="00BB7B5B"/>
    <w:rsid w:val="00BC003F"/>
    <w:rsid w:val="00BC327F"/>
    <w:rsid w:val="00BC5332"/>
    <w:rsid w:val="00BC5C12"/>
    <w:rsid w:val="00BC7154"/>
    <w:rsid w:val="00BC731E"/>
    <w:rsid w:val="00BC7614"/>
    <w:rsid w:val="00BD25BB"/>
    <w:rsid w:val="00BD2AF8"/>
    <w:rsid w:val="00BD366B"/>
    <w:rsid w:val="00BD6D50"/>
    <w:rsid w:val="00BE0AD1"/>
    <w:rsid w:val="00BE0EF9"/>
    <w:rsid w:val="00BE18B9"/>
    <w:rsid w:val="00BE2495"/>
    <w:rsid w:val="00BF02C8"/>
    <w:rsid w:val="00BF1578"/>
    <w:rsid w:val="00BF1D12"/>
    <w:rsid w:val="00BF1D3A"/>
    <w:rsid w:val="00BF4E43"/>
    <w:rsid w:val="00BF5C4C"/>
    <w:rsid w:val="00C01410"/>
    <w:rsid w:val="00C052AA"/>
    <w:rsid w:val="00C06EE3"/>
    <w:rsid w:val="00C07749"/>
    <w:rsid w:val="00C11D48"/>
    <w:rsid w:val="00C21430"/>
    <w:rsid w:val="00C21E61"/>
    <w:rsid w:val="00C21F94"/>
    <w:rsid w:val="00C2590D"/>
    <w:rsid w:val="00C27913"/>
    <w:rsid w:val="00C33B68"/>
    <w:rsid w:val="00C35570"/>
    <w:rsid w:val="00C36A79"/>
    <w:rsid w:val="00C401D2"/>
    <w:rsid w:val="00C4031A"/>
    <w:rsid w:val="00C405D4"/>
    <w:rsid w:val="00C419D5"/>
    <w:rsid w:val="00C4513B"/>
    <w:rsid w:val="00C5390B"/>
    <w:rsid w:val="00C54697"/>
    <w:rsid w:val="00C553A5"/>
    <w:rsid w:val="00C55402"/>
    <w:rsid w:val="00C5603B"/>
    <w:rsid w:val="00C61F47"/>
    <w:rsid w:val="00C62828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63C"/>
    <w:rsid w:val="00C92843"/>
    <w:rsid w:val="00C92EB6"/>
    <w:rsid w:val="00C93389"/>
    <w:rsid w:val="00CA0346"/>
    <w:rsid w:val="00CA37FF"/>
    <w:rsid w:val="00CA6AB4"/>
    <w:rsid w:val="00CB2351"/>
    <w:rsid w:val="00CB4930"/>
    <w:rsid w:val="00CB5E10"/>
    <w:rsid w:val="00CC0834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5C65"/>
    <w:rsid w:val="00D06D68"/>
    <w:rsid w:val="00D075BE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5F28"/>
    <w:rsid w:val="00D26071"/>
    <w:rsid w:val="00D27973"/>
    <w:rsid w:val="00D31E1E"/>
    <w:rsid w:val="00D334E2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44E7"/>
    <w:rsid w:val="00D56FBF"/>
    <w:rsid w:val="00D57677"/>
    <w:rsid w:val="00D60415"/>
    <w:rsid w:val="00D63BE5"/>
    <w:rsid w:val="00D66223"/>
    <w:rsid w:val="00D70822"/>
    <w:rsid w:val="00D72076"/>
    <w:rsid w:val="00D743E0"/>
    <w:rsid w:val="00D77252"/>
    <w:rsid w:val="00D8084C"/>
    <w:rsid w:val="00D82EF1"/>
    <w:rsid w:val="00D84F43"/>
    <w:rsid w:val="00D85821"/>
    <w:rsid w:val="00D8598C"/>
    <w:rsid w:val="00D87C06"/>
    <w:rsid w:val="00D915EA"/>
    <w:rsid w:val="00D928BE"/>
    <w:rsid w:val="00D95C5D"/>
    <w:rsid w:val="00D97D00"/>
    <w:rsid w:val="00DA096C"/>
    <w:rsid w:val="00DA1AB6"/>
    <w:rsid w:val="00DA6364"/>
    <w:rsid w:val="00DA7114"/>
    <w:rsid w:val="00DA7C0C"/>
    <w:rsid w:val="00DB08A9"/>
    <w:rsid w:val="00DB2DFA"/>
    <w:rsid w:val="00DB2EC8"/>
    <w:rsid w:val="00DC17D0"/>
    <w:rsid w:val="00DC2B41"/>
    <w:rsid w:val="00DC435B"/>
    <w:rsid w:val="00DC56FE"/>
    <w:rsid w:val="00DC5B3B"/>
    <w:rsid w:val="00DC6C2D"/>
    <w:rsid w:val="00DC7B1A"/>
    <w:rsid w:val="00DD129F"/>
    <w:rsid w:val="00DD32DD"/>
    <w:rsid w:val="00DE0D8B"/>
    <w:rsid w:val="00DF3643"/>
    <w:rsid w:val="00DF42FF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251C"/>
    <w:rsid w:val="00E2363D"/>
    <w:rsid w:val="00E253A2"/>
    <w:rsid w:val="00E27127"/>
    <w:rsid w:val="00E27233"/>
    <w:rsid w:val="00E31771"/>
    <w:rsid w:val="00E32080"/>
    <w:rsid w:val="00E3309D"/>
    <w:rsid w:val="00E417BE"/>
    <w:rsid w:val="00E41CD5"/>
    <w:rsid w:val="00E43A9E"/>
    <w:rsid w:val="00E453F9"/>
    <w:rsid w:val="00E45D7D"/>
    <w:rsid w:val="00E47854"/>
    <w:rsid w:val="00E47EBA"/>
    <w:rsid w:val="00E50156"/>
    <w:rsid w:val="00E5076C"/>
    <w:rsid w:val="00E53470"/>
    <w:rsid w:val="00E539F6"/>
    <w:rsid w:val="00E55791"/>
    <w:rsid w:val="00E578A2"/>
    <w:rsid w:val="00E61740"/>
    <w:rsid w:val="00E61EB5"/>
    <w:rsid w:val="00E6519D"/>
    <w:rsid w:val="00E67305"/>
    <w:rsid w:val="00E67696"/>
    <w:rsid w:val="00E71A58"/>
    <w:rsid w:val="00E72A26"/>
    <w:rsid w:val="00E72A7A"/>
    <w:rsid w:val="00E747DC"/>
    <w:rsid w:val="00E75C94"/>
    <w:rsid w:val="00E76B9B"/>
    <w:rsid w:val="00E76E61"/>
    <w:rsid w:val="00E80CA3"/>
    <w:rsid w:val="00E82618"/>
    <w:rsid w:val="00E930A1"/>
    <w:rsid w:val="00E93820"/>
    <w:rsid w:val="00E94A86"/>
    <w:rsid w:val="00E96143"/>
    <w:rsid w:val="00E96833"/>
    <w:rsid w:val="00EA0C68"/>
    <w:rsid w:val="00EA32BC"/>
    <w:rsid w:val="00EA35A7"/>
    <w:rsid w:val="00EA4402"/>
    <w:rsid w:val="00EA513E"/>
    <w:rsid w:val="00EB0E32"/>
    <w:rsid w:val="00EB4511"/>
    <w:rsid w:val="00EB4A8E"/>
    <w:rsid w:val="00EB5BF7"/>
    <w:rsid w:val="00EB5E79"/>
    <w:rsid w:val="00EB6FAC"/>
    <w:rsid w:val="00EC03D7"/>
    <w:rsid w:val="00EC13A7"/>
    <w:rsid w:val="00ED0EF0"/>
    <w:rsid w:val="00ED12B9"/>
    <w:rsid w:val="00ED16B8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A13"/>
    <w:rsid w:val="00EF5FF9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331"/>
    <w:rsid w:val="00F30C65"/>
    <w:rsid w:val="00F3364D"/>
    <w:rsid w:val="00F349BF"/>
    <w:rsid w:val="00F437CC"/>
    <w:rsid w:val="00F44537"/>
    <w:rsid w:val="00F46185"/>
    <w:rsid w:val="00F46423"/>
    <w:rsid w:val="00F4696A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A0C"/>
    <w:rsid w:val="00F756DB"/>
    <w:rsid w:val="00F767A8"/>
    <w:rsid w:val="00F84E7D"/>
    <w:rsid w:val="00F85066"/>
    <w:rsid w:val="00F87A4D"/>
    <w:rsid w:val="00F93688"/>
    <w:rsid w:val="00F939F3"/>
    <w:rsid w:val="00FA05A0"/>
    <w:rsid w:val="00FA17CC"/>
    <w:rsid w:val="00FA1F01"/>
    <w:rsid w:val="00FA5112"/>
    <w:rsid w:val="00FA5526"/>
    <w:rsid w:val="00FA5D4D"/>
    <w:rsid w:val="00FA70D3"/>
    <w:rsid w:val="00FB0EE2"/>
    <w:rsid w:val="00FB1A79"/>
    <w:rsid w:val="00FB208B"/>
    <w:rsid w:val="00FB2B2D"/>
    <w:rsid w:val="00FB542E"/>
    <w:rsid w:val="00FC05F8"/>
    <w:rsid w:val="00FC0E5F"/>
    <w:rsid w:val="00FC1A95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E27C7"/>
    <w:rsid w:val="00FE2C7E"/>
    <w:rsid w:val="00FE2F78"/>
    <w:rsid w:val="00FE3137"/>
    <w:rsid w:val="00FE48E4"/>
    <w:rsid w:val="00FE634C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pololet&#237;-2018\Odv&#283;tv&#237;\Odv&#283;tv&#237;%20grafy-2q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pololet&#237;-2018\Odv&#283;tv&#237;\Odv&#283;tv&#237;%20grafy-2q-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JKAM%20CSU\PUBLIKACE\PUBLIKACE\2018\QMakro\1.pololet&#237;-2018\Odv&#283;tv&#237;\Odv&#283;tv&#237;%20grafy-2q-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pololet&#237;-2018\Odv&#283;tv&#237;\Odv&#283;tv&#237;%20grafy-2q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3.2768470688525411E-2"/>
          <c:y val="2.1717929393192267E-2"/>
          <c:w val="0.93666788782242216"/>
          <c:h val="0.70893252267517548"/>
        </c:manualLayout>
      </c:layout>
      <c:barChart>
        <c:barDir val="col"/>
        <c:grouping val="stacked"/>
        <c:ser>
          <c:idx val="0"/>
          <c:order val="0"/>
          <c:tx>
            <c:strRef>
              <c:f>'GRAF příspěvky IPP'!$A$32</c:f>
              <c:strCache>
                <c:ptCount val="1"/>
                <c:pt idx="0">
                  <c:v>Výroba dopravních prostředků (29+30)</c:v>
                </c:pt>
              </c:strCache>
            </c:strRef>
          </c:tx>
          <c:spPr>
            <a:solidFill>
              <a:srgbClr val="E8AFB2"/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IPP'!$B$32:$AE$32</c:f>
              <c:numCache>
                <c:formatCode>0.0</c:formatCode>
                <c:ptCount val="30"/>
                <c:pt idx="0">
                  <c:v>5.1583390189821374</c:v>
                </c:pt>
                <c:pt idx="1">
                  <c:v>4.1940805843592432</c:v>
                </c:pt>
                <c:pt idx="2">
                  <c:v>3.6254585881455803</c:v>
                </c:pt>
                <c:pt idx="3">
                  <c:v>3.2258487674246217</c:v>
                </c:pt>
                <c:pt idx="4">
                  <c:v>1.9477463114435285</c:v>
                </c:pt>
                <c:pt idx="5">
                  <c:v>1.0058302469588418</c:v>
                </c:pt>
                <c:pt idx="6">
                  <c:v>-0.47327260667125248</c:v>
                </c:pt>
                <c:pt idx="7">
                  <c:v>-1.6589798300201712</c:v>
                </c:pt>
                <c:pt idx="8">
                  <c:v>-2.5458879361074449</c:v>
                </c:pt>
                <c:pt idx="9">
                  <c:v>-1.3259090973424859</c:v>
                </c:pt>
                <c:pt idx="10">
                  <c:v>0.76388270851172324</c:v>
                </c:pt>
                <c:pt idx="11">
                  <c:v>1.8584636345874879</c:v>
                </c:pt>
                <c:pt idx="12">
                  <c:v>3.3381841003075512</c:v>
                </c:pt>
                <c:pt idx="13">
                  <c:v>2.4352412796453371</c:v>
                </c:pt>
                <c:pt idx="14">
                  <c:v>1.8587530098340015</c:v>
                </c:pt>
                <c:pt idx="15">
                  <c:v>1.4829445473338632</c:v>
                </c:pt>
                <c:pt idx="16">
                  <c:v>1.5560406088862608</c:v>
                </c:pt>
                <c:pt idx="17">
                  <c:v>2.1747965848469408</c:v>
                </c:pt>
                <c:pt idx="18">
                  <c:v>2.225670583560051</c:v>
                </c:pt>
                <c:pt idx="19">
                  <c:v>2.932695996215926</c:v>
                </c:pt>
                <c:pt idx="20">
                  <c:v>3.4317610615849299</c:v>
                </c:pt>
                <c:pt idx="21">
                  <c:v>2.7916779937104867</c:v>
                </c:pt>
                <c:pt idx="22">
                  <c:v>1.4159459574233138</c:v>
                </c:pt>
                <c:pt idx="23">
                  <c:v>1.0292819674961451</c:v>
                </c:pt>
                <c:pt idx="24">
                  <c:v>1.8337769181325838</c:v>
                </c:pt>
                <c:pt idx="25">
                  <c:v>2.0232440682518602</c:v>
                </c:pt>
                <c:pt idx="26">
                  <c:v>1.4766426933313399</c:v>
                </c:pt>
                <c:pt idx="27">
                  <c:v>1.6947521950851363</c:v>
                </c:pt>
                <c:pt idx="28">
                  <c:v>0.68613379658172513</c:v>
                </c:pt>
                <c:pt idx="29">
                  <c:v>0.32669980690669048</c:v>
                </c:pt>
              </c:numCache>
            </c:numRef>
          </c:val>
        </c:ser>
        <c:ser>
          <c:idx val="1"/>
          <c:order val="1"/>
          <c:tx>
            <c:strRef>
              <c:f>'GRAF příspěvky IPP'!$A$33</c:f>
              <c:strCache>
                <c:ptCount val="1"/>
                <c:pt idx="0">
                  <c:v>Gumárenství, elektrotechnický pr. (22+27)</c:v>
                </c:pt>
              </c:strCache>
            </c:strRef>
          </c:tx>
          <c:spPr>
            <a:solidFill>
              <a:srgbClr val="BD1B21"/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IPP'!$B$33:$AE$33</c:f>
              <c:numCache>
                <c:formatCode>0.0</c:formatCode>
                <c:ptCount val="30"/>
                <c:pt idx="0">
                  <c:v>1.7983691275864537</c:v>
                </c:pt>
                <c:pt idx="1">
                  <c:v>1.4558566523785283</c:v>
                </c:pt>
                <c:pt idx="2">
                  <c:v>0.48746198826577275</c:v>
                </c:pt>
                <c:pt idx="3">
                  <c:v>0.58308022139278459</c:v>
                </c:pt>
                <c:pt idx="4">
                  <c:v>0.8442656282525447</c:v>
                </c:pt>
                <c:pt idx="5">
                  <c:v>0.66654661442767627</c:v>
                </c:pt>
                <c:pt idx="6">
                  <c:v>1.0653762335640991</c:v>
                </c:pt>
                <c:pt idx="7">
                  <c:v>-0.46502811090535051</c:v>
                </c:pt>
                <c:pt idx="8">
                  <c:v>-0.28211107583639117</c:v>
                </c:pt>
                <c:pt idx="9">
                  <c:v>-0.34471853265078234</c:v>
                </c:pt>
                <c:pt idx="10">
                  <c:v>0.38728197932092401</c:v>
                </c:pt>
                <c:pt idx="11">
                  <c:v>0.67444684530708265</c:v>
                </c:pt>
                <c:pt idx="12">
                  <c:v>1.1900587156554803</c:v>
                </c:pt>
                <c:pt idx="13">
                  <c:v>1.3179606079755632</c:v>
                </c:pt>
                <c:pt idx="14">
                  <c:v>0.15682402057671571</c:v>
                </c:pt>
                <c:pt idx="15">
                  <c:v>0.79246998238680644</c:v>
                </c:pt>
                <c:pt idx="16">
                  <c:v>1.0327158178902081</c:v>
                </c:pt>
                <c:pt idx="17">
                  <c:v>1.2401487730750369</c:v>
                </c:pt>
                <c:pt idx="18">
                  <c:v>1.4263615358978559</c:v>
                </c:pt>
                <c:pt idx="19">
                  <c:v>0.62907027961344575</c:v>
                </c:pt>
                <c:pt idx="20">
                  <c:v>0.73623049391962603</c:v>
                </c:pt>
                <c:pt idx="21">
                  <c:v>0.13255877827094117</c:v>
                </c:pt>
                <c:pt idx="22">
                  <c:v>0.2843931356974948</c:v>
                </c:pt>
                <c:pt idx="23">
                  <c:v>0.43251342156214556</c:v>
                </c:pt>
                <c:pt idx="24">
                  <c:v>0.8790130954715587</c:v>
                </c:pt>
                <c:pt idx="25">
                  <c:v>1.4636922494624593</c:v>
                </c:pt>
                <c:pt idx="26">
                  <c:v>0.86660777787350485</c:v>
                </c:pt>
                <c:pt idx="27">
                  <c:v>1.6549188645784954</c:v>
                </c:pt>
                <c:pt idx="28">
                  <c:v>0.88263591522283313</c:v>
                </c:pt>
                <c:pt idx="29">
                  <c:v>0.30216313943135575</c:v>
                </c:pt>
              </c:numCache>
            </c:numRef>
          </c:val>
        </c:ser>
        <c:ser>
          <c:idx val="2"/>
          <c:order val="2"/>
          <c:tx>
            <c:strRef>
              <c:f>'GRAF příspěvky IPP'!$A$34</c:f>
              <c:strCache>
                <c:ptCount val="1"/>
                <c:pt idx="0">
                  <c:v>Strojírenství (28)</c:v>
                </c:pt>
              </c:strCache>
            </c:strRef>
          </c:tx>
          <c:spPr>
            <a:solidFill>
              <a:srgbClr val="BFE3F7"/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IPP'!$B$34:$AE$34</c:f>
              <c:numCache>
                <c:formatCode>0.0</c:formatCode>
                <c:ptCount val="30"/>
                <c:pt idx="0">
                  <c:v>1.2706011457621902</c:v>
                </c:pt>
                <c:pt idx="1">
                  <c:v>1.2888664807252919</c:v>
                </c:pt>
                <c:pt idx="2">
                  <c:v>0.32307846092656889</c:v>
                </c:pt>
                <c:pt idx="3">
                  <c:v>0.70071844497242752</c:v>
                </c:pt>
                <c:pt idx="4">
                  <c:v>0.51659781480962252</c:v>
                </c:pt>
                <c:pt idx="5">
                  <c:v>0.2631231278845213</c:v>
                </c:pt>
                <c:pt idx="6">
                  <c:v>0.23301984566307926</c:v>
                </c:pt>
                <c:pt idx="7">
                  <c:v>-0.13339713383761678</c:v>
                </c:pt>
                <c:pt idx="8">
                  <c:v>7.1737084628029121E-2</c:v>
                </c:pt>
                <c:pt idx="9">
                  <c:v>0.20406264489060272</c:v>
                </c:pt>
                <c:pt idx="10">
                  <c:v>-1.7001944235035409E-2</c:v>
                </c:pt>
                <c:pt idx="11">
                  <c:v>0.64362374734259242</c:v>
                </c:pt>
                <c:pt idx="12">
                  <c:v>0.21470457876175333</c:v>
                </c:pt>
                <c:pt idx="13">
                  <c:v>0.40293012989484739</c:v>
                </c:pt>
                <c:pt idx="14">
                  <c:v>0.21152856009329646</c:v>
                </c:pt>
                <c:pt idx="15">
                  <c:v>0.33012044192863677</c:v>
                </c:pt>
                <c:pt idx="16">
                  <c:v>0.27832699102768277</c:v>
                </c:pt>
                <c:pt idx="17">
                  <c:v>0.29159295435772531</c:v>
                </c:pt>
                <c:pt idx="18">
                  <c:v>0.37916922656306401</c:v>
                </c:pt>
                <c:pt idx="19">
                  <c:v>1.781989990773131E-2</c:v>
                </c:pt>
                <c:pt idx="20">
                  <c:v>0.3645008605298814</c:v>
                </c:pt>
                <c:pt idx="21">
                  <c:v>-6.9051390149412778E-2</c:v>
                </c:pt>
                <c:pt idx="22">
                  <c:v>0.19850927828339104</c:v>
                </c:pt>
                <c:pt idx="23">
                  <c:v>0.32150601856840738</c:v>
                </c:pt>
                <c:pt idx="24">
                  <c:v>0.36417963216621208</c:v>
                </c:pt>
                <c:pt idx="25">
                  <c:v>1.0647927179276138</c:v>
                </c:pt>
                <c:pt idx="26">
                  <c:v>0.84846050084183677</c:v>
                </c:pt>
                <c:pt idx="27">
                  <c:v>0.80860359811504845</c:v>
                </c:pt>
                <c:pt idx="28">
                  <c:v>0.60464772961500868</c:v>
                </c:pt>
                <c:pt idx="29">
                  <c:v>0.33032635655465969</c:v>
                </c:pt>
              </c:numCache>
            </c:numRef>
          </c:val>
        </c:ser>
        <c:ser>
          <c:idx val="3"/>
          <c:order val="3"/>
          <c:tx>
            <c:strRef>
              <c:f>'GRAF příspěvky IPP'!$A$35</c:f>
              <c:strCache>
                <c:ptCount val="1"/>
                <c:pt idx="0">
                  <c:v>Kovodělný průmysl (25)</c:v>
                </c:pt>
              </c:strCache>
            </c:strRef>
          </c:tx>
          <c:spPr>
            <a:solidFill>
              <a:srgbClr val="48AEE7"/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IPP'!$B$35:$AE$35</c:f>
              <c:numCache>
                <c:formatCode>0.0</c:formatCode>
                <c:ptCount val="30"/>
                <c:pt idx="0">
                  <c:v>1.3529708847357165</c:v>
                </c:pt>
                <c:pt idx="1">
                  <c:v>0.61223141631615274</c:v>
                </c:pt>
                <c:pt idx="2">
                  <c:v>6.1889465402554363E-2</c:v>
                </c:pt>
                <c:pt idx="3">
                  <c:v>-5.0371368079756305E-2</c:v>
                </c:pt>
                <c:pt idx="4">
                  <c:v>-0.10808602428987606</c:v>
                </c:pt>
                <c:pt idx="5">
                  <c:v>-5.704431222752325E-2</c:v>
                </c:pt>
                <c:pt idx="6">
                  <c:v>0.11227086111396457</c:v>
                </c:pt>
                <c:pt idx="7">
                  <c:v>-0.17759790176716056</c:v>
                </c:pt>
                <c:pt idx="8">
                  <c:v>-4.9295714575087683E-2</c:v>
                </c:pt>
                <c:pt idx="9">
                  <c:v>9.2868962187095214E-2</c:v>
                </c:pt>
                <c:pt idx="10">
                  <c:v>0.37420551106540723</c:v>
                </c:pt>
                <c:pt idx="11">
                  <c:v>0.57817330515122456</c:v>
                </c:pt>
                <c:pt idx="12">
                  <c:v>0.75653656295046556</c:v>
                </c:pt>
                <c:pt idx="13">
                  <c:v>0.62179163182191965</c:v>
                </c:pt>
                <c:pt idx="14">
                  <c:v>0.13796392398444496</c:v>
                </c:pt>
                <c:pt idx="15">
                  <c:v>0.35044871686260654</c:v>
                </c:pt>
                <c:pt idx="16">
                  <c:v>0.69752018574312757</c:v>
                </c:pt>
                <c:pt idx="17">
                  <c:v>0.78069864008168133</c:v>
                </c:pt>
                <c:pt idx="18">
                  <c:v>0.92145489387273449</c:v>
                </c:pt>
                <c:pt idx="19">
                  <c:v>0.62569777143327676</c:v>
                </c:pt>
                <c:pt idx="20">
                  <c:v>0.74976781674783421</c:v>
                </c:pt>
                <c:pt idx="21">
                  <c:v>0.40323787298061481</c:v>
                </c:pt>
                <c:pt idx="22">
                  <c:v>0.20786247012396875</c:v>
                </c:pt>
                <c:pt idx="23">
                  <c:v>0.25885378383640467</c:v>
                </c:pt>
                <c:pt idx="24">
                  <c:v>0.5193760395981406</c:v>
                </c:pt>
                <c:pt idx="25">
                  <c:v>0.90938443427805682</c:v>
                </c:pt>
                <c:pt idx="26">
                  <c:v>0.82894658499995533</c:v>
                </c:pt>
                <c:pt idx="27">
                  <c:v>0.96985539906457841</c:v>
                </c:pt>
                <c:pt idx="28">
                  <c:v>0.66803550047886306</c:v>
                </c:pt>
                <c:pt idx="29">
                  <c:v>0.39486272937743544</c:v>
                </c:pt>
              </c:numCache>
            </c:numRef>
          </c:val>
        </c:ser>
        <c:ser>
          <c:idx val="4"/>
          <c:order val="4"/>
          <c:tx>
            <c:strRef>
              <c:f>'GRAF příspěvky IPP'!$A$36</c:f>
              <c:strCache>
                <c:ptCount val="1"/>
                <c:pt idx="0">
                  <c:v>Výroba PC, elektronic. a optic. přístr. (26)</c:v>
                </c:pt>
              </c:strCache>
            </c:strRef>
          </c:tx>
          <c:spPr>
            <a:solidFill>
              <a:srgbClr val="FDDEB3"/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IPP'!$B$36:$AE$36</c:f>
              <c:numCache>
                <c:formatCode>0.0</c:formatCode>
                <c:ptCount val="30"/>
                <c:pt idx="0">
                  <c:v>0.46607738102630258</c:v>
                </c:pt>
                <c:pt idx="1">
                  <c:v>0.2289737073350934</c:v>
                </c:pt>
                <c:pt idx="2">
                  <c:v>-0.24362549730013724</c:v>
                </c:pt>
                <c:pt idx="3">
                  <c:v>-0.78232564519731651</c:v>
                </c:pt>
                <c:pt idx="4">
                  <c:v>-0.62912903530941411</c:v>
                </c:pt>
                <c:pt idx="5">
                  <c:v>-0.77404145043570804</c:v>
                </c:pt>
                <c:pt idx="6">
                  <c:v>-0.66225050698900223</c:v>
                </c:pt>
                <c:pt idx="7">
                  <c:v>-0.44167473994696882</c:v>
                </c:pt>
                <c:pt idx="8">
                  <c:v>0.17307138431247773</c:v>
                </c:pt>
                <c:pt idx="9">
                  <c:v>0.20710305378343791</c:v>
                </c:pt>
                <c:pt idx="10">
                  <c:v>0.28808704980807831</c:v>
                </c:pt>
                <c:pt idx="11">
                  <c:v>0.37118882448330998</c:v>
                </c:pt>
                <c:pt idx="12">
                  <c:v>0.254364851299267</c:v>
                </c:pt>
                <c:pt idx="13">
                  <c:v>0.35992422249609862</c:v>
                </c:pt>
                <c:pt idx="14">
                  <c:v>0.25073709132947558</c:v>
                </c:pt>
                <c:pt idx="15">
                  <c:v>0.430841383448613</c:v>
                </c:pt>
                <c:pt idx="16">
                  <c:v>0.10169095278085648</c:v>
                </c:pt>
                <c:pt idx="17">
                  <c:v>1.4154514873228306E-2</c:v>
                </c:pt>
                <c:pt idx="18">
                  <c:v>4.4552452116603705E-2</c:v>
                </c:pt>
                <c:pt idx="19">
                  <c:v>-7.4237264718247112E-2</c:v>
                </c:pt>
                <c:pt idx="20">
                  <c:v>-2.1481481669667441E-3</c:v>
                </c:pt>
                <c:pt idx="21">
                  <c:v>5.1480619698657547E-2</c:v>
                </c:pt>
                <c:pt idx="22">
                  <c:v>5.3821883781074664E-2</c:v>
                </c:pt>
                <c:pt idx="23">
                  <c:v>0.15961607959276664</c:v>
                </c:pt>
                <c:pt idx="24">
                  <c:v>0.12925577438246424</c:v>
                </c:pt>
                <c:pt idx="25">
                  <c:v>0.37526184999298434</c:v>
                </c:pt>
                <c:pt idx="26">
                  <c:v>0.2380055396976837</c:v>
                </c:pt>
                <c:pt idx="27">
                  <c:v>0.23859541569534093</c:v>
                </c:pt>
                <c:pt idx="28">
                  <c:v>0.47222552264673673</c:v>
                </c:pt>
                <c:pt idx="29">
                  <c:v>0.19431603051500917</c:v>
                </c:pt>
              </c:numCache>
            </c:numRef>
          </c:val>
        </c:ser>
        <c:ser>
          <c:idx val="5"/>
          <c:order val="5"/>
          <c:tx>
            <c:strRef>
              <c:f>'GRAF příspěvky IPP'!$A$37</c:f>
              <c:strCache>
                <c:ptCount val="1"/>
                <c:pt idx="0">
                  <c:v>Chemický a farmaceutický pr. (20+21)</c:v>
                </c:pt>
              </c:strCache>
            </c:strRef>
          </c:tx>
          <c:spPr>
            <a:solidFill>
              <a:srgbClr val="F8A124"/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IPP'!$B$37:$AE$37</c:f>
              <c:numCache>
                <c:formatCode>0.0</c:formatCode>
                <c:ptCount val="30"/>
                <c:pt idx="0">
                  <c:v>0.10124729624413728</c:v>
                </c:pt>
                <c:pt idx="1">
                  <c:v>-0.10987307777837702</c:v>
                </c:pt>
                <c:pt idx="2">
                  <c:v>-0.35448780665781043</c:v>
                </c:pt>
                <c:pt idx="3">
                  <c:v>-0.25365533251952205</c:v>
                </c:pt>
                <c:pt idx="4">
                  <c:v>8.2098114440466885E-2</c:v>
                </c:pt>
                <c:pt idx="5">
                  <c:v>-8.0110027441629553E-2</c:v>
                </c:pt>
                <c:pt idx="6">
                  <c:v>0.30586896879335956</c:v>
                </c:pt>
                <c:pt idx="7">
                  <c:v>6.8409485771207784E-2</c:v>
                </c:pt>
                <c:pt idx="8">
                  <c:v>-0.15361204125200881</c:v>
                </c:pt>
                <c:pt idx="9">
                  <c:v>1.8223165599514465E-2</c:v>
                </c:pt>
                <c:pt idx="10">
                  <c:v>-0.21418759865827675</c:v>
                </c:pt>
                <c:pt idx="11">
                  <c:v>0.23085083648135049</c:v>
                </c:pt>
                <c:pt idx="12">
                  <c:v>0.41401687752487343</c:v>
                </c:pt>
                <c:pt idx="13">
                  <c:v>0.30065933491628777</c:v>
                </c:pt>
                <c:pt idx="14">
                  <c:v>0.38510686850209941</c:v>
                </c:pt>
                <c:pt idx="15">
                  <c:v>0.1190013545916164</c:v>
                </c:pt>
                <c:pt idx="16">
                  <c:v>7.8782994403983522E-2</c:v>
                </c:pt>
                <c:pt idx="17">
                  <c:v>0.23469012479248277</c:v>
                </c:pt>
                <c:pt idx="18">
                  <c:v>-0.17180717870315537</c:v>
                </c:pt>
                <c:pt idx="19">
                  <c:v>-0.33632275678133594</c:v>
                </c:pt>
                <c:pt idx="20">
                  <c:v>-0.42054564658408849</c:v>
                </c:pt>
                <c:pt idx="21">
                  <c:v>-0.41604329837232795</c:v>
                </c:pt>
                <c:pt idx="22">
                  <c:v>-0.114360292475106</c:v>
                </c:pt>
                <c:pt idx="23">
                  <c:v>0.2421266841430553</c:v>
                </c:pt>
                <c:pt idx="24">
                  <c:v>0.54456420388154547</c:v>
                </c:pt>
                <c:pt idx="25">
                  <c:v>0.81097014817933744</c:v>
                </c:pt>
                <c:pt idx="26">
                  <c:v>0.642581438935795</c:v>
                </c:pt>
                <c:pt idx="27">
                  <c:v>0.51006133838638013</c:v>
                </c:pt>
                <c:pt idx="28">
                  <c:v>0.38740414070141038</c:v>
                </c:pt>
                <c:pt idx="29">
                  <c:v>4.6275575122148797E-2</c:v>
                </c:pt>
              </c:numCache>
            </c:numRef>
          </c:val>
        </c:ser>
        <c:ser>
          <c:idx val="6"/>
          <c:order val="6"/>
          <c:tx>
            <c:strRef>
              <c:f>'GRAF příspěvky IPP'!$A$38</c:f>
              <c:strCache>
                <c:ptCount val="1"/>
                <c:pt idx="0">
                  <c:v>Zbývající zpracovatelský průmysl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IPP'!$B$38:$AE$38</c:f>
              <c:numCache>
                <c:formatCode>0.0</c:formatCode>
                <c:ptCount val="30"/>
                <c:pt idx="0">
                  <c:v>0.31552663311962986</c:v>
                </c:pt>
                <c:pt idx="1">
                  <c:v>8.0724819058620223E-2</c:v>
                </c:pt>
                <c:pt idx="2">
                  <c:v>-1.319669695226459</c:v>
                </c:pt>
                <c:pt idx="3">
                  <c:v>0.11842987325758272</c:v>
                </c:pt>
                <c:pt idx="4">
                  <c:v>-1.2660773466306161</c:v>
                </c:pt>
                <c:pt idx="5">
                  <c:v>-0.47802730548721767</c:v>
                </c:pt>
                <c:pt idx="6">
                  <c:v>-0.34646761815323956</c:v>
                </c:pt>
                <c:pt idx="7">
                  <c:v>-1.3200846686145966</c:v>
                </c:pt>
                <c:pt idx="8">
                  <c:v>-2.5962486433354387E-2</c:v>
                </c:pt>
                <c:pt idx="9">
                  <c:v>-0.14296973602391649</c:v>
                </c:pt>
                <c:pt idx="10">
                  <c:v>0.16463257251793845</c:v>
                </c:pt>
                <c:pt idx="11">
                  <c:v>1.1277581264641281</c:v>
                </c:pt>
                <c:pt idx="12">
                  <c:v>1.3601037593510723</c:v>
                </c:pt>
                <c:pt idx="13">
                  <c:v>0.98430790289276571</c:v>
                </c:pt>
                <c:pt idx="14">
                  <c:v>0.25133426220692345</c:v>
                </c:pt>
                <c:pt idx="15">
                  <c:v>1.2962625167285475</c:v>
                </c:pt>
                <c:pt idx="16">
                  <c:v>1.0074721701935661</c:v>
                </c:pt>
                <c:pt idx="17">
                  <c:v>0.80495652892224145</c:v>
                </c:pt>
                <c:pt idx="18">
                  <c:v>1.5513791726730484</c:v>
                </c:pt>
                <c:pt idx="19">
                  <c:v>-0.36725300514759718</c:v>
                </c:pt>
                <c:pt idx="20">
                  <c:v>-0.13589925939302241</c:v>
                </c:pt>
                <c:pt idx="21">
                  <c:v>-0.77642186080498765</c:v>
                </c:pt>
                <c:pt idx="22">
                  <c:v>0.22786640880518444</c:v>
                </c:pt>
                <c:pt idx="23">
                  <c:v>0.45056967876598808</c:v>
                </c:pt>
                <c:pt idx="24">
                  <c:v>-0.10520398627042619</c:v>
                </c:pt>
                <c:pt idx="25">
                  <c:v>2.0188591664367981</c:v>
                </c:pt>
                <c:pt idx="26">
                  <c:v>1.0351557674089027</c:v>
                </c:pt>
                <c:pt idx="27">
                  <c:v>0.97534987761746883</c:v>
                </c:pt>
                <c:pt idx="28">
                  <c:v>0.88447871486978313</c:v>
                </c:pt>
                <c:pt idx="29">
                  <c:v>0.76694961364091196</c:v>
                </c:pt>
              </c:numCache>
            </c:numRef>
          </c:val>
        </c:ser>
        <c:ser>
          <c:idx val="7"/>
          <c:order val="7"/>
          <c:tx>
            <c:strRef>
              <c:f>'GRAF příspěvky IPP'!$A$39</c:f>
              <c:strCache>
                <c:ptCount val="1"/>
                <c:pt idx="0">
                  <c:v>Těžba a energetika (B)</c:v>
                </c:pt>
              </c:strCache>
            </c:strRef>
          </c:tx>
          <c:spPr>
            <a:solidFill>
              <a:srgbClr val="808080"/>
            </a:solidFill>
          </c:spP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IPP'!$B$39:$AE$39</c:f>
              <c:numCache>
                <c:formatCode>0.0</c:formatCode>
                <c:ptCount val="30"/>
                <c:pt idx="0">
                  <c:v>-0.46313148745656374</c:v>
                </c:pt>
                <c:pt idx="1">
                  <c:v>0.44913941760544684</c:v>
                </c:pt>
                <c:pt idx="2">
                  <c:v>-0.28010550355605701</c:v>
                </c:pt>
                <c:pt idx="3">
                  <c:v>-0.14172496125080888</c:v>
                </c:pt>
                <c:pt idx="4">
                  <c:v>1.2584537283747192E-2</c:v>
                </c:pt>
                <c:pt idx="5">
                  <c:v>0.35372310632103926</c:v>
                </c:pt>
                <c:pt idx="6">
                  <c:v>-0.13454517732100951</c:v>
                </c:pt>
                <c:pt idx="7">
                  <c:v>-1.0716369042476055</c:v>
                </c:pt>
                <c:pt idx="8">
                  <c:v>-0.88656305110647016</c:v>
                </c:pt>
                <c:pt idx="9">
                  <c:v>-1.5086604604434219</c:v>
                </c:pt>
                <c:pt idx="10">
                  <c:v>-0.94690027833075763</c:v>
                </c:pt>
                <c:pt idx="11">
                  <c:v>0.51549468018282096</c:v>
                </c:pt>
                <c:pt idx="12">
                  <c:v>-0.62796944585044667</c:v>
                </c:pt>
                <c:pt idx="13">
                  <c:v>-0.32281510964282661</c:v>
                </c:pt>
                <c:pt idx="14">
                  <c:v>-0.45224773652695399</c:v>
                </c:pt>
                <c:pt idx="15">
                  <c:v>-0.70208894328074911</c:v>
                </c:pt>
                <c:pt idx="16">
                  <c:v>0.14745027907431846</c:v>
                </c:pt>
                <c:pt idx="17">
                  <c:v>-0.34103812094933217</c:v>
                </c:pt>
                <c:pt idx="18">
                  <c:v>-0.37678068598015879</c:v>
                </c:pt>
                <c:pt idx="19">
                  <c:v>-1.127470920523219</c:v>
                </c:pt>
                <c:pt idx="20">
                  <c:v>-0.62366717863822763</c:v>
                </c:pt>
                <c:pt idx="21">
                  <c:v>8.2561284666029466E-2</c:v>
                </c:pt>
                <c:pt idx="22">
                  <c:v>-0.47403884163932031</c:v>
                </c:pt>
                <c:pt idx="23">
                  <c:v>0.50553236603507457</c:v>
                </c:pt>
                <c:pt idx="24">
                  <c:v>0.63503832263791304</c:v>
                </c:pt>
                <c:pt idx="25">
                  <c:v>-0.16620463452911374</c:v>
                </c:pt>
                <c:pt idx="26">
                  <c:v>0.76359969691098628</c:v>
                </c:pt>
                <c:pt idx="27">
                  <c:v>0.74786331145755525</c:v>
                </c:pt>
                <c:pt idx="28">
                  <c:v>-0.58556132011636042</c:v>
                </c:pt>
                <c:pt idx="29">
                  <c:v>-6.1593251548209015E-2</c:v>
                </c:pt>
              </c:numCache>
            </c:numRef>
          </c:val>
        </c:ser>
        <c:gapWidth val="32"/>
        <c:overlap val="100"/>
        <c:axId val="114089344"/>
        <c:axId val="114170880"/>
      </c:barChart>
      <c:lineChart>
        <c:grouping val="standard"/>
        <c:ser>
          <c:idx val="8"/>
          <c:order val="8"/>
          <c:tx>
            <c:strRef>
              <c:f>'GRAF příspěvky IPP'!$A$40</c:f>
              <c:strCache>
                <c:ptCount val="1"/>
                <c:pt idx="0">
                  <c:v>Průmysl celkem (NACE B až D)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'GRAF příspěvky IPP'!$B$30:$AE$31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'GRAF příspěvky IPP'!$B$40:$AE$40</c:f>
              <c:numCache>
                <c:formatCode>#,##0.0</c:formatCode>
                <c:ptCount val="30"/>
                <c:pt idx="0">
                  <c:v>10</c:v>
                </c:pt>
                <c:pt idx="1">
                  <c:v>8.2000000000000011</c:v>
                </c:pt>
                <c:pt idx="2">
                  <c:v>2.2999999999999998</c:v>
                </c:pt>
                <c:pt idx="3">
                  <c:v>3.4</c:v>
                </c:pt>
                <c:pt idx="4">
                  <c:v>1.4</c:v>
                </c:pt>
                <c:pt idx="5">
                  <c:v>0.9</c:v>
                </c:pt>
                <c:pt idx="6">
                  <c:v>0.1</c:v>
                </c:pt>
                <c:pt idx="7">
                  <c:v>-5.2</c:v>
                </c:pt>
                <c:pt idx="8">
                  <c:v>-3.7</c:v>
                </c:pt>
                <c:pt idx="9">
                  <c:v>-2.8</c:v>
                </c:pt>
                <c:pt idx="10">
                  <c:v>0.8</c:v>
                </c:pt>
                <c:pt idx="11">
                  <c:v>6</c:v>
                </c:pt>
                <c:pt idx="12">
                  <c:v>6.9</c:v>
                </c:pt>
                <c:pt idx="13">
                  <c:v>6.1</c:v>
                </c:pt>
                <c:pt idx="14">
                  <c:v>2.8</c:v>
                </c:pt>
                <c:pt idx="15">
                  <c:v>4.0999999999999996</c:v>
                </c:pt>
                <c:pt idx="16">
                  <c:v>4.9000000000000004</c:v>
                </c:pt>
                <c:pt idx="17">
                  <c:v>5.2</c:v>
                </c:pt>
                <c:pt idx="18">
                  <c:v>6</c:v>
                </c:pt>
                <c:pt idx="19">
                  <c:v>2.2999999999999998</c:v>
                </c:pt>
                <c:pt idx="20">
                  <c:v>4.0999999999999996</c:v>
                </c:pt>
                <c:pt idx="21">
                  <c:v>2.2000000000000002</c:v>
                </c:pt>
                <c:pt idx="22">
                  <c:v>1.8</c:v>
                </c:pt>
                <c:pt idx="23">
                  <c:v>3.4</c:v>
                </c:pt>
                <c:pt idx="24">
                  <c:v>4.7999999999999927</c:v>
                </c:pt>
                <c:pt idx="25">
                  <c:v>8.5</c:v>
                </c:pt>
                <c:pt idx="26">
                  <c:v>6.7000000000000028</c:v>
                </c:pt>
                <c:pt idx="27">
                  <c:v>7.6</c:v>
                </c:pt>
                <c:pt idx="28">
                  <c:v>3.9999999999999969</c:v>
                </c:pt>
                <c:pt idx="29">
                  <c:v>2.299999999999998</c:v>
                </c:pt>
              </c:numCache>
            </c:numRef>
          </c:val>
        </c:ser>
        <c:marker val="1"/>
        <c:axId val="114089344"/>
        <c:axId val="114170880"/>
      </c:lineChart>
      <c:catAx>
        <c:axId val="114089344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4170880"/>
        <c:crosses val="autoZero"/>
        <c:auto val="1"/>
        <c:lblAlgn val="ctr"/>
        <c:lblOffset val="0"/>
      </c:catAx>
      <c:valAx>
        <c:axId val="114170880"/>
        <c:scaling>
          <c:orientation val="minMax"/>
          <c:max val="11"/>
          <c:min val="-6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4089344"/>
        <c:crosses val="autoZero"/>
        <c:crossBetween val="between"/>
        <c:majorUnit val="1"/>
      </c:val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4.1107372900550457E-2"/>
          <c:y val="0.82802404283095155"/>
          <c:w val="0.93932449951909103"/>
          <c:h val="0.16188919209533753"/>
        </c:manualLayout>
      </c:layout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2277854581154255E-2"/>
          <c:y val="1.643251153889452E-2"/>
          <c:w val="0.92988062751698064"/>
          <c:h val="0.77409039738827246"/>
        </c:manualLayout>
      </c:layout>
      <c:barChart>
        <c:barDir val="col"/>
        <c:grouping val="clustered"/>
        <c:ser>
          <c:idx val="0"/>
          <c:order val="0"/>
          <c:tx>
            <c:strRef>
              <c:f>'výkonnost odvětví 2'!$B$31</c:f>
              <c:strCache>
                <c:ptCount val="1"/>
                <c:pt idx="0">
                  <c:v>Průmyslové zakázky 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multiLvlStrRef>
              <c:f>'výkonnost odvětví 2'!$C$29:$AF$30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2'!$C$31:$AF$31</c:f>
              <c:numCache>
                <c:formatCode>#,##0.0__</c:formatCode>
                <c:ptCount val="30"/>
                <c:pt idx="0">
                  <c:v>12.043107093421796</c:v>
                </c:pt>
                <c:pt idx="1">
                  <c:v>5.3292904020963094</c:v>
                </c:pt>
                <c:pt idx="2">
                  <c:v>-1.5038236293274403</c:v>
                </c:pt>
                <c:pt idx="3">
                  <c:v>0.49985199872995251</c:v>
                </c:pt>
                <c:pt idx="4">
                  <c:v>7.8919882289544265</c:v>
                </c:pt>
                <c:pt idx="5">
                  <c:v>0.24363263911027391</c:v>
                </c:pt>
                <c:pt idx="6">
                  <c:v>2.6780600325356119</c:v>
                </c:pt>
                <c:pt idx="7">
                  <c:v>-2.2927798243121345</c:v>
                </c:pt>
                <c:pt idx="8">
                  <c:v>-6.7566875441004868</c:v>
                </c:pt>
                <c:pt idx="9">
                  <c:v>-0.77743908810788365</c:v>
                </c:pt>
                <c:pt idx="10">
                  <c:v>12.110592029586016</c:v>
                </c:pt>
                <c:pt idx="11">
                  <c:v>12.611542535334834</c:v>
                </c:pt>
                <c:pt idx="12">
                  <c:v>18.45457625725863</c:v>
                </c:pt>
                <c:pt idx="13">
                  <c:v>13.812603337719338</c:v>
                </c:pt>
                <c:pt idx="14">
                  <c:v>11.164927309703883</c:v>
                </c:pt>
                <c:pt idx="15">
                  <c:v>7.3250322249586759</c:v>
                </c:pt>
                <c:pt idx="16">
                  <c:v>8.5397251010390267</c:v>
                </c:pt>
                <c:pt idx="17">
                  <c:v>6.4894834031568358</c:v>
                </c:pt>
                <c:pt idx="18">
                  <c:v>4.1045761314248068</c:v>
                </c:pt>
                <c:pt idx="19">
                  <c:v>6.0151063810169205</c:v>
                </c:pt>
                <c:pt idx="20">
                  <c:v>1.3550678522953064</c:v>
                </c:pt>
                <c:pt idx="21">
                  <c:v>10.856046878525468</c:v>
                </c:pt>
                <c:pt idx="22">
                  <c:v>1.6431282237439291</c:v>
                </c:pt>
                <c:pt idx="23">
                  <c:v>6.7220844736941086</c:v>
                </c:pt>
                <c:pt idx="24">
                  <c:v>10.841479121555905</c:v>
                </c:pt>
                <c:pt idx="25">
                  <c:v>4.5315942367003705</c:v>
                </c:pt>
                <c:pt idx="26">
                  <c:v>6.9082617878945767</c:v>
                </c:pt>
                <c:pt idx="27">
                  <c:v>7.5112613571588724</c:v>
                </c:pt>
                <c:pt idx="28">
                  <c:v>1.9174044931699521</c:v>
                </c:pt>
                <c:pt idx="29">
                  <c:v>4.5205907145015232</c:v>
                </c:pt>
              </c:numCache>
            </c:numRef>
          </c:val>
        </c:ser>
        <c:gapWidth val="34"/>
        <c:overlap val="28"/>
        <c:axId val="116751360"/>
        <c:axId val="116782592"/>
      </c:barChart>
      <c:lineChart>
        <c:grouping val="standard"/>
        <c:ser>
          <c:idx val="2"/>
          <c:order val="1"/>
          <c:tx>
            <c:strRef>
              <c:f>'výkonnost odvětví 2'!$B$32</c:f>
              <c:strCache>
                <c:ptCount val="1"/>
                <c:pt idx="0">
                  <c:v>Průmyslové zakázky z tuzemska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2'!$C$29:$AF$30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2'!$C$32:$AF$32</c:f>
              <c:numCache>
                <c:formatCode>#,##0.0__</c:formatCode>
                <c:ptCount val="30"/>
                <c:pt idx="0">
                  <c:v>2.8145814762462464</c:v>
                </c:pt>
                <c:pt idx="1">
                  <c:v>-0.651603618042502</c:v>
                </c:pt>
                <c:pt idx="2">
                  <c:v>-11.671782921579478</c:v>
                </c:pt>
                <c:pt idx="3">
                  <c:v>-10.696553890943122</c:v>
                </c:pt>
                <c:pt idx="4">
                  <c:v>2.6214056871317126</c:v>
                </c:pt>
                <c:pt idx="5">
                  <c:v>-9.2467743432498679</c:v>
                </c:pt>
                <c:pt idx="6">
                  <c:v>-2.8571545096936277</c:v>
                </c:pt>
                <c:pt idx="7">
                  <c:v>-4.0487324448534139</c:v>
                </c:pt>
                <c:pt idx="8">
                  <c:v>-7.112663177047466</c:v>
                </c:pt>
                <c:pt idx="9">
                  <c:v>-0.59561460542927591</c:v>
                </c:pt>
                <c:pt idx="10">
                  <c:v>9.3847374388735147</c:v>
                </c:pt>
                <c:pt idx="11">
                  <c:v>7.0782158358476011</c:v>
                </c:pt>
                <c:pt idx="12">
                  <c:v>14.183839645941402</c:v>
                </c:pt>
                <c:pt idx="13">
                  <c:v>7.7929541685002057</c:v>
                </c:pt>
                <c:pt idx="14">
                  <c:v>16.845115352064926</c:v>
                </c:pt>
                <c:pt idx="15">
                  <c:v>9.6787104542652713</c:v>
                </c:pt>
                <c:pt idx="16">
                  <c:v>4.3419613010107314</c:v>
                </c:pt>
                <c:pt idx="17">
                  <c:v>10.024449168168022</c:v>
                </c:pt>
                <c:pt idx="18">
                  <c:v>-4.7604240586837046</c:v>
                </c:pt>
                <c:pt idx="19">
                  <c:v>0.56107209694786753</c:v>
                </c:pt>
                <c:pt idx="20">
                  <c:v>0.20304376106223312</c:v>
                </c:pt>
                <c:pt idx="21">
                  <c:v>4.9376200007964304</c:v>
                </c:pt>
                <c:pt idx="22">
                  <c:v>-0.65834656713856565</c:v>
                </c:pt>
                <c:pt idx="23">
                  <c:v>2.8730898893807049</c:v>
                </c:pt>
                <c:pt idx="24">
                  <c:v>16.722989365311626</c:v>
                </c:pt>
                <c:pt idx="25">
                  <c:v>11.567742610098021</c:v>
                </c:pt>
                <c:pt idx="26">
                  <c:v>14.702871802754668</c:v>
                </c:pt>
                <c:pt idx="27">
                  <c:v>15.641374658030248</c:v>
                </c:pt>
                <c:pt idx="28">
                  <c:v>-0.60650382327463603</c:v>
                </c:pt>
                <c:pt idx="29">
                  <c:v>3.3658740827299312</c:v>
                </c:pt>
              </c:numCache>
            </c:numRef>
          </c:val>
        </c:ser>
        <c:ser>
          <c:idx val="5"/>
          <c:order val="2"/>
          <c:tx>
            <c:strRef>
              <c:f>'výkonnost odvětví 2'!$B$33</c:f>
              <c:strCache>
                <c:ptCount val="1"/>
                <c:pt idx="0">
                  <c:v>Průmyslové zakázky ze zahraničí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2'!$C$29:$AF$30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2'!$C$33:$AF$33</c:f>
              <c:numCache>
                <c:formatCode>#,##0.0__</c:formatCode>
                <c:ptCount val="30"/>
                <c:pt idx="0">
                  <c:v>18.34836623218202</c:v>
                </c:pt>
                <c:pt idx="1">
                  <c:v>9.5205491734487566</c:v>
                </c:pt>
                <c:pt idx="2">
                  <c:v>5.6720014781022305</c:v>
                </c:pt>
                <c:pt idx="3">
                  <c:v>8.638303197539857</c:v>
                </c:pt>
                <c:pt idx="4">
                  <c:v>11.020383939537369</c:v>
                </c:pt>
                <c:pt idx="5">
                  <c:v>6.2765650038583436</c:v>
                </c:pt>
                <c:pt idx="6">
                  <c:v>5.9432769293397172</c:v>
                </c:pt>
                <c:pt idx="7">
                  <c:v>-1.2435728368122061</c:v>
                </c:pt>
                <c:pt idx="8">
                  <c:v>-6.5613801859878365</c:v>
                </c:pt>
                <c:pt idx="9">
                  <c:v>-0.8761398590468884</c:v>
                </c:pt>
                <c:pt idx="10">
                  <c:v>13.585000036266127</c:v>
                </c:pt>
                <c:pt idx="11">
                  <c:v>15.823871636824705</c:v>
                </c:pt>
                <c:pt idx="12">
                  <c:v>20.558652721652518</c:v>
                </c:pt>
                <c:pt idx="13">
                  <c:v>16.687921882537509</c:v>
                </c:pt>
                <c:pt idx="14">
                  <c:v>8.5531225813094967</c:v>
                </c:pt>
                <c:pt idx="15">
                  <c:v>6.3161284689543784</c:v>
                </c:pt>
                <c:pt idx="16">
                  <c:v>10.348522192193441</c:v>
                </c:pt>
                <c:pt idx="17">
                  <c:v>5.0066840085656965</c:v>
                </c:pt>
                <c:pt idx="18">
                  <c:v>8.2506299270615511</c:v>
                </c:pt>
                <c:pt idx="19">
                  <c:v>8.5340301032502452</c:v>
                </c:pt>
                <c:pt idx="20">
                  <c:v>1.8244492596639788</c:v>
                </c:pt>
                <c:pt idx="21">
                  <c:v>13.457258781079091</c:v>
                </c:pt>
                <c:pt idx="22">
                  <c:v>2.5901270212493452</c:v>
                </c:pt>
                <c:pt idx="23">
                  <c:v>8.3691406681191598</c:v>
                </c:pt>
                <c:pt idx="24">
                  <c:v>8.483271558879153</c:v>
                </c:pt>
                <c:pt idx="25">
                  <c:v>1.6713484154001037</c:v>
                </c:pt>
                <c:pt idx="26">
                  <c:v>3.8025338260982662</c:v>
                </c:pt>
                <c:pt idx="27">
                  <c:v>4.2086773810061358</c:v>
                </c:pt>
                <c:pt idx="28">
                  <c:v>3.0062352307807028</c:v>
                </c:pt>
                <c:pt idx="29">
                  <c:v>5.0356815867785674</c:v>
                </c:pt>
              </c:numCache>
            </c:numRef>
          </c:val>
        </c:ser>
        <c:ser>
          <c:idx val="3"/>
          <c:order val="3"/>
          <c:tx>
            <c:strRef>
              <c:f>'výkonnost odvětví 2'!$B$34</c:f>
              <c:strCache>
                <c:ptCount val="1"/>
                <c:pt idx="0">
                  <c:v>Celkové zakázky ve výrobě motor. voz.</c:v>
                </c:pt>
              </c:strCache>
            </c:strRef>
          </c:tx>
          <c:spPr>
            <a:ln w="19050">
              <a:noFill/>
              <a:prstDash val="sysDash"/>
            </a:ln>
          </c:spPr>
          <c:marker>
            <c:symbol val="diamond"/>
            <c:size val="5"/>
            <c:spPr>
              <a:solidFill>
                <a:srgbClr val="FFFF00"/>
              </a:solidFill>
              <a:ln w="6350">
                <a:solidFill>
                  <a:prstClr val="black">
                    <a:lumMod val="95000"/>
                    <a:lumOff val="5000"/>
                  </a:prstClr>
                </a:solidFill>
              </a:ln>
            </c:spPr>
          </c:marker>
          <c:cat>
            <c:multiLvlStrRef>
              <c:f>'výkonnost odvětví 2'!$C$29:$AF$30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2'!$C$34:$AF$34</c:f>
              <c:numCache>
                <c:formatCode>#,##0.0__</c:formatCode>
                <c:ptCount val="30"/>
                <c:pt idx="0">
                  <c:v>11.429400379513879</c:v>
                </c:pt>
                <c:pt idx="1">
                  <c:v>9.2048286805520956</c:v>
                </c:pt>
                <c:pt idx="2">
                  <c:v>4.4139955552265207</c:v>
                </c:pt>
                <c:pt idx="3">
                  <c:v>5.3718735076924125</c:v>
                </c:pt>
                <c:pt idx="4">
                  <c:v>19.54636851917148</c:v>
                </c:pt>
                <c:pt idx="5">
                  <c:v>4.6887564118292016</c:v>
                </c:pt>
                <c:pt idx="6">
                  <c:v>1.3322326875189248</c:v>
                </c:pt>
                <c:pt idx="7">
                  <c:v>-2.0219087809167182</c:v>
                </c:pt>
                <c:pt idx="8">
                  <c:v>-15.42372622798851</c:v>
                </c:pt>
                <c:pt idx="9">
                  <c:v>-3.0233686336023182</c:v>
                </c:pt>
                <c:pt idx="10">
                  <c:v>24.654149056071926</c:v>
                </c:pt>
                <c:pt idx="11">
                  <c:v>18.470996489023367</c:v>
                </c:pt>
                <c:pt idx="12">
                  <c:v>33.791068906341536</c:v>
                </c:pt>
                <c:pt idx="13">
                  <c:v>22.392943648551356</c:v>
                </c:pt>
                <c:pt idx="14">
                  <c:v>16.969041222835102</c:v>
                </c:pt>
                <c:pt idx="15">
                  <c:v>12.211301534151115</c:v>
                </c:pt>
                <c:pt idx="16">
                  <c:v>15.316352438277944</c:v>
                </c:pt>
                <c:pt idx="17">
                  <c:v>5.5843434565174555</c:v>
                </c:pt>
                <c:pt idx="18">
                  <c:v>13.898535777390734</c:v>
                </c:pt>
                <c:pt idx="19">
                  <c:v>18.975191723154538</c:v>
                </c:pt>
                <c:pt idx="20">
                  <c:v>11.460497347422461</c:v>
                </c:pt>
                <c:pt idx="21">
                  <c:v>33.085131031292185</c:v>
                </c:pt>
                <c:pt idx="22">
                  <c:v>5.912380139380474</c:v>
                </c:pt>
                <c:pt idx="23">
                  <c:v>12.001000805244416</c:v>
                </c:pt>
                <c:pt idx="24">
                  <c:v>7.9804719471503214</c:v>
                </c:pt>
                <c:pt idx="25">
                  <c:v>-1.759261247336493</c:v>
                </c:pt>
                <c:pt idx="26">
                  <c:v>3.8626497182263222</c:v>
                </c:pt>
                <c:pt idx="27">
                  <c:v>0.3737671056841238</c:v>
                </c:pt>
                <c:pt idx="28">
                  <c:v>0.16803199459185691</c:v>
                </c:pt>
                <c:pt idx="29">
                  <c:v>3.1477893347092731</c:v>
                </c:pt>
              </c:numCache>
            </c:numRef>
          </c:val>
        </c:ser>
        <c:marker val="1"/>
        <c:axId val="116751360"/>
        <c:axId val="116782592"/>
      </c:lineChart>
      <c:lineChart>
        <c:grouping val="standard"/>
        <c:ser>
          <c:idx val="4"/>
          <c:order val="4"/>
          <c:tx>
            <c:strRef>
              <c:f>'výkonnost odvětví 2'!$B$35</c:f>
              <c:strCache>
                <c:ptCount val="1"/>
                <c:pt idx="0">
                  <c:v>Saldo souhr. indikát. důvěry v průmyslu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9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2'!$C$29:$AF$30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2'!$C$35:$AF$35</c:f>
              <c:numCache>
                <c:formatCode>0.0</c:formatCode>
                <c:ptCount val="30"/>
                <c:pt idx="0">
                  <c:v>12.200000000000001</c:v>
                </c:pt>
                <c:pt idx="1">
                  <c:v>5.8999999999999995</c:v>
                </c:pt>
                <c:pt idx="2">
                  <c:v>2.4333333333333331</c:v>
                </c:pt>
                <c:pt idx="3">
                  <c:v>1.8</c:v>
                </c:pt>
                <c:pt idx="4">
                  <c:v>1.5666666666666667</c:v>
                </c:pt>
                <c:pt idx="5">
                  <c:v>-2.5666666666666669</c:v>
                </c:pt>
                <c:pt idx="6">
                  <c:v>-8.9</c:v>
                </c:pt>
                <c:pt idx="7">
                  <c:v>-10.200000000000001</c:v>
                </c:pt>
                <c:pt idx="8">
                  <c:v>-8.9</c:v>
                </c:pt>
                <c:pt idx="9">
                  <c:v>-10</c:v>
                </c:pt>
                <c:pt idx="10">
                  <c:v>-6.2333333333333432</c:v>
                </c:pt>
                <c:pt idx="11">
                  <c:v>1.7000000000000002</c:v>
                </c:pt>
                <c:pt idx="12">
                  <c:v>2.3333333333333335</c:v>
                </c:pt>
                <c:pt idx="13">
                  <c:v>3.6333333333333342</c:v>
                </c:pt>
                <c:pt idx="14">
                  <c:v>2.5333333333333332</c:v>
                </c:pt>
                <c:pt idx="15">
                  <c:v>2.6666666666666665</c:v>
                </c:pt>
                <c:pt idx="16">
                  <c:v>3</c:v>
                </c:pt>
                <c:pt idx="17">
                  <c:v>3.7666666666666671</c:v>
                </c:pt>
                <c:pt idx="18">
                  <c:v>3.7666666666666671</c:v>
                </c:pt>
                <c:pt idx="19">
                  <c:v>0.76666666666666661</c:v>
                </c:pt>
                <c:pt idx="20">
                  <c:v>3.5666666666666664</c:v>
                </c:pt>
                <c:pt idx="21">
                  <c:v>1.9000000000000001</c:v>
                </c:pt>
                <c:pt idx="22">
                  <c:v>3.7666666666666671</c:v>
                </c:pt>
                <c:pt idx="23">
                  <c:v>5.333333333333341</c:v>
                </c:pt>
                <c:pt idx="24">
                  <c:v>3.3333333333333335</c:v>
                </c:pt>
                <c:pt idx="25">
                  <c:v>0.8333333333333337</c:v>
                </c:pt>
                <c:pt idx="26">
                  <c:v>3.8666666666666667</c:v>
                </c:pt>
                <c:pt idx="27">
                  <c:v>5.8</c:v>
                </c:pt>
                <c:pt idx="28">
                  <c:v>3.9</c:v>
                </c:pt>
                <c:pt idx="29">
                  <c:v>3.4333333333333336</c:v>
                </c:pt>
              </c:numCache>
            </c:numRef>
          </c:val>
        </c:ser>
        <c:marker val="1"/>
        <c:axId val="116798976"/>
        <c:axId val="116800512"/>
      </c:lineChart>
      <c:catAx>
        <c:axId val="116751360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6782592"/>
        <c:crossesAt val="0"/>
        <c:lblAlgn val="ctr"/>
        <c:lblOffset val="0"/>
        <c:tickLblSkip val="1"/>
        <c:tickMarkSkip val="4"/>
      </c:catAx>
      <c:valAx>
        <c:axId val="116782592"/>
        <c:scaling>
          <c:orientation val="minMax"/>
          <c:max val="36"/>
          <c:min val="-1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6751360"/>
        <c:crosses val="autoZero"/>
        <c:crossBetween val="between"/>
        <c:majorUnit val="4"/>
      </c:valAx>
      <c:catAx>
        <c:axId val="116798976"/>
        <c:scaling>
          <c:orientation val="minMax"/>
        </c:scaling>
        <c:delete val="1"/>
        <c:axPos val="b"/>
        <c:numFmt formatCode="General" sourceLinked="1"/>
        <c:tickLblPos val="none"/>
        <c:crossAx val="116800512"/>
        <c:crosses val="autoZero"/>
        <c:auto val="1"/>
        <c:lblAlgn val="ctr"/>
        <c:lblOffset val="100"/>
      </c:catAx>
      <c:valAx>
        <c:axId val="116800512"/>
        <c:scaling>
          <c:orientation val="minMax"/>
          <c:max val="40"/>
          <c:min val="-30"/>
        </c:scaling>
        <c:delete val="1"/>
        <c:axPos val="r"/>
        <c:numFmt formatCode="0" sourceLinked="0"/>
        <c:majorTickMark val="in"/>
        <c:tickLblPos val="none"/>
        <c:crossAx val="116798976"/>
        <c:crosses val="max"/>
        <c:crossBetween val="between"/>
        <c:majorUnit val="10"/>
      </c:valAx>
      <c:spPr>
        <a:solidFill>
          <a:srgbClr val="FFFFFF"/>
        </a:solidFill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2455780139263733E-2"/>
          <c:y val="0.87896093662051433"/>
          <c:w val="0.93069499440685199"/>
          <c:h val="0.10687971406056511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6.15040945877997E-2"/>
          <c:y val="1.6563187842952912E-2"/>
          <c:w val="0.92847707700101312"/>
          <c:h val="0.749644470623404"/>
        </c:manualLayout>
      </c:layout>
      <c:barChart>
        <c:barDir val="col"/>
        <c:grouping val="clustered"/>
        <c:ser>
          <c:idx val="0"/>
          <c:order val="0"/>
          <c:tx>
            <c:strRef>
              <c:f>'výkonnost odvětví 3'!$C$10</c:f>
              <c:strCache>
                <c:ptCount val="1"/>
                <c:pt idx="0">
                  <c:v>Index stavební produkce (ISP)*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multiLvlStrRef>
              <c:f>'výkonnost odvětví 3'!$A$15:$B$44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3'!$C$15:$C$44</c:f>
              <c:numCache>
                <c:formatCode>0.0</c:formatCode>
                <c:ptCount val="30"/>
                <c:pt idx="0">
                  <c:v>5.4547967684881087</c:v>
                </c:pt>
                <c:pt idx="1">
                  <c:v>-5.173432528566976</c:v>
                </c:pt>
                <c:pt idx="2">
                  <c:v>-9.0565782351273576</c:v>
                </c:pt>
                <c:pt idx="3">
                  <c:v>-0.49270322945649525</c:v>
                </c:pt>
                <c:pt idx="4">
                  <c:v>-9.815853949047975</c:v>
                </c:pt>
                <c:pt idx="5">
                  <c:v>-4.9399811658649124</c:v>
                </c:pt>
                <c:pt idx="6">
                  <c:v>-5.6510757148012516</c:v>
                </c:pt>
                <c:pt idx="7">
                  <c:v>-9.499054465131703</c:v>
                </c:pt>
                <c:pt idx="8">
                  <c:v>-10.572618150498869</c:v>
                </c:pt>
                <c:pt idx="9">
                  <c:v>-11.627766064039051</c:v>
                </c:pt>
                <c:pt idx="10">
                  <c:v>-4.9398947451908626</c:v>
                </c:pt>
                <c:pt idx="11">
                  <c:v>-2.6212387790635887</c:v>
                </c:pt>
                <c:pt idx="12">
                  <c:v>13.065404457593319</c:v>
                </c:pt>
                <c:pt idx="13">
                  <c:v>5.55664939484992</c:v>
                </c:pt>
                <c:pt idx="14">
                  <c:v>2.4466345560924423</c:v>
                </c:pt>
                <c:pt idx="15">
                  <c:v>1.1198511878155839</c:v>
                </c:pt>
                <c:pt idx="16">
                  <c:v>9.1960028555017548</c:v>
                </c:pt>
                <c:pt idx="17">
                  <c:v>11.97873044320497</c:v>
                </c:pt>
                <c:pt idx="18">
                  <c:v>7.8527866781581332</c:v>
                </c:pt>
                <c:pt idx="19">
                  <c:v>0.93515611046851621</c:v>
                </c:pt>
                <c:pt idx="20">
                  <c:v>-6.2655201570786065</c:v>
                </c:pt>
                <c:pt idx="21">
                  <c:v>-10.232071921410922</c:v>
                </c:pt>
                <c:pt idx="22">
                  <c:v>-5.9099820656760329</c:v>
                </c:pt>
                <c:pt idx="23">
                  <c:v>-1.6489038957721638</c:v>
                </c:pt>
                <c:pt idx="24">
                  <c:v>-0.85013277421342082</c:v>
                </c:pt>
                <c:pt idx="25">
                  <c:v>9.0007470610050877</c:v>
                </c:pt>
                <c:pt idx="26">
                  <c:v>2.0581071575726018</c:v>
                </c:pt>
                <c:pt idx="27">
                  <c:v>2.9381763458613812</c:v>
                </c:pt>
                <c:pt idx="28">
                  <c:v>13.181946330304072</c:v>
                </c:pt>
                <c:pt idx="29">
                  <c:v>6.426917995731813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80-457D-84D4-4F68A251E689}"/>
            </c:ext>
          </c:extLst>
        </c:ser>
        <c:gapWidth val="31"/>
        <c:axId val="117148288"/>
        <c:axId val="117163520"/>
      </c:barChart>
      <c:lineChart>
        <c:grouping val="standard"/>
        <c:ser>
          <c:idx val="1"/>
          <c:order val="1"/>
          <c:tx>
            <c:strRef>
              <c:f>'výkonnost odvětví 3'!$D$10</c:f>
              <c:strCache>
                <c:ptCount val="1"/>
                <c:pt idx="0">
                  <c:v>ISP v pozemním stavitelství*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3'!$A$15:$B$44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3'!$D$15:$D$44</c:f>
              <c:numCache>
                <c:formatCode>0.0</c:formatCode>
                <c:ptCount val="30"/>
                <c:pt idx="0">
                  <c:v>8.643687148281515</c:v>
                </c:pt>
                <c:pt idx="1">
                  <c:v>-1.76295758536683</c:v>
                </c:pt>
                <c:pt idx="2">
                  <c:v>-6.4095020002379499</c:v>
                </c:pt>
                <c:pt idx="3">
                  <c:v>2.1112324310021933</c:v>
                </c:pt>
                <c:pt idx="4">
                  <c:v>-7.1532412146404596</c:v>
                </c:pt>
                <c:pt idx="5">
                  <c:v>-2.3484865143246028</c:v>
                </c:pt>
                <c:pt idx="6">
                  <c:v>-5.1485451817733594</c:v>
                </c:pt>
                <c:pt idx="7">
                  <c:v>-9.6734545797587064</c:v>
                </c:pt>
                <c:pt idx="8">
                  <c:v>-9.7993229316906589</c:v>
                </c:pt>
                <c:pt idx="9">
                  <c:v>-11.07864863156108</c:v>
                </c:pt>
                <c:pt idx="10">
                  <c:v>-1.5544956967322878</c:v>
                </c:pt>
                <c:pt idx="11">
                  <c:v>-2.8814188410152184</c:v>
                </c:pt>
                <c:pt idx="12">
                  <c:v>16.321006513626514</c:v>
                </c:pt>
                <c:pt idx="13">
                  <c:v>5.2628048628393245</c:v>
                </c:pt>
                <c:pt idx="14">
                  <c:v>-0.63581651846185161</c:v>
                </c:pt>
                <c:pt idx="15">
                  <c:v>-0.52994003482804464</c:v>
                </c:pt>
                <c:pt idx="16">
                  <c:v>7.7256468103625622</c:v>
                </c:pt>
                <c:pt idx="17">
                  <c:v>7.3251629054349925</c:v>
                </c:pt>
                <c:pt idx="18">
                  <c:v>1.2043700315632861</c:v>
                </c:pt>
                <c:pt idx="19">
                  <c:v>-2.6463735386968072</c:v>
                </c:pt>
                <c:pt idx="20">
                  <c:v>-6.4584025270336314</c:v>
                </c:pt>
                <c:pt idx="21">
                  <c:v>-7.5484465898539304</c:v>
                </c:pt>
                <c:pt idx="22">
                  <c:v>1.2341559267486171</c:v>
                </c:pt>
                <c:pt idx="23">
                  <c:v>6.1457971578372455</c:v>
                </c:pt>
                <c:pt idx="24">
                  <c:v>3.0113147792611699</c:v>
                </c:pt>
                <c:pt idx="25">
                  <c:v>14.58606830794295</c:v>
                </c:pt>
                <c:pt idx="26">
                  <c:v>5.000693434710402</c:v>
                </c:pt>
                <c:pt idx="27">
                  <c:v>3.8225430782295997</c:v>
                </c:pt>
                <c:pt idx="28">
                  <c:v>14.689957913218009</c:v>
                </c:pt>
                <c:pt idx="29">
                  <c:v>7.4324099151760814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80-457D-84D4-4F68A251E689}"/>
            </c:ext>
          </c:extLst>
        </c:ser>
        <c:ser>
          <c:idx val="2"/>
          <c:order val="2"/>
          <c:tx>
            <c:strRef>
              <c:f>'výkonnost odvětví 3'!$E$10</c:f>
              <c:strCache>
                <c:ptCount val="1"/>
                <c:pt idx="0">
                  <c:v>ISP v inženýrském stavitelství*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3'!$A$15:$B$44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3'!$E$15:$E$44</c:f>
              <c:numCache>
                <c:formatCode>0.0</c:formatCode>
                <c:ptCount val="30"/>
                <c:pt idx="0">
                  <c:v>-2.78908944886502</c:v>
                </c:pt>
                <c:pt idx="1">
                  <c:v>-11.787487635893656</c:v>
                </c:pt>
                <c:pt idx="2">
                  <c:v>-14.375798659442106</c:v>
                </c:pt>
                <c:pt idx="3">
                  <c:v>-5.9114243768010475</c:v>
                </c:pt>
                <c:pt idx="4">
                  <c:v>-17.508750433219717</c:v>
                </c:pt>
                <c:pt idx="5">
                  <c:v>-10.536891513552632</c:v>
                </c:pt>
                <c:pt idx="6">
                  <c:v>-6.7548473187488005</c:v>
                </c:pt>
                <c:pt idx="7">
                  <c:v>-9.1051871494778283</c:v>
                </c:pt>
                <c:pt idx="8">
                  <c:v>-13.087317526163702</c:v>
                </c:pt>
                <c:pt idx="9">
                  <c:v>-12.92225475103762</c:v>
                </c:pt>
                <c:pt idx="10">
                  <c:v>-12.503770089076568</c:v>
                </c:pt>
                <c:pt idx="11">
                  <c:v>-2.0373185905058597</c:v>
                </c:pt>
                <c:pt idx="12">
                  <c:v>2.0779090558675612</c:v>
                </c:pt>
                <c:pt idx="13">
                  <c:v>6.2640240917004775</c:v>
                </c:pt>
                <c:pt idx="14">
                  <c:v>10.195484215252153</c:v>
                </c:pt>
                <c:pt idx="15">
                  <c:v>4.7905616685082855</c:v>
                </c:pt>
                <c:pt idx="16">
                  <c:v>14.850790359833114</c:v>
                </c:pt>
                <c:pt idx="17">
                  <c:v>23.075756570990706</c:v>
                </c:pt>
                <c:pt idx="18">
                  <c:v>22.923206180836129</c:v>
                </c:pt>
                <c:pt idx="19">
                  <c:v>8.4993021566949665</c:v>
                </c:pt>
                <c:pt idx="20">
                  <c:v>-5.5697409692054745</c:v>
                </c:pt>
                <c:pt idx="21">
                  <c:v>-15.812551358433454</c:v>
                </c:pt>
                <c:pt idx="22">
                  <c:v>-19.242811842824889</c:v>
                </c:pt>
                <c:pt idx="23">
                  <c:v>-16.420111674620689</c:v>
                </c:pt>
                <c:pt idx="24">
                  <c:v>-14.648339343580091</c:v>
                </c:pt>
                <c:pt idx="25">
                  <c:v>-3.7537885685544397</c:v>
                </c:pt>
                <c:pt idx="26">
                  <c:v>-4.8259993710043565</c:v>
                </c:pt>
                <c:pt idx="27">
                  <c:v>0.8097924844530171</c:v>
                </c:pt>
                <c:pt idx="28">
                  <c:v>6.6784015645310575</c:v>
                </c:pt>
                <c:pt idx="29">
                  <c:v>3.693265827719955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80-457D-84D4-4F68A251E689}"/>
            </c:ext>
          </c:extLst>
        </c:ser>
        <c:ser>
          <c:idx val="3"/>
          <c:order val="3"/>
          <c:tx>
            <c:strRef>
              <c:f>'výkonnost odvětví 3'!$F$10</c:f>
              <c:strCache>
                <c:ptCount val="1"/>
                <c:pt idx="0">
                  <c:v>Nové zakázky ve stavebnictví celkem</c:v>
                </c:pt>
              </c:strCache>
            </c:strRef>
          </c:tx>
          <c:spPr>
            <a:ln w="19050">
              <a:solidFill>
                <a:srgbClr val="7DBB2D"/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3'!$A$15:$B$44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3'!$F$15:$F$44</c:f>
              <c:numCache>
                <c:formatCode>0.0</c:formatCode>
                <c:ptCount val="30"/>
                <c:pt idx="0">
                  <c:v>37.795405718063428</c:v>
                </c:pt>
                <c:pt idx="1">
                  <c:v>-23.56567256698094</c:v>
                </c:pt>
                <c:pt idx="2">
                  <c:v>-23.360716461156017</c:v>
                </c:pt>
                <c:pt idx="3">
                  <c:v>-9.1653963414634205</c:v>
                </c:pt>
                <c:pt idx="4">
                  <c:v>-46.322059646598063</c:v>
                </c:pt>
                <c:pt idx="5">
                  <c:v>-13.714800630772698</c:v>
                </c:pt>
                <c:pt idx="6">
                  <c:v>-7.6729748888363645</c:v>
                </c:pt>
                <c:pt idx="7">
                  <c:v>7.5624082232011753</c:v>
                </c:pt>
                <c:pt idx="8">
                  <c:v>-17.695687793252535</c:v>
                </c:pt>
                <c:pt idx="9">
                  <c:v>-1.584773641063137</c:v>
                </c:pt>
                <c:pt idx="10">
                  <c:v>-1.3308205951467045</c:v>
                </c:pt>
                <c:pt idx="11">
                  <c:v>16.153096050706978</c:v>
                </c:pt>
                <c:pt idx="12">
                  <c:v>67.509727626458456</c:v>
                </c:pt>
                <c:pt idx="13">
                  <c:v>18.978644382543816</c:v>
                </c:pt>
                <c:pt idx="14">
                  <c:v>34.050931384107542</c:v>
                </c:pt>
                <c:pt idx="15">
                  <c:v>-1</c:v>
                </c:pt>
                <c:pt idx="16">
                  <c:v>-3.1547956675580053</c:v>
                </c:pt>
                <c:pt idx="17">
                  <c:v>9.7504961091664182</c:v>
                </c:pt>
                <c:pt idx="18">
                  <c:v>-1.0976060227612561</c:v>
                </c:pt>
                <c:pt idx="19">
                  <c:v>-2.3987783410040464</c:v>
                </c:pt>
                <c:pt idx="20">
                  <c:v>-6.6406358945753805</c:v>
                </c:pt>
                <c:pt idx="21">
                  <c:v>-0.49977652269311085</c:v>
                </c:pt>
                <c:pt idx="22">
                  <c:v>-7.0322087253454839</c:v>
                </c:pt>
                <c:pt idx="23">
                  <c:v>10.122126124559955</c:v>
                </c:pt>
                <c:pt idx="24">
                  <c:v>16.177217458847615</c:v>
                </c:pt>
                <c:pt idx="25">
                  <c:v>9.5350878984013985</c:v>
                </c:pt>
                <c:pt idx="26">
                  <c:v>-1.2817324431350698</c:v>
                </c:pt>
                <c:pt idx="27">
                  <c:v>15.620806693503823</c:v>
                </c:pt>
                <c:pt idx="28">
                  <c:v>28.623225673729589</c:v>
                </c:pt>
                <c:pt idx="29">
                  <c:v>32.039070218279065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80-457D-84D4-4F68A251E689}"/>
            </c:ext>
          </c:extLst>
        </c:ser>
        <c:ser>
          <c:idx val="4"/>
          <c:order val="4"/>
          <c:tx>
            <c:strRef>
              <c:f>'výkonnost odvětví 3'!$G$10</c:f>
              <c:strCache>
                <c:ptCount val="1"/>
                <c:pt idx="0">
                  <c:v>Saldo indik. důvěry ve stavebnictví</c:v>
                </c:pt>
              </c:strCache>
            </c:strRef>
          </c:tx>
          <c:spPr>
            <a:ln w="19050">
              <a:noFill/>
              <a:prstDash val="solid"/>
            </a:ln>
          </c:spPr>
          <c:marker>
            <c:symbol val="dash"/>
            <c:size val="9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3'!$A$15:$B$44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3'!$G$15:$G$44</c:f>
              <c:numCache>
                <c:formatCode>0.0</c:formatCode>
                <c:ptCount val="30"/>
                <c:pt idx="0">
                  <c:v>-40</c:v>
                </c:pt>
                <c:pt idx="1">
                  <c:v>-40.333333333333336</c:v>
                </c:pt>
                <c:pt idx="2">
                  <c:v>-39.166666666666153</c:v>
                </c:pt>
                <c:pt idx="3">
                  <c:v>-39.333333333333336</c:v>
                </c:pt>
                <c:pt idx="4">
                  <c:v>-46</c:v>
                </c:pt>
                <c:pt idx="5">
                  <c:v>-45.333333333333336</c:v>
                </c:pt>
                <c:pt idx="6">
                  <c:v>-43.5</c:v>
                </c:pt>
                <c:pt idx="7">
                  <c:v>-44.666666666666153</c:v>
                </c:pt>
                <c:pt idx="8">
                  <c:v>-46</c:v>
                </c:pt>
                <c:pt idx="9">
                  <c:v>-53.333333333333336</c:v>
                </c:pt>
                <c:pt idx="10">
                  <c:v>-49.5</c:v>
                </c:pt>
                <c:pt idx="11">
                  <c:v>-50.833333333333336</c:v>
                </c:pt>
                <c:pt idx="12">
                  <c:v>-45.166666666666153</c:v>
                </c:pt>
                <c:pt idx="13">
                  <c:v>-38.333333333333336</c:v>
                </c:pt>
                <c:pt idx="14">
                  <c:v>-32</c:v>
                </c:pt>
                <c:pt idx="15">
                  <c:v>-25.166666666666668</c:v>
                </c:pt>
                <c:pt idx="16">
                  <c:v>-20.833333333333087</c:v>
                </c:pt>
                <c:pt idx="17">
                  <c:v>-16.333333333333087</c:v>
                </c:pt>
                <c:pt idx="18">
                  <c:v>-18.666666666666668</c:v>
                </c:pt>
                <c:pt idx="19">
                  <c:v>-15.666666666666726</c:v>
                </c:pt>
                <c:pt idx="20">
                  <c:v>-17.166666666666668</c:v>
                </c:pt>
                <c:pt idx="21">
                  <c:v>-24</c:v>
                </c:pt>
                <c:pt idx="22">
                  <c:v>-26.666666666666668</c:v>
                </c:pt>
                <c:pt idx="23">
                  <c:v>-25.833333333333087</c:v>
                </c:pt>
                <c:pt idx="24">
                  <c:v>-24.5</c:v>
                </c:pt>
                <c:pt idx="25">
                  <c:v>-22.666666666666668</c:v>
                </c:pt>
                <c:pt idx="26">
                  <c:v>-19.833333333333087</c:v>
                </c:pt>
                <c:pt idx="27">
                  <c:v>-15.166666666666726</c:v>
                </c:pt>
                <c:pt idx="28">
                  <c:v>-9.6666666666666767</c:v>
                </c:pt>
                <c:pt idx="29">
                  <c:v>-5.666666666666667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80-457D-84D4-4F68A251E689}"/>
            </c:ext>
          </c:extLst>
        </c:ser>
        <c:marker val="1"/>
        <c:axId val="117148288"/>
        <c:axId val="117163520"/>
      </c:lineChart>
      <c:catAx>
        <c:axId val="117148288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7163520"/>
        <c:crossesAt val="0"/>
        <c:lblAlgn val="ctr"/>
        <c:lblOffset val="0"/>
        <c:tickLblSkip val="1"/>
        <c:tickMarkSkip val="4"/>
      </c:catAx>
      <c:valAx>
        <c:axId val="117163520"/>
        <c:scaling>
          <c:orientation val="minMax"/>
          <c:max val="50"/>
          <c:min val="-6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7148288"/>
        <c:crosses val="autoZero"/>
        <c:crossBetween val="between"/>
        <c:majorUnit val="10"/>
      </c:valAx>
      <c:spPr>
        <a:solidFill>
          <a:srgbClr val="FFFFFF"/>
        </a:solidFill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104910389042733E-2"/>
          <c:y val="0.86288036570346338"/>
          <c:w val="0.92926297419604775"/>
          <c:h val="0.12280263680764775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3337294494629933E-2"/>
          <c:y val="2.1873600091567656E-2"/>
          <c:w val="0.91372590696101663"/>
          <c:h val="0.72182682958253064"/>
        </c:manualLayout>
      </c:layout>
      <c:barChart>
        <c:barDir val="col"/>
        <c:grouping val="clustered"/>
        <c:ser>
          <c:idx val="0"/>
          <c:order val="0"/>
          <c:tx>
            <c:strRef>
              <c:f>'výkonnost odvětví 5'!$C$10</c:f>
              <c:strCache>
                <c:ptCount val="1"/>
                <c:pt idx="0">
                  <c:v>Maloobchod, prodej a opravy motor.voz.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multiLvlStrRef>
              <c:f>'výkonnost odvětví 5'!$A$11:$B$40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5'!$C$11:$C$40</c:f>
              <c:numCache>
                <c:formatCode>0.0</c:formatCode>
                <c:ptCount val="30"/>
                <c:pt idx="0">
                  <c:v>4.7022153336137915</c:v>
                </c:pt>
                <c:pt idx="1">
                  <c:v>1.1056630641874958</c:v>
                </c:pt>
                <c:pt idx="2">
                  <c:v>0.29046692688701042</c:v>
                </c:pt>
                <c:pt idx="3">
                  <c:v>1.2385223521683635</c:v>
                </c:pt>
                <c:pt idx="4">
                  <c:v>-0.3238149446517754</c:v>
                </c:pt>
                <c:pt idx="5">
                  <c:v>-1.1174633520534756</c:v>
                </c:pt>
                <c:pt idx="6">
                  <c:v>-0.50575432020986</c:v>
                </c:pt>
                <c:pt idx="7">
                  <c:v>-2.0391145885964317</c:v>
                </c:pt>
                <c:pt idx="8">
                  <c:v>-0.84510191443204974</c:v>
                </c:pt>
                <c:pt idx="9">
                  <c:v>0.35871815795015038</c:v>
                </c:pt>
                <c:pt idx="10">
                  <c:v>1.1858793524466336</c:v>
                </c:pt>
                <c:pt idx="11">
                  <c:v>4.3551040936846022</c:v>
                </c:pt>
                <c:pt idx="12">
                  <c:v>4.8018367725111091</c:v>
                </c:pt>
                <c:pt idx="13">
                  <c:v>4.1758728266076446</c:v>
                </c:pt>
                <c:pt idx="14">
                  <c:v>5.7018700308560284</c:v>
                </c:pt>
                <c:pt idx="15">
                  <c:v>6.9891847370430185</c:v>
                </c:pt>
                <c:pt idx="16">
                  <c:v>7.7785155499143155</c:v>
                </c:pt>
                <c:pt idx="17">
                  <c:v>8.2376231011680989</c:v>
                </c:pt>
                <c:pt idx="18">
                  <c:v>7.1096927735488524</c:v>
                </c:pt>
                <c:pt idx="19">
                  <c:v>7.9141358275167271</c:v>
                </c:pt>
                <c:pt idx="20">
                  <c:v>6.6658477515745025</c:v>
                </c:pt>
                <c:pt idx="21">
                  <c:v>6.3702236381586914</c:v>
                </c:pt>
                <c:pt idx="22">
                  <c:v>5.2972437081185433</c:v>
                </c:pt>
                <c:pt idx="23">
                  <c:v>4.2948037512185095</c:v>
                </c:pt>
                <c:pt idx="24">
                  <c:v>6.0190332933022024</c:v>
                </c:pt>
                <c:pt idx="25">
                  <c:v>5.7245372121730655</c:v>
                </c:pt>
                <c:pt idx="26">
                  <c:v>3.8989794451072437</c:v>
                </c:pt>
                <c:pt idx="27">
                  <c:v>4.6771124312793546</c:v>
                </c:pt>
                <c:pt idx="28">
                  <c:v>3.8962023514729225</c:v>
                </c:pt>
                <c:pt idx="29">
                  <c:v>2.3801290747379866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25-494B-9870-29D38151EFAB}"/>
            </c:ext>
          </c:extLst>
        </c:ser>
        <c:gapWidth val="31"/>
        <c:axId val="113139072"/>
        <c:axId val="113169920"/>
      </c:barChart>
      <c:lineChart>
        <c:grouping val="standard"/>
        <c:ser>
          <c:idx val="1"/>
          <c:order val="1"/>
          <c:tx>
            <c:strRef>
              <c:f>'výkonnost odvětví 5'!$D$10</c:f>
              <c:strCache>
                <c:ptCount val="1"/>
                <c:pt idx="0">
                  <c:v>Maloobchod s potravinami celkem 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5'!$A$11:$B$40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5'!$D$11:$D$40</c:f>
              <c:numCache>
                <c:formatCode>0.0</c:formatCode>
                <c:ptCount val="30"/>
                <c:pt idx="0">
                  <c:v>1.0200203339011864</c:v>
                </c:pt>
                <c:pt idx="1">
                  <c:v>-0.77245895457782865</c:v>
                </c:pt>
                <c:pt idx="2">
                  <c:v>-2.2030263793204012</c:v>
                </c:pt>
                <c:pt idx="3">
                  <c:v>-2.6122663740461567</c:v>
                </c:pt>
                <c:pt idx="4">
                  <c:v>-4.1792292117951924</c:v>
                </c:pt>
                <c:pt idx="5">
                  <c:v>-2.5411879709738088</c:v>
                </c:pt>
                <c:pt idx="6">
                  <c:v>-1.6989545563239403</c:v>
                </c:pt>
                <c:pt idx="7">
                  <c:v>-2.0584542937760637</c:v>
                </c:pt>
                <c:pt idx="8">
                  <c:v>-1.0845437387326626</c:v>
                </c:pt>
                <c:pt idx="9">
                  <c:v>-1.9839890101918061</c:v>
                </c:pt>
                <c:pt idx="10">
                  <c:v>-0.64564084428931412</c:v>
                </c:pt>
                <c:pt idx="11">
                  <c:v>-0.21671648530670756</c:v>
                </c:pt>
                <c:pt idx="12">
                  <c:v>-0.64931062632505065</c:v>
                </c:pt>
                <c:pt idx="13">
                  <c:v>2.5968329035568334</c:v>
                </c:pt>
                <c:pt idx="14">
                  <c:v>-0.28362848708875243</c:v>
                </c:pt>
                <c:pt idx="15">
                  <c:v>2.8999737539912189</c:v>
                </c:pt>
                <c:pt idx="16">
                  <c:v>4.6183141075948955</c:v>
                </c:pt>
                <c:pt idx="17">
                  <c:v>3.0246216416932192</c:v>
                </c:pt>
                <c:pt idx="18">
                  <c:v>4.9291779201594155</c:v>
                </c:pt>
                <c:pt idx="19">
                  <c:v>3.9476511009256972</c:v>
                </c:pt>
                <c:pt idx="20">
                  <c:v>4.6571808562616637</c:v>
                </c:pt>
                <c:pt idx="21">
                  <c:v>3.8281360945831864</c:v>
                </c:pt>
                <c:pt idx="22">
                  <c:v>2.6514068516015641</c:v>
                </c:pt>
                <c:pt idx="23">
                  <c:v>-0.29933130313158085</c:v>
                </c:pt>
                <c:pt idx="24">
                  <c:v>1.8133469855121398</c:v>
                </c:pt>
                <c:pt idx="25">
                  <c:v>3.750711868560896</c:v>
                </c:pt>
                <c:pt idx="26">
                  <c:v>3.0407748275680442</c:v>
                </c:pt>
                <c:pt idx="27">
                  <c:v>2.6385416371036827</c:v>
                </c:pt>
                <c:pt idx="28">
                  <c:v>3.3838929394877777</c:v>
                </c:pt>
                <c:pt idx="29">
                  <c:v>1.0670683892079598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25-494B-9870-29D38151EFAB}"/>
            </c:ext>
          </c:extLst>
        </c:ser>
        <c:ser>
          <c:idx val="2"/>
          <c:order val="2"/>
          <c:tx>
            <c:strRef>
              <c:f>'výkonnost odvětví 5'!$E$10</c:f>
              <c:strCache>
                <c:ptCount val="1"/>
                <c:pt idx="0">
                  <c:v>Maloobchod s nepotravinářs. zbožím</c:v>
                </c:pt>
              </c:strCache>
            </c:strRef>
          </c:tx>
          <c:spPr>
            <a:ln w="19050">
              <a:solidFill>
                <a:srgbClr val="48AEE7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5'!$A$11:$B$40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5'!$E$11:$E$40</c:f>
              <c:numCache>
                <c:formatCode>0.0</c:formatCode>
                <c:ptCount val="30"/>
                <c:pt idx="0">
                  <c:v>4.4885846405339365</c:v>
                </c:pt>
                <c:pt idx="1">
                  <c:v>3.1795216115752396</c:v>
                </c:pt>
                <c:pt idx="2">
                  <c:v>0.28880471681390263</c:v>
                </c:pt>
                <c:pt idx="3">
                  <c:v>2.5197824737785113</c:v>
                </c:pt>
                <c:pt idx="4">
                  <c:v>1.4765577560249596</c:v>
                </c:pt>
                <c:pt idx="5">
                  <c:v>0.88006052933151557</c:v>
                </c:pt>
                <c:pt idx="6">
                  <c:v>1.3147204053338868</c:v>
                </c:pt>
                <c:pt idx="7">
                  <c:v>9.7872831308464497E-2</c:v>
                </c:pt>
                <c:pt idx="8">
                  <c:v>1.5419364795675958</c:v>
                </c:pt>
                <c:pt idx="9">
                  <c:v>0.7203466961784043</c:v>
                </c:pt>
                <c:pt idx="10">
                  <c:v>0.80534167805758006</c:v>
                </c:pt>
                <c:pt idx="11">
                  <c:v>2.9834553392845167</c:v>
                </c:pt>
                <c:pt idx="12">
                  <c:v>2.8974454049186305</c:v>
                </c:pt>
                <c:pt idx="13">
                  <c:v>2.2398901534830777</c:v>
                </c:pt>
                <c:pt idx="14">
                  <c:v>4.2989038934441934</c:v>
                </c:pt>
                <c:pt idx="15">
                  <c:v>7.5937472464603495</c:v>
                </c:pt>
                <c:pt idx="16">
                  <c:v>7.2486276037651134</c:v>
                </c:pt>
                <c:pt idx="17">
                  <c:v>8.3737481542950292</c:v>
                </c:pt>
                <c:pt idx="18">
                  <c:v>5.8312031677395524</c:v>
                </c:pt>
                <c:pt idx="19">
                  <c:v>7.2083201340207994</c:v>
                </c:pt>
                <c:pt idx="20">
                  <c:v>5.7307041293387613</c:v>
                </c:pt>
                <c:pt idx="21">
                  <c:v>5.6062752574786705</c:v>
                </c:pt>
                <c:pt idx="22">
                  <c:v>6.9055706835124511</c:v>
                </c:pt>
                <c:pt idx="23">
                  <c:v>7.0177001189283317</c:v>
                </c:pt>
                <c:pt idx="24">
                  <c:v>9.0064474167916728</c:v>
                </c:pt>
                <c:pt idx="25">
                  <c:v>8.9842659419007589</c:v>
                </c:pt>
                <c:pt idx="26">
                  <c:v>8.5595664443738571</c:v>
                </c:pt>
                <c:pt idx="27">
                  <c:v>8.8620472976246614</c:v>
                </c:pt>
                <c:pt idx="28">
                  <c:v>8.6607378826210208</c:v>
                </c:pt>
                <c:pt idx="29">
                  <c:v>7.3614102762324052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25-494B-9870-29D38151EFAB}"/>
            </c:ext>
          </c:extLst>
        </c:ser>
        <c:ser>
          <c:idx val="3"/>
          <c:order val="3"/>
          <c:tx>
            <c:strRef>
              <c:f>'výkonnost odvětví 5'!$F$10</c:f>
              <c:strCache>
                <c:ptCount val="1"/>
                <c:pt idx="0">
                  <c:v>Maloobchodní prodej PHM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'výkonnost odvětví 5'!$A$11:$B$40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5'!$F$11:$F$40</c:f>
              <c:numCache>
                <c:formatCode>0.0</c:formatCode>
                <c:ptCount val="30"/>
                <c:pt idx="0">
                  <c:v>-4.631133777242141</c:v>
                </c:pt>
                <c:pt idx="1">
                  <c:v>-3.8994040732664388</c:v>
                </c:pt>
                <c:pt idx="2">
                  <c:v>-2.1621003597324417</c:v>
                </c:pt>
                <c:pt idx="3">
                  <c:v>-2.9915509879464541</c:v>
                </c:pt>
                <c:pt idx="4">
                  <c:v>-1.895852118088954</c:v>
                </c:pt>
                <c:pt idx="5">
                  <c:v>-3.4936345742772001</c:v>
                </c:pt>
                <c:pt idx="6">
                  <c:v>0.78230350222703748</c:v>
                </c:pt>
                <c:pt idx="7">
                  <c:v>-2.0730044432309152</c:v>
                </c:pt>
                <c:pt idx="8">
                  <c:v>0.43687421293950557</c:v>
                </c:pt>
                <c:pt idx="9">
                  <c:v>-0.52059668292064931</c:v>
                </c:pt>
                <c:pt idx="10">
                  <c:v>-5.2781034501008914</c:v>
                </c:pt>
                <c:pt idx="11">
                  <c:v>-0.86506996874481967</c:v>
                </c:pt>
                <c:pt idx="12">
                  <c:v>0.48207387094959475</c:v>
                </c:pt>
                <c:pt idx="13">
                  <c:v>3.8856542982543402E-2</c:v>
                </c:pt>
                <c:pt idx="14">
                  <c:v>2.5788957521098732</c:v>
                </c:pt>
                <c:pt idx="15">
                  <c:v>3.5103721443907574</c:v>
                </c:pt>
                <c:pt idx="16">
                  <c:v>6.1539270131965651</c:v>
                </c:pt>
                <c:pt idx="17">
                  <c:v>4.5607008813701704</c:v>
                </c:pt>
                <c:pt idx="18">
                  <c:v>6.1265662157100955</c:v>
                </c:pt>
                <c:pt idx="19">
                  <c:v>8.9586655169461267</c:v>
                </c:pt>
                <c:pt idx="20">
                  <c:v>4.9193940911014522</c:v>
                </c:pt>
                <c:pt idx="21">
                  <c:v>5.3582796877753704</c:v>
                </c:pt>
                <c:pt idx="22">
                  <c:v>4.5991242975379745</c:v>
                </c:pt>
                <c:pt idx="23">
                  <c:v>5.1789206112660775</c:v>
                </c:pt>
                <c:pt idx="24">
                  <c:v>3.9491266441740152</c:v>
                </c:pt>
                <c:pt idx="25">
                  <c:v>5.9221498576280345</c:v>
                </c:pt>
                <c:pt idx="26">
                  <c:v>6.2898941708549234</c:v>
                </c:pt>
                <c:pt idx="27">
                  <c:v>6.3299633437876404</c:v>
                </c:pt>
                <c:pt idx="28">
                  <c:v>5.7111878533216975</c:v>
                </c:pt>
                <c:pt idx="29">
                  <c:v>4.6804505710196445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025-494B-9870-29D38151EFAB}"/>
            </c:ext>
          </c:extLst>
        </c:ser>
        <c:ser>
          <c:idx val="4"/>
          <c:order val="4"/>
          <c:tx>
            <c:strRef>
              <c:f>'výkonnost odvětví 5'!$G$10</c:f>
              <c:strCache>
                <c:ptCount val="1"/>
                <c:pt idx="0">
                  <c:v>Obchod a opravy motorových voz.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'výkonnost odvětví 5'!$A$11:$B$40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5'!$G$11:$G$40</c:f>
              <c:numCache>
                <c:formatCode>0.0</c:formatCode>
                <c:ptCount val="30"/>
                <c:pt idx="0">
                  <c:v>12.399114095061032</c:v>
                </c:pt>
                <c:pt idx="1">
                  <c:v>1.5393113464408679</c:v>
                </c:pt>
                <c:pt idx="2">
                  <c:v>4.1676015774581208</c:v>
                </c:pt>
                <c:pt idx="3">
                  <c:v>4.8417140167407355</c:v>
                </c:pt>
                <c:pt idx="4">
                  <c:v>2.6476463856385948</c:v>
                </c:pt>
                <c:pt idx="5">
                  <c:v>-0.8308359885276001</c:v>
                </c:pt>
                <c:pt idx="6">
                  <c:v>-1.0054999885675358</c:v>
                </c:pt>
                <c:pt idx="7">
                  <c:v>-5.3031820450899545</c:v>
                </c:pt>
                <c:pt idx="8">
                  <c:v>-6.0597265900881734</c:v>
                </c:pt>
                <c:pt idx="9">
                  <c:v>4.0744346599402297</c:v>
                </c:pt>
                <c:pt idx="10">
                  <c:v>5.5422103353407692</c:v>
                </c:pt>
                <c:pt idx="11">
                  <c:v>12.840168791430601</c:v>
                </c:pt>
                <c:pt idx="12">
                  <c:v>14.893046851327902</c:v>
                </c:pt>
                <c:pt idx="13">
                  <c:v>7.0031832029953165</c:v>
                </c:pt>
                <c:pt idx="14">
                  <c:v>12.99519631859831</c:v>
                </c:pt>
                <c:pt idx="15">
                  <c:v>12.528076582509229</c:v>
                </c:pt>
                <c:pt idx="16">
                  <c:v>11.675877956018224</c:v>
                </c:pt>
                <c:pt idx="17">
                  <c:v>14.129424017702474</c:v>
                </c:pt>
                <c:pt idx="18">
                  <c:v>10.81301464376272</c:v>
                </c:pt>
                <c:pt idx="19">
                  <c:v>12.285366427220751</c:v>
                </c:pt>
                <c:pt idx="20">
                  <c:v>10.012458360183604</c:v>
                </c:pt>
                <c:pt idx="21">
                  <c:v>9.2274670118200977</c:v>
                </c:pt>
                <c:pt idx="22">
                  <c:v>6.6565459161231955</c:v>
                </c:pt>
                <c:pt idx="23">
                  <c:v>4.7882185594400681</c:v>
                </c:pt>
                <c:pt idx="24">
                  <c:v>6.211471159436428</c:v>
                </c:pt>
                <c:pt idx="25">
                  <c:v>4.4659425641385297</c:v>
                </c:pt>
                <c:pt idx="26">
                  <c:v>-0.120016178112067</c:v>
                </c:pt>
                <c:pt idx="27">
                  <c:v>1.4641268177413718</c:v>
                </c:pt>
                <c:pt idx="28">
                  <c:v>-1.2563520967836723</c:v>
                </c:pt>
                <c:pt idx="29">
                  <c:v>-0.87544066141409504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025-494B-9870-29D38151EFAB}"/>
            </c:ext>
          </c:extLst>
        </c:ser>
        <c:marker val="1"/>
        <c:axId val="113139072"/>
        <c:axId val="113169920"/>
      </c:lineChart>
      <c:lineChart>
        <c:grouping val="standard"/>
        <c:ser>
          <c:idx val="6"/>
          <c:order val="5"/>
          <c:tx>
            <c:strRef>
              <c:f>'výkonnost odvětví 5'!$H$10</c:f>
              <c:strCache>
                <c:ptCount val="1"/>
                <c:pt idx="0">
                  <c:v>Saldo souhr.indik.důvěry spotřebitelů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9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5'!$A$11:$B$40</c:f>
              <c:multiLvlStrCache>
                <c:ptCount val="3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5'!$H$11:$H$40</c:f>
              <c:numCache>
                <c:formatCode>0.0</c:formatCode>
                <c:ptCount val="30"/>
                <c:pt idx="0">
                  <c:v>-13.433333333333332</c:v>
                </c:pt>
                <c:pt idx="1">
                  <c:v>-20.099999999999987</c:v>
                </c:pt>
                <c:pt idx="2">
                  <c:v>-22.43333333333301</c:v>
                </c:pt>
                <c:pt idx="3">
                  <c:v>-26.7</c:v>
                </c:pt>
                <c:pt idx="4">
                  <c:v>-26.766666666666666</c:v>
                </c:pt>
                <c:pt idx="5">
                  <c:v>-29.866666666666664</c:v>
                </c:pt>
                <c:pt idx="6">
                  <c:v>-28.466666666666669</c:v>
                </c:pt>
                <c:pt idx="7">
                  <c:v>-26.43333333333301</c:v>
                </c:pt>
                <c:pt idx="8">
                  <c:v>-23.633333333333123</c:v>
                </c:pt>
                <c:pt idx="9">
                  <c:v>-20.866666666666667</c:v>
                </c:pt>
                <c:pt idx="10">
                  <c:v>-17.266666666666666</c:v>
                </c:pt>
                <c:pt idx="11">
                  <c:v>-10.766666666666676</c:v>
                </c:pt>
                <c:pt idx="12">
                  <c:v>-6.6000000000000005</c:v>
                </c:pt>
                <c:pt idx="13">
                  <c:v>-3.5333333333333332</c:v>
                </c:pt>
                <c:pt idx="14">
                  <c:v>-4.1333333333333524</c:v>
                </c:pt>
                <c:pt idx="15">
                  <c:v>0.69999999999999984</c:v>
                </c:pt>
                <c:pt idx="16">
                  <c:v>3.6333333333333342</c:v>
                </c:pt>
                <c:pt idx="17">
                  <c:v>1.7666666666666666</c:v>
                </c:pt>
                <c:pt idx="18">
                  <c:v>1.2</c:v>
                </c:pt>
                <c:pt idx="19">
                  <c:v>3.5</c:v>
                </c:pt>
                <c:pt idx="20">
                  <c:v>4.6000000000000005</c:v>
                </c:pt>
                <c:pt idx="21">
                  <c:v>1.8333333333333333</c:v>
                </c:pt>
                <c:pt idx="22">
                  <c:v>2</c:v>
                </c:pt>
                <c:pt idx="23">
                  <c:v>6.1000000000000005</c:v>
                </c:pt>
                <c:pt idx="24">
                  <c:v>6.5333333333333847</c:v>
                </c:pt>
                <c:pt idx="25">
                  <c:v>5.2666666666666684</c:v>
                </c:pt>
                <c:pt idx="26">
                  <c:v>5.2</c:v>
                </c:pt>
                <c:pt idx="27">
                  <c:v>7.2</c:v>
                </c:pt>
                <c:pt idx="28">
                  <c:v>9.8666666666667773</c:v>
                </c:pt>
                <c:pt idx="29">
                  <c:v>10.6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025-494B-9870-29D38151EFAB}"/>
            </c:ext>
          </c:extLst>
        </c:ser>
        <c:marker val="1"/>
        <c:axId val="113177344"/>
        <c:axId val="113171456"/>
      </c:lineChart>
      <c:catAx>
        <c:axId val="113139072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3169920"/>
        <c:crosses val="autoZero"/>
        <c:lblAlgn val="ctr"/>
        <c:lblOffset val="0"/>
        <c:tickLblSkip val="1"/>
        <c:tickMarkSkip val="4"/>
      </c:catAx>
      <c:valAx>
        <c:axId val="113169920"/>
        <c:scaling>
          <c:orientation val="minMax"/>
          <c:max val="15"/>
          <c:min val="-15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3139072"/>
        <c:crosses val="autoZero"/>
        <c:crossBetween val="between"/>
        <c:majorUnit val="5"/>
      </c:valAx>
      <c:valAx>
        <c:axId val="113171456"/>
        <c:scaling>
          <c:orientation val="minMax"/>
          <c:max val="30"/>
          <c:min val="-30"/>
        </c:scaling>
        <c:axPos val="r"/>
        <c:numFmt formatCode="0" sourceLinked="0"/>
        <c:tickLblPos val="nextTo"/>
        <c:spPr>
          <a:ln w="9525">
            <a:solidFill>
              <a:schemeClr val="tx1"/>
            </a:solidFill>
          </a:ln>
        </c:spPr>
        <c:crossAx val="113177344"/>
        <c:crosses val="max"/>
        <c:crossBetween val="between"/>
      </c:valAx>
      <c:catAx>
        <c:axId val="113177344"/>
        <c:scaling>
          <c:orientation val="minMax"/>
        </c:scaling>
        <c:delete val="1"/>
        <c:axPos val="b"/>
        <c:numFmt formatCode="General" sourceLinked="1"/>
        <c:tickLblPos val="none"/>
        <c:crossAx val="113171456"/>
        <c:crosses val="autoZero"/>
        <c:auto val="1"/>
        <c:lblAlgn val="ctr"/>
        <c:lblOffset val="100"/>
      </c:catAx>
      <c:spPr>
        <a:solidFill>
          <a:srgbClr val="FFFFFF"/>
        </a:solidFill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835358842793732E-2"/>
          <c:y val="0.84801642578021386"/>
          <c:w val="0.90712676804032522"/>
          <c:h val="0.13389587922459187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0.47088</cdr:x>
      <cdr:y>0.02335</cdr:y>
    </cdr:from>
    <cdr:to>
      <cdr:x>0.51901</cdr:x>
      <cdr:y>0.06093</cdr:y>
    </cdr:to>
    <cdr:sp macro="" textlink="">
      <cdr:nvSpPr>
        <cdr:cNvPr id="2" name="Přímá spojovací šipka 1"/>
        <cdr:cNvSpPr/>
      </cdr:nvSpPr>
      <cdr:spPr>
        <a:xfrm xmlns:a="http://schemas.openxmlformats.org/drawingml/2006/main" flipH="1" flipV="1">
          <a:off x="2236311" y="82862"/>
          <a:ext cx="228579" cy="133342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rgbClr val="7DBB2D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0.52511</cdr:x>
      <cdr:y>0.04318</cdr:y>
    </cdr:from>
    <cdr:to>
      <cdr:x>0.58004</cdr:x>
      <cdr:y>0.08392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480246" y="153850"/>
          <a:ext cx="259459" cy="145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cs-CZ" sz="800">
              <a:solidFill>
                <a:srgbClr val="7DBB2D"/>
              </a:solidFill>
              <a:latin typeface="Arial" pitchFamily="34" charset="0"/>
              <a:cs typeface="Arial" pitchFamily="34" charset="0"/>
            </a:rPr>
            <a:t>67,5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2F55-44F8-4673-B602-379042933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2AEE9-6899-4DA6-AEE0-A5842E57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</TotalTime>
  <Pages>1</Pages>
  <Words>2396</Words>
  <Characters>14138</Characters>
  <Application>Microsoft Office Word</Application>
  <DocSecurity>0</DocSecurity>
  <Lines>117</Lines>
  <Paragraphs>33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16501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Súkupová</cp:lastModifiedBy>
  <cp:revision>4</cp:revision>
  <cp:lastPrinted>2014-07-17T14:07:00Z</cp:lastPrinted>
  <dcterms:created xsi:type="dcterms:W3CDTF">2018-09-19T08:05:00Z</dcterms:created>
  <dcterms:modified xsi:type="dcterms:W3CDTF">2018-09-19T08:15:00Z</dcterms:modified>
</cp:coreProperties>
</file>