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0D370EAB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00D8BCEF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037729">
        <w:rPr>
          <w:rFonts w:ascii="Arial" w:hAnsi="Arial" w:cs="Arial"/>
          <w:b/>
        </w:rPr>
        <w:t>4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5F2D78">
        <w:rPr>
          <w:rFonts w:ascii="Arial" w:hAnsi="Arial" w:cs="Arial"/>
          <w:b/>
        </w:rPr>
        <w:t>2</w:t>
      </w:r>
    </w:p>
    <w:p w14:paraId="15E02634" w14:textId="77777777" w:rsidR="007E7FB8" w:rsidRDefault="007E7FB8"/>
    <w:p w14:paraId="53264912" w14:textId="3F1289D1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6757BB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037729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5F2D78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43721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00107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001078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037729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6757BB">
        <w:rPr>
          <w:rFonts w:ascii="Arial" w:hAnsi="Arial" w:cs="Arial"/>
          <w:sz w:val="20"/>
          <w:szCs w:val="20"/>
        </w:rPr>
        <w:t>2 vzrostly o </w:t>
      </w:r>
      <w:r w:rsidR="0003772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03772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43721D">
        <w:rPr>
          <w:rFonts w:ascii="Arial" w:hAnsi="Arial" w:cs="Arial"/>
          <w:sz w:val="20"/>
          <w:szCs w:val="20"/>
        </w:rPr>
        <w:t>o</w:t>
      </w:r>
      <w:r w:rsidR="0043721D" w:rsidRPr="0043721D">
        <w:rPr>
          <w:rFonts w:ascii="Arial" w:hAnsi="Arial" w:cs="Arial"/>
          <w:sz w:val="20"/>
          <w:szCs w:val="20"/>
        </w:rPr>
        <w:t>statní</w:t>
      </w:r>
      <w:r w:rsidR="0043721D">
        <w:rPr>
          <w:rFonts w:ascii="Arial" w:hAnsi="Arial" w:cs="Arial"/>
          <w:sz w:val="20"/>
          <w:szCs w:val="20"/>
        </w:rPr>
        <w:t>ch konstrukcí a prací s</w:t>
      </w:r>
      <w:r w:rsidR="0043721D" w:rsidRPr="0043721D">
        <w:rPr>
          <w:rFonts w:ascii="Arial" w:hAnsi="Arial" w:cs="Arial"/>
          <w:sz w:val="20"/>
          <w:szCs w:val="20"/>
        </w:rPr>
        <w:t xml:space="preserve"> bourání</w:t>
      </w:r>
      <w:r w:rsidR="0043721D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(+ </w:t>
      </w:r>
      <w:r w:rsidR="0043721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43721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 %); pokles nebyl zaznamenán u 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3ADDFDD2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43721D">
        <w:rPr>
          <w:rFonts w:ascii="Arial" w:hAnsi="Arial"/>
          <w:sz w:val="20"/>
          <w:szCs w:val="20"/>
        </w:rPr>
        <w:t>1</w:t>
      </w:r>
      <w:r w:rsidR="002B4B99"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4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247EEA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10</w:t>
      </w:r>
      <w:r w:rsidR="0043721D">
        <w:rPr>
          <w:rFonts w:ascii="Arial" w:hAnsi="Arial"/>
          <w:sz w:val="20"/>
          <w:szCs w:val="20"/>
        </w:rPr>
        <w:t>0</w:t>
      </w:r>
      <w:r w:rsidR="005306AB"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do 10</w:t>
      </w:r>
      <w:r w:rsidR="0043721D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05576A61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6757BB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037729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>. čtvrtletí 202</w:t>
      </w:r>
      <w:r w:rsidR="005F2D78">
        <w:rPr>
          <w:rFonts w:ascii="Arial" w:hAnsi="Arial"/>
          <w:sz w:val="20"/>
          <w:szCs w:val="20"/>
        </w:rPr>
        <w:t>2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037729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21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CD038A">
        <w:rPr>
          <w:rFonts w:ascii="Arial" w:hAnsi="Arial"/>
          <w:sz w:val="20"/>
          <w:szCs w:val="20"/>
        </w:rPr>
        <w:t>1</w:t>
      </w:r>
      <w:r w:rsidR="00CA6359">
        <w:rPr>
          <w:rFonts w:ascii="Arial" w:hAnsi="Arial"/>
          <w:sz w:val="20"/>
          <w:szCs w:val="20"/>
        </w:rPr>
        <w:t>2</w:t>
      </w:r>
      <w:r w:rsidR="00127C58"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1</w:t>
      </w:r>
      <w:r w:rsidR="00CA6359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CA6359">
        <w:rPr>
          <w:rFonts w:ascii="Arial" w:hAnsi="Arial"/>
          <w:sz w:val="20"/>
          <w:szCs w:val="20"/>
        </w:rPr>
        <w:t xml:space="preserve">úprav povrchů, podlah a osazování výplní do </w:t>
      </w:r>
      <w:r w:rsidRPr="00BB2C0E">
        <w:rPr>
          <w:rFonts w:ascii="Arial" w:hAnsi="Arial"/>
          <w:sz w:val="20"/>
          <w:szCs w:val="20"/>
        </w:rPr>
        <w:t>1</w:t>
      </w:r>
      <w:r w:rsidR="00AF625E">
        <w:rPr>
          <w:rFonts w:ascii="Arial" w:hAnsi="Arial"/>
          <w:sz w:val="20"/>
          <w:szCs w:val="20"/>
        </w:rPr>
        <w:t>1</w:t>
      </w:r>
      <w:r w:rsidR="00CA6359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43721D">
        <w:rPr>
          <w:rFonts w:ascii="Arial" w:hAnsi="Arial"/>
          <w:sz w:val="20"/>
          <w:szCs w:val="20"/>
        </w:rPr>
        <w:t>0</w:t>
      </w:r>
      <w:r w:rsidRPr="00BB2C0E">
        <w:rPr>
          <w:rFonts w:ascii="Arial" w:hAnsi="Arial"/>
          <w:sz w:val="20"/>
          <w:szCs w:val="20"/>
        </w:rPr>
        <w:t> u </w:t>
      </w:r>
      <w:r w:rsidR="00CA6359">
        <w:rPr>
          <w:rFonts w:ascii="Arial" w:hAnsi="Arial"/>
          <w:sz w:val="20"/>
          <w:szCs w:val="20"/>
        </w:rPr>
        <w:t>dálkových a přípojných vedení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7EBC12B9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F5678C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,</w:t>
      </w:r>
      <w:r w:rsidR="00566327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dálkových železničních drah do 1</w:t>
      </w:r>
      <w:r w:rsidR="00FA44E7">
        <w:rPr>
          <w:rFonts w:ascii="Arial" w:hAnsi="Arial"/>
          <w:sz w:val="20"/>
          <w:szCs w:val="20"/>
        </w:rPr>
        <w:t>1</w:t>
      </w:r>
      <w:r w:rsidR="005F6A6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566327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5F6A64">
        <w:rPr>
          <w:rFonts w:ascii="Arial" w:hAnsi="Arial"/>
          <w:sz w:val="20"/>
          <w:szCs w:val="20"/>
        </w:rPr>
        <w:t>tunelů a podchodů</w:t>
      </w:r>
      <w:r w:rsidR="00FA44E7">
        <w:rPr>
          <w:rFonts w:ascii="Arial" w:hAnsi="Arial"/>
          <w:sz w:val="20"/>
          <w:szCs w:val="20"/>
        </w:rPr>
        <w:t>.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BF71EE">
        <w:rPr>
          <w:rFonts w:ascii="Arial" w:hAnsi="Arial"/>
          <w:sz w:val="20"/>
          <w:szCs w:val="20"/>
        </w:rPr>
        <w:t>1</w:t>
      </w:r>
      <w:r w:rsidR="00566327">
        <w:rPr>
          <w:rFonts w:ascii="Arial" w:hAnsi="Arial"/>
          <w:sz w:val="20"/>
          <w:szCs w:val="20"/>
        </w:rPr>
        <w:t>3</w:t>
      </w:r>
      <w:r w:rsidR="006300CD">
        <w:rPr>
          <w:rFonts w:ascii="Arial" w:hAnsi="Arial"/>
          <w:sz w:val="20"/>
          <w:szCs w:val="20"/>
        </w:rPr>
        <w:t>,</w:t>
      </w:r>
      <w:r w:rsidR="00566327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589ED78B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40</w:t>
      </w:r>
      <w:r>
        <w:rPr>
          <w:rFonts w:ascii="Arial" w:hAnsi="Arial" w:cs="Arial"/>
          <w:sz w:val="20"/>
          <w:szCs w:val="20"/>
        </w:rPr>
        <w:t>,</w:t>
      </w:r>
      <w:r w:rsidR="00566327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566327">
        <w:rPr>
          <w:rFonts w:ascii="Arial" w:hAnsi="Arial" w:cs="Arial"/>
          <w:sz w:val="20"/>
          <w:szCs w:val="20"/>
        </w:rPr>
        <w:t>42</w:t>
      </w:r>
      <w:r>
        <w:rPr>
          <w:rFonts w:ascii="Arial" w:hAnsi="Arial" w:cs="Arial"/>
          <w:sz w:val="20"/>
          <w:szCs w:val="20"/>
        </w:rPr>
        <w:t>,</w:t>
      </w:r>
      <w:r w:rsidR="0056632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 u budov a na hodnotu 1</w:t>
      </w:r>
      <w:r w:rsidR="00BB702C">
        <w:rPr>
          <w:rFonts w:ascii="Arial" w:hAnsi="Arial" w:cs="Arial"/>
          <w:sz w:val="20"/>
          <w:szCs w:val="20"/>
        </w:rPr>
        <w:t>3</w:t>
      </w:r>
      <w:r w:rsidR="00566327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,</w:t>
      </w:r>
      <w:r w:rsidR="0056632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0CA6FB6A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566327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566327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566327">
        <w:rPr>
          <w:rFonts w:ascii="Arial" w:hAnsi="Arial"/>
          <w:sz w:val="20"/>
          <w:szCs w:val="20"/>
        </w:rPr>
        <w:t>se nezměnily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E523DF">
        <w:rPr>
          <w:rFonts w:ascii="Arial" w:hAnsi="Arial"/>
          <w:sz w:val="20"/>
          <w:szCs w:val="20"/>
        </w:rPr>
        <w:t>4</w:t>
      </w:r>
      <w:r w:rsidR="00566327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,</w:t>
      </w:r>
      <w:r w:rsidR="00566327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5C07D2">
        <w:rPr>
          <w:rFonts w:ascii="Arial" w:hAnsi="Arial"/>
          <w:sz w:val="20"/>
          <w:szCs w:val="20"/>
        </w:rPr>
        <w:t xml:space="preserve">se zastavil </w:t>
      </w:r>
      <w:r w:rsidR="00566327">
        <w:rPr>
          <w:rFonts w:ascii="Arial" w:hAnsi="Arial"/>
          <w:sz w:val="20"/>
          <w:szCs w:val="20"/>
        </w:rPr>
        <w:t>na hodnotě</w:t>
      </w:r>
      <w:r>
        <w:rPr>
          <w:rFonts w:ascii="Arial" w:hAnsi="Arial"/>
          <w:sz w:val="20"/>
          <w:szCs w:val="20"/>
        </w:rPr>
        <w:t xml:space="preserve"> 1</w:t>
      </w:r>
      <w:r w:rsidR="00E523DF">
        <w:rPr>
          <w:rFonts w:ascii="Arial" w:hAnsi="Arial"/>
          <w:sz w:val="20"/>
          <w:szCs w:val="20"/>
        </w:rPr>
        <w:t>4</w:t>
      </w:r>
      <w:r w:rsidR="00494875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,</w:t>
      </w:r>
      <w:r w:rsidR="00E523DF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7454A378" w14:textId="77E16426" w:rsidR="006F5CF0" w:rsidRPr="00234C12" w:rsidRDefault="006F5CF0" w:rsidP="006F5CF0">
      <w:pPr>
        <w:pStyle w:val="Podnadpis"/>
        <w:rPr>
          <w:rFonts w:ascii="Arial" w:hAnsi="Arial" w:cs="Arial"/>
          <w:b/>
        </w:rPr>
      </w:pPr>
      <w:r w:rsidRPr="00E37D5E">
        <w:rPr>
          <w:rFonts w:ascii="Arial" w:hAnsi="Arial" w:cs="Arial"/>
          <w:b/>
        </w:rPr>
        <w:t>Vývoj v roce 20</w:t>
      </w:r>
      <w:r>
        <w:rPr>
          <w:rFonts w:ascii="Arial" w:hAnsi="Arial" w:cs="Arial"/>
          <w:b/>
        </w:rPr>
        <w:t>2</w:t>
      </w:r>
      <w:r w:rsidR="00037729">
        <w:rPr>
          <w:rFonts w:ascii="Arial" w:hAnsi="Arial" w:cs="Arial"/>
          <w:b/>
        </w:rPr>
        <w:t>2</w:t>
      </w:r>
    </w:p>
    <w:p w14:paraId="6E102A67" w14:textId="77777777" w:rsidR="006F5CF0" w:rsidRDefault="006F5CF0" w:rsidP="006F5CF0">
      <w:pPr>
        <w:jc w:val="both"/>
        <w:rPr>
          <w:rFonts w:ascii="Arial" w:hAnsi="Arial"/>
          <w:sz w:val="20"/>
          <w:szCs w:val="20"/>
        </w:rPr>
      </w:pPr>
    </w:p>
    <w:p w14:paraId="7D379C56" w14:textId="7A816C7C" w:rsidR="006F5CF0" w:rsidRDefault="006F5CF0" w:rsidP="006F5CF0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 </w:t>
      </w:r>
      <w:r w:rsidRPr="008E5AA4">
        <w:rPr>
          <w:rFonts w:ascii="Arial" w:hAnsi="Arial"/>
          <w:b/>
          <w:sz w:val="20"/>
          <w:szCs w:val="20"/>
        </w:rPr>
        <w:t>průměr</w:t>
      </w:r>
      <w:r>
        <w:rPr>
          <w:rFonts w:ascii="Arial" w:hAnsi="Arial"/>
          <w:b/>
          <w:sz w:val="20"/>
          <w:szCs w:val="20"/>
        </w:rPr>
        <w:t>u</w:t>
      </w:r>
      <w:r w:rsidRPr="008E5AA4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za celý rok</w:t>
      </w:r>
      <w:r>
        <w:rPr>
          <w:rFonts w:ascii="Arial" w:hAnsi="Arial"/>
          <w:sz w:val="20"/>
          <w:szCs w:val="20"/>
        </w:rPr>
        <w:t xml:space="preserve"> 202</w:t>
      </w:r>
      <w:r w:rsidR="00037729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ceny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>
        <w:rPr>
          <w:rFonts w:ascii="Arial" w:hAnsi="Arial"/>
          <w:sz w:val="20"/>
          <w:szCs w:val="20"/>
        </w:rPr>
        <w:t xml:space="preserve"> vzrostly o </w:t>
      </w:r>
      <w:r w:rsidR="00FA5BF2">
        <w:rPr>
          <w:rFonts w:ascii="Arial" w:hAnsi="Arial"/>
          <w:sz w:val="20"/>
          <w:szCs w:val="20"/>
        </w:rPr>
        <w:t>12</w:t>
      </w:r>
      <w:r>
        <w:rPr>
          <w:rFonts w:ascii="Arial" w:hAnsi="Arial"/>
          <w:sz w:val="20"/>
          <w:szCs w:val="20"/>
        </w:rPr>
        <w:t>,</w:t>
      </w:r>
      <w:r w:rsidR="00FA5BF2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 % </w:t>
      </w:r>
      <w:r>
        <w:rPr>
          <w:rFonts w:ascii="Arial" w:hAnsi="Arial" w:cs="Arial"/>
          <w:sz w:val="20"/>
          <w:szCs w:val="20"/>
        </w:rPr>
        <w:t>(za rok 202</w:t>
      </w:r>
      <w:r w:rsidR="0003772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růst o </w:t>
      </w:r>
      <w:r w:rsidR="00037729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03772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 %); </w:t>
      </w:r>
      <w:r w:rsidRPr="008A28F5">
        <w:rPr>
          <w:rFonts w:ascii="Arial" w:hAnsi="Arial" w:cs="Arial"/>
          <w:sz w:val="20"/>
          <w:szCs w:val="20"/>
        </w:rPr>
        <w:t>vyšších meziročních hodnot bylo naposledy dosaženo v roce 199</w:t>
      </w:r>
      <w:r w:rsidR="00FA5BF2">
        <w:rPr>
          <w:rFonts w:ascii="Arial" w:hAnsi="Arial" w:cs="Arial"/>
          <w:sz w:val="20"/>
          <w:szCs w:val="20"/>
        </w:rPr>
        <w:t>4</w:t>
      </w:r>
      <w:r w:rsidRPr="008A28F5">
        <w:rPr>
          <w:rFonts w:ascii="Arial" w:hAnsi="Arial" w:cs="Arial"/>
          <w:sz w:val="20"/>
          <w:szCs w:val="20"/>
        </w:rPr>
        <w:t xml:space="preserve"> s hodnotou 1</w:t>
      </w:r>
      <w:r w:rsidR="00FA5BF2">
        <w:rPr>
          <w:rFonts w:ascii="Arial" w:hAnsi="Arial" w:cs="Arial"/>
          <w:sz w:val="20"/>
          <w:szCs w:val="20"/>
        </w:rPr>
        <w:t>13</w:t>
      </w:r>
      <w:r w:rsidRPr="008A28F5">
        <w:rPr>
          <w:rFonts w:ascii="Arial" w:hAnsi="Arial" w:cs="Arial"/>
          <w:sz w:val="20"/>
          <w:szCs w:val="20"/>
        </w:rPr>
        <w:t>,</w:t>
      </w:r>
      <w:r w:rsidR="00FA5BF2">
        <w:rPr>
          <w:rFonts w:ascii="Arial" w:hAnsi="Arial" w:cs="Arial"/>
          <w:sz w:val="20"/>
          <w:szCs w:val="20"/>
        </w:rPr>
        <w:t>9</w:t>
      </w:r>
      <w:r w:rsidRPr="008A28F5">
        <w:rPr>
          <w:rFonts w:ascii="Arial" w:hAnsi="Arial" w:cs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průměr</w:t>
      </w:r>
      <w:r>
        <w:rPr>
          <w:rFonts w:ascii="Arial" w:hAnsi="Arial"/>
          <w:b/>
          <w:sz w:val="20"/>
          <w:szCs w:val="20"/>
        </w:rPr>
        <w:t>ný index</w:t>
      </w:r>
      <w:r w:rsidRPr="008E5AA4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od počátku roku</w:t>
      </w:r>
      <w:r>
        <w:rPr>
          <w:rFonts w:ascii="Arial" w:hAnsi="Arial"/>
          <w:sz w:val="20"/>
          <w:szCs w:val="20"/>
        </w:rPr>
        <w:t xml:space="preserve"> se ve čtyřmístných třídách podle klasifikace CZ-CC pohyboval od 10</w:t>
      </w:r>
      <w:r w:rsidR="00FA5BF2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,</w:t>
      </w:r>
      <w:r w:rsidR="00FA5BF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u dálkových železničních drah do 1</w:t>
      </w:r>
      <w:r w:rsidR="00FA5BF2">
        <w:rPr>
          <w:rFonts w:ascii="Arial" w:hAnsi="Arial"/>
          <w:sz w:val="20"/>
          <w:szCs w:val="20"/>
        </w:rPr>
        <w:t>15</w:t>
      </w:r>
      <w:r>
        <w:rPr>
          <w:rFonts w:ascii="Arial" w:hAnsi="Arial"/>
          <w:sz w:val="20"/>
          <w:szCs w:val="20"/>
        </w:rPr>
        <w:t>,</w:t>
      </w:r>
      <w:r w:rsidR="00FA5BF2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u </w:t>
      </w:r>
      <w:r w:rsidR="00FA5BF2">
        <w:rPr>
          <w:rFonts w:ascii="Arial" w:hAnsi="Arial"/>
          <w:sz w:val="20"/>
          <w:szCs w:val="20"/>
        </w:rPr>
        <w:t>tunelů a podchodů</w:t>
      </w:r>
      <w:r>
        <w:rPr>
          <w:rFonts w:ascii="Arial" w:hAnsi="Arial"/>
          <w:sz w:val="20"/>
          <w:szCs w:val="20"/>
        </w:rPr>
        <w:t xml:space="preserve">. Ve dvoumístných oddílech zaznamenaly největší růst </w:t>
      </w:r>
      <w:r w:rsidR="00FA5BF2">
        <w:rPr>
          <w:rFonts w:ascii="Arial" w:hAnsi="Arial"/>
          <w:sz w:val="20"/>
          <w:szCs w:val="20"/>
        </w:rPr>
        <w:t xml:space="preserve">ostatní inženýrská díla </w:t>
      </w:r>
      <w:r>
        <w:rPr>
          <w:rFonts w:ascii="Arial" w:hAnsi="Arial"/>
          <w:sz w:val="20"/>
          <w:szCs w:val="20"/>
        </w:rPr>
        <w:t>1</w:t>
      </w:r>
      <w:r w:rsidR="00FA5BF2">
        <w:rPr>
          <w:rFonts w:ascii="Arial" w:hAnsi="Arial"/>
          <w:sz w:val="20"/>
          <w:szCs w:val="20"/>
        </w:rPr>
        <w:t>13</w:t>
      </w:r>
      <w:r>
        <w:rPr>
          <w:rFonts w:ascii="Arial" w:hAnsi="Arial"/>
          <w:sz w:val="20"/>
          <w:szCs w:val="20"/>
        </w:rPr>
        <w:t>,</w:t>
      </w:r>
      <w:r w:rsidR="00FA5BF2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; pokles nebyl zaznamenán v žádném z oddílů.</w:t>
      </w:r>
    </w:p>
    <w:p w14:paraId="5975973C" w14:textId="151FB040" w:rsidR="006F5CF0" w:rsidRDefault="006F5CF0" w:rsidP="006F5CF0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Hodnoty jednomístných položek </w:t>
      </w:r>
      <w:proofErr w:type="spellStart"/>
      <w:r>
        <w:rPr>
          <w:rFonts w:ascii="Arial" w:hAnsi="Arial"/>
          <w:sz w:val="20"/>
          <w:szCs w:val="20"/>
        </w:rPr>
        <w:t>TSKPstat</w:t>
      </w:r>
      <w:proofErr w:type="spellEnd"/>
      <w:r>
        <w:rPr>
          <w:rFonts w:ascii="Arial" w:hAnsi="Arial"/>
          <w:sz w:val="20"/>
          <w:szCs w:val="20"/>
        </w:rPr>
        <w:t xml:space="preserve"> meziročního průměrného indexu se pohybovaly v rozmezí od 1</w:t>
      </w:r>
      <w:r w:rsidR="00FA5BF2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0,</w:t>
      </w:r>
      <w:r w:rsidR="00FA5BF2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u pozemních komunikací do 1</w:t>
      </w:r>
      <w:r w:rsidR="00FA5BF2">
        <w:rPr>
          <w:rFonts w:ascii="Arial" w:hAnsi="Arial"/>
          <w:sz w:val="20"/>
          <w:szCs w:val="20"/>
        </w:rPr>
        <w:t>14</w:t>
      </w:r>
      <w:r>
        <w:rPr>
          <w:rFonts w:ascii="Arial" w:hAnsi="Arial"/>
          <w:sz w:val="20"/>
          <w:szCs w:val="20"/>
        </w:rPr>
        <w:t>,</w:t>
      </w:r>
      <w:r w:rsidR="00FA5BF2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 u </w:t>
      </w:r>
      <w:r w:rsidR="00FA5BF2">
        <w:rPr>
          <w:rFonts w:ascii="Arial" w:hAnsi="Arial"/>
          <w:sz w:val="20"/>
          <w:szCs w:val="20"/>
        </w:rPr>
        <w:t xml:space="preserve">vodorovných </w:t>
      </w:r>
      <w:r>
        <w:rPr>
          <w:rFonts w:ascii="Arial" w:hAnsi="Arial"/>
          <w:sz w:val="20"/>
          <w:szCs w:val="20"/>
        </w:rPr>
        <w:t xml:space="preserve">konstrukcí. </w:t>
      </w:r>
      <w:r w:rsidRPr="00E75B60">
        <w:rPr>
          <w:rFonts w:ascii="Arial" w:hAnsi="Arial"/>
          <w:sz w:val="20"/>
          <w:szCs w:val="20"/>
        </w:rPr>
        <w:t xml:space="preserve">Vysokých hodnot </w:t>
      </w:r>
      <w:r>
        <w:rPr>
          <w:rFonts w:ascii="Arial" w:hAnsi="Arial"/>
          <w:sz w:val="20"/>
          <w:szCs w:val="20"/>
        </w:rPr>
        <w:t>cenových indexů položek v podrobném členění bylo dosaženo u</w:t>
      </w:r>
      <w:r w:rsidRPr="00E75B60">
        <w:rPr>
          <w:rFonts w:ascii="Arial" w:hAnsi="Arial"/>
          <w:sz w:val="20"/>
          <w:szCs w:val="20"/>
        </w:rPr>
        <w:t xml:space="preserve"> </w:t>
      </w:r>
      <w:r w:rsidR="00FA5BF2">
        <w:rPr>
          <w:rFonts w:ascii="Arial" w:hAnsi="Arial"/>
          <w:sz w:val="20"/>
          <w:szCs w:val="20"/>
        </w:rPr>
        <w:t>sloupů, pilířů a rámových konstrukcí</w:t>
      </w:r>
      <w:r w:rsidRPr="00E75B60">
        <w:rPr>
          <w:rFonts w:ascii="Arial" w:hAnsi="Arial"/>
          <w:sz w:val="20"/>
          <w:szCs w:val="20"/>
        </w:rPr>
        <w:t xml:space="preserve"> (+</w:t>
      </w:r>
      <w:r>
        <w:rPr>
          <w:rFonts w:ascii="Arial" w:hAnsi="Arial"/>
          <w:sz w:val="20"/>
          <w:szCs w:val="20"/>
        </w:rPr>
        <w:t> </w:t>
      </w:r>
      <w:r w:rsidR="00FA5BF2">
        <w:rPr>
          <w:rFonts w:ascii="Arial" w:hAnsi="Arial"/>
          <w:sz w:val="20"/>
          <w:szCs w:val="20"/>
        </w:rPr>
        <w:t>17</w:t>
      </w:r>
      <w:r w:rsidRPr="00E75B60">
        <w:rPr>
          <w:rFonts w:ascii="Arial" w:hAnsi="Arial"/>
          <w:sz w:val="20"/>
          <w:szCs w:val="20"/>
        </w:rPr>
        <w:t>,</w:t>
      </w:r>
      <w:r w:rsidR="00FA5BF2">
        <w:rPr>
          <w:rFonts w:ascii="Arial" w:hAnsi="Arial"/>
          <w:sz w:val="20"/>
          <w:szCs w:val="20"/>
        </w:rPr>
        <w:t>5</w:t>
      </w:r>
      <w:r w:rsidRPr="00E75B60">
        <w:rPr>
          <w:rFonts w:ascii="Arial" w:hAnsi="Arial"/>
          <w:sz w:val="20"/>
          <w:szCs w:val="20"/>
        </w:rPr>
        <w:t xml:space="preserve"> %), </w:t>
      </w:r>
      <w:r w:rsidR="00FA5BF2">
        <w:rPr>
          <w:rFonts w:ascii="Arial" w:hAnsi="Arial"/>
          <w:sz w:val="20"/>
          <w:szCs w:val="20"/>
        </w:rPr>
        <w:t xml:space="preserve">truhlářských </w:t>
      </w:r>
      <w:r w:rsidRPr="00E75B60">
        <w:rPr>
          <w:rFonts w:ascii="Arial" w:hAnsi="Arial"/>
          <w:sz w:val="20"/>
          <w:szCs w:val="20"/>
        </w:rPr>
        <w:t>konstrukc</w:t>
      </w:r>
      <w:r w:rsidR="00FA5BF2">
        <w:rPr>
          <w:rFonts w:ascii="Arial" w:hAnsi="Arial"/>
          <w:sz w:val="20"/>
          <w:szCs w:val="20"/>
        </w:rPr>
        <w:t>í</w:t>
      </w:r>
      <w:r w:rsidRPr="00E75B60">
        <w:rPr>
          <w:rFonts w:ascii="Arial" w:hAnsi="Arial"/>
          <w:sz w:val="20"/>
          <w:szCs w:val="20"/>
        </w:rPr>
        <w:t xml:space="preserve"> (+ </w:t>
      </w:r>
      <w:r w:rsidR="005B0F89">
        <w:rPr>
          <w:rFonts w:ascii="Arial" w:hAnsi="Arial"/>
          <w:sz w:val="20"/>
          <w:szCs w:val="20"/>
        </w:rPr>
        <w:t>17</w:t>
      </w:r>
      <w:r w:rsidRPr="00E75B60">
        <w:rPr>
          <w:rFonts w:ascii="Arial" w:hAnsi="Arial"/>
          <w:sz w:val="20"/>
          <w:szCs w:val="20"/>
        </w:rPr>
        <w:t xml:space="preserve">,4 %) a u </w:t>
      </w:r>
      <w:r w:rsidR="005B0F89">
        <w:rPr>
          <w:rFonts w:ascii="Arial" w:hAnsi="Arial"/>
          <w:sz w:val="20"/>
          <w:szCs w:val="20"/>
        </w:rPr>
        <w:t xml:space="preserve">montovaných </w:t>
      </w:r>
      <w:r w:rsidR="005B0F89" w:rsidRPr="00E75B60">
        <w:rPr>
          <w:rFonts w:ascii="Arial" w:hAnsi="Arial"/>
          <w:sz w:val="20"/>
          <w:szCs w:val="20"/>
        </w:rPr>
        <w:t>konstrukc</w:t>
      </w:r>
      <w:r w:rsidR="005B0F89">
        <w:rPr>
          <w:rFonts w:ascii="Arial" w:hAnsi="Arial"/>
          <w:sz w:val="20"/>
          <w:szCs w:val="20"/>
        </w:rPr>
        <w:t>í</w:t>
      </w:r>
      <w:r w:rsidRPr="00E75B60">
        <w:rPr>
          <w:rFonts w:ascii="Arial" w:hAnsi="Arial"/>
          <w:sz w:val="20"/>
          <w:szCs w:val="20"/>
        </w:rPr>
        <w:t xml:space="preserve"> (+</w:t>
      </w:r>
      <w:r>
        <w:rPr>
          <w:rFonts w:ascii="Arial" w:hAnsi="Arial"/>
          <w:sz w:val="20"/>
          <w:szCs w:val="20"/>
        </w:rPr>
        <w:t> </w:t>
      </w:r>
      <w:r w:rsidR="005B0F89">
        <w:rPr>
          <w:rFonts w:ascii="Arial" w:hAnsi="Arial"/>
          <w:sz w:val="20"/>
          <w:szCs w:val="20"/>
        </w:rPr>
        <w:t>16</w:t>
      </w:r>
      <w:r w:rsidRPr="00E75B60">
        <w:rPr>
          <w:rFonts w:ascii="Arial" w:hAnsi="Arial"/>
          <w:sz w:val="20"/>
          <w:szCs w:val="20"/>
        </w:rPr>
        <w:t>,</w:t>
      </w:r>
      <w:r w:rsidR="005B0F89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</w:t>
      </w:r>
      <w:r w:rsidRPr="00E75B60">
        <w:rPr>
          <w:rFonts w:ascii="Arial" w:hAnsi="Arial"/>
          <w:sz w:val="20"/>
          <w:szCs w:val="20"/>
        </w:rPr>
        <w:t>%).</w:t>
      </w:r>
    </w:p>
    <w:p w14:paraId="0F37CCB7" w14:textId="77777777" w:rsidR="006F5CF0" w:rsidRDefault="006F5CF0" w:rsidP="006F5CF0">
      <w:pPr>
        <w:jc w:val="both"/>
        <w:rPr>
          <w:rFonts w:ascii="Arial" w:hAnsi="Arial"/>
          <w:sz w:val="20"/>
          <w:szCs w:val="20"/>
        </w:rPr>
      </w:pPr>
    </w:p>
    <w:p w14:paraId="6AB53BE1" w14:textId="3BCD0F16" w:rsidR="006F5CF0" w:rsidRDefault="006F5CF0" w:rsidP="006F5CF0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V p</w:t>
      </w:r>
      <w:r w:rsidRPr="00F3700D">
        <w:rPr>
          <w:rFonts w:ascii="Arial" w:hAnsi="Arial"/>
          <w:b/>
          <w:sz w:val="20"/>
          <w:szCs w:val="20"/>
        </w:rPr>
        <w:t>růměr</w:t>
      </w:r>
      <w:r>
        <w:rPr>
          <w:rFonts w:ascii="Arial" w:hAnsi="Arial"/>
          <w:b/>
          <w:sz w:val="20"/>
          <w:szCs w:val="20"/>
        </w:rPr>
        <w:t>u</w:t>
      </w:r>
      <w:r w:rsidRPr="00F3700D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za celý rok</w:t>
      </w:r>
      <w:r>
        <w:rPr>
          <w:rFonts w:ascii="Arial" w:hAnsi="Arial"/>
          <w:sz w:val="20"/>
          <w:szCs w:val="20"/>
        </w:rPr>
        <w:t xml:space="preserve"> 202</w:t>
      </w:r>
      <w:r w:rsidR="00037729">
        <w:rPr>
          <w:rFonts w:ascii="Arial" w:hAnsi="Arial"/>
          <w:sz w:val="20"/>
          <w:szCs w:val="20"/>
        </w:rPr>
        <w:t>2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vzrostl o </w:t>
      </w:r>
      <w:r w:rsidR="002C6688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8,</w:t>
      </w:r>
      <w:r w:rsidR="002C6688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 %; index cen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 w:rsidR="002C6688">
        <w:rPr>
          <w:rFonts w:ascii="Arial" w:hAnsi="Arial"/>
          <w:sz w:val="20"/>
          <w:szCs w:val="20"/>
        </w:rPr>
        <w:t>stavební výroby vzrostl o 20,7</w:t>
      </w:r>
      <w:r>
        <w:rPr>
          <w:rFonts w:ascii="Arial" w:hAnsi="Arial"/>
          <w:sz w:val="20"/>
          <w:szCs w:val="20"/>
        </w:rPr>
        <w:t> %.</w:t>
      </w:r>
    </w:p>
    <w:p w14:paraId="45C717CE" w14:textId="77777777" w:rsidR="006F5CF0" w:rsidRDefault="006F5CF0" w:rsidP="006F5CF0">
      <w:pPr>
        <w:pStyle w:val="Zkladntext"/>
        <w:jc w:val="both"/>
        <w:rPr>
          <w:rFonts w:ascii="Arial" w:hAnsi="Arial"/>
          <w:sz w:val="20"/>
          <w:szCs w:val="20"/>
        </w:rPr>
      </w:pPr>
    </w:p>
    <w:p w14:paraId="01E9175A" w14:textId="02392ED8" w:rsidR="006F5CF0" w:rsidRPr="001824BD" w:rsidRDefault="006F5CF0" w:rsidP="006F5CF0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1824BD">
        <w:rPr>
          <w:rFonts w:ascii="Arial" w:hAnsi="Arial" w:cs="Arial"/>
          <w:sz w:val="20"/>
          <w:szCs w:val="20"/>
        </w:rPr>
        <w:t>V roce 20</w:t>
      </w:r>
      <w:r>
        <w:rPr>
          <w:rFonts w:ascii="Arial" w:hAnsi="Arial" w:cs="Arial"/>
          <w:sz w:val="20"/>
          <w:szCs w:val="20"/>
        </w:rPr>
        <w:t>2</w:t>
      </w:r>
      <w:r w:rsidR="00037729">
        <w:rPr>
          <w:rFonts w:ascii="Arial" w:hAnsi="Arial" w:cs="Arial"/>
          <w:sz w:val="20"/>
          <w:szCs w:val="20"/>
        </w:rPr>
        <w:t>2</w:t>
      </w:r>
      <w:r w:rsidRPr="001824BD">
        <w:rPr>
          <w:rFonts w:ascii="Arial" w:hAnsi="Arial" w:cs="Arial"/>
          <w:sz w:val="20"/>
          <w:szCs w:val="20"/>
        </w:rPr>
        <w:t xml:space="preserve"> byly publikované údaje počítány každé čtvrtletí </w:t>
      </w:r>
      <w:r w:rsidRPr="00050AB4">
        <w:rPr>
          <w:rFonts w:ascii="Arial" w:hAnsi="Arial" w:cs="Arial"/>
          <w:b/>
          <w:sz w:val="20"/>
          <w:szCs w:val="20"/>
        </w:rPr>
        <w:t>průměrně z 8 </w:t>
      </w:r>
      <w:r w:rsidR="006A7FA5">
        <w:rPr>
          <w:rFonts w:ascii="Arial" w:hAnsi="Arial" w:cs="Arial"/>
          <w:b/>
          <w:sz w:val="20"/>
          <w:szCs w:val="20"/>
        </w:rPr>
        <w:t>47</w:t>
      </w:r>
      <w:r>
        <w:rPr>
          <w:rFonts w:ascii="Arial" w:hAnsi="Arial" w:cs="Arial"/>
          <w:b/>
          <w:sz w:val="20"/>
          <w:szCs w:val="20"/>
        </w:rPr>
        <w:t>6</w:t>
      </w:r>
      <w:r w:rsidRPr="00050AB4">
        <w:rPr>
          <w:rFonts w:ascii="Arial" w:hAnsi="Arial" w:cs="Arial"/>
          <w:b/>
          <w:sz w:val="20"/>
          <w:szCs w:val="20"/>
        </w:rPr>
        <w:t xml:space="preserve"> formulářů</w:t>
      </w:r>
      <w:r w:rsidRPr="001824BD">
        <w:rPr>
          <w:rFonts w:ascii="Arial" w:hAnsi="Arial" w:cs="Arial"/>
          <w:sz w:val="20"/>
          <w:szCs w:val="20"/>
        </w:rPr>
        <w:t xml:space="preserve"> výkazu Ceny Stav 1-04 zaslaných průměrně </w:t>
      </w:r>
      <w:r w:rsidRPr="00050AB4">
        <w:rPr>
          <w:rFonts w:ascii="Arial" w:hAnsi="Arial" w:cs="Arial"/>
          <w:b/>
          <w:sz w:val="20"/>
          <w:szCs w:val="20"/>
        </w:rPr>
        <w:t>5</w:t>
      </w:r>
      <w:r w:rsidR="006A7FA5">
        <w:rPr>
          <w:rFonts w:ascii="Arial" w:hAnsi="Arial" w:cs="Arial"/>
          <w:b/>
          <w:sz w:val="20"/>
          <w:szCs w:val="20"/>
        </w:rPr>
        <w:t>58</w:t>
      </w:r>
      <w:r w:rsidRPr="00050AB4">
        <w:rPr>
          <w:rFonts w:ascii="Arial" w:hAnsi="Arial" w:cs="Arial"/>
          <w:b/>
          <w:sz w:val="20"/>
          <w:szCs w:val="20"/>
        </w:rPr>
        <w:t xml:space="preserve"> respondenty</w:t>
      </w:r>
      <w:r w:rsidRPr="001824BD">
        <w:rPr>
          <w:rFonts w:ascii="Arial" w:hAnsi="Arial" w:cs="Arial"/>
          <w:sz w:val="20"/>
          <w:szCs w:val="20"/>
        </w:rPr>
        <w:t>.</w:t>
      </w:r>
    </w:p>
    <w:p w14:paraId="66317F2E" w14:textId="77777777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A5568"/>
    <w:rsid w:val="002A6246"/>
    <w:rsid w:val="002B4B99"/>
    <w:rsid w:val="002C5CE2"/>
    <w:rsid w:val="002C6688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30AD4"/>
    <w:rsid w:val="004321AA"/>
    <w:rsid w:val="00436B01"/>
    <w:rsid w:val="0043721D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94875"/>
    <w:rsid w:val="00494976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6A64"/>
    <w:rsid w:val="0060219B"/>
    <w:rsid w:val="00606EB3"/>
    <w:rsid w:val="00607161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50AA9"/>
    <w:rsid w:val="00862BC4"/>
    <w:rsid w:val="00865233"/>
    <w:rsid w:val="008875DF"/>
    <w:rsid w:val="008875EA"/>
    <w:rsid w:val="008A28F5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26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4B2C"/>
    <w:rsid w:val="00F85882"/>
    <w:rsid w:val="00F90682"/>
    <w:rsid w:val="00F909E3"/>
    <w:rsid w:val="00F92E52"/>
    <w:rsid w:val="00F95AF3"/>
    <w:rsid w:val="00FA44E7"/>
    <w:rsid w:val="00FA5BF2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438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76</cp:revision>
  <cp:lastPrinted>2022-02-01T15:20:00Z</cp:lastPrinted>
  <dcterms:created xsi:type="dcterms:W3CDTF">2020-05-04T19:46:00Z</dcterms:created>
  <dcterms:modified xsi:type="dcterms:W3CDTF">2023-02-07T12:32:00Z</dcterms:modified>
</cp:coreProperties>
</file>