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E271D6" w:rsidRPr="00F44E55" w:rsidRDefault="00E271D6" w:rsidP="00E271D6">
      <w:pPr>
        <w:pStyle w:val="Zkladntext3"/>
        <w:spacing w:after="120"/>
        <w:rPr>
          <w:rFonts w:cs="Arial"/>
          <w:szCs w:val="20"/>
        </w:rPr>
      </w:pPr>
      <w:r w:rsidRPr="00F44E55">
        <w:rPr>
          <w:rFonts w:cs="Arial"/>
          <w:szCs w:val="20"/>
        </w:rPr>
        <w:t xml:space="preserve">Základem pro údaje </w:t>
      </w:r>
      <w:r w:rsidRPr="000A050D">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w:t>
      </w:r>
      <w:proofErr w:type="spellStart"/>
      <w:r w:rsidRPr="00F44E55">
        <w:rPr>
          <w:rFonts w:cs="Arial"/>
          <w:szCs w:val="20"/>
        </w:rPr>
        <w:t>intercenzální</w:t>
      </w:r>
      <w:proofErr w:type="spellEnd"/>
      <w:r w:rsidRPr="00F44E55">
        <w:rPr>
          <w:rFonts w:cs="Arial"/>
          <w:szCs w:val="20"/>
        </w:rPr>
        <w:t xml:space="preserve"> statistické bilance obyvatel vycházející ze zpracování statistických hlášení ČSÚ o sňatcích, narozeních, úmrtích a rozvodech a dat o stěhování z informačních systémů Ministerstva vnitra ČR. V údajích </w:t>
      </w:r>
      <w:r w:rsidRPr="000A050D">
        <w:rPr>
          <w:rFonts w:cs="Arial"/>
          <w:b/>
          <w:szCs w:val="20"/>
        </w:rPr>
        <w:t xml:space="preserve">o demografických událostech </w:t>
      </w:r>
      <w:r w:rsidRPr="00F44E55">
        <w:rPr>
          <w:rFonts w:cs="Arial"/>
          <w:szCs w:val="20"/>
        </w:rPr>
        <w:t xml:space="preserve">jsou obsaženy i sňatky, narození a úmrtí českých občanů s trvalým bydlištěm na území ČR, které nastaly v cizině, pokud byly zaevidovány zvláštní matrikou. Údaje jsou zveřejňovány čtvrtletně v členění do krajů a okresů (v Praze také do správních obvodů a městských částí), jednou ročně pak i do jednotlivých obcí. </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Veškeré údaje se týkají všech obyvatel, kteří mají v České republice trvalé bydliště, a to bez ohledu na státní občanství. Od roku 2001 (v návaznosti na sčítání lidu, domů a bytů 2001) údaje zahrnují také cizince s vízy k pobytu nad 90 dnů a cizince s přiznaným azylem a od 1. 5. 2004 také občany zemí EU s přechodným pobytem na území ČR a občany třetích zemí s povolením k dlouhodobému pobytu.</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 xml:space="preserve">Údaje pro intenzitní </w:t>
      </w:r>
      <w:r w:rsidRPr="000A050D">
        <w:rPr>
          <w:rFonts w:ascii="Arial" w:hAnsi="Arial" w:cs="Arial"/>
          <w:b/>
          <w:sz w:val="20"/>
          <w:szCs w:val="20"/>
        </w:rPr>
        <w:t>ukazatele 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0A050D">
        <w:rPr>
          <w:rFonts w:ascii="Arial" w:hAnsi="Arial" w:cs="Arial"/>
          <w:b/>
          <w:sz w:val="20"/>
          <w:szCs w:val="20"/>
        </w:rPr>
        <w:t>Střední stav obyvatelstva</w:t>
      </w:r>
      <w:r w:rsidRPr="00F44E55">
        <w:rPr>
          <w:rFonts w:ascii="Arial" w:hAnsi="Arial" w:cs="Arial"/>
          <w:sz w:val="20"/>
          <w:szCs w:val="20"/>
        </w:rPr>
        <w:t xml:space="preserve">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Pr>
          <w:rFonts w:ascii="Arial" w:hAnsi="Arial" w:cs="Arial"/>
          <w:sz w:val="20"/>
          <w:szCs w:val="20"/>
        </w:rPr>
        <w:t>určuje</w:t>
      </w:r>
      <w:r w:rsidRPr="00F44E55">
        <w:rPr>
          <w:rFonts w:ascii="Arial" w:hAnsi="Arial" w:cs="Arial"/>
          <w:sz w:val="20"/>
          <w:szCs w:val="20"/>
        </w:rPr>
        <w:t xml:space="preserve"> jako aritmetický průměr středních stavů příslušných měsíců</w:t>
      </w:r>
      <w:r>
        <w:rPr>
          <w:rFonts w:ascii="Arial" w:hAnsi="Arial" w:cs="Arial"/>
          <w:sz w:val="20"/>
          <w:szCs w:val="20"/>
        </w:rPr>
        <w:t xml:space="preserve"> v daném období</w:t>
      </w:r>
      <w:r w:rsidRPr="00F44E55">
        <w:rPr>
          <w:rFonts w:ascii="Arial" w:hAnsi="Arial" w:cs="Arial"/>
          <w:sz w:val="20"/>
          <w:szCs w:val="20"/>
        </w:rPr>
        <w:t xml:space="preserve">. </w:t>
      </w:r>
    </w:p>
    <w:p w:rsidR="00E271D6" w:rsidRDefault="00E271D6" w:rsidP="00E271D6">
      <w:pPr>
        <w:jc w:val="both"/>
        <w:rPr>
          <w:rFonts w:ascii="Arial" w:hAnsi="Arial" w:cs="Arial"/>
          <w:sz w:val="20"/>
          <w:szCs w:val="20"/>
        </w:rPr>
      </w:pPr>
      <w:r w:rsidRPr="000A050D">
        <w:rPr>
          <w:rFonts w:ascii="Arial" w:hAnsi="Arial" w:cs="Arial"/>
          <w:b/>
          <w:sz w:val="20"/>
          <w:szCs w:val="20"/>
        </w:rPr>
        <w:t>Kojenecká úmrtnost</w:t>
      </w:r>
      <w:r w:rsidRPr="00F44E55">
        <w:rPr>
          <w:rFonts w:ascii="Arial" w:hAnsi="Arial" w:cs="Arial"/>
          <w:sz w:val="20"/>
          <w:szCs w:val="20"/>
        </w:rPr>
        <w:t xml:space="preserve"> udává počet zemřelých dětí před dosažením věku 1 roku připadající na 1 000 živě narozených dětí v příslušném období. </w:t>
      </w:r>
      <w:r w:rsidRPr="000A050D">
        <w:rPr>
          <w:rFonts w:ascii="Arial" w:hAnsi="Arial" w:cs="Arial"/>
          <w:b/>
          <w:sz w:val="20"/>
          <w:szCs w:val="20"/>
        </w:rPr>
        <w:t>Novorozenecká úmrtnost</w:t>
      </w:r>
      <w:r w:rsidRPr="00F44E55">
        <w:rPr>
          <w:rFonts w:ascii="Arial" w:hAnsi="Arial" w:cs="Arial"/>
          <w:sz w:val="20"/>
          <w:szCs w:val="20"/>
        </w:rPr>
        <w:t xml:space="preserve"> udává počet zemřelých dětí před dosažením věku 28 dnů na 1 000 živě narozených dětí v příslušném období.</w:t>
      </w:r>
    </w:p>
    <w:p w:rsidR="00E271D6" w:rsidRPr="00F44E55" w:rsidRDefault="00E271D6" w:rsidP="00E271D6">
      <w:pPr>
        <w:jc w:val="both"/>
        <w:rPr>
          <w:rFonts w:ascii="Arial" w:hAnsi="Arial" w:cs="Arial"/>
          <w:sz w:val="20"/>
          <w:szCs w:val="20"/>
        </w:rPr>
      </w:pPr>
    </w:p>
    <w:p w:rsidR="00E271D6" w:rsidRPr="00C63FAD" w:rsidRDefault="000A050D" w:rsidP="00E271D6">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9D4D95" w:rsidRPr="00E271D6" w:rsidRDefault="009D4D95" w:rsidP="009D4D95">
      <w:pPr>
        <w:pStyle w:val="Normlnweb"/>
        <w:spacing w:before="120" w:beforeAutospacing="0" w:after="120" w:afterAutospacing="0"/>
        <w:jc w:val="center"/>
        <w:rPr>
          <w:rFonts w:ascii="Arial" w:hAnsi="Arial" w:cs="Arial"/>
          <w:b/>
          <w:noProof/>
          <w:color w:val="FF0000"/>
          <w:sz w:val="20"/>
        </w:rPr>
      </w:pPr>
      <w:r w:rsidRPr="00975221">
        <w:rPr>
          <w:rFonts w:ascii="Arial" w:hAnsi="Arial" w:cs="Arial"/>
          <w:b/>
          <w:color w:val="auto"/>
          <w:sz w:val="20"/>
        </w:rPr>
        <w:t>Intervaly spolehlivosti (95%) pro odhad počtu zaměstnaných v NH,</w:t>
      </w:r>
      <w:r w:rsidRPr="00975221">
        <w:rPr>
          <w:rFonts w:ascii="Arial" w:hAnsi="Arial" w:cs="Arial"/>
          <w:b/>
          <w:color w:val="auto"/>
          <w:sz w:val="20"/>
        </w:rPr>
        <w:br/>
        <w:t xml:space="preserve">nezaměstnaných a </w:t>
      </w:r>
      <w:r w:rsidR="00D64D80">
        <w:rPr>
          <w:rFonts w:ascii="Arial" w:hAnsi="Arial" w:cs="Arial"/>
          <w:b/>
          <w:color w:val="auto"/>
          <w:sz w:val="20"/>
        </w:rPr>
        <w:t>obecné míry</w:t>
      </w:r>
      <w:r w:rsidR="00D64D80" w:rsidRPr="00975221">
        <w:rPr>
          <w:rFonts w:ascii="Arial" w:hAnsi="Arial" w:cs="Arial"/>
          <w:b/>
          <w:color w:val="auto"/>
          <w:sz w:val="20"/>
        </w:rPr>
        <w:t xml:space="preserve"> </w:t>
      </w:r>
      <w:r w:rsidRPr="00975221">
        <w:rPr>
          <w:rFonts w:ascii="Arial" w:hAnsi="Arial" w:cs="Arial"/>
          <w:b/>
          <w:color w:val="auto"/>
          <w:sz w:val="20"/>
        </w:rPr>
        <w:t>nezaměstnanosti (</w:t>
      </w:r>
      <w:r w:rsidR="0027200D">
        <w:rPr>
          <w:rFonts w:ascii="Arial" w:hAnsi="Arial" w:cs="Arial"/>
          <w:b/>
          <w:color w:val="auto"/>
          <w:sz w:val="20"/>
        </w:rPr>
        <w:t>4</w:t>
      </w:r>
      <w:r w:rsidRPr="00975221">
        <w:rPr>
          <w:rFonts w:ascii="Arial" w:hAnsi="Arial" w:cs="Arial"/>
          <w:b/>
          <w:color w:val="auto"/>
          <w:sz w:val="20"/>
        </w:rPr>
        <w:t>. čtvrtletí 20</w:t>
      </w:r>
      <w:r>
        <w:rPr>
          <w:rFonts w:ascii="Arial" w:hAnsi="Arial" w:cs="Arial"/>
          <w:b/>
          <w:color w:val="auto"/>
          <w:sz w:val="20"/>
        </w:rPr>
        <w:t>20</w:t>
      </w:r>
      <w:r w:rsidRPr="00975221">
        <w:rPr>
          <w:rFonts w:ascii="Arial" w:hAnsi="Arial" w:cs="Arial"/>
          <w:b/>
          <w:color w:val="auto"/>
          <w:sz w:val="20"/>
        </w:rPr>
        <w:t>)</w:t>
      </w:r>
    </w:p>
    <w:p w:rsidR="009D4D95" w:rsidRDefault="00D4505A" w:rsidP="009D4D95">
      <w:pPr>
        <w:pStyle w:val="Normlnweb"/>
        <w:spacing w:before="120" w:beforeAutospacing="0" w:after="0" w:afterAutospacing="0"/>
        <w:jc w:val="center"/>
        <w:rPr>
          <w:rFonts w:ascii="Arial" w:hAnsi="Arial" w:cs="Arial"/>
          <w:b/>
          <w:color w:val="auto"/>
          <w:sz w:val="20"/>
        </w:rPr>
      </w:pPr>
      <w:r w:rsidRPr="00D4505A">
        <w:rPr>
          <w:rFonts w:ascii="Arial" w:hAnsi="Arial" w:cs="Arial"/>
          <w:b/>
          <w:noProof/>
          <w:color w:val="auto"/>
          <w:sz w:val="20"/>
        </w:rPr>
        <w:drawing>
          <wp:inline distT="0" distB="0" distL="0" distR="0">
            <wp:extent cx="6107430" cy="3816985"/>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7430" cy="3816985"/>
                    </a:xfrm>
                    <a:prstGeom prst="rect">
                      <a:avLst/>
                    </a:prstGeom>
                    <a:noFill/>
                    <a:ln>
                      <a:noFill/>
                    </a:ln>
                  </pic:spPr>
                </pic:pic>
              </a:graphicData>
            </a:graphic>
          </wp:inline>
        </w:drawing>
      </w:r>
    </w:p>
    <w:p w:rsidR="00E271D6" w:rsidRPr="00C63FAD" w:rsidRDefault="00E271D6" w:rsidP="00E271D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506239">
        <w:rPr>
          <w:rFonts w:cs="Arial"/>
          <w:szCs w:val="20"/>
        </w:rPr>
        <w:t> </w:t>
      </w:r>
      <w:r w:rsidRPr="00C63FAD">
        <w:rPr>
          <w:rFonts w:cs="Arial"/>
          <w:szCs w:val="20"/>
        </w:rPr>
        <w:t>práce, aktivně ji hledaly a byly připraveny k nástupu do zaměstnání nejpozději do 14 dnů. Za</w:t>
      </w:r>
      <w:r w:rsidR="00506239">
        <w:rPr>
          <w:rFonts w:cs="Arial"/>
          <w:szCs w:val="20"/>
        </w:rPr>
        <w:t>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3E0A6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 xml:space="preserve">podle místa skutečného pracoviště zaměstnanců, tzv. </w:t>
      </w:r>
      <w:proofErr w:type="spellStart"/>
      <w:r w:rsidRPr="00A16978">
        <w:rPr>
          <w:rFonts w:ascii="Arial" w:hAnsi="Arial" w:cs="Arial"/>
          <w:b/>
          <w:bCs/>
          <w:color w:val="auto"/>
          <w:sz w:val="20"/>
          <w:szCs w:val="20"/>
        </w:rPr>
        <w:t>pracovištní</w:t>
      </w:r>
      <w:proofErr w:type="spellEnd"/>
      <w:r w:rsidRPr="00A16978">
        <w:rPr>
          <w:rFonts w:ascii="Arial" w:hAnsi="Arial" w:cs="Arial"/>
          <w:b/>
          <w:bCs/>
          <w:color w:val="auto"/>
          <w:sz w:val="20"/>
          <w:szCs w:val="20"/>
        </w:rPr>
        <w:t xml:space="preserve">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Default="00987DCD" w:rsidP="00987DCD">
      <w:pPr>
        <w:rPr>
          <w:rFonts w:ascii="Arial" w:hAnsi="Arial" w:cs="Arial"/>
          <w:b/>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w:t>
      </w:r>
      <w:proofErr w:type="gramStart"/>
      <w:r w:rsidRPr="00C63FAD">
        <w:rPr>
          <w:rFonts w:cs="Arial"/>
        </w:rPr>
        <w:t>RES</w:t>
      </w:r>
      <w:proofErr w:type="gramEnd"/>
      <w:r w:rsidRPr="00C63FAD">
        <w:rPr>
          <w:rFonts w:cs="Arial"/>
        </w:rPr>
        <w:t xml:space="preserve">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pStyle w:val="Rbntext"/>
        <w:spacing w:before="0" w:after="120"/>
        <w:rPr>
          <w:rFonts w:cs="Arial"/>
          <w:szCs w:val="24"/>
        </w:rPr>
      </w:pPr>
      <w:r w:rsidRPr="00C63FAD">
        <w:rPr>
          <w:rFonts w:cs="Arial"/>
          <w:szCs w:val="24"/>
        </w:rPr>
        <w:t xml:space="preserve">V souvislosti s novým Občanským zákoníkem došlo od 1. 1. 2014 k rozsáhlé změně v evidenci </w:t>
      </w:r>
      <w:r w:rsidRPr="00C63FAD">
        <w:rPr>
          <w:rFonts w:cs="Arial"/>
          <w:b/>
          <w:szCs w:val="24"/>
        </w:rPr>
        <w:t>občanských sdružení</w:t>
      </w:r>
      <w:r w:rsidRPr="00C63FAD">
        <w:rPr>
          <w:rFonts w:cs="Arial"/>
          <w:szCs w:val="24"/>
        </w:rPr>
        <w:t xml:space="preserve">. Aktivní občanská sdružení byla převedena do nových právních forem </w:t>
      </w:r>
      <w:r>
        <w:rPr>
          <w:rFonts w:cs="Arial"/>
          <w:szCs w:val="24"/>
        </w:rPr>
        <w:t>–</w:t>
      </w:r>
      <w:r w:rsidRPr="00C63FAD">
        <w:rPr>
          <w:rFonts w:cs="Arial"/>
          <w:szCs w:val="24"/>
        </w:rPr>
        <w:t xml:space="preserve"> nejčastěji 706 spolek (dříve právní forma 701 sdružení) a 736 pobočný spolek (dříve 731 organizační jednotka sdružení), které jsou vedeny ve spolkovém rejstříku. Ke stejnému datu byly do nových forem převedeny i subjekty z původní právní formy 421 zahraniční osoba, přičemž kód 421 byl použit pro právní formu odštěpný závod zahraniční právnické osoby. </w:t>
      </w:r>
      <w:r>
        <w:rPr>
          <w:rFonts w:cs="Arial"/>
          <w:szCs w:val="24"/>
        </w:rPr>
        <w:t>K </w:t>
      </w:r>
      <w:r w:rsidRPr="00EE7B19">
        <w:rPr>
          <w:rFonts w:cs="Arial"/>
          <w:szCs w:val="24"/>
        </w:rPr>
        <w:t>1.</w:t>
      </w:r>
      <w:r>
        <w:rPr>
          <w:rFonts w:cs="Arial"/>
          <w:szCs w:val="24"/>
        </w:rPr>
        <w:t> </w:t>
      </w:r>
      <w:r w:rsidRPr="00EE7B19">
        <w:rPr>
          <w:rFonts w:cs="Arial"/>
          <w:szCs w:val="24"/>
        </w:rPr>
        <w:t>1.</w:t>
      </w:r>
      <w:r>
        <w:rPr>
          <w:rFonts w:cs="Arial"/>
          <w:szCs w:val="24"/>
        </w:rPr>
        <w:t> </w:t>
      </w:r>
      <w:r w:rsidRPr="00EE7B19">
        <w:rPr>
          <w:rFonts w:cs="Arial"/>
          <w:szCs w:val="24"/>
        </w:rPr>
        <w:t>2017 vznikly nové právní formy 722</w:t>
      </w:r>
      <w:r>
        <w:rPr>
          <w:rFonts w:cs="Arial"/>
          <w:szCs w:val="24"/>
        </w:rPr>
        <w:t> </w:t>
      </w:r>
      <w:r w:rsidRPr="00EE7B19">
        <w:rPr>
          <w:rFonts w:cs="Arial"/>
          <w:szCs w:val="24"/>
        </w:rPr>
        <w:t>evidované církevní právnické osoby a</w:t>
      </w:r>
      <w:r>
        <w:rPr>
          <w:rFonts w:cs="Arial"/>
          <w:szCs w:val="24"/>
        </w:rPr>
        <w:t> </w:t>
      </w:r>
      <w:r w:rsidRPr="00EE7B19">
        <w:rPr>
          <w:rFonts w:cs="Arial"/>
          <w:szCs w:val="24"/>
        </w:rPr>
        <w:t>723</w:t>
      </w:r>
      <w:r>
        <w:rPr>
          <w:rFonts w:cs="Arial"/>
          <w:szCs w:val="24"/>
        </w:rPr>
        <w:t> </w:t>
      </w:r>
      <w:r w:rsidRPr="00EE7B19">
        <w:rPr>
          <w:rFonts w:cs="Arial"/>
          <w:szCs w:val="24"/>
        </w:rPr>
        <w:t>svazy církví a</w:t>
      </w:r>
      <w:r>
        <w:rPr>
          <w:rFonts w:cs="Arial"/>
          <w:szCs w:val="24"/>
        </w:rPr>
        <w:t> </w:t>
      </w:r>
      <w:r w:rsidRPr="00EE7B19">
        <w:rPr>
          <w:rFonts w:cs="Arial"/>
          <w:szCs w:val="24"/>
        </w:rPr>
        <w:t>náboženských společností, do kterých byla přesunuta podstatná část subjektů z</w:t>
      </w:r>
      <w:r>
        <w:rPr>
          <w:rFonts w:cs="Arial"/>
          <w:szCs w:val="24"/>
        </w:rPr>
        <w:t> </w:t>
      </w:r>
      <w:r w:rsidRPr="00EE7B19">
        <w:rPr>
          <w:rFonts w:cs="Arial"/>
          <w:szCs w:val="24"/>
        </w:rPr>
        <w:t>dosavadní právní formy 721</w:t>
      </w:r>
      <w:r>
        <w:rPr>
          <w:rFonts w:cs="Arial"/>
          <w:szCs w:val="24"/>
        </w:rPr>
        <w:t> </w:t>
      </w:r>
      <w:r w:rsidRPr="00EE7B19">
        <w:rPr>
          <w:rFonts w:cs="Arial"/>
          <w:szCs w:val="24"/>
        </w:rPr>
        <w:t>církve a náboženské společnosti.</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w:t>
      </w:r>
      <w:proofErr w:type="spellStart"/>
      <w:r w:rsidRPr="00C63FAD">
        <w:rPr>
          <w:rFonts w:ascii="Arial" w:hAnsi="Arial" w:cs="Arial"/>
          <w:sz w:val="20"/>
        </w:rPr>
        <w:t>subsektorů</w:t>
      </w:r>
      <w:proofErr w:type="spellEnd"/>
      <w:r w:rsidRPr="00C63FAD">
        <w:rPr>
          <w:rFonts w:ascii="Arial" w:hAnsi="Arial" w:cs="Arial"/>
          <w:sz w:val="20"/>
        </w:rPr>
        <w:t xml:space="preserve">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9D4D95" w:rsidRDefault="009D4D95" w:rsidP="009D4D95">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CC0ABB" w:rsidRDefault="00987DCD" w:rsidP="00987DCD">
      <w:pPr>
        <w:pStyle w:val="GroupWiseView"/>
        <w:tabs>
          <w:tab w:val="left" w:pos="1500"/>
          <w:tab w:val="left" w:pos="3000"/>
        </w:tabs>
        <w:jc w:val="both"/>
        <w:rPr>
          <w:rFonts w:ascii="Arial" w:hAnsi="Arial" w:cs="Arial"/>
          <w:color w:val="000000"/>
          <w:sz w:val="20"/>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987DCD" w:rsidP="00987DCD">
      <w:pPr>
        <w:pStyle w:val="Zkladntext3"/>
        <w:spacing w:before="120" w:after="120" w:line="233" w:lineRule="auto"/>
        <w:rPr>
          <w:rFonts w:cs="Arial"/>
        </w:rPr>
      </w:pPr>
      <w:r w:rsidRPr="00987DCD">
        <w:rPr>
          <w:rFonts w:cs="Arial"/>
          <w:b/>
        </w:rPr>
        <w:t>Výroba masa</w:t>
      </w:r>
      <w:r>
        <w:rPr>
          <w:rFonts w:cs="Arial"/>
        </w:rPr>
        <w:t xml:space="preserve"> uvádí jatečnou hmotnost zvířat poražených na registrovaných jatkách.</w:t>
      </w:r>
      <w:r w:rsidRPr="00C63FAD">
        <w:rPr>
          <w:rFonts w:cs="Arial"/>
        </w:rPr>
        <w:t xml:space="preserve"> </w:t>
      </w:r>
      <w:r>
        <w:rPr>
          <w:rFonts w:cs="Arial"/>
          <w:szCs w:val="20"/>
        </w:rPr>
        <w:t>Jatečná hmotnost je hmotnost jatečně upravených těl. Z</w:t>
      </w:r>
      <w:r w:rsidRPr="00C63FAD">
        <w:rPr>
          <w:rFonts w:cs="Arial"/>
          <w:szCs w:val="20"/>
        </w:rPr>
        <w:t>ahrnuj</w:t>
      </w:r>
      <w:r>
        <w:rPr>
          <w:rFonts w:cs="Arial"/>
          <w:szCs w:val="20"/>
        </w:rPr>
        <w:t>e</w:t>
      </w:r>
      <w:r w:rsidRPr="00C63FAD">
        <w:rPr>
          <w:rFonts w:cs="Arial"/>
          <w:szCs w:val="20"/>
        </w:rPr>
        <w:t xml:space="preserve"> jatečná zvířata bez ohledu na to, zda jsou tuzemského původu nebo byla dovezena ze zahraničí</w:t>
      </w:r>
      <w:r>
        <w:rPr>
          <w:rFonts w:cs="Arial"/>
          <w:szCs w:val="20"/>
        </w:rPr>
        <w:t>, zda byla nakoupena nebo poražena za úplatu</w:t>
      </w:r>
      <w:r w:rsidRPr="00C63FAD">
        <w:rPr>
          <w:rFonts w:cs="Arial"/>
          <w:szCs w:val="20"/>
        </w:rPr>
        <w:t>. Nutné porážky jsou započ</w:t>
      </w:r>
      <w:r>
        <w:rPr>
          <w:rFonts w:cs="Arial"/>
          <w:szCs w:val="20"/>
        </w:rPr>
        <w:t>teny</w:t>
      </w:r>
      <w:r w:rsidRPr="00C63FAD">
        <w:rPr>
          <w:rFonts w:cs="Arial"/>
          <w:szCs w:val="20"/>
        </w:rPr>
        <w:t xml:space="preserve"> v případě, že maso </w:t>
      </w:r>
      <w:r>
        <w:rPr>
          <w:rFonts w:cs="Arial"/>
          <w:szCs w:val="20"/>
        </w:rPr>
        <w:t>bylo určeno</w:t>
      </w:r>
      <w:r w:rsidRPr="00C63FAD">
        <w:rPr>
          <w:rFonts w:cs="Arial"/>
          <w:szCs w:val="20"/>
        </w:rPr>
        <w:t xml:space="preserve"> pro lidskou spotřebu. Výroba masa </w:t>
      </w:r>
      <w:r>
        <w:rPr>
          <w:rFonts w:cs="Arial"/>
          <w:szCs w:val="20"/>
        </w:rPr>
        <w:t xml:space="preserve">celkem (bez drůbežího) </w:t>
      </w:r>
      <w:r w:rsidRPr="00C63FAD">
        <w:rPr>
          <w:rFonts w:cs="Arial"/>
          <w:szCs w:val="20"/>
        </w:rPr>
        <w:lastRenderedPageBreak/>
        <w:t>zahrnuje výrobu hovězího, telecího, vepřového, skopového, kozího a koňského masa</w:t>
      </w:r>
      <w:r>
        <w:rPr>
          <w:rFonts w:cs="Arial"/>
          <w:szCs w:val="20"/>
        </w:rPr>
        <w:t>. Telecí maso je maso skotu poraženého ve věku do osmi měsíců, jehněčí maso je maso ovcí poražených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w:t>
      </w:r>
      <w:proofErr w:type="gramStart"/>
      <w:r w:rsidRPr="00C63FAD">
        <w:rPr>
          <w:rFonts w:ascii="Arial" w:hAnsi="Arial" w:cs="Arial"/>
          <w:sz w:val="20"/>
          <w:szCs w:val="26"/>
        </w:rPr>
        <w:t xml:space="preserve">K.2 </w:t>
      </w:r>
      <w:r>
        <w:rPr>
          <w:rFonts w:ascii="Arial" w:hAnsi="Arial" w:cs="Arial"/>
          <w:sz w:val="20"/>
          <w:szCs w:val="26"/>
        </w:rPr>
        <w:t>(popřípadě</w:t>
      </w:r>
      <w:proofErr w:type="gramEnd"/>
      <w:r>
        <w:rPr>
          <w:rFonts w:ascii="Arial" w:hAnsi="Arial" w:cs="Arial"/>
          <w:sz w:val="20"/>
          <w:szCs w:val="26"/>
        </w:rPr>
        <w:t xml:space="preserve">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2A1BF9" w:rsidRDefault="009D4D95" w:rsidP="009D4D95">
      <w:pPr>
        <w:pStyle w:val="Zkladntext3"/>
        <w:rPr>
          <w:rFonts w:cs="Arial"/>
          <w:b/>
          <w:color w:val="C00000"/>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w:t>
      </w:r>
      <w:r w:rsidRPr="008C5C76">
        <w:lastRenderedPageBreak/>
        <w:t>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proofErr w:type="gramStart"/>
      <w:r w:rsidRPr="004A29BE">
        <w:rPr>
          <w:rFonts w:ascii="Arial" w:hAnsi="Arial" w:cs="Arial"/>
          <w:sz w:val="20"/>
          <w:szCs w:val="20"/>
        </w:rPr>
        <w:t>čin</w:t>
      </w:r>
      <w:r>
        <w:rPr>
          <w:rFonts w:ascii="Arial" w:hAnsi="Arial" w:cs="Arial"/>
          <w:sz w:val="20"/>
          <w:szCs w:val="20"/>
        </w:rPr>
        <w:t>ech</w:t>
      </w:r>
      <w:proofErr w:type="gramEnd"/>
      <w:r>
        <w:rPr>
          <w:rFonts w:ascii="Arial" w:hAnsi="Arial" w:cs="Arial"/>
          <w:sz w:val="20"/>
          <w:szCs w:val="20"/>
        </w:rPr>
        <w:t xml:space="preserve">)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EE2E0B">
      <w:pPr>
        <w:pStyle w:val="Nadpis20"/>
        <w:spacing w:before="0" w:line="228" w:lineRule="auto"/>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oku. Nejsou prováděny přepočty na srovnatelnou organizační 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20</w:t>
      </w:r>
      <w:r w:rsidRPr="00C63FAD">
        <w:rPr>
          <w:rFonts w:ascii="Arial" w:hAnsi="Arial" w:cs="Arial"/>
          <w:sz w:val="20"/>
        </w:rPr>
        <w:t>/20</w:t>
      </w:r>
      <w:r>
        <w:rPr>
          <w:rFonts w:ascii="Arial" w:hAnsi="Arial" w:cs="Arial"/>
          <w:sz w:val="20"/>
        </w:rPr>
        <w:t>19</w:t>
      </w:r>
      <w:r w:rsidRPr="00C63FAD">
        <w:rPr>
          <w:rFonts w:ascii="Arial" w:hAnsi="Arial" w:cs="Arial"/>
          <w:sz w:val="20"/>
        </w:rPr>
        <w:t>, respektive 201</w:t>
      </w:r>
      <w:r>
        <w:rPr>
          <w:rFonts w:ascii="Arial" w:hAnsi="Arial" w:cs="Arial"/>
          <w:sz w:val="20"/>
        </w:rPr>
        <w:t>9</w:t>
      </w:r>
      <w:r w:rsidRPr="00C63FAD">
        <w:rPr>
          <w:rFonts w:ascii="Arial" w:hAnsi="Arial" w:cs="Arial"/>
          <w:sz w:val="20"/>
        </w:rPr>
        <w:t>/201</w:t>
      </w:r>
      <w:r>
        <w:rPr>
          <w:rFonts w:ascii="Arial" w:hAnsi="Arial" w:cs="Arial"/>
          <w:sz w:val="20"/>
        </w:rPr>
        <w:t>8</w:t>
      </w:r>
      <w:r w:rsidRPr="00C63FAD">
        <w:rPr>
          <w:rFonts w:ascii="Arial" w:hAnsi="Arial" w:cs="Arial"/>
          <w:sz w:val="20"/>
        </w:rPr>
        <w:t>, jsou uváděny v %.</w:t>
      </w:r>
    </w:p>
    <w:p w:rsidR="00B20844" w:rsidRDefault="00B20844" w:rsidP="00EE2E0B">
      <w:pPr>
        <w:spacing w:line="228" w:lineRule="auto"/>
        <w:jc w:val="both"/>
        <w:rPr>
          <w:rFonts w:ascii="Arial" w:hAnsi="Arial" w:cs="Arial"/>
          <w:sz w:val="20"/>
        </w:rPr>
      </w:pPr>
    </w:p>
    <w:p w:rsidR="00B20844" w:rsidRPr="00B20844" w:rsidRDefault="00B20844" w:rsidP="00B20844">
      <w:pPr>
        <w:pStyle w:val="Nadpis8"/>
        <w:spacing w:before="40" w:after="120" w:line="233" w:lineRule="auto"/>
        <w:rPr>
          <w:rStyle w:val="Siln"/>
          <w:b/>
        </w:rPr>
      </w:pPr>
      <w:r w:rsidRPr="00B20844">
        <w:rPr>
          <w:rStyle w:val="Siln"/>
          <w:b/>
        </w:rPr>
        <w:t>ŽIVOTNÍ PODMÍNKY</w:t>
      </w:r>
    </w:p>
    <w:p w:rsidR="00B20844" w:rsidRPr="00B20844" w:rsidRDefault="00B20844" w:rsidP="00B20844">
      <w:pPr>
        <w:pStyle w:val="Rtextmetodika"/>
        <w:rPr>
          <w:rFonts w:cs="Arial"/>
          <w:sz w:val="20"/>
        </w:rPr>
      </w:pPr>
      <w:r w:rsidRPr="00B20844">
        <w:rPr>
          <w:rFonts w:cs="Arial"/>
          <w:sz w:val="20"/>
        </w:rPr>
        <w:t>Na základě členství v Evropské unii provedl Český statistický úřad další ročník výběrového šetření EU-SILC o příjmech a životních podmínkách domácností pod názvem „</w:t>
      </w:r>
      <w:r w:rsidRPr="00B20844">
        <w:rPr>
          <w:rFonts w:cs="Arial"/>
          <w:b/>
          <w:bCs/>
          <w:sz w:val="20"/>
        </w:rPr>
        <w:t>Životní podmínky 2020</w:t>
      </w:r>
      <w:r w:rsidRPr="00B20844">
        <w:rPr>
          <w:rFonts w:cs="Arial"/>
          <w:sz w:val="20"/>
        </w:rPr>
        <w:t>“. Cílem tohoto šetření je dlouhodobě získávat srovnatelná data o sociální situaci domácností, která jsou díky jednotné metodice porovnatelná i s dalšími zeměmi EU.</w:t>
      </w:r>
    </w:p>
    <w:p w:rsidR="00B20844" w:rsidRPr="00B20844" w:rsidRDefault="00B20844" w:rsidP="00B20844">
      <w:pPr>
        <w:spacing w:before="120" w:after="120"/>
        <w:jc w:val="both"/>
        <w:rPr>
          <w:rFonts w:ascii="Arial" w:hAnsi="Arial" w:cs="Arial"/>
          <w:sz w:val="20"/>
          <w:szCs w:val="20"/>
        </w:rPr>
      </w:pPr>
      <w:r w:rsidRPr="00B20844">
        <w:rPr>
          <w:rFonts w:ascii="Arial" w:hAnsi="Arial" w:cs="Arial"/>
          <w:sz w:val="20"/>
          <w:szCs w:val="20"/>
        </w:rPr>
        <w:t>Šetření je realizováno jako čtyřletý rotační panel, každoročně se část domácností obmění. Výsledky šetření jsou vzhledem k velikosti výběrového souboru reprezentativní jen do úrovně krajů.</w:t>
      </w:r>
      <w:r w:rsidRPr="00B20844">
        <w:rPr>
          <w:rFonts w:ascii="Arial" w:hAnsi="Arial" w:cs="Arial"/>
          <w:b/>
          <w:bCs/>
          <w:sz w:val="20"/>
          <w:szCs w:val="20"/>
        </w:rPr>
        <w:t xml:space="preserve"> Při interpretaci výsledků </w:t>
      </w:r>
      <w:r w:rsidRPr="00B20844">
        <w:rPr>
          <w:rFonts w:ascii="Arial" w:hAnsi="Arial" w:cs="Arial"/>
          <w:b/>
          <w:bCs/>
          <w:sz w:val="20"/>
          <w:szCs w:val="20"/>
        </w:rPr>
        <w:lastRenderedPageBreak/>
        <w:t>šetření je třeba mít na paměti, že vznikly zpracováním dat získaných z výběrového šetření a jsou zatíženy určitou statistickou chybou (výběrovou i nevýběrovou).</w:t>
      </w:r>
      <w:r w:rsidRPr="00B20844">
        <w:rPr>
          <w:rFonts w:ascii="Arial" w:hAnsi="Arial" w:cs="Arial"/>
          <w:sz w:val="20"/>
          <w:szCs w:val="20"/>
        </w:rPr>
        <w:t xml:space="preserve"> </w:t>
      </w:r>
    </w:p>
    <w:p w:rsidR="00B20844" w:rsidRPr="00B20844" w:rsidRDefault="00B20844" w:rsidP="00B20844">
      <w:pPr>
        <w:spacing w:before="120" w:after="120"/>
        <w:jc w:val="both"/>
        <w:rPr>
          <w:rFonts w:ascii="Arial" w:hAnsi="Arial" w:cs="Arial"/>
          <w:sz w:val="20"/>
          <w:szCs w:val="20"/>
        </w:rPr>
      </w:pPr>
      <w:r w:rsidRPr="00B20844">
        <w:rPr>
          <w:rFonts w:ascii="Arial" w:hAnsi="Arial" w:cs="Arial"/>
          <w:sz w:val="20"/>
          <w:szCs w:val="20"/>
        </w:rPr>
        <w:t xml:space="preserve">Do šetření byly zahrnuty všechny osoby, které v době šetření měly ve vybraném bytě obvyklé bydliště, a to včetně osob dočasně nepřítomných. Toto se vztahovalo i na cizí státní příslušníky a podnájemníky. </w:t>
      </w:r>
      <w:r w:rsidRPr="00B20844">
        <w:rPr>
          <w:rFonts w:ascii="Arial" w:hAnsi="Arial" w:cs="Arial"/>
          <w:b/>
          <w:bCs/>
          <w:sz w:val="20"/>
          <w:szCs w:val="20"/>
        </w:rPr>
        <w:t>Hospodařící domácnost</w:t>
      </w:r>
      <w:r w:rsidRPr="00B20844">
        <w:rPr>
          <w:rFonts w:ascii="Arial" w:hAnsi="Arial" w:cs="Arial"/>
          <w:sz w:val="20"/>
          <w:szCs w:val="20"/>
        </w:rPr>
        <w:t xml:space="preserve"> tvoří jedinec neb</w:t>
      </w:r>
      <w:bookmarkStart w:id="0" w:name="_GoBack"/>
      <w:bookmarkEnd w:id="0"/>
      <w:r w:rsidRPr="00B20844">
        <w:rPr>
          <w:rFonts w:ascii="Arial" w:hAnsi="Arial" w:cs="Arial"/>
          <w:sz w:val="20"/>
          <w:szCs w:val="20"/>
        </w:rPr>
        <w:t xml:space="preserve">o skupina osob, které spolu trvale žijí a společně hradí základní a provozní výdaje domácnosti. </w:t>
      </w:r>
      <w:r w:rsidRPr="00B20844">
        <w:rPr>
          <w:rFonts w:ascii="Arial" w:hAnsi="Arial" w:cs="Arial"/>
          <w:b/>
          <w:bCs/>
          <w:sz w:val="20"/>
          <w:szCs w:val="20"/>
        </w:rPr>
        <w:t>Příjmy osob a domácností</w:t>
      </w:r>
      <w:r w:rsidRPr="00B20844">
        <w:rPr>
          <w:rFonts w:ascii="Arial" w:hAnsi="Arial" w:cs="Arial"/>
          <w:sz w:val="20"/>
          <w:szCs w:val="20"/>
        </w:rPr>
        <w:t xml:space="preserve"> jsou zjišťovány vždy za kalendářní rok předcházející šetření (2019).</w:t>
      </w:r>
    </w:p>
    <w:p w:rsidR="00B20844" w:rsidRPr="00B20844" w:rsidRDefault="00B20844" w:rsidP="00B20844">
      <w:pPr>
        <w:spacing w:before="120" w:after="120"/>
        <w:jc w:val="both"/>
        <w:rPr>
          <w:rFonts w:ascii="Arial" w:hAnsi="Arial" w:cs="Arial"/>
          <w:sz w:val="20"/>
          <w:szCs w:val="20"/>
        </w:rPr>
      </w:pPr>
      <w:r w:rsidRPr="00B20844">
        <w:rPr>
          <w:rFonts w:ascii="Arial" w:hAnsi="Arial" w:cs="Arial"/>
          <w:sz w:val="20"/>
          <w:szCs w:val="20"/>
        </w:rPr>
        <w:t>Podrobné výsledky šetření, metodika a tabulky s </w:t>
      </w:r>
      <w:proofErr w:type="gramStart"/>
      <w:r w:rsidRPr="00B20844">
        <w:rPr>
          <w:rFonts w:ascii="Arial" w:hAnsi="Arial" w:cs="Arial"/>
          <w:sz w:val="20"/>
          <w:szCs w:val="20"/>
        </w:rPr>
        <w:t>odhady</w:t>
      </w:r>
      <w:proofErr w:type="gramEnd"/>
      <w:r w:rsidRPr="00B20844">
        <w:rPr>
          <w:rFonts w:ascii="Arial" w:hAnsi="Arial" w:cs="Arial"/>
          <w:sz w:val="20"/>
          <w:szCs w:val="20"/>
        </w:rPr>
        <w:t xml:space="preserve"> 95% intervalu spolehlivosti, jsou uvedeny ve zdrojové publikaci „</w:t>
      </w:r>
      <w:hyperlink r:id="rId10" w:history="1">
        <w:r w:rsidRPr="00B20844">
          <w:rPr>
            <w:rStyle w:val="Hypertextovodkaz"/>
            <w:rFonts w:ascii="Arial" w:hAnsi="Arial" w:cs="Arial"/>
            <w:b/>
            <w:bCs/>
            <w:color w:val="auto"/>
            <w:sz w:val="20"/>
            <w:szCs w:val="20"/>
          </w:rPr>
          <w:t>Příjmy a životní podmínky domácností v roce 2020</w:t>
        </w:r>
      </w:hyperlink>
      <w:r w:rsidRPr="00B20844">
        <w:rPr>
          <w:rFonts w:ascii="Arial" w:hAnsi="Arial" w:cs="Arial"/>
          <w:sz w:val="20"/>
          <w:szCs w:val="20"/>
        </w:rPr>
        <w:t>“, která je dostupná na internetových stránkách ČSÚ.</w:t>
      </w:r>
    </w:p>
    <w:p w:rsidR="00B20844" w:rsidRDefault="00B20844" w:rsidP="00EE2E0B">
      <w:pPr>
        <w:spacing w:line="228" w:lineRule="auto"/>
        <w:jc w:val="both"/>
        <w:rPr>
          <w:rFonts w:ascii="Arial" w:hAnsi="Arial" w:cs="Arial"/>
          <w:sz w:val="20"/>
        </w:rPr>
      </w:pP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w:t>
      </w:r>
      <w:proofErr w:type="gramEnd"/>
      <w:r w:rsidRPr="00C63FAD">
        <w:rPr>
          <w:rFonts w:ascii="Arial" w:hAnsi="Arial" w:cs="Arial"/>
          <w:sz w:val="20"/>
        </w:rPr>
        <w:t xml:space="preserve"> údaj, jehož velikost je menší než polovina měřící jednotky v tabulce</w:t>
      </w:r>
    </w:p>
    <w:p w:rsidR="00145516" w:rsidRPr="00C63FAD" w:rsidRDefault="00C63FAD" w:rsidP="00145516">
      <w:pPr>
        <w:spacing w:line="228" w:lineRule="auto"/>
        <w:jc w:val="both"/>
        <w:rPr>
          <w:rFonts w:ascii="Arial" w:hAnsi="Arial" w:cs="Arial"/>
          <w:sz w:val="20"/>
        </w:rPr>
      </w:pPr>
      <w:proofErr w:type="gramStart"/>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číselný</w:t>
      </w:r>
      <w:proofErr w:type="gramEnd"/>
      <w:r w:rsidR="00145516" w:rsidRPr="00C63FAD">
        <w:rPr>
          <w:rFonts w:ascii="Arial" w:hAnsi="Arial" w:cs="Arial"/>
          <w:sz w:val="20"/>
        </w:rPr>
        <w:t xml:space="preserve"> údaj není možný z logických důvodů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proofErr w:type="gramStart"/>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údaj</w:t>
      </w:r>
      <w:proofErr w:type="gramEnd"/>
      <w:r w:rsidRPr="00C63FAD">
        <w:rPr>
          <w:rFonts w:ascii="Arial" w:hAnsi="Arial" w:cs="Arial"/>
          <w:sz w:val="20"/>
        </w:rPr>
        <w:t xml:space="preserve">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20" w:rsidRDefault="00EA2B20">
      <w:r>
        <w:separator/>
      </w:r>
    </w:p>
  </w:endnote>
  <w:endnote w:type="continuationSeparator" w:id="0">
    <w:p w:rsidR="00EA2B20" w:rsidRDefault="00E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B20844">
      <w:rPr>
        <w:rStyle w:val="slostrnky"/>
        <w:noProof/>
      </w:rPr>
      <w:t>1</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20" w:rsidRDefault="00EA2B20">
      <w:r>
        <w:separator/>
      </w:r>
    </w:p>
  </w:footnote>
  <w:footnote w:type="continuationSeparator" w:id="0">
    <w:p w:rsidR="00EA2B20" w:rsidRDefault="00E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proofErr w:type="gramStart"/>
    <w:r>
      <w:rPr>
        <w:b/>
        <w:bCs/>
        <w:sz w:val="24"/>
      </w:rPr>
      <w:t>METODICKÉ  VYSVĚTLIVKY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A050D"/>
    <w:rsid w:val="000B5E2F"/>
    <w:rsid w:val="000E0F17"/>
    <w:rsid w:val="000F3315"/>
    <w:rsid w:val="000F4D30"/>
    <w:rsid w:val="000F649F"/>
    <w:rsid w:val="00111AB0"/>
    <w:rsid w:val="001120C8"/>
    <w:rsid w:val="00123B74"/>
    <w:rsid w:val="00144A26"/>
    <w:rsid w:val="00145516"/>
    <w:rsid w:val="001613CD"/>
    <w:rsid w:val="001638A3"/>
    <w:rsid w:val="00176436"/>
    <w:rsid w:val="00181802"/>
    <w:rsid w:val="001950B2"/>
    <w:rsid w:val="001A75A9"/>
    <w:rsid w:val="001B593D"/>
    <w:rsid w:val="001B7B3E"/>
    <w:rsid w:val="001C0952"/>
    <w:rsid w:val="001E5325"/>
    <w:rsid w:val="001F038B"/>
    <w:rsid w:val="002048FC"/>
    <w:rsid w:val="00206A0D"/>
    <w:rsid w:val="002107AF"/>
    <w:rsid w:val="00217461"/>
    <w:rsid w:val="00221F5E"/>
    <w:rsid w:val="00224BF2"/>
    <w:rsid w:val="0027200D"/>
    <w:rsid w:val="00276BEE"/>
    <w:rsid w:val="002B41D5"/>
    <w:rsid w:val="002C1422"/>
    <w:rsid w:val="002D562D"/>
    <w:rsid w:val="003175E6"/>
    <w:rsid w:val="0032458C"/>
    <w:rsid w:val="00331C29"/>
    <w:rsid w:val="0033610D"/>
    <w:rsid w:val="0034429F"/>
    <w:rsid w:val="003534A7"/>
    <w:rsid w:val="00374492"/>
    <w:rsid w:val="003A617B"/>
    <w:rsid w:val="003A6A47"/>
    <w:rsid w:val="003B13B8"/>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65988"/>
    <w:rsid w:val="00671EAA"/>
    <w:rsid w:val="006767BC"/>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87DCD"/>
    <w:rsid w:val="009C5FE5"/>
    <w:rsid w:val="009D4D95"/>
    <w:rsid w:val="009D6DF2"/>
    <w:rsid w:val="009D6EF3"/>
    <w:rsid w:val="009E00D4"/>
    <w:rsid w:val="009F2EFB"/>
    <w:rsid w:val="00A045CC"/>
    <w:rsid w:val="00A301F5"/>
    <w:rsid w:val="00A33CEA"/>
    <w:rsid w:val="00A34793"/>
    <w:rsid w:val="00A34E15"/>
    <w:rsid w:val="00A5623B"/>
    <w:rsid w:val="00A56FAA"/>
    <w:rsid w:val="00A650B4"/>
    <w:rsid w:val="00A82BFD"/>
    <w:rsid w:val="00A831B9"/>
    <w:rsid w:val="00A90995"/>
    <w:rsid w:val="00AA7877"/>
    <w:rsid w:val="00AD163D"/>
    <w:rsid w:val="00AD3BE8"/>
    <w:rsid w:val="00B048DE"/>
    <w:rsid w:val="00B20844"/>
    <w:rsid w:val="00B2092E"/>
    <w:rsid w:val="00B30D8A"/>
    <w:rsid w:val="00B73E2E"/>
    <w:rsid w:val="00B862CB"/>
    <w:rsid w:val="00B93505"/>
    <w:rsid w:val="00B95665"/>
    <w:rsid w:val="00BC08CC"/>
    <w:rsid w:val="00BC68E9"/>
    <w:rsid w:val="00BD2EC3"/>
    <w:rsid w:val="00BE70D9"/>
    <w:rsid w:val="00C14E0A"/>
    <w:rsid w:val="00C3455D"/>
    <w:rsid w:val="00C6244D"/>
    <w:rsid w:val="00C63FAD"/>
    <w:rsid w:val="00C75C59"/>
    <w:rsid w:val="00C85808"/>
    <w:rsid w:val="00C92701"/>
    <w:rsid w:val="00CA2FB3"/>
    <w:rsid w:val="00CA5B96"/>
    <w:rsid w:val="00CB26E1"/>
    <w:rsid w:val="00CB5336"/>
    <w:rsid w:val="00CC1FBA"/>
    <w:rsid w:val="00CF5312"/>
    <w:rsid w:val="00D006FF"/>
    <w:rsid w:val="00D20F62"/>
    <w:rsid w:val="00D24220"/>
    <w:rsid w:val="00D4505A"/>
    <w:rsid w:val="00D454FC"/>
    <w:rsid w:val="00D64D80"/>
    <w:rsid w:val="00D65896"/>
    <w:rsid w:val="00D7145E"/>
    <w:rsid w:val="00D73C03"/>
    <w:rsid w:val="00D928BF"/>
    <w:rsid w:val="00DA0916"/>
    <w:rsid w:val="00DA573C"/>
    <w:rsid w:val="00DA6DC9"/>
    <w:rsid w:val="00DE19BF"/>
    <w:rsid w:val="00DF3484"/>
    <w:rsid w:val="00DF54F1"/>
    <w:rsid w:val="00E04409"/>
    <w:rsid w:val="00E123BC"/>
    <w:rsid w:val="00E271D6"/>
    <w:rsid w:val="00E27AF8"/>
    <w:rsid w:val="00E32933"/>
    <w:rsid w:val="00E44FFE"/>
    <w:rsid w:val="00E45CE4"/>
    <w:rsid w:val="00E47CD0"/>
    <w:rsid w:val="00E5328D"/>
    <w:rsid w:val="00E55CBE"/>
    <w:rsid w:val="00E6298F"/>
    <w:rsid w:val="00E87A33"/>
    <w:rsid w:val="00E87E2A"/>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47EAD"/>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csu/czso/prijmy-a-zivotni-podminky-domacnosti-cdknb922a5" TargetMode="Externa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A6CA-32B5-431E-A5FD-70A20E36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2926</Words>
  <Characters>18072</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20957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ČSÚ</cp:lastModifiedBy>
  <cp:revision>3</cp:revision>
  <cp:lastPrinted>2020-03-23T12:31:00Z</cp:lastPrinted>
  <dcterms:created xsi:type="dcterms:W3CDTF">2021-03-22T16:07:00Z</dcterms:created>
  <dcterms:modified xsi:type="dcterms:W3CDTF">2021-03-29T09:49:00Z</dcterms:modified>
</cp:coreProperties>
</file>