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826" w:rsidRPr="00CB6826" w:rsidRDefault="00CB6826" w:rsidP="00FD3984">
      <w:pPr>
        <w:pStyle w:val="Nzev"/>
        <w:spacing w:before="120" w:line="228" w:lineRule="auto"/>
        <w:rPr>
          <w:caps/>
        </w:rPr>
      </w:pPr>
      <w:r w:rsidRPr="00CB6826">
        <w:rPr>
          <w:caps/>
        </w:rPr>
        <w:t>Ceny tabákových výrobků výrazně vzrostly</w:t>
      </w:r>
    </w:p>
    <w:p w:rsidR="00CB6826" w:rsidRPr="00CB6826" w:rsidRDefault="00CB6826" w:rsidP="00FD3984">
      <w:pPr>
        <w:pStyle w:val="Podtitulek"/>
        <w:spacing w:before="120" w:line="228" w:lineRule="auto"/>
        <w:jc w:val="center"/>
        <w:rPr>
          <w:sz w:val="24"/>
          <w:szCs w:val="24"/>
        </w:rPr>
      </w:pPr>
      <w:r w:rsidRPr="00CB6826">
        <w:rPr>
          <w:sz w:val="24"/>
          <w:szCs w:val="24"/>
        </w:rPr>
        <w:t>Indexy spotřebitelských cen – inflace – únor 2015</w:t>
      </w:r>
    </w:p>
    <w:p w:rsidR="00CB6826" w:rsidRPr="003D7CA1" w:rsidRDefault="00CB6826" w:rsidP="00FD3984">
      <w:pPr>
        <w:pStyle w:val="Perex"/>
        <w:spacing w:before="120" w:line="240" w:lineRule="auto"/>
      </w:pPr>
      <w:r w:rsidRPr="00E12F22">
        <w:t xml:space="preserve">Spotřebitelské ceny </w:t>
      </w:r>
      <w:r>
        <w:t xml:space="preserve">vzrostly </w:t>
      </w:r>
      <w:r w:rsidRPr="00E12F22">
        <w:t>v</w:t>
      </w:r>
      <w:r>
        <w:t xml:space="preserve"> únoru </w:t>
      </w:r>
      <w:r w:rsidRPr="00E12F22">
        <w:t xml:space="preserve">proti </w:t>
      </w:r>
      <w:r>
        <w:t>lednu o 0,2</w:t>
      </w:r>
      <w:r w:rsidRPr="00E12F22">
        <w:t> </w:t>
      </w:r>
      <w:r>
        <w:t xml:space="preserve">%. Tento vývoj ovlivnilo zejména zvýšení cen v oddíle alkoholické nápoje a tabák a v oddíle </w:t>
      </w:r>
      <w:r w:rsidRPr="0027325D">
        <w:t>rekreace a kultura</w:t>
      </w:r>
      <w:r>
        <w:t>.</w:t>
      </w:r>
      <w:r w:rsidRPr="0027325D">
        <w:t xml:space="preserve"> </w:t>
      </w:r>
      <w:r>
        <w:t>Meziroční růst</w:t>
      </w:r>
      <w:r w:rsidRPr="00E12F22">
        <w:t xml:space="preserve"> spotřebitelsk</w:t>
      </w:r>
      <w:r>
        <w:t>ých</w:t>
      </w:r>
      <w:r w:rsidRPr="00E12F22">
        <w:t xml:space="preserve"> cen</w:t>
      </w:r>
      <w:r>
        <w:t xml:space="preserve"> zůstal v únoru stejný jako </w:t>
      </w:r>
      <w:r w:rsidRPr="00E12F22">
        <w:t>v</w:t>
      </w:r>
      <w:r>
        <w:t> předchozích dvou měsících, tj. 0,1 %.</w:t>
      </w:r>
    </w:p>
    <w:p w:rsidR="00CB6826" w:rsidRPr="00C32C6C" w:rsidRDefault="00CB6826" w:rsidP="00FD3984">
      <w:pPr>
        <w:spacing w:before="120" w:line="240" w:lineRule="auto"/>
      </w:pPr>
      <w:r w:rsidRPr="003D7CA1">
        <w:rPr>
          <w:rFonts w:cs="Arial"/>
          <w:b/>
          <w:bCs/>
        </w:rPr>
        <w:t xml:space="preserve">Meziměsíční </w:t>
      </w:r>
      <w:r w:rsidRPr="0027325D">
        <w:rPr>
          <w:rFonts w:cs="Arial"/>
          <w:bCs/>
        </w:rPr>
        <w:t>růst</w:t>
      </w:r>
      <w:r>
        <w:rPr>
          <w:rFonts w:cs="Arial"/>
          <w:b/>
          <w:bCs/>
        </w:rPr>
        <w:t xml:space="preserve"> </w:t>
      </w:r>
      <w:r w:rsidRPr="003D7CA1">
        <w:rPr>
          <w:rFonts w:cs="Arial"/>
        </w:rPr>
        <w:t xml:space="preserve">spotřebitelských cen v oddíle </w:t>
      </w:r>
      <w:r>
        <w:rPr>
          <w:rFonts w:cs="Arial"/>
        </w:rPr>
        <w:t xml:space="preserve">alkoholické </w:t>
      </w:r>
      <w:r w:rsidRPr="0062389E">
        <w:rPr>
          <w:rFonts w:cs="Arial"/>
        </w:rPr>
        <w:t xml:space="preserve">nápoje a tabák ovlivnilo zvýšení cen tabákových </w:t>
      </w:r>
      <w:r w:rsidRPr="00C32C6C">
        <w:rPr>
          <w:rFonts w:cs="Arial"/>
        </w:rPr>
        <w:t xml:space="preserve">výrobků o 4,0 % (novela zákona o spotřební dani). Ceny lihovin vzrostly o 0,7 %. V oddíle rekreace a kultura se zvýšily především ceny zimních dovolených s komplexními službami o 3,7 %. </w:t>
      </w:r>
      <w:r w:rsidR="00FD3984">
        <w:rPr>
          <w:rFonts w:cs="Arial"/>
        </w:rPr>
        <w:t>V oddíle ostatní zboží a </w:t>
      </w:r>
      <w:r w:rsidRPr="00C32C6C">
        <w:rPr>
          <w:rFonts w:cs="Arial"/>
        </w:rPr>
        <w:t xml:space="preserve">služby byly vyšší ceny kosmetického zboží o 1,9 % </w:t>
      </w:r>
      <w:r w:rsidRPr="00C32C6C">
        <w:t>a finančních</w:t>
      </w:r>
      <w:r w:rsidRPr="00C32C6C">
        <w:rPr>
          <w:rFonts w:cs="Arial"/>
        </w:rPr>
        <w:t xml:space="preserve"> služeb o 0,9 %. V oddíle bydlení se zvýšily ceny tepla o 0,5 % a  čistého nájemného o 0,2 %. Z potravin byly vyšší</w:t>
      </w:r>
      <w:r w:rsidRPr="00C32C6C">
        <w:t xml:space="preserve"> především ceny zeleniny o 4,8 %, běžného pečiva o 2,2 %, uzenářského zboží o 0,7 % a sýrů o 0,8 %. V oddíle pošty a telekomunikace vzrostly ceny poštovních služeb o 3,7 %.</w:t>
      </w:r>
    </w:p>
    <w:p w:rsidR="00CB6826" w:rsidRPr="00A5264C" w:rsidRDefault="00CB6826" w:rsidP="00FD3984">
      <w:pPr>
        <w:pStyle w:val="Zkladntext"/>
        <w:tabs>
          <w:tab w:val="left" w:pos="4900"/>
        </w:tabs>
        <w:spacing w:before="120"/>
        <w:rPr>
          <w:rFonts w:cs="Arial"/>
          <w:i w:val="0"/>
          <w:sz w:val="20"/>
          <w:szCs w:val="20"/>
        </w:rPr>
      </w:pPr>
      <w:r w:rsidRPr="00C32C6C">
        <w:rPr>
          <w:rFonts w:cs="Arial"/>
          <w:i w:val="0"/>
          <w:sz w:val="20"/>
          <w:szCs w:val="20"/>
        </w:rPr>
        <w:t>Na snižování celkové úrovně spotřebitelských cen v únoru působil další pokles cen pohonných hmot, který činil 3,8 %. Během posledních pěti měsíců klesly ceny pohonných hmot</w:t>
      </w:r>
      <w:r>
        <w:rPr>
          <w:rFonts w:cs="Arial"/>
          <w:i w:val="0"/>
          <w:sz w:val="20"/>
          <w:szCs w:val="20"/>
        </w:rPr>
        <w:t xml:space="preserve"> </w:t>
      </w:r>
      <w:r w:rsidRPr="00C32C6C">
        <w:rPr>
          <w:rFonts w:cs="Arial"/>
          <w:i w:val="0"/>
          <w:sz w:val="20"/>
          <w:szCs w:val="20"/>
        </w:rPr>
        <w:t>o 18,2 %. V oddíle odívání a obuv se snížily ceny oděvů o 1,3 % a obuvi o 1,9 %. Z potravin klesly zejména ceny vepřového masa o 2,5 %</w:t>
      </w:r>
      <w:r>
        <w:rPr>
          <w:rFonts w:cs="Arial"/>
          <w:i w:val="0"/>
          <w:sz w:val="20"/>
          <w:szCs w:val="20"/>
        </w:rPr>
        <w:t>, olejů a </w:t>
      </w:r>
      <w:r w:rsidRPr="00C32C6C">
        <w:rPr>
          <w:rFonts w:cs="Arial"/>
          <w:i w:val="0"/>
          <w:sz w:val="20"/>
          <w:szCs w:val="20"/>
        </w:rPr>
        <w:t>tuků o 2,6 %, jogurtů o 2,7 %, ostatních mléčných výrobků o 1,5 %, čokolá</w:t>
      </w:r>
      <w:r>
        <w:rPr>
          <w:rFonts w:cs="Arial"/>
          <w:i w:val="0"/>
          <w:sz w:val="20"/>
          <w:szCs w:val="20"/>
        </w:rPr>
        <w:t>dy a čokoládových výrobků o 3,1 </w:t>
      </w:r>
      <w:r w:rsidRPr="00C32C6C">
        <w:rPr>
          <w:rFonts w:cs="Arial"/>
          <w:i w:val="0"/>
          <w:sz w:val="20"/>
          <w:szCs w:val="20"/>
        </w:rPr>
        <w:t xml:space="preserve">%. V oddíle alkoholické nápoje a tabák klesly ceny </w:t>
      </w:r>
      <w:bookmarkStart w:id="0" w:name="_GoBack"/>
      <w:bookmarkEnd w:id="0"/>
      <w:r w:rsidRPr="00C32C6C">
        <w:rPr>
          <w:rFonts w:cs="Arial"/>
          <w:i w:val="0"/>
          <w:sz w:val="20"/>
          <w:szCs w:val="20"/>
        </w:rPr>
        <w:t>vína o 2,5 % a piva o 2,8 %.</w:t>
      </w:r>
    </w:p>
    <w:p w:rsidR="00CB6826" w:rsidRPr="00F9149D" w:rsidRDefault="00CB6826" w:rsidP="00FD3984">
      <w:pPr>
        <w:pStyle w:val="Zkladntextodsazen2"/>
        <w:spacing w:before="120" w:after="0" w:line="240" w:lineRule="auto"/>
        <w:ind w:left="0"/>
        <w:rPr>
          <w:rFonts w:cs="Arial"/>
          <w:szCs w:val="20"/>
        </w:rPr>
      </w:pPr>
      <w:r w:rsidRPr="00F9149D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se nezměnily,</w:t>
      </w:r>
      <w:r w:rsidRPr="00F9149D">
        <w:rPr>
          <w:rFonts w:cs="Arial"/>
          <w:szCs w:val="20"/>
        </w:rPr>
        <w:t xml:space="preserve"> ceny služeb vzrostly o 0,3 %.</w:t>
      </w:r>
    </w:p>
    <w:p w:rsidR="00CB6826" w:rsidRPr="00F9149D" w:rsidRDefault="00CB6826" w:rsidP="00FD3984">
      <w:pPr>
        <w:pStyle w:val="Zkladntext"/>
        <w:tabs>
          <w:tab w:val="left" w:pos="4900"/>
        </w:tabs>
        <w:spacing w:before="120"/>
        <w:rPr>
          <w:rFonts w:cs="Arial"/>
          <w:i w:val="0"/>
          <w:sz w:val="20"/>
          <w:szCs w:val="20"/>
        </w:rPr>
      </w:pPr>
      <w:r w:rsidRPr="00F9149D">
        <w:rPr>
          <w:rFonts w:cs="Arial"/>
          <w:b/>
          <w:i w:val="0"/>
          <w:sz w:val="20"/>
          <w:szCs w:val="20"/>
        </w:rPr>
        <w:t>Meziročně</w:t>
      </w:r>
      <w:r w:rsidRPr="00F9149D">
        <w:rPr>
          <w:rFonts w:cs="Arial"/>
          <w:i w:val="0"/>
          <w:sz w:val="20"/>
          <w:szCs w:val="20"/>
        </w:rPr>
        <w:t xml:space="preserve"> vzrostly spotřebitelské ceny v </w:t>
      </w:r>
      <w:r>
        <w:rPr>
          <w:rFonts w:cs="Arial"/>
          <w:i w:val="0"/>
          <w:sz w:val="20"/>
          <w:szCs w:val="20"/>
        </w:rPr>
        <w:t>únoru</w:t>
      </w:r>
      <w:r w:rsidRPr="00F9149D">
        <w:rPr>
          <w:rFonts w:cs="Arial"/>
          <w:i w:val="0"/>
          <w:sz w:val="20"/>
          <w:szCs w:val="20"/>
        </w:rPr>
        <w:t xml:space="preserve"> o 0,1 %</w:t>
      </w:r>
      <w:r>
        <w:rPr>
          <w:rFonts w:cs="Arial"/>
          <w:i w:val="0"/>
          <w:sz w:val="20"/>
          <w:szCs w:val="20"/>
        </w:rPr>
        <w:t xml:space="preserve">, tzn. </w:t>
      </w:r>
      <w:r w:rsidRPr="005F04DF">
        <w:rPr>
          <w:rFonts w:cs="Arial"/>
          <w:i w:val="0"/>
          <w:sz w:val="20"/>
          <w:szCs w:val="20"/>
        </w:rPr>
        <w:t>stejně jako v předcházejících dvou měsících</w:t>
      </w:r>
      <w:r w:rsidRPr="00F9149D">
        <w:rPr>
          <w:rFonts w:cs="Arial"/>
          <w:i w:val="0"/>
          <w:sz w:val="20"/>
          <w:szCs w:val="20"/>
        </w:rPr>
        <w:t>.</w:t>
      </w:r>
      <w:r w:rsidRPr="005F04DF">
        <w:rPr>
          <w:rFonts w:cs="Arial"/>
          <w:i w:val="0"/>
          <w:sz w:val="20"/>
          <w:szCs w:val="20"/>
        </w:rPr>
        <w:t xml:space="preserve"> Zrychlení meziročního cenového růstu nastalo </w:t>
      </w:r>
      <w:r>
        <w:rPr>
          <w:rFonts w:cs="Arial"/>
          <w:i w:val="0"/>
          <w:sz w:val="20"/>
          <w:szCs w:val="20"/>
        </w:rPr>
        <w:t xml:space="preserve">především </w:t>
      </w:r>
      <w:r w:rsidRPr="005F04DF">
        <w:rPr>
          <w:rFonts w:cs="Arial"/>
          <w:i w:val="0"/>
          <w:sz w:val="20"/>
          <w:szCs w:val="20"/>
        </w:rPr>
        <w:t xml:space="preserve">v oddíle alkoholické nápoje a tabák, kde </w:t>
      </w:r>
      <w:r>
        <w:rPr>
          <w:rFonts w:cs="Arial"/>
          <w:i w:val="0"/>
          <w:sz w:val="20"/>
          <w:szCs w:val="20"/>
        </w:rPr>
        <w:t xml:space="preserve">se </w:t>
      </w:r>
      <w:r w:rsidRPr="005F04DF">
        <w:rPr>
          <w:rFonts w:cs="Arial"/>
          <w:i w:val="0"/>
          <w:sz w:val="20"/>
          <w:szCs w:val="20"/>
        </w:rPr>
        <w:t xml:space="preserve">ceny </w:t>
      </w:r>
      <w:r>
        <w:rPr>
          <w:rFonts w:cs="Arial"/>
          <w:i w:val="0"/>
          <w:sz w:val="20"/>
          <w:szCs w:val="20"/>
        </w:rPr>
        <w:t>tabákových výrobků zvýšily o 6,1</w:t>
      </w:r>
      <w:r w:rsidRPr="005F04DF">
        <w:rPr>
          <w:rFonts w:cs="Arial"/>
          <w:i w:val="0"/>
          <w:sz w:val="20"/>
          <w:szCs w:val="20"/>
        </w:rPr>
        <w:t xml:space="preserve"> % (v </w:t>
      </w:r>
      <w:r>
        <w:rPr>
          <w:rFonts w:cs="Arial"/>
          <w:i w:val="0"/>
          <w:sz w:val="20"/>
          <w:szCs w:val="20"/>
        </w:rPr>
        <w:t>lednu o 2,1</w:t>
      </w:r>
      <w:r w:rsidRPr="005F04DF">
        <w:rPr>
          <w:rFonts w:cs="Arial"/>
          <w:i w:val="0"/>
          <w:sz w:val="20"/>
          <w:szCs w:val="20"/>
        </w:rPr>
        <w:t xml:space="preserve"> %).</w:t>
      </w:r>
      <w:r w:rsidRPr="00F9149D">
        <w:rPr>
          <w:rFonts w:cs="Arial"/>
          <w:i w:val="0"/>
          <w:sz w:val="20"/>
          <w:szCs w:val="20"/>
        </w:rPr>
        <w:t xml:space="preserve"> </w:t>
      </w:r>
      <w:r>
        <w:rPr>
          <w:rFonts w:cs="Arial"/>
          <w:i w:val="0"/>
          <w:sz w:val="20"/>
          <w:szCs w:val="20"/>
        </w:rPr>
        <w:t>Naopak v oddíle doprava došlo k prohloubení cenového poklesu vlivem dalšího snížení cen pohonných hmot, které byly v únoru nižší o 17,1 % (v lednu o 13,9 %).</w:t>
      </w:r>
    </w:p>
    <w:p w:rsidR="00CB6826" w:rsidRPr="00F9149D" w:rsidRDefault="00CB6826" w:rsidP="00FD3984">
      <w:pPr>
        <w:pStyle w:val="Zkladntext"/>
        <w:tabs>
          <w:tab w:val="left" w:pos="4900"/>
        </w:tabs>
        <w:spacing w:before="120"/>
        <w:rPr>
          <w:rFonts w:cs="Arial"/>
          <w:i w:val="0"/>
          <w:sz w:val="20"/>
          <w:szCs w:val="20"/>
        </w:rPr>
      </w:pPr>
      <w:r w:rsidRPr="00F9149D">
        <w:rPr>
          <w:rFonts w:cs="Arial"/>
          <w:i w:val="0"/>
          <w:sz w:val="20"/>
          <w:szCs w:val="20"/>
        </w:rPr>
        <w:t xml:space="preserve">Největší vliv na zvyšování cenové hladiny </w:t>
      </w:r>
      <w:r w:rsidRPr="0062389E">
        <w:rPr>
          <w:rFonts w:cs="Arial"/>
          <w:i w:val="0"/>
          <w:sz w:val="20"/>
          <w:szCs w:val="20"/>
        </w:rPr>
        <w:t>měly v únoru</w:t>
      </w:r>
      <w:r w:rsidRPr="00F9149D">
        <w:rPr>
          <w:rFonts w:cs="Arial"/>
          <w:i w:val="0"/>
          <w:sz w:val="20"/>
          <w:szCs w:val="20"/>
        </w:rPr>
        <w:t xml:space="preserve"> ceny </w:t>
      </w:r>
      <w:r>
        <w:rPr>
          <w:rFonts w:cs="Arial"/>
          <w:i w:val="0"/>
          <w:sz w:val="20"/>
          <w:szCs w:val="20"/>
        </w:rPr>
        <w:t>v oddíle alkoholické nápoje a tabák a v oddíle bydlení.</w:t>
      </w:r>
      <w:r w:rsidRPr="00F9149D">
        <w:rPr>
          <w:rFonts w:cs="Arial"/>
          <w:i w:val="0"/>
          <w:sz w:val="20"/>
          <w:szCs w:val="20"/>
        </w:rPr>
        <w:t xml:space="preserve"> </w:t>
      </w:r>
      <w:r>
        <w:rPr>
          <w:rFonts w:cs="Arial"/>
          <w:i w:val="0"/>
          <w:sz w:val="20"/>
          <w:szCs w:val="20"/>
        </w:rPr>
        <w:t>V bydlení vzrostly ceny zemního plynu o 4,5 %, vodného o 3,4 %, stočného o 2,8 %, čistého nájemného o 1,4 %, tepla o 1,2 %. Ceny elektřiny byly meziročně nižší o 0,3 %. V</w:t>
      </w:r>
      <w:r w:rsidRPr="00F9149D">
        <w:rPr>
          <w:rFonts w:cs="Arial"/>
          <w:i w:val="0"/>
          <w:sz w:val="20"/>
          <w:szCs w:val="20"/>
        </w:rPr>
        <w:t xml:space="preserve"> oddíle </w:t>
      </w:r>
      <w:r w:rsidR="00FD3984">
        <w:rPr>
          <w:rFonts w:cs="Arial"/>
          <w:i w:val="0"/>
          <w:sz w:val="20"/>
          <w:szCs w:val="20"/>
        </w:rPr>
        <w:t>ostatní zboží a </w:t>
      </w:r>
      <w:r w:rsidRPr="00F9149D">
        <w:rPr>
          <w:rFonts w:cs="Arial"/>
          <w:i w:val="0"/>
          <w:sz w:val="20"/>
          <w:szCs w:val="20"/>
        </w:rPr>
        <w:t>služby</w:t>
      </w:r>
      <w:r>
        <w:rPr>
          <w:rFonts w:cs="Arial"/>
          <w:i w:val="0"/>
          <w:sz w:val="20"/>
          <w:szCs w:val="20"/>
        </w:rPr>
        <w:t xml:space="preserve"> vzrostly ceny výrobků a služeb pro osobní péči o 2,9 %,</w:t>
      </w:r>
      <w:r w:rsidRPr="00F9149D">
        <w:rPr>
          <w:rFonts w:cs="Arial"/>
          <w:i w:val="0"/>
          <w:sz w:val="20"/>
          <w:szCs w:val="20"/>
        </w:rPr>
        <w:t xml:space="preserve"> pojištění o 2,</w:t>
      </w:r>
      <w:r>
        <w:rPr>
          <w:rFonts w:cs="Arial"/>
          <w:i w:val="0"/>
          <w:sz w:val="20"/>
          <w:szCs w:val="20"/>
        </w:rPr>
        <w:t>6</w:t>
      </w:r>
      <w:r w:rsidRPr="00F9149D">
        <w:rPr>
          <w:rFonts w:cs="Arial"/>
          <w:i w:val="0"/>
          <w:sz w:val="20"/>
          <w:szCs w:val="20"/>
        </w:rPr>
        <w:t> % a ceny</w:t>
      </w:r>
      <w:r>
        <w:rPr>
          <w:rFonts w:cs="Arial"/>
          <w:i w:val="0"/>
          <w:sz w:val="20"/>
          <w:szCs w:val="20"/>
        </w:rPr>
        <w:t xml:space="preserve"> finančních služeb o 6</w:t>
      </w:r>
      <w:r w:rsidRPr="00F9149D">
        <w:rPr>
          <w:rFonts w:cs="Arial"/>
          <w:i w:val="0"/>
          <w:sz w:val="20"/>
          <w:szCs w:val="20"/>
        </w:rPr>
        <w:t>,8 %.</w:t>
      </w:r>
      <w:r>
        <w:rPr>
          <w:rFonts w:cs="Arial"/>
          <w:i w:val="0"/>
          <w:sz w:val="20"/>
          <w:szCs w:val="20"/>
        </w:rPr>
        <w:t xml:space="preserve"> </w:t>
      </w:r>
      <w:r w:rsidRPr="00BA0DA7">
        <w:rPr>
          <w:rFonts w:cs="Arial"/>
          <w:i w:val="0"/>
          <w:sz w:val="20"/>
          <w:szCs w:val="20"/>
        </w:rPr>
        <w:t xml:space="preserve">V oddíle odívání a obuv </w:t>
      </w:r>
      <w:r>
        <w:rPr>
          <w:rFonts w:cs="Arial"/>
          <w:i w:val="0"/>
          <w:sz w:val="20"/>
          <w:szCs w:val="20"/>
        </w:rPr>
        <w:t>byly vyšší ceny oděvů o 2,4 % a obuvi o 9,6 %.</w:t>
      </w:r>
      <w:r w:rsidRPr="00BA0DA7">
        <w:rPr>
          <w:rFonts w:cs="Arial"/>
          <w:i w:val="0"/>
          <w:sz w:val="20"/>
          <w:szCs w:val="20"/>
        </w:rPr>
        <w:t xml:space="preserve"> V oddíle rekreace a kultura se zvýšily ceny dovolen</w:t>
      </w:r>
      <w:r>
        <w:rPr>
          <w:rFonts w:cs="Arial"/>
          <w:i w:val="0"/>
          <w:sz w:val="20"/>
          <w:szCs w:val="20"/>
        </w:rPr>
        <w:t>ých s komplexními službami o 5,9</w:t>
      </w:r>
      <w:r w:rsidRPr="00BA0DA7">
        <w:rPr>
          <w:rFonts w:cs="Arial"/>
          <w:i w:val="0"/>
          <w:sz w:val="20"/>
          <w:szCs w:val="20"/>
        </w:rPr>
        <w:t xml:space="preserve"> %</w:t>
      </w:r>
      <w:r>
        <w:rPr>
          <w:rFonts w:cs="Arial"/>
          <w:i w:val="0"/>
          <w:sz w:val="20"/>
          <w:szCs w:val="20"/>
        </w:rPr>
        <w:t>.</w:t>
      </w:r>
    </w:p>
    <w:p w:rsidR="00CB6826" w:rsidRPr="00F9149D" w:rsidRDefault="00CB6826" w:rsidP="00FD3984">
      <w:pPr>
        <w:pStyle w:val="Zkladntext"/>
        <w:tabs>
          <w:tab w:val="left" w:pos="4900"/>
        </w:tabs>
        <w:spacing w:before="120"/>
        <w:rPr>
          <w:rFonts w:cs="Arial"/>
          <w:i w:val="0"/>
          <w:sz w:val="20"/>
          <w:szCs w:val="20"/>
        </w:rPr>
      </w:pPr>
      <w:r>
        <w:rPr>
          <w:rFonts w:cs="Arial"/>
          <w:i w:val="0"/>
          <w:sz w:val="20"/>
          <w:szCs w:val="20"/>
        </w:rPr>
        <w:t>Kromě cen v oddíle doprava působil n</w:t>
      </w:r>
      <w:r w:rsidRPr="00F9149D">
        <w:rPr>
          <w:rFonts w:cs="Arial"/>
          <w:i w:val="0"/>
          <w:sz w:val="20"/>
          <w:szCs w:val="20"/>
        </w:rPr>
        <w:t>a snižování meziroční cenové</w:t>
      </w:r>
      <w:r>
        <w:rPr>
          <w:rFonts w:cs="Arial"/>
          <w:i w:val="0"/>
          <w:sz w:val="20"/>
          <w:szCs w:val="20"/>
        </w:rPr>
        <w:t xml:space="preserve"> hladiny </w:t>
      </w:r>
      <w:r w:rsidRPr="00F9149D">
        <w:rPr>
          <w:rFonts w:cs="Arial"/>
          <w:i w:val="0"/>
          <w:sz w:val="20"/>
          <w:szCs w:val="20"/>
        </w:rPr>
        <w:t>pokles cen</w:t>
      </w:r>
      <w:r>
        <w:rPr>
          <w:rFonts w:cs="Arial"/>
          <w:i w:val="0"/>
          <w:sz w:val="20"/>
          <w:szCs w:val="20"/>
        </w:rPr>
        <w:t xml:space="preserve"> </w:t>
      </w:r>
      <w:r w:rsidRPr="00F9149D">
        <w:rPr>
          <w:rFonts w:cs="Arial"/>
          <w:i w:val="0"/>
          <w:sz w:val="20"/>
          <w:szCs w:val="20"/>
        </w:rPr>
        <w:t>v oddílech</w:t>
      </w:r>
      <w:r>
        <w:rPr>
          <w:rFonts w:cs="Arial"/>
          <w:i w:val="0"/>
          <w:sz w:val="20"/>
          <w:szCs w:val="20"/>
        </w:rPr>
        <w:t xml:space="preserve"> potraviny a </w:t>
      </w:r>
      <w:r w:rsidRPr="00F9149D">
        <w:rPr>
          <w:rFonts w:cs="Arial"/>
          <w:i w:val="0"/>
          <w:sz w:val="20"/>
          <w:szCs w:val="20"/>
        </w:rPr>
        <w:t>nealkoholické nápoje, zdraví</w:t>
      </w:r>
      <w:r>
        <w:rPr>
          <w:rFonts w:cs="Arial"/>
          <w:i w:val="0"/>
          <w:sz w:val="20"/>
          <w:szCs w:val="20"/>
        </w:rPr>
        <w:t>, pošty a telekomunikace</w:t>
      </w:r>
      <w:r w:rsidRPr="00F9149D">
        <w:rPr>
          <w:rFonts w:cs="Arial"/>
          <w:i w:val="0"/>
          <w:sz w:val="20"/>
          <w:szCs w:val="20"/>
        </w:rPr>
        <w:t xml:space="preserve">. </w:t>
      </w:r>
      <w:r w:rsidRPr="00630B89">
        <w:rPr>
          <w:rFonts w:cs="Arial"/>
          <w:i w:val="0"/>
          <w:sz w:val="20"/>
          <w:szCs w:val="20"/>
        </w:rPr>
        <w:t xml:space="preserve">V oddíle potraviny </w:t>
      </w:r>
      <w:r>
        <w:rPr>
          <w:rFonts w:cs="Arial"/>
          <w:i w:val="0"/>
          <w:sz w:val="20"/>
          <w:szCs w:val="20"/>
        </w:rPr>
        <w:t>a nealkoholické nápoje ovlivnilo</w:t>
      </w:r>
      <w:r w:rsidRPr="00630B89">
        <w:rPr>
          <w:rFonts w:cs="Arial"/>
          <w:i w:val="0"/>
          <w:sz w:val="20"/>
          <w:szCs w:val="20"/>
        </w:rPr>
        <w:t xml:space="preserve"> pokles cen zejména </w:t>
      </w:r>
      <w:r>
        <w:rPr>
          <w:rFonts w:cs="Arial"/>
          <w:i w:val="0"/>
          <w:sz w:val="20"/>
          <w:szCs w:val="20"/>
        </w:rPr>
        <w:t xml:space="preserve">snížení cen </w:t>
      </w:r>
      <w:r w:rsidRPr="00630B89">
        <w:rPr>
          <w:rFonts w:cs="Arial"/>
          <w:i w:val="0"/>
          <w:sz w:val="20"/>
          <w:szCs w:val="20"/>
        </w:rPr>
        <w:t>ovoce</w:t>
      </w:r>
      <w:r>
        <w:rPr>
          <w:rFonts w:cs="Arial"/>
          <w:i w:val="0"/>
          <w:sz w:val="20"/>
          <w:szCs w:val="20"/>
        </w:rPr>
        <w:t xml:space="preserve"> o 6,5 % a zeleniny o 9,9 %. </w:t>
      </w:r>
      <w:r w:rsidRPr="00630B89">
        <w:rPr>
          <w:rFonts w:cs="Arial"/>
          <w:i w:val="0"/>
          <w:sz w:val="20"/>
          <w:szCs w:val="20"/>
        </w:rPr>
        <w:t xml:space="preserve">Ceny </w:t>
      </w:r>
      <w:r>
        <w:rPr>
          <w:rFonts w:cs="Arial"/>
          <w:i w:val="0"/>
          <w:sz w:val="20"/>
          <w:szCs w:val="20"/>
        </w:rPr>
        <w:t>běžného pečiva klesly o 1,5</w:t>
      </w:r>
      <w:r w:rsidRPr="00630B89">
        <w:rPr>
          <w:rFonts w:cs="Arial"/>
          <w:i w:val="0"/>
          <w:sz w:val="20"/>
          <w:szCs w:val="20"/>
        </w:rPr>
        <w:t xml:space="preserve"> %</w:t>
      </w:r>
      <w:r>
        <w:rPr>
          <w:rFonts w:cs="Arial"/>
          <w:i w:val="0"/>
          <w:sz w:val="20"/>
          <w:szCs w:val="20"/>
        </w:rPr>
        <w:t>, vepřového masa o 5,3 %, mléka o 3,0</w:t>
      </w:r>
      <w:r w:rsidRPr="00630B89">
        <w:rPr>
          <w:rFonts w:cs="Arial"/>
          <w:i w:val="0"/>
          <w:sz w:val="20"/>
          <w:szCs w:val="20"/>
        </w:rPr>
        <w:t xml:space="preserve"> %</w:t>
      </w:r>
      <w:r>
        <w:rPr>
          <w:rFonts w:cs="Arial"/>
          <w:i w:val="0"/>
          <w:sz w:val="20"/>
          <w:szCs w:val="20"/>
        </w:rPr>
        <w:t xml:space="preserve">, sýrů o 3,3 %, olejů a tuků o 2,8 %. Pokles cen v oddíle zdraví byl důsledkem zrušení regulačních poplatků od ledna 2015. </w:t>
      </w:r>
      <w:r w:rsidRPr="00F9149D">
        <w:rPr>
          <w:rFonts w:cs="Arial"/>
          <w:i w:val="0"/>
          <w:sz w:val="20"/>
          <w:szCs w:val="20"/>
        </w:rPr>
        <w:t xml:space="preserve">Meziroční pokles </w:t>
      </w:r>
      <w:r>
        <w:rPr>
          <w:rFonts w:cs="Arial"/>
          <w:i w:val="0"/>
          <w:sz w:val="20"/>
          <w:szCs w:val="20"/>
        </w:rPr>
        <w:t>cen pokračoval v oddíle pošty a </w:t>
      </w:r>
      <w:r w:rsidRPr="00F9149D">
        <w:rPr>
          <w:rFonts w:cs="Arial"/>
          <w:i w:val="0"/>
          <w:sz w:val="20"/>
          <w:szCs w:val="20"/>
        </w:rPr>
        <w:t>telekomunikace v důsledku snížení cen telefonických a telefaxových služeb o 1,3 % a</w:t>
      </w:r>
      <w:r>
        <w:rPr>
          <w:rFonts w:cs="Arial"/>
          <w:i w:val="0"/>
          <w:sz w:val="20"/>
          <w:szCs w:val="20"/>
        </w:rPr>
        <w:t> mobilních telefonů o 20,9</w:t>
      </w:r>
      <w:r w:rsidRPr="00F9149D">
        <w:rPr>
          <w:rFonts w:cs="Arial"/>
          <w:i w:val="0"/>
          <w:sz w:val="20"/>
          <w:szCs w:val="20"/>
        </w:rPr>
        <w:t> %.</w:t>
      </w:r>
    </w:p>
    <w:p w:rsidR="00CB6826" w:rsidRPr="00F9149D" w:rsidRDefault="00CB6826" w:rsidP="00FD3984">
      <w:pPr>
        <w:pStyle w:val="Zkladntext"/>
        <w:tabs>
          <w:tab w:val="left" w:pos="4900"/>
        </w:tabs>
        <w:spacing w:before="120"/>
        <w:rPr>
          <w:rFonts w:cs="Arial"/>
          <w:i w:val="0"/>
          <w:sz w:val="20"/>
          <w:szCs w:val="20"/>
        </w:rPr>
      </w:pPr>
      <w:r w:rsidRPr="00F9149D">
        <w:rPr>
          <w:rFonts w:cs="Arial"/>
          <w:i w:val="0"/>
          <w:sz w:val="20"/>
          <w:szCs w:val="20"/>
        </w:rPr>
        <w:t>Ceny zboží úhrnem klesly o 0,</w:t>
      </w:r>
      <w:r>
        <w:rPr>
          <w:rFonts w:cs="Arial"/>
          <w:i w:val="0"/>
          <w:sz w:val="20"/>
          <w:szCs w:val="20"/>
        </w:rPr>
        <w:t>4</w:t>
      </w:r>
      <w:r w:rsidRPr="00F9149D">
        <w:rPr>
          <w:rFonts w:cs="Arial"/>
          <w:i w:val="0"/>
          <w:sz w:val="20"/>
          <w:szCs w:val="20"/>
        </w:rPr>
        <w:t> %, zatímco ceny služeb byly vyšší o </w:t>
      </w:r>
      <w:r>
        <w:rPr>
          <w:rFonts w:cs="Arial"/>
          <w:i w:val="0"/>
          <w:sz w:val="20"/>
          <w:szCs w:val="20"/>
        </w:rPr>
        <w:t>0,9</w:t>
      </w:r>
      <w:r w:rsidRPr="00F9149D">
        <w:rPr>
          <w:rFonts w:cs="Arial"/>
          <w:i w:val="0"/>
          <w:sz w:val="20"/>
          <w:szCs w:val="20"/>
        </w:rPr>
        <w:t> %</w:t>
      </w:r>
      <w:r>
        <w:rPr>
          <w:rFonts w:cs="Arial"/>
          <w:i w:val="0"/>
          <w:sz w:val="20"/>
          <w:szCs w:val="20"/>
        </w:rPr>
        <w:t xml:space="preserve"> </w:t>
      </w:r>
      <w:r w:rsidRPr="00EE09B3">
        <w:rPr>
          <w:rFonts w:cs="Arial"/>
          <w:i w:val="0"/>
          <w:sz w:val="20"/>
          <w:szCs w:val="20"/>
          <w:vertAlign w:val="superscript"/>
        </w:rPr>
        <w:t>2)</w:t>
      </w:r>
      <w:r w:rsidRPr="00F9149D">
        <w:rPr>
          <w:rFonts w:cs="Arial"/>
          <w:i w:val="0"/>
          <w:sz w:val="20"/>
          <w:szCs w:val="20"/>
        </w:rPr>
        <w:t xml:space="preserve">. Úhrnný index spotřebitelských cen bez započtení imputovaného nájemného byl </w:t>
      </w:r>
      <w:r>
        <w:rPr>
          <w:rFonts w:cs="Arial"/>
          <w:i w:val="0"/>
          <w:sz w:val="20"/>
          <w:szCs w:val="20"/>
        </w:rPr>
        <w:t>meziročně 100</w:t>
      </w:r>
      <w:r w:rsidRPr="00F9149D">
        <w:rPr>
          <w:rFonts w:cs="Arial"/>
          <w:i w:val="0"/>
          <w:sz w:val="20"/>
          <w:szCs w:val="20"/>
        </w:rPr>
        <w:t>,</w:t>
      </w:r>
      <w:r>
        <w:rPr>
          <w:rFonts w:cs="Arial"/>
          <w:i w:val="0"/>
          <w:sz w:val="20"/>
          <w:szCs w:val="20"/>
        </w:rPr>
        <w:t>0</w:t>
      </w:r>
      <w:r w:rsidRPr="00F9149D">
        <w:rPr>
          <w:rFonts w:cs="Arial"/>
          <w:i w:val="0"/>
          <w:sz w:val="20"/>
          <w:szCs w:val="20"/>
        </w:rPr>
        <w:t> %.</w:t>
      </w:r>
    </w:p>
    <w:p w:rsidR="00CB6826" w:rsidRPr="00F9149D" w:rsidRDefault="00CB6826" w:rsidP="00FD3984">
      <w:pPr>
        <w:pStyle w:val="Zkladntext"/>
        <w:spacing w:before="120"/>
        <w:rPr>
          <w:rFonts w:cs="Arial"/>
          <w:bCs/>
          <w:i w:val="0"/>
          <w:sz w:val="20"/>
          <w:szCs w:val="20"/>
        </w:rPr>
      </w:pPr>
      <w:r w:rsidRPr="00F9149D">
        <w:rPr>
          <w:rFonts w:cs="Arial"/>
          <w:i w:val="0"/>
          <w:sz w:val="20"/>
          <w:szCs w:val="20"/>
        </w:rPr>
        <w:t xml:space="preserve">Míra inflace vyjádřená přírůstkem </w:t>
      </w:r>
      <w:r w:rsidRPr="00F9149D">
        <w:rPr>
          <w:rFonts w:cs="Arial"/>
          <w:bCs/>
          <w:i w:val="0"/>
          <w:sz w:val="20"/>
          <w:szCs w:val="20"/>
        </w:rPr>
        <w:t>průměrného indexu spotřebitelských cen za posledních 12 měsíců proti průměru předchozích 12 měsíců byla v </w:t>
      </w:r>
      <w:r>
        <w:rPr>
          <w:rFonts w:cs="Arial"/>
          <w:bCs/>
          <w:i w:val="0"/>
          <w:sz w:val="20"/>
          <w:szCs w:val="20"/>
        </w:rPr>
        <w:t>únoru</w:t>
      </w:r>
      <w:r w:rsidRPr="00F9149D">
        <w:rPr>
          <w:rFonts w:cs="Arial"/>
          <w:bCs/>
          <w:i w:val="0"/>
          <w:sz w:val="20"/>
          <w:szCs w:val="20"/>
        </w:rPr>
        <w:t xml:space="preserve"> 0,3 %.</w:t>
      </w:r>
    </w:p>
    <w:p w:rsidR="00CB6826" w:rsidRPr="003D7CA1" w:rsidRDefault="00CB6826" w:rsidP="00FD3984">
      <w:pPr>
        <w:pStyle w:val="Zkladntextodsazen3"/>
        <w:spacing w:before="120" w:after="0" w:line="240" w:lineRule="auto"/>
        <w:ind w:left="0"/>
        <w:rPr>
          <w:rFonts w:cs="Arial"/>
          <w:sz w:val="20"/>
          <w:szCs w:val="20"/>
        </w:rPr>
      </w:pPr>
      <w:r w:rsidRPr="00F9149D">
        <w:rPr>
          <w:rFonts w:cs="Arial"/>
          <w:sz w:val="20"/>
          <w:szCs w:val="20"/>
        </w:rPr>
        <w:t xml:space="preserve">Meziroční změna průměrného </w:t>
      </w:r>
      <w:r w:rsidRPr="00F9149D">
        <w:rPr>
          <w:rFonts w:cs="Arial"/>
          <w:b/>
          <w:bCs/>
          <w:sz w:val="20"/>
          <w:szCs w:val="20"/>
        </w:rPr>
        <w:t>harmonizovaného indexu spotřebitelských cen</w:t>
      </w:r>
      <w:r w:rsidRPr="00F9149D">
        <w:rPr>
          <w:rFonts w:cs="Arial"/>
          <w:sz w:val="20"/>
          <w:szCs w:val="20"/>
        </w:rPr>
        <w:t xml:space="preserve"> (HICP)</w:t>
      </w:r>
      <w:r w:rsidRPr="00F9149D">
        <w:rPr>
          <w:rStyle w:val="Znakapoznpodarou"/>
          <w:rFonts w:cs="Arial"/>
          <w:sz w:val="20"/>
          <w:szCs w:val="20"/>
        </w:rPr>
        <w:footnoteReference w:id="1"/>
      </w:r>
      <w:r w:rsidRPr="00F9149D">
        <w:rPr>
          <w:rFonts w:cs="Arial"/>
          <w:sz w:val="20"/>
          <w:szCs w:val="20"/>
          <w:vertAlign w:val="superscript"/>
        </w:rPr>
        <w:t>)</w:t>
      </w:r>
      <w:r w:rsidRPr="00F9149D">
        <w:rPr>
          <w:rFonts w:cs="Arial"/>
          <w:sz w:val="20"/>
          <w:szCs w:val="20"/>
        </w:rPr>
        <w:t xml:space="preserve"> </w:t>
      </w:r>
      <w:r w:rsidRPr="00F9149D">
        <w:rPr>
          <w:rFonts w:cs="Arial"/>
          <w:b/>
          <w:bCs/>
          <w:sz w:val="20"/>
          <w:szCs w:val="20"/>
        </w:rPr>
        <w:t>28 členských zemí EU</w:t>
      </w:r>
      <w:r w:rsidRPr="00F9149D">
        <w:rPr>
          <w:rFonts w:cs="Arial"/>
          <w:sz w:val="20"/>
          <w:szCs w:val="20"/>
        </w:rPr>
        <w:t xml:space="preserve"> byla podle předběžných údajů </w:t>
      </w:r>
      <w:proofErr w:type="spellStart"/>
      <w:r w:rsidRPr="00F9149D">
        <w:rPr>
          <w:rFonts w:cs="Arial"/>
          <w:sz w:val="20"/>
          <w:szCs w:val="20"/>
        </w:rPr>
        <w:t>Eurostatu</w:t>
      </w:r>
      <w:proofErr w:type="spellEnd"/>
      <w:r>
        <w:rPr>
          <w:rFonts w:cs="Arial"/>
          <w:sz w:val="20"/>
          <w:szCs w:val="20"/>
        </w:rPr>
        <w:t xml:space="preserve"> </w:t>
      </w:r>
      <w:r w:rsidRPr="00987D83">
        <w:rPr>
          <w:rFonts w:cs="Arial"/>
          <w:b/>
          <w:sz w:val="20"/>
          <w:szCs w:val="20"/>
        </w:rPr>
        <w:t>v lednu</w:t>
      </w:r>
      <w:r>
        <w:rPr>
          <w:rFonts w:cs="Arial"/>
          <w:sz w:val="20"/>
          <w:szCs w:val="20"/>
        </w:rPr>
        <w:t xml:space="preserve"> </w:t>
      </w:r>
      <w:r w:rsidRPr="00F9149D">
        <w:rPr>
          <w:rFonts w:cs="Arial"/>
          <w:b/>
          <w:sz w:val="20"/>
          <w:szCs w:val="20"/>
        </w:rPr>
        <w:t>-</w:t>
      </w:r>
      <w:r>
        <w:rPr>
          <w:rFonts w:cs="Arial"/>
          <w:sz w:val="20"/>
          <w:szCs w:val="20"/>
        </w:rPr>
        <w:t>0,5</w:t>
      </w:r>
      <w:r w:rsidRPr="00F9149D">
        <w:rPr>
          <w:rFonts w:cs="Arial"/>
          <w:sz w:val="20"/>
          <w:szCs w:val="20"/>
        </w:rPr>
        <w:t xml:space="preserve"> %, což je o 0,4 procentního bodu méně </w:t>
      </w:r>
      <w:r w:rsidR="00FD3984">
        <w:rPr>
          <w:rFonts w:cs="Arial"/>
          <w:sz w:val="20"/>
          <w:szCs w:val="20"/>
        </w:rPr>
        <w:t>než v </w:t>
      </w:r>
      <w:r>
        <w:rPr>
          <w:rFonts w:cs="Arial"/>
          <w:sz w:val="20"/>
          <w:szCs w:val="20"/>
        </w:rPr>
        <w:t>prosinci</w:t>
      </w:r>
      <w:r w:rsidRPr="00F9149D">
        <w:rPr>
          <w:rFonts w:cs="Arial"/>
          <w:sz w:val="20"/>
          <w:szCs w:val="20"/>
        </w:rPr>
        <w:t>.</w:t>
      </w:r>
      <w:r>
        <w:rPr>
          <w:rFonts w:cs="Arial"/>
          <w:b/>
          <w:sz w:val="20"/>
          <w:szCs w:val="20"/>
        </w:rPr>
        <w:t xml:space="preserve"> </w:t>
      </w:r>
      <w:r w:rsidRPr="001A1215">
        <w:rPr>
          <w:rFonts w:cs="Arial"/>
          <w:sz w:val="20"/>
          <w:szCs w:val="20"/>
        </w:rPr>
        <w:t>Ceny vzrostly</w:t>
      </w:r>
      <w:r>
        <w:rPr>
          <w:rFonts w:cs="Arial"/>
          <w:sz w:val="20"/>
          <w:szCs w:val="20"/>
        </w:rPr>
        <w:t xml:space="preserve"> jen v pěti zemích EU v rozmezí od 0,3 % ve Velké Británii</w:t>
      </w:r>
      <w:r w:rsidRPr="001A1215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do 0,8 % na Maltě. </w:t>
      </w:r>
      <w:r w:rsidRPr="00F9149D">
        <w:rPr>
          <w:rFonts w:cs="Arial"/>
          <w:sz w:val="20"/>
          <w:szCs w:val="20"/>
        </w:rPr>
        <w:t>Naopak největší pokles cen nastal v</w:t>
      </w:r>
      <w:r>
        <w:rPr>
          <w:rFonts w:cs="Arial"/>
          <w:sz w:val="20"/>
          <w:szCs w:val="20"/>
        </w:rPr>
        <w:t> </w:t>
      </w:r>
      <w:r w:rsidRPr="00F9149D">
        <w:rPr>
          <w:rFonts w:cs="Arial"/>
          <w:sz w:val="20"/>
          <w:szCs w:val="20"/>
        </w:rPr>
        <w:t>Řecku</w:t>
      </w:r>
      <w:r>
        <w:rPr>
          <w:rFonts w:cs="Arial"/>
          <w:sz w:val="20"/>
          <w:szCs w:val="20"/>
        </w:rPr>
        <w:t xml:space="preserve"> (-2,8</w:t>
      </w:r>
      <w:r w:rsidRPr="00F9149D">
        <w:rPr>
          <w:rFonts w:cs="Arial"/>
          <w:sz w:val="20"/>
          <w:szCs w:val="20"/>
        </w:rPr>
        <w:t> %) a</w:t>
      </w:r>
      <w:r w:rsidRPr="00F9149D">
        <w:rPr>
          <w:sz w:val="20"/>
          <w:szCs w:val="20"/>
        </w:rPr>
        <w:t xml:space="preserve"> Bulharsku </w:t>
      </w:r>
      <w:r w:rsidRPr="00F9149D">
        <w:rPr>
          <w:rFonts w:cs="Arial"/>
          <w:sz w:val="20"/>
          <w:szCs w:val="20"/>
        </w:rPr>
        <w:t>(</w:t>
      </w:r>
      <w:r>
        <w:rPr>
          <w:rFonts w:cs="Arial"/>
          <w:sz w:val="20"/>
          <w:szCs w:val="20"/>
        </w:rPr>
        <w:t>-2,3</w:t>
      </w:r>
      <w:r w:rsidRPr="00F9149D">
        <w:rPr>
          <w:rFonts w:cs="Arial"/>
          <w:sz w:val="20"/>
          <w:szCs w:val="20"/>
        </w:rPr>
        <w:t xml:space="preserve"> %). Na Slovensku </w:t>
      </w:r>
      <w:r>
        <w:rPr>
          <w:rFonts w:cs="Arial"/>
          <w:sz w:val="20"/>
          <w:szCs w:val="20"/>
        </w:rPr>
        <w:t>klesly ceny o 0,5</w:t>
      </w:r>
      <w:r w:rsidRPr="00F9149D">
        <w:rPr>
          <w:rFonts w:cs="Arial"/>
          <w:sz w:val="20"/>
          <w:szCs w:val="20"/>
        </w:rPr>
        <w:t> %</w:t>
      </w:r>
      <w:r>
        <w:rPr>
          <w:rFonts w:cs="Arial"/>
          <w:sz w:val="20"/>
          <w:szCs w:val="20"/>
        </w:rPr>
        <w:t xml:space="preserve"> (z poklesu o 0,1 % v prosinci). </w:t>
      </w:r>
      <w:r w:rsidRPr="00F9149D">
        <w:rPr>
          <w:rFonts w:cs="Arial"/>
          <w:sz w:val="20"/>
          <w:szCs w:val="20"/>
        </w:rPr>
        <w:t>V </w:t>
      </w:r>
      <w:r w:rsidRPr="0062389E">
        <w:rPr>
          <w:rFonts w:cs="Arial"/>
          <w:sz w:val="20"/>
          <w:szCs w:val="20"/>
        </w:rPr>
        <w:t xml:space="preserve">Německu přešly ceny z meziročního růstu v prosinci o 0,1 % v meziroční pokles v lednu o 0,5 %. Podle předběžných výpočtů vzrostl </w:t>
      </w:r>
      <w:r w:rsidRPr="0062389E">
        <w:rPr>
          <w:rFonts w:cs="Arial"/>
          <w:b/>
          <w:sz w:val="20"/>
          <w:szCs w:val="20"/>
        </w:rPr>
        <w:t>meziměsíční</w:t>
      </w:r>
      <w:r w:rsidRPr="0062389E">
        <w:rPr>
          <w:rFonts w:cs="Arial"/>
          <w:sz w:val="20"/>
          <w:szCs w:val="20"/>
        </w:rPr>
        <w:t xml:space="preserve"> HICP v ČR </w:t>
      </w:r>
      <w:r w:rsidRPr="00987D83">
        <w:rPr>
          <w:rFonts w:cs="Arial"/>
          <w:b/>
          <w:sz w:val="20"/>
          <w:szCs w:val="20"/>
        </w:rPr>
        <w:t>v únoru</w:t>
      </w:r>
      <w:r w:rsidRPr="0062389E">
        <w:rPr>
          <w:rFonts w:cs="Arial"/>
          <w:sz w:val="20"/>
          <w:szCs w:val="20"/>
        </w:rPr>
        <w:t xml:space="preserve"> o 0,1 %. </w:t>
      </w:r>
      <w:r w:rsidRPr="00987D83">
        <w:rPr>
          <w:rFonts w:cs="Arial"/>
          <w:b/>
          <w:sz w:val="20"/>
          <w:szCs w:val="20"/>
        </w:rPr>
        <w:t>Meziroční</w:t>
      </w:r>
      <w:r w:rsidRPr="0062389E">
        <w:rPr>
          <w:rFonts w:cs="Arial"/>
          <w:sz w:val="20"/>
          <w:szCs w:val="20"/>
        </w:rPr>
        <w:t xml:space="preserve"> změna HICP byla </w:t>
      </w:r>
      <w:r w:rsidRPr="00987D83">
        <w:rPr>
          <w:rFonts w:cs="Arial"/>
          <w:b/>
          <w:sz w:val="20"/>
          <w:szCs w:val="20"/>
        </w:rPr>
        <w:t>v únoru</w:t>
      </w:r>
      <w:r w:rsidRPr="0062389E">
        <w:rPr>
          <w:rFonts w:cs="Arial"/>
          <w:sz w:val="20"/>
          <w:szCs w:val="20"/>
        </w:rPr>
        <w:t xml:space="preserve"> stejně jako v lednu -0,1 %</w:t>
      </w:r>
      <w:r w:rsidRPr="0062389E">
        <w:rPr>
          <w:rFonts w:cs="Arial"/>
          <w:bCs/>
          <w:sz w:val="20"/>
          <w:szCs w:val="20"/>
        </w:rPr>
        <w:t xml:space="preserve">. </w:t>
      </w:r>
      <w:r w:rsidRPr="0062389E">
        <w:rPr>
          <w:rFonts w:cs="Arial"/>
          <w:sz w:val="20"/>
          <w:szCs w:val="20"/>
        </w:rPr>
        <w:t>Bleskový odhad meziroční změny HICP pro</w:t>
      </w:r>
      <w:r w:rsidRPr="0062389E">
        <w:rPr>
          <w:rFonts w:cs="Arial"/>
          <w:b/>
          <w:bCs/>
          <w:sz w:val="20"/>
          <w:szCs w:val="20"/>
        </w:rPr>
        <w:t> </w:t>
      </w:r>
      <w:proofErr w:type="spellStart"/>
      <w:r w:rsidRPr="0062389E">
        <w:rPr>
          <w:rFonts w:cs="Arial"/>
          <w:b/>
          <w:bCs/>
          <w:sz w:val="20"/>
          <w:szCs w:val="20"/>
        </w:rPr>
        <w:t>eurozónu</w:t>
      </w:r>
      <w:proofErr w:type="spellEnd"/>
      <w:r w:rsidRPr="0062389E">
        <w:rPr>
          <w:rFonts w:cs="Arial"/>
          <w:b/>
          <w:bCs/>
          <w:sz w:val="20"/>
          <w:szCs w:val="20"/>
        </w:rPr>
        <w:t xml:space="preserve"> </w:t>
      </w:r>
      <w:r w:rsidRPr="0062389E">
        <w:rPr>
          <w:rFonts w:cs="Arial"/>
          <w:b/>
          <w:sz w:val="20"/>
          <w:szCs w:val="20"/>
        </w:rPr>
        <w:t>za</w:t>
      </w:r>
      <w:r w:rsidRPr="0062389E">
        <w:rPr>
          <w:rFonts w:cs="Arial"/>
          <w:b/>
          <w:bCs/>
          <w:sz w:val="20"/>
          <w:szCs w:val="20"/>
        </w:rPr>
        <w:t> únor 2015</w:t>
      </w:r>
      <w:r w:rsidRPr="0062389E">
        <w:rPr>
          <w:rFonts w:cs="Arial"/>
          <w:sz w:val="20"/>
          <w:szCs w:val="20"/>
        </w:rPr>
        <w:t xml:space="preserve"> je -0,3 %, jak uvedl </w:t>
      </w:r>
      <w:proofErr w:type="spellStart"/>
      <w:r w:rsidRPr="0062389E">
        <w:rPr>
          <w:rFonts w:cs="Arial"/>
          <w:sz w:val="20"/>
          <w:szCs w:val="20"/>
        </w:rPr>
        <w:t>Eurostat</w:t>
      </w:r>
      <w:proofErr w:type="spellEnd"/>
      <w:r w:rsidRPr="0062389E">
        <w:rPr>
          <w:rFonts w:cs="Arial"/>
          <w:sz w:val="20"/>
          <w:szCs w:val="20"/>
        </w:rPr>
        <w:t>. (Více informací</w:t>
      </w:r>
      <w:r w:rsidRPr="00F763A5">
        <w:rPr>
          <w:rFonts w:cs="Arial"/>
          <w:sz w:val="20"/>
          <w:szCs w:val="20"/>
        </w:rPr>
        <w:t xml:space="preserve"> na internetových stránkách </w:t>
      </w:r>
      <w:proofErr w:type="spellStart"/>
      <w:r w:rsidRPr="00F763A5">
        <w:rPr>
          <w:rFonts w:cs="Arial"/>
          <w:sz w:val="20"/>
          <w:szCs w:val="20"/>
        </w:rPr>
        <w:t>Eurostatu</w:t>
      </w:r>
      <w:proofErr w:type="spellEnd"/>
      <w:r w:rsidRPr="00F763A5">
        <w:rPr>
          <w:rFonts w:cs="Arial"/>
          <w:sz w:val="20"/>
          <w:szCs w:val="20"/>
        </w:rPr>
        <w:t xml:space="preserve">: </w:t>
      </w:r>
      <w:hyperlink r:id="rId6" w:history="1">
        <w:r w:rsidRPr="00F763A5">
          <w:rPr>
            <w:rStyle w:val="Hypertextovodkaz"/>
            <w:sz w:val="20"/>
            <w:szCs w:val="20"/>
          </w:rPr>
          <w:t>HICP</w:t>
        </w:r>
      </w:hyperlink>
      <w:r w:rsidRPr="00F763A5">
        <w:rPr>
          <w:rFonts w:cs="Arial"/>
          <w:sz w:val="20"/>
          <w:szCs w:val="20"/>
        </w:rPr>
        <w:t>).</w:t>
      </w:r>
    </w:p>
    <w:p w:rsidR="00297D47" w:rsidRPr="00CB6826" w:rsidRDefault="00297D47" w:rsidP="00FD3984">
      <w:pPr>
        <w:pStyle w:val="Perex"/>
        <w:spacing w:before="120" w:line="228" w:lineRule="auto"/>
        <w:rPr>
          <w:szCs w:val="20"/>
        </w:rPr>
      </w:pPr>
    </w:p>
    <w:sectPr w:rsidR="00297D47" w:rsidRPr="00CB6826" w:rsidSect="004B6B71">
      <w:footerReference w:type="default" r:id="rId7"/>
      <w:pgSz w:w="11906" w:h="16838"/>
      <w:pgMar w:top="1077" w:right="1077" w:bottom="1077" w:left="1077" w:header="709" w:footer="3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7A7" w:rsidRDefault="005277A7" w:rsidP="008C3834">
      <w:pPr>
        <w:spacing w:line="240" w:lineRule="auto"/>
      </w:pPr>
      <w:r>
        <w:separator/>
      </w:r>
    </w:p>
  </w:endnote>
  <w:endnote w:type="continuationSeparator" w:id="0">
    <w:p w:rsidR="005277A7" w:rsidRDefault="005277A7" w:rsidP="008C383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834" w:rsidRDefault="008C383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7A7" w:rsidRDefault="005277A7" w:rsidP="008C3834">
      <w:pPr>
        <w:spacing w:line="240" w:lineRule="auto"/>
      </w:pPr>
      <w:r>
        <w:separator/>
      </w:r>
    </w:p>
  </w:footnote>
  <w:footnote w:type="continuationSeparator" w:id="0">
    <w:p w:rsidR="005277A7" w:rsidRDefault="005277A7" w:rsidP="008C3834">
      <w:pPr>
        <w:spacing w:line="240" w:lineRule="auto"/>
      </w:pPr>
      <w:r>
        <w:continuationSeparator/>
      </w:r>
    </w:p>
  </w:footnote>
  <w:footnote w:id="1">
    <w:p w:rsidR="00CB6826" w:rsidRDefault="00CB6826" w:rsidP="00CB6826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 xml:space="preserve">HICP </w:t>
      </w:r>
      <w:r>
        <w:t>dosud</w:t>
      </w:r>
      <w:r w:rsidRPr="001C776E">
        <w:t xml:space="preserve"> neobsahuje imputované nájemné</w:t>
      </w:r>
    </w:p>
    <w:p w:rsidR="00CB6826" w:rsidRPr="00EE09B3" w:rsidRDefault="00CB6826" w:rsidP="00CB6826">
      <w:pPr>
        <w:pStyle w:val="Poznamkytexty"/>
      </w:pPr>
      <w:r w:rsidRPr="00EE09B3">
        <w:rPr>
          <w:vertAlign w:val="superscript"/>
        </w:rPr>
        <w:t>2)</w:t>
      </w:r>
      <w:r>
        <w:rPr>
          <w:vertAlign w:val="superscript"/>
        </w:rPr>
        <w:t xml:space="preserve"> </w:t>
      </w:r>
      <w:r>
        <w:t xml:space="preserve">Upraveno dne </w:t>
      </w:r>
      <w:proofErr w:type="gramStart"/>
      <w:r>
        <w:t>8.4.2015</w:t>
      </w:r>
      <w:proofErr w:type="gramEnd"/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260"/>
    <w:rsid w:val="00003058"/>
    <w:rsid w:val="00013C77"/>
    <w:rsid w:val="00020834"/>
    <w:rsid w:val="00023D3B"/>
    <w:rsid w:val="00071B2F"/>
    <w:rsid w:val="00092500"/>
    <w:rsid w:val="000D72AF"/>
    <w:rsid w:val="000E345D"/>
    <w:rsid w:val="001145D6"/>
    <w:rsid w:val="00150AD2"/>
    <w:rsid w:val="001771EA"/>
    <w:rsid w:val="0018077B"/>
    <w:rsid w:val="0018137E"/>
    <w:rsid w:val="001858EF"/>
    <w:rsid w:val="001C0EBA"/>
    <w:rsid w:val="001C4722"/>
    <w:rsid w:val="001E3FE3"/>
    <w:rsid w:val="0023409C"/>
    <w:rsid w:val="00246975"/>
    <w:rsid w:val="002804EA"/>
    <w:rsid w:val="00296046"/>
    <w:rsid w:val="00297D47"/>
    <w:rsid w:val="002A3D94"/>
    <w:rsid w:val="002A6AA2"/>
    <w:rsid w:val="002D63C4"/>
    <w:rsid w:val="002F0EF4"/>
    <w:rsid w:val="00312409"/>
    <w:rsid w:val="00323EB0"/>
    <w:rsid w:val="00380909"/>
    <w:rsid w:val="00384E86"/>
    <w:rsid w:val="003B78D7"/>
    <w:rsid w:val="003B79CC"/>
    <w:rsid w:val="003D1F96"/>
    <w:rsid w:val="003E0C74"/>
    <w:rsid w:val="004102C7"/>
    <w:rsid w:val="004127A6"/>
    <w:rsid w:val="004828D6"/>
    <w:rsid w:val="00485B53"/>
    <w:rsid w:val="00491475"/>
    <w:rsid w:val="004A191B"/>
    <w:rsid w:val="004A23B0"/>
    <w:rsid w:val="004B6B71"/>
    <w:rsid w:val="004E157A"/>
    <w:rsid w:val="004E42A1"/>
    <w:rsid w:val="00526B09"/>
    <w:rsid w:val="005277A7"/>
    <w:rsid w:val="005B4698"/>
    <w:rsid w:val="005C742B"/>
    <w:rsid w:val="005F7A6D"/>
    <w:rsid w:val="006018E5"/>
    <w:rsid w:val="006469B4"/>
    <w:rsid w:val="0066105E"/>
    <w:rsid w:val="0067046B"/>
    <w:rsid w:val="006B6F19"/>
    <w:rsid w:val="006E6E86"/>
    <w:rsid w:val="006F6772"/>
    <w:rsid w:val="00705EC3"/>
    <w:rsid w:val="0070777D"/>
    <w:rsid w:val="0072058A"/>
    <w:rsid w:val="0073782D"/>
    <w:rsid w:val="007B7D29"/>
    <w:rsid w:val="007E296D"/>
    <w:rsid w:val="007E69C2"/>
    <w:rsid w:val="00803C0D"/>
    <w:rsid w:val="00804183"/>
    <w:rsid w:val="00820ECF"/>
    <w:rsid w:val="00854E9D"/>
    <w:rsid w:val="008C3834"/>
    <w:rsid w:val="008E23B3"/>
    <w:rsid w:val="00900D08"/>
    <w:rsid w:val="00904FBB"/>
    <w:rsid w:val="00910650"/>
    <w:rsid w:val="00954772"/>
    <w:rsid w:val="00954E0A"/>
    <w:rsid w:val="00986BAE"/>
    <w:rsid w:val="00987D8E"/>
    <w:rsid w:val="009D7280"/>
    <w:rsid w:val="009E320A"/>
    <w:rsid w:val="00A068DB"/>
    <w:rsid w:val="00AB21F4"/>
    <w:rsid w:val="00AE5A76"/>
    <w:rsid w:val="00B04D86"/>
    <w:rsid w:val="00B60FB5"/>
    <w:rsid w:val="00B67728"/>
    <w:rsid w:val="00BF1447"/>
    <w:rsid w:val="00C026A2"/>
    <w:rsid w:val="00C06D31"/>
    <w:rsid w:val="00C15407"/>
    <w:rsid w:val="00C51FC0"/>
    <w:rsid w:val="00C708E7"/>
    <w:rsid w:val="00C75051"/>
    <w:rsid w:val="00CB6826"/>
    <w:rsid w:val="00CF291B"/>
    <w:rsid w:val="00D168E6"/>
    <w:rsid w:val="00D839A7"/>
    <w:rsid w:val="00D92ABE"/>
    <w:rsid w:val="00D93B6C"/>
    <w:rsid w:val="00DA31FA"/>
    <w:rsid w:val="00DD0447"/>
    <w:rsid w:val="00DF6361"/>
    <w:rsid w:val="00DF7C28"/>
    <w:rsid w:val="00E14A09"/>
    <w:rsid w:val="00E23CC9"/>
    <w:rsid w:val="00E31EA7"/>
    <w:rsid w:val="00E74B01"/>
    <w:rsid w:val="00E9287C"/>
    <w:rsid w:val="00E9477D"/>
    <w:rsid w:val="00E96BFA"/>
    <w:rsid w:val="00EB4260"/>
    <w:rsid w:val="00EE5EC1"/>
    <w:rsid w:val="00EE79EB"/>
    <w:rsid w:val="00EF15EB"/>
    <w:rsid w:val="00F04AED"/>
    <w:rsid w:val="00F2499C"/>
    <w:rsid w:val="00F715D5"/>
    <w:rsid w:val="00FB7249"/>
    <w:rsid w:val="00FC11B4"/>
    <w:rsid w:val="00FD3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42A1"/>
    <w:pPr>
      <w:spacing w:line="300" w:lineRule="exact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E42A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next w:val="Normln"/>
    <w:link w:val="Nadpis2Char"/>
    <w:uiPriority w:val="9"/>
    <w:unhideWhenUsed/>
    <w:qFormat/>
    <w:rsid w:val="004E42A1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828D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828D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828D6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4828D6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4828D6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4828D6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4828D6"/>
    <w:p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E42A1"/>
    <w:rPr>
      <w:rFonts w:ascii="Arial" w:eastAsia="Times New Roman" w:hAnsi="Arial"/>
      <w:b/>
      <w:bCs/>
      <w:sz w:val="28"/>
      <w:szCs w:val="26"/>
      <w:lang w:val="cs-CZ" w:eastAsia="en-US" w:bidi="ar-SA"/>
    </w:rPr>
  </w:style>
  <w:style w:type="character" w:styleId="Hypertextovodkaz">
    <w:name w:val="Hyperlink"/>
    <w:uiPriority w:val="99"/>
    <w:rsid w:val="00EB4260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EB4260"/>
    <w:pPr>
      <w:spacing w:line="240" w:lineRule="auto"/>
    </w:pPr>
    <w:rPr>
      <w:rFonts w:eastAsia="Times New Roman"/>
      <w:i/>
      <w:iCs/>
      <w:sz w:val="1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B4260"/>
    <w:rPr>
      <w:rFonts w:ascii="Arial" w:eastAsia="Times New Roman" w:hAnsi="Arial" w:cs="Times New Roman"/>
      <w:i/>
      <w:iCs/>
      <w:sz w:val="18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EB426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EB4260"/>
    <w:rPr>
      <w:rFonts w:ascii="Arial" w:eastAsia="Calibri" w:hAnsi="Arial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EB426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EB4260"/>
    <w:rPr>
      <w:rFonts w:ascii="Arial" w:eastAsia="Calibri" w:hAnsi="Arial" w:cs="Times New Roman"/>
      <w:sz w:val="20"/>
    </w:rPr>
  </w:style>
  <w:style w:type="paragraph" w:styleId="Nzev">
    <w:name w:val="Title"/>
    <w:aliases w:val="Titulek_"/>
    <w:basedOn w:val="Normln"/>
    <w:link w:val="NzevChar"/>
    <w:uiPriority w:val="10"/>
    <w:qFormat/>
    <w:rsid w:val="004E42A1"/>
    <w:pPr>
      <w:spacing w:before="240" w:after="240" w:line="240" w:lineRule="auto"/>
      <w:jc w:val="center"/>
      <w:outlineLvl w:val="0"/>
    </w:pPr>
    <w:rPr>
      <w:rFonts w:eastAsia="Times New Roman" w:cs="Arial"/>
      <w:b/>
      <w:bCs/>
      <w:kern w:val="28"/>
      <w:sz w:val="28"/>
      <w:szCs w:val="32"/>
      <w:lang w:eastAsia="cs-CZ"/>
    </w:rPr>
  </w:style>
  <w:style w:type="character" w:customStyle="1" w:styleId="NzevChar">
    <w:name w:val="Název Char"/>
    <w:aliases w:val="Titulek_ Char"/>
    <w:basedOn w:val="Standardnpsmoodstavce"/>
    <w:link w:val="Nzev"/>
    <w:uiPriority w:val="10"/>
    <w:rsid w:val="004E42A1"/>
    <w:rPr>
      <w:rFonts w:ascii="Arial" w:eastAsia="Times New Roman" w:hAnsi="Arial" w:cs="Arial"/>
      <w:b/>
      <w:bCs/>
      <w:kern w:val="28"/>
      <w:sz w:val="28"/>
      <w:szCs w:val="32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C38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C3834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C38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3834"/>
    <w:rPr>
      <w:rFonts w:ascii="Arial" w:hAnsi="Arial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4E42A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oznamkytexty">
    <w:name w:val="Poznamky texty"/>
    <w:basedOn w:val="Normln"/>
    <w:qFormat/>
    <w:rsid w:val="004E42A1"/>
    <w:pPr>
      <w:spacing w:line="240" w:lineRule="exact"/>
    </w:pPr>
    <w:rPr>
      <w:rFonts w:cs="ArialMT"/>
      <w:i/>
      <w:color w:val="000000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E9287C"/>
    <w:rPr>
      <w:vertAlign w:val="superscript"/>
    </w:rPr>
  </w:style>
  <w:style w:type="paragraph" w:styleId="Bezmezer">
    <w:name w:val="No Spacing"/>
    <w:uiPriority w:val="1"/>
    <w:qFormat/>
    <w:rsid w:val="004828D6"/>
    <w:pPr>
      <w:jc w:val="both"/>
    </w:pPr>
    <w:rPr>
      <w:rFonts w:ascii="Arial" w:hAnsi="Arial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4828D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828D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4828D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4828D6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4828D6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4828D6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4828D6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Perex">
    <w:name w:val="Perex_"/>
    <w:next w:val="Normln"/>
    <w:qFormat/>
    <w:rsid w:val="00F2499C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customStyle="1" w:styleId="Podtitulek">
    <w:name w:val="Podtitulek_"/>
    <w:next w:val="Normln"/>
    <w:link w:val="PodtitulekChar"/>
    <w:qFormat/>
    <w:rsid w:val="00F2499C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PodtitulekChar">
    <w:name w:val="Podtitulek_ Char"/>
    <w:link w:val="Podtitulek"/>
    <w:rsid w:val="00F2499C"/>
    <w:rPr>
      <w:rFonts w:ascii="Arial" w:eastAsia="Times New Roman" w:hAnsi="Arial"/>
      <w:b/>
      <w:bCs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c.europa.eu/eurostat/web/hicp/data/main-tabl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644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4442</CharactersWithSpaces>
  <SharedDoc>false</SharedDoc>
  <HLinks>
    <vt:vector size="6" baseType="variant"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lezakova3483</cp:lastModifiedBy>
  <cp:revision>3</cp:revision>
  <dcterms:created xsi:type="dcterms:W3CDTF">2015-03-06T09:24:00Z</dcterms:created>
  <dcterms:modified xsi:type="dcterms:W3CDTF">2015-04-08T15:31:00Z</dcterms:modified>
</cp:coreProperties>
</file>