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37" w:rsidRPr="00196B60" w:rsidRDefault="009F5537" w:rsidP="009F5537">
      <w:pPr>
        <w:rPr>
          <w:rStyle w:val="Nadpis1Char"/>
        </w:rPr>
      </w:pPr>
      <w:bookmarkStart w:id="0" w:name="_Toc468110160"/>
      <w:r w:rsidRPr="00196B60">
        <w:rPr>
          <w:rStyle w:val="Nadpis1Char"/>
        </w:rPr>
        <w:t>2. Počet a struktura narozených</w:t>
      </w:r>
      <w:bookmarkEnd w:id="0"/>
    </w:p>
    <w:p w:rsidR="009F5537" w:rsidRDefault="009F5537" w:rsidP="009F5537">
      <w:pPr>
        <w:pStyle w:val="Nadpis2"/>
      </w:pPr>
      <w:bookmarkStart w:id="1" w:name="_Toc468110161"/>
      <w:r>
        <w:t>2.1 Vývoj počtu narozených a vícečetné porody</w:t>
      </w:r>
      <w:bookmarkEnd w:id="1"/>
    </w:p>
    <w:p w:rsidR="009F5537" w:rsidRDefault="009F5537" w:rsidP="009F5537">
      <w:r>
        <w:t xml:space="preserve">Počet živě narozených dětí dosáhl mezi roky 2005 až 2015 svého vrcholu v roce 2008, kdy se narodilo 119 570 dětí. Vyšší hodnota v minulosti byla naposledy evidována v roce 1993 (121 025 živě narozených dětí). Od roku 2005 do výše zmíněného roku 2008 počet živě narozených dětí soustavně rostl, následně až do roku 2013 klesal až na 106 751 a v posledních dvou letech bylo možné sledovat růst na 111 162 živě narozených dětí v roce 2015. Hrubá míra porodnosti (živě narozené děti na 1 000 obyvatel) se vyvíjela obdobně, takže ji spíše ovlivňovaly změny v počtu narozených dětí než v počtu obyvatel. Mezi roky 2005 a 2008 narostla z 10,0 ‰ na 11,5 ‰, vzápětí poklesla na 10,2 ‰, aby následně zaznamenala nárůst na hodnotu 10,5 ‰. </w:t>
      </w:r>
    </w:p>
    <w:p w:rsidR="009F5537" w:rsidRDefault="009F5537" w:rsidP="009F5537">
      <w:r>
        <w:t>Poměr mezi narozenými chlapci a dívkami se výrazně neměnil a pohyboval se okolo 104 až 107 narozenými chlapci na 100 dívek, což je běžný stav ve všech rozvinutých zemích, kde není preference rodičů ve vztahu k pohlaví narozeného dítěte kulturně nebo sociálně podmíněná.</w:t>
      </w:r>
    </w:p>
    <w:p w:rsidR="009F5537" w:rsidRDefault="009F5537" w:rsidP="009F5537">
      <w:r>
        <w:t xml:space="preserve">V letech 2005 až 2011 se každoročně mrtvě narodilo 272–319 dětí. Od roku 2012 nelze čísla s předcházejícím obdobím z důvodu změny definice mrtvě narozeného dítěte srovnávat. Snížila se totiž hranice pro rozlišení mrtvě narozeného dítěte od potratu a to z 1 000 na 500 gramů (více viz kapitola 1). Mrtvě narozených dětí tak přibylo, když se jich v letech 2012 až 2015 narodilo v rozmezí 366–398. Zastoupení mrtvě narozených dětí na všech narozených se mezi roky 2005 až 2011 pohybovalo mezi 2,27–2,82 ‰, přičemž nejnižší hodnoty bylo dosaženo v roce 2008, kdy byl nejvyšší celkový počet narozených dětí. V posledních čtyřech letech dosahovala hodnota tohoto ukazatele 3,42–3,59 ‰.         </w:t>
      </w:r>
    </w:p>
    <w:p w:rsidR="009F5537" w:rsidRDefault="009F5537" w:rsidP="009F5537">
      <w:pPr>
        <w:spacing w:after="60"/>
        <w:rPr>
          <w:rFonts w:cs="Arial"/>
          <w:b/>
          <w:szCs w:val="20"/>
        </w:rPr>
      </w:pPr>
      <w:r w:rsidRPr="00332190">
        <w:rPr>
          <w:rFonts w:cs="Arial"/>
          <w:b/>
          <w:szCs w:val="20"/>
        </w:rPr>
        <w:t xml:space="preserve">Tab. </w:t>
      </w:r>
      <w:r>
        <w:rPr>
          <w:rFonts w:cs="Arial"/>
          <w:b/>
          <w:szCs w:val="20"/>
        </w:rPr>
        <w:t xml:space="preserve">1 </w:t>
      </w:r>
      <w:r w:rsidRPr="00907323">
        <w:rPr>
          <w:rFonts w:cs="Arial"/>
          <w:b/>
          <w:szCs w:val="20"/>
        </w:rPr>
        <w:t xml:space="preserve">Narození podle vitality </w:t>
      </w:r>
      <w:r>
        <w:rPr>
          <w:rFonts w:cs="Arial"/>
          <w:b/>
          <w:szCs w:val="20"/>
        </w:rPr>
        <w:t xml:space="preserve">a pohlaví </w:t>
      </w:r>
      <w:r w:rsidRPr="00907323">
        <w:rPr>
          <w:rFonts w:cs="Arial"/>
          <w:b/>
          <w:szCs w:val="20"/>
        </w:rPr>
        <w:t>v letech 2005–2015</w:t>
      </w:r>
    </w:p>
    <w:tbl>
      <w:tblPr>
        <w:tblW w:w="9639" w:type="dxa"/>
        <w:tblCellMar>
          <w:left w:w="70" w:type="dxa"/>
          <w:right w:w="70" w:type="dxa"/>
        </w:tblCellMar>
        <w:tblLook w:val="04A0" w:firstRow="1" w:lastRow="0" w:firstColumn="1" w:lastColumn="0" w:noHBand="0" w:noVBand="1"/>
      </w:tblPr>
      <w:tblGrid>
        <w:gridCol w:w="866"/>
        <w:gridCol w:w="1100"/>
        <w:gridCol w:w="1100"/>
        <w:gridCol w:w="1099"/>
        <w:gridCol w:w="1099"/>
        <w:gridCol w:w="1099"/>
        <w:gridCol w:w="1099"/>
        <w:gridCol w:w="1158"/>
        <w:gridCol w:w="1158"/>
      </w:tblGrid>
      <w:tr w:rsidR="009F5537" w:rsidRPr="00002B71" w:rsidTr="00305387">
        <w:trPr>
          <w:trHeight w:val="240"/>
        </w:trPr>
        <w:tc>
          <w:tcPr>
            <w:tcW w:w="880"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002B71" w:rsidRDefault="009F5537" w:rsidP="00305387">
            <w:pPr>
              <w:spacing w:after="0" w:line="240" w:lineRule="auto"/>
              <w:jc w:val="center"/>
              <w:rPr>
                <w:rFonts w:cs="Arial"/>
                <w:b/>
                <w:bCs/>
                <w:sz w:val="16"/>
                <w:szCs w:val="16"/>
              </w:rPr>
            </w:pPr>
            <w:r w:rsidRPr="00002B71">
              <w:rPr>
                <w:rFonts w:cs="Arial"/>
                <w:b/>
                <w:bCs/>
                <w:sz w:val="16"/>
                <w:szCs w:val="16"/>
              </w:rPr>
              <w:t>Rok</w:t>
            </w:r>
          </w:p>
        </w:tc>
        <w:tc>
          <w:tcPr>
            <w:tcW w:w="1120"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002B71" w:rsidRDefault="009F5537" w:rsidP="00305387">
            <w:pPr>
              <w:spacing w:after="0" w:line="240" w:lineRule="auto"/>
              <w:jc w:val="center"/>
              <w:rPr>
                <w:rFonts w:cs="Arial"/>
                <w:b/>
                <w:bCs/>
                <w:sz w:val="16"/>
                <w:szCs w:val="16"/>
              </w:rPr>
            </w:pPr>
            <w:r w:rsidRPr="00002B71">
              <w:rPr>
                <w:rFonts w:cs="Arial"/>
                <w:b/>
                <w:bCs/>
                <w:sz w:val="16"/>
                <w:szCs w:val="16"/>
              </w:rPr>
              <w:t>Narození celkem</w:t>
            </w:r>
          </w:p>
        </w:tc>
        <w:tc>
          <w:tcPr>
            <w:tcW w:w="5600" w:type="dxa"/>
            <w:gridSpan w:val="5"/>
            <w:tcBorders>
              <w:top w:val="single" w:sz="4" w:space="0" w:color="auto"/>
              <w:left w:val="nil"/>
              <w:bottom w:val="nil"/>
              <w:right w:val="single" w:sz="4" w:space="0" w:color="000000"/>
            </w:tcBorders>
            <w:shd w:val="clear" w:color="FFFFFF" w:fill="F5DADD"/>
            <w:noWrap/>
            <w:vAlign w:val="center"/>
            <w:hideMark/>
          </w:tcPr>
          <w:p w:rsidR="009F5537" w:rsidRPr="00002B71" w:rsidRDefault="009F5537" w:rsidP="00305387">
            <w:pPr>
              <w:spacing w:after="0" w:line="240" w:lineRule="auto"/>
              <w:jc w:val="center"/>
              <w:rPr>
                <w:rFonts w:cs="Arial"/>
                <w:b/>
                <w:bCs/>
                <w:sz w:val="16"/>
                <w:szCs w:val="16"/>
              </w:rPr>
            </w:pPr>
            <w:r w:rsidRPr="00002B71">
              <w:rPr>
                <w:rFonts w:cs="Arial"/>
                <w:b/>
                <w:bCs/>
                <w:sz w:val="16"/>
                <w:szCs w:val="16"/>
              </w:rPr>
              <w:t>Vitalita</w:t>
            </w:r>
          </w:p>
        </w:tc>
        <w:tc>
          <w:tcPr>
            <w:tcW w:w="1180" w:type="dxa"/>
            <w:vMerge w:val="restart"/>
            <w:tcBorders>
              <w:top w:val="single" w:sz="4" w:space="0" w:color="auto"/>
              <w:left w:val="single" w:sz="4" w:space="0" w:color="auto"/>
              <w:bottom w:val="single" w:sz="4" w:space="0" w:color="000000"/>
              <w:right w:val="nil"/>
            </w:tcBorders>
            <w:shd w:val="clear" w:color="FFFFFF" w:fill="F5DADD"/>
            <w:vAlign w:val="center"/>
            <w:hideMark/>
          </w:tcPr>
          <w:p w:rsidR="009F5537" w:rsidRPr="00002B71" w:rsidRDefault="009F5537" w:rsidP="00305387">
            <w:pPr>
              <w:spacing w:after="0" w:line="240" w:lineRule="auto"/>
              <w:jc w:val="center"/>
              <w:rPr>
                <w:rFonts w:cs="Arial"/>
                <w:sz w:val="16"/>
                <w:szCs w:val="16"/>
              </w:rPr>
            </w:pPr>
            <w:r w:rsidRPr="00002B71">
              <w:rPr>
                <w:rFonts w:cs="Arial"/>
                <w:sz w:val="16"/>
                <w:szCs w:val="16"/>
              </w:rPr>
              <w:t>Živě narození na 1 000 obyvatel</w:t>
            </w:r>
          </w:p>
        </w:tc>
        <w:tc>
          <w:tcPr>
            <w:tcW w:w="1180" w:type="dxa"/>
            <w:vMerge w:val="restart"/>
            <w:tcBorders>
              <w:top w:val="single" w:sz="4" w:space="0" w:color="auto"/>
              <w:left w:val="single" w:sz="4" w:space="0" w:color="auto"/>
              <w:bottom w:val="single" w:sz="4" w:space="0" w:color="000000"/>
              <w:right w:val="nil"/>
            </w:tcBorders>
            <w:shd w:val="clear" w:color="FFFFFF" w:fill="F5DADD"/>
            <w:vAlign w:val="center"/>
            <w:hideMark/>
          </w:tcPr>
          <w:p w:rsidR="009F5537" w:rsidRPr="00002B71" w:rsidRDefault="009F5537" w:rsidP="00305387">
            <w:pPr>
              <w:spacing w:after="0" w:line="240" w:lineRule="auto"/>
              <w:jc w:val="center"/>
              <w:rPr>
                <w:rFonts w:cs="Arial"/>
                <w:sz w:val="16"/>
                <w:szCs w:val="16"/>
              </w:rPr>
            </w:pPr>
            <w:r w:rsidRPr="00002B71">
              <w:rPr>
                <w:rFonts w:cs="Arial"/>
                <w:sz w:val="16"/>
                <w:szCs w:val="16"/>
              </w:rPr>
              <w:t xml:space="preserve">Mrtvě narození </w:t>
            </w:r>
            <w:proofErr w:type="gramStart"/>
            <w:r w:rsidRPr="00002B71">
              <w:rPr>
                <w:rFonts w:cs="Arial"/>
                <w:sz w:val="16"/>
                <w:szCs w:val="16"/>
              </w:rPr>
              <w:t xml:space="preserve">na </w:t>
            </w:r>
            <w:r>
              <w:rPr>
                <w:rFonts w:cs="Arial"/>
                <w:sz w:val="16"/>
                <w:szCs w:val="16"/>
              </w:rPr>
              <w:t xml:space="preserve"> </w:t>
            </w:r>
            <w:r w:rsidRPr="00002B71">
              <w:rPr>
                <w:rFonts w:cs="Arial"/>
                <w:sz w:val="16"/>
                <w:szCs w:val="16"/>
              </w:rPr>
              <w:t>1 000</w:t>
            </w:r>
            <w:proofErr w:type="gramEnd"/>
            <w:r w:rsidRPr="00002B71">
              <w:rPr>
                <w:rFonts w:cs="Arial"/>
                <w:sz w:val="16"/>
                <w:szCs w:val="16"/>
              </w:rPr>
              <w:t xml:space="preserve"> narozených</w:t>
            </w:r>
          </w:p>
        </w:tc>
      </w:tr>
      <w:tr w:rsidR="009F5537" w:rsidRPr="00002B71" w:rsidTr="00305387">
        <w:trPr>
          <w:trHeight w:val="240"/>
        </w:trPr>
        <w:tc>
          <w:tcPr>
            <w:tcW w:w="880" w:type="dxa"/>
            <w:vMerge/>
            <w:tcBorders>
              <w:top w:val="single" w:sz="4" w:space="0" w:color="auto"/>
              <w:left w:val="nil"/>
              <w:bottom w:val="single" w:sz="4" w:space="0" w:color="000000"/>
              <w:right w:val="single" w:sz="4" w:space="0" w:color="auto"/>
            </w:tcBorders>
            <w:vAlign w:val="center"/>
            <w:hideMark/>
          </w:tcPr>
          <w:p w:rsidR="009F5537" w:rsidRPr="00002B71" w:rsidRDefault="009F5537" w:rsidP="00305387">
            <w:pPr>
              <w:spacing w:after="0" w:line="240" w:lineRule="auto"/>
              <w:rPr>
                <w:rFonts w:cs="Arial"/>
                <w:b/>
                <w:bCs/>
                <w:sz w:val="16"/>
                <w:szCs w:val="16"/>
              </w:rPr>
            </w:pPr>
          </w:p>
        </w:tc>
        <w:tc>
          <w:tcPr>
            <w:tcW w:w="1120" w:type="dxa"/>
            <w:vMerge/>
            <w:tcBorders>
              <w:top w:val="single" w:sz="4" w:space="0" w:color="auto"/>
              <w:left w:val="nil"/>
              <w:bottom w:val="single" w:sz="4" w:space="0" w:color="000000"/>
              <w:right w:val="single" w:sz="4" w:space="0" w:color="auto"/>
            </w:tcBorders>
            <w:vAlign w:val="center"/>
            <w:hideMark/>
          </w:tcPr>
          <w:p w:rsidR="009F5537" w:rsidRPr="00002B71" w:rsidRDefault="009F5537" w:rsidP="00305387">
            <w:pPr>
              <w:spacing w:after="0" w:line="240" w:lineRule="auto"/>
              <w:rPr>
                <w:rFonts w:cs="Arial"/>
                <w:b/>
                <w:bCs/>
                <w:sz w:val="16"/>
                <w:szCs w:val="16"/>
              </w:rPr>
            </w:pPr>
          </w:p>
        </w:tc>
        <w:tc>
          <w:tcPr>
            <w:tcW w:w="1120" w:type="dxa"/>
            <w:vMerge w:val="restart"/>
            <w:tcBorders>
              <w:top w:val="single" w:sz="4" w:space="0" w:color="auto"/>
              <w:left w:val="single" w:sz="4" w:space="0" w:color="auto"/>
              <w:bottom w:val="single" w:sz="4" w:space="0" w:color="000000"/>
              <w:right w:val="single" w:sz="4" w:space="0" w:color="auto"/>
            </w:tcBorders>
            <w:shd w:val="clear" w:color="FFFFFF" w:fill="F5DADD"/>
            <w:vAlign w:val="center"/>
            <w:hideMark/>
          </w:tcPr>
          <w:p w:rsidR="009F5537" w:rsidRPr="00002B71" w:rsidRDefault="009F5537" w:rsidP="00305387">
            <w:pPr>
              <w:spacing w:after="0" w:line="240" w:lineRule="auto"/>
              <w:jc w:val="center"/>
              <w:rPr>
                <w:rFonts w:cs="Arial"/>
                <w:sz w:val="16"/>
                <w:szCs w:val="16"/>
              </w:rPr>
            </w:pPr>
            <w:r w:rsidRPr="00002B71">
              <w:rPr>
                <w:rFonts w:cs="Arial"/>
                <w:sz w:val="16"/>
                <w:szCs w:val="16"/>
              </w:rPr>
              <w:t>živě</w:t>
            </w:r>
          </w:p>
        </w:tc>
        <w:tc>
          <w:tcPr>
            <w:tcW w:w="1120" w:type="dxa"/>
            <w:vMerge w:val="restart"/>
            <w:tcBorders>
              <w:top w:val="single" w:sz="4" w:space="0" w:color="auto"/>
              <w:left w:val="single" w:sz="4" w:space="0" w:color="auto"/>
              <w:bottom w:val="single" w:sz="4" w:space="0" w:color="000000"/>
              <w:right w:val="single" w:sz="4" w:space="0" w:color="auto"/>
            </w:tcBorders>
            <w:shd w:val="clear" w:color="FFFFFF" w:fill="F5DADD"/>
            <w:vAlign w:val="center"/>
            <w:hideMark/>
          </w:tcPr>
          <w:p w:rsidR="009F5537" w:rsidRPr="00002B71" w:rsidRDefault="009F5537" w:rsidP="00305387">
            <w:pPr>
              <w:spacing w:after="0" w:line="240" w:lineRule="auto"/>
              <w:jc w:val="center"/>
              <w:rPr>
                <w:rFonts w:cs="Arial"/>
                <w:sz w:val="16"/>
                <w:szCs w:val="16"/>
              </w:rPr>
            </w:pPr>
            <w:r w:rsidRPr="00002B71">
              <w:rPr>
                <w:rFonts w:cs="Arial"/>
                <w:sz w:val="16"/>
                <w:szCs w:val="16"/>
              </w:rPr>
              <w:t>chlapci</w:t>
            </w:r>
          </w:p>
        </w:tc>
        <w:tc>
          <w:tcPr>
            <w:tcW w:w="1120" w:type="dxa"/>
            <w:vMerge w:val="restart"/>
            <w:tcBorders>
              <w:top w:val="single" w:sz="4" w:space="0" w:color="auto"/>
              <w:left w:val="single" w:sz="4" w:space="0" w:color="auto"/>
              <w:bottom w:val="single" w:sz="4" w:space="0" w:color="000000"/>
              <w:right w:val="single" w:sz="4" w:space="0" w:color="auto"/>
            </w:tcBorders>
            <w:shd w:val="clear" w:color="FFFFFF" w:fill="F5DADD"/>
            <w:vAlign w:val="center"/>
            <w:hideMark/>
          </w:tcPr>
          <w:p w:rsidR="009F5537" w:rsidRPr="00002B71" w:rsidRDefault="009F5537" w:rsidP="00305387">
            <w:pPr>
              <w:spacing w:after="0" w:line="240" w:lineRule="auto"/>
              <w:jc w:val="center"/>
              <w:rPr>
                <w:rFonts w:cs="Arial"/>
                <w:sz w:val="16"/>
                <w:szCs w:val="16"/>
              </w:rPr>
            </w:pPr>
            <w:r w:rsidRPr="00002B71">
              <w:rPr>
                <w:rFonts w:cs="Arial"/>
                <w:sz w:val="16"/>
                <w:szCs w:val="16"/>
              </w:rPr>
              <w:t>dívky</w:t>
            </w:r>
          </w:p>
        </w:tc>
        <w:tc>
          <w:tcPr>
            <w:tcW w:w="1120" w:type="dxa"/>
            <w:vMerge w:val="restart"/>
            <w:tcBorders>
              <w:top w:val="single" w:sz="4" w:space="0" w:color="auto"/>
              <w:left w:val="single" w:sz="4" w:space="0" w:color="auto"/>
              <w:bottom w:val="single" w:sz="4" w:space="0" w:color="000000"/>
              <w:right w:val="single" w:sz="4" w:space="0" w:color="auto"/>
            </w:tcBorders>
            <w:shd w:val="clear" w:color="FFFFFF" w:fill="F5DADD"/>
            <w:vAlign w:val="center"/>
            <w:hideMark/>
          </w:tcPr>
          <w:p w:rsidR="009F5537" w:rsidRPr="00002B71" w:rsidRDefault="009F5537" w:rsidP="00305387">
            <w:pPr>
              <w:spacing w:after="0" w:line="240" w:lineRule="auto"/>
              <w:jc w:val="center"/>
              <w:rPr>
                <w:rFonts w:cs="Arial"/>
                <w:sz w:val="16"/>
                <w:szCs w:val="16"/>
              </w:rPr>
            </w:pPr>
            <w:r w:rsidRPr="00002B71">
              <w:rPr>
                <w:rFonts w:cs="Arial"/>
                <w:sz w:val="16"/>
                <w:szCs w:val="16"/>
              </w:rPr>
              <w:t>počet chlapců na 100 dívek</w:t>
            </w:r>
          </w:p>
        </w:tc>
        <w:tc>
          <w:tcPr>
            <w:tcW w:w="1120" w:type="dxa"/>
            <w:vMerge w:val="restart"/>
            <w:tcBorders>
              <w:top w:val="single" w:sz="4" w:space="0" w:color="auto"/>
              <w:left w:val="single" w:sz="4" w:space="0" w:color="auto"/>
              <w:bottom w:val="single" w:sz="4" w:space="0" w:color="000000"/>
              <w:right w:val="single" w:sz="4" w:space="0" w:color="auto"/>
            </w:tcBorders>
            <w:shd w:val="clear" w:color="FFFFFF" w:fill="F5DADD"/>
            <w:vAlign w:val="center"/>
            <w:hideMark/>
          </w:tcPr>
          <w:p w:rsidR="009F5537" w:rsidRPr="00002B71" w:rsidRDefault="009F5537" w:rsidP="00305387">
            <w:pPr>
              <w:spacing w:after="0" w:line="240" w:lineRule="auto"/>
              <w:jc w:val="center"/>
              <w:rPr>
                <w:rFonts w:cs="Arial"/>
                <w:sz w:val="16"/>
                <w:szCs w:val="16"/>
              </w:rPr>
            </w:pPr>
            <w:r w:rsidRPr="00002B71">
              <w:rPr>
                <w:rFonts w:cs="Arial"/>
                <w:sz w:val="16"/>
                <w:szCs w:val="16"/>
              </w:rPr>
              <w:t>mrtvě</w:t>
            </w:r>
          </w:p>
        </w:tc>
        <w:tc>
          <w:tcPr>
            <w:tcW w:w="1180" w:type="dxa"/>
            <w:vMerge/>
            <w:tcBorders>
              <w:top w:val="single" w:sz="4" w:space="0" w:color="auto"/>
              <w:left w:val="single" w:sz="4" w:space="0" w:color="auto"/>
              <w:bottom w:val="single" w:sz="4" w:space="0" w:color="000000"/>
              <w:right w:val="nil"/>
            </w:tcBorders>
            <w:vAlign w:val="center"/>
            <w:hideMark/>
          </w:tcPr>
          <w:p w:rsidR="009F5537" w:rsidRPr="00002B71" w:rsidRDefault="009F5537" w:rsidP="00305387">
            <w:pPr>
              <w:spacing w:after="0" w:line="240" w:lineRule="auto"/>
              <w:rPr>
                <w:rFonts w:cs="Arial"/>
                <w:sz w:val="16"/>
                <w:szCs w:val="16"/>
              </w:rPr>
            </w:pPr>
          </w:p>
        </w:tc>
        <w:tc>
          <w:tcPr>
            <w:tcW w:w="1180" w:type="dxa"/>
            <w:vMerge/>
            <w:tcBorders>
              <w:top w:val="single" w:sz="4" w:space="0" w:color="auto"/>
              <w:left w:val="single" w:sz="4" w:space="0" w:color="auto"/>
              <w:bottom w:val="single" w:sz="4" w:space="0" w:color="000000"/>
              <w:right w:val="nil"/>
            </w:tcBorders>
            <w:vAlign w:val="center"/>
            <w:hideMark/>
          </w:tcPr>
          <w:p w:rsidR="009F5537" w:rsidRPr="00002B71" w:rsidRDefault="009F5537" w:rsidP="00305387">
            <w:pPr>
              <w:spacing w:after="0" w:line="240" w:lineRule="auto"/>
              <w:rPr>
                <w:rFonts w:cs="Arial"/>
                <w:sz w:val="16"/>
                <w:szCs w:val="16"/>
              </w:rPr>
            </w:pPr>
          </w:p>
        </w:tc>
      </w:tr>
      <w:tr w:rsidR="009F5537" w:rsidRPr="00002B71" w:rsidTr="00305387">
        <w:trPr>
          <w:trHeight w:val="240"/>
        </w:trPr>
        <w:tc>
          <w:tcPr>
            <w:tcW w:w="880" w:type="dxa"/>
            <w:vMerge/>
            <w:tcBorders>
              <w:top w:val="single" w:sz="4" w:space="0" w:color="auto"/>
              <w:left w:val="nil"/>
              <w:bottom w:val="single" w:sz="4" w:space="0" w:color="000000"/>
              <w:right w:val="single" w:sz="4" w:space="0" w:color="auto"/>
            </w:tcBorders>
            <w:vAlign w:val="center"/>
            <w:hideMark/>
          </w:tcPr>
          <w:p w:rsidR="009F5537" w:rsidRPr="00002B71" w:rsidRDefault="009F5537" w:rsidP="00305387">
            <w:pPr>
              <w:spacing w:after="0" w:line="240" w:lineRule="auto"/>
              <w:rPr>
                <w:rFonts w:cs="Arial"/>
                <w:b/>
                <w:bCs/>
                <w:sz w:val="16"/>
                <w:szCs w:val="16"/>
              </w:rPr>
            </w:pPr>
          </w:p>
        </w:tc>
        <w:tc>
          <w:tcPr>
            <w:tcW w:w="1120" w:type="dxa"/>
            <w:vMerge/>
            <w:tcBorders>
              <w:top w:val="single" w:sz="4" w:space="0" w:color="auto"/>
              <w:left w:val="nil"/>
              <w:bottom w:val="single" w:sz="4" w:space="0" w:color="000000"/>
              <w:right w:val="single" w:sz="4" w:space="0" w:color="auto"/>
            </w:tcBorders>
            <w:vAlign w:val="center"/>
            <w:hideMark/>
          </w:tcPr>
          <w:p w:rsidR="009F5537" w:rsidRPr="00002B71" w:rsidRDefault="009F5537" w:rsidP="00305387">
            <w:pPr>
              <w:spacing w:after="0" w:line="240" w:lineRule="auto"/>
              <w:rPr>
                <w:rFonts w:cs="Arial"/>
                <w:b/>
                <w:bCs/>
                <w:sz w:val="16"/>
                <w:szCs w:val="16"/>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9F5537" w:rsidRPr="00002B71" w:rsidRDefault="009F5537" w:rsidP="00305387">
            <w:pPr>
              <w:spacing w:after="0" w:line="240" w:lineRule="auto"/>
              <w:rPr>
                <w:rFonts w:cs="Arial"/>
                <w:sz w:val="16"/>
                <w:szCs w:val="16"/>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9F5537" w:rsidRPr="00002B71" w:rsidRDefault="009F5537" w:rsidP="00305387">
            <w:pPr>
              <w:spacing w:after="0" w:line="240" w:lineRule="auto"/>
              <w:rPr>
                <w:rFonts w:cs="Arial"/>
                <w:sz w:val="16"/>
                <w:szCs w:val="16"/>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9F5537" w:rsidRPr="00002B71" w:rsidRDefault="009F5537" w:rsidP="00305387">
            <w:pPr>
              <w:spacing w:after="0" w:line="240" w:lineRule="auto"/>
              <w:rPr>
                <w:rFonts w:cs="Arial"/>
                <w:sz w:val="16"/>
                <w:szCs w:val="16"/>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9F5537" w:rsidRPr="00002B71" w:rsidRDefault="009F5537" w:rsidP="00305387">
            <w:pPr>
              <w:spacing w:after="0" w:line="240" w:lineRule="auto"/>
              <w:rPr>
                <w:rFonts w:cs="Arial"/>
                <w:sz w:val="16"/>
                <w:szCs w:val="16"/>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9F5537" w:rsidRPr="00002B71" w:rsidRDefault="009F5537" w:rsidP="00305387">
            <w:pPr>
              <w:spacing w:after="0" w:line="240" w:lineRule="auto"/>
              <w:rPr>
                <w:rFonts w:cs="Arial"/>
                <w:sz w:val="16"/>
                <w:szCs w:val="16"/>
              </w:rPr>
            </w:pPr>
          </w:p>
        </w:tc>
        <w:tc>
          <w:tcPr>
            <w:tcW w:w="1180" w:type="dxa"/>
            <w:vMerge/>
            <w:tcBorders>
              <w:top w:val="single" w:sz="4" w:space="0" w:color="auto"/>
              <w:left w:val="single" w:sz="4" w:space="0" w:color="auto"/>
              <w:bottom w:val="single" w:sz="4" w:space="0" w:color="000000"/>
              <w:right w:val="nil"/>
            </w:tcBorders>
            <w:vAlign w:val="center"/>
            <w:hideMark/>
          </w:tcPr>
          <w:p w:rsidR="009F5537" w:rsidRPr="00002B71" w:rsidRDefault="009F5537" w:rsidP="00305387">
            <w:pPr>
              <w:spacing w:after="0" w:line="240" w:lineRule="auto"/>
              <w:rPr>
                <w:rFonts w:cs="Arial"/>
                <w:sz w:val="16"/>
                <w:szCs w:val="16"/>
              </w:rPr>
            </w:pPr>
          </w:p>
        </w:tc>
        <w:tc>
          <w:tcPr>
            <w:tcW w:w="1180" w:type="dxa"/>
            <w:vMerge/>
            <w:tcBorders>
              <w:top w:val="single" w:sz="4" w:space="0" w:color="auto"/>
              <w:left w:val="single" w:sz="4" w:space="0" w:color="auto"/>
              <w:bottom w:val="single" w:sz="4" w:space="0" w:color="000000"/>
              <w:right w:val="nil"/>
            </w:tcBorders>
            <w:vAlign w:val="center"/>
            <w:hideMark/>
          </w:tcPr>
          <w:p w:rsidR="009F5537" w:rsidRPr="00002B71" w:rsidRDefault="009F5537" w:rsidP="00305387">
            <w:pPr>
              <w:spacing w:after="0" w:line="240" w:lineRule="auto"/>
              <w:rPr>
                <w:rFonts w:cs="Arial"/>
                <w:sz w:val="16"/>
                <w:szCs w:val="16"/>
              </w:rPr>
            </w:pPr>
          </w:p>
        </w:tc>
      </w:tr>
      <w:tr w:rsidR="009F5537" w:rsidRPr="00002B71"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2005</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102 498</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102 211</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52 453</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49 758</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105</w:t>
            </w:r>
          </w:p>
        </w:tc>
        <w:tc>
          <w:tcPr>
            <w:tcW w:w="1120" w:type="dxa"/>
            <w:tcBorders>
              <w:top w:val="nil"/>
              <w:left w:val="nil"/>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287</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10,0</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2,80</w:t>
            </w:r>
          </w:p>
        </w:tc>
      </w:tr>
      <w:tr w:rsidR="009F5537" w:rsidRPr="00002B71"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2006</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106 130</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105 831</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54 612</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51 219</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105</w:t>
            </w:r>
          </w:p>
        </w:tc>
        <w:tc>
          <w:tcPr>
            <w:tcW w:w="1120" w:type="dxa"/>
            <w:tcBorders>
              <w:top w:val="nil"/>
              <w:left w:val="nil"/>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299</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10,3</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2,82</w:t>
            </w:r>
          </w:p>
        </w:tc>
      </w:tr>
      <w:tr w:rsidR="009F5537" w:rsidRPr="00002B71"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2007</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114 947</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114 632</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58 475</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56 157</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107</w:t>
            </w:r>
          </w:p>
        </w:tc>
        <w:tc>
          <w:tcPr>
            <w:tcW w:w="1120" w:type="dxa"/>
            <w:tcBorders>
              <w:top w:val="nil"/>
              <w:left w:val="nil"/>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315</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11,1</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2,74</w:t>
            </w:r>
          </w:p>
        </w:tc>
      </w:tr>
      <w:tr w:rsidR="009F5537" w:rsidRPr="00002B71"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2008</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119 842</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119 570</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61 326</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58 244</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104</w:t>
            </w:r>
          </w:p>
        </w:tc>
        <w:tc>
          <w:tcPr>
            <w:tcW w:w="1120" w:type="dxa"/>
            <w:tcBorders>
              <w:top w:val="nil"/>
              <w:left w:val="nil"/>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272</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11,5</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2,27</w:t>
            </w:r>
          </w:p>
        </w:tc>
      </w:tr>
      <w:tr w:rsidR="009F5537" w:rsidRPr="00002B71"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2009</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118 667</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118 348</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60 368</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57 980</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105</w:t>
            </w:r>
          </w:p>
        </w:tc>
        <w:tc>
          <w:tcPr>
            <w:tcW w:w="1120" w:type="dxa"/>
            <w:tcBorders>
              <w:top w:val="nil"/>
              <w:left w:val="nil"/>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319</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11,3</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2,69</w:t>
            </w:r>
          </w:p>
        </w:tc>
      </w:tr>
      <w:tr w:rsidR="009F5537" w:rsidRPr="00002B71"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2010</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117 446</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117 153</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60 220</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56 933</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104</w:t>
            </w:r>
          </w:p>
        </w:tc>
        <w:tc>
          <w:tcPr>
            <w:tcW w:w="1120" w:type="dxa"/>
            <w:tcBorders>
              <w:top w:val="nil"/>
              <w:left w:val="nil"/>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293</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11,1</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2,49</w:t>
            </w:r>
          </w:p>
        </w:tc>
      </w:tr>
      <w:tr w:rsidR="009F5537" w:rsidRPr="00002B71"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2011</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108 990</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108 673</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55 789</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52 884</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106</w:t>
            </w:r>
          </w:p>
        </w:tc>
        <w:tc>
          <w:tcPr>
            <w:tcW w:w="1120" w:type="dxa"/>
            <w:tcBorders>
              <w:top w:val="nil"/>
              <w:left w:val="nil"/>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317</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10,4</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2,91</w:t>
            </w:r>
          </w:p>
        </w:tc>
      </w:tr>
      <w:tr w:rsidR="009F5537" w:rsidRPr="00002B71"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2012</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108 955</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108 576</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55 536</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53 040</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105</w:t>
            </w:r>
          </w:p>
        </w:tc>
        <w:tc>
          <w:tcPr>
            <w:tcW w:w="1120" w:type="dxa"/>
            <w:tcBorders>
              <w:top w:val="nil"/>
              <w:left w:val="nil"/>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379</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10,3</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3,48</w:t>
            </w:r>
          </w:p>
        </w:tc>
      </w:tr>
      <w:tr w:rsidR="009F5537" w:rsidRPr="00002B71"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2013</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107 117</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106 751</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54 702</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52 049</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105</w:t>
            </w:r>
          </w:p>
        </w:tc>
        <w:tc>
          <w:tcPr>
            <w:tcW w:w="1120" w:type="dxa"/>
            <w:tcBorders>
              <w:top w:val="nil"/>
              <w:left w:val="nil"/>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366</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10,2</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3,42</w:t>
            </w:r>
          </w:p>
        </w:tc>
      </w:tr>
      <w:tr w:rsidR="009F5537" w:rsidRPr="00002B71"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2014</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110 252</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109 860</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56 410</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53 450</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105</w:t>
            </w:r>
          </w:p>
        </w:tc>
        <w:tc>
          <w:tcPr>
            <w:tcW w:w="1120" w:type="dxa"/>
            <w:tcBorders>
              <w:top w:val="nil"/>
              <w:left w:val="nil"/>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392</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10,4</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3,56</w:t>
            </w:r>
          </w:p>
        </w:tc>
      </w:tr>
      <w:tr w:rsidR="009F5537" w:rsidRPr="00002B71"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2015</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110 764</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111 162</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56 817</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53 947</w:t>
            </w:r>
          </w:p>
        </w:tc>
        <w:tc>
          <w:tcPr>
            <w:tcW w:w="1120" w:type="dxa"/>
            <w:tcBorders>
              <w:top w:val="nil"/>
              <w:left w:val="nil"/>
              <w:bottom w:val="nil"/>
              <w:right w:val="single" w:sz="4" w:space="0" w:color="auto"/>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106</w:t>
            </w:r>
          </w:p>
        </w:tc>
        <w:tc>
          <w:tcPr>
            <w:tcW w:w="1120" w:type="dxa"/>
            <w:tcBorders>
              <w:top w:val="nil"/>
              <w:left w:val="nil"/>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398</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10,5</w:t>
            </w:r>
          </w:p>
        </w:tc>
        <w:tc>
          <w:tcPr>
            <w:tcW w:w="1180" w:type="dxa"/>
            <w:tcBorders>
              <w:top w:val="nil"/>
              <w:left w:val="single" w:sz="4" w:space="0" w:color="auto"/>
              <w:bottom w:val="nil"/>
              <w:right w:val="nil"/>
            </w:tcBorders>
            <w:shd w:val="clear" w:color="FFFFFF" w:fill="FFFFFF"/>
            <w:noWrap/>
            <w:vAlign w:val="bottom"/>
            <w:hideMark/>
          </w:tcPr>
          <w:p w:rsidR="009F5537" w:rsidRPr="00002B71" w:rsidRDefault="009F5537" w:rsidP="00305387">
            <w:pPr>
              <w:spacing w:after="0" w:line="240" w:lineRule="auto"/>
              <w:jc w:val="center"/>
              <w:rPr>
                <w:rFonts w:cs="Arial"/>
                <w:sz w:val="16"/>
                <w:szCs w:val="16"/>
              </w:rPr>
            </w:pPr>
            <w:r w:rsidRPr="00002B71">
              <w:rPr>
                <w:rFonts w:cs="Arial"/>
                <w:sz w:val="16"/>
                <w:szCs w:val="16"/>
              </w:rPr>
              <w:t>3,59</w:t>
            </w:r>
          </w:p>
        </w:tc>
      </w:tr>
    </w:tbl>
    <w:p w:rsidR="009F5537" w:rsidRDefault="009F5537" w:rsidP="009F5537">
      <w:pPr>
        <w:spacing w:after="60"/>
      </w:pPr>
    </w:p>
    <w:p w:rsidR="009F5537" w:rsidRDefault="009F5537" w:rsidP="009F5537">
      <w:r>
        <w:t xml:space="preserve">Trend v počtu porodů prakticky kopíroval vývoj počtu narozených dětí. Mezi roky 2005 až 2008 narostl počet porodů z 100 546 na 117 429, poté následoval pokles na hodnotu 106 921 v roce 2011, který byl vystřídán nárůstem až na hodnotu 109 519 v roce 2015. Podíl vícečetných porodů měl v rozmezí let 2005 až 2010 spíše rostoucí tendenci, když se zvýšil z 1,93 % na 2,14 %. Absolutní většinu z nich (přes 99 %) tvořily porody dvojčat, zbytek byly porody trojčat kromě jednoho případu paterčat z roku 2013. Ve srovnání s počátkem 90. let 20. století (zhruba 1% podíl vícečetných porodů) došlo k výraznému zvýšení zastoupení vícečetných porodů, které souvisí zejména s vyšším podílem porodů z umělého oplodnění a také s vyšším průměrným věkem ženy při narození dítěte. V posledních letech však dochází k podstatnému snižování </w:t>
      </w:r>
      <w:r>
        <w:lastRenderedPageBreak/>
        <w:t>podílu vícečetných porodů až na 1,49 % v roce 2015, za kterým pravděpodobně stojí částečně i legislativa</w:t>
      </w:r>
      <w:r>
        <w:rPr>
          <w:rStyle w:val="Znakapoznpodarou"/>
        </w:rPr>
        <w:footnoteReference w:id="1"/>
      </w:r>
      <w:r>
        <w:t>, která motivuje ženu k rozhodnutí o přenosu pouze jednoho embrya při umělém oplodnění.</w:t>
      </w:r>
    </w:p>
    <w:p w:rsidR="009F5537" w:rsidRDefault="009F5537" w:rsidP="009F5537">
      <w:pPr>
        <w:spacing w:after="60"/>
      </w:pPr>
      <w:r w:rsidRPr="00332190">
        <w:rPr>
          <w:rFonts w:cs="Arial"/>
          <w:b/>
          <w:szCs w:val="20"/>
        </w:rPr>
        <w:t xml:space="preserve">Tab. </w:t>
      </w:r>
      <w:r>
        <w:rPr>
          <w:rFonts w:cs="Arial"/>
          <w:b/>
          <w:szCs w:val="20"/>
        </w:rPr>
        <w:t xml:space="preserve">2 </w:t>
      </w:r>
      <w:r w:rsidRPr="00C440D8">
        <w:rPr>
          <w:rFonts w:cs="Arial"/>
          <w:b/>
          <w:szCs w:val="20"/>
        </w:rPr>
        <w:t>Porody podle četnosti v letech 2005–2015</w:t>
      </w:r>
    </w:p>
    <w:tbl>
      <w:tblPr>
        <w:tblW w:w="9639" w:type="dxa"/>
        <w:tblCellMar>
          <w:left w:w="70" w:type="dxa"/>
          <w:right w:w="70" w:type="dxa"/>
        </w:tblCellMar>
        <w:tblLook w:val="04A0" w:firstRow="1" w:lastRow="0" w:firstColumn="1" w:lastColumn="0" w:noHBand="0" w:noVBand="1"/>
      </w:tblPr>
      <w:tblGrid>
        <w:gridCol w:w="1049"/>
        <w:gridCol w:w="1718"/>
        <w:gridCol w:w="1718"/>
        <w:gridCol w:w="1718"/>
        <w:gridCol w:w="1718"/>
        <w:gridCol w:w="1718"/>
      </w:tblGrid>
      <w:tr w:rsidR="009F5537" w:rsidRPr="00C440D8" w:rsidTr="00305387">
        <w:trPr>
          <w:trHeight w:val="240"/>
        </w:trPr>
        <w:tc>
          <w:tcPr>
            <w:tcW w:w="880"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C440D8" w:rsidRDefault="009F5537" w:rsidP="00305387">
            <w:pPr>
              <w:spacing w:after="0" w:line="240" w:lineRule="auto"/>
              <w:jc w:val="center"/>
              <w:rPr>
                <w:rFonts w:cs="Arial"/>
                <w:b/>
                <w:bCs/>
                <w:sz w:val="16"/>
                <w:szCs w:val="16"/>
              </w:rPr>
            </w:pPr>
            <w:r w:rsidRPr="00C440D8">
              <w:rPr>
                <w:rFonts w:cs="Arial"/>
                <w:b/>
                <w:bCs/>
                <w:sz w:val="16"/>
                <w:szCs w:val="16"/>
              </w:rPr>
              <w:t>Rok</w:t>
            </w:r>
          </w:p>
        </w:tc>
        <w:tc>
          <w:tcPr>
            <w:tcW w:w="1440"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C440D8" w:rsidRDefault="009F5537" w:rsidP="00305387">
            <w:pPr>
              <w:spacing w:after="0" w:line="240" w:lineRule="auto"/>
              <w:jc w:val="center"/>
              <w:rPr>
                <w:rFonts w:cs="Arial"/>
                <w:b/>
                <w:bCs/>
                <w:sz w:val="16"/>
                <w:szCs w:val="16"/>
              </w:rPr>
            </w:pPr>
            <w:r w:rsidRPr="00C440D8">
              <w:rPr>
                <w:rFonts w:cs="Arial"/>
                <w:b/>
                <w:bCs/>
                <w:sz w:val="16"/>
                <w:szCs w:val="16"/>
              </w:rPr>
              <w:t>Porody celkem</w:t>
            </w:r>
          </w:p>
        </w:tc>
        <w:tc>
          <w:tcPr>
            <w:tcW w:w="4320" w:type="dxa"/>
            <w:gridSpan w:val="3"/>
            <w:tcBorders>
              <w:top w:val="single" w:sz="4" w:space="0" w:color="auto"/>
              <w:left w:val="nil"/>
              <w:bottom w:val="nil"/>
              <w:right w:val="single" w:sz="4" w:space="0" w:color="000000"/>
            </w:tcBorders>
            <w:shd w:val="clear" w:color="FFFFFF" w:fill="F5DADD"/>
            <w:noWrap/>
            <w:vAlign w:val="center"/>
            <w:hideMark/>
          </w:tcPr>
          <w:p w:rsidR="009F5537" w:rsidRPr="00C440D8" w:rsidRDefault="009F5537" w:rsidP="00305387">
            <w:pPr>
              <w:spacing w:after="0" w:line="240" w:lineRule="auto"/>
              <w:jc w:val="center"/>
              <w:rPr>
                <w:rFonts w:cs="Arial"/>
                <w:b/>
                <w:bCs/>
                <w:sz w:val="16"/>
                <w:szCs w:val="16"/>
              </w:rPr>
            </w:pPr>
            <w:r w:rsidRPr="00C440D8">
              <w:rPr>
                <w:rFonts w:cs="Arial"/>
                <w:b/>
                <w:bCs/>
                <w:sz w:val="16"/>
                <w:szCs w:val="16"/>
              </w:rPr>
              <w:t>Četnost</w:t>
            </w:r>
          </w:p>
        </w:tc>
        <w:tc>
          <w:tcPr>
            <w:tcW w:w="1440" w:type="dxa"/>
            <w:vMerge w:val="restart"/>
            <w:tcBorders>
              <w:top w:val="single" w:sz="4" w:space="0" w:color="auto"/>
              <w:left w:val="single" w:sz="4" w:space="0" w:color="auto"/>
              <w:bottom w:val="single" w:sz="4" w:space="0" w:color="000000"/>
              <w:right w:val="nil"/>
            </w:tcBorders>
            <w:shd w:val="clear" w:color="FFFFFF" w:fill="F5DADD"/>
            <w:vAlign w:val="center"/>
            <w:hideMark/>
          </w:tcPr>
          <w:p w:rsidR="009F5537" w:rsidRPr="00C440D8" w:rsidRDefault="009F5537" w:rsidP="00305387">
            <w:pPr>
              <w:spacing w:after="0" w:line="240" w:lineRule="auto"/>
              <w:jc w:val="center"/>
              <w:rPr>
                <w:rFonts w:cs="Arial"/>
                <w:sz w:val="16"/>
                <w:szCs w:val="16"/>
              </w:rPr>
            </w:pPr>
            <w:r w:rsidRPr="00C440D8">
              <w:rPr>
                <w:rFonts w:cs="Arial"/>
                <w:sz w:val="16"/>
                <w:szCs w:val="16"/>
              </w:rPr>
              <w:t>Podíl vícečetných porodů (</w:t>
            </w:r>
            <w:r>
              <w:rPr>
                <w:rFonts w:cs="Arial"/>
                <w:sz w:val="16"/>
                <w:szCs w:val="16"/>
              </w:rPr>
              <w:t xml:space="preserve">v </w:t>
            </w:r>
            <w:r w:rsidRPr="00C440D8">
              <w:rPr>
                <w:rFonts w:cs="Arial"/>
                <w:sz w:val="16"/>
                <w:szCs w:val="16"/>
              </w:rPr>
              <w:t>%)</w:t>
            </w:r>
          </w:p>
        </w:tc>
      </w:tr>
      <w:tr w:rsidR="009F5537" w:rsidRPr="00C440D8" w:rsidTr="00305387">
        <w:trPr>
          <w:trHeight w:val="240"/>
        </w:trPr>
        <w:tc>
          <w:tcPr>
            <w:tcW w:w="880" w:type="dxa"/>
            <w:vMerge/>
            <w:tcBorders>
              <w:top w:val="single" w:sz="4" w:space="0" w:color="auto"/>
              <w:left w:val="nil"/>
              <w:bottom w:val="single" w:sz="4" w:space="0" w:color="000000"/>
              <w:right w:val="single" w:sz="4" w:space="0" w:color="auto"/>
            </w:tcBorders>
            <w:vAlign w:val="center"/>
            <w:hideMark/>
          </w:tcPr>
          <w:p w:rsidR="009F5537" w:rsidRPr="00C440D8" w:rsidRDefault="009F5537" w:rsidP="00305387">
            <w:pPr>
              <w:spacing w:after="0" w:line="240" w:lineRule="auto"/>
              <w:rPr>
                <w:rFonts w:cs="Arial"/>
                <w:b/>
                <w:bCs/>
                <w:sz w:val="16"/>
                <w:szCs w:val="16"/>
              </w:rPr>
            </w:pPr>
          </w:p>
        </w:tc>
        <w:tc>
          <w:tcPr>
            <w:tcW w:w="1440" w:type="dxa"/>
            <w:vMerge/>
            <w:tcBorders>
              <w:top w:val="single" w:sz="4" w:space="0" w:color="auto"/>
              <w:left w:val="nil"/>
              <w:bottom w:val="single" w:sz="4" w:space="0" w:color="000000"/>
              <w:right w:val="single" w:sz="4" w:space="0" w:color="auto"/>
            </w:tcBorders>
            <w:vAlign w:val="center"/>
            <w:hideMark/>
          </w:tcPr>
          <w:p w:rsidR="009F5537" w:rsidRPr="00C440D8" w:rsidRDefault="009F5537" w:rsidP="00305387">
            <w:pPr>
              <w:spacing w:after="0" w:line="240" w:lineRule="auto"/>
              <w:rPr>
                <w:rFonts w:cs="Arial"/>
                <w:b/>
                <w:bCs/>
                <w:sz w:val="16"/>
                <w:szCs w:val="16"/>
              </w:rPr>
            </w:pPr>
          </w:p>
        </w:tc>
        <w:tc>
          <w:tcPr>
            <w:tcW w:w="1440" w:type="dxa"/>
            <w:tcBorders>
              <w:top w:val="single" w:sz="4" w:space="0" w:color="auto"/>
              <w:left w:val="nil"/>
              <w:bottom w:val="single" w:sz="4" w:space="0" w:color="auto"/>
              <w:right w:val="single" w:sz="4" w:space="0" w:color="auto"/>
            </w:tcBorders>
            <w:shd w:val="clear" w:color="FFFFFF" w:fill="F5DADD"/>
            <w:vAlign w:val="center"/>
            <w:hideMark/>
          </w:tcPr>
          <w:p w:rsidR="009F5537" w:rsidRPr="00C440D8" w:rsidRDefault="009F5537" w:rsidP="00305387">
            <w:pPr>
              <w:spacing w:after="0" w:line="240" w:lineRule="auto"/>
              <w:jc w:val="center"/>
              <w:rPr>
                <w:rFonts w:cs="Arial"/>
                <w:sz w:val="16"/>
                <w:szCs w:val="16"/>
              </w:rPr>
            </w:pPr>
            <w:r w:rsidRPr="00C440D8">
              <w:rPr>
                <w:rFonts w:cs="Arial"/>
                <w:sz w:val="16"/>
                <w:szCs w:val="16"/>
              </w:rPr>
              <w:t>jednočetné</w:t>
            </w:r>
          </w:p>
        </w:tc>
        <w:tc>
          <w:tcPr>
            <w:tcW w:w="1440" w:type="dxa"/>
            <w:tcBorders>
              <w:top w:val="single" w:sz="4" w:space="0" w:color="auto"/>
              <w:left w:val="nil"/>
              <w:bottom w:val="single" w:sz="4" w:space="0" w:color="auto"/>
              <w:right w:val="nil"/>
            </w:tcBorders>
            <w:shd w:val="clear" w:color="FFFFFF" w:fill="F5DADD"/>
            <w:vAlign w:val="center"/>
            <w:hideMark/>
          </w:tcPr>
          <w:p w:rsidR="009F5537" w:rsidRPr="00C440D8" w:rsidRDefault="009F5537" w:rsidP="00305387">
            <w:pPr>
              <w:spacing w:after="0" w:line="240" w:lineRule="auto"/>
              <w:jc w:val="center"/>
              <w:rPr>
                <w:rFonts w:cs="Arial"/>
                <w:sz w:val="16"/>
                <w:szCs w:val="16"/>
              </w:rPr>
            </w:pPr>
            <w:r w:rsidRPr="00C440D8">
              <w:rPr>
                <w:rFonts w:cs="Arial"/>
                <w:sz w:val="16"/>
                <w:szCs w:val="16"/>
              </w:rPr>
              <w:t>dvojčetné</w:t>
            </w:r>
          </w:p>
        </w:tc>
        <w:tc>
          <w:tcPr>
            <w:tcW w:w="1440" w:type="dxa"/>
            <w:tcBorders>
              <w:top w:val="single" w:sz="4" w:space="0" w:color="auto"/>
              <w:left w:val="single" w:sz="4" w:space="0" w:color="auto"/>
              <w:bottom w:val="single" w:sz="4" w:space="0" w:color="auto"/>
              <w:right w:val="single" w:sz="4" w:space="0" w:color="auto"/>
            </w:tcBorders>
            <w:shd w:val="clear" w:color="FFFFFF" w:fill="F5DADD"/>
            <w:vAlign w:val="center"/>
            <w:hideMark/>
          </w:tcPr>
          <w:p w:rsidR="009F5537" w:rsidRPr="00C440D8" w:rsidRDefault="009F5537" w:rsidP="00305387">
            <w:pPr>
              <w:spacing w:after="0" w:line="240" w:lineRule="auto"/>
              <w:jc w:val="center"/>
              <w:rPr>
                <w:rFonts w:cs="Arial"/>
                <w:sz w:val="16"/>
                <w:szCs w:val="16"/>
              </w:rPr>
            </w:pPr>
            <w:r w:rsidRPr="00C440D8">
              <w:rPr>
                <w:rFonts w:cs="Arial"/>
                <w:sz w:val="16"/>
                <w:szCs w:val="16"/>
              </w:rPr>
              <w:t>troj a vícečetné</w:t>
            </w:r>
          </w:p>
        </w:tc>
        <w:tc>
          <w:tcPr>
            <w:tcW w:w="1440" w:type="dxa"/>
            <w:vMerge/>
            <w:tcBorders>
              <w:top w:val="single" w:sz="4" w:space="0" w:color="auto"/>
              <w:left w:val="single" w:sz="4" w:space="0" w:color="auto"/>
              <w:bottom w:val="single" w:sz="4" w:space="0" w:color="000000"/>
              <w:right w:val="nil"/>
            </w:tcBorders>
            <w:vAlign w:val="center"/>
            <w:hideMark/>
          </w:tcPr>
          <w:p w:rsidR="009F5537" w:rsidRPr="00C440D8" w:rsidRDefault="009F5537" w:rsidP="00305387">
            <w:pPr>
              <w:spacing w:after="0" w:line="240" w:lineRule="auto"/>
              <w:rPr>
                <w:rFonts w:cs="Arial"/>
                <w:sz w:val="16"/>
                <w:szCs w:val="16"/>
              </w:rPr>
            </w:pPr>
          </w:p>
        </w:tc>
      </w:tr>
      <w:tr w:rsidR="009F5537" w:rsidRPr="00C440D8"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2005</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100 546</w:t>
            </w:r>
          </w:p>
        </w:tc>
        <w:tc>
          <w:tcPr>
            <w:tcW w:w="1440" w:type="dxa"/>
            <w:tcBorders>
              <w:top w:val="nil"/>
              <w:left w:val="nil"/>
              <w:bottom w:val="nil"/>
              <w:right w:val="single" w:sz="4" w:space="0" w:color="auto"/>
            </w:tcBorders>
            <w:shd w:val="clear" w:color="FFFFFF" w:fill="FFFFFF"/>
            <w:noWrap/>
            <w:tcMar>
              <w:right w:w="567"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98 607</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1 926</w:t>
            </w:r>
          </w:p>
        </w:tc>
        <w:tc>
          <w:tcPr>
            <w:tcW w:w="1440" w:type="dxa"/>
            <w:tcBorders>
              <w:top w:val="nil"/>
              <w:left w:val="nil"/>
              <w:bottom w:val="nil"/>
              <w:right w:val="nil"/>
            </w:tcBorders>
            <w:shd w:val="clear" w:color="FFFFFF" w:fill="FFFFFF"/>
            <w:noWrap/>
            <w:tcMar>
              <w:right w:w="794"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13</w:t>
            </w:r>
          </w:p>
        </w:tc>
        <w:tc>
          <w:tcPr>
            <w:tcW w:w="1440" w:type="dxa"/>
            <w:tcBorders>
              <w:top w:val="nil"/>
              <w:left w:val="single" w:sz="4" w:space="0" w:color="auto"/>
              <w:bottom w:val="nil"/>
              <w:right w:val="nil"/>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1,93</w:t>
            </w:r>
          </w:p>
        </w:tc>
      </w:tr>
      <w:tr w:rsidR="009F5537" w:rsidRPr="00C440D8"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2006</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103 985</w:t>
            </w:r>
          </w:p>
        </w:tc>
        <w:tc>
          <w:tcPr>
            <w:tcW w:w="1440" w:type="dxa"/>
            <w:tcBorders>
              <w:top w:val="nil"/>
              <w:left w:val="nil"/>
              <w:bottom w:val="nil"/>
              <w:right w:val="single" w:sz="4" w:space="0" w:color="auto"/>
            </w:tcBorders>
            <w:shd w:val="clear" w:color="FFFFFF" w:fill="FFFFFF"/>
            <w:noWrap/>
            <w:tcMar>
              <w:right w:w="567"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101 855</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2 115</w:t>
            </w:r>
          </w:p>
        </w:tc>
        <w:tc>
          <w:tcPr>
            <w:tcW w:w="1440" w:type="dxa"/>
            <w:tcBorders>
              <w:top w:val="nil"/>
              <w:left w:val="nil"/>
              <w:bottom w:val="nil"/>
              <w:right w:val="nil"/>
            </w:tcBorders>
            <w:shd w:val="clear" w:color="FFFFFF" w:fill="FFFFFF"/>
            <w:noWrap/>
            <w:tcMar>
              <w:right w:w="794"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15</w:t>
            </w:r>
          </w:p>
        </w:tc>
        <w:tc>
          <w:tcPr>
            <w:tcW w:w="1440" w:type="dxa"/>
            <w:tcBorders>
              <w:top w:val="nil"/>
              <w:left w:val="single" w:sz="4" w:space="0" w:color="auto"/>
              <w:bottom w:val="nil"/>
              <w:right w:val="nil"/>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2,05</w:t>
            </w:r>
          </w:p>
        </w:tc>
      </w:tr>
      <w:tr w:rsidR="009F5537" w:rsidRPr="00C440D8"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2007</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112 605</w:t>
            </w:r>
          </w:p>
        </w:tc>
        <w:tc>
          <w:tcPr>
            <w:tcW w:w="1440" w:type="dxa"/>
            <w:tcBorders>
              <w:top w:val="nil"/>
              <w:left w:val="nil"/>
              <w:bottom w:val="nil"/>
              <w:right w:val="single" w:sz="4" w:space="0" w:color="auto"/>
            </w:tcBorders>
            <w:shd w:val="clear" w:color="FFFFFF" w:fill="FFFFFF"/>
            <w:noWrap/>
            <w:tcMar>
              <w:right w:w="567"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110 285</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2 298</w:t>
            </w:r>
          </w:p>
        </w:tc>
        <w:tc>
          <w:tcPr>
            <w:tcW w:w="1440" w:type="dxa"/>
            <w:tcBorders>
              <w:top w:val="nil"/>
              <w:left w:val="nil"/>
              <w:bottom w:val="nil"/>
              <w:right w:val="nil"/>
            </w:tcBorders>
            <w:shd w:val="clear" w:color="FFFFFF" w:fill="FFFFFF"/>
            <w:noWrap/>
            <w:tcMar>
              <w:right w:w="794"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22</w:t>
            </w:r>
          </w:p>
        </w:tc>
        <w:tc>
          <w:tcPr>
            <w:tcW w:w="1440" w:type="dxa"/>
            <w:tcBorders>
              <w:top w:val="nil"/>
              <w:left w:val="single" w:sz="4" w:space="0" w:color="auto"/>
              <w:bottom w:val="nil"/>
              <w:right w:val="nil"/>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2,06</w:t>
            </w:r>
          </w:p>
        </w:tc>
      </w:tr>
      <w:tr w:rsidR="009F5537" w:rsidRPr="00C440D8"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2008</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117 429</w:t>
            </w:r>
          </w:p>
        </w:tc>
        <w:tc>
          <w:tcPr>
            <w:tcW w:w="1440" w:type="dxa"/>
            <w:tcBorders>
              <w:top w:val="nil"/>
              <w:left w:val="nil"/>
              <w:bottom w:val="nil"/>
              <w:right w:val="single" w:sz="4" w:space="0" w:color="auto"/>
            </w:tcBorders>
            <w:shd w:val="clear" w:color="FFFFFF" w:fill="FFFFFF"/>
            <w:noWrap/>
            <w:tcMar>
              <w:right w:w="567"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115 032</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2 381</w:t>
            </w:r>
          </w:p>
        </w:tc>
        <w:tc>
          <w:tcPr>
            <w:tcW w:w="1440" w:type="dxa"/>
            <w:tcBorders>
              <w:top w:val="nil"/>
              <w:left w:val="nil"/>
              <w:bottom w:val="nil"/>
              <w:right w:val="nil"/>
            </w:tcBorders>
            <w:shd w:val="clear" w:color="FFFFFF" w:fill="FFFFFF"/>
            <w:noWrap/>
            <w:tcMar>
              <w:right w:w="794"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16</w:t>
            </w:r>
          </w:p>
        </w:tc>
        <w:tc>
          <w:tcPr>
            <w:tcW w:w="1440" w:type="dxa"/>
            <w:tcBorders>
              <w:top w:val="nil"/>
              <w:left w:val="single" w:sz="4" w:space="0" w:color="auto"/>
              <w:bottom w:val="nil"/>
              <w:right w:val="nil"/>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2,04</w:t>
            </w:r>
          </w:p>
        </w:tc>
      </w:tr>
      <w:tr w:rsidR="009F5537" w:rsidRPr="00C440D8"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2009</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116 261</w:t>
            </w:r>
          </w:p>
        </w:tc>
        <w:tc>
          <w:tcPr>
            <w:tcW w:w="1440" w:type="dxa"/>
            <w:tcBorders>
              <w:top w:val="nil"/>
              <w:left w:val="nil"/>
              <w:bottom w:val="nil"/>
              <w:right w:val="single" w:sz="4" w:space="0" w:color="auto"/>
            </w:tcBorders>
            <w:shd w:val="clear" w:color="FFFFFF" w:fill="FFFFFF"/>
            <w:noWrap/>
            <w:tcMar>
              <w:right w:w="567"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113 869</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2 378</w:t>
            </w:r>
          </w:p>
        </w:tc>
        <w:tc>
          <w:tcPr>
            <w:tcW w:w="1440" w:type="dxa"/>
            <w:tcBorders>
              <w:top w:val="nil"/>
              <w:left w:val="nil"/>
              <w:bottom w:val="nil"/>
              <w:right w:val="nil"/>
            </w:tcBorders>
            <w:shd w:val="clear" w:color="FFFFFF" w:fill="FFFFFF"/>
            <w:noWrap/>
            <w:tcMar>
              <w:right w:w="794"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14</w:t>
            </w:r>
          </w:p>
        </w:tc>
        <w:tc>
          <w:tcPr>
            <w:tcW w:w="1440" w:type="dxa"/>
            <w:tcBorders>
              <w:top w:val="nil"/>
              <w:left w:val="single" w:sz="4" w:space="0" w:color="auto"/>
              <w:bottom w:val="nil"/>
              <w:right w:val="nil"/>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2,06</w:t>
            </w:r>
          </w:p>
        </w:tc>
      </w:tr>
      <w:tr w:rsidR="009F5537" w:rsidRPr="00C440D8"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2010</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114 976</w:t>
            </w:r>
          </w:p>
        </w:tc>
        <w:tc>
          <w:tcPr>
            <w:tcW w:w="1440" w:type="dxa"/>
            <w:tcBorders>
              <w:top w:val="nil"/>
              <w:left w:val="nil"/>
              <w:bottom w:val="nil"/>
              <w:right w:val="single" w:sz="4" w:space="0" w:color="auto"/>
            </w:tcBorders>
            <w:shd w:val="clear" w:color="FFFFFF" w:fill="FFFFFF"/>
            <w:noWrap/>
            <w:tcMar>
              <w:right w:w="567"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112 518</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2 446</w:t>
            </w:r>
          </w:p>
        </w:tc>
        <w:tc>
          <w:tcPr>
            <w:tcW w:w="1440" w:type="dxa"/>
            <w:tcBorders>
              <w:top w:val="nil"/>
              <w:left w:val="nil"/>
              <w:bottom w:val="nil"/>
              <w:right w:val="nil"/>
            </w:tcBorders>
            <w:shd w:val="clear" w:color="FFFFFF" w:fill="FFFFFF"/>
            <w:noWrap/>
            <w:tcMar>
              <w:right w:w="794"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12</w:t>
            </w:r>
          </w:p>
        </w:tc>
        <w:tc>
          <w:tcPr>
            <w:tcW w:w="1440" w:type="dxa"/>
            <w:tcBorders>
              <w:top w:val="nil"/>
              <w:left w:val="single" w:sz="4" w:space="0" w:color="auto"/>
              <w:bottom w:val="nil"/>
              <w:right w:val="nil"/>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2,14</w:t>
            </w:r>
          </w:p>
        </w:tc>
      </w:tr>
      <w:tr w:rsidR="009F5537" w:rsidRPr="00C440D8"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2011</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106 921</w:t>
            </w:r>
          </w:p>
        </w:tc>
        <w:tc>
          <w:tcPr>
            <w:tcW w:w="1440" w:type="dxa"/>
            <w:tcBorders>
              <w:top w:val="nil"/>
              <w:left w:val="nil"/>
              <w:bottom w:val="nil"/>
              <w:right w:val="single" w:sz="4" w:space="0" w:color="auto"/>
            </w:tcBorders>
            <w:shd w:val="clear" w:color="FFFFFF" w:fill="FFFFFF"/>
            <w:noWrap/>
            <w:tcMar>
              <w:right w:w="567"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104 862</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2 049</w:t>
            </w:r>
          </w:p>
        </w:tc>
        <w:tc>
          <w:tcPr>
            <w:tcW w:w="1440" w:type="dxa"/>
            <w:tcBorders>
              <w:top w:val="nil"/>
              <w:left w:val="nil"/>
              <w:bottom w:val="nil"/>
              <w:right w:val="nil"/>
            </w:tcBorders>
            <w:shd w:val="clear" w:color="FFFFFF" w:fill="FFFFFF"/>
            <w:noWrap/>
            <w:tcMar>
              <w:right w:w="794"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10</w:t>
            </w:r>
          </w:p>
        </w:tc>
        <w:tc>
          <w:tcPr>
            <w:tcW w:w="1440" w:type="dxa"/>
            <w:tcBorders>
              <w:top w:val="nil"/>
              <w:left w:val="single" w:sz="4" w:space="0" w:color="auto"/>
              <w:bottom w:val="nil"/>
              <w:right w:val="nil"/>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1,93</w:t>
            </w:r>
          </w:p>
        </w:tc>
      </w:tr>
      <w:tr w:rsidR="009F5537" w:rsidRPr="00C440D8"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2012</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106 952</w:t>
            </w:r>
          </w:p>
        </w:tc>
        <w:tc>
          <w:tcPr>
            <w:tcW w:w="1440" w:type="dxa"/>
            <w:tcBorders>
              <w:top w:val="nil"/>
              <w:left w:val="nil"/>
              <w:bottom w:val="nil"/>
              <w:right w:val="single" w:sz="4" w:space="0" w:color="auto"/>
            </w:tcBorders>
            <w:shd w:val="clear" w:color="FFFFFF" w:fill="FFFFFF"/>
            <w:noWrap/>
            <w:tcMar>
              <w:right w:w="567"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104 957</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1 987</w:t>
            </w:r>
          </w:p>
        </w:tc>
        <w:tc>
          <w:tcPr>
            <w:tcW w:w="1440" w:type="dxa"/>
            <w:tcBorders>
              <w:top w:val="nil"/>
              <w:left w:val="nil"/>
              <w:bottom w:val="nil"/>
              <w:right w:val="nil"/>
            </w:tcBorders>
            <w:shd w:val="clear" w:color="FFFFFF" w:fill="FFFFFF"/>
            <w:noWrap/>
            <w:tcMar>
              <w:right w:w="794"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8</w:t>
            </w:r>
          </w:p>
        </w:tc>
        <w:tc>
          <w:tcPr>
            <w:tcW w:w="1440" w:type="dxa"/>
            <w:tcBorders>
              <w:top w:val="nil"/>
              <w:left w:val="single" w:sz="4" w:space="0" w:color="auto"/>
              <w:bottom w:val="nil"/>
              <w:right w:val="nil"/>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1,87</w:t>
            </w:r>
          </w:p>
        </w:tc>
      </w:tr>
      <w:tr w:rsidR="009F5537" w:rsidRPr="00C440D8"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2013</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105 310</w:t>
            </w:r>
          </w:p>
        </w:tc>
        <w:tc>
          <w:tcPr>
            <w:tcW w:w="1440" w:type="dxa"/>
            <w:tcBorders>
              <w:top w:val="nil"/>
              <w:left w:val="nil"/>
              <w:bottom w:val="nil"/>
              <w:right w:val="single" w:sz="4" w:space="0" w:color="auto"/>
            </w:tcBorders>
            <w:shd w:val="clear" w:color="FFFFFF" w:fill="FFFFFF"/>
            <w:noWrap/>
            <w:tcMar>
              <w:right w:w="567"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103 518</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1 779</w:t>
            </w:r>
          </w:p>
        </w:tc>
        <w:tc>
          <w:tcPr>
            <w:tcW w:w="1440" w:type="dxa"/>
            <w:tcBorders>
              <w:top w:val="nil"/>
              <w:left w:val="nil"/>
              <w:bottom w:val="nil"/>
              <w:right w:val="nil"/>
            </w:tcBorders>
            <w:shd w:val="clear" w:color="FFFFFF" w:fill="FFFFFF"/>
            <w:noWrap/>
            <w:tcMar>
              <w:right w:w="794"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13</w:t>
            </w:r>
          </w:p>
        </w:tc>
        <w:tc>
          <w:tcPr>
            <w:tcW w:w="1440" w:type="dxa"/>
            <w:tcBorders>
              <w:top w:val="nil"/>
              <w:left w:val="single" w:sz="4" w:space="0" w:color="auto"/>
              <w:bottom w:val="nil"/>
              <w:right w:val="nil"/>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1,70</w:t>
            </w:r>
          </w:p>
        </w:tc>
      </w:tr>
      <w:tr w:rsidR="009F5537" w:rsidRPr="00C440D8"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2014</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108 547</w:t>
            </w:r>
          </w:p>
        </w:tc>
        <w:tc>
          <w:tcPr>
            <w:tcW w:w="1440" w:type="dxa"/>
            <w:tcBorders>
              <w:top w:val="nil"/>
              <w:left w:val="nil"/>
              <w:bottom w:val="nil"/>
              <w:right w:val="single" w:sz="4" w:space="0" w:color="auto"/>
            </w:tcBorders>
            <w:shd w:val="clear" w:color="FFFFFF" w:fill="FFFFFF"/>
            <w:noWrap/>
            <w:tcMar>
              <w:right w:w="567"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106 853</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1 683</w:t>
            </w:r>
          </w:p>
        </w:tc>
        <w:tc>
          <w:tcPr>
            <w:tcW w:w="1440" w:type="dxa"/>
            <w:tcBorders>
              <w:top w:val="nil"/>
              <w:left w:val="nil"/>
              <w:bottom w:val="nil"/>
              <w:right w:val="nil"/>
            </w:tcBorders>
            <w:shd w:val="clear" w:color="FFFFFF" w:fill="FFFFFF"/>
            <w:noWrap/>
            <w:tcMar>
              <w:right w:w="794"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11</w:t>
            </w:r>
          </w:p>
        </w:tc>
        <w:tc>
          <w:tcPr>
            <w:tcW w:w="1440" w:type="dxa"/>
            <w:tcBorders>
              <w:top w:val="nil"/>
              <w:left w:val="single" w:sz="4" w:space="0" w:color="auto"/>
              <w:bottom w:val="nil"/>
              <w:right w:val="nil"/>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1,56</w:t>
            </w:r>
          </w:p>
        </w:tc>
      </w:tr>
      <w:tr w:rsidR="009F5537" w:rsidRPr="00C440D8"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2015</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109 519</w:t>
            </w:r>
          </w:p>
        </w:tc>
        <w:tc>
          <w:tcPr>
            <w:tcW w:w="1440" w:type="dxa"/>
            <w:tcBorders>
              <w:top w:val="nil"/>
              <w:left w:val="nil"/>
              <w:bottom w:val="nil"/>
              <w:right w:val="single" w:sz="4" w:space="0" w:color="auto"/>
            </w:tcBorders>
            <w:shd w:val="clear" w:color="FFFFFF" w:fill="FFFFFF"/>
            <w:noWrap/>
            <w:tcMar>
              <w:right w:w="567"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107 889</w:t>
            </w:r>
          </w:p>
        </w:tc>
        <w:tc>
          <w:tcPr>
            <w:tcW w:w="1440" w:type="dxa"/>
            <w:tcBorders>
              <w:top w:val="nil"/>
              <w:left w:val="nil"/>
              <w:bottom w:val="nil"/>
              <w:right w:val="single" w:sz="4" w:space="0" w:color="auto"/>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1 617</w:t>
            </w:r>
          </w:p>
        </w:tc>
        <w:tc>
          <w:tcPr>
            <w:tcW w:w="1440" w:type="dxa"/>
            <w:tcBorders>
              <w:top w:val="nil"/>
              <w:left w:val="nil"/>
              <w:bottom w:val="nil"/>
              <w:right w:val="nil"/>
            </w:tcBorders>
            <w:shd w:val="clear" w:color="FFFFFF" w:fill="FFFFFF"/>
            <w:noWrap/>
            <w:tcMar>
              <w:right w:w="794" w:type="dxa"/>
            </w:tcMar>
            <w:vAlign w:val="bottom"/>
            <w:hideMark/>
          </w:tcPr>
          <w:p w:rsidR="009F5537" w:rsidRPr="00C440D8" w:rsidRDefault="009F5537" w:rsidP="00305387">
            <w:pPr>
              <w:spacing w:after="0" w:line="240" w:lineRule="auto"/>
              <w:jc w:val="right"/>
              <w:rPr>
                <w:rFonts w:cs="Arial"/>
                <w:sz w:val="16"/>
                <w:szCs w:val="16"/>
              </w:rPr>
            </w:pPr>
            <w:r w:rsidRPr="00C440D8">
              <w:rPr>
                <w:rFonts w:cs="Arial"/>
                <w:sz w:val="16"/>
                <w:szCs w:val="16"/>
              </w:rPr>
              <w:t>13</w:t>
            </w:r>
          </w:p>
        </w:tc>
        <w:tc>
          <w:tcPr>
            <w:tcW w:w="1440" w:type="dxa"/>
            <w:tcBorders>
              <w:top w:val="nil"/>
              <w:left w:val="single" w:sz="4" w:space="0" w:color="auto"/>
              <w:bottom w:val="nil"/>
              <w:right w:val="nil"/>
            </w:tcBorders>
            <w:shd w:val="clear" w:color="FFFFFF" w:fill="FFFFFF"/>
            <w:noWrap/>
            <w:vAlign w:val="bottom"/>
            <w:hideMark/>
          </w:tcPr>
          <w:p w:rsidR="009F5537" w:rsidRPr="00C440D8" w:rsidRDefault="009F5537" w:rsidP="00305387">
            <w:pPr>
              <w:spacing w:after="0" w:line="240" w:lineRule="auto"/>
              <w:jc w:val="center"/>
              <w:rPr>
                <w:rFonts w:cs="Arial"/>
                <w:sz w:val="16"/>
                <w:szCs w:val="16"/>
              </w:rPr>
            </w:pPr>
            <w:r w:rsidRPr="00C440D8">
              <w:rPr>
                <w:rFonts w:cs="Arial"/>
                <w:sz w:val="16"/>
                <w:szCs w:val="16"/>
              </w:rPr>
              <w:t>1,49</w:t>
            </w:r>
          </w:p>
        </w:tc>
      </w:tr>
    </w:tbl>
    <w:p w:rsidR="009F5537" w:rsidRDefault="009F5537" w:rsidP="009F5537">
      <w:pPr>
        <w:spacing w:after="0"/>
      </w:pPr>
    </w:p>
    <w:p w:rsidR="009F5537" w:rsidRPr="0018715D" w:rsidRDefault="009F5537" w:rsidP="009F5537">
      <w:r w:rsidRPr="00437AAD">
        <w:rPr>
          <w:rFonts w:cs="Arial"/>
          <w:szCs w:val="20"/>
        </w:rPr>
        <w:t>Podíl vícečetných porodů</w:t>
      </w:r>
      <w:r>
        <w:rPr>
          <w:rFonts w:cs="Arial"/>
          <w:szCs w:val="20"/>
        </w:rPr>
        <w:t xml:space="preserve"> spíše rostl s věkem matky, ale zatímco v letech 2005 a 2010 dosáhl vrcholu ve věkové kategorii 30–39 let a u žen ve věku 40 let a více byl již o něco nižší (zdravotní pojišťovny hradí 4 cykly umělého </w:t>
      </w:r>
      <w:r w:rsidRPr="0018715D">
        <w:t>oplodnění do věku 39 let), tak v roce 2015 stoupal směrem ke starším věkovým kategoriím bez výjimky.</w:t>
      </w:r>
      <w:r>
        <w:t xml:space="preserve"> V případě žen 40letých a starších dosáhl podíl vícečetných porodů 2,3 %, zatímco u nejmladší kategorie žen ve věku 19 let a méně bylo zastoupení vícečetných porodů pouze 0,8 %. </w:t>
      </w:r>
      <w:r w:rsidRPr="0018715D">
        <w:t xml:space="preserve"> </w:t>
      </w:r>
    </w:p>
    <w:p w:rsidR="009F5537" w:rsidRDefault="009F5537" w:rsidP="009F5537">
      <w:pPr>
        <w:spacing w:after="60"/>
        <w:rPr>
          <w:rFonts w:cs="Arial"/>
          <w:b/>
          <w:szCs w:val="20"/>
        </w:rPr>
      </w:pPr>
      <w:r>
        <w:rPr>
          <w:noProof/>
        </w:rPr>
        <w:pict>
          <v:shape id="_x0000_s1027" type="#_x0000_t75" style="position:absolute;margin-left:.6pt;margin-top:27.5pt;width:425.25pt;height:227.25pt;z-index:1;mso-position-horizontal-relative:text;mso-position-vertical-relative:text;mso-width-relative:page;mso-height-relative:page">
            <v:imagedata r:id="rId9" o:title=""/>
          </v:shape>
        </w:pict>
      </w:r>
      <w:r>
        <w:rPr>
          <w:rFonts w:cs="Arial"/>
          <w:b/>
          <w:szCs w:val="20"/>
        </w:rPr>
        <w:t>Graf</w:t>
      </w:r>
      <w:r w:rsidRPr="00332190">
        <w:rPr>
          <w:rFonts w:cs="Arial"/>
          <w:b/>
          <w:szCs w:val="20"/>
        </w:rPr>
        <w:t xml:space="preserve"> </w:t>
      </w:r>
      <w:r>
        <w:rPr>
          <w:rFonts w:cs="Arial"/>
          <w:b/>
          <w:szCs w:val="20"/>
        </w:rPr>
        <w:t>1 Podíl vícečetných porodů na všech porodech podle věkové skupiny matky v letech</w:t>
      </w:r>
      <w:r w:rsidRPr="00C440D8">
        <w:rPr>
          <w:rFonts w:cs="Arial"/>
          <w:b/>
          <w:szCs w:val="20"/>
        </w:rPr>
        <w:t xml:space="preserve"> 2005</w:t>
      </w:r>
      <w:r>
        <w:rPr>
          <w:rFonts w:cs="Arial"/>
          <w:b/>
          <w:szCs w:val="20"/>
        </w:rPr>
        <w:t>, 2010 a 2015</w:t>
      </w: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pPr>
    </w:p>
    <w:p w:rsidR="009F5537" w:rsidRDefault="009F5537" w:rsidP="009F5537"/>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pStyle w:val="Nadpis2"/>
      </w:pPr>
      <w:bookmarkStart w:id="2" w:name="_Toc468110162"/>
      <w:r>
        <w:t>2.2 Pořadí narozených</w:t>
      </w:r>
      <w:bookmarkEnd w:id="2"/>
    </w:p>
    <w:p w:rsidR="009F5537" w:rsidRPr="00293C4F" w:rsidRDefault="009F5537" w:rsidP="009F5537">
      <w:pPr>
        <w:spacing w:after="200"/>
        <w:rPr>
          <w:rFonts w:cs="Arial"/>
          <w:szCs w:val="20"/>
        </w:rPr>
      </w:pPr>
      <w:r>
        <w:rPr>
          <w:rFonts w:cs="Arial"/>
          <w:szCs w:val="20"/>
        </w:rPr>
        <w:t xml:space="preserve">Struktura živě narozených podle pořadí narození se ve sledovaných letech příliš nezměnila. Podíl narozených prvního pořadí se pohyboval v rozmezí 46,4 % – 49,0 %, přičemž nejvyšších hodnot dosahoval v letech 2005 a 2006, kdy byl počet živě narozených dětí nejnižší. Živě narození druhého pořadí se podíleli na všech živě narozených z 36,9 % – 38,9 % v období 2005–2015 s nejnižším podílem v letech 2005 a </w:t>
      </w:r>
      <w:r>
        <w:rPr>
          <w:rFonts w:cs="Arial"/>
          <w:szCs w:val="20"/>
        </w:rPr>
        <w:lastRenderedPageBreak/>
        <w:t xml:space="preserve">2006. Rozmezí podílu u třetího a vyššího pořadí bylo 14,0 % – 15,1 %, opět s nejnižšími hodnotami v rocích na začátku sledovaného období. </w:t>
      </w:r>
    </w:p>
    <w:p w:rsidR="009F5537" w:rsidRDefault="009F5537" w:rsidP="009F5537">
      <w:pPr>
        <w:spacing w:after="60"/>
      </w:pPr>
      <w:r w:rsidRPr="00332190">
        <w:rPr>
          <w:rFonts w:cs="Arial"/>
          <w:b/>
          <w:szCs w:val="20"/>
        </w:rPr>
        <w:t xml:space="preserve">Tab. </w:t>
      </w:r>
      <w:r>
        <w:rPr>
          <w:rFonts w:cs="Arial"/>
          <w:b/>
          <w:szCs w:val="20"/>
        </w:rPr>
        <w:t xml:space="preserve">3 </w:t>
      </w:r>
      <w:r w:rsidRPr="00430E7E">
        <w:rPr>
          <w:rFonts w:cs="Arial"/>
          <w:b/>
          <w:szCs w:val="20"/>
        </w:rPr>
        <w:t>Živě narození podle pořadí narození v letech 2005–2015</w:t>
      </w:r>
    </w:p>
    <w:tbl>
      <w:tblPr>
        <w:tblW w:w="9639" w:type="dxa"/>
        <w:tblCellMar>
          <w:left w:w="70" w:type="dxa"/>
          <w:right w:w="70" w:type="dxa"/>
        </w:tblCellMar>
        <w:tblLook w:val="04A0" w:firstRow="1" w:lastRow="0" w:firstColumn="1" w:lastColumn="0" w:noHBand="0" w:noVBand="1"/>
      </w:tblPr>
      <w:tblGrid>
        <w:gridCol w:w="840"/>
        <w:gridCol w:w="1276"/>
        <w:gridCol w:w="1277"/>
        <w:gridCol w:w="1277"/>
        <w:gridCol w:w="1277"/>
        <w:gridCol w:w="1277"/>
        <w:gridCol w:w="1277"/>
        <w:gridCol w:w="1277"/>
      </w:tblGrid>
      <w:tr w:rsidR="009F5537" w:rsidRPr="00430E7E" w:rsidTr="00305387">
        <w:trPr>
          <w:trHeight w:val="240"/>
        </w:trPr>
        <w:tc>
          <w:tcPr>
            <w:tcW w:w="880"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430E7E" w:rsidRDefault="009F5537" w:rsidP="00305387">
            <w:pPr>
              <w:spacing w:after="0" w:line="240" w:lineRule="auto"/>
              <w:jc w:val="center"/>
              <w:rPr>
                <w:rFonts w:cs="Arial"/>
                <w:b/>
                <w:bCs/>
                <w:sz w:val="16"/>
                <w:szCs w:val="16"/>
              </w:rPr>
            </w:pPr>
            <w:r w:rsidRPr="00430E7E">
              <w:rPr>
                <w:rFonts w:cs="Arial"/>
                <w:b/>
                <w:bCs/>
                <w:sz w:val="16"/>
                <w:szCs w:val="16"/>
              </w:rPr>
              <w:t>Rok</w:t>
            </w:r>
          </w:p>
        </w:tc>
        <w:tc>
          <w:tcPr>
            <w:tcW w:w="1340"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430E7E" w:rsidRDefault="009F5537" w:rsidP="00305387">
            <w:pPr>
              <w:spacing w:after="0" w:line="240" w:lineRule="auto"/>
              <w:jc w:val="center"/>
              <w:rPr>
                <w:rFonts w:cs="Arial"/>
                <w:b/>
                <w:bCs/>
                <w:sz w:val="16"/>
                <w:szCs w:val="16"/>
              </w:rPr>
            </w:pPr>
            <w:r w:rsidRPr="00430E7E">
              <w:rPr>
                <w:rFonts w:cs="Arial"/>
                <w:b/>
                <w:bCs/>
                <w:sz w:val="16"/>
                <w:szCs w:val="16"/>
              </w:rPr>
              <w:t>Živě narození celkem</w:t>
            </w:r>
          </w:p>
        </w:tc>
        <w:tc>
          <w:tcPr>
            <w:tcW w:w="4020" w:type="dxa"/>
            <w:gridSpan w:val="3"/>
            <w:tcBorders>
              <w:top w:val="single" w:sz="4" w:space="0" w:color="auto"/>
              <w:left w:val="nil"/>
              <w:bottom w:val="nil"/>
              <w:right w:val="single" w:sz="4" w:space="0" w:color="000000"/>
            </w:tcBorders>
            <w:shd w:val="clear" w:color="FFFFFF" w:fill="F5DADD"/>
            <w:noWrap/>
            <w:vAlign w:val="center"/>
            <w:hideMark/>
          </w:tcPr>
          <w:p w:rsidR="009F5537" w:rsidRPr="00430E7E" w:rsidRDefault="009F5537" w:rsidP="00305387">
            <w:pPr>
              <w:spacing w:after="0" w:line="240" w:lineRule="auto"/>
              <w:jc w:val="center"/>
              <w:rPr>
                <w:rFonts w:cs="Arial"/>
                <w:b/>
                <w:bCs/>
                <w:sz w:val="16"/>
                <w:szCs w:val="16"/>
              </w:rPr>
            </w:pPr>
            <w:r w:rsidRPr="00430E7E">
              <w:rPr>
                <w:rFonts w:cs="Arial"/>
                <w:b/>
                <w:bCs/>
                <w:sz w:val="16"/>
                <w:szCs w:val="16"/>
              </w:rPr>
              <w:t>Pořadí živě naroz</w:t>
            </w:r>
            <w:r>
              <w:rPr>
                <w:rFonts w:cs="Arial"/>
                <w:b/>
                <w:bCs/>
                <w:sz w:val="16"/>
                <w:szCs w:val="16"/>
              </w:rPr>
              <w:t>ených</w:t>
            </w:r>
          </w:p>
        </w:tc>
        <w:tc>
          <w:tcPr>
            <w:tcW w:w="4020" w:type="dxa"/>
            <w:gridSpan w:val="3"/>
            <w:tcBorders>
              <w:top w:val="single" w:sz="4" w:space="0" w:color="auto"/>
              <w:left w:val="nil"/>
              <w:bottom w:val="nil"/>
              <w:right w:val="nil"/>
            </w:tcBorders>
            <w:shd w:val="clear" w:color="FFFFFF" w:fill="F5DADD"/>
            <w:noWrap/>
            <w:vAlign w:val="center"/>
            <w:hideMark/>
          </w:tcPr>
          <w:p w:rsidR="009F5537" w:rsidRPr="00430E7E" w:rsidRDefault="009F5537" w:rsidP="00305387">
            <w:pPr>
              <w:spacing w:after="0" w:line="240" w:lineRule="auto"/>
              <w:jc w:val="center"/>
              <w:rPr>
                <w:rFonts w:cs="Arial"/>
                <w:b/>
                <w:bCs/>
                <w:sz w:val="16"/>
                <w:szCs w:val="16"/>
              </w:rPr>
            </w:pPr>
            <w:r w:rsidRPr="00430E7E">
              <w:rPr>
                <w:rFonts w:cs="Arial"/>
                <w:b/>
                <w:bCs/>
                <w:sz w:val="16"/>
                <w:szCs w:val="16"/>
              </w:rPr>
              <w:t>Pořadí živě narozených (v %)</w:t>
            </w:r>
          </w:p>
        </w:tc>
      </w:tr>
      <w:tr w:rsidR="009F5537" w:rsidRPr="00430E7E" w:rsidTr="00305387">
        <w:trPr>
          <w:trHeight w:val="240"/>
        </w:trPr>
        <w:tc>
          <w:tcPr>
            <w:tcW w:w="880" w:type="dxa"/>
            <w:vMerge/>
            <w:tcBorders>
              <w:top w:val="single" w:sz="4" w:space="0" w:color="auto"/>
              <w:left w:val="nil"/>
              <w:bottom w:val="single" w:sz="4" w:space="0" w:color="000000"/>
              <w:right w:val="single" w:sz="4" w:space="0" w:color="auto"/>
            </w:tcBorders>
            <w:vAlign w:val="center"/>
            <w:hideMark/>
          </w:tcPr>
          <w:p w:rsidR="009F5537" w:rsidRPr="00430E7E" w:rsidRDefault="009F5537" w:rsidP="00305387">
            <w:pPr>
              <w:spacing w:after="0" w:line="240" w:lineRule="auto"/>
              <w:rPr>
                <w:rFonts w:cs="Arial"/>
                <w:b/>
                <w:bCs/>
                <w:sz w:val="16"/>
                <w:szCs w:val="16"/>
              </w:rPr>
            </w:pPr>
          </w:p>
        </w:tc>
        <w:tc>
          <w:tcPr>
            <w:tcW w:w="1340" w:type="dxa"/>
            <w:vMerge/>
            <w:tcBorders>
              <w:top w:val="single" w:sz="4" w:space="0" w:color="auto"/>
              <w:left w:val="nil"/>
              <w:bottom w:val="single" w:sz="4" w:space="0" w:color="000000"/>
              <w:right w:val="single" w:sz="4" w:space="0" w:color="auto"/>
            </w:tcBorders>
            <w:vAlign w:val="center"/>
            <w:hideMark/>
          </w:tcPr>
          <w:p w:rsidR="009F5537" w:rsidRPr="00430E7E" w:rsidRDefault="009F5537" w:rsidP="00305387">
            <w:pPr>
              <w:spacing w:after="0" w:line="240" w:lineRule="auto"/>
              <w:rPr>
                <w:rFonts w:cs="Arial"/>
                <w:b/>
                <w:bCs/>
                <w:sz w:val="16"/>
                <w:szCs w:val="16"/>
              </w:rPr>
            </w:pPr>
          </w:p>
        </w:tc>
        <w:tc>
          <w:tcPr>
            <w:tcW w:w="1340" w:type="dxa"/>
            <w:tcBorders>
              <w:top w:val="single" w:sz="4" w:space="0" w:color="auto"/>
              <w:left w:val="nil"/>
              <w:bottom w:val="single" w:sz="4" w:space="0" w:color="auto"/>
              <w:right w:val="single" w:sz="4" w:space="0" w:color="auto"/>
            </w:tcBorders>
            <w:shd w:val="clear" w:color="FFFFFF" w:fill="F5DADD"/>
            <w:vAlign w:val="center"/>
            <w:hideMark/>
          </w:tcPr>
          <w:p w:rsidR="009F5537" w:rsidRPr="00430E7E" w:rsidRDefault="009F5537" w:rsidP="00305387">
            <w:pPr>
              <w:spacing w:after="0" w:line="240" w:lineRule="auto"/>
              <w:jc w:val="center"/>
              <w:rPr>
                <w:rFonts w:cs="Arial"/>
                <w:sz w:val="16"/>
                <w:szCs w:val="16"/>
              </w:rPr>
            </w:pPr>
            <w:r w:rsidRPr="00430E7E">
              <w:rPr>
                <w:rFonts w:cs="Arial"/>
                <w:sz w:val="16"/>
                <w:szCs w:val="16"/>
              </w:rPr>
              <w:t>1.</w:t>
            </w:r>
          </w:p>
        </w:tc>
        <w:tc>
          <w:tcPr>
            <w:tcW w:w="1340" w:type="dxa"/>
            <w:tcBorders>
              <w:top w:val="single" w:sz="4" w:space="0" w:color="auto"/>
              <w:left w:val="nil"/>
              <w:bottom w:val="single" w:sz="4" w:space="0" w:color="auto"/>
              <w:right w:val="nil"/>
            </w:tcBorders>
            <w:shd w:val="clear" w:color="FFFFFF" w:fill="F5DADD"/>
            <w:vAlign w:val="center"/>
            <w:hideMark/>
          </w:tcPr>
          <w:p w:rsidR="009F5537" w:rsidRPr="00430E7E" w:rsidRDefault="009F5537" w:rsidP="00305387">
            <w:pPr>
              <w:spacing w:after="0" w:line="240" w:lineRule="auto"/>
              <w:jc w:val="center"/>
              <w:rPr>
                <w:rFonts w:cs="Arial"/>
                <w:sz w:val="16"/>
                <w:szCs w:val="16"/>
              </w:rPr>
            </w:pPr>
            <w:r w:rsidRPr="00430E7E">
              <w:rPr>
                <w:rFonts w:cs="Arial"/>
                <w:sz w:val="16"/>
                <w:szCs w:val="16"/>
              </w:rPr>
              <w:t>2.</w:t>
            </w:r>
          </w:p>
        </w:tc>
        <w:tc>
          <w:tcPr>
            <w:tcW w:w="1340" w:type="dxa"/>
            <w:tcBorders>
              <w:top w:val="single" w:sz="4" w:space="0" w:color="auto"/>
              <w:left w:val="single" w:sz="4" w:space="0" w:color="auto"/>
              <w:bottom w:val="single" w:sz="4" w:space="0" w:color="auto"/>
              <w:right w:val="single" w:sz="4" w:space="0" w:color="auto"/>
            </w:tcBorders>
            <w:shd w:val="clear" w:color="FFFFFF" w:fill="F5DADD"/>
            <w:vAlign w:val="center"/>
            <w:hideMark/>
          </w:tcPr>
          <w:p w:rsidR="009F5537" w:rsidRPr="00430E7E" w:rsidRDefault="009F5537" w:rsidP="00305387">
            <w:pPr>
              <w:spacing w:after="0" w:line="240" w:lineRule="auto"/>
              <w:jc w:val="center"/>
              <w:rPr>
                <w:rFonts w:cs="Arial"/>
                <w:sz w:val="16"/>
                <w:szCs w:val="16"/>
              </w:rPr>
            </w:pPr>
            <w:proofErr w:type="gramStart"/>
            <w:r w:rsidRPr="00430E7E">
              <w:rPr>
                <w:rFonts w:cs="Arial"/>
                <w:sz w:val="16"/>
                <w:szCs w:val="16"/>
              </w:rPr>
              <w:t>3.</w:t>
            </w:r>
            <w:r>
              <w:rPr>
                <w:rFonts w:cs="Arial"/>
                <w:sz w:val="16"/>
                <w:szCs w:val="16"/>
              </w:rPr>
              <w:t>+</w:t>
            </w:r>
            <w:proofErr w:type="gramEnd"/>
          </w:p>
        </w:tc>
        <w:tc>
          <w:tcPr>
            <w:tcW w:w="1340" w:type="dxa"/>
            <w:tcBorders>
              <w:top w:val="single" w:sz="4" w:space="0" w:color="auto"/>
              <w:left w:val="nil"/>
              <w:bottom w:val="single" w:sz="4" w:space="0" w:color="auto"/>
              <w:right w:val="single" w:sz="4" w:space="0" w:color="auto"/>
            </w:tcBorders>
            <w:shd w:val="clear" w:color="FFFFFF" w:fill="F5DADD"/>
            <w:vAlign w:val="center"/>
            <w:hideMark/>
          </w:tcPr>
          <w:p w:rsidR="009F5537" w:rsidRPr="00430E7E" w:rsidRDefault="009F5537" w:rsidP="00305387">
            <w:pPr>
              <w:spacing w:after="0" w:line="240" w:lineRule="auto"/>
              <w:jc w:val="center"/>
              <w:rPr>
                <w:rFonts w:cs="Arial"/>
                <w:sz w:val="16"/>
                <w:szCs w:val="16"/>
              </w:rPr>
            </w:pPr>
            <w:r w:rsidRPr="00430E7E">
              <w:rPr>
                <w:rFonts w:cs="Arial"/>
                <w:sz w:val="16"/>
                <w:szCs w:val="16"/>
              </w:rPr>
              <w:t>1.</w:t>
            </w:r>
          </w:p>
        </w:tc>
        <w:tc>
          <w:tcPr>
            <w:tcW w:w="1340" w:type="dxa"/>
            <w:tcBorders>
              <w:top w:val="single" w:sz="4" w:space="0" w:color="auto"/>
              <w:left w:val="nil"/>
              <w:bottom w:val="single" w:sz="4" w:space="0" w:color="auto"/>
              <w:right w:val="nil"/>
            </w:tcBorders>
            <w:shd w:val="clear" w:color="FFFFFF" w:fill="F5DADD"/>
            <w:vAlign w:val="center"/>
            <w:hideMark/>
          </w:tcPr>
          <w:p w:rsidR="009F5537" w:rsidRPr="00430E7E" w:rsidRDefault="009F5537" w:rsidP="00305387">
            <w:pPr>
              <w:spacing w:after="0" w:line="240" w:lineRule="auto"/>
              <w:jc w:val="center"/>
              <w:rPr>
                <w:rFonts w:cs="Arial"/>
                <w:sz w:val="16"/>
                <w:szCs w:val="16"/>
              </w:rPr>
            </w:pPr>
            <w:r w:rsidRPr="00430E7E">
              <w:rPr>
                <w:rFonts w:cs="Arial"/>
                <w:sz w:val="16"/>
                <w:szCs w:val="16"/>
              </w:rPr>
              <w:t>2.</w:t>
            </w:r>
          </w:p>
        </w:tc>
        <w:tc>
          <w:tcPr>
            <w:tcW w:w="1340" w:type="dxa"/>
            <w:tcBorders>
              <w:top w:val="single" w:sz="4" w:space="0" w:color="auto"/>
              <w:left w:val="single" w:sz="4" w:space="0" w:color="auto"/>
              <w:bottom w:val="single" w:sz="4" w:space="0" w:color="auto"/>
              <w:right w:val="nil"/>
            </w:tcBorders>
            <w:shd w:val="clear" w:color="FFFFFF" w:fill="F5DADD"/>
            <w:vAlign w:val="center"/>
            <w:hideMark/>
          </w:tcPr>
          <w:p w:rsidR="009F5537" w:rsidRPr="00430E7E" w:rsidRDefault="009F5537" w:rsidP="00305387">
            <w:pPr>
              <w:spacing w:after="0" w:line="240" w:lineRule="auto"/>
              <w:jc w:val="center"/>
              <w:rPr>
                <w:rFonts w:cs="Arial"/>
                <w:sz w:val="16"/>
                <w:szCs w:val="16"/>
              </w:rPr>
            </w:pPr>
            <w:proofErr w:type="gramStart"/>
            <w:r w:rsidRPr="00430E7E">
              <w:rPr>
                <w:rFonts w:cs="Arial"/>
                <w:sz w:val="16"/>
                <w:szCs w:val="16"/>
              </w:rPr>
              <w:t>3.</w:t>
            </w:r>
            <w:r>
              <w:rPr>
                <w:rFonts w:cs="Arial"/>
                <w:sz w:val="16"/>
                <w:szCs w:val="16"/>
              </w:rPr>
              <w:t>+</w:t>
            </w:r>
            <w:proofErr w:type="gramEnd"/>
          </w:p>
        </w:tc>
      </w:tr>
      <w:tr w:rsidR="009F5537" w:rsidRPr="00430E7E"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2005</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102 211</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49 930</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37 993</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14 288</w:t>
            </w:r>
          </w:p>
        </w:tc>
        <w:tc>
          <w:tcPr>
            <w:tcW w:w="1340" w:type="dxa"/>
            <w:tcBorders>
              <w:top w:val="nil"/>
              <w:left w:val="single" w:sz="4" w:space="0" w:color="auto"/>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48,8</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37,2</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14,0</w:t>
            </w:r>
          </w:p>
        </w:tc>
      </w:tr>
      <w:tr w:rsidR="009F5537" w:rsidRPr="00430E7E"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2006</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105 831</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51 823</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39 038</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14 970</w:t>
            </w:r>
          </w:p>
        </w:tc>
        <w:tc>
          <w:tcPr>
            <w:tcW w:w="1340" w:type="dxa"/>
            <w:tcBorders>
              <w:top w:val="nil"/>
              <w:left w:val="single" w:sz="4" w:space="0" w:color="auto"/>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49,0</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36,9</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14,1</w:t>
            </w:r>
          </w:p>
        </w:tc>
      </w:tr>
      <w:tr w:rsidR="009F5537" w:rsidRPr="00430E7E"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2007</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114 632</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54 050</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43 400</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17 182</w:t>
            </w:r>
          </w:p>
        </w:tc>
        <w:tc>
          <w:tcPr>
            <w:tcW w:w="1340" w:type="dxa"/>
            <w:tcBorders>
              <w:top w:val="nil"/>
              <w:left w:val="single" w:sz="4" w:space="0" w:color="auto"/>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47,2</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37,9</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15,0</w:t>
            </w:r>
          </w:p>
        </w:tc>
      </w:tr>
      <w:tr w:rsidR="009F5537" w:rsidRPr="00430E7E"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2008</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119 570</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56 941</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45 291</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17 338</w:t>
            </w:r>
          </w:p>
        </w:tc>
        <w:tc>
          <w:tcPr>
            <w:tcW w:w="1340" w:type="dxa"/>
            <w:tcBorders>
              <w:top w:val="nil"/>
              <w:left w:val="single" w:sz="4" w:space="0" w:color="auto"/>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47,6</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37,9</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14,5</w:t>
            </w:r>
          </w:p>
        </w:tc>
      </w:tr>
      <w:tr w:rsidR="009F5537" w:rsidRPr="00430E7E"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2009</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118 348</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56 039</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45 206</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17 103</w:t>
            </w:r>
          </w:p>
        </w:tc>
        <w:tc>
          <w:tcPr>
            <w:tcW w:w="1340" w:type="dxa"/>
            <w:tcBorders>
              <w:top w:val="nil"/>
              <w:left w:val="single" w:sz="4" w:space="0" w:color="auto"/>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47,4</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38,2</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14,5</w:t>
            </w:r>
          </w:p>
        </w:tc>
      </w:tr>
      <w:tr w:rsidR="009F5537" w:rsidRPr="00430E7E"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2010</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117 153</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54 331</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45 514</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17 308</w:t>
            </w:r>
          </w:p>
        </w:tc>
        <w:tc>
          <w:tcPr>
            <w:tcW w:w="1340" w:type="dxa"/>
            <w:tcBorders>
              <w:top w:val="nil"/>
              <w:left w:val="single" w:sz="4" w:space="0" w:color="auto"/>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46,4</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38,9</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14,8</w:t>
            </w:r>
          </w:p>
        </w:tc>
      </w:tr>
      <w:tr w:rsidR="009F5537" w:rsidRPr="00430E7E"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2011</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108 673</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50 989</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42 156</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15 528</w:t>
            </w:r>
          </w:p>
        </w:tc>
        <w:tc>
          <w:tcPr>
            <w:tcW w:w="1340" w:type="dxa"/>
            <w:tcBorders>
              <w:top w:val="nil"/>
              <w:left w:val="single" w:sz="4" w:space="0" w:color="auto"/>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46,9</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38,8</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14,3</w:t>
            </w:r>
          </w:p>
        </w:tc>
      </w:tr>
      <w:tr w:rsidR="009F5537" w:rsidRPr="00430E7E"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2012</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108 576</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51 476</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41 826</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15 274</w:t>
            </w:r>
          </w:p>
        </w:tc>
        <w:tc>
          <w:tcPr>
            <w:tcW w:w="1340" w:type="dxa"/>
            <w:tcBorders>
              <w:top w:val="nil"/>
              <w:left w:val="single" w:sz="4" w:space="0" w:color="auto"/>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47,4</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38,5</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14,1</w:t>
            </w:r>
          </w:p>
        </w:tc>
      </w:tr>
      <w:tr w:rsidR="009F5537" w:rsidRPr="00430E7E"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2013</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106 751</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51 092</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40 078</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15 581</w:t>
            </w:r>
          </w:p>
        </w:tc>
        <w:tc>
          <w:tcPr>
            <w:tcW w:w="1340" w:type="dxa"/>
            <w:tcBorders>
              <w:top w:val="nil"/>
              <w:left w:val="single" w:sz="4" w:space="0" w:color="auto"/>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47,9</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37,5</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14,6</w:t>
            </w:r>
          </w:p>
        </w:tc>
      </w:tr>
      <w:tr w:rsidR="009F5537" w:rsidRPr="00430E7E"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2014</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109 860</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52 106</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41 196</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16 558</w:t>
            </w:r>
          </w:p>
        </w:tc>
        <w:tc>
          <w:tcPr>
            <w:tcW w:w="1340" w:type="dxa"/>
            <w:tcBorders>
              <w:top w:val="nil"/>
              <w:left w:val="single" w:sz="4" w:space="0" w:color="auto"/>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47,4</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37,5</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15,1</w:t>
            </w:r>
          </w:p>
        </w:tc>
      </w:tr>
      <w:tr w:rsidR="009F5537" w:rsidRPr="00430E7E" w:rsidTr="00305387">
        <w:trPr>
          <w:trHeight w:val="240"/>
        </w:trPr>
        <w:tc>
          <w:tcPr>
            <w:tcW w:w="88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2015</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110 764</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53 223</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41 276</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16 265</w:t>
            </w:r>
          </w:p>
        </w:tc>
        <w:tc>
          <w:tcPr>
            <w:tcW w:w="1340" w:type="dxa"/>
            <w:tcBorders>
              <w:top w:val="nil"/>
              <w:left w:val="single" w:sz="4" w:space="0" w:color="auto"/>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48,1</w:t>
            </w:r>
          </w:p>
        </w:tc>
        <w:tc>
          <w:tcPr>
            <w:tcW w:w="1340" w:type="dxa"/>
            <w:tcBorders>
              <w:top w:val="nil"/>
              <w:left w:val="nil"/>
              <w:bottom w:val="nil"/>
              <w:right w:val="single" w:sz="4" w:space="0" w:color="auto"/>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37,3</w:t>
            </w:r>
          </w:p>
        </w:tc>
        <w:tc>
          <w:tcPr>
            <w:tcW w:w="1340" w:type="dxa"/>
            <w:tcBorders>
              <w:top w:val="nil"/>
              <w:left w:val="nil"/>
              <w:bottom w:val="nil"/>
              <w:right w:val="nil"/>
            </w:tcBorders>
            <w:shd w:val="clear" w:color="FFFFFF" w:fill="FFFFFF"/>
            <w:noWrap/>
            <w:vAlign w:val="bottom"/>
            <w:hideMark/>
          </w:tcPr>
          <w:p w:rsidR="009F5537" w:rsidRPr="00430E7E" w:rsidRDefault="009F5537" w:rsidP="00305387">
            <w:pPr>
              <w:spacing w:after="0" w:line="240" w:lineRule="auto"/>
              <w:jc w:val="center"/>
              <w:rPr>
                <w:rFonts w:cs="Arial"/>
                <w:sz w:val="16"/>
                <w:szCs w:val="16"/>
              </w:rPr>
            </w:pPr>
            <w:r w:rsidRPr="00430E7E">
              <w:rPr>
                <w:rFonts w:cs="Arial"/>
                <w:sz w:val="16"/>
                <w:szCs w:val="16"/>
              </w:rPr>
              <w:t>14,7</w:t>
            </w:r>
          </w:p>
        </w:tc>
      </w:tr>
    </w:tbl>
    <w:p w:rsidR="009F5537" w:rsidRDefault="009F5537" w:rsidP="009F5537">
      <w:pPr>
        <w:spacing w:after="0"/>
      </w:pPr>
    </w:p>
    <w:p w:rsidR="009F5537" w:rsidRDefault="009F5537" w:rsidP="009F5537">
      <w:r>
        <w:rPr>
          <w:rFonts w:cs="Arial"/>
          <w:szCs w:val="20"/>
        </w:rPr>
        <w:t xml:space="preserve">Výsledky mohou být drobně ovlivněny metodologickou změnou platnou od roku 2014 (viz kapitola 1). Vzhledem k nízkému počtu mrtvě narozených dětí je však vliv na data o pořadí narození minimální.         </w:t>
      </w:r>
    </w:p>
    <w:p w:rsidR="009F5537" w:rsidRDefault="009F5537" w:rsidP="009F5537">
      <w:pPr>
        <w:pStyle w:val="Nadpis2"/>
      </w:pPr>
      <w:bookmarkStart w:id="3" w:name="_Toc468110163"/>
      <w:r>
        <w:t>2.3 Rodinný stav matky</w:t>
      </w:r>
      <w:bookmarkEnd w:id="3"/>
    </w:p>
    <w:p w:rsidR="009F5537" w:rsidRPr="00392800" w:rsidRDefault="009F5537" w:rsidP="009F5537">
      <w:pPr>
        <w:rPr>
          <w:rFonts w:cs="Arial"/>
          <w:szCs w:val="20"/>
        </w:rPr>
      </w:pPr>
      <w:r>
        <w:rPr>
          <w:rFonts w:cs="Arial"/>
          <w:szCs w:val="20"/>
        </w:rPr>
        <w:t xml:space="preserve">Jednu z nejvýraznějších proměn reprodukce v České republice je možné sledovat ve struktuře narozených dětí podle rodinného stavu jejich matky související zejména se změnou struktury žen podle rodinného stavu. Zatímco v roce 2005 byl podíl živě narozených svobodné matce 25,2 %, tak o deset let později to bylo již 42,3 % (v absolutním vyjádření nárůst z 25 753 na 46 887). Naopak podíl narozených vdaným ženám poklesl za stejné období z 68,3 % na 52,2 %. Mezi roky 2005 a 2008 počty živě narozených dětí vdaným matkám ještě v absolutních číslech rostly (i když podíl klesal) díky celkovému nárůstu množství narozených dětí. V dalších letech ovšem následoval pokles počtu až na 57 788 v roce 2015.     </w:t>
      </w:r>
    </w:p>
    <w:p w:rsidR="009F5537" w:rsidRDefault="009F5537" w:rsidP="009F5537">
      <w:pPr>
        <w:spacing w:after="60"/>
        <w:rPr>
          <w:rFonts w:cs="Arial"/>
          <w:b/>
          <w:szCs w:val="20"/>
        </w:rPr>
      </w:pPr>
      <w:r w:rsidRPr="00332190">
        <w:rPr>
          <w:rFonts w:cs="Arial"/>
          <w:b/>
          <w:szCs w:val="20"/>
        </w:rPr>
        <w:t xml:space="preserve">Tab. </w:t>
      </w:r>
      <w:r>
        <w:rPr>
          <w:rFonts w:cs="Arial"/>
          <w:b/>
          <w:szCs w:val="20"/>
        </w:rPr>
        <w:t xml:space="preserve">4 </w:t>
      </w:r>
      <w:r w:rsidRPr="0097155E">
        <w:rPr>
          <w:rFonts w:cs="Arial"/>
          <w:b/>
          <w:szCs w:val="20"/>
        </w:rPr>
        <w:t>Živě narození podle rodinného stavu matky v letech 2005–2015</w:t>
      </w:r>
    </w:p>
    <w:tbl>
      <w:tblPr>
        <w:tblW w:w="9639" w:type="dxa"/>
        <w:tblCellMar>
          <w:left w:w="70" w:type="dxa"/>
          <w:right w:w="70" w:type="dxa"/>
        </w:tblCellMar>
        <w:tblLook w:val="04A0" w:firstRow="1" w:lastRow="0" w:firstColumn="1" w:lastColumn="0" w:noHBand="0" w:noVBand="1"/>
      </w:tblPr>
      <w:tblGrid>
        <w:gridCol w:w="634"/>
        <w:gridCol w:w="1244"/>
        <w:gridCol w:w="970"/>
        <w:gridCol w:w="970"/>
        <w:gridCol w:w="1002"/>
        <w:gridCol w:w="970"/>
        <w:gridCol w:w="949"/>
        <w:gridCol w:w="949"/>
        <w:gridCol w:w="1002"/>
        <w:gridCol w:w="949"/>
      </w:tblGrid>
      <w:tr w:rsidR="009F5537" w:rsidRPr="0097155E" w:rsidTr="00305387">
        <w:trPr>
          <w:trHeight w:val="240"/>
        </w:trPr>
        <w:tc>
          <w:tcPr>
            <w:tcW w:w="600"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97155E" w:rsidRDefault="009F5537" w:rsidP="00305387">
            <w:pPr>
              <w:spacing w:after="0" w:line="240" w:lineRule="auto"/>
              <w:jc w:val="center"/>
              <w:rPr>
                <w:rFonts w:cs="Arial"/>
                <w:b/>
                <w:bCs/>
                <w:sz w:val="16"/>
                <w:szCs w:val="16"/>
              </w:rPr>
            </w:pPr>
            <w:r w:rsidRPr="0097155E">
              <w:rPr>
                <w:rFonts w:cs="Arial"/>
                <w:b/>
                <w:bCs/>
                <w:sz w:val="16"/>
                <w:szCs w:val="16"/>
              </w:rPr>
              <w:t>Rok</w:t>
            </w:r>
          </w:p>
        </w:tc>
        <w:tc>
          <w:tcPr>
            <w:tcW w:w="1180"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97155E" w:rsidRDefault="009F5537" w:rsidP="00305387">
            <w:pPr>
              <w:spacing w:after="0" w:line="240" w:lineRule="auto"/>
              <w:jc w:val="center"/>
              <w:rPr>
                <w:rFonts w:cs="Arial"/>
                <w:b/>
                <w:bCs/>
                <w:sz w:val="16"/>
                <w:szCs w:val="16"/>
              </w:rPr>
            </w:pPr>
            <w:r w:rsidRPr="0097155E">
              <w:rPr>
                <w:rFonts w:cs="Arial"/>
                <w:b/>
                <w:bCs/>
                <w:sz w:val="16"/>
                <w:szCs w:val="16"/>
              </w:rPr>
              <w:t>Živě narození celkem</w:t>
            </w:r>
          </w:p>
        </w:tc>
        <w:tc>
          <w:tcPr>
            <w:tcW w:w="3680" w:type="dxa"/>
            <w:gridSpan w:val="4"/>
            <w:tcBorders>
              <w:top w:val="single" w:sz="4" w:space="0" w:color="auto"/>
              <w:left w:val="nil"/>
              <w:bottom w:val="single" w:sz="4" w:space="0" w:color="auto"/>
              <w:right w:val="single" w:sz="4" w:space="0" w:color="000000"/>
            </w:tcBorders>
            <w:shd w:val="clear" w:color="FFFFFF" w:fill="F5DADD"/>
            <w:noWrap/>
            <w:vAlign w:val="center"/>
            <w:hideMark/>
          </w:tcPr>
          <w:p w:rsidR="009F5537" w:rsidRPr="0097155E" w:rsidRDefault="009F5537" w:rsidP="00305387">
            <w:pPr>
              <w:spacing w:after="0" w:line="240" w:lineRule="auto"/>
              <w:jc w:val="center"/>
              <w:rPr>
                <w:rFonts w:cs="Arial"/>
                <w:b/>
                <w:bCs/>
                <w:sz w:val="16"/>
                <w:szCs w:val="16"/>
              </w:rPr>
            </w:pPr>
            <w:r w:rsidRPr="0097155E">
              <w:rPr>
                <w:rFonts w:cs="Arial"/>
                <w:b/>
                <w:bCs/>
                <w:sz w:val="16"/>
                <w:szCs w:val="16"/>
              </w:rPr>
              <w:t>Rodinný stav matky (abs.)</w:t>
            </w:r>
          </w:p>
        </w:tc>
        <w:tc>
          <w:tcPr>
            <w:tcW w:w="3600" w:type="dxa"/>
            <w:gridSpan w:val="4"/>
            <w:tcBorders>
              <w:top w:val="single" w:sz="4" w:space="0" w:color="auto"/>
              <w:left w:val="nil"/>
              <w:bottom w:val="single" w:sz="4" w:space="0" w:color="auto"/>
              <w:right w:val="nil"/>
            </w:tcBorders>
            <w:shd w:val="clear" w:color="FFFFFF" w:fill="F5DADD"/>
            <w:noWrap/>
            <w:vAlign w:val="center"/>
            <w:hideMark/>
          </w:tcPr>
          <w:p w:rsidR="009F5537" w:rsidRPr="0097155E" w:rsidRDefault="009F5537" w:rsidP="00305387">
            <w:pPr>
              <w:spacing w:after="0" w:line="240" w:lineRule="auto"/>
              <w:jc w:val="center"/>
              <w:rPr>
                <w:rFonts w:cs="Arial"/>
                <w:b/>
                <w:bCs/>
                <w:sz w:val="16"/>
                <w:szCs w:val="16"/>
              </w:rPr>
            </w:pPr>
            <w:r w:rsidRPr="0097155E">
              <w:rPr>
                <w:rFonts w:cs="Arial"/>
                <w:b/>
                <w:bCs/>
                <w:sz w:val="16"/>
                <w:szCs w:val="16"/>
              </w:rPr>
              <w:t>Rodinný stav matky (v %)</w:t>
            </w:r>
          </w:p>
        </w:tc>
      </w:tr>
      <w:tr w:rsidR="009F5537" w:rsidRPr="0097155E" w:rsidTr="00305387">
        <w:trPr>
          <w:trHeight w:val="240"/>
        </w:trPr>
        <w:tc>
          <w:tcPr>
            <w:tcW w:w="600" w:type="dxa"/>
            <w:vMerge/>
            <w:tcBorders>
              <w:top w:val="single" w:sz="4" w:space="0" w:color="auto"/>
              <w:left w:val="nil"/>
              <w:bottom w:val="single" w:sz="4" w:space="0" w:color="000000"/>
              <w:right w:val="single" w:sz="4" w:space="0" w:color="auto"/>
            </w:tcBorders>
            <w:vAlign w:val="center"/>
            <w:hideMark/>
          </w:tcPr>
          <w:p w:rsidR="009F5537" w:rsidRPr="0097155E" w:rsidRDefault="009F5537" w:rsidP="00305387">
            <w:pPr>
              <w:spacing w:after="0" w:line="240" w:lineRule="auto"/>
              <w:rPr>
                <w:rFonts w:cs="Arial"/>
                <w:b/>
                <w:bCs/>
                <w:sz w:val="16"/>
                <w:szCs w:val="16"/>
              </w:rPr>
            </w:pPr>
          </w:p>
        </w:tc>
        <w:tc>
          <w:tcPr>
            <w:tcW w:w="1180" w:type="dxa"/>
            <w:vMerge/>
            <w:tcBorders>
              <w:top w:val="single" w:sz="4" w:space="0" w:color="auto"/>
              <w:left w:val="nil"/>
              <w:bottom w:val="single" w:sz="4" w:space="0" w:color="000000"/>
              <w:right w:val="single" w:sz="4" w:space="0" w:color="auto"/>
            </w:tcBorders>
            <w:vAlign w:val="center"/>
            <w:hideMark/>
          </w:tcPr>
          <w:p w:rsidR="009F5537" w:rsidRPr="0097155E" w:rsidRDefault="009F5537" w:rsidP="00305387">
            <w:pPr>
              <w:spacing w:after="0" w:line="240" w:lineRule="auto"/>
              <w:rPr>
                <w:rFonts w:cs="Arial"/>
                <w:b/>
                <w:bCs/>
                <w:sz w:val="16"/>
                <w:szCs w:val="16"/>
              </w:rPr>
            </w:pPr>
          </w:p>
        </w:tc>
        <w:tc>
          <w:tcPr>
            <w:tcW w:w="920" w:type="dxa"/>
            <w:tcBorders>
              <w:top w:val="nil"/>
              <w:left w:val="nil"/>
              <w:bottom w:val="single" w:sz="4" w:space="0" w:color="auto"/>
              <w:right w:val="single" w:sz="4" w:space="0" w:color="auto"/>
            </w:tcBorders>
            <w:shd w:val="clear" w:color="FFFFFF" w:fill="F5DADD"/>
            <w:vAlign w:val="center"/>
            <w:hideMark/>
          </w:tcPr>
          <w:p w:rsidR="009F5537" w:rsidRPr="0097155E" w:rsidRDefault="009F5537" w:rsidP="00305387">
            <w:pPr>
              <w:spacing w:after="0" w:line="240" w:lineRule="auto"/>
              <w:jc w:val="center"/>
              <w:rPr>
                <w:rFonts w:cs="Arial"/>
                <w:sz w:val="16"/>
                <w:szCs w:val="16"/>
              </w:rPr>
            </w:pPr>
            <w:r w:rsidRPr="0097155E">
              <w:rPr>
                <w:rFonts w:cs="Arial"/>
                <w:sz w:val="16"/>
                <w:szCs w:val="16"/>
              </w:rPr>
              <w:t>Svobodná</w:t>
            </w:r>
          </w:p>
        </w:tc>
        <w:tc>
          <w:tcPr>
            <w:tcW w:w="920" w:type="dxa"/>
            <w:tcBorders>
              <w:top w:val="nil"/>
              <w:left w:val="nil"/>
              <w:bottom w:val="single" w:sz="4" w:space="0" w:color="auto"/>
              <w:right w:val="nil"/>
            </w:tcBorders>
            <w:shd w:val="clear" w:color="FFFFFF" w:fill="F5DADD"/>
            <w:vAlign w:val="center"/>
            <w:hideMark/>
          </w:tcPr>
          <w:p w:rsidR="009F5537" w:rsidRPr="0097155E" w:rsidRDefault="009F5537" w:rsidP="00305387">
            <w:pPr>
              <w:spacing w:after="0" w:line="240" w:lineRule="auto"/>
              <w:jc w:val="center"/>
              <w:rPr>
                <w:rFonts w:cs="Arial"/>
                <w:sz w:val="16"/>
                <w:szCs w:val="16"/>
              </w:rPr>
            </w:pPr>
            <w:r w:rsidRPr="0097155E">
              <w:rPr>
                <w:rFonts w:cs="Arial"/>
                <w:sz w:val="16"/>
                <w:szCs w:val="16"/>
              </w:rPr>
              <w:t>Vdaná</w:t>
            </w:r>
          </w:p>
        </w:tc>
        <w:tc>
          <w:tcPr>
            <w:tcW w:w="920" w:type="dxa"/>
            <w:tcBorders>
              <w:top w:val="nil"/>
              <w:left w:val="single" w:sz="4" w:space="0" w:color="auto"/>
              <w:bottom w:val="single" w:sz="4" w:space="0" w:color="auto"/>
              <w:right w:val="single" w:sz="4" w:space="0" w:color="auto"/>
            </w:tcBorders>
            <w:shd w:val="clear" w:color="FFFFFF" w:fill="F5DADD"/>
            <w:vAlign w:val="center"/>
            <w:hideMark/>
          </w:tcPr>
          <w:p w:rsidR="009F5537" w:rsidRPr="0097155E" w:rsidRDefault="009F5537" w:rsidP="00305387">
            <w:pPr>
              <w:spacing w:after="0" w:line="240" w:lineRule="auto"/>
              <w:jc w:val="center"/>
              <w:rPr>
                <w:rFonts w:cs="Arial"/>
                <w:sz w:val="16"/>
                <w:szCs w:val="16"/>
              </w:rPr>
            </w:pPr>
            <w:r w:rsidRPr="0097155E">
              <w:rPr>
                <w:rFonts w:cs="Arial"/>
                <w:sz w:val="16"/>
                <w:szCs w:val="16"/>
              </w:rPr>
              <w:t>Rozvedená</w:t>
            </w:r>
          </w:p>
        </w:tc>
        <w:tc>
          <w:tcPr>
            <w:tcW w:w="920" w:type="dxa"/>
            <w:tcBorders>
              <w:top w:val="nil"/>
              <w:left w:val="nil"/>
              <w:bottom w:val="single" w:sz="4" w:space="0" w:color="auto"/>
              <w:right w:val="single" w:sz="4" w:space="0" w:color="auto"/>
            </w:tcBorders>
            <w:shd w:val="clear" w:color="FFFFFF" w:fill="F5DADD"/>
            <w:vAlign w:val="center"/>
            <w:hideMark/>
          </w:tcPr>
          <w:p w:rsidR="009F5537" w:rsidRPr="0097155E" w:rsidRDefault="009F5537" w:rsidP="00305387">
            <w:pPr>
              <w:spacing w:after="0" w:line="240" w:lineRule="auto"/>
              <w:jc w:val="center"/>
              <w:rPr>
                <w:rFonts w:cs="Arial"/>
                <w:sz w:val="16"/>
                <w:szCs w:val="16"/>
              </w:rPr>
            </w:pPr>
            <w:r w:rsidRPr="0097155E">
              <w:rPr>
                <w:rFonts w:cs="Arial"/>
                <w:sz w:val="16"/>
                <w:szCs w:val="16"/>
              </w:rPr>
              <w:t>Ovdovělá</w:t>
            </w:r>
          </w:p>
        </w:tc>
        <w:tc>
          <w:tcPr>
            <w:tcW w:w="900" w:type="dxa"/>
            <w:tcBorders>
              <w:top w:val="nil"/>
              <w:left w:val="nil"/>
              <w:bottom w:val="single" w:sz="4" w:space="0" w:color="auto"/>
              <w:right w:val="single" w:sz="4" w:space="0" w:color="auto"/>
            </w:tcBorders>
            <w:shd w:val="clear" w:color="FFFFFF" w:fill="F5DADD"/>
            <w:vAlign w:val="center"/>
            <w:hideMark/>
          </w:tcPr>
          <w:p w:rsidR="009F5537" w:rsidRPr="0097155E" w:rsidRDefault="009F5537" w:rsidP="00305387">
            <w:pPr>
              <w:spacing w:after="0" w:line="240" w:lineRule="auto"/>
              <w:jc w:val="center"/>
              <w:rPr>
                <w:rFonts w:cs="Arial"/>
                <w:sz w:val="16"/>
                <w:szCs w:val="16"/>
              </w:rPr>
            </w:pPr>
            <w:r w:rsidRPr="0097155E">
              <w:rPr>
                <w:rFonts w:cs="Arial"/>
                <w:sz w:val="16"/>
                <w:szCs w:val="16"/>
              </w:rPr>
              <w:t>Svobodná</w:t>
            </w:r>
          </w:p>
        </w:tc>
        <w:tc>
          <w:tcPr>
            <w:tcW w:w="900" w:type="dxa"/>
            <w:tcBorders>
              <w:top w:val="nil"/>
              <w:left w:val="nil"/>
              <w:bottom w:val="single" w:sz="4" w:space="0" w:color="auto"/>
              <w:right w:val="nil"/>
            </w:tcBorders>
            <w:shd w:val="clear" w:color="FFFFFF" w:fill="F5DADD"/>
            <w:vAlign w:val="center"/>
            <w:hideMark/>
          </w:tcPr>
          <w:p w:rsidR="009F5537" w:rsidRPr="0097155E" w:rsidRDefault="009F5537" w:rsidP="00305387">
            <w:pPr>
              <w:spacing w:after="0" w:line="240" w:lineRule="auto"/>
              <w:jc w:val="center"/>
              <w:rPr>
                <w:rFonts w:cs="Arial"/>
                <w:sz w:val="16"/>
                <w:szCs w:val="16"/>
              </w:rPr>
            </w:pPr>
            <w:r w:rsidRPr="0097155E">
              <w:rPr>
                <w:rFonts w:cs="Arial"/>
                <w:sz w:val="16"/>
                <w:szCs w:val="16"/>
              </w:rPr>
              <w:t>Vdaná</w:t>
            </w:r>
          </w:p>
        </w:tc>
        <w:tc>
          <w:tcPr>
            <w:tcW w:w="900" w:type="dxa"/>
            <w:tcBorders>
              <w:top w:val="nil"/>
              <w:left w:val="single" w:sz="4" w:space="0" w:color="auto"/>
              <w:bottom w:val="single" w:sz="4" w:space="0" w:color="auto"/>
              <w:right w:val="single" w:sz="4" w:space="0" w:color="auto"/>
            </w:tcBorders>
            <w:shd w:val="clear" w:color="FFFFFF" w:fill="F5DADD"/>
            <w:vAlign w:val="center"/>
            <w:hideMark/>
          </w:tcPr>
          <w:p w:rsidR="009F5537" w:rsidRPr="0097155E" w:rsidRDefault="009F5537" w:rsidP="00305387">
            <w:pPr>
              <w:spacing w:after="0" w:line="240" w:lineRule="auto"/>
              <w:jc w:val="center"/>
              <w:rPr>
                <w:rFonts w:cs="Arial"/>
                <w:sz w:val="16"/>
                <w:szCs w:val="16"/>
              </w:rPr>
            </w:pPr>
            <w:r w:rsidRPr="0097155E">
              <w:rPr>
                <w:rFonts w:cs="Arial"/>
                <w:sz w:val="16"/>
                <w:szCs w:val="16"/>
              </w:rPr>
              <w:t>Rozvedená</w:t>
            </w:r>
          </w:p>
        </w:tc>
        <w:tc>
          <w:tcPr>
            <w:tcW w:w="900" w:type="dxa"/>
            <w:tcBorders>
              <w:top w:val="nil"/>
              <w:left w:val="nil"/>
              <w:bottom w:val="single" w:sz="4" w:space="0" w:color="auto"/>
              <w:right w:val="nil"/>
            </w:tcBorders>
            <w:shd w:val="clear" w:color="FFFFFF" w:fill="F5DADD"/>
            <w:vAlign w:val="center"/>
            <w:hideMark/>
          </w:tcPr>
          <w:p w:rsidR="009F5537" w:rsidRPr="0097155E" w:rsidRDefault="009F5537" w:rsidP="00305387">
            <w:pPr>
              <w:spacing w:after="0" w:line="240" w:lineRule="auto"/>
              <w:jc w:val="center"/>
              <w:rPr>
                <w:rFonts w:cs="Arial"/>
                <w:sz w:val="16"/>
                <w:szCs w:val="16"/>
              </w:rPr>
            </w:pPr>
            <w:r w:rsidRPr="0097155E">
              <w:rPr>
                <w:rFonts w:cs="Arial"/>
                <w:sz w:val="16"/>
                <w:szCs w:val="16"/>
              </w:rPr>
              <w:t>Ovdovělá</w:t>
            </w:r>
          </w:p>
        </w:tc>
      </w:tr>
      <w:tr w:rsidR="009F5537" w:rsidRPr="0097155E" w:rsidTr="00305387">
        <w:trPr>
          <w:trHeight w:val="240"/>
        </w:trPr>
        <w:tc>
          <w:tcPr>
            <w:tcW w:w="6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2005</w:t>
            </w:r>
          </w:p>
        </w:tc>
        <w:tc>
          <w:tcPr>
            <w:tcW w:w="118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102 211</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25 753</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69 802</w:t>
            </w:r>
          </w:p>
        </w:tc>
        <w:tc>
          <w:tcPr>
            <w:tcW w:w="92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6 354</w:t>
            </w:r>
          </w:p>
        </w:tc>
        <w:tc>
          <w:tcPr>
            <w:tcW w:w="92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302</w:t>
            </w:r>
          </w:p>
        </w:tc>
        <w:tc>
          <w:tcPr>
            <w:tcW w:w="900" w:type="dxa"/>
            <w:tcBorders>
              <w:top w:val="nil"/>
              <w:left w:val="single" w:sz="4" w:space="0" w:color="auto"/>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25,2</w:t>
            </w:r>
          </w:p>
        </w:tc>
        <w:tc>
          <w:tcPr>
            <w:tcW w:w="9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68,3</w:t>
            </w:r>
          </w:p>
        </w:tc>
        <w:tc>
          <w:tcPr>
            <w:tcW w:w="9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6,2</w:t>
            </w:r>
          </w:p>
        </w:tc>
        <w:tc>
          <w:tcPr>
            <w:tcW w:w="90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0,3</w:t>
            </w:r>
          </w:p>
        </w:tc>
      </w:tr>
      <w:tr w:rsidR="009F5537" w:rsidRPr="0097155E" w:rsidTr="00305387">
        <w:trPr>
          <w:trHeight w:val="240"/>
        </w:trPr>
        <w:tc>
          <w:tcPr>
            <w:tcW w:w="6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2006</w:t>
            </w:r>
          </w:p>
        </w:tc>
        <w:tc>
          <w:tcPr>
            <w:tcW w:w="118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105 831</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28 292</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70 572</w:t>
            </w:r>
          </w:p>
        </w:tc>
        <w:tc>
          <w:tcPr>
            <w:tcW w:w="92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6 674</w:t>
            </w:r>
          </w:p>
        </w:tc>
        <w:tc>
          <w:tcPr>
            <w:tcW w:w="92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293</w:t>
            </w:r>
          </w:p>
        </w:tc>
        <w:tc>
          <w:tcPr>
            <w:tcW w:w="900" w:type="dxa"/>
            <w:tcBorders>
              <w:top w:val="nil"/>
              <w:left w:val="single" w:sz="4" w:space="0" w:color="auto"/>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26,7</w:t>
            </w:r>
          </w:p>
        </w:tc>
        <w:tc>
          <w:tcPr>
            <w:tcW w:w="9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66,7</w:t>
            </w:r>
          </w:p>
        </w:tc>
        <w:tc>
          <w:tcPr>
            <w:tcW w:w="90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6,3</w:t>
            </w:r>
          </w:p>
        </w:tc>
        <w:tc>
          <w:tcPr>
            <w:tcW w:w="90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0,3</w:t>
            </w:r>
          </w:p>
        </w:tc>
      </w:tr>
      <w:tr w:rsidR="009F5537" w:rsidRPr="0097155E" w:rsidTr="00305387">
        <w:trPr>
          <w:trHeight w:val="240"/>
        </w:trPr>
        <w:tc>
          <w:tcPr>
            <w:tcW w:w="6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2007</w:t>
            </w:r>
          </w:p>
        </w:tc>
        <w:tc>
          <w:tcPr>
            <w:tcW w:w="118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114 632</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32 026</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75 095</w:t>
            </w:r>
          </w:p>
        </w:tc>
        <w:tc>
          <w:tcPr>
            <w:tcW w:w="92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7 208</w:t>
            </w:r>
          </w:p>
        </w:tc>
        <w:tc>
          <w:tcPr>
            <w:tcW w:w="92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303</w:t>
            </w:r>
          </w:p>
        </w:tc>
        <w:tc>
          <w:tcPr>
            <w:tcW w:w="900" w:type="dxa"/>
            <w:tcBorders>
              <w:top w:val="nil"/>
              <w:left w:val="single" w:sz="4" w:space="0" w:color="auto"/>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27,9</w:t>
            </w:r>
          </w:p>
        </w:tc>
        <w:tc>
          <w:tcPr>
            <w:tcW w:w="9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65,5</w:t>
            </w:r>
          </w:p>
        </w:tc>
        <w:tc>
          <w:tcPr>
            <w:tcW w:w="90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6,3</w:t>
            </w:r>
          </w:p>
        </w:tc>
        <w:tc>
          <w:tcPr>
            <w:tcW w:w="90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0,3</w:t>
            </w:r>
          </w:p>
        </w:tc>
      </w:tr>
      <w:tr w:rsidR="009F5537" w:rsidRPr="0097155E" w:rsidTr="00305387">
        <w:trPr>
          <w:trHeight w:val="240"/>
        </w:trPr>
        <w:tc>
          <w:tcPr>
            <w:tcW w:w="6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2008</w:t>
            </w:r>
          </w:p>
        </w:tc>
        <w:tc>
          <w:tcPr>
            <w:tcW w:w="118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119 570</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35 541</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76 113</w:t>
            </w:r>
          </w:p>
        </w:tc>
        <w:tc>
          <w:tcPr>
            <w:tcW w:w="92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7 617</w:t>
            </w:r>
          </w:p>
        </w:tc>
        <w:tc>
          <w:tcPr>
            <w:tcW w:w="92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299</w:t>
            </w:r>
          </w:p>
        </w:tc>
        <w:tc>
          <w:tcPr>
            <w:tcW w:w="900" w:type="dxa"/>
            <w:tcBorders>
              <w:top w:val="nil"/>
              <w:left w:val="single" w:sz="4" w:space="0" w:color="auto"/>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29,7</w:t>
            </w:r>
          </w:p>
        </w:tc>
        <w:tc>
          <w:tcPr>
            <w:tcW w:w="9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63,7</w:t>
            </w:r>
          </w:p>
        </w:tc>
        <w:tc>
          <w:tcPr>
            <w:tcW w:w="90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6,4</w:t>
            </w:r>
          </w:p>
        </w:tc>
        <w:tc>
          <w:tcPr>
            <w:tcW w:w="90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0,3</w:t>
            </w:r>
          </w:p>
        </w:tc>
      </w:tr>
      <w:tr w:rsidR="009F5537" w:rsidRPr="0097155E" w:rsidTr="00305387">
        <w:trPr>
          <w:trHeight w:val="240"/>
        </w:trPr>
        <w:tc>
          <w:tcPr>
            <w:tcW w:w="6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2009</w:t>
            </w:r>
          </w:p>
        </w:tc>
        <w:tc>
          <w:tcPr>
            <w:tcW w:w="118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118 348</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38 060</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72 394</w:t>
            </w:r>
          </w:p>
        </w:tc>
        <w:tc>
          <w:tcPr>
            <w:tcW w:w="92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7 610</w:t>
            </w:r>
          </w:p>
        </w:tc>
        <w:tc>
          <w:tcPr>
            <w:tcW w:w="92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284</w:t>
            </w:r>
          </w:p>
        </w:tc>
        <w:tc>
          <w:tcPr>
            <w:tcW w:w="900" w:type="dxa"/>
            <w:tcBorders>
              <w:top w:val="nil"/>
              <w:left w:val="single" w:sz="4" w:space="0" w:color="auto"/>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32,2</w:t>
            </w:r>
          </w:p>
        </w:tc>
        <w:tc>
          <w:tcPr>
            <w:tcW w:w="9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61,2</w:t>
            </w:r>
          </w:p>
        </w:tc>
        <w:tc>
          <w:tcPr>
            <w:tcW w:w="90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6,4</w:t>
            </w:r>
          </w:p>
        </w:tc>
        <w:tc>
          <w:tcPr>
            <w:tcW w:w="90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0,2</w:t>
            </w:r>
          </w:p>
        </w:tc>
      </w:tr>
      <w:tr w:rsidR="009F5537" w:rsidRPr="0097155E" w:rsidTr="00305387">
        <w:trPr>
          <w:trHeight w:val="240"/>
        </w:trPr>
        <w:tc>
          <w:tcPr>
            <w:tcW w:w="6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2010</w:t>
            </w:r>
          </w:p>
        </w:tc>
        <w:tc>
          <w:tcPr>
            <w:tcW w:w="118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117 153</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39 529</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69 989</w:t>
            </w:r>
          </w:p>
        </w:tc>
        <w:tc>
          <w:tcPr>
            <w:tcW w:w="92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7 389</w:t>
            </w:r>
          </w:p>
        </w:tc>
        <w:tc>
          <w:tcPr>
            <w:tcW w:w="92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246</w:t>
            </w:r>
          </w:p>
        </w:tc>
        <w:tc>
          <w:tcPr>
            <w:tcW w:w="900" w:type="dxa"/>
            <w:tcBorders>
              <w:top w:val="nil"/>
              <w:left w:val="single" w:sz="4" w:space="0" w:color="auto"/>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33,7</w:t>
            </w:r>
          </w:p>
        </w:tc>
        <w:tc>
          <w:tcPr>
            <w:tcW w:w="9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59,7</w:t>
            </w:r>
          </w:p>
        </w:tc>
        <w:tc>
          <w:tcPr>
            <w:tcW w:w="90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6,3</w:t>
            </w:r>
          </w:p>
        </w:tc>
        <w:tc>
          <w:tcPr>
            <w:tcW w:w="90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0,2</w:t>
            </w:r>
          </w:p>
        </w:tc>
      </w:tr>
      <w:tr w:rsidR="009F5537" w:rsidRPr="0097155E" w:rsidTr="00305387">
        <w:trPr>
          <w:trHeight w:val="240"/>
        </w:trPr>
        <w:tc>
          <w:tcPr>
            <w:tcW w:w="6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2011</w:t>
            </w:r>
          </w:p>
        </w:tc>
        <w:tc>
          <w:tcPr>
            <w:tcW w:w="118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108 673</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38 666</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63 252</w:t>
            </w:r>
          </w:p>
        </w:tc>
        <w:tc>
          <w:tcPr>
            <w:tcW w:w="92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6 514</w:t>
            </w:r>
          </w:p>
        </w:tc>
        <w:tc>
          <w:tcPr>
            <w:tcW w:w="92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241</w:t>
            </w:r>
          </w:p>
        </w:tc>
        <w:tc>
          <w:tcPr>
            <w:tcW w:w="900" w:type="dxa"/>
            <w:tcBorders>
              <w:top w:val="nil"/>
              <w:left w:val="single" w:sz="4" w:space="0" w:color="auto"/>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35,6</w:t>
            </w:r>
          </w:p>
        </w:tc>
        <w:tc>
          <w:tcPr>
            <w:tcW w:w="9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58,2</w:t>
            </w:r>
          </w:p>
        </w:tc>
        <w:tc>
          <w:tcPr>
            <w:tcW w:w="90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6,0</w:t>
            </w:r>
          </w:p>
        </w:tc>
        <w:tc>
          <w:tcPr>
            <w:tcW w:w="90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0,2</w:t>
            </w:r>
          </w:p>
        </w:tc>
      </w:tr>
      <w:tr w:rsidR="009F5537" w:rsidRPr="0097155E" w:rsidTr="00305387">
        <w:trPr>
          <w:trHeight w:val="240"/>
        </w:trPr>
        <w:tc>
          <w:tcPr>
            <w:tcW w:w="6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2012</w:t>
            </w:r>
          </w:p>
        </w:tc>
        <w:tc>
          <w:tcPr>
            <w:tcW w:w="118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108 576</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40 581</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61 488</w:t>
            </w:r>
          </w:p>
        </w:tc>
        <w:tc>
          <w:tcPr>
            <w:tcW w:w="92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6 299</w:t>
            </w:r>
          </w:p>
        </w:tc>
        <w:tc>
          <w:tcPr>
            <w:tcW w:w="92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208</w:t>
            </w:r>
          </w:p>
        </w:tc>
        <w:tc>
          <w:tcPr>
            <w:tcW w:w="900" w:type="dxa"/>
            <w:tcBorders>
              <w:top w:val="nil"/>
              <w:left w:val="single" w:sz="4" w:space="0" w:color="auto"/>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37,4</w:t>
            </w:r>
          </w:p>
        </w:tc>
        <w:tc>
          <w:tcPr>
            <w:tcW w:w="9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56,6</w:t>
            </w:r>
          </w:p>
        </w:tc>
        <w:tc>
          <w:tcPr>
            <w:tcW w:w="90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5,8</w:t>
            </w:r>
          </w:p>
        </w:tc>
        <w:tc>
          <w:tcPr>
            <w:tcW w:w="90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0,2</w:t>
            </w:r>
          </w:p>
        </w:tc>
      </w:tr>
      <w:tr w:rsidR="009F5537" w:rsidRPr="0097155E" w:rsidTr="00305387">
        <w:trPr>
          <w:trHeight w:val="240"/>
        </w:trPr>
        <w:tc>
          <w:tcPr>
            <w:tcW w:w="6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2013</w:t>
            </w:r>
          </w:p>
        </w:tc>
        <w:tc>
          <w:tcPr>
            <w:tcW w:w="118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106 751</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41 655</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58 751</w:t>
            </w:r>
          </w:p>
        </w:tc>
        <w:tc>
          <w:tcPr>
            <w:tcW w:w="92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6 134</w:t>
            </w:r>
          </w:p>
        </w:tc>
        <w:tc>
          <w:tcPr>
            <w:tcW w:w="92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211</w:t>
            </w:r>
          </w:p>
        </w:tc>
        <w:tc>
          <w:tcPr>
            <w:tcW w:w="900" w:type="dxa"/>
            <w:tcBorders>
              <w:top w:val="nil"/>
              <w:left w:val="single" w:sz="4" w:space="0" w:color="auto"/>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39,0</w:t>
            </w:r>
          </w:p>
        </w:tc>
        <w:tc>
          <w:tcPr>
            <w:tcW w:w="9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55,0</w:t>
            </w:r>
          </w:p>
        </w:tc>
        <w:tc>
          <w:tcPr>
            <w:tcW w:w="90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5,7</w:t>
            </w:r>
          </w:p>
        </w:tc>
        <w:tc>
          <w:tcPr>
            <w:tcW w:w="90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0,2</w:t>
            </w:r>
          </w:p>
        </w:tc>
      </w:tr>
      <w:tr w:rsidR="009F5537" w:rsidRPr="0097155E" w:rsidTr="00305387">
        <w:trPr>
          <w:trHeight w:val="240"/>
        </w:trPr>
        <w:tc>
          <w:tcPr>
            <w:tcW w:w="6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2014</w:t>
            </w:r>
          </w:p>
        </w:tc>
        <w:tc>
          <w:tcPr>
            <w:tcW w:w="118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109 860</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44 985</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58 593</w:t>
            </w:r>
          </w:p>
        </w:tc>
        <w:tc>
          <w:tcPr>
            <w:tcW w:w="92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6 089</w:t>
            </w:r>
          </w:p>
        </w:tc>
        <w:tc>
          <w:tcPr>
            <w:tcW w:w="92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193</w:t>
            </w:r>
          </w:p>
        </w:tc>
        <w:tc>
          <w:tcPr>
            <w:tcW w:w="900" w:type="dxa"/>
            <w:tcBorders>
              <w:top w:val="nil"/>
              <w:left w:val="single" w:sz="4" w:space="0" w:color="auto"/>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40,9</w:t>
            </w:r>
          </w:p>
        </w:tc>
        <w:tc>
          <w:tcPr>
            <w:tcW w:w="9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53,3</w:t>
            </w:r>
          </w:p>
        </w:tc>
        <w:tc>
          <w:tcPr>
            <w:tcW w:w="90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5,5</w:t>
            </w:r>
          </w:p>
        </w:tc>
        <w:tc>
          <w:tcPr>
            <w:tcW w:w="90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0,2</w:t>
            </w:r>
          </w:p>
        </w:tc>
      </w:tr>
      <w:tr w:rsidR="009F5537" w:rsidRPr="0097155E" w:rsidTr="00305387">
        <w:trPr>
          <w:trHeight w:val="240"/>
        </w:trPr>
        <w:tc>
          <w:tcPr>
            <w:tcW w:w="6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2015</w:t>
            </w:r>
          </w:p>
        </w:tc>
        <w:tc>
          <w:tcPr>
            <w:tcW w:w="118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110 764</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46 887</w:t>
            </w:r>
          </w:p>
        </w:tc>
        <w:tc>
          <w:tcPr>
            <w:tcW w:w="92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57 788</w:t>
            </w:r>
          </w:p>
        </w:tc>
        <w:tc>
          <w:tcPr>
            <w:tcW w:w="92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5 911</w:t>
            </w:r>
          </w:p>
        </w:tc>
        <w:tc>
          <w:tcPr>
            <w:tcW w:w="92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178</w:t>
            </w:r>
          </w:p>
        </w:tc>
        <w:tc>
          <w:tcPr>
            <w:tcW w:w="900" w:type="dxa"/>
            <w:tcBorders>
              <w:top w:val="nil"/>
              <w:left w:val="single" w:sz="4" w:space="0" w:color="auto"/>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42,3</w:t>
            </w:r>
          </w:p>
        </w:tc>
        <w:tc>
          <w:tcPr>
            <w:tcW w:w="900" w:type="dxa"/>
            <w:tcBorders>
              <w:top w:val="nil"/>
              <w:left w:val="nil"/>
              <w:bottom w:val="nil"/>
              <w:right w:val="single" w:sz="4" w:space="0" w:color="auto"/>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52,2</w:t>
            </w:r>
          </w:p>
        </w:tc>
        <w:tc>
          <w:tcPr>
            <w:tcW w:w="900" w:type="dxa"/>
            <w:tcBorders>
              <w:top w:val="nil"/>
              <w:left w:val="nil"/>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5,3</w:t>
            </w:r>
          </w:p>
        </w:tc>
        <w:tc>
          <w:tcPr>
            <w:tcW w:w="900" w:type="dxa"/>
            <w:tcBorders>
              <w:top w:val="nil"/>
              <w:left w:val="single" w:sz="4" w:space="0" w:color="auto"/>
              <w:bottom w:val="nil"/>
              <w:right w:val="nil"/>
            </w:tcBorders>
            <w:shd w:val="clear" w:color="FFFFFF" w:fill="FFFFFF"/>
            <w:noWrap/>
            <w:vAlign w:val="bottom"/>
            <w:hideMark/>
          </w:tcPr>
          <w:p w:rsidR="009F5537" w:rsidRPr="0097155E" w:rsidRDefault="009F5537" w:rsidP="00305387">
            <w:pPr>
              <w:spacing w:after="0" w:line="240" w:lineRule="auto"/>
              <w:jc w:val="center"/>
              <w:rPr>
                <w:rFonts w:cs="Arial"/>
                <w:sz w:val="16"/>
                <w:szCs w:val="16"/>
              </w:rPr>
            </w:pPr>
            <w:r w:rsidRPr="0097155E">
              <w:rPr>
                <w:rFonts w:cs="Arial"/>
                <w:sz w:val="16"/>
                <w:szCs w:val="16"/>
              </w:rPr>
              <w:t>0,2</w:t>
            </w:r>
          </w:p>
        </w:tc>
      </w:tr>
    </w:tbl>
    <w:p w:rsidR="009F5537" w:rsidRDefault="009F5537" w:rsidP="009F5537">
      <w:pPr>
        <w:spacing w:after="0"/>
        <w:rPr>
          <w:rFonts w:cs="Arial"/>
          <w:b/>
          <w:szCs w:val="20"/>
        </w:rPr>
      </w:pPr>
    </w:p>
    <w:p w:rsidR="009F5537" w:rsidRDefault="009F5537" w:rsidP="009F5537">
      <w:pPr>
        <w:rPr>
          <w:rFonts w:cs="Arial"/>
          <w:szCs w:val="20"/>
        </w:rPr>
      </w:pPr>
      <w:r>
        <w:rPr>
          <w:rFonts w:cs="Arial"/>
          <w:szCs w:val="20"/>
        </w:rPr>
        <w:t xml:space="preserve">Celkový podíl živě narozených dětí mimo manželství postupně narostl z 31,7 % v roce 2005 na 47,8 % o deset let později. Nejčastěji se děti nevdaným matkám rodí v prvním pořadí, v roce 2015 se jednalo o 58,0 % ze všech prvorozených (nárůst ze 40,0 % v roce 2005). Druhý nejvyšší podíl byl zaznamenán u narozených ve třetím nebo vyšším pořadí, kde byl ovšem nárůst podílu v čase nejméně výrazný (z 31,7 % na 40,8 % mezi roky 2005–2015). Děti narozené ve druhém pořadí se stále nejčastěji rodí do manželství, i když zde podíl dětí narozených mimo manželství narostl relativně nejvíce (z 20,8 % na 37,5 %) a přiblížil se ke konci sledovaného období hodnotě za narozené ve třetím a vyšším pořadí.      </w:t>
      </w:r>
    </w:p>
    <w:p w:rsidR="009F5537" w:rsidRDefault="009F5537" w:rsidP="009F5537">
      <w:pPr>
        <w:tabs>
          <w:tab w:val="left" w:pos="915"/>
        </w:tabs>
        <w:rPr>
          <w:rFonts w:cs="Arial"/>
          <w:szCs w:val="20"/>
        </w:rPr>
      </w:pPr>
      <w:r>
        <w:rPr>
          <w:rFonts w:cs="Arial"/>
          <w:szCs w:val="20"/>
        </w:rPr>
        <w:lastRenderedPageBreak/>
        <w:t xml:space="preserve">Zastoupení dětí narozených mimo manželství je také značně diferencováno podle nejvyššího ukončeného vzdělání – s rostoucí úrovní vzdělání podíl dětí narozených mimo manželství klesá. U matek se základním nebo nižším vzděláním byl podíl nejvyšší a narostl z 67,1 % na 80,5 % mezi roky 2005 až 2015. Naopak nejnižších hodnot dosahovaly vysokoškolsky vzdělané matky, u nichž se ovšem podíl v poslední dekádě zvýšil relativně nejvíce z 12,3 % na 29,1 %. Mezi těmito dvěma skupinami se nachází středoškolsky vzdělané ženy bez maturity s 63,8% zastoupením dětí narozených mimo manželství v roce 2015 a středoškolačky s maturitou s 44,5% podílem ve stejném roce.  </w:t>
      </w:r>
    </w:p>
    <w:p w:rsidR="009F5537" w:rsidRDefault="009F5537" w:rsidP="009F5537">
      <w:pPr>
        <w:spacing w:after="60"/>
        <w:rPr>
          <w:rFonts w:cs="Arial"/>
          <w:b/>
          <w:szCs w:val="20"/>
        </w:rPr>
      </w:pPr>
      <w:r w:rsidRPr="0097155E">
        <w:rPr>
          <w:rFonts w:cs="Arial"/>
          <w:b/>
          <w:szCs w:val="20"/>
        </w:rPr>
        <w:t xml:space="preserve">Graf 2 Podíl živě narozených dětí mimo manželství </w:t>
      </w:r>
      <w:r>
        <w:rPr>
          <w:rFonts w:cs="Arial"/>
          <w:b/>
          <w:szCs w:val="20"/>
        </w:rPr>
        <w:t xml:space="preserve">podle pořadí </w:t>
      </w:r>
      <w:r w:rsidRPr="0097155E">
        <w:rPr>
          <w:rFonts w:cs="Arial"/>
          <w:b/>
          <w:szCs w:val="20"/>
        </w:rPr>
        <w:t xml:space="preserve">v </w:t>
      </w:r>
      <w:r>
        <w:rPr>
          <w:rFonts w:cs="Arial"/>
          <w:b/>
          <w:szCs w:val="20"/>
        </w:rPr>
        <w:t>letech 2005, 2010 a 2015</w:t>
      </w:r>
    </w:p>
    <w:p w:rsidR="009F5537" w:rsidRDefault="009F5537" w:rsidP="009F5537">
      <w:pPr>
        <w:spacing w:after="60"/>
        <w:rPr>
          <w:rFonts w:cs="Arial"/>
          <w:b/>
          <w:szCs w:val="20"/>
        </w:rPr>
      </w:pPr>
      <w:r>
        <w:rPr>
          <w:noProof/>
        </w:rPr>
        <w:pict>
          <v:shape id="_x0000_s1033" type="#_x0000_t75" style="position:absolute;margin-left:.3pt;margin-top:.3pt;width:425.25pt;height:227.25pt;z-index:7;mso-position-horizontal:absolute;mso-position-horizontal-relative:text;mso-position-vertical:absolute;mso-position-vertical-relative:text">
            <v:imagedata r:id="rId10" o:title=""/>
          </v:shape>
        </w:pict>
      </w:r>
    </w:p>
    <w:p w:rsidR="009F5537" w:rsidRPr="00F55A6C" w:rsidRDefault="009F5537" w:rsidP="009F5537">
      <w:pPr>
        <w:rPr>
          <w:rFonts w:cs="Arial"/>
          <w:szCs w:val="20"/>
        </w:rPr>
      </w:pPr>
    </w:p>
    <w:p w:rsidR="009F5537" w:rsidRPr="00F55A6C" w:rsidRDefault="009F5537" w:rsidP="009F5537">
      <w:pPr>
        <w:rPr>
          <w:rFonts w:cs="Arial"/>
          <w:szCs w:val="20"/>
        </w:rPr>
      </w:pPr>
    </w:p>
    <w:p w:rsidR="009F5537" w:rsidRPr="00F55A6C" w:rsidRDefault="009F5537" w:rsidP="009F5537">
      <w:pPr>
        <w:rPr>
          <w:rFonts w:cs="Arial"/>
          <w:szCs w:val="20"/>
        </w:rPr>
      </w:pPr>
    </w:p>
    <w:p w:rsidR="009F5537" w:rsidRPr="00F55A6C" w:rsidRDefault="009F5537" w:rsidP="009F5537">
      <w:pPr>
        <w:rPr>
          <w:rFonts w:cs="Arial"/>
          <w:szCs w:val="20"/>
        </w:rPr>
      </w:pPr>
    </w:p>
    <w:p w:rsidR="009F5537" w:rsidRPr="00F55A6C" w:rsidRDefault="009F5537" w:rsidP="009F5537">
      <w:pPr>
        <w:rPr>
          <w:rFonts w:cs="Arial"/>
          <w:szCs w:val="20"/>
        </w:rPr>
      </w:pPr>
    </w:p>
    <w:p w:rsidR="009F5537" w:rsidRPr="00F55A6C" w:rsidRDefault="009F5537" w:rsidP="009F5537">
      <w:pPr>
        <w:rPr>
          <w:rFonts w:cs="Arial"/>
          <w:szCs w:val="20"/>
        </w:rPr>
      </w:pPr>
    </w:p>
    <w:p w:rsidR="009F5537" w:rsidRPr="00F55A6C" w:rsidRDefault="009F5537" w:rsidP="009F5537">
      <w:pPr>
        <w:rPr>
          <w:rFonts w:cs="Arial"/>
          <w:szCs w:val="20"/>
        </w:rPr>
      </w:pPr>
    </w:p>
    <w:p w:rsidR="009F5537" w:rsidRPr="00F55A6C" w:rsidRDefault="009F5537" w:rsidP="009F5537">
      <w:pPr>
        <w:rPr>
          <w:rFonts w:cs="Arial"/>
          <w:szCs w:val="20"/>
        </w:rPr>
      </w:pPr>
    </w:p>
    <w:p w:rsidR="009F5537" w:rsidRDefault="009F5537" w:rsidP="009F5537">
      <w:pPr>
        <w:tabs>
          <w:tab w:val="left" w:pos="915"/>
        </w:tabs>
        <w:spacing w:after="0"/>
        <w:rPr>
          <w:rFonts w:cs="Arial"/>
          <w:szCs w:val="20"/>
        </w:rPr>
      </w:pPr>
    </w:p>
    <w:p w:rsidR="009F5537" w:rsidRDefault="009F5537" w:rsidP="009F5537">
      <w:pPr>
        <w:spacing w:after="60"/>
        <w:rPr>
          <w:rFonts w:cs="Arial"/>
          <w:b/>
          <w:szCs w:val="20"/>
        </w:rPr>
      </w:pPr>
      <w:r w:rsidRPr="00F55A6C">
        <w:rPr>
          <w:rFonts w:cs="Arial"/>
          <w:b/>
          <w:szCs w:val="20"/>
        </w:rPr>
        <w:t xml:space="preserve">Graf 3 Podíl živě narozených dětí mimo manželství podle vzdělání </w:t>
      </w:r>
      <w:r>
        <w:rPr>
          <w:rFonts w:cs="Arial"/>
          <w:b/>
          <w:szCs w:val="20"/>
        </w:rPr>
        <w:t>matky</w:t>
      </w:r>
      <w:r w:rsidRPr="00F55A6C">
        <w:rPr>
          <w:rFonts w:cs="Arial"/>
          <w:b/>
          <w:szCs w:val="20"/>
        </w:rPr>
        <w:t xml:space="preserve"> v letech </w:t>
      </w:r>
      <w:r>
        <w:rPr>
          <w:rFonts w:cs="Arial"/>
          <w:b/>
          <w:szCs w:val="20"/>
        </w:rPr>
        <w:t>2005, 2010 a 2015</w:t>
      </w:r>
    </w:p>
    <w:p w:rsidR="009F5537" w:rsidRDefault="009F5537" w:rsidP="009F5537">
      <w:pPr>
        <w:spacing w:after="60"/>
        <w:rPr>
          <w:rFonts w:cs="Arial"/>
          <w:b/>
          <w:szCs w:val="20"/>
        </w:rPr>
      </w:pPr>
      <w:r>
        <w:rPr>
          <w:noProof/>
        </w:rPr>
        <w:pict>
          <v:shape id="_x0000_s1034" type="#_x0000_t75" style="position:absolute;margin-left:.3pt;margin-top:-.05pt;width:425.25pt;height:227.25pt;z-index:8;mso-position-horizontal-relative:text;mso-position-vertical-relative:text">
            <v:imagedata r:id="rId11" o:title=""/>
          </v:shape>
        </w:pict>
      </w: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tabs>
          <w:tab w:val="left" w:pos="915"/>
        </w:tabs>
        <w:spacing w:after="0" w:line="240" w:lineRule="auto"/>
        <w:rPr>
          <w:rFonts w:cs="Arial"/>
          <w:szCs w:val="20"/>
        </w:rPr>
      </w:pPr>
    </w:p>
    <w:p w:rsidR="009F5537" w:rsidRDefault="009F5537" w:rsidP="009F5537">
      <w:pPr>
        <w:spacing w:before="240"/>
        <w:rPr>
          <w:rFonts w:cs="Arial"/>
          <w:szCs w:val="20"/>
        </w:rPr>
      </w:pPr>
      <w:r>
        <w:rPr>
          <w:rFonts w:cs="Arial"/>
          <w:szCs w:val="20"/>
        </w:rPr>
        <w:t xml:space="preserve">Nárůst podílu mimomanželsky narozených dětí byl v poslední dekádě zaznamenán v každém věku matky. Nejvíce, více než o polovinu, narostl u 23 až 33letýmch matek. Před deseti lety byly nejnižší hodnoty evidovány ve věcích 28 až 32 let (pod 25 %). V roce 2015 byl podíl nejnižší (pod 40 %) u matek ve věkovém rozpětí 30 až 35 let. Věky, kde se rodí nemanželské děti v nejnižším procentu, se následně posunuly do staršího věku matky, obdobně jako se posunulo časování rození dětí. Nejvyššího podílu dětí narozených mimo manželství dosáhly nejmladší matky (nad 90 % u mladších 20 let v roce 2015). Hodnoty podílu se </w:t>
      </w:r>
      <w:r>
        <w:rPr>
          <w:rFonts w:cs="Arial"/>
          <w:szCs w:val="20"/>
        </w:rPr>
        <w:lastRenderedPageBreak/>
        <w:t xml:space="preserve">s rostoucím věkem tedy snižovaly až do výše uvedených skupin s nejnižším zastoupením nemanželských dětí. Směrem k vyššímu věku pak byl patrný další nárůst, když skupina matek 40letých a starších dosahovala v roce 2015 podílu 47,5 %.      </w:t>
      </w:r>
    </w:p>
    <w:p w:rsidR="009F5537" w:rsidRPr="00DF5E7C" w:rsidRDefault="009F5537" w:rsidP="009F5537">
      <w:pPr>
        <w:spacing w:after="60"/>
        <w:rPr>
          <w:rFonts w:cs="Arial"/>
          <w:b/>
          <w:szCs w:val="20"/>
        </w:rPr>
      </w:pPr>
      <w:r w:rsidRPr="00DF5E7C">
        <w:rPr>
          <w:rFonts w:cs="Arial"/>
          <w:b/>
          <w:szCs w:val="20"/>
        </w:rPr>
        <w:t xml:space="preserve">Graf 4 Podíl živě narozených dětí mimo manželství podle věku </w:t>
      </w:r>
      <w:r>
        <w:rPr>
          <w:rFonts w:cs="Arial"/>
          <w:b/>
          <w:szCs w:val="20"/>
        </w:rPr>
        <w:t>matky</w:t>
      </w:r>
      <w:r w:rsidRPr="00DF5E7C">
        <w:rPr>
          <w:rFonts w:cs="Arial"/>
          <w:b/>
          <w:szCs w:val="20"/>
        </w:rPr>
        <w:t xml:space="preserve"> v letech 2005, 2010 a 2015</w:t>
      </w:r>
    </w:p>
    <w:p w:rsidR="009F5537" w:rsidRDefault="009F5537" w:rsidP="009F5537">
      <w:pPr>
        <w:rPr>
          <w:rFonts w:cs="Arial"/>
          <w:szCs w:val="20"/>
        </w:rPr>
      </w:pPr>
      <w:r>
        <w:rPr>
          <w:noProof/>
        </w:rPr>
        <w:pict>
          <v:shape id="_x0000_s1035" type="#_x0000_t75" style="position:absolute;margin-left:.3pt;margin-top:.3pt;width:425.25pt;height:227.25pt;z-index:9;mso-position-horizontal:absolute;mso-position-horizontal-relative:text;mso-position-vertical:absolute;mso-position-vertical-relative:text">
            <v:imagedata r:id="rId12" o:title=""/>
          </v:shape>
        </w:pict>
      </w:r>
    </w:p>
    <w:p w:rsidR="009F5537" w:rsidRPr="00DF5E7C" w:rsidRDefault="009F5537" w:rsidP="009F5537">
      <w:pPr>
        <w:rPr>
          <w:rFonts w:cs="Arial"/>
          <w:szCs w:val="20"/>
        </w:rPr>
      </w:pPr>
    </w:p>
    <w:p w:rsidR="009F5537" w:rsidRDefault="009F5537" w:rsidP="009F5537">
      <w:pPr>
        <w:rPr>
          <w:rFonts w:cs="Arial"/>
          <w:szCs w:val="20"/>
        </w:rPr>
      </w:pPr>
    </w:p>
    <w:p w:rsidR="009F5537" w:rsidRDefault="009F5537" w:rsidP="009F5537">
      <w:pPr>
        <w:rPr>
          <w:rFonts w:cs="Arial"/>
          <w:szCs w:val="20"/>
        </w:rPr>
      </w:pPr>
    </w:p>
    <w:p w:rsidR="009F5537" w:rsidRDefault="009F5537" w:rsidP="009F5537">
      <w:pPr>
        <w:rPr>
          <w:rFonts w:cs="Arial"/>
          <w:szCs w:val="20"/>
        </w:rPr>
      </w:pPr>
    </w:p>
    <w:p w:rsidR="009F5537" w:rsidRDefault="009F5537" w:rsidP="009F5537">
      <w:pPr>
        <w:rPr>
          <w:rFonts w:cs="Arial"/>
          <w:szCs w:val="20"/>
        </w:rPr>
      </w:pPr>
    </w:p>
    <w:p w:rsidR="009F5537" w:rsidRDefault="009F5537" w:rsidP="009F5537">
      <w:pPr>
        <w:rPr>
          <w:rFonts w:cs="Arial"/>
          <w:szCs w:val="20"/>
        </w:rPr>
      </w:pPr>
    </w:p>
    <w:p w:rsidR="009F5537" w:rsidRDefault="009F5537" w:rsidP="009F5537">
      <w:pPr>
        <w:rPr>
          <w:rFonts w:cs="Arial"/>
          <w:szCs w:val="20"/>
        </w:rPr>
      </w:pPr>
    </w:p>
    <w:p w:rsidR="009F5537" w:rsidRDefault="009F5537" w:rsidP="009F5537">
      <w:pPr>
        <w:spacing w:after="200"/>
        <w:rPr>
          <w:rFonts w:cs="Arial"/>
          <w:szCs w:val="20"/>
        </w:rPr>
      </w:pPr>
    </w:p>
    <w:p w:rsidR="009F5537" w:rsidRDefault="009F5537" w:rsidP="009F5537">
      <w:pPr>
        <w:pStyle w:val="Nadpis2"/>
        <w:spacing w:line="240" w:lineRule="auto"/>
      </w:pPr>
    </w:p>
    <w:p w:rsidR="009F5537" w:rsidRDefault="009F5537" w:rsidP="009F5537">
      <w:pPr>
        <w:pStyle w:val="Nadpis2"/>
      </w:pPr>
      <w:bookmarkStart w:id="4" w:name="_Toc468110164"/>
      <w:r>
        <w:t>2.4 Vzdělání matky</w:t>
      </w:r>
      <w:bookmarkEnd w:id="4"/>
      <w:r>
        <w:t xml:space="preserve"> </w:t>
      </w:r>
      <w:r>
        <w:tab/>
      </w:r>
    </w:p>
    <w:p w:rsidR="009F5537" w:rsidRDefault="009F5537" w:rsidP="009F5537">
      <w:pPr>
        <w:rPr>
          <w:rFonts w:cs="Arial"/>
          <w:szCs w:val="20"/>
        </w:rPr>
      </w:pPr>
      <w:r>
        <w:rPr>
          <w:rFonts w:cs="Arial"/>
          <w:szCs w:val="20"/>
        </w:rPr>
        <w:t>Počty živě narozených dětí podle nejvyššího ukončeného vzdělání matky byly ovlivněny měnící se strukturou žen v reprodukčním věku podle vzdělání. Výběrové šetření pracovních sil udává</w:t>
      </w:r>
      <w:r>
        <w:rPr>
          <w:rStyle w:val="Znakapoznpodarou"/>
          <w:rFonts w:cs="Arial"/>
          <w:szCs w:val="20"/>
        </w:rPr>
        <w:footnoteReference w:id="2"/>
      </w:r>
      <w:r>
        <w:rPr>
          <w:rFonts w:cs="Arial"/>
          <w:szCs w:val="20"/>
        </w:rPr>
        <w:t xml:space="preserve">, že mezi roky 2005 až 2015 došlo k poklesu zastoupení žen ve věku 15–49 let se základním nebo nižším vzděláním z 25,2 % na 17,7 % a v případě středoškolsky vzdělaných bez maturity z 30,6 % na 27,6 %. Naopak mírně narostl podíl žen se středoškolským vzděláním s maturitou z 35,4 % na 36,9 % a výrazně vzrostl podíl vysokoškolsky vzdělaných z 8,8 % na 17,8 %. </w:t>
      </w:r>
    </w:p>
    <w:p w:rsidR="009F5537" w:rsidRDefault="009F5537" w:rsidP="009F5537">
      <w:pPr>
        <w:spacing w:after="60"/>
        <w:rPr>
          <w:rFonts w:cs="Arial"/>
          <w:b/>
          <w:szCs w:val="20"/>
        </w:rPr>
      </w:pPr>
      <w:r w:rsidRPr="0029542D">
        <w:rPr>
          <w:rFonts w:cs="Arial"/>
          <w:b/>
          <w:szCs w:val="20"/>
        </w:rPr>
        <w:t>Tab. 5 Živě narození podle vzdělání matky v letech 2005–2015</w:t>
      </w:r>
    </w:p>
    <w:tbl>
      <w:tblPr>
        <w:tblW w:w="9639" w:type="dxa"/>
        <w:tblCellMar>
          <w:left w:w="70" w:type="dxa"/>
          <w:right w:w="70" w:type="dxa"/>
        </w:tblCellMar>
        <w:tblLook w:val="04A0" w:firstRow="1" w:lastRow="0" w:firstColumn="1" w:lastColumn="0" w:noHBand="0" w:noVBand="1"/>
      </w:tblPr>
      <w:tblGrid>
        <w:gridCol w:w="752"/>
        <w:gridCol w:w="1478"/>
        <w:gridCol w:w="1477"/>
        <w:gridCol w:w="1477"/>
        <w:gridCol w:w="1477"/>
        <w:gridCol w:w="1501"/>
        <w:gridCol w:w="1477"/>
      </w:tblGrid>
      <w:tr w:rsidR="009F5537" w:rsidRPr="0029542D" w:rsidTr="00305387">
        <w:trPr>
          <w:trHeight w:val="240"/>
        </w:trPr>
        <w:tc>
          <w:tcPr>
            <w:tcW w:w="752"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29542D" w:rsidRDefault="009F5537" w:rsidP="00305387">
            <w:pPr>
              <w:spacing w:after="0" w:line="240" w:lineRule="auto"/>
              <w:jc w:val="center"/>
              <w:rPr>
                <w:rFonts w:cs="Arial"/>
                <w:b/>
                <w:bCs/>
                <w:sz w:val="16"/>
                <w:szCs w:val="16"/>
              </w:rPr>
            </w:pPr>
            <w:r w:rsidRPr="0029542D">
              <w:rPr>
                <w:rFonts w:cs="Arial"/>
                <w:b/>
                <w:bCs/>
                <w:sz w:val="16"/>
                <w:szCs w:val="16"/>
              </w:rPr>
              <w:t>Rok</w:t>
            </w:r>
          </w:p>
        </w:tc>
        <w:tc>
          <w:tcPr>
            <w:tcW w:w="1478" w:type="dxa"/>
            <w:vMerge w:val="restart"/>
            <w:tcBorders>
              <w:top w:val="single" w:sz="4" w:space="0" w:color="auto"/>
              <w:left w:val="single" w:sz="4" w:space="0" w:color="auto"/>
              <w:bottom w:val="single" w:sz="4" w:space="0" w:color="000000"/>
              <w:right w:val="single" w:sz="4" w:space="0" w:color="auto"/>
            </w:tcBorders>
            <w:shd w:val="clear" w:color="FFFFFF" w:fill="F5DADD"/>
            <w:vAlign w:val="center"/>
            <w:hideMark/>
          </w:tcPr>
          <w:p w:rsidR="009F5537" w:rsidRPr="0029542D" w:rsidRDefault="009F5537" w:rsidP="00305387">
            <w:pPr>
              <w:spacing w:after="0" w:line="240" w:lineRule="auto"/>
              <w:jc w:val="center"/>
              <w:rPr>
                <w:rFonts w:cs="Arial"/>
                <w:b/>
                <w:bCs/>
                <w:sz w:val="16"/>
                <w:szCs w:val="16"/>
              </w:rPr>
            </w:pPr>
            <w:r w:rsidRPr="0029542D">
              <w:rPr>
                <w:rFonts w:cs="Arial"/>
                <w:b/>
                <w:bCs/>
                <w:sz w:val="16"/>
                <w:szCs w:val="16"/>
              </w:rPr>
              <w:t>Živě narození celkem</w:t>
            </w:r>
          </w:p>
        </w:tc>
        <w:tc>
          <w:tcPr>
            <w:tcW w:w="7409" w:type="dxa"/>
            <w:gridSpan w:val="5"/>
            <w:tcBorders>
              <w:top w:val="single" w:sz="4" w:space="0" w:color="auto"/>
              <w:left w:val="nil"/>
              <w:bottom w:val="single" w:sz="4" w:space="0" w:color="auto"/>
              <w:right w:val="nil"/>
            </w:tcBorders>
            <w:shd w:val="clear" w:color="FFFFFF" w:fill="F5DADD"/>
            <w:noWrap/>
            <w:vAlign w:val="center"/>
            <w:hideMark/>
          </w:tcPr>
          <w:p w:rsidR="009F5537" w:rsidRPr="0029542D" w:rsidRDefault="009F5537" w:rsidP="00305387">
            <w:pPr>
              <w:spacing w:after="0" w:line="240" w:lineRule="auto"/>
              <w:jc w:val="center"/>
              <w:rPr>
                <w:rFonts w:cs="Arial"/>
                <w:b/>
                <w:bCs/>
                <w:sz w:val="16"/>
                <w:szCs w:val="16"/>
              </w:rPr>
            </w:pPr>
            <w:r w:rsidRPr="0029542D">
              <w:rPr>
                <w:rFonts w:cs="Arial"/>
                <w:b/>
                <w:bCs/>
                <w:sz w:val="16"/>
                <w:szCs w:val="16"/>
              </w:rPr>
              <w:t>Vzdělání matky</w:t>
            </w:r>
          </w:p>
        </w:tc>
      </w:tr>
      <w:tr w:rsidR="009F5537" w:rsidRPr="0029542D" w:rsidTr="00305387">
        <w:trPr>
          <w:trHeight w:val="480"/>
        </w:trPr>
        <w:tc>
          <w:tcPr>
            <w:tcW w:w="752" w:type="dxa"/>
            <w:vMerge/>
            <w:tcBorders>
              <w:top w:val="single" w:sz="4" w:space="0" w:color="auto"/>
              <w:left w:val="nil"/>
              <w:bottom w:val="single" w:sz="4" w:space="0" w:color="000000"/>
              <w:right w:val="single" w:sz="4" w:space="0" w:color="auto"/>
            </w:tcBorders>
            <w:vAlign w:val="center"/>
            <w:hideMark/>
          </w:tcPr>
          <w:p w:rsidR="009F5537" w:rsidRPr="0029542D" w:rsidRDefault="009F5537" w:rsidP="00305387">
            <w:pPr>
              <w:spacing w:after="0" w:line="240" w:lineRule="auto"/>
              <w:rPr>
                <w:rFonts w:cs="Arial"/>
                <w:b/>
                <w:bCs/>
                <w:sz w:val="16"/>
                <w:szCs w:val="16"/>
              </w:rPr>
            </w:pPr>
          </w:p>
        </w:tc>
        <w:tc>
          <w:tcPr>
            <w:tcW w:w="1478" w:type="dxa"/>
            <w:vMerge/>
            <w:tcBorders>
              <w:top w:val="single" w:sz="4" w:space="0" w:color="auto"/>
              <w:left w:val="single" w:sz="4" w:space="0" w:color="auto"/>
              <w:bottom w:val="single" w:sz="4" w:space="0" w:color="000000"/>
              <w:right w:val="single" w:sz="4" w:space="0" w:color="auto"/>
            </w:tcBorders>
            <w:vAlign w:val="center"/>
            <w:hideMark/>
          </w:tcPr>
          <w:p w:rsidR="009F5537" w:rsidRPr="0029542D" w:rsidRDefault="009F5537" w:rsidP="00305387">
            <w:pPr>
              <w:spacing w:after="0" w:line="240" w:lineRule="auto"/>
              <w:rPr>
                <w:rFonts w:cs="Arial"/>
                <w:b/>
                <w:bCs/>
                <w:sz w:val="16"/>
                <w:szCs w:val="16"/>
              </w:rPr>
            </w:pPr>
          </w:p>
        </w:tc>
        <w:tc>
          <w:tcPr>
            <w:tcW w:w="1477" w:type="dxa"/>
            <w:tcBorders>
              <w:top w:val="nil"/>
              <w:left w:val="nil"/>
              <w:bottom w:val="single" w:sz="4" w:space="0" w:color="auto"/>
              <w:right w:val="single" w:sz="4" w:space="0" w:color="auto"/>
            </w:tcBorders>
            <w:shd w:val="clear" w:color="FFFFFF" w:fill="F5DADD"/>
            <w:vAlign w:val="center"/>
            <w:hideMark/>
          </w:tcPr>
          <w:p w:rsidR="009F5537" w:rsidRPr="0029542D" w:rsidRDefault="009F5537" w:rsidP="00305387">
            <w:pPr>
              <w:spacing w:after="0" w:line="240" w:lineRule="auto"/>
              <w:jc w:val="center"/>
              <w:rPr>
                <w:rFonts w:cs="Arial"/>
                <w:sz w:val="16"/>
                <w:szCs w:val="16"/>
              </w:rPr>
            </w:pPr>
            <w:r w:rsidRPr="0029542D">
              <w:rPr>
                <w:rFonts w:cs="Arial"/>
                <w:sz w:val="16"/>
                <w:szCs w:val="16"/>
              </w:rPr>
              <w:t>Základní</w:t>
            </w:r>
          </w:p>
        </w:tc>
        <w:tc>
          <w:tcPr>
            <w:tcW w:w="1477" w:type="dxa"/>
            <w:tcBorders>
              <w:top w:val="nil"/>
              <w:left w:val="nil"/>
              <w:bottom w:val="single" w:sz="4" w:space="0" w:color="auto"/>
              <w:right w:val="nil"/>
            </w:tcBorders>
            <w:shd w:val="clear" w:color="FFFFFF" w:fill="F5DADD"/>
            <w:vAlign w:val="center"/>
            <w:hideMark/>
          </w:tcPr>
          <w:p w:rsidR="009F5537" w:rsidRPr="0029542D" w:rsidRDefault="009F5537" w:rsidP="00305387">
            <w:pPr>
              <w:spacing w:after="0" w:line="240" w:lineRule="auto"/>
              <w:jc w:val="center"/>
              <w:rPr>
                <w:rFonts w:cs="Arial"/>
                <w:sz w:val="16"/>
                <w:szCs w:val="16"/>
              </w:rPr>
            </w:pPr>
            <w:r w:rsidRPr="0029542D">
              <w:rPr>
                <w:rFonts w:cs="Arial"/>
                <w:sz w:val="16"/>
                <w:szCs w:val="16"/>
              </w:rPr>
              <w:t>Středoškolské bez maturity</w:t>
            </w:r>
          </w:p>
        </w:tc>
        <w:tc>
          <w:tcPr>
            <w:tcW w:w="1477" w:type="dxa"/>
            <w:tcBorders>
              <w:top w:val="nil"/>
              <w:left w:val="single" w:sz="4" w:space="0" w:color="auto"/>
              <w:bottom w:val="single" w:sz="4" w:space="0" w:color="auto"/>
              <w:right w:val="nil"/>
            </w:tcBorders>
            <w:shd w:val="clear" w:color="FFFFFF" w:fill="F5DADD"/>
            <w:vAlign w:val="center"/>
            <w:hideMark/>
          </w:tcPr>
          <w:p w:rsidR="009F5537" w:rsidRPr="0029542D" w:rsidRDefault="009F5537" w:rsidP="00305387">
            <w:pPr>
              <w:spacing w:after="0" w:line="240" w:lineRule="auto"/>
              <w:jc w:val="center"/>
              <w:rPr>
                <w:rFonts w:cs="Arial"/>
                <w:sz w:val="16"/>
                <w:szCs w:val="16"/>
              </w:rPr>
            </w:pPr>
            <w:r w:rsidRPr="0029542D">
              <w:rPr>
                <w:rFonts w:cs="Arial"/>
                <w:sz w:val="16"/>
                <w:szCs w:val="16"/>
              </w:rPr>
              <w:t>Středoškolské s maturitou</w:t>
            </w:r>
          </w:p>
        </w:tc>
        <w:tc>
          <w:tcPr>
            <w:tcW w:w="1501" w:type="dxa"/>
            <w:tcBorders>
              <w:top w:val="nil"/>
              <w:left w:val="single" w:sz="4" w:space="0" w:color="auto"/>
              <w:bottom w:val="single" w:sz="4" w:space="0" w:color="auto"/>
              <w:right w:val="single" w:sz="4" w:space="0" w:color="auto"/>
            </w:tcBorders>
            <w:shd w:val="clear" w:color="FFFFFF" w:fill="F5DADD"/>
            <w:vAlign w:val="center"/>
            <w:hideMark/>
          </w:tcPr>
          <w:p w:rsidR="009F5537" w:rsidRPr="0029542D" w:rsidRDefault="009F5537" w:rsidP="00305387">
            <w:pPr>
              <w:spacing w:after="0" w:line="240" w:lineRule="auto"/>
              <w:jc w:val="center"/>
              <w:rPr>
                <w:rFonts w:cs="Arial"/>
                <w:sz w:val="16"/>
                <w:szCs w:val="16"/>
              </w:rPr>
            </w:pPr>
            <w:r w:rsidRPr="0029542D">
              <w:rPr>
                <w:rFonts w:cs="Arial"/>
                <w:sz w:val="16"/>
                <w:szCs w:val="16"/>
              </w:rPr>
              <w:t>Vysokoškolské</w:t>
            </w:r>
          </w:p>
        </w:tc>
        <w:tc>
          <w:tcPr>
            <w:tcW w:w="1477" w:type="dxa"/>
            <w:tcBorders>
              <w:top w:val="nil"/>
              <w:left w:val="nil"/>
              <w:bottom w:val="single" w:sz="4" w:space="0" w:color="auto"/>
              <w:right w:val="nil"/>
            </w:tcBorders>
            <w:shd w:val="clear" w:color="FFFFFF" w:fill="F5DADD"/>
            <w:vAlign w:val="center"/>
            <w:hideMark/>
          </w:tcPr>
          <w:p w:rsidR="009F5537" w:rsidRPr="0029542D" w:rsidRDefault="009F5537" w:rsidP="00305387">
            <w:pPr>
              <w:spacing w:after="0" w:line="240" w:lineRule="auto"/>
              <w:jc w:val="center"/>
              <w:rPr>
                <w:rFonts w:cs="Arial"/>
                <w:sz w:val="16"/>
                <w:szCs w:val="16"/>
              </w:rPr>
            </w:pPr>
            <w:r w:rsidRPr="0029542D">
              <w:rPr>
                <w:rFonts w:cs="Arial"/>
                <w:sz w:val="16"/>
                <w:szCs w:val="16"/>
              </w:rPr>
              <w:t>Nezjištěno</w:t>
            </w:r>
          </w:p>
        </w:tc>
      </w:tr>
      <w:tr w:rsidR="009F5537" w:rsidRPr="0029542D" w:rsidTr="00305387">
        <w:trPr>
          <w:trHeight w:val="240"/>
        </w:trPr>
        <w:tc>
          <w:tcPr>
            <w:tcW w:w="752"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2005</w:t>
            </w:r>
          </w:p>
        </w:tc>
        <w:tc>
          <w:tcPr>
            <w:tcW w:w="1478"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102 211</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11 779</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32 632</w:t>
            </w:r>
          </w:p>
        </w:tc>
        <w:tc>
          <w:tcPr>
            <w:tcW w:w="1477" w:type="dxa"/>
            <w:tcBorders>
              <w:top w:val="nil"/>
              <w:left w:val="nil"/>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43 272</w:t>
            </w:r>
          </w:p>
        </w:tc>
        <w:tc>
          <w:tcPr>
            <w:tcW w:w="1501" w:type="dxa"/>
            <w:tcBorders>
              <w:top w:val="nil"/>
              <w:left w:val="single" w:sz="4" w:space="0" w:color="auto"/>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14 528</w:t>
            </w:r>
          </w:p>
        </w:tc>
        <w:tc>
          <w:tcPr>
            <w:tcW w:w="1477" w:type="dxa"/>
            <w:tcBorders>
              <w:top w:val="nil"/>
              <w:left w:val="single" w:sz="4" w:space="0" w:color="auto"/>
              <w:bottom w:val="nil"/>
              <w:right w:val="nil"/>
            </w:tcBorders>
            <w:shd w:val="clear" w:color="FFFFFF" w:fill="FFFFFF"/>
            <w:noWrap/>
            <w:tcMar>
              <w:right w:w="454" w:type="dxa"/>
            </w:tcMar>
            <w:vAlign w:val="bottom"/>
            <w:hideMark/>
          </w:tcPr>
          <w:p w:rsidR="009F5537" w:rsidRPr="0029542D" w:rsidRDefault="009F5537" w:rsidP="00305387">
            <w:pPr>
              <w:spacing w:after="0" w:line="240" w:lineRule="auto"/>
              <w:jc w:val="right"/>
              <w:rPr>
                <w:rFonts w:cs="Arial"/>
                <w:sz w:val="16"/>
                <w:szCs w:val="16"/>
              </w:rPr>
            </w:pPr>
            <w:r w:rsidRPr="0029542D">
              <w:rPr>
                <w:rFonts w:cs="Arial"/>
                <w:sz w:val="16"/>
                <w:szCs w:val="16"/>
              </w:rPr>
              <w:t>.</w:t>
            </w:r>
          </w:p>
        </w:tc>
      </w:tr>
      <w:tr w:rsidR="009F5537" w:rsidRPr="0029542D" w:rsidTr="00305387">
        <w:trPr>
          <w:trHeight w:val="240"/>
        </w:trPr>
        <w:tc>
          <w:tcPr>
            <w:tcW w:w="752"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2006</w:t>
            </w:r>
          </w:p>
        </w:tc>
        <w:tc>
          <w:tcPr>
            <w:tcW w:w="1478"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105 831</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12 318</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31 603</w:t>
            </w:r>
          </w:p>
        </w:tc>
        <w:tc>
          <w:tcPr>
            <w:tcW w:w="1477" w:type="dxa"/>
            <w:tcBorders>
              <w:top w:val="nil"/>
              <w:left w:val="nil"/>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45 635</w:t>
            </w:r>
          </w:p>
        </w:tc>
        <w:tc>
          <w:tcPr>
            <w:tcW w:w="1501" w:type="dxa"/>
            <w:tcBorders>
              <w:top w:val="nil"/>
              <w:left w:val="single" w:sz="4" w:space="0" w:color="auto"/>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16 275</w:t>
            </w:r>
          </w:p>
        </w:tc>
        <w:tc>
          <w:tcPr>
            <w:tcW w:w="1477" w:type="dxa"/>
            <w:tcBorders>
              <w:top w:val="nil"/>
              <w:left w:val="single" w:sz="4" w:space="0" w:color="auto"/>
              <w:bottom w:val="nil"/>
              <w:right w:val="nil"/>
            </w:tcBorders>
            <w:shd w:val="clear" w:color="FFFFFF" w:fill="FFFFFF"/>
            <w:noWrap/>
            <w:tcMar>
              <w:right w:w="454" w:type="dxa"/>
            </w:tcMar>
            <w:vAlign w:val="bottom"/>
            <w:hideMark/>
          </w:tcPr>
          <w:p w:rsidR="009F5537" w:rsidRPr="0029542D" w:rsidRDefault="009F5537" w:rsidP="00305387">
            <w:pPr>
              <w:spacing w:after="0" w:line="240" w:lineRule="auto"/>
              <w:jc w:val="right"/>
              <w:rPr>
                <w:rFonts w:cs="Arial"/>
                <w:sz w:val="16"/>
                <w:szCs w:val="16"/>
              </w:rPr>
            </w:pPr>
            <w:r w:rsidRPr="0029542D">
              <w:rPr>
                <w:rFonts w:cs="Arial"/>
                <w:sz w:val="16"/>
                <w:szCs w:val="16"/>
              </w:rPr>
              <w:t>.</w:t>
            </w:r>
          </w:p>
        </w:tc>
      </w:tr>
      <w:tr w:rsidR="009F5537" w:rsidRPr="0029542D" w:rsidTr="00305387">
        <w:trPr>
          <w:trHeight w:val="240"/>
        </w:trPr>
        <w:tc>
          <w:tcPr>
            <w:tcW w:w="752"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2007</w:t>
            </w:r>
          </w:p>
        </w:tc>
        <w:tc>
          <w:tcPr>
            <w:tcW w:w="1478"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114 632</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12 528</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33 779</w:t>
            </w:r>
          </w:p>
        </w:tc>
        <w:tc>
          <w:tcPr>
            <w:tcW w:w="1477" w:type="dxa"/>
            <w:tcBorders>
              <w:top w:val="nil"/>
              <w:left w:val="nil"/>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49 970</w:t>
            </w:r>
          </w:p>
        </w:tc>
        <w:tc>
          <w:tcPr>
            <w:tcW w:w="1501" w:type="dxa"/>
            <w:tcBorders>
              <w:top w:val="nil"/>
              <w:left w:val="single" w:sz="4" w:space="0" w:color="auto"/>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18 185</w:t>
            </w:r>
          </w:p>
        </w:tc>
        <w:tc>
          <w:tcPr>
            <w:tcW w:w="1477" w:type="dxa"/>
            <w:tcBorders>
              <w:top w:val="nil"/>
              <w:left w:val="single" w:sz="4" w:space="0" w:color="auto"/>
              <w:bottom w:val="nil"/>
              <w:right w:val="nil"/>
            </w:tcBorders>
            <w:shd w:val="clear" w:color="FFFFFF" w:fill="FFFFFF"/>
            <w:noWrap/>
            <w:tcMar>
              <w:right w:w="454" w:type="dxa"/>
            </w:tcMar>
            <w:vAlign w:val="bottom"/>
            <w:hideMark/>
          </w:tcPr>
          <w:p w:rsidR="009F5537" w:rsidRPr="0029542D" w:rsidRDefault="009F5537" w:rsidP="00305387">
            <w:pPr>
              <w:spacing w:after="0" w:line="240" w:lineRule="auto"/>
              <w:jc w:val="right"/>
              <w:rPr>
                <w:rFonts w:cs="Arial"/>
                <w:sz w:val="16"/>
                <w:szCs w:val="16"/>
              </w:rPr>
            </w:pPr>
            <w:r w:rsidRPr="0029542D">
              <w:rPr>
                <w:rFonts w:cs="Arial"/>
                <w:sz w:val="16"/>
                <w:szCs w:val="16"/>
              </w:rPr>
              <w:t>170</w:t>
            </w:r>
          </w:p>
        </w:tc>
      </w:tr>
      <w:tr w:rsidR="009F5537" w:rsidRPr="0029542D" w:rsidTr="00305387">
        <w:trPr>
          <w:trHeight w:val="240"/>
        </w:trPr>
        <w:tc>
          <w:tcPr>
            <w:tcW w:w="752"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2008</w:t>
            </w:r>
          </w:p>
        </w:tc>
        <w:tc>
          <w:tcPr>
            <w:tcW w:w="1478"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119 570</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12 365</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32 806</w:t>
            </w:r>
          </w:p>
        </w:tc>
        <w:tc>
          <w:tcPr>
            <w:tcW w:w="1477" w:type="dxa"/>
            <w:tcBorders>
              <w:top w:val="nil"/>
              <w:left w:val="nil"/>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52 032</w:t>
            </w:r>
          </w:p>
        </w:tc>
        <w:tc>
          <w:tcPr>
            <w:tcW w:w="1501" w:type="dxa"/>
            <w:tcBorders>
              <w:top w:val="nil"/>
              <w:left w:val="single" w:sz="4" w:space="0" w:color="auto"/>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21 190</w:t>
            </w:r>
          </w:p>
        </w:tc>
        <w:tc>
          <w:tcPr>
            <w:tcW w:w="1477" w:type="dxa"/>
            <w:tcBorders>
              <w:top w:val="nil"/>
              <w:left w:val="single" w:sz="4" w:space="0" w:color="auto"/>
              <w:bottom w:val="nil"/>
              <w:right w:val="nil"/>
            </w:tcBorders>
            <w:shd w:val="clear" w:color="FFFFFF" w:fill="FFFFFF"/>
            <w:noWrap/>
            <w:tcMar>
              <w:right w:w="454" w:type="dxa"/>
            </w:tcMar>
            <w:vAlign w:val="bottom"/>
            <w:hideMark/>
          </w:tcPr>
          <w:p w:rsidR="009F5537" w:rsidRPr="0029542D" w:rsidRDefault="009F5537" w:rsidP="00305387">
            <w:pPr>
              <w:spacing w:after="0" w:line="240" w:lineRule="auto"/>
              <w:jc w:val="right"/>
              <w:rPr>
                <w:rFonts w:cs="Arial"/>
                <w:sz w:val="16"/>
                <w:szCs w:val="16"/>
              </w:rPr>
            </w:pPr>
            <w:r w:rsidRPr="0029542D">
              <w:rPr>
                <w:rFonts w:cs="Arial"/>
                <w:sz w:val="16"/>
                <w:szCs w:val="16"/>
              </w:rPr>
              <w:t>1 177</w:t>
            </w:r>
          </w:p>
        </w:tc>
      </w:tr>
      <w:tr w:rsidR="009F5537" w:rsidRPr="0029542D" w:rsidTr="00305387">
        <w:trPr>
          <w:trHeight w:val="240"/>
        </w:trPr>
        <w:tc>
          <w:tcPr>
            <w:tcW w:w="752"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2009</w:t>
            </w:r>
          </w:p>
        </w:tc>
        <w:tc>
          <w:tcPr>
            <w:tcW w:w="1478"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118 348</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12 538</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30 482</w:t>
            </w:r>
          </w:p>
        </w:tc>
        <w:tc>
          <w:tcPr>
            <w:tcW w:w="1477" w:type="dxa"/>
            <w:tcBorders>
              <w:top w:val="nil"/>
              <w:left w:val="nil"/>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50 371</w:t>
            </w:r>
          </w:p>
        </w:tc>
        <w:tc>
          <w:tcPr>
            <w:tcW w:w="1501" w:type="dxa"/>
            <w:tcBorders>
              <w:top w:val="nil"/>
              <w:left w:val="single" w:sz="4" w:space="0" w:color="auto"/>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22 917</w:t>
            </w:r>
          </w:p>
        </w:tc>
        <w:tc>
          <w:tcPr>
            <w:tcW w:w="1477" w:type="dxa"/>
            <w:tcBorders>
              <w:top w:val="nil"/>
              <w:left w:val="single" w:sz="4" w:space="0" w:color="auto"/>
              <w:bottom w:val="nil"/>
              <w:right w:val="nil"/>
            </w:tcBorders>
            <w:shd w:val="clear" w:color="FFFFFF" w:fill="FFFFFF"/>
            <w:noWrap/>
            <w:tcMar>
              <w:right w:w="454" w:type="dxa"/>
            </w:tcMar>
            <w:vAlign w:val="bottom"/>
            <w:hideMark/>
          </w:tcPr>
          <w:p w:rsidR="009F5537" w:rsidRPr="0029542D" w:rsidRDefault="009F5537" w:rsidP="00305387">
            <w:pPr>
              <w:spacing w:after="0" w:line="240" w:lineRule="auto"/>
              <w:jc w:val="right"/>
              <w:rPr>
                <w:rFonts w:cs="Arial"/>
                <w:sz w:val="16"/>
                <w:szCs w:val="16"/>
              </w:rPr>
            </w:pPr>
            <w:r w:rsidRPr="0029542D">
              <w:rPr>
                <w:rFonts w:cs="Arial"/>
                <w:sz w:val="16"/>
                <w:szCs w:val="16"/>
              </w:rPr>
              <w:t>2 040</w:t>
            </w:r>
          </w:p>
        </w:tc>
      </w:tr>
      <w:tr w:rsidR="009F5537" w:rsidRPr="0029542D" w:rsidTr="00305387">
        <w:trPr>
          <w:trHeight w:val="240"/>
        </w:trPr>
        <w:tc>
          <w:tcPr>
            <w:tcW w:w="752"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2010</w:t>
            </w:r>
          </w:p>
        </w:tc>
        <w:tc>
          <w:tcPr>
            <w:tcW w:w="1478"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117 153</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12 461</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26 922</w:t>
            </w:r>
          </w:p>
        </w:tc>
        <w:tc>
          <w:tcPr>
            <w:tcW w:w="1477" w:type="dxa"/>
            <w:tcBorders>
              <w:top w:val="nil"/>
              <w:left w:val="nil"/>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48 035</w:t>
            </w:r>
          </w:p>
        </w:tc>
        <w:tc>
          <w:tcPr>
            <w:tcW w:w="1501" w:type="dxa"/>
            <w:tcBorders>
              <w:top w:val="nil"/>
              <w:left w:val="single" w:sz="4" w:space="0" w:color="auto"/>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25 225</w:t>
            </w:r>
          </w:p>
        </w:tc>
        <w:tc>
          <w:tcPr>
            <w:tcW w:w="1477" w:type="dxa"/>
            <w:tcBorders>
              <w:top w:val="nil"/>
              <w:left w:val="single" w:sz="4" w:space="0" w:color="auto"/>
              <w:bottom w:val="nil"/>
              <w:right w:val="nil"/>
            </w:tcBorders>
            <w:shd w:val="clear" w:color="FFFFFF" w:fill="FFFFFF"/>
            <w:noWrap/>
            <w:tcMar>
              <w:right w:w="454" w:type="dxa"/>
            </w:tcMar>
            <w:vAlign w:val="bottom"/>
            <w:hideMark/>
          </w:tcPr>
          <w:p w:rsidR="009F5537" w:rsidRPr="0029542D" w:rsidRDefault="009F5537" w:rsidP="00305387">
            <w:pPr>
              <w:spacing w:after="0" w:line="240" w:lineRule="auto"/>
              <w:jc w:val="right"/>
              <w:rPr>
                <w:rFonts w:cs="Arial"/>
                <w:sz w:val="16"/>
                <w:szCs w:val="16"/>
              </w:rPr>
            </w:pPr>
            <w:r w:rsidRPr="0029542D">
              <w:rPr>
                <w:rFonts w:cs="Arial"/>
                <w:sz w:val="16"/>
                <w:szCs w:val="16"/>
              </w:rPr>
              <w:t>4 510</w:t>
            </w:r>
          </w:p>
        </w:tc>
      </w:tr>
      <w:tr w:rsidR="009F5537" w:rsidRPr="0029542D" w:rsidTr="00305387">
        <w:trPr>
          <w:trHeight w:val="240"/>
        </w:trPr>
        <w:tc>
          <w:tcPr>
            <w:tcW w:w="752"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2011</w:t>
            </w:r>
          </w:p>
        </w:tc>
        <w:tc>
          <w:tcPr>
            <w:tcW w:w="1478"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108 673</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11 571</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23 400</w:t>
            </w:r>
          </w:p>
        </w:tc>
        <w:tc>
          <w:tcPr>
            <w:tcW w:w="1477" w:type="dxa"/>
            <w:tcBorders>
              <w:top w:val="nil"/>
              <w:left w:val="nil"/>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43 278</w:t>
            </w:r>
          </w:p>
        </w:tc>
        <w:tc>
          <w:tcPr>
            <w:tcW w:w="1501" w:type="dxa"/>
            <w:tcBorders>
              <w:top w:val="nil"/>
              <w:left w:val="single" w:sz="4" w:space="0" w:color="auto"/>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26 163</w:t>
            </w:r>
          </w:p>
        </w:tc>
        <w:tc>
          <w:tcPr>
            <w:tcW w:w="1477" w:type="dxa"/>
            <w:tcBorders>
              <w:top w:val="nil"/>
              <w:left w:val="single" w:sz="4" w:space="0" w:color="auto"/>
              <w:bottom w:val="nil"/>
              <w:right w:val="nil"/>
            </w:tcBorders>
            <w:shd w:val="clear" w:color="FFFFFF" w:fill="FFFFFF"/>
            <w:noWrap/>
            <w:tcMar>
              <w:right w:w="454" w:type="dxa"/>
            </w:tcMar>
            <w:vAlign w:val="bottom"/>
            <w:hideMark/>
          </w:tcPr>
          <w:p w:rsidR="009F5537" w:rsidRPr="0029542D" w:rsidRDefault="009F5537" w:rsidP="00305387">
            <w:pPr>
              <w:spacing w:after="0" w:line="240" w:lineRule="auto"/>
              <w:jc w:val="right"/>
              <w:rPr>
                <w:rFonts w:cs="Arial"/>
                <w:sz w:val="16"/>
                <w:szCs w:val="16"/>
              </w:rPr>
            </w:pPr>
            <w:r w:rsidRPr="0029542D">
              <w:rPr>
                <w:rFonts w:cs="Arial"/>
                <w:sz w:val="16"/>
                <w:szCs w:val="16"/>
              </w:rPr>
              <w:t>4 261</w:t>
            </w:r>
          </w:p>
        </w:tc>
      </w:tr>
      <w:tr w:rsidR="009F5537" w:rsidRPr="0029542D" w:rsidTr="00305387">
        <w:trPr>
          <w:trHeight w:val="240"/>
        </w:trPr>
        <w:tc>
          <w:tcPr>
            <w:tcW w:w="752"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2012</w:t>
            </w:r>
          </w:p>
        </w:tc>
        <w:tc>
          <w:tcPr>
            <w:tcW w:w="1478"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108 576</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11 739</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21 927</w:t>
            </w:r>
          </w:p>
        </w:tc>
        <w:tc>
          <w:tcPr>
            <w:tcW w:w="1477" w:type="dxa"/>
            <w:tcBorders>
              <w:top w:val="nil"/>
              <w:left w:val="nil"/>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41 578</w:t>
            </w:r>
          </w:p>
        </w:tc>
        <w:tc>
          <w:tcPr>
            <w:tcW w:w="1501" w:type="dxa"/>
            <w:tcBorders>
              <w:top w:val="nil"/>
              <w:left w:val="single" w:sz="4" w:space="0" w:color="auto"/>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28 888</w:t>
            </w:r>
          </w:p>
        </w:tc>
        <w:tc>
          <w:tcPr>
            <w:tcW w:w="1477" w:type="dxa"/>
            <w:tcBorders>
              <w:top w:val="nil"/>
              <w:left w:val="single" w:sz="4" w:space="0" w:color="auto"/>
              <w:bottom w:val="nil"/>
              <w:right w:val="nil"/>
            </w:tcBorders>
            <w:shd w:val="clear" w:color="FFFFFF" w:fill="FFFFFF"/>
            <w:noWrap/>
            <w:tcMar>
              <w:right w:w="454" w:type="dxa"/>
            </w:tcMar>
            <w:vAlign w:val="bottom"/>
            <w:hideMark/>
          </w:tcPr>
          <w:p w:rsidR="009F5537" w:rsidRPr="0029542D" w:rsidRDefault="009F5537" w:rsidP="00305387">
            <w:pPr>
              <w:spacing w:after="0" w:line="240" w:lineRule="auto"/>
              <w:jc w:val="right"/>
              <w:rPr>
                <w:rFonts w:cs="Arial"/>
                <w:sz w:val="16"/>
                <w:szCs w:val="16"/>
              </w:rPr>
            </w:pPr>
            <w:r w:rsidRPr="0029542D">
              <w:rPr>
                <w:rFonts w:cs="Arial"/>
                <w:sz w:val="16"/>
                <w:szCs w:val="16"/>
              </w:rPr>
              <w:t>4 444</w:t>
            </w:r>
          </w:p>
        </w:tc>
      </w:tr>
      <w:tr w:rsidR="009F5537" w:rsidRPr="0029542D" w:rsidTr="00305387">
        <w:trPr>
          <w:trHeight w:val="240"/>
        </w:trPr>
        <w:tc>
          <w:tcPr>
            <w:tcW w:w="752"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2013</w:t>
            </w:r>
          </w:p>
        </w:tc>
        <w:tc>
          <w:tcPr>
            <w:tcW w:w="1478"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106 751</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10 845</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19 714</w:t>
            </w:r>
          </w:p>
        </w:tc>
        <w:tc>
          <w:tcPr>
            <w:tcW w:w="1477" w:type="dxa"/>
            <w:tcBorders>
              <w:top w:val="nil"/>
              <w:left w:val="nil"/>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39 908</w:t>
            </w:r>
          </w:p>
        </w:tc>
        <w:tc>
          <w:tcPr>
            <w:tcW w:w="1501" w:type="dxa"/>
            <w:tcBorders>
              <w:top w:val="nil"/>
              <w:left w:val="single" w:sz="4" w:space="0" w:color="auto"/>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29 760</w:t>
            </w:r>
          </w:p>
        </w:tc>
        <w:tc>
          <w:tcPr>
            <w:tcW w:w="1477" w:type="dxa"/>
            <w:tcBorders>
              <w:top w:val="nil"/>
              <w:left w:val="single" w:sz="4" w:space="0" w:color="auto"/>
              <w:bottom w:val="nil"/>
              <w:right w:val="nil"/>
            </w:tcBorders>
            <w:shd w:val="clear" w:color="FFFFFF" w:fill="FFFFFF"/>
            <w:noWrap/>
            <w:tcMar>
              <w:right w:w="454" w:type="dxa"/>
            </w:tcMar>
            <w:vAlign w:val="bottom"/>
            <w:hideMark/>
          </w:tcPr>
          <w:p w:rsidR="009F5537" w:rsidRPr="0029542D" w:rsidRDefault="009F5537" w:rsidP="00305387">
            <w:pPr>
              <w:spacing w:after="0" w:line="240" w:lineRule="auto"/>
              <w:jc w:val="right"/>
              <w:rPr>
                <w:rFonts w:cs="Arial"/>
                <w:sz w:val="16"/>
                <w:szCs w:val="16"/>
              </w:rPr>
            </w:pPr>
            <w:r w:rsidRPr="0029542D">
              <w:rPr>
                <w:rFonts w:cs="Arial"/>
                <w:sz w:val="16"/>
                <w:szCs w:val="16"/>
              </w:rPr>
              <w:t>6 524</w:t>
            </w:r>
          </w:p>
        </w:tc>
      </w:tr>
      <w:tr w:rsidR="009F5537" w:rsidRPr="0029542D" w:rsidTr="00305387">
        <w:trPr>
          <w:trHeight w:val="240"/>
        </w:trPr>
        <w:tc>
          <w:tcPr>
            <w:tcW w:w="752"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2014</w:t>
            </w:r>
          </w:p>
        </w:tc>
        <w:tc>
          <w:tcPr>
            <w:tcW w:w="1478"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109 860</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10 756</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18 948</w:t>
            </w:r>
          </w:p>
        </w:tc>
        <w:tc>
          <w:tcPr>
            <w:tcW w:w="1477" w:type="dxa"/>
            <w:tcBorders>
              <w:top w:val="nil"/>
              <w:left w:val="nil"/>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39 268</w:t>
            </w:r>
          </w:p>
        </w:tc>
        <w:tc>
          <w:tcPr>
            <w:tcW w:w="1501" w:type="dxa"/>
            <w:tcBorders>
              <w:top w:val="nil"/>
              <w:left w:val="single" w:sz="4" w:space="0" w:color="auto"/>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31 873</w:t>
            </w:r>
          </w:p>
        </w:tc>
        <w:tc>
          <w:tcPr>
            <w:tcW w:w="1477" w:type="dxa"/>
            <w:tcBorders>
              <w:top w:val="nil"/>
              <w:left w:val="single" w:sz="4" w:space="0" w:color="auto"/>
              <w:bottom w:val="nil"/>
              <w:right w:val="nil"/>
            </w:tcBorders>
            <w:shd w:val="clear" w:color="FFFFFF" w:fill="FFFFFF"/>
            <w:noWrap/>
            <w:tcMar>
              <w:right w:w="454" w:type="dxa"/>
            </w:tcMar>
            <w:vAlign w:val="bottom"/>
            <w:hideMark/>
          </w:tcPr>
          <w:p w:rsidR="009F5537" w:rsidRPr="0029542D" w:rsidRDefault="009F5537" w:rsidP="00305387">
            <w:pPr>
              <w:spacing w:after="0" w:line="240" w:lineRule="auto"/>
              <w:jc w:val="right"/>
              <w:rPr>
                <w:rFonts w:cs="Arial"/>
                <w:sz w:val="16"/>
                <w:szCs w:val="16"/>
              </w:rPr>
            </w:pPr>
            <w:r w:rsidRPr="0029542D">
              <w:rPr>
                <w:rFonts w:cs="Arial"/>
                <w:sz w:val="16"/>
                <w:szCs w:val="16"/>
              </w:rPr>
              <w:t>9 015</w:t>
            </w:r>
          </w:p>
        </w:tc>
      </w:tr>
      <w:tr w:rsidR="009F5537" w:rsidRPr="0029542D" w:rsidTr="00305387">
        <w:trPr>
          <w:trHeight w:val="240"/>
        </w:trPr>
        <w:tc>
          <w:tcPr>
            <w:tcW w:w="752"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2015</w:t>
            </w:r>
          </w:p>
        </w:tc>
        <w:tc>
          <w:tcPr>
            <w:tcW w:w="1478"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110 764</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10 004</w:t>
            </w:r>
          </w:p>
        </w:tc>
        <w:tc>
          <w:tcPr>
            <w:tcW w:w="1477" w:type="dxa"/>
            <w:tcBorders>
              <w:top w:val="nil"/>
              <w:left w:val="nil"/>
              <w:bottom w:val="nil"/>
              <w:right w:val="single" w:sz="4" w:space="0" w:color="auto"/>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17 445</w:t>
            </w:r>
          </w:p>
        </w:tc>
        <w:tc>
          <w:tcPr>
            <w:tcW w:w="1477" w:type="dxa"/>
            <w:tcBorders>
              <w:top w:val="nil"/>
              <w:left w:val="nil"/>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Pr>
                <w:rFonts w:cs="Arial"/>
                <w:sz w:val="16"/>
                <w:szCs w:val="16"/>
              </w:rPr>
              <w:t xml:space="preserve"> </w:t>
            </w:r>
            <w:r w:rsidRPr="0029542D">
              <w:rPr>
                <w:rFonts w:cs="Arial"/>
                <w:sz w:val="16"/>
                <w:szCs w:val="16"/>
              </w:rPr>
              <w:t>44</w:t>
            </w:r>
            <w:r>
              <w:rPr>
                <w:rFonts w:cs="Arial"/>
                <w:sz w:val="16"/>
                <w:szCs w:val="16"/>
              </w:rPr>
              <w:t> </w:t>
            </w:r>
            <w:r w:rsidRPr="0029542D">
              <w:rPr>
                <w:rFonts w:cs="Arial"/>
                <w:sz w:val="16"/>
                <w:szCs w:val="16"/>
              </w:rPr>
              <w:t>877</w:t>
            </w:r>
            <w:r>
              <w:rPr>
                <w:rFonts w:cs="Arial"/>
                <w:sz w:val="16"/>
                <w:szCs w:val="16"/>
              </w:rPr>
              <w:t>*</w:t>
            </w:r>
          </w:p>
        </w:tc>
        <w:tc>
          <w:tcPr>
            <w:tcW w:w="1501" w:type="dxa"/>
            <w:tcBorders>
              <w:top w:val="nil"/>
              <w:left w:val="single" w:sz="4" w:space="0" w:color="auto"/>
              <w:bottom w:val="nil"/>
              <w:right w:val="nil"/>
            </w:tcBorders>
            <w:shd w:val="clear" w:color="FFFFFF" w:fill="FFFFFF"/>
            <w:noWrap/>
            <w:vAlign w:val="bottom"/>
            <w:hideMark/>
          </w:tcPr>
          <w:p w:rsidR="009F5537" w:rsidRPr="0029542D" w:rsidRDefault="009F5537" w:rsidP="00305387">
            <w:pPr>
              <w:spacing w:after="0" w:line="240" w:lineRule="auto"/>
              <w:jc w:val="center"/>
              <w:rPr>
                <w:rFonts w:cs="Arial"/>
                <w:sz w:val="16"/>
                <w:szCs w:val="16"/>
              </w:rPr>
            </w:pPr>
            <w:r w:rsidRPr="0029542D">
              <w:rPr>
                <w:rFonts w:cs="Arial"/>
                <w:sz w:val="16"/>
                <w:szCs w:val="16"/>
              </w:rPr>
              <w:t>25 409</w:t>
            </w:r>
          </w:p>
        </w:tc>
        <w:tc>
          <w:tcPr>
            <w:tcW w:w="1477" w:type="dxa"/>
            <w:tcBorders>
              <w:top w:val="nil"/>
              <w:left w:val="single" w:sz="4" w:space="0" w:color="auto"/>
              <w:bottom w:val="nil"/>
              <w:right w:val="nil"/>
            </w:tcBorders>
            <w:shd w:val="clear" w:color="FFFFFF" w:fill="FFFFFF"/>
            <w:noWrap/>
            <w:tcMar>
              <w:right w:w="454" w:type="dxa"/>
            </w:tcMar>
            <w:vAlign w:val="bottom"/>
            <w:hideMark/>
          </w:tcPr>
          <w:p w:rsidR="009F5537" w:rsidRPr="0029542D" w:rsidRDefault="009F5537" w:rsidP="00305387">
            <w:pPr>
              <w:spacing w:after="0" w:line="240" w:lineRule="auto"/>
              <w:jc w:val="right"/>
              <w:rPr>
                <w:rFonts w:cs="Arial"/>
                <w:sz w:val="16"/>
                <w:szCs w:val="16"/>
              </w:rPr>
            </w:pPr>
            <w:r w:rsidRPr="0029542D">
              <w:rPr>
                <w:rFonts w:cs="Arial"/>
                <w:sz w:val="16"/>
                <w:szCs w:val="16"/>
              </w:rPr>
              <w:t>13 029</w:t>
            </w:r>
          </w:p>
        </w:tc>
      </w:tr>
    </w:tbl>
    <w:p w:rsidR="009F5537" w:rsidRDefault="009F5537" w:rsidP="009F5537">
      <w:pPr>
        <w:tabs>
          <w:tab w:val="left" w:pos="915"/>
        </w:tabs>
        <w:spacing w:before="60" w:line="240" w:lineRule="auto"/>
        <w:rPr>
          <w:rFonts w:cs="Arial"/>
          <w:i/>
          <w:sz w:val="16"/>
          <w:szCs w:val="16"/>
        </w:rPr>
      </w:pPr>
      <w:r>
        <w:rPr>
          <w:rFonts w:cs="Arial"/>
          <w:i/>
          <w:sz w:val="16"/>
          <w:szCs w:val="16"/>
        </w:rPr>
        <w:t xml:space="preserve">* z toho 9 273 živě narozených dětí matkám s vyšším odborným vzděláním </w:t>
      </w:r>
    </w:p>
    <w:p w:rsidR="009F5537" w:rsidRPr="00237E6E" w:rsidRDefault="009F5537" w:rsidP="009F5537">
      <w:pPr>
        <w:spacing w:before="60"/>
        <w:rPr>
          <w:rFonts w:cs="Arial"/>
          <w:szCs w:val="20"/>
        </w:rPr>
      </w:pPr>
      <w:r>
        <w:rPr>
          <w:rFonts w:cs="Arial"/>
          <w:szCs w:val="20"/>
        </w:rPr>
        <w:t xml:space="preserve">Subpopulací, která nejčastěji v Česku rodí děti, jsou z pohledu nejvyššího ukončeného vzdělání středoškolsky vzdělané ženy s maturitou. Jejich zastoupení ovšem </w:t>
      </w:r>
      <w:proofErr w:type="gramStart"/>
      <w:r>
        <w:rPr>
          <w:rFonts w:cs="Arial"/>
          <w:szCs w:val="20"/>
        </w:rPr>
        <w:t>kleslo z 42,3</w:t>
      </w:r>
      <w:proofErr w:type="gramEnd"/>
      <w:r>
        <w:rPr>
          <w:rFonts w:cs="Arial"/>
          <w:szCs w:val="20"/>
        </w:rPr>
        <w:t xml:space="preserve"> % v roce 2005 na 35,7 % </w:t>
      </w:r>
      <w:r>
        <w:rPr>
          <w:rFonts w:cs="Arial"/>
          <w:szCs w:val="20"/>
        </w:rPr>
        <w:lastRenderedPageBreak/>
        <w:t>v roce 2014 (vývoj nebyl plynulý). V roce 2015 došlo k nárůstu na 40,5 %, který ovšem souvisel spíše s rozlišením nové kategorie matek s vyšším odborným vzděláním, resp. s jejím zařazováním v předchozím období. Je totiž pravděpodobné, že byla v nemalé míře v hlášeních o narození zaměňována s vysokoškolsky vzdělanými ženami</w:t>
      </w:r>
      <w:r w:rsidRPr="00E82125">
        <w:rPr>
          <w:vertAlign w:val="superscript"/>
        </w:rPr>
        <w:footnoteReference w:id="3"/>
      </w:r>
      <w:r>
        <w:rPr>
          <w:rFonts w:cs="Arial"/>
          <w:szCs w:val="20"/>
        </w:rPr>
        <w:t xml:space="preserve">. Z toho důvodu lze v datech vidět (viz tab. 5) pokles živě narozených dětí u žen s nejvyšším stupněm vzdělání a naopak nárůst u středoškolsky vzdělaných matek s maturitou, kam byla kategorie vyšších odborných škol zařazena v této analýze. Z dlouhodobého hlediska absolutní počty živě narozených dětí matkám s maturitou nejprve v období 2005 až 2008 rostly a to v souvislosti s obecným nárůstem počtu narozených </w:t>
      </w:r>
      <w:proofErr w:type="gramStart"/>
      <w:r>
        <w:rPr>
          <w:rFonts w:cs="Arial"/>
          <w:szCs w:val="20"/>
        </w:rPr>
        <w:t>dětí z 43 272</w:t>
      </w:r>
      <w:proofErr w:type="gramEnd"/>
      <w:r>
        <w:rPr>
          <w:rFonts w:cs="Arial"/>
          <w:szCs w:val="20"/>
        </w:rPr>
        <w:t xml:space="preserve"> na 52 032. Poté následoval pokles až na 39 268 v roce 2014 a výše vysvětlený nárůst v posledním sledovaném roce na 44 877 živě narozených dětí. </w:t>
      </w:r>
    </w:p>
    <w:p w:rsidR="009F5537" w:rsidRPr="001A6BC0" w:rsidRDefault="009F5537" w:rsidP="009F5537">
      <w:pPr>
        <w:rPr>
          <w:rFonts w:cs="Arial"/>
          <w:szCs w:val="20"/>
        </w:rPr>
      </w:pPr>
      <w:r w:rsidRPr="001A6BC0">
        <w:rPr>
          <w:rFonts w:cs="Arial"/>
          <w:szCs w:val="20"/>
        </w:rPr>
        <w:t>Druhou</w:t>
      </w:r>
      <w:r>
        <w:rPr>
          <w:rFonts w:cs="Arial"/>
          <w:szCs w:val="20"/>
        </w:rPr>
        <w:t xml:space="preserve"> nejčastější skupinou rodiček byly na začátku období matky se středoškolským vzděláním bez maturity, u nichž ale došlo k výraznému poklesu zastoupení z 31,9 % v roce 2005 na 15,7 % o deset let později. Absolutní pokles byl z 32 632 na 17 445 živě narozených dětí ve stejném období, byť mezi roky 2005 a 2008 počty kolísaly mezi 31 603 až 33 779 dětmi. Od roku 2011 se však druhou nejčastější subpopulací matek podle úrovně vzdělání staly vysokoškolsky vzdělané matky. Jejich zastoupení vzrostlo z 14,2 % v roce 2005 na 29,0 % v roce 2014, poté následoval pokles na 22,9 % v posledním sledovaném roce (viz předchozí odstavec). Absolutní počty vzrostly z 14 528 na 31 879 živě narozených dětí mezi roky 2005 a 2014, poslední rok přinesl pokles na 25 409. </w:t>
      </w:r>
    </w:p>
    <w:p w:rsidR="009F5537" w:rsidRDefault="009F5537" w:rsidP="009F5537">
      <w:pPr>
        <w:spacing w:after="60"/>
        <w:rPr>
          <w:rFonts w:cs="Arial"/>
          <w:b/>
          <w:szCs w:val="20"/>
        </w:rPr>
      </w:pPr>
      <w:r w:rsidRPr="00091A5B">
        <w:rPr>
          <w:rFonts w:cs="Arial"/>
          <w:b/>
          <w:szCs w:val="20"/>
        </w:rPr>
        <w:t>Graf 5 Živě narození podle vzdělání matky v letech 2005–2015 (v %)</w:t>
      </w:r>
    </w:p>
    <w:p w:rsidR="009F5537" w:rsidRDefault="009F5537" w:rsidP="009F5537">
      <w:pPr>
        <w:spacing w:after="60"/>
        <w:rPr>
          <w:rFonts w:cs="Arial"/>
          <w:b/>
          <w:szCs w:val="20"/>
        </w:rPr>
      </w:pPr>
      <w:r>
        <w:rPr>
          <w:noProof/>
        </w:rPr>
        <w:pict>
          <v:shape id="_x0000_s1030" type="#_x0000_t75" style="position:absolute;margin-left:.3pt;margin-top:0;width:425.25pt;height:234.75pt;z-index:4;mso-position-horizontal:absolute;mso-position-horizontal-relative:text;mso-position-vertical:absolute;mso-position-vertical-relative:text">
            <v:imagedata r:id="rId13" o:title=""/>
          </v:shape>
        </w:pict>
      </w:r>
    </w:p>
    <w:p w:rsidR="009F5537" w:rsidRPr="00EA63FB" w:rsidRDefault="009F5537" w:rsidP="009F5537">
      <w:pPr>
        <w:rPr>
          <w:rFonts w:cs="Arial"/>
          <w:szCs w:val="20"/>
        </w:rPr>
      </w:pPr>
    </w:p>
    <w:p w:rsidR="009F5537" w:rsidRPr="00EA63FB" w:rsidRDefault="009F5537" w:rsidP="009F5537">
      <w:pPr>
        <w:rPr>
          <w:rFonts w:cs="Arial"/>
          <w:szCs w:val="20"/>
        </w:rPr>
      </w:pPr>
    </w:p>
    <w:p w:rsidR="009F5537" w:rsidRPr="00EA63FB" w:rsidRDefault="009F5537" w:rsidP="009F5537">
      <w:pPr>
        <w:rPr>
          <w:rFonts w:cs="Arial"/>
          <w:szCs w:val="20"/>
        </w:rPr>
      </w:pPr>
    </w:p>
    <w:p w:rsidR="009F5537" w:rsidRPr="00EA63FB" w:rsidRDefault="009F5537" w:rsidP="009F5537">
      <w:pPr>
        <w:rPr>
          <w:rFonts w:cs="Arial"/>
          <w:szCs w:val="20"/>
        </w:rPr>
      </w:pPr>
    </w:p>
    <w:p w:rsidR="009F5537" w:rsidRPr="00EA63FB" w:rsidRDefault="009F5537" w:rsidP="009F5537">
      <w:pPr>
        <w:rPr>
          <w:rFonts w:cs="Arial"/>
          <w:szCs w:val="20"/>
        </w:rPr>
      </w:pPr>
    </w:p>
    <w:p w:rsidR="009F5537" w:rsidRPr="00EA63FB" w:rsidRDefault="009F5537" w:rsidP="009F5537">
      <w:pPr>
        <w:rPr>
          <w:rFonts w:cs="Arial"/>
          <w:szCs w:val="20"/>
        </w:rPr>
      </w:pPr>
    </w:p>
    <w:p w:rsidR="009F5537" w:rsidRPr="00EA63FB" w:rsidRDefault="009F5537" w:rsidP="009F5537">
      <w:pPr>
        <w:rPr>
          <w:rFonts w:cs="Arial"/>
          <w:szCs w:val="20"/>
        </w:rPr>
      </w:pPr>
    </w:p>
    <w:p w:rsidR="009F5537" w:rsidRPr="00EA63FB" w:rsidRDefault="009F5537" w:rsidP="009F5537">
      <w:pPr>
        <w:rPr>
          <w:rFonts w:cs="Arial"/>
          <w:szCs w:val="20"/>
        </w:rPr>
      </w:pPr>
    </w:p>
    <w:p w:rsidR="009F5537" w:rsidRDefault="009F5537" w:rsidP="009F5537">
      <w:pPr>
        <w:tabs>
          <w:tab w:val="left" w:pos="3990"/>
        </w:tabs>
        <w:rPr>
          <w:rFonts w:cs="Arial"/>
          <w:szCs w:val="20"/>
        </w:rPr>
      </w:pPr>
    </w:p>
    <w:p w:rsidR="009F5537" w:rsidRDefault="009F5537" w:rsidP="009F5537">
      <w:pPr>
        <w:tabs>
          <w:tab w:val="left" w:pos="3990"/>
        </w:tabs>
        <w:rPr>
          <w:rFonts w:cs="Arial"/>
          <w:szCs w:val="20"/>
        </w:rPr>
      </w:pPr>
      <w:r>
        <w:rPr>
          <w:rFonts w:cs="Arial"/>
          <w:szCs w:val="20"/>
        </w:rPr>
        <w:t>Nejméně se v datech o vzdělání matek při porodu vyskytuje kategorie žen se základním nebo nižším vzděláním. Jejich zastoupení navíc za posledních deset let ještě z 11,5 % na 9,0 %. V souvislosti s nárůstem úrovně plodnosti v druhé polovině první dekády 21. století jejich absolutní počet vzrostl z 11 779 v roce 2005 na 12 318–12 538 v období let 2006–2010, poté došlo k postupnému poklesu až na 10 004 živě narozených dětí v roce 2015.</w:t>
      </w:r>
    </w:p>
    <w:p w:rsidR="009F5537" w:rsidRDefault="009F5537" w:rsidP="009F5537">
      <w:pPr>
        <w:tabs>
          <w:tab w:val="left" w:pos="3990"/>
        </w:tabs>
        <w:rPr>
          <w:rFonts w:cs="Arial"/>
          <w:szCs w:val="20"/>
        </w:rPr>
      </w:pPr>
      <w:r>
        <w:rPr>
          <w:rFonts w:cs="Arial"/>
          <w:szCs w:val="20"/>
        </w:rPr>
        <w:t xml:space="preserve">Od roku 2007 není nejvyšší ukončené vzdělání ženy povinně vyplňovanou položkou na hlášení o narození dítěte a počet živě narozených dětí s nezjištěnou úrovní vzdělání matky tak narostl ze 170 v roce 2007 na 13 029 v roce 2015 (11,8 % z celku).  </w:t>
      </w:r>
    </w:p>
    <w:p w:rsidR="009F5537" w:rsidRDefault="009F5537" w:rsidP="009F5537">
      <w:pPr>
        <w:pStyle w:val="Nadpis2"/>
      </w:pPr>
      <w:bookmarkStart w:id="5" w:name="_Toc468110165"/>
      <w:r>
        <w:lastRenderedPageBreak/>
        <w:t>2.5 Státní občanství narozených</w:t>
      </w:r>
      <w:bookmarkEnd w:id="5"/>
    </w:p>
    <w:p w:rsidR="009F5537" w:rsidRDefault="009F5537" w:rsidP="009F5537">
      <w:pPr>
        <w:rPr>
          <w:rFonts w:cs="Arial"/>
          <w:szCs w:val="20"/>
        </w:rPr>
      </w:pPr>
      <w:r w:rsidRPr="00A06813">
        <w:rPr>
          <w:rFonts w:cs="Arial"/>
          <w:szCs w:val="20"/>
        </w:rPr>
        <w:t xml:space="preserve">Počet živě </w:t>
      </w:r>
      <w:r>
        <w:rPr>
          <w:rFonts w:cs="Arial"/>
          <w:szCs w:val="20"/>
        </w:rPr>
        <w:t>narozených dětí s odvozeným</w:t>
      </w:r>
      <w:r>
        <w:rPr>
          <w:rStyle w:val="Znakapoznpodarou"/>
        </w:rPr>
        <w:footnoteReference w:id="4"/>
      </w:r>
      <w:r w:rsidRPr="00391F25">
        <w:rPr>
          <w:rFonts w:cs="Arial"/>
          <w:szCs w:val="20"/>
          <w:vertAlign w:val="superscript"/>
        </w:rPr>
        <w:t>)</w:t>
      </w:r>
      <w:r>
        <w:rPr>
          <w:rFonts w:cs="Arial"/>
          <w:szCs w:val="20"/>
        </w:rPr>
        <w:t xml:space="preserve"> cizím státním občanstvím se mezi roky 2005 až 2009 zvýšil z 1 528 na 3 104. Následovaly dva roky, kdy došlo k mírnému poklesu na 2 959 v roce 2011 a poté byl zaznamenán opětovný nárůst až na 3 631 živě narozených dětí v roce 2015. Pořadí cizích státních občanství na prvních pěti místech se od roku 2007 neměnilo. Nejvyšší počet dětí mělo odvozeno občanství Vietnamu, Ukrajiny, Slovenska, Ruska a Mongolska. V roce 2005 obsadily páté místo děti s francouzským státním občanstvím a o rok později s čínským. Ve všech sledovaných letech dominovaly živě narozené děti s odvozeným občanstvím Vietnamu a Ukrajiny, které tvořily více než polovinu všech dětí s cizím státním občanstvím. </w:t>
      </w:r>
    </w:p>
    <w:p w:rsidR="009F5537" w:rsidRDefault="009F5537" w:rsidP="009F5537">
      <w:pPr>
        <w:spacing w:after="60"/>
        <w:rPr>
          <w:rFonts w:cs="Arial"/>
          <w:b/>
          <w:szCs w:val="20"/>
        </w:rPr>
      </w:pPr>
      <w:r>
        <w:rPr>
          <w:rFonts w:cs="Arial"/>
          <w:b/>
          <w:szCs w:val="20"/>
        </w:rPr>
        <w:t xml:space="preserve">Tab. 6 </w:t>
      </w:r>
      <w:r w:rsidRPr="00EA63FB">
        <w:rPr>
          <w:rFonts w:cs="Arial"/>
          <w:b/>
          <w:szCs w:val="20"/>
        </w:rPr>
        <w:t>Živě narození podle státního občanství</w:t>
      </w:r>
      <w:r>
        <w:t>*</w:t>
      </w:r>
      <w:r w:rsidRPr="00EA63FB">
        <w:rPr>
          <w:rFonts w:cs="Arial"/>
          <w:b/>
          <w:szCs w:val="20"/>
        </w:rPr>
        <w:t xml:space="preserve"> v letech 2005–2015</w:t>
      </w:r>
    </w:p>
    <w:tbl>
      <w:tblPr>
        <w:tblW w:w="9639" w:type="dxa"/>
        <w:tblCellMar>
          <w:left w:w="70" w:type="dxa"/>
          <w:right w:w="70" w:type="dxa"/>
        </w:tblCellMar>
        <w:tblLook w:val="04A0" w:firstRow="1" w:lastRow="0" w:firstColumn="1" w:lastColumn="0" w:noHBand="0" w:noVBand="1"/>
      </w:tblPr>
      <w:tblGrid>
        <w:gridCol w:w="670"/>
        <w:gridCol w:w="1317"/>
        <w:gridCol w:w="1317"/>
        <w:gridCol w:w="1316"/>
        <w:gridCol w:w="1316"/>
        <w:gridCol w:w="1316"/>
        <w:gridCol w:w="1316"/>
        <w:gridCol w:w="1071"/>
      </w:tblGrid>
      <w:tr w:rsidR="009F5537" w:rsidRPr="00EA63FB" w:rsidTr="00305387">
        <w:trPr>
          <w:trHeight w:val="240"/>
        </w:trPr>
        <w:tc>
          <w:tcPr>
            <w:tcW w:w="670"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EA63FB" w:rsidRDefault="009F5537" w:rsidP="00305387">
            <w:pPr>
              <w:spacing w:after="0" w:line="240" w:lineRule="auto"/>
              <w:jc w:val="center"/>
              <w:rPr>
                <w:rFonts w:cs="Arial"/>
                <w:b/>
                <w:bCs/>
                <w:sz w:val="16"/>
                <w:szCs w:val="16"/>
              </w:rPr>
            </w:pPr>
            <w:r w:rsidRPr="00EA63FB">
              <w:rPr>
                <w:rFonts w:cs="Arial"/>
                <w:b/>
                <w:bCs/>
                <w:sz w:val="16"/>
                <w:szCs w:val="16"/>
              </w:rPr>
              <w:t>Rok</w:t>
            </w:r>
          </w:p>
        </w:tc>
        <w:tc>
          <w:tcPr>
            <w:tcW w:w="1317" w:type="dxa"/>
            <w:vMerge w:val="restart"/>
            <w:tcBorders>
              <w:top w:val="single" w:sz="4" w:space="0" w:color="auto"/>
              <w:left w:val="single" w:sz="4" w:space="0" w:color="auto"/>
              <w:bottom w:val="single" w:sz="4" w:space="0" w:color="000000"/>
              <w:right w:val="single" w:sz="4" w:space="0" w:color="auto"/>
            </w:tcBorders>
            <w:shd w:val="clear" w:color="FFFFFF" w:fill="F5DADD"/>
            <w:vAlign w:val="center"/>
            <w:hideMark/>
          </w:tcPr>
          <w:p w:rsidR="009F5537" w:rsidRPr="00EA63FB" w:rsidRDefault="009F5537" w:rsidP="00305387">
            <w:pPr>
              <w:spacing w:after="0" w:line="240" w:lineRule="auto"/>
              <w:jc w:val="center"/>
              <w:rPr>
                <w:rFonts w:cs="Arial"/>
                <w:b/>
                <w:bCs/>
                <w:sz w:val="16"/>
                <w:szCs w:val="16"/>
              </w:rPr>
            </w:pPr>
            <w:r w:rsidRPr="00EA63FB">
              <w:rPr>
                <w:rFonts w:cs="Arial"/>
                <w:b/>
                <w:bCs/>
                <w:sz w:val="16"/>
                <w:szCs w:val="16"/>
              </w:rPr>
              <w:t>Živě narození celkem</w:t>
            </w:r>
          </w:p>
        </w:tc>
        <w:tc>
          <w:tcPr>
            <w:tcW w:w="7652" w:type="dxa"/>
            <w:gridSpan w:val="6"/>
            <w:tcBorders>
              <w:top w:val="single" w:sz="4" w:space="0" w:color="auto"/>
              <w:left w:val="nil"/>
              <w:bottom w:val="single" w:sz="4" w:space="0" w:color="auto"/>
              <w:right w:val="nil"/>
            </w:tcBorders>
            <w:shd w:val="clear" w:color="FFFFFF" w:fill="F5DADD"/>
            <w:noWrap/>
            <w:vAlign w:val="center"/>
            <w:hideMark/>
          </w:tcPr>
          <w:p w:rsidR="009F5537" w:rsidRPr="00EA63FB" w:rsidRDefault="009F5537" w:rsidP="00305387">
            <w:pPr>
              <w:spacing w:after="0" w:line="240" w:lineRule="auto"/>
              <w:jc w:val="center"/>
              <w:rPr>
                <w:rFonts w:cs="Arial"/>
                <w:b/>
                <w:bCs/>
                <w:sz w:val="16"/>
                <w:szCs w:val="16"/>
              </w:rPr>
            </w:pPr>
            <w:r w:rsidRPr="00EA63FB">
              <w:rPr>
                <w:rFonts w:cs="Arial"/>
                <w:b/>
                <w:bCs/>
                <w:sz w:val="16"/>
                <w:szCs w:val="16"/>
              </w:rPr>
              <w:t>Státní občanství</w:t>
            </w:r>
          </w:p>
        </w:tc>
      </w:tr>
      <w:tr w:rsidR="009F5537" w:rsidRPr="00EA63FB" w:rsidTr="00305387">
        <w:trPr>
          <w:trHeight w:val="480"/>
        </w:trPr>
        <w:tc>
          <w:tcPr>
            <w:tcW w:w="670" w:type="dxa"/>
            <w:vMerge/>
            <w:tcBorders>
              <w:top w:val="single" w:sz="4" w:space="0" w:color="auto"/>
              <w:left w:val="nil"/>
              <w:bottom w:val="single" w:sz="4" w:space="0" w:color="000000"/>
              <w:right w:val="single" w:sz="4" w:space="0" w:color="auto"/>
            </w:tcBorders>
            <w:vAlign w:val="center"/>
            <w:hideMark/>
          </w:tcPr>
          <w:p w:rsidR="009F5537" w:rsidRPr="00EA63FB" w:rsidRDefault="009F5537" w:rsidP="00305387">
            <w:pPr>
              <w:spacing w:after="0" w:line="240" w:lineRule="auto"/>
              <w:rPr>
                <w:rFonts w:cs="Arial"/>
                <w:b/>
                <w:bCs/>
                <w:sz w:val="16"/>
                <w:szCs w:val="16"/>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9F5537" w:rsidRPr="00EA63FB" w:rsidRDefault="009F5537" w:rsidP="00305387">
            <w:pPr>
              <w:spacing w:after="0" w:line="240" w:lineRule="auto"/>
              <w:rPr>
                <w:rFonts w:cs="Arial"/>
                <w:b/>
                <w:bCs/>
                <w:sz w:val="16"/>
                <w:szCs w:val="16"/>
              </w:rPr>
            </w:pPr>
          </w:p>
        </w:tc>
        <w:tc>
          <w:tcPr>
            <w:tcW w:w="1317" w:type="dxa"/>
            <w:tcBorders>
              <w:top w:val="nil"/>
              <w:left w:val="nil"/>
              <w:bottom w:val="single" w:sz="4" w:space="0" w:color="auto"/>
              <w:right w:val="single" w:sz="4" w:space="0" w:color="auto"/>
            </w:tcBorders>
            <w:shd w:val="clear" w:color="FFFFFF" w:fill="F5DADD"/>
            <w:vAlign w:val="center"/>
            <w:hideMark/>
          </w:tcPr>
          <w:p w:rsidR="009F5537" w:rsidRPr="00EA63FB" w:rsidRDefault="009F5537" w:rsidP="00305387">
            <w:pPr>
              <w:spacing w:after="0" w:line="240" w:lineRule="auto"/>
              <w:jc w:val="center"/>
              <w:rPr>
                <w:rFonts w:cs="Arial"/>
                <w:sz w:val="16"/>
                <w:szCs w:val="16"/>
              </w:rPr>
            </w:pPr>
            <w:r w:rsidRPr="00EA63FB">
              <w:rPr>
                <w:rFonts w:cs="Arial"/>
                <w:sz w:val="16"/>
                <w:szCs w:val="16"/>
              </w:rPr>
              <w:t>Cizí statní občanství</w:t>
            </w:r>
          </w:p>
        </w:tc>
        <w:tc>
          <w:tcPr>
            <w:tcW w:w="1316" w:type="dxa"/>
            <w:tcBorders>
              <w:top w:val="nil"/>
              <w:left w:val="nil"/>
              <w:bottom w:val="single" w:sz="4" w:space="0" w:color="auto"/>
              <w:right w:val="single" w:sz="4" w:space="0" w:color="auto"/>
            </w:tcBorders>
            <w:shd w:val="clear" w:color="FFFFFF" w:fill="F5DADD"/>
            <w:vAlign w:val="center"/>
            <w:hideMark/>
          </w:tcPr>
          <w:p w:rsidR="009F5537" w:rsidRPr="00EA63FB" w:rsidRDefault="009F5537" w:rsidP="00305387">
            <w:pPr>
              <w:spacing w:after="0" w:line="240" w:lineRule="auto"/>
              <w:jc w:val="center"/>
              <w:rPr>
                <w:rFonts w:cs="Arial"/>
                <w:sz w:val="16"/>
                <w:szCs w:val="16"/>
              </w:rPr>
            </w:pPr>
            <w:r w:rsidRPr="00EA63FB">
              <w:rPr>
                <w:rFonts w:cs="Arial"/>
                <w:sz w:val="16"/>
                <w:szCs w:val="16"/>
              </w:rPr>
              <w:t xml:space="preserve">  Vietnam</w:t>
            </w:r>
          </w:p>
        </w:tc>
        <w:tc>
          <w:tcPr>
            <w:tcW w:w="1316" w:type="dxa"/>
            <w:tcBorders>
              <w:top w:val="nil"/>
              <w:left w:val="nil"/>
              <w:bottom w:val="single" w:sz="4" w:space="0" w:color="auto"/>
              <w:right w:val="nil"/>
            </w:tcBorders>
            <w:shd w:val="clear" w:color="FFFFFF" w:fill="F5DADD"/>
            <w:vAlign w:val="center"/>
            <w:hideMark/>
          </w:tcPr>
          <w:p w:rsidR="009F5537" w:rsidRPr="00EA63FB" w:rsidRDefault="009F5537" w:rsidP="00305387">
            <w:pPr>
              <w:spacing w:after="0" w:line="240" w:lineRule="auto"/>
              <w:jc w:val="center"/>
              <w:rPr>
                <w:rFonts w:cs="Arial"/>
                <w:sz w:val="16"/>
                <w:szCs w:val="16"/>
              </w:rPr>
            </w:pPr>
            <w:r w:rsidRPr="00EA63FB">
              <w:rPr>
                <w:rFonts w:cs="Arial"/>
                <w:sz w:val="16"/>
                <w:szCs w:val="16"/>
              </w:rPr>
              <w:t xml:space="preserve">  Ukrajina</w:t>
            </w:r>
          </w:p>
        </w:tc>
        <w:tc>
          <w:tcPr>
            <w:tcW w:w="1316" w:type="dxa"/>
            <w:tcBorders>
              <w:top w:val="nil"/>
              <w:left w:val="single" w:sz="4" w:space="0" w:color="auto"/>
              <w:bottom w:val="single" w:sz="4" w:space="0" w:color="auto"/>
              <w:right w:val="nil"/>
            </w:tcBorders>
            <w:shd w:val="clear" w:color="FFFFFF" w:fill="F5DADD"/>
            <w:vAlign w:val="center"/>
            <w:hideMark/>
          </w:tcPr>
          <w:p w:rsidR="009F5537" w:rsidRPr="00EA63FB" w:rsidRDefault="009F5537" w:rsidP="00305387">
            <w:pPr>
              <w:spacing w:after="0" w:line="240" w:lineRule="auto"/>
              <w:jc w:val="center"/>
              <w:rPr>
                <w:rFonts w:cs="Arial"/>
                <w:sz w:val="16"/>
                <w:szCs w:val="16"/>
              </w:rPr>
            </w:pPr>
            <w:r w:rsidRPr="00EA63FB">
              <w:rPr>
                <w:rFonts w:cs="Arial"/>
                <w:sz w:val="16"/>
                <w:szCs w:val="16"/>
              </w:rPr>
              <w:t xml:space="preserve">  Slovensko</w:t>
            </w:r>
          </w:p>
        </w:tc>
        <w:tc>
          <w:tcPr>
            <w:tcW w:w="1316" w:type="dxa"/>
            <w:tcBorders>
              <w:top w:val="nil"/>
              <w:left w:val="single" w:sz="4" w:space="0" w:color="auto"/>
              <w:bottom w:val="single" w:sz="4" w:space="0" w:color="auto"/>
              <w:right w:val="single" w:sz="4" w:space="0" w:color="auto"/>
            </w:tcBorders>
            <w:shd w:val="clear" w:color="FFFFFF" w:fill="F5DADD"/>
            <w:vAlign w:val="center"/>
            <w:hideMark/>
          </w:tcPr>
          <w:p w:rsidR="009F5537" w:rsidRPr="00EA63FB" w:rsidRDefault="009F5537" w:rsidP="00305387">
            <w:pPr>
              <w:spacing w:after="0" w:line="240" w:lineRule="auto"/>
              <w:jc w:val="center"/>
              <w:rPr>
                <w:rFonts w:cs="Arial"/>
                <w:sz w:val="16"/>
                <w:szCs w:val="16"/>
              </w:rPr>
            </w:pPr>
            <w:r w:rsidRPr="00EA63FB">
              <w:rPr>
                <w:rFonts w:cs="Arial"/>
                <w:sz w:val="16"/>
                <w:szCs w:val="16"/>
              </w:rPr>
              <w:t xml:space="preserve">  Rusko</w:t>
            </w:r>
          </w:p>
        </w:tc>
        <w:tc>
          <w:tcPr>
            <w:tcW w:w="1071" w:type="dxa"/>
            <w:tcBorders>
              <w:top w:val="nil"/>
              <w:left w:val="nil"/>
              <w:bottom w:val="single" w:sz="4" w:space="0" w:color="auto"/>
              <w:right w:val="nil"/>
            </w:tcBorders>
            <w:shd w:val="clear" w:color="FFFFFF" w:fill="F5DADD"/>
            <w:vAlign w:val="center"/>
            <w:hideMark/>
          </w:tcPr>
          <w:p w:rsidR="009F5537" w:rsidRPr="00EA63FB" w:rsidRDefault="009F5537" w:rsidP="00305387">
            <w:pPr>
              <w:spacing w:after="0" w:line="240" w:lineRule="auto"/>
              <w:jc w:val="center"/>
              <w:rPr>
                <w:rFonts w:cs="Arial"/>
                <w:sz w:val="16"/>
                <w:szCs w:val="16"/>
              </w:rPr>
            </w:pPr>
            <w:r w:rsidRPr="00EA63FB">
              <w:rPr>
                <w:rFonts w:cs="Arial"/>
                <w:sz w:val="16"/>
                <w:szCs w:val="16"/>
              </w:rPr>
              <w:t xml:space="preserve">  Mongolsko</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2005</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102 211</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1 518</w:t>
            </w:r>
          </w:p>
        </w:tc>
        <w:tc>
          <w:tcPr>
            <w:tcW w:w="1316" w:type="dxa"/>
            <w:tcBorders>
              <w:top w:val="nil"/>
              <w:left w:val="nil"/>
              <w:bottom w:val="nil"/>
              <w:right w:val="single" w:sz="4" w:space="0" w:color="auto"/>
            </w:tcBorders>
            <w:shd w:val="clear" w:color="FFFFFF" w:fill="FFFFFF"/>
            <w:noWrap/>
            <w:tcMar>
              <w:right w:w="454"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517</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288</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192</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104</w:t>
            </w:r>
          </w:p>
        </w:tc>
        <w:tc>
          <w:tcPr>
            <w:tcW w:w="1071" w:type="dxa"/>
            <w:tcBorders>
              <w:top w:val="nil"/>
              <w:left w:val="single" w:sz="4" w:space="0" w:color="auto"/>
              <w:bottom w:val="nil"/>
              <w:right w:val="nil"/>
            </w:tcBorders>
            <w:shd w:val="clear" w:color="FFFFFF" w:fill="FFFFFF"/>
            <w:noWrap/>
            <w:tcMar>
              <w:right w:w="340"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23</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2006</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105 831</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1 725</w:t>
            </w:r>
          </w:p>
        </w:tc>
        <w:tc>
          <w:tcPr>
            <w:tcW w:w="1316" w:type="dxa"/>
            <w:tcBorders>
              <w:top w:val="nil"/>
              <w:left w:val="nil"/>
              <w:bottom w:val="nil"/>
              <w:right w:val="single" w:sz="4" w:space="0" w:color="auto"/>
            </w:tcBorders>
            <w:shd w:val="clear" w:color="FFFFFF" w:fill="FFFFFF"/>
            <w:noWrap/>
            <w:tcMar>
              <w:right w:w="454"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608</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315</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241</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105</w:t>
            </w:r>
          </w:p>
        </w:tc>
        <w:tc>
          <w:tcPr>
            <w:tcW w:w="1071" w:type="dxa"/>
            <w:tcBorders>
              <w:top w:val="nil"/>
              <w:left w:val="single" w:sz="4" w:space="0" w:color="auto"/>
              <w:bottom w:val="nil"/>
              <w:right w:val="nil"/>
            </w:tcBorders>
            <w:shd w:val="clear" w:color="FFFFFF" w:fill="FFFFFF"/>
            <w:noWrap/>
            <w:tcMar>
              <w:right w:w="340"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30</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2007</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114 632</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2 094</w:t>
            </w:r>
          </w:p>
        </w:tc>
        <w:tc>
          <w:tcPr>
            <w:tcW w:w="1316" w:type="dxa"/>
            <w:tcBorders>
              <w:top w:val="nil"/>
              <w:left w:val="nil"/>
              <w:bottom w:val="nil"/>
              <w:right w:val="single" w:sz="4" w:space="0" w:color="auto"/>
            </w:tcBorders>
            <w:shd w:val="clear" w:color="FFFFFF" w:fill="FFFFFF"/>
            <w:noWrap/>
            <w:tcMar>
              <w:right w:w="454"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767</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431</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249</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108</w:t>
            </w:r>
          </w:p>
        </w:tc>
        <w:tc>
          <w:tcPr>
            <w:tcW w:w="1071" w:type="dxa"/>
            <w:tcBorders>
              <w:top w:val="nil"/>
              <w:left w:val="single" w:sz="4" w:space="0" w:color="auto"/>
              <w:bottom w:val="nil"/>
              <w:right w:val="nil"/>
            </w:tcBorders>
            <w:shd w:val="clear" w:color="FFFFFF" w:fill="FFFFFF"/>
            <w:noWrap/>
            <w:tcMar>
              <w:right w:w="340"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74</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2008</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119 570</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2 666</w:t>
            </w:r>
          </w:p>
        </w:tc>
        <w:tc>
          <w:tcPr>
            <w:tcW w:w="1316" w:type="dxa"/>
            <w:tcBorders>
              <w:top w:val="nil"/>
              <w:left w:val="nil"/>
              <w:bottom w:val="nil"/>
              <w:right w:val="single" w:sz="4" w:space="0" w:color="auto"/>
            </w:tcBorders>
            <w:shd w:val="clear" w:color="FFFFFF" w:fill="FFFFFF"/>
            <w:noWrap/>
            <w:tcMar>
              <w:right w:w="454"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913</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604</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304</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134</w:t>
            </w:r>
          </w:p>
        </w:tc>
        <w:tc>
          <w:tcPr>
            <w:tcW w:w="1071" w:type="dxa"/>
            <w:tcBorders>
              <w:top w:val="nil"/>
              <w:left w:val="single" w:sz="4" w:space="0" w:color="auto"/>
              <w:bottom w:val="nil"/>
              <w:right w:val="nil"/>
            </w:tcBorders>
            <w:shd w:val="clear" w:color="FFFFFF" w:fill="FFFFFF"/>
            <w:noWrap/>
            <w:tcMar>
              <w:right w:w="340"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90</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2009</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118 348</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3 104</w:t>
            </w:r>
          </w:p>
        </w:tc>
        <w:tc>
          <w:tcPr>
            <w:tcW w:w="1316" w:type="dxa"/>
            <w:tcBorders>
              <w:top w:val="nil"/>
              <w:left w:val="nil"/>
              <w:bottom w:val="nil"/>
              <w:right w:val="single" w:sz="4" w:space="0" w:color="auto"/>
            </w:tcBorders>
            <w:shd w:val="clear" w:color="FFFFFF" w:fill="FFFFFF"/>
            <w:noWrap/>
            <w:tcMar>
              <w:right w:w="454"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947</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775</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434</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170</w:t>
            </w:r>
          </w:p>
        </w:tc>
        <w:tc>
          <w:tcPr>
            <w:tcW w:w="1071" w:type="dxa"/>
            <w:tcBorders>
              <w:top w:val="nil"/>
              <w:left w:val="single" w:sz="4" w:space="0" w:color="auto"/>
              <w:bottom w:val="nil"/>
              <w:right w:val="nil"/>
            </w:tcBorders>
            <w:shd w:val="clear" w:color="FFFFFF" w:fill="FFFFFF"/>
            <w:noWrap/>
            <w:tcMar>
              <w:right w:w="340"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128</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2010</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117 153</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3 034</w:t>
            </w:r>
          </w:p>
        </w:tc>
        <w:tc>
          <w:tcPr>
            <w:tcW w:w="1316" w:type="dxa"/>
            <w:tcBorders>
              <w:top w:val="nil"/>
              <w:left w:val="nil"/>
              <w:bottom w:val="nil"/>
              <w:right w:val="single" w:sz="4" w:space="0" w:color="auto"/>
            </w:tcBorders>
            <w:shd w:val="clear" w:color="FFFFFF" w:fill="FFFFFF"/>
            <w:noWrap/>
            <w:tcMar>
              <w:right w:w="454"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862</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795</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437</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168</w:t>
            </w:r>
          </w:p>
        </w:tc>
        <w:tc>
          <w:tcPr>
            <w:tcW w:w="1071" w:type="dxa"/>
            <w:tcBorders>
              <w:top w:val="nil"/>
              <w:left w:val="single" w:sz="4" w:space="0" w:color="auto"/>
              <w:bottom w:val="nil"/>
              <w:right w:val="nil"/>
            </w:tcBorders>
            <w:shd w:val="clear" w:color="FFFFFF" w:fill="FFFFFF"/>
            <w:noWrap/>
            <w:tcMar>
              <w:right w:w="340"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135</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2011</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108 673</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2 959</w:t>
            </w:r>
          </w:p>
        </w:tc>
        <w:tc>
          <w:tcPr>
            <w:tcW w:w="1316" w:type="dxa"/>
            <w:tcBorders>
              <w:top w:val="nil"/>
              <w:left w:val="nil"/>
              <w:bottom w:val="nil"/>
              <w:right w:val="single" w:sz="4" w:space="0" w:color="auto"/>
            </w:tcBorders>
            <w:shd w:val="clear" w:color="FFFFFF" w:fill="FFFFFF"/>
            <w:noWrap/>
            <w:tcMar>
              <w:right w:w="454"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893</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430</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413</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191</w:t>
            </w:r>
          </w:p>
        </w:tc>
        <w:tc>
          <w:tcPr>
            <w:tcW w:w="1071" w:type="dxa"/>
            <w:tcBorders>
              <w:top w:val="nil"/>
              <w:left w:val="single" w:sz="4" w:space="0" w:color="auto"/>
              <w:bottom w:val="nil"/>
              <w:right w:val="nil"/>
            </w:tcBorders>
            <w:shd w:val="clear" w:color="FFFFFF" w:fill="FFFFFF"/>
            <w:noWrap/>
            <w:tcMar>
              <w:right w:w="340"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121</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2012</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108 576</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3 270</w:t>
            </w:r>
          </w:p>
        </w:tc>
        <w:tc>
          <w:tcPr>
            <w:tcW w:w="1316" w:type="dxa"/>
            <w:tcBorders>
              <w:top w:val="nil"/>
              <w:left w:val="nil"/>
              <w:bottom w:val="nil"/>
              <w:right w:val="single" w:sz="4" w:space="0" w:color="auto"/>
            </w:tcBorders>
            <w:shd w:val="clear" w:color="FFFFFF" w:fill="FFFFFF"/>
            <w:noWrap/>
            <w:tcMar>
              <w:right w:w="454"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1 104</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737</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389</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225</w:t>
            </w:r>
          </w:p>
        </w:tc>
        <w:tc>
          <w:tcPr>
            <w:tcW w:w="1071" w:type="dxa"/>
            <w:tcBorders>
              <w:top w:val="nil"/>
              <w:left w:val="single" w:sz="4" w:space="0" w:color="auto"/>
              <w:bottom w:val="nil"/>
              <w:right w:val="nil"/>
            </w:tcBorders>
            <w:shd w:val="clear" w:color="FFFFFF" w:fill="FFFFFF"/>
            <w:noWrap/>
            <w:tcMar>
              <w:right w:w="340"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123</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2013</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106 751</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3 345</w:t>
            </w:r>
          </w:p>
        </w:tc>
        <w:tc>
          <w:tcPr>
            <w:tcW w:w="1316" w:type="dxa"/>
            <w:tcBorders>
              <w:top w:val="nil"/>
              <w:left w:val="nil"/>
              <w:bottom w:val="nil"/>
              <w:right w:val="single" w:sz="4" w:space="0" w:color="auto"/>
            </w:tcBorders>
            <w:shd w:val="clear" w:color="FFFFFF" w:fill="FFFFFF"/>
            <w:noWrap/>
            <w:tcMar>
              <w:right w:w="454"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965</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781</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459</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225</w:t>
            </w:r>
          </w:p>
        </w:tc>
        <w:tc>
          <w:tcPr>
            <w:tcW w:w="1071" w:type="dxa"/>
            <w:tcBorders>
              <w:top w:val="nil"/>
              <w:left w:val="single" w:sz="4" w:space="0" w:color="auto"/>
              <w:bottom w:val="nil"/>
              <w:right w:val="nil"/>
            </w:tcBorders>
            <w:shd w:val="clear" w:color="FFFFFF" w:fill="FFFFFF"/>
            <w:noWrap/>
            <w:tcMar>
              <w:right w:w="340"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178</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2014</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109 860</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3 482</w:t>
            </w:r>
          </w:p>
        </w:tc>
        <w:tc>
          <w:tcPr>
            <w:tcW w:w="1316" w:type="dxa"/>
            <w:tcBorders>
              <w:top w:val="nil"/>
              <w:left w:val="nil"/>
              <w:bottom w:val="nil"/>
              <w:right w:val="single" w:sz="4" w:space="0" w:color="auto"/>
            </w:tcBorders>
            <w:shd w:val="clear" w:color="FFFFFF" w:fill="FFFFFF"/>
            <w:noWrap/>
            <w:tcMar>
              <w:right w:w="454"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996</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846</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530</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204</w:t>
            </w:r>
          </w:p>
        </w:tc>
        <w:tc>
          <w:tcPr>
            <w:tcW w:w="1071" w:type="dxa"/>
            <w:tcBorders>
              <w:top w:val="nil"/>
              <w:left w:val="single" w:sz="4" w:space="0" w:color="auto"/>
              <w:bottom w:val="nil"/>
              <w:right w:val="nil"/>
            </w:tcBorders>
            <w:shd w:val="clear" w:color="FFFFFF" w:fill="FFFFFF"/>
            <w:noWrap/>
            <w:tcMar>
              <w:right w:w="340"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146</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2015</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110 764</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3 631</w:t>
            </w:r>
          </w:p>
        </w:tc>
        <w:tc>
          <w:tcPr>
            <w:tcW w:w="1316" w:type="dxa"/>
            <w:tcBorders>
              <w:top w:val="nil"/>
              <w:left w:val="nil"/>
              <w:bottom w:val="nil"/>
              <w:right w:val="single" w:sz="4" w:space="0" w:color="auto"/>
            </w:tcBorders>
            <w:shd w:val="clear" w:color="FFFFFF" w:fill="FFFFFF"/>
            <w:noWrap/>
            <w:tcMar>
              <w:right w:w="454"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1 041</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917</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509</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234</w:t>
            </w:r>
          </w:p>
        </w:tc>
        <w:tc>
          <w:tcPr>
            <w:tcW w:w="1071" w:type="dxa"/>
            <w:tcBorders>
              <w:top w:val="nil"/>
              <w:left w:val="single" w:sz="4" w:space="0" w:color="auto"/>
              <w:bottom w:val="nil"/>
              <w:right w:val="nil"/>
            </w:tcBorders>
            <w:shd w:val="clear" w:color="FFFFFF" w:fill="FFFFFF"/>
            <w:noWrap/>
            <w:tcMar>
              <w:right w:w="340" w:type="dxa"/>
            </w:tcMar>
            <w:vAlign w:val="bottom"/>
            <w:hideMark/>
          </w:tcPr>
          <w:p w:rsidR="009F5537" w:rsidRPr="00EA63FB" w:rsidRDefault="009F5537" w:rsidP="00305387">
            <w:pPr>
              <w:spacing w:after="0" w:line="240" w:lineRule="auto"/>
              <w:jc w:val="right"/>
              <w:rPr>
                <w:rFonts w:cs="Arial"/>
                <w:sz w:val="16"/>
                <w:szCs w:val="16"/>
              </w:rPr>
            </w:pPr>
            <w:r w:rsidRPr="00EA63FB">
              <w:rPr>
                <w:rFonts w:cs="Arial"/>
                <w:sz w:val="16"/>
                <w:szCs w:val="16"/>
              </w:rPr>
              <w:t>110</w:t>
            </w:r>
          </w:p>
        </w:tc>
      </w:tr>
    </w:tbl>
    <w:p w:rsidR="009F5537" w:rsidRDefault="009F5537" w:rsidP="009F5537">
      <w:pPr>
        <w:spacing w:before="60"/>
        <w:rPr>
          <w:i/>
          <w:iCs/>
          <w:sz w:val="16"/>
        </w:rPr>
      </w:pPr>
      <w:r>
        <w:rPr>
          <w:i/>
          <w:iCs/>
          <w:sz w:val="16"/>
        </w:rPr>
        <w:t>* Výběr a řazení občanství podle četností v roce 2015. Od roku 2007 se pořadí na prvních pěti místech neměnilo.</w:t>
      </w:r>
    </w:p>
    <w:p w:rsidR="009F5537" w:rsidRDefault="009F5537" w:rsidP="009F5537">
      <w:pPr>
        <w:rPr>
          <w:rFonts w:cs="Arial"/>
          <w:szCs w:val="20"/>
        </w:rPr>
      </w:pPr>
      <w:r>
        <w:rPr>
          <w:rFonts w:cs="Arial"/>
          <w:szCs w:val="20"/>
        </w:rPr>
        <w:t xml:space="preserve">Celkově se v České republice roce 2015 živě narodilo  6 520 dětí matkám a 6 757 otcům s cizím státním občanstvím. Při rozlišení jednotlivých státního občanství rodičů dlouhodobě dominovaly matky a otcové se slovenským státním občanstvím. V roce 2015 se jednalo o 2 293 matek a 1 926 otců. Vzhledem k tomu, že dětí s odvozeným slovenským státním občanstvím bylo pouze 509, tak je zřejmé, že se z větší části jednalo o děti smíšených česko-slovenských párů a dítěti bylo přiřazeno české občanství. Oproti tomu u vietnamského občanství se počty živě narozených dětí pohybovaly okolo jednoho tisíce u matky, otce i v případě odvozeného občanství dítěte. Většinou se tak dítě narodilo homogennímu páru z hlediska státní příslušnosti.    </w:t>
      </w:r>
    </w:p>
    <w:p w:rsidR="009F5537" w:rsidRDefault="009F5537" w:rsidP="009F5537">
      <w:pPr>
        <w:spacing w:after="60"/>
        <w:rPr>
          <w:rFonts w:cs="Arial"/>
          <w:b/>
          <w:szCs w:val="20"/>
        </w:rPr>
      </w:pPr>
      <w:r>
        <w:rPr>
          <w:rFonts w:cs="Arial"/>
          <w:b/>
          <w:szCs w:val="20"/>
        </w:rPr>
        <w:t>Tab. 7</w:t>
      </w:r>
      <w:r w:rsidRPr="00EA63FB">
        <w:rPr>
          <w:rFonts w:cs="Arial"/>
          <w:b/>
          <w:szCs w:val="20"/>
        </w:rPr>
        <w:t xml:space="preserve"> Živě narození podle země narození</w:t>
      </w:r>
      <w:r>
        <w:rPr>
          <w:rFonts w:cs="Arial"/>
          <w:b/>
          <w:szCs w:val="20"/>
        </w:rPr>
        <w:t>*</w:t>
      </w:r>
      <w:r w:rsidRPr="00EA63FB">
        <w:rPr>
          <w:rFonts w:cs="Arial"/>
          <w:b/>
          <w:szCs w:val="20"/>
        </w:rPr>
        <w:t xml:space="preserve"> matky v letech 2012–2015</w:t>
      </w:r>
    </w:p>
    <w:tbl>
      <w:tblPr>
        <w:tblW w:w="9639" w:type="dxa"/>
        <w:tblCellMar>
          <w:left w:w="70" w:type="dxa"/>
          <w:right w:w="70" w:type="dxa"/>
        </w:tblCellMar>
        <w:tblLook w:val="04A0" w:firstRow="1" w:lastRow="0" w:firstColumn="1" w:lastColumn="0" w:noHBand="0" w:noVBand="1"/>
      </w:tblPr>
      <w:tblGrid>
        <w:gridCol w:w="670"/>
        <w:gridCol w:w="1317"/>
        <w:gridCol w:w="1317"/>
        <w:gridCol w:w="1316"/>
        <w:gridCol w:w="1316"/>
        <w:gridCol w:w="1316"/>
        <w:gridCol w:w="1316"/>
        <w:gridCol w:w="1071"/>
      </w:tblGrid>
      <w:tr w:rsidR="009F5537" w:rsidRPr="00EA63FB" w:rsidTr="00305387">
        <w:trPr>
          <w:trHeight w:val="240"/>
        </w:trPr>
        <w:tc>
          <w:tcPr>
            <w:tcW w:w="670"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EA63FB" w:rsidRDefault="009F5537" w:rsidP="00305387">
            <w:pPr>
              <w:spacing w:after="0" w:line="240" w:lineRule="auto"/>
              <w:jc w:val="center"/>
              <w:rPr>
                <w:rFonts w:cs="Arial"/>
                <w:b/>
                <w:bCs/>
                <w:sz w:val="16"/>
                <w:szCs w:val="16"/>
              </w:rPr>
            </w:pPr>
            <w:r w:rsidRPr="00EA63FB">
              <w:rPr>
                <w:rFonts w:cs="Arial"/>
                <w:b/>
                <w:bCs/>
                <w:sz w:val="16"/>
                <w:szCs w:val="16"/>
              </w:rPr>
              <w:t>Rok</w:t>
            </w:r>
          </w:p>
        </w:tc>
        <w:tc>
          <w:tcPr>
            <w:tcW w:w="1317" w:type="dxa"/>
            <w:vMerge w:val="restart"/>
            <w:tcBorders>
              <w:top w:val="single" w:sz="4" w:space="0" w:color="auto"/>
              <w:left w:val="single" w:sz="4" w:space="0" w:color="auto"/>
              <w:bottom w:val="single" w:sz="4" w:space="0" w:color="000000"/>
              <w:right w:val="single" w:sz="4" w:space="0" w:color="auto"/>
            </w:tcBorders>
            <w:shd w:val="clear" w:color="FFFFFF" w:fill="F5DADD"/>
            <w:vAlign w:val="center"/>
            <w:hideMark/>
          </w:tcPr>
          <w:p w:rsidR="009F5537" w:rsidRPr="00EA63FB" w:rsidRDefault="009F5537" w:rsidP="00305387">
            <w:pPr>
              <w:spacing w:after="0" w:line="240" w:lineRule="auto"/>
              <w:jc w:val="center"/>
              <w:rPr>
                <w:rFonts w:cs="Arial"/>
                <w:b/>
                <w:bCs/>
                <w:sz w:val="16"/>
                <w:szCs w:val="16"/>
              </w:rPr>
            </w:pPr>
            <w:r w:rsidRPr="00EA63FB">
              <w:rPr>
                <w:rFonts w:cs="Arial"/>
                <w:b/>
                <w:bCs/>
                <w:sz w:val="16"/>
                <w:szCs w:val="16"/>
              </w:rPr>
              <w:t>Živě narození celkem</w:t>
            </w:r>
          </w:p>
        </w:tc>
        <w:tc>
          <w:tcPr>
            <w:tcW w:w="7652" w:type="dxa"/>
            <w:gridSpan w:val="6"/>
            <w:tcBorders>
              <w:top w:val="single" w:sz="4" w:space="0" w:color="auto"/>
              <w:left w:val="nil"/>
              <w:bottom w:val="single" w:sz="4" w:space="0" w:color="auto"/>
              <w:right w:val="nil"/>
            </w:tcBorders>
            <w:shd w:val="clear" w:color="FFFFFF" w:fill="F5DADD"/>
            <w:noWrap/>
            <w:vAlign w:val="center"/>
            <w:hideMark/>
          </w:tcPr>
          <w:p w:rsidR="009F5537" w:rsidRPr="00EA63FB" w:rsidRDefault="009F5537" w:rsidP="00305387">
            <w:pPr>
              <w:spacing w:after="0" w:line="240" w:lineRule="auto"/>
              <w:jc w:val="center"/>
              <w:rPr>
                <w:rFonts w:cs="Arial"/>
                <w:b/>
                <w:bCs/>
                <w:sz w:val="16"/>
                <w:szCs w:val="16"/>
              </w:rPr>
            </w:pPr>
            <w:r w:rsidRPr="00EA63FB">
              <w:rPr>
                <w:rFonts w:cs="Arial"/>
                <w:b/>
                <w:bCs/>
                <w:sz w:val="16"/>
                <w:szCs w:val="16"/>
              </w:rPr>
              <w:t>Země narození matky</w:t>
            </w:r>
          </w:p>
        </w:tc>
      </w:tr>
      <w:tr w:rsidR="009F5537" w:rsidRPr="00EA63FB" w:rsidTr="00305387">
        <w:trPr>
          <w:trHeight w:val="480"/>
        </w:trPr>
        <w:tc>
          <w:tcPr>
            <w:tcW w:w="670" w:type="dxa"/>
            <w:vMerge/>
            <w:tcBorders>
              <w:top w:val="single" w:sz="4" w:space="0" w:color="auto"/>
              <w:left w:val="nil"/>
              <w:bottom w:val="single" w:sz="4" w:space="0" w:color="000000"/>
              <w:right w:val="single" w:sz="4" w:space="0" w:color="auto"/>
            </w:tcBorders>
            <w:vAlign w:val="center"/>
            <w:hideMark/>
          </w:tcPr>
          <w:p w:rsidR="009F5537" w:rsidRPr="00EA63FB" w:rsidRDefault="009F5537" w:rsidP="00305387">
            <w:pPr>
              <w:spacing w:after="0" w:line="240" w:lineRule="auto"/>
              <w:rPr>
                <w:rFonts w:cs="Arial"/>
                <w:b/>
                <w:bCs/>
                <w:sz w:val="16"/>
                <w:szCs w:val="16"/>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9F5537" w:rsidRPr="00EA63FB" w:rsidRDefault="009F5537" w:rsidP="00305387">
            <w:pPr>
              <w:spacing w:after="0" w:line="240" w:lineRule="auto"/>
              <w:rPr>
                <w:rFonts w:cs="Arial"/>
                <w:b/>
                <w:bCs/>
                <w:sz w:val="16"/>
                <w:szCs w:val="16"/>
              </w:rPr>
            </w:pPr>
          </w:p>
        </w:tc>
        <w:tc>
          <w:tcPr>
            <w:tcW w:w="1317" w:type="dxa"/>
            <w:tcBorders>
              <w:top w:val="nil"/>
              <w:left w:val="nil"/>
              <w:bottom w:val="single" w:sz="4" w:space="0" w:color="auto"/>
              <w:right w:val="single" w:sz="4" w:space="0" w:color="auto"/>
            </w:tcBorders>
            <w:shd w:val="clear" w:color="FFFFFF" w:fill="F5DADD"/>
            <w:vAlign w:val="center"/>
            <w:hideMark/>
          </w:tcPr>
          <w:p w:rsidR="009F5537" w:rsidRPr="00EA63FB" w:rsidRDefault="009F5537" w:rsidP="00305387">
            <w:pPr>
              <w:spacing w:after="0" w:line="240" w:lineRule="auto"/>
              <w:jc w:val="center"/>
              <w:rPr>
                <w:rFonts w:cs="Arial"/>
                <w:sz w:val="16"/>
                <w:szCs w:val="16"/>
              </w:rPr>
            </w:pPr>
            <w:r w:rsidRPr="00EA63FB">
              <w:rPr>
                <w:rFonts w:cs="Arial"/>
                <w:sz w:val="16"/>
                <w:szCs w:val="16"/>
              </w:rPr>
              <w:t>Cizí země</w:t>
            </w:r>
          </w:p>
        </w:tc>
        <w:tc>
          <w:tcPr>
            <w:tcW w:w="1316" w:type="dxa"/>
            <w:tcBorders>
              <w:top w:val="nil"/>
              <w:left w:val="nil"/>
              <w:bottom w:val="single" w:sz="4" w:space="0" w:color="auto"/>
              <w:right w:val="single" w:sz="4" w:space="0" w:color="auto"/>
            </w:tcBorders>
            <w:shd w:val="clear" w:color="FFFFFF" w:fill="F5DADD"/>
            <w:vAlign w:val="center"/>
            <w:hideMark/>
          </w:tcPr>
          <w:p w:rsidR="009F5537" w:rsidRPr="00EA63FB" w:rsidRDefault="009F5537" w:rsidP="00305387">
            <w:pPr>
              <w:spacing w:after="0" w:line="240" w:lineRule="auto"/>
              <w:jc w:val="center"/>
              <w:rPr>
                <w:rFonts w:cs="Arial"/>
                <w:sz w:val="16"/>
                <w:szCs w:val="16"/>
              </w:rPr>
            </w:pPr>
            <w:r w:rsidRPr="00EA63FB">
              <w:rPr>
                <w:rFonts w:cs="Arial"/>
                <w:sz w:val="16"/>
                <w:szCs w:val="16"/>
              </w:rPr>
              <w:t xml:space="preserve">  Slovensko</w:t>
            </w:r>
          </w:p>
        </w:tc>
        <w:tc>
          <w:tcPr>
            <w:tcW w:w="1316" w:type="dxa"/>
            <w:tcBorders>
              <w:top w:val="nil"/>
              <w:left w:val="nil"/>
              <w:bottom w:val="single" w:sz="4" w:space="0" w:color="auto"/>
              <w:right w:val="nil"/>
            </w:tcBorders>
            <w:shd w:val="clear" w:color="FFFFFF" w:fill="F5DADD"/>
            <w:vAlign w:val="center"/>
            <w:hideMark/>
          </w:tcPr>
          <w:p w:rsidR="009F5537" w:rsidRPr="00EA63FB" w:rsidRDefault="009F5537" w:rsidP="00305387">
            <w:pPr>
              <w:spacing w:after="0" w:line="240" w:lineRule="auto"/>
              <w:jc w:val="center"/>
              <w:rPr>
                <w:rFonts w:cs="Arial"/>
                <w:sz w:val="16"/>
                <w:szCs w:val="16"/>
              </w:rPr>
            </w:pPr>
            <w:r w:rsidRPr="00EA63FB">
              <w:rPr>
                <w:rFonts w:cs="Arial"/>
                <w:sz w:val="16"/>
                <w:szCs w:val="16"/>
              </w:rPr>
              <w:t xml:space="preserve">  Ukrajina</w:t>
            </w:r>
          </w:p>
        </w:tc>
        <w:tc>
          <w:tcPr>
            <w:tcW w:w="1316" w:type="dxa"/>
            <w:tcBorders>
              <w:top w:val="nil"/>
              <w:left w:val="single" w:sz="4" w:space="0" w:color="auto"/>
              <w:bottom w:val="single" w:sz="4" w:space="0" w:color="auto"/>
              <w:right w:val="nil"/>
            </w:tcBorders>
            <w:shd w:val="clear" w:color="FFFFFF" w:fill="F5DADD"/>
            <w:vAlign w:val="center"/>
            <w:hideMark/>
          </w:tcPr>
          <w:p w:rsidR="009F5537" w:rsidRPr="00EA63FB" w:rsidRDefault="009F5537" w:rsidP="00305387">
            <w:pPr>
              <w:spacing w:after="0" w:line="240" w:lineRule="auto"/>
              <w:jc w:val="center"/>
              <w:rPr>
                <w:rFonts w:cs="Arial"/>
                <w:sz w:val="16"/>
                <w:szCs w:val="16"/>
              </w:rPr>
            </w:pPr>
            <w:r w:rsidRPr="00EA63FB">
              <w:rPr>
                <w:rFonts w:cs="Arial"/>
                <w:sz w:val="16"/>
                <w:szCs w:val="16"/>
              </w:rPr>
              <w:t xml:space="preserve">  Vietnam</w:t>
            </w:r>
          </w:p>
        </w:tc>
        <w:tc>
          <w:tcPr>
            <w:tcW w:w="1316" w:type="dxa"/>
            <w:tcBorders>
              <w:top w:val="nil"/>
              <w:left w:val="single" w:sz="4" w:space="0" w:color="auto"/>
              <w:bottom w:val="single" w:sz="4" w:space="0" w:color="auto"/>
              <w:right w:val="single" w:sz="4" w:space="0" w:color="auto"/>
            </w:tcBorders>
            <w:shd w:val="clear" w:color="FFFFFF" w:fill="F5DADD"/>
            <w:vAlign w:val="center"/>
            <w:hideMark/>
          </w:tcPr>
          <w:p w:rsidR="009F5537" w:rsidRPr="00EA63FB" w:rsidRDefault="009F5537" w:rsidP="00305387">
            <w:pPr>
              <w:spacing w:after="0" w:line="240" w:lineRule="auto"/>
              <w:jc w:val="center"/>
              <w:rPr>
                <w:rFonts w:cs="Arial"/>
                <w:sz w:val="16"/>
                <w:szCs w:val="16"/>
              </w:rPr>
            </w:pPr>
            <w:r w:rsidRPr="00EA63FB">
              <w:rPr>
                <w:rFonts w:cs="Arial"/>
                <w:sz w:val="16"/>
                <w:szCs w:val="16"/>
              </w:rPr>
              <w:t xml:space="preserve">  Rusko</w:t>
            </w:r>
          </w:p>
        </w:tc>
        <w:tc>
          <w:tcPr>
            <w:tcW w:w="1071" w:type="dxa"/>
            <w:tcBorders>
              <w:top w:val="nil"/>
              <w:left w:val="nil"/>
              <w:bottom w:val="single" w:sz="4" w:space="0" w:color="auto"/>
              <w:right w:val="nil"/>
            </w:tcBorders>
            <w:shd w:val="clear" w:color="FFFFFF" w:fill="F5DADD"/>
            <w:vAlign w:val="center"/>
            <w:hideMark/>
          </w:tcPr>
          <w:p w:rsidR="009F5537" w:rsidRPr="00EA63FB" w:rsidRDefault="009F5537" w:rsidP="00305387">
            <w:pPr>
              <w:spacing w:after="0" w:line="240" w:lineRule="auto"/>
              <w:jc w:val="center"/>
              <w:rPr>
                <w:rFonts w:cs="Arial"/>
                <w:sz w:val="16"/>
                <w:szCs w:val="16"/>
              </w:rPr>
            </w:pPr>
            <w:r w:rsidRPr="00EA63FB">
              <w:rPr>
                <w:rFonts w:cs="Arial"/>
                <w:sz w:val="16"/>
                <w:szCs w:val="16"/>
              </w:rPr>
              <w:t xml:space="preserve">  Polsko</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2012</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108 576</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6 336</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2 384</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1 070</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1 179</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340</w:t>
            </w:r>
          </w:p>
        </w:tc>
        <w:tc>
          <w:tcPr>
            <w:tcW w:w="1071"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119</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2013</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106 751</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6 693</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2 541</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1 170</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1 046</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347</w:t>
            </w:r>
          </w:p>
        </w:tc>
        <w:tc>
          <w:tcPr>
            <w:tcW w:w="1071"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153</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2014</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109 860</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6 975</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2 624</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1 245</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1 065</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377</w:t>
            </w:r>
          </w:p>
        </w:tc>
        <w:tc>
          <w:tcPr>
            <w:tcW w:w="1071"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168</w:t>
            </w:r>
          </w:p>
        </w:tc>
      </w:tr>
      <w:tr w:rsidR="009F5537" w:rsidRPr="00EA63FB" w:rsidTr="00305387">
        <w:trPr>
          <w:trHeight w:val="240"/>
        </w:trPr>
        <w:tc>
          <w:tcPr>
            <w:tcW w:w="670"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2015</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110 764</w:t>
            </w:r>
          </w:p>
        </w:tc>
        <w:tc>
          <w:tcPr>
            <w:tcW w:w="1317"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7 530</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2 894</w:t>
            </w:r>
          </w:p>
        </w:tc>
        <w:tc>
          <w:tcPr>
            <w:tcW w:w="1316" w:type="dxa"/>
            <w:tcBorders>
              <w:top w:val="nil"/>
              <w:left w:val="nil"/>
              <w:bottom w:val="nil"/>
              <w:right w:val="single" w:sz="4" w:space="0" w:color="auto"/>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1 360</w:t>
            </w:r>
          </w:p>
        </w:tc>
        <w:tc>
          <w:tcPr>
            <w:tcW w:w="1316" w:type="dxa"/>
            <w:tcBorders>
              <w:top w:val="nil"/>
              <w:left w:val="nil"/>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1 117</w:t>
            </w:r>
          </w:p>
        </w:tc>
        <w:tc>
          <w:tcPr>
            <w:tcW w:w="1316"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437</w:t>
            </w:r>
          </w:p>
        </w:tc>
        <w:tc>
          <w:tcPr>
            <w:tcW w:w="1071" w:type="dxa"/>
            <w:tcBorders>
              <w:top w:val="nil"/>
              <w:left w:val="single" w:sz="4" w:space="0" w:color="auto"/>
              <w:bottom w:val="nil"/>
              <w:right w:val="nil"/>
            </w:tcBorders>
            <w:shd w:val="clear" w:color="FFFFFF" w:fill="FFFFFF"/>
            <w:noWrap/>
            <w:vAlign w:val="bottom"/>
            <w:hideMark/>
          </w:tcPr>
          <w:p w:rsidR="009F5537" w:rsidRPr="00EA63FB" w:rsidRDefault="009F5537" w:rsidP="00305387">
            <w:pPr>
              <w:spacing w:after="0" w:line="240" w:lineRule="auto"/>
              <w:jc w:val="center"/>
              <w:rPr>
                <w:rFonts w:cs="Arial"/>
                <w:sz w:val="16"/>
                <w:szCs w:val="16"/>
              </w:rPr>
            </w:pPr>
            <w:r w:rsidRPr="00EA63FB">
              <w:rPr>
                <w:rFonts w:cs="Arial"/>
                <w:sz w:val="16"/>
                <w:szCs w:val="16"/>
              </w:rPr>
              <w:t>183</w:t>
            </w:r>
          </w:p>
        </w:tc>
      </w:tr>
    </w:tbl>
    <w:p w:rsidR="009F5537" w:rsidRDefault="009F5537" w:rsidP="009F5537">
      <w:pPr>
        <w:spacing w:before="60"/>
        <w:rPr>
          <w:i/>
          <w:iCs/>
          <w:sz w:val="16"/>
        </w:rPr>
      </w:pPr>
      <w:r>
        <w:rPr>
          <w:i/>
          <w:iCs/>
          <w:sz w:val="16"/>
        </w:rPr>
        <w:t xml:space="preserve">* Výběr a řazení zemí narození matky podle četností v roce 2015. </w:t>
      </w:r>
    </w:p>
    <w:p w:rsidR="009F5537" w:rsidRDefault="009F5537" w:rsidP="009F5537">
      <w:pPr>
        <w:rPr>
          <w:rFonts w:cs="Arial"/>
          <w:szCs w:val="20"/>
        </w:rPr>
      </w:pPr>
      <w:r>
        <w:rPr>
          <w:rFonts w:cs="Arial"/>
          <w:szCs w:val="20"/>
        </w:rPr>
        <w:t xml:space="preserve">Od roku 2012 byla na hlášení o narození zařazena položka se zemí narození obou rodičů. Počet živě narozených dětí, jejichž matka se nenarodila v České republice, byl výrazně (zhruba dvakrát) vyšší než počet dětí s odvozeným cizím státním občanstvím, a také o něco vyšší než počet dětí s jedním rodičem cizincem. Mezi roky 2012 a 2015 se jejich počet zvýšil z 6 336 na 7 530. Nejčastěji se jednalo o živě </w:t>
      </w:r>
      <w:r>
        <w:rPr>
          <w:rFonts w:cs="Arial"/>
          <w:szCs w:val="20"/>
        </w:rPr>
        <w:lastRenderedPageBreak/>
        <w:t xml:space="preserve">narozené děti matkám, které se narodily na Slovensku, Ukrajině, Vietnamu a Rusku – tyto státy se nacházely mezi prvními čtyřmi ve všech sledovaných letech. V roce 2012 a 2013 bylo na pátém místě Mongolsko, zatímco v letech 2014 a 2015 Polsko. Pořadí vždy dominovaly živě narozené děti matkám, které se narodily na Slovensku se zhruba 38% zastoupením. Výrazně vyšší zastoupení těchto dětí oproti dětem s odvozeným slovenským státním občanstvím lze vysvětlit tím, že se jedná pravděpodobně o ženy, které se narodily na Slovensku a přijaly české občanství, nebo o slovenské občanky, jejichž partner a otec dítěte měl české občanství.       </w:t>
      </w:r>
    </w:p>
    <w:p w:rsidR="009F5537" w:rsidRPr="00AE3E55" w:rsidRDefault="009F5537" w:rsidP="009F5537">
      <w:pPr>
        <w:rPr>
          <w:rFonts w:cs="Arial"/>
          <w:szCs w:val="20"/>
        </w:rPr>
      </w:pPr>
      <w:r>
        <w:rPr>
          <w:rFonts w:cs="Arial"/>
          <w:szCs w:val="20"/>
        </w:rPr>
        <w:t xml:space="preserve">Podíl živě narozených dětí s cizím státním občanstvím měl vzestupnou tendenci – </w:t>
      </w:r>
      <w:proofErr w:type="gramStart"/>
      <w:r>
        <w:rPr>
          <w:rFonts w:cs="Arial"/>
          <w:szCs w:val="20"/>
        </w:rPr>
        <w:t>stoupl z 1,5</w:t>
      </w:r>
      <w:proofErr w:type="gramEnd"/>
      <w:r>
        <w:rPr>
          <w:rFonts w:cs="Arial"/>
          <w:szCs w:val="20"/>
        </w:rPr>
        <w:t xml:space="preserve"> % v roce 2005 na 3,3 % o deset let později. Za děti se státem narození matky mimo Českou republiku existuje časová řada pouze od roku 2012, ale i zde byl patrný nárůst z 5,8 na 6,8 % mezi roky 2012 a 2015. </w:t>
      </w:r>
    </w:p>
    <w:p w:rsidR="009F5537" w:rsidRDefault="009F5537" w:rsidP="009F5537">
      <w:pPr>
        <w:spacing w:after="60"/>
        <w:rPr>
          <w:rFonts w:cs="Arial"/>
          <w:b/>
          <w:szCs w:val="20"/>
        </w:rPr>
      </w:pPr>
      <w:r w:rsidRPr="00A13B8F">
        <w:rPr>
          <w:rFonts w:cs="Arial"/>
          <w:b/>
          <w:szCs w:val="20"/>
        </w:rPr>
        <w:t>Graf 6 Podíl živě narozených dětí s cizím státním občanstvím a cizím státem narození matky</w:t>
      </w:r>
      <w:r>
        <w:rPr>
          <w:rFonts w:cs="Arial"/>
          <w:b/>
          <w:szCs w:val="20"/>
        </w:rPr>
        <w:t>*</w:t>
      </w:r>
      <w:r w:rsidRPr="00A13B8F">
        <w:rPr>
          <w:rFonts w:cs="Arial"/>
          <w:b/>
          <w:szCs w:val="20"/>
        </w:rPr>
        <w:t xml:space="preserve"> v letech 2005-2015</w:t>
      </w:r>
    </w:p>
    <w:p w:rsidR="009F5537" w:rsidRDefault="009F5537" w:rsidP="009F5537">
      <w:pPr>
        <w:spacing w:before="60" w:after="60"/>
        <w:rPr>
          <w:i/>
          <w:iCs/>
          <w:sz w:val="16"/>
        </w:rPr>
      </w:pPr>
      <w:r>
        <w:rPr>
          <w:noProof/>
        </w:rPr>
        <w:pict>
          <v:shape id="_x0000_s1031" type="#_x0000_t75" style="position:absolute;margin-left:.3pt;margin-top:.3pt;width:425.25pt;height:227.25pt;z-index:5;mso-position-horizontal:absolute;mso-position-horizontal-relative:text;mso-position-vertical:absolute;mso-position-vertical-relative:text">
            <v:imagedata r:id="rId14" o:title=""/>
          </v:shape>
        </w:pict>
      </w: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60" w:after="60"/>
        <w:rPr>
          <w:i/>
          <w:iCs/>
          <w:sz w:val="16"/>
        </w:rPr>
      </w:pPr>
    </w:p>
    <w:p w:rsidR="009F5537" w:rsidRDefault="009F5537" w:rsidP="009F5537">
      <w:pPr>
        <w:spacing w:before="180" w:after="60"/>
        <w:rPr>
          <w:i/>
          <w:iCs/>
          <w:sz w:val="16"/>
        </w:rPr>
      </w:pPr>
      <w:r>
        <w:rPr>
          <w:i/>
          <w:iCs/>
          <w:sz w:val="16"/>
        </w:rPr>
        <w:t xml:space="preserve">* Data o státu narození matky jsou dostupná až od roku 2012 </w:t>
      </w:r>
    </w:p>
    <w:p w:rsidR="009F5537" w:rsidRDefault="009F5537" w:rsidP="009F5537">
      <w:pPr>
        <w:spacing w:after="60"/>
        <w:rPr>
          <w:rFonts w:cs="Arial"/>
          <w:b/>
          <w:szCs w:val="20"/>
        </w:rPr>
      </w:pPr>
    </w:p>
    <w:p w:rsidR="009F5537" w:rsidRDefault="009F5537" w:rsidP="009F5537">
      <w:pPr>
        <w:pStyle w:val="Nadpis2"/>
      </w:pPr>
      <w:bookmarkStart w:id="6" w:name="_Toc468110166"/>
      <w:r>
        <w:t>2.6 Sezónnost narozených</w:t>
      </w:r>
      <w:bookmarkEnd w:id="6"/>
    </w:p>
    <w:p w:rsidR="009F5537" w:rsidRPr="00AE3E55" w:rsidRDefault="009F5537" w:rsidP="009F5537">
      <w:pPr>
        <w:rPr>
          <w:rFonts w:cs="Arial"/>
          <w:szCs w:val="20"/>
        </w:rPr>
      </w:pPr>
      <w:r>
        <w:rPr>
          <w:rFonts w:cs="Arial"/>
          <w:szCs w:val="20"/>
        </w:rPr>
        <w:t xml:space="preserve">Porody dětí nejsou tak výrazně sezónně podmíněny jako například sňatky. V posledních deseti letech byl nejvyšší počet živě narozených dětí (suma za celé období, očištěná od odlišného počtu kalendářních dní v měsíci) v červenci, červnu, září a srpnu. Naopak nejnižší počty bylo možné nalézt v prosinci, listopadu a lednu. </w:t>
      </w:r>
    </w:p>
    <w:p w:rsidR="009F5537" w:rsidRPr="00F678F0" w:rsidRDefault="009F5537" w:rsidP="009F5537">
      <w:pPr>
        <w:rPr>
          <w:rFonts w:cs="Arial"/>
          <w:szCs w:val="20"/>
        </w:rPr>
      </w:pPr>
      <w:r>
        <w:rPr>
          <w:rFonts w:cs="Arial"/>
          <w:szCs w:val="20"/>
        </w:rPr>
        <w:t xml:space="preserve">K porovnání sezónnosti nejlépe slouží měsíční indexy, které jsou vypočítány tak, že se počet živě narozených dětí v daném měsíci a roce očistí od odlišného počtu kalendářních dní a vztáhne se k průměrnému měsíčnímu počtu v určitém roce. Hodnoty indexu se v období 2005 až 2015 vždy pohybovaly v rozmezí 0,88 až 1,11. Měsícem s nejvyššími hodnotami indexu byl červenec (rozmezí 1,05 až 1,11) a naopak nejnižších hodnot dosahoval prosinec (mezi 0,88 až 0,96).  </w:t>
      </w:r>
    </w:p>
    <w:p w:rsidR="009F5537" w:rsidRPr="00D9378B" w:rsidRDefault="009F5537" w:rsidP="009F5537">
      <w:pPr>
        <w:rPr>
          <w:rFonts w:cs="Arial"/>
          <w:szCs w:val="20"/>
        </w:rPr>
      </w:pPr>
      <w:r>
        <w:rPr>
          <w:rFonts w:cs="Arial"/>
          <w:szCs w:val="20"/>
        </w:rPr>
        <w:t xml:space="preserve">Při srovnání začátku a konce sledovaného období 2005 až 2015 lze pozorovat, že méně časté pro narození dítěte se staly měsíce duben a květen, které se v letech 2005 a 2006 pohybovaly v nadprůměrných hodnotách indexu, zatímco ke konci období již byly spíše mezi průměrnými měsíci. Naopak leden se z výrazně podprůměrného měsíce z hlediska počtu narozených dětí stal spíše průměrným. </w:t>
      </w:r>
    </w:p>
    <w:p w:rsidR="009F5537" w:rsidRDefault="009F5537" w:rsidP="009F5537">
      <w:pPr>
        <w:spacing w:after="60"/>
        <w:rPr>
          <w:rFonts w:cs="Arial"/>
          <w:b/>
          <w:szCs w:val="20"/>
        </w:rPr>
      </w:pPr>
    </w:p>
    <w:p w:rsidR="009F5537" w:rsidRDefault="009F5537" w:rsidP="009F5537">
      <w:pPr>
        <w:spacing w:after="60"/>
        <w:rPr>
          <w:rFonts w:cs="Arial"/>
          <w:b/>
          <w:szCs w:val="20"/>
        </w:rPr>
      </w:pPr>
      <w:r>
        <w:rPr>
          <w:rFonts w:cs="Arial"/>
          <w:b/>
          <w:szCs w:val="20"/>
        </w:rPr>
        <w:lastRenderedPageBreak/>
        <w:t xml:space="preserve">Tab. 8 </w:t>
      </w:r>
      <w:r w:rsidRPr="0041088C">
        <w:rPr>
          <w:rFonts w:cs="Arial"/>
          <w:b/>
          <w:szCs w:val="20"/>
        </w:rPr>
        <w:t>Živě narození podle kalendářních měsíců v letech 2005–2015</w:t>
      </w:r>
    </w:p>
    <w:tbl>
      <w:tblPr>
        <w:tblW w:w="9639" w:type="dxa"/>
        <w:tblCellMar>
          <w:left w:w="70" w:type="dxa"/>
          <w:right w:w="70" w:type="dxa"/>
        </w:tblCellMar>
        <w:tblLook w:val="04A0" w:firstRow="1" w:lastRow="0" w:firstColumn="1" w:lastColumn="0" w:noHBand="0" w:noVBand="1"/>
      </w:tblPr>
      <w:tblGrid>
        <w:gridCol w:w="865"/>
        <w:gridCol w:w="797"/>
        <w:gridCol w:w="797"/>
        <w:gridCol w:w="797"/>
        <w:gridCol w:w="797"/>
        <w:gridCol w:w="798"/>
        <w:gridCol w:w="798"/>
        <w:gridCol w:w="798"/>
        <w:gridCol w:w="798"/>
        <w:gridCol w:w="798"/>
        <w:gridCol w:w="798"/>
        <w:gridCol w:w="798"/>
      </w:tblGrid>
      <w:tr w:rsidR="009F5537" w:rsidRPr="0041088C" w:rsidTr="00305387">
        <w:trPr>
          <w:trHeight w:val="240"/>
        </w:trPr>
        <w:tc>
          <w:tcPr>
            <w:tcW w:w="820"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41088C" w:rsidRDefault="009F5537" w:rsidP="00305387">
            <w:pPr>
              <w:spacing w:after="0" w:line="240" w:lineRule="auto"/>
              <w:jc w:val="center"/>
              <w:rPr>
                <w:rFonts w:cs="Arial"/>
                <w:b/>
                <w:bCs/>
                <w:sz w:val="16"/>
                <w:szCs w:val="16"/>
              </w:rPr>
            </w:pPr>
            <w:r w:rsidRPr="0041088C">
              <w:rPr>
                <w:rFonts w:cs="Arial"/>
                <w:b/>
                <w:bCs/>
                <w:sz w:val="16"/>
                <w:szCs w:val="16"/>
              </w:rPr>
              <w:t>Měsíc</w:t>
            </w:r>
          </w:p>
        </w:tc>
        <w:tc>
          <w:tcPr>
            <w:tcW w:w="8360" w:type="dxa"/>
            <w:gridSpan w:val="11"/>
            <w:tcBorders>
              <w:top w:val="single" w:sz="4" w:space="0" w:color="auto"/>
              <w:left w:val="nil"/>
              <w:bottom w:val="single" w:sz="4" w:space="0" w:color="auto"/>
              <w:right w:val="nil"/>
            </w:tcBorders>
            <w:shd w:val="clear" w:color="FFFFFF" w:fill="F5DADD"/>
            <w:noWrap/>
            <w:vAlign w:val="center"/>
            <w:hideMark/>
          </w:tcPr>
          <w:p w:rsidR="009F5537" w:rsidRPr="0041088C" w:rsidRDefault="009F5537" w:rsidP="00305387">
            <w:pPr>
              <w:spacing w:after="0" w:line="240" w:lineRule="auto"/>
              <w:jc w:val="center"/>
              <w:rPr>
                <w:rFonts w:cs="Arial"/>
                <w:b/>
                <w:bCs/>
                <w:sz w:val="16"/>
                <w:szCs w:val="16"/>
              </w:rPr>
            </w:pPr>
            <w:r w:rsidRPr="0041088C">
              <w:rPr>
                <w:rFonts w:cs="Arial"/>
                <w:b/>
                <w:bCs/>
                <w:sz w:val="16"/>
                <w:szCs w:val="16"/>
              </w:rPr>
              <w:t>Rok</w:t>
            </w:r>
          </w:p>
        </w:tc>
      </w:tr>
      <w:tr w:rsidR="009F5537" w:rsidRPr="0041088C" w:rsidTr="00305387">
        <w:trPr>
          <w:trHeight w:val="480"/>
        </w:trPr>
        <w:tc>
          <w:tcPr>
            <w:tcW w:w="820" w:type="dxa"/>
            <w:vMerge/>
            <w:tcBorders>
              <w:top w:val="single" w:sz="4" w:space="0" w:color="auto"/>
              <w:left w:val="nil"/>
              <w:bottom w:val="single" w:sz="4" w:space="0" w:color="000000"/>
              <w:right w:val="single" w:sz="4" w:space="0" w:color="auto"/>
            </w:tcBorders>
            <w:vAlign w:val="center"/>
            <w:hideMark/>
          </w:tcPr>
          <w:p w:rsidR="009F5537" w:rsidRPr="0041088C" w:rsidRDefault="009F5537" w:rsidP="00305387">
            <w:pPr>
              <w:spacing w:after="0" w:line="240" w:lineRule="auto"/>
              <w:rPr>
                <w:rFonts w:cs="Arial"/>
                <w:b/>
                <w:bCs/>
                <w:sz w:val="16"/>
                <w:szCs w:val="16"/>
              </w:rPr>
            </w:pPr>
          </w:p>
        </w:tc>
        <w:tc>
          <w:tcPr>
            <w:tcW w:w="760" w:type="dxa"/>
            <w:tcBorders>
              <w:top w:val="nil"/>
              <w:left w:val="nil"/>
              <w:bottom w:val="single" w:sz="4" w:space="0" w:color="auto"/>
              <w:right w:val="single" w:sz="4" w:space="0" w:color="auto"/>
            </w:tcBorders>
            <w:shd w:val="clear" w:color="FFFFFF" w:fill="F5DADD"/>
            <w:vAlign w:val="center"/>
            <w:hideMark/>
          </w:tcPr>
          <w:p w:rsidR="009F5537" w:rsidRPr="0041088C" w:rsidRDefault="009F5537" w:rsidP="00305387">
            <w:pPr>
              <w:spacing w:after="0" w:line="240" w:lineRule="auto"/>
              <w:jc w:val="center"/>
              <w:rPr>
                <w:rFonts w:cs="Arial"/>
                <w:sz w:val="16"/>
                <w:szCs w:val="16"/>
              </w:rPr>
            </w:pPr>
            <w:r w:rsidRPr="0041088C">
              <w:rPr>
                <w:rFonts w:cs="Arial"/>
                <w:sz w:val="16"/>
                <w:szCs w:val="16"/>
              </w:rPr>
              <w:t>2005</w:t>
            </w:r>
          </w:p>
        </w:tc>
        <w:tc>
          <w:tcPr>
            <w:tcW w:w="760" w:type="dxa"/>
            <w:tcBorders>
              <w:top w:val="nil"/>
              <w:left w:val="nil"/>
              <w:bottom w:val="single" w:sz="4" w:space="0" w:color="auto"/>
              <w:right w:val="single" w:sz="4" w:space="0" w:color="auto"/>
            </w:tcBorders>
            <w:shd w:val="clear" w:color="FFFFFF" w:fill="F5DADD"/>
            <w:vAlign w:val="center"/>
            <w:hideMark/>
          </w:tcPr>
          <w:p w:rsidR="009F5537" w:rsidRPr="0041088C" w:rsidRDefault="009F5537" w:rsidP="00305387">
            <w:pPr>
              <w:spacing w:after="0" w:line="240" w:lineRule="auto"/>
              <w:jc w:val="center"/>
              <w:rPr>
                <w:rFonts w:cs="Arial"/>
                <w:sz w:val="16"/>
                <w:szCs w:val="16"/>
              </w:rPr>
            </w:pPr>
            <w:r w:rsidRPr="0041088C">
              <w:rPr>
                <w:rFonts w:cs="Arial"/>
                <w:sz w:val="16"/>
                <w:szCs w:val="16"/>
              </w:rPr>
              <w:t>2006</w:t>
            </w:r>
          </w:p>
        </w:tc>
        <w:tc>
          <w:tcPr>
            <w:tcW w:w="760" w:type="dxa"/>
            <w:tcBorders>
              <w:top w:val="nil"/>
              <w:left w:val="nil"/>
              <w:bottom w:val="single" w:sz="4" w:space="0" w:color="auto"/>
              <w:right w:val="nil"/>
            </w:tcBorders>
            <w:shd w:val="clear" w:color="FFFFFF" w:fill="F5DADD"/>
            <w:vAlign w:val="center"/>
            <w:hideMark/>
          </w:tcPr>
          <w:p w:rsidR="009F5537" w:rsidRPr="0041088C" w:rsidRDefault="009F5537" w:rsidP="00305387">
            <w:pPr>
              <w:spacing w:after="0" w:line="240" w:lineRule="auto"/>
              <w:jc w:val="center"/>
              <w:rPr>
                <w:rFonts w:cs="Arial"/>
                <w:sz w:val="16"/>
                <w:szCs w:val="16"/>
              </w:rPr>
            </w:pPr>
            <w:r w:rsidRPr="0041088C">
              <w:rPr>
                <w:rFonts w:cs="Arial"/>
                <w:sz w:val="16"/>
                <w:szCs w:val="16"/>
              </w:rPr>
              <w:t>2007</w:t>
            </w:r>
          </w:p>
        </w:tc>
        <w:tc>
          <w:tcPr>
            <w:tcW w:w="760" w:type="dxa"/>
            <w:tcBorders>
              <w:top w:val="nil"/>
              <w:left w:val="single" w:sz="4" w:space="0" w:color="auto"/>
              <w:bottom w:val="single" w:sz="4" w:space="0" w:color="auto"/>
              <w:right w:val="nil"/>
            </w:tcBorders>
            <w:shd w:val="clear" w:color="FFFFFF" w:fill="F5DADD"/>
            <w:vAlign w:val="center"/>
            <w:hideMark/>
          </w:tcPr>
          <w:p w:rsidR="009F5537" w:rsidRPr="0041088C" w:rsidRDefault="009F5537" w:rsidP="00305387">
            <w:pPr>
              <w:spacing w:after="0" w:line="240" w:lineRule="auto"/>
              <w:jc w:val="center"/>
              <w:rPr>
                <w:rFonts w:cs="Arial"/>
                <w:sz w:val="16"/>
                <w:szCs w:val="16"/>
              </w:rPr>
            </w:pPr>
            <w:r w:rsidRPr="0041088C">
              <w:rPr>
                <w:rFonts w:cs="Arial"/>
                <w:sz w:val="16"/>
                <w:szCs w:val="16"/>
              </w:rPr>
              <w:t>2008</w:t>
            </w:r>
          </w:p>
        </w:tc>
        <w:tc>
          <w:tcPr>
            <w:tcW w:w="760" w:type="dxa"/>
            <w:tcBorders>
              <w:top w:val="nil"/>
              <w:left w:val="single" w:sz="4" w:space="0" w:color="auto"/>
              <w:bottom w:val="single" w:sz="4" w:space="0" w:color="auto"/>
              <w:right w:val="single" w:sz="4" w:space="0" w:color="auto"/>
            </w:tcBorders>
            <w:shd w:val="clear" w:color="FFFFFF" w:fill="F5DADD"/>
            <w:vAlign w:val="center"/>
            <w:hideMark/>
          </w:tcPr>
          <w:p w:rsidR="009F5537" w:rsidRPr="0041088C" w:rsidRDefault="009F5537" w:rsidP="00305387">
            <w:pPr>
              <w:spacing w:after="0" w:line="240" w:lineRule="auto"/>
              <w:jc w:val="center"/>
              <w:rPr>
                <w:rFonts w:cs="Arial"/>
                <w:sz w:val="16"/>
                <w:szCs w:val="16"/>
              </w:rPr>
            </w:pPr>
            <w:r w:rsidRPr="0041088C">
              <w:rPr>
                <w:rFonts w:cs="Arial"/>
                <w:sz w:val="16"/>
                <w:szCs w:val="16"/>
              </w:rPr>
              <w:t>2009</w:t>
            </w:r>
          </w:p>
        </w:tc>
        <w:tc>
          <w:tcPr>
            <w:tcW w:w="760" w:type="dxa"/>
            <w:tcBorders>
              <w:top w:val="nil"/>
              <w:left w:val="nil"/>
              <w:bottom w:val="single" w:sz="4" w:space="0" w:color="auto"/>
              <w:right w:val="nil"/>
            </w:tcBorders>
            <w:shd w:val="clear" w:color="FFFFFF" w:fill="F5DADD"/>
            <w:vAlign w:val="center"/>
            <w:hideMark/>
          </w:tcPr>
          <w:p w:rsidR="009F5537" w:rsidRPr="0041088C" w:rsidRDefault="009F5537" w:rsidP="00305387">
            <w:pPr>
              <w:spacing w:after="0" w:line="240" w:lineRule="auto"/>
              <w:jc w:val="center"/>
              <w:rPr>
                <w:rFonts w:cs="Arial"/>
                <w:sz w:val="16"/>
                <w:szCs w:val="16"/>
              </w:rPr>
            </w:pPr>
            <w:r w:rsidRPr="0041088C">
              <w:rPr>
                <w:rFonts w:cs="Arial"/>
                <w:sz w:val="16"/>
                <w:szCs w:val="16"/>
              </w:rPr>
              <w:t>2010</w:t>
            </w:r>
          </w:p>
        </w:tc>
        <w:tc>
          <w:tcPr>
            <w:tcW w:w="760" w:type="dxa"/>
            <w:tcBorders>
              <w:top w:val="nil"/>
              <w:left w:val="single" w:sz="4" w:space="0" w:color="auto"/>
              <w:bottom w:val="single" w:sz="4" w:space="0" w:color="auto"/>
              <w:right w:val="single" w:sz="4" w:space="0" w:color="auto"/>
            </w:tcBorders>
            <w:shd w:val="clear" w:color="FFFFFF" w:fill="F5DADD"/>
            <w:vAlign w:val="center"/>
            <w:hideMark/>
          </w:tcPr>
          <w:p w:rsidR="009F5537" w:rsidRPr="0041088C" w:rsidRDefault="009F5537" w:rsidP="00305387">
            <w:pPr>
              <w:spacing w:after="0" w:line="240" w:lineRule="auto"/>
              <w:jc w:val="center"/>
              <w:rPr>
                <w:rFonts w:cs="Arial"/>
                <w:sz w:val="16"/>
                <w:szCs w:val="16"/>
              </w:rPr>
            </w:pPr>
            <w:r w:rsidRPr="0041088C">
              <w:rPr>
                <w:rFonts w:cs="Arial"/>
                <w:sz w:val="16"/>
                <w:szCs w:val="16"/>
              </w:rPr>
              <w:t>2011</w:t>
            </w:r>
          </w:p>
        </w:tc>
        <w:tc>
          <w:tcPr>
            <w:tcW w:w="760" w:type="dxa"/>
            <w:tcBorders>
              <w:top w:val="nil"/>
              <w:left w:val="nil"/>
              <w:bottom w:val="single" w:sz="4" w:space="0" w:color="auto"/>
              <w:right w:val="single" w:sz="4" w:space="0" w:color="auto"/>
            </w:tcBorders>
            <w:shd w:val="clear" w:color="FFFFFF" w:fill="F5DADD"/>
            <w:vAlign w:val="center"/>
            <w:hideMark/>
          </w:tcPr>
          <w:p w:rsidR="009F5537" w:rsidRPr="0041088C" w:rsidRDefault="009F5537" w:rsidP="00305387">
            <w:pPr>
              <w:spacing w:after="0" w:line="240" w:lineRule="auto"/>
              <w:jc w:val="center"/>
              <w:rPr>
                <w:rFonts w:cs="Arial"/>
                <w:sz w:val="16"/>
                <w:szCs w:val="16"/>
              </w:rPr>
            </w:pPr>
            <w:r w:rsidRPr="0041088C">
              <w:rPr>
                <w:rFonts w:cs="Arial"/>
                <w:sz w:val="16"/>
                <w:szCs w:val="16"/>
              </w:rPr>
              <w:t>2012</w:t>
            </w:r>
          </w:p>
        </w:tc>
        <w:tc>
          <w:tcPr>
            <w:tcW w:w="760" w:type="dxa"/>
            <w:tcBorders>
              <w:top w:val="nil"/>
              <w:left w:val="nil"/>
              <w:bottom w:val="single" w:sz="4" w:space="0" w:color="auto"/>
              <w:right w:val="nil"/>
            </w:tcBorders>
            <w:shd w:val="clear" w:color="FFFFFF" w:fill="F5DADD"/>
            <w:vAlign w:val="center"/>
            <w:hideMark/>
          </w:tcPr>
          <w:p w:rsidR="009F5537" w:rsidRPr="0041088C" w:rsidRDefault="009F5537" w:rsidP="00305387">
            <w:pPr>
              <w:spacing w:after="0" w:line="240" w:lineRule="auto"/>
              <w:jc w:val="center"/>
              <w:rPr>
                <w:rFonts w:cs="Arial"/>
                <w:sz w:val="16"/>
                <w:szCs w:val="16"/>
              </w:rPr>
            </w:pPr>
            <w:r w:rsidRPr="0041088C">
              <w:rPr>
                <w:rFonts w:cs="Arial"/>
                <w:sz w:val="16"/>
                <w:szCs w:val="16"/>
              </w:rPr>
              <w:t>2013</w:t>
            </w:r>
          </w:p>
        </w:tc>
        <w:tc>
          <w:tcPr>
            <w:tcW w:w="760" w:type="dxa"/>
            <w:tcBorders>
              <w:top w:val="nil"/>
              <w:left w:val="single" w:sz="4" w:space="0" w:color="auto"/>
              <w:bottom w:val="single" w:sz="4" w:space="0" w:color="auto"/>
              <w:right w:val="nil"/>
            </w:tcBorders>
            <w:shd w:val="clear" w:color="FFFFFF" w:fill="F5DADD"/>
            <w:vAlign w:val="center"/>
            <w:hideMark/>
          </w:tcPr>
          <w:p w:rsidR="009F5537" w:rsidRPr="0041088C" w:rsidRDefault="009F5537" w:rsidP="00305387">
            <w:pPr>
              <w:spacing w:after="0" w:line="240" w:lineRule="auto"/>
              <w:jc w:val="center"/>
              <w:rPr>
                <w:rFonts w:cs="Arial"/>
                <w:sz w:val="16"/>
                <w:szCs w:val="16"/>
              </w:rPr>
            </w:pPr>
            <w:r w:rsidRPr="0041088C">
              <w:rPr>
                <w:rFonts w:cs="Arial"/>
                <w:sz w:val="16"/>
                <w:szCs w:val="16"/>
              </w:rPr>
              <w:t>2014</w:t>
            </w:r>
          </w:p>
        </w:tc>
        <w:tc>
          <w:tcPr>
            <w:tcW w:w="760" w:type="dxa"/>
            <w:tcBorders>
              <w:top w:val="nil"/>
              <w:left w:val="single" w:sz="4" w:space="0" w:color="auto"/>
              <w:bottom w:val="single" w:sz="4" w:space="0" w:color="auto"/>
              <w:right w:val="nil"/>
            </w:tcBorders>
            <w:shd w:val="clear" w:color="FFFFFF" w:fill="F5DADD"/>
            <w:vAlign w:val="center"/>
            <w:hideMark/>
          </w:tcPr>
          <w:p w:rsidR="009F5537" w:rsidRPr="0041088C" w:rsidRDefault="009F5537" w:rsidP="00305387">
            <w:pPr>
              <w:spacing w:after="0" w:line="240" w:lineRule="auto"/>
              <w:jc w:val="center"/>
              <w:rPr>
                <w:rFonts w:cs="Arial"/>
                <w:sz w:val="16"/>
                <w:szCs w:val="16"/>
              </w:rPr>
            </w:pPr>
            <w:r w:rsidRPr="0041088C">
              <w:rPr>
                <w:rFonts w:cs="Arial"/>
                <w:sz w:val="16"/>
                <w:szCs w:val="16"/>
              </w:rPr>
              <w:t>2015</w:t>
            </w:r>
          </w:p>
        </w:tc>
      </w:tr>
      <w:tr w:rsidR="009F5537" w:rsidRPr="0041088C" w:rsidTr="00305387">
        <w:trPr>
          <w:trHeight w:val="240"/>
        </w:trPr>
        <w:tc>
          <w:tcPr>
            <w:tcW w:w="820" w:type="dxa"/>
            <w:tcBorders>
              <w:top w:val="nil"/>
              <w:left w:val="nil"/>
              <w:bottom w:val="single" w:sz="4" w:space="0" w:color="auto"/>
              <w:right w:val="single" w:sz="4" w:space="0" w:color="auto"/>
            </w:tcBorders>
            <w:shd w:val="clear" w:color="FFFFFF" w:fill="FFFFFF"/>
            <w:noWrap/>
            <w:vAlign w:val="bottom"/>
            <w:hideMark/>
          </w:tcPr>
          <w:p w:rsidR="009F5537" w:rsidRPr="0041088C" w:rsidRDefault="009F5537" w:rsidP="00305387">
            <w:pPr>
              <w:spacing w:after="0" w:line="240" w:lineRule="auto"/>
              <w:rPr>
                <w:rFonts w:cs="Arial"/>
                <w:sz w:val="16"/>
                <w:szCs w:val="16"/>
              </w:rPr>
            </w:pPr>
            <w:r w:rsidRPr="0041088C">
              <w:rPr>
                <w:rFonts w:cs="Arial"/>
                <w:sz w:val="16"/>
                <w:szCs w:val="16"/>
              </w:rPr>
              <w:t>Celkem</w:t>
            </w:r>
          </w:p>
        </w:tc>
        <w:tc>
          <w:tcPr>
            <w:tcW w:w="76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jc w:val="center"/>
              <w:rPr>
                <w:rFonts w:cs="Arial"/>
                <w:sz w:val="16"/>
                <w:szCs w:val="16"/>
              </w:rPr>
            </w:pPr>
            <w:r w:rsidRPr="0041088C">
              <w:rPr>
                <w:rFonts w:cs="Arial"/>
                <w:sz w:val="16"/>
                <w:szCs w:val="16"/>
              </w:rPr>
              <w:t>102 211</w:t>
            </w:r>
          </w:p>
        </w:tc>
        <w:tc>
          <w:tcPr>
            <w:tcW w:w="76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jc w:val="center"/>
              <w:rPr>
                <w:rFonts w:cs="Arial"/>
                <w:sz w:val="16"/>
                <w:szCs w:val="16"/>
              </w:rPr>
            </w:pPr>
            <w:r w:rsidRPr="0041088C">
              <w:rPr>
                <w:rFonts w:cs="Arial"/>
                <w:sz w:val="16"/>
                <w:szCs w:val="16"/>
              </w:rPr>
              <w:t>105 831</w:t>
            </w:r>
          </w:p>
        </w:tc>
        <w:tc>
          <w:tcPr>
            <w:tcW w:w="76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jc w:val="center"/>
              <w:rPr>
                <w:rFonts w:cs="Arial"/>
                <w:sz w:val="16"/>
                <w:szCs w:val="16"/>
              </w:rPr>
            </w:pPr>
            <w:r w:rsidRPr="0041088C">
              <w:rPr>
                <w:rFonts w:cs="Arial"/>
                <w:sz w:val="16"/>
                <w:szCs w:val="16"/>
              </w:rPr>
              <w:t>114 632</w:t>
            </w:r>
          </w:p>
        </w:tc>
        <w:tc>
          <w:tcPr>
            <w:tcW w:w="76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jc w:val="center"/>
              <w:rPr>
                <w:rFonts w:cs="Arial"/>
                <w:sz w:val="16"/>
                <w:szCs w:val="16"/>
              </w:rPr>
            </w:pPr>
            <w:r w:rsidRPr="0041088C">
              <w:rPr>
                <w:rFonts w:cs="Arial"/>
                <w:sz w:val="16"/>
                <w:szCs w:val="16"/>
              </w:rPr>
              <w:t>119 570</w:t>
            </w:r>
          </w:p>
        </w:tc>
        <w:tc>
          <w:tcPr>
            <w:tcW w:w="76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jc w:val="center"/>
              <w:rPr>
                <w:rFonts w:cs="Arial"/>
                <w:sz w:val="16"/>
                <w:szCs w:val="16"/>
              </w:rPr>
            </w:pPr>
            <w:r w:rsidRPr="0041088C">
              <w:rPr>
                <w:rFonts w:cs="Arial"/>
                <w:sz w:val="16"/>
                <w:szCs w:val="16"/>
              </w:rPr>
              <w:t>118 348</w:t>
            </w:r>
          </w:p>
        </w:tc>
        <w:tc>
          <w:tcPr>
            <w:tcW w:w="76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jc w:val="center"/>
              <w:rPr>
                <w:rFonts w:cs="Arial"/>
                <w:sz w:val="16"/>
                <w:szCs w:val="16"/>
              </w:rPr>
            </w:pPr>
            <w:r w:rsidRPr="0041088C">
              <w:rPr>
                <w:rFonts w:cs="Arial"/>
                <w:sz w:val="16"/>
                <w:szCs w:val="16"/>
              </w:rPr>
              <w:t>117 153</w:t>
            </w:r>
          </w:p>
        </w:tc>
        <w:tc>
          <w:tcPr>
            <w:tcW w:w="76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jc w:val="center"/>
              <w:rPr>
                <w:rFonts w:cs="Arial"/>
                <w:sz w:val="16"/>
                <w:szCs w:val="16"/>
              </w:rPr>
            </w:pPr>
            <w:r w:rsidRPr="0041088C">
              <w:rPr>
                <w:rFonts w:cs="Arial"/>
                <w:sz w:val="16"/>
                <w:szCs w:val="16"/>
              </w:rPr>
              <w:t>108 673</w:t>
            </w:r>
          </w:p>
        </w:tc>
        <w:tc>
          <w:tcPr>
            <w:tcW w:w="76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jc w:val="center"/>
              <w:rPr>
                <w:rFonts w:cs="Arial"/>
                <w:sz w:val="16"/>
                <w:szCs w:val="16"/>
              </w:rPr>
            </w:pPr>
            <w:r w:rsidRPr="0041088C">
              <w:rPr>
                <w:rFonts w:cs="Arial"/>
                <w:sz w:val="16"/>
                <w:szCs w:val="16"/>
              </w:rPr>
              <w:t>108 576</w:t>
            </w:r>
          </w:p>
        </w:tc>
        <w:tc>
          <w:tcPr>
            <w:tcW w:w="76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jc w:val="center"/>
              <w:rPr>
                <w:rFonts w:cs="Arial"/>
                <w:sz w:val="16"/>
                <w:szCs w:val="16"/>
              </w:rPr>
            </w:pPr>
            <w:r w:rsidRPr="0041088C">
              <w:rPr>
                <w:rFonts w:cs="Arial"/>
                <w:sz w:val="16"/>
                <w:szCs w:val="16"/>
              </w:rPr>
              <w:t>106 751</w:t>
            </w:r>
          </w:p>
        </w:tc>
        <w:tc>
          <w:tcPr>
            <w:tcW w:w="76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jc w:val="center"/>
              <w:rPr>
                <w:rFonts w:cs="Arial"/>
                <w:sz w:val="16"/>
                <w:szCs w:val="16"/>
              </w:rPr>
            </w:pPr>
            <w:r w:rsidRPr="0041088C">
              <w:rPr>
                <w:rFonts w:cs="Arial"/>
                <w:sz w:val="16"/>
                <w:szCs w:val="16"/>
              </w:rPr>
              <w:t>109 860</w:t>
            </w:r>
          </w:p>
        </w:tc>
        <w:tc>
          <w:tcPr>
            <w:tcW w:w="760" w:type="dxa"/>
            <w:tcBorders>
              <w:top w:val="nil"/>
              <w:left w:val="nil"/>
              <w:bottom w:val="nil"/>
              <w:right w:val="nil"/>
            </w:tcBorders>
            <w:shd w:val="clear" w:color="FFFFFF" w:fill="FFFFFF"/>
            <w:noWrap/>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110 764</w:t>
            </w:r>
          </w:p>
        </w:tc>
      </w:tr>
      <w:tr w:rsidR="009F5537" w:rsidRPr="0041088C" w:rsidTr="00305387">
        <w:trPr>
          <w:trHeight w:val="240"/>
        </w:trPr>
        <w:tc>
          <w:tcPr>
            <w:tcW w:w="82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rPr>
                <w:rFonts w:cs="Arial"/>
                <w:sz w:val="16"/>
                <w:szCs w:val="16"/>
              </w:rPr>
            </w:pPr>
            <w:r w:rsidRPr="0041088C">
              <w:rPr>
                <w:rFonts w:cs="Arial"/>
                <w:sz w:val="16"/>
                <w:szCs w:val="16"/>
              </w:rPr>
              <w:t>Leden</w:t>
            </w:r>
          </w:p>
        </w:tc>
        <w:tc>
          <w:tcPr>
            <w:tcW w:w="760" w:type="dxa"/>
            <w:tcBorders>
              <w:top w:val="single" w:sz="4" w:space="0" w:color="auto"/>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8 004</w:t>
            </w:r>
          </w:p>
        </w:tc>
        <w:tc>
          <w:tcPr>
            <w:tcW w:w="760" w:type="dxa"/>
            <w:tcBorders>
              <w:top w:val="single" w:sz="4" w:space="0" w:color="auto"/>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8 080</w:t>
            </w:r>
          </w:p>
        </w:tc>
        <w:tc>
          <w:tcPr>
            <w:tcW w:w="760" w:type="dxa"/>
            <w:tcBorders>
              <w:top w:val="single" w:sz="4" w:space="0" w:color="auto"/>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9 089</w:t>
            </w:r>
          </w:p>
        </w:tc>
        <w:tc>
          <w:tcPr>
            <w:tcW w:w="760" w:type="dxa"/>
            <w:tcBorders>
              <w:top w:val="single" w:sz="4" w:space="0" w:color="auto"/>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9 905</w:t>
            </w:r>
          </w:p>
        </w:tc>
        <w:tc>
          <w:tcPr>
            <w:tcW w:w="760" w:type="dxa"/>
            <w:tcBorders>
              <w:top w:val="single" w:sz="4" w:space="0" w:color="auto"/>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9 726</w:t>
            </w:r>
          </w:p>
        </w:tc>
        <w:tc>
          <w:tcPr>
            <w:tcW w:w="760" w:type="dxa"/>
            <w:tcBorders>
              <w:top w:val="single" w:sz="4" w:space="0" w:color="auto"/>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9 588</w:t>
            </w:r>
          </w:p>
        </w:tc>
        <w:tc>
          <w:tcPr>
            <w:tcW w:w="760" w:type="dxa"/>
            <w:tcBorders>
              <w:top w:val="single" w:sz="4" w:space="0" w:color="auto"/>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8 906</w:t>
            </w:r>
          </w:p>
        </w:tc>
        <w:tc>
          <w:tcPr>
            <w:tcW w:w="760" w:type="dxa"/>
            <w:tcBorders>
              <w:top w:val="single" w:sz="4" w:space="0" w:color="auto"/>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8 687</w:t>
            </w:r>
          </w:p>
        </w:tc>
        <w:tc>
          <w:tcPr>
            <w:tcW w:w="760" w:type="dxa"/>
            <w:tcBorders>
              <w:top w:val="single" w:sz="4" w:space="0" w:color="auto"/>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8 937</w:t>
            </w:r>
          </w:p>
        </w:tc>
        <w:tc>
          <w:tcPr>
            <w:tcW w:w="760" w:type="dxa"/>
            <w:tcBorders>
              <w:top w:val="single" w:sz="4" w:space="0" w:color="auto"/>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9 043</w:t>
            </w:r>
          </w:p>
        </w:tc>
        <w:tc>
          <w:tcPr>
            <w:tcW w:w="760" w:type="dxa"/>
            <w:tcBorders>
              <w:top w:val="single" w:sz="4" w:space="0" w:color="auto"/>
              <w:left w:val="nil"/>
              <w:bottom w:val="nil"/>
              <w:right w:val="nil"/>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9 439</w:t>
            </w:r>
          </w:p>
        </w:tc>
      </w:tr>
      <w:tr w:rsidR="009F5537" w:rsidRPr="0041088C" w:rsidTr="00305387">
        <w:trPr>
          <w:trHeight w:val="240"/>
        </w:trPr>
        <w:tc>
          <w:tcPr>
            <w:tcW w:w="82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rPr>
                <w:rFonts w:cs="Arial"/>
                <w:sz w:val="16"/>
                <w:szCs w:val="16"/>
              </w:rPr>
            </w:pPr>
            <w:r w:rsidRPr="0041088C">
              <w:rPr>
                <w:rFonts w:cs="Arial"/>
                <w:sz w:val="16"/>
                <w:szCs w:val="16"/>
              </w:rPr>
              <w:t>Únor</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7 581</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7 866</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8 458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9 235</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8 829</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9 148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8 525</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8 538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7 872</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8 132</w:t>
            </w:r>
          </w:p>
        </w:tc>
        <w:tc>
          <w:tcPr>
            <w:tcW w:w="760" w:type="dxa"/>
            <w:tcBorders>
              <w:top w:val="nil"/>
              <w:left w:val="nil"/>
              <w:bottom w:val="nil"/>
              <w:right w:val="nil"/>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8 203</w:t>
            </w:r>
          </w:p>
        </w:tc>
      </w:tr>
      <w:tr w:rsidR="009F5537" w:rsidRPr="0041088C" w:rsidTr="00305387">
        <w:trPr>
          <w:trHeight w:val="240"/>
        </w:trPr>
        <w:tc>
          <w:tcPr>
            <w:tcW w:w="82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rPr>
                <w:rFonts w:cs="Arial"/>
                <w:sz w:val="16"/>
                <w:szCs w:val="16"/>
              </w:rPr>
            </w:pPr>
            <w:r w:rsidRPr="0041088C">
              <w:rPr>
                <w:rFonts w:cs="Arial"/>
                <w:sz w:val="16"/>
                <w:szCs w:val="16"/>
              </w:rPr>
              <w:t>Březen</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8 676</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8 788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9 459</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9 597</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9 627</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10 098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9 405</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9 117</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8 865</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9 135</w:t>
            </w:r>
          </w:p>
        </w:tc>
        <w:tc>
          <w:tcPr>
            <w:tcW w:w="760" w:type="dxa"/>
            <w:tcBorders>
              <w:top w:val="nil"/>
              <w:left w:val="nil"/>
              <w:bottom w:val="nil"/>
              <w:right w:val="nil"/>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9 152</w:t>
            </w:r>
          </w:p>
        </w:tc>
      </w:tr>
      <w:tr w:rsidR="009F5537" w:rsidRPr="0041088C" w:rsidTr="00305387">
        <w:trPr>
          <w:trHeight w:val="240"/>
        </w:trPr>
        <w:tc>
          <w:tcPr>
            <w:tcW w:w="82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rPr>
                <w:rFonts w:cs="Arial"/>
                <w:sz w:val="16"/>
                <w:szCs w:val="16"/>
              </w:rPr>
            </w:pPr>
            <w:r w:rsidRPr="0041088C">
              <w:rPr>
                <w:rFonts w:cs="Arial"/>
                <w:sz w:val="16"/>
                <w:szCs w:val="16"/>
              </w:rPr>
              <w:t>Duben</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8 838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8 978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9 162</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9 985</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9 868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9 557</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8 799</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8 940</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8 462</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8 968</w:t>
            </w:r>
          </w:p>
        </w:tc>
        <w:tc>
          <w:tcPr>
            <w:tcW w:w="760" w:type="dxa"/>
            <w:tcBorders>
              <w:top w:val="nil"/>
              <w:left w:val="nil"/>
              <w:bottom w:val="nil"/>
              <w:right w:val="nil"/>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9 120</w:t>
            </w:r>
          </w:p>
        </w:tc>
      </w:tr>
      <w:tr w:rsidR="009F5537" w:rsidRPr="0041088C" w:rsidTr="00305387">
        <w:trPr>
          <w:trHeight w:val="240"/>
        </w:trPr>
        <w:tc>
          <w:tcPr>
            <w:tcW w:w="82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rPr>
                <w:rFonts w:cs="Arial"/>
                <w:sz w:val="16"/>
                <w:szCs w:val="16"/>
              </w:rPr>
            </w:pPr>
            <w:r w:rsidRPr="0041088C">
              <w:rPr>
                <w:rFonts w:cs="Arial"/>
                <w:sz w:val="16"/>
                <w:szCs w:val="16"/>
              </w:rPr>
              <w:t>Květen</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9 023</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9 294</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9 918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10 446</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9 996</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10 184</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9 248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9 282</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9 261</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9 116</w:t>
            </w:r>
          </w:p>
        </w:tc>
        <w:tc>
          <w:tcPr>
            <w:tcW w:w="760" w:type="dxa"/>
            <w:tcBorders>
              <w:top w:val="nil"/>
              <w:left w:val="nil"/>
              <w:bottom w:val="nil"/>
              <w:right w:val="nil"/>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9 272</w:t>
            </w:r>
          </w:p>
        </w:tc>
      </w:tr>
      <w:tr w:rsidR="009F5537" w:rsidRPr="0041088C" w:rsidTr="00305387">
        <w:trPr>
          <w:trHeight w:val="240"/>
        </w:trPr>
        <w:tc>
          <w:tcPr>
            <w:tcW w:w="82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rPr>
                <w:rFonts w:cs="Arial"/>
                <w:sz w:val="16"/>
                <w:szCs w:val="16"/>
              </w:rPr>
            </w:pPr>
            <w:r w:rsidRPr="0041088C">
              <w:rPr>
                <w:rFonts w:cs="Arial"/>
                <w:sz w:val="16"/>
                <w:szCs w:val="16"/>
              </w:rPr>
              <w:t>Červen</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9 139</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9 268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9 918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10 440</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10 388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10 164</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9 652</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9 074</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9 064</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9 677</w:t>
            </w:r>
          </w:p>
        </w:tc>
        <w:tc>
          <w:tcPr>
            <w:tcW w:w="760" w:type="dxa"/>
            <w:tcBorders>
              <w:top w:val="nil"/>
              <w:left w:val="nil"/>
              <w:bottom w:val="nil"/>
              <w:right w:val="nil"/>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9 768</w:t>
            </w:r>
          </w:p>
        </w:tc>
      </w:tr>
      <w:tr w:rsidR="009F5537" w:rsidRPr="0041088C" w:rsidTr="00305387">
        <w:trPr>
          <w:trHeight w:val="240"/>
        </w:trPr>
        <w:tc>
          <w:tcPr>
            <w:tcW w:w="82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rPr>
                <w:rFonts w:cs="Arial"/>
                <w:sz w:val="16"/>
                <w:szCs w:val="16"/>
              </w:rPr>
            </w:pPr>
            <w:r w:rsidRPr="0041088C">
              <w:rPr>
                <w:rFonts w:cs="Arial"/>
                <w:sz w:val="16"/>
                <w:szCs w:val="16"/>
              </w:rPr>
              <w:t>Červenec</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9 343</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9 436</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10 380</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11 063</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11 115</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10 568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9 945</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9 698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10 053</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10 318</w:t>
            </w:r>
          </w:p>
        </w:tc>
        <w:tc>
          <w:tcPr>
            <w:tcW w:w="760" w:type="dxa"/>
            <w:tcBorders>
              <w:top w:val="nil"/>
              <w:left w:val="nil"/>
              <w:bottom w:val="nil"/>
              <w:right w:val="nil"/>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10 120</w:t>
            </w:r>
          </w:p>
        </w:tc>
      </w:tr>
      <w:tr w:rsidR="009F5537" w:rsidRPr="0041088C" w:rsidTr="00305387">
        <w:trPr>
          <w:trHeight w:val="240"/>
        </w:trPr>
        <w:tc>
          <w:tcPr>
            <w:tcW w:w="82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rPr>
                <w:rFonts w:cs="Arial"/>
                <w:sz w:val="16"/>
                <w:szCs w:val="16"/>
              </w:rPr>
            </w:pPr>
            <w:r w:rsidRPr="0041088C">
              <w:rPr>
                <w:rFonts w:cs="Arial"/>
                <w:sz w:val="16"/>
                <w:szCs w:val="16"/>
              </w:rPr>
              <w:t>Srpen</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9 015</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9 245</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10 265</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10 540</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10 353</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9 894</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9 662</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9 640</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9 491</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9 474</w:t>
            </w:r>
          </w:p>
        </w:tc>
        <w:tc>
          <w:tcPr>
            <w:tcW w:w="760" w:type="dxa"/>
            <w:tcBorders>
              <w:top w:val="nil"/>
              <w:left w:val="nil"/>
              <w:bottom w:val="nil"/>
              <w:right w:val="nil"/>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9 645</w:t>
            </w:r>
          </w:p>
        </w:tc>
      </w:tr>
      <w:tr w:rsidR="009F5537" w:rsidRPr="0041088C" w:rsidTr="00305387">
        <w:trPr>
          <w:trHeight w:val="240"/>
        </w:trPr>
        <w:tc>
          <w:tcPr>
            <w:tcW w:w="82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rPr>
                <w:rFonts w:cs="Arial"/>
                <w:sz w:val="16"/>
                <w:szCs w:val="16"/>
              </w:rPr>
            </w:pPr>
            <w:r w:rsidRPr="0041088C">
              <w:rPr>
                <w:rFonts w:cs="Arial"/>
                <w:sz w:val="16"/>
                <w:szCs w:val="16"/>
              </w:rPr>
              <w:t>Září</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8 801</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9 097</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9 737</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10 312</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10 290</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9 792</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9 346</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9 072</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9 242</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9 738</w:t>
            </w:r>
          </w:p>
        </w:tc>
        <w:tc>
          <w:tcPr>
            <w:tcW w:w="760" w:type="dxa"/>
            <w:tcBorders>
              <w:top w:val="nil"/>
              <w:left w:val="nil"/>
              <w:bottom w:val="nil"/>
              <w:right w:val="nil"/>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9 535</w:t>
            </w:r>
          </w:p>
        </w:tc>
      </w:tr>
      <w:tr w:rsidR="009F5537" w:rsidRPr="0041088C" w:rsidTr="00305387">
        <w:trPr>
          <w:trHeight w:val="240"/>
        </w:trPr>
        <w:tc>
          <w:tcPr>
            <w:tcW w:w="82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rPr>
                <w:rFonts w:cs="Arial"/>
                <w:sz w:val="16"/>
                <w:szCs w:val="16"/>
              </w:rPr>
            </w:pPr>
            <w:r w:rsidRPr="0041088C">
              <w:rPr>
                <w:rFonts w:cs="Arial"/>
                <w:sz w:val="16"/>
                <w:szCs w:val="16"/>
              </w:rPr>
              <w:t>Říjen</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8 271</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9 094</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9 641</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9 561</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9 627</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9 447</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8 843</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9 236</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8 796</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9 065</w:t>
            </w:r>
          </w:p>
        </w:tc>
        <w:tc>
          <w:tcPr>
            <w:tcW w:w="760" w:type="dxa"/>
            <w:tcBorders>
              <w:top w:val="nil"/>
              <w:left w:val="nil"/>
              <w:bottom w:val="nil"/>
              <w:right w:val="nil"/>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9 110</w:t>
            </w:r>
          </w:p>
        </w:tc>
      </w:tr>
      <w:tr w:rsidR="009F5537" w:rsidRPr="0041088C" w:rsidTr="00305387">
        <w:trPr>
          <w:trHeight w:val="240"/>
        </w:trPr>
        <w:tc>
          <w:tcPr>
            <w:tcW w:w="82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rPr>
                <w:rFonts w:cs="Arial"/>
                <w:sz w:val="16"/>
                <w:szCs w:val="16"/>
              </w:rPr>
            </w:pPr>
            <w:r w:rsidRPr="0041088C">
              <w:rPr>
                <w:rFonts w:cs="Arial"/>
                <w:sz w:val="16"/>
                <w:szCs w:val="16"/>
              </w:rPr>
              <w:t>Listopad</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7 885</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8 338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9 227</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9 068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8 987</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9 205</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8 044</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8 734</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8 310</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8 350</w:t>
            </w:r>
          </w:p>
        </w:tc>
        <w:tc>
          <w:tcPr>
            <w:tcW w:w="760" w:type="dxa"/>
            <w:tcBorders>
              <w:top w:val="nil"/>
              <w:left w:val="nil"/>
              <w:bottom w:val="nil"/>
              <w:right w:val="nil"/>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8 355</w:t>
            </w:r>
          </w:p>
        </w:tc>
      </w:tr>
      <w:tr w:rsidR="009F5537" w:rsidRPr="0041088C" w:rsidTr="00305387">
        <w:trPr>
          <w:trHeight w:val="255"/>
        </w:trPr>
        <w:tc>
          <w:tcPr>
            <w:tcW w:w="820" w:type="dxa"/>
            <w:tcBorders>
              <w:top w:val="nil"/>
              <w:left w:val="nil"/>
              <w:bottom w:val="nil"/>
              <w:right w:val="single" w:sz="4" w:space="0" w:color="auto"/>
            </w:tcBorders>
            <w:shd w:val="clear" w:color="FFFFFF" w:fill="FFFFFF"/>
            <w:noWrap/>
            <w:vAlign w:val="bottom"/>
            <w:hideMark/>
          </w:tcPr>
          <w:p w:rsidR="009F5537" w:rsidRPr="0041088C" w:rsidRDefault="009F5537" w:rsidP="00305387">
            <w:pPr>
              <w:spacing w:after="0" w:line="240" w:lineRule="auto"/>
              <w:rPr>
                <w:rFonts w:cs="Arial"/>
                <w:sz w:val="16"/>
                <w:szCs w:val="16"/>
              </w:rPr>
            </w:pPr>
            <w:r w:rsidRPr="0041088C">
              <w:rPr>
                <w:rFonts w:cs="Arial"/>
                <w:sz w:val="16"/>
                <w:szCs w:val="16"/>
              </w:rPr>
              <w:t>Prosinec</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7 635</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8 347</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9 378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9 418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9 542</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9 508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8 298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8 558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8 398</w:t>
            </w:r>
          </w:p>
        </w:tc>
        <w:tc>
          <w:tcPr>
            <w:tcW w:w="760" w:type="dxa"/>
            <w:tcBorders>
              <w:top w:val="nil"/>
              <w:left w:val="nil"/>
              <w:bottom w:val="nil"/>
              <w:right w:val="single" w:sz="4" w:space="0" w:color="auto"/>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8 844</w:t>
            </w:r>
          </w:p>
        </w:tc>
        <w:tc>
          <w:tcPr>
            <w:tcW w:w="760" w:type="dxa"/>
            <w:tcBorders>
              <w:top w:val="nil"/>
              <w:left w:val="nil"/>
              <w:bottom w:val="nil"/>
              <w:right w:val="nil"/>
            </w:tcBorders>
            <w:shd w:val="clear" w:color="FFFFFF" w:fill="FFFFFF"/>
            <w:noWrap/>
            <w:tcMar>
              <w:right w:w="170" w:type="dxa"/>
            </w:tcMar>
            <w:vAlign w:val="bottom"/>
            <w:hideMark/>
          </w:tcPr>
          <w:p w:rsidR="009F5537" w:rsidRPr="0041088C" w:rsidRDefault="009F5537" w:rsidP="00305387">
            <w:pPr>
              <w:spacing w:after="0" w:line="240" w:lineRule="auto"/>
              <w:jc w:val="right"/>
              <w:rPr>
                <w:rFonts w:cs="Arial"/>
                <w:sz w:val="16"/>
                <w:szCs w:val="16"/>
              </w:rPr>
            </w:pPr>
            <w:r w:rsidRPr="0041088C">
              <w:rPr>
                <w:rFonts w:cs="Arial"/>
                <w:sz w:val="16"/>
                <w:szCs w:val="16"/>
              </w:rPr>
              <w:t>9 045</w:t>
            </w:r>
          </w:p>
        </w:tc>
      </w:tr>
    </w:tbl>
    <w:p w:rsidR="009F5537" w:rsidRDefault="009F5537" w:rsidP="009F5537">
      <w:pPr>
        <w:spacing w:after="0"/>
        <w:rPr>
          <w:rFonts w:cs="Arial"/>
          <w:szCs w:val="20"/>
        </w:rPr>
      </w:pPr>
    </w:p>
    <w:p w:rsidR="009F5537" w:rsidRDefault="009F5537" w:rsidP="009F5537">
      <w:pPr>
        <w:spacing w:after="60"/>
        <w:rPr>
          <w:rFonts w:cs="Arial"/>
          <w:b/>
          <w:szCs w:val="20"/>
        </w:rPr>
      </w:pPr>
      <w:r>
        <w:rPr>
          <w:rFonts w:cs="Arial"/>
          <w:b/>
          <w:szCs w:val="20"/>
        </w:rPr>
        <w:t xml:space="preserve">Graf 7 </w:t>
      </w:r>
      <w:r w:rsidRPr="00872E80">
        <w:rPr>
          <w:rFonts w:cs="Arial"/>
          <w:b/>
          <w:szCs w:val="20"/>
        </w:rPr>
        <w:t>Měsíční indexy</w:t>
      </w:r>
      <w:r>
        <w:rPr>
          <w:rFonts w:cs="Arial"/>
          <w:b/>
          <w:szCs w:val="20"/>
        </w:rPr>
        <w:t>*</w:t>
      </w:r>
      <w:r w:rsidRPr="00872E80">
        <w:rPr>
          <w:rFonts w:cs="Arial"/>
          <w:b/>
          <w:szCs w:val="20"/>
        </w:rPr>
        <w:t xml:space="preserve"> živě na</w:t>
      </w:r>
      <w:r>
        <w:rPr>
          <w:rFonts w:cs="Arial"/>
          <w:b/>
          <w:szCs w:val="20"/>
        </w:rPr>
        <w:t>rozených dětí v letech 2005, 2010 a 2015</w:t>
      </w:r>
    </w:p>
    <w:p w:rsidR="009F5537" w:rsidRDefault="009F5537" w:rsidP="009F5537">
      <w:pPr>
        <w:spacing w:after="60"/>
        <w:rPr>
          <w:rFonts w:cs="Arial"/>
          <w:b/>
          <w:szCs w:val="20"/>
        </w:rPr>
      </w:pPr>
      <w:r>
        <w:rPr>
          <w:noProof/>
        </w:rPr>
        <w:pict>
          <v:shape id="_x0000_s1028" type="#_x0000_t75" style="position:absolute;margin-left:.3pt;margin-top:.55pt;width:284.25pt;height:227.25pt;z-index:2;mso-position-horizontal:absolute;mso-position-horizontal-relative:text;mso-position-vertical:absolute;mso-position-vertical-relative:text">
            <v:imagedata r:id="rId15" o:title=""/>
          </v:shape>
        </w:pict>
      </w:r>
    </w:p>
    <w:p w:rsidR="009F5537" w:rsidRPr="0087779B" w:rsidRDefault="009F5537" w:rsidP="009F5537">
      <w:pPr>
        <w:rPr>
          <w:rFonts w:cs="Arial"/>
          <w:szCs w:val="20"/>
        </w:rPr>
      </w:pPr>
    </w:p>
    <w:p w:rsidR="009F5537" w:rsidRPr="0087779B" w:rsidRDefault="009F5537" w:rsidP="009F5537">
      <w:pPr>
        <w:rPr>
          <w:rFonts w:cs="Arial"/>
          <w:szCs w:val="20"/>
        </w:rPr>
      </w:pPr>
    </w:p>
    <w:p w:rsidR="009F5537" w:rsidRPr="0087779B" w:rsidRDefault="009F5537" w:rsidP="009F5537">
      <w:pPr>
        <w:rPr>
          <w:rFonts w:cs="Arial"/>
          <w:szCs w:val="20"/>
        </w:rPr>
      </w:pPr>
    </w:p>
    <w:p w:rsidR="009F5537" w:rsidRPr="0087779B" w:rsidRDefault="009F5537" w:rsidP="009F5537">
      <w:pPr>
        <w:rPr>
          <w:rFonts w:cs="Arial"/>
          <w:szCs w:val="20"/>
        </w:rPr>
      </w:pPr>
    </w:p>
    <w:p w:rsidR="009F5537" w:rsidRPr="0087779B" w:rsidRDefault="009F5537" w:rsidP="009F5537">
      <w:pPr>
        <w:rPr>
          <w:rFonts w:cs="Arial"/>
          <w:szCs w:val="20"/>
        </w:rPr>
      </w:pPr>
    </w:p>
    <w:p w:rsidR="009F5537" w:rsidRPr="0087779B" w:rsidRDefault="009F5537" w:rsidP="009F5537">
      <w:pPr>
        <w:rPr>
          <w:rFonts w:cs="Arial"/>
          <w:szCs w:val="20"/>
        </w:rPr>
      </w:pPr>
    </w:p>
    <w:p w:rsidR="009F5537" w:rsidRPr="0087779B" w:rsidRDefault="009F5537" w:rsidP="009F5537">
      <w:pPr>
        <w:rPr>
          <w:rFonts w:cs="Arial"/>
          <w:szCs w:val="20"/>
        </w:rPr>
      </w:pPr>
    </w:p>
    <w:p w:rsidR="009F5537" w:rsidRDefault="009F5537" w:rsidP="009F5537">
      <w:pPr>
        <w:rPr>
          <w:rFonts w:cs="Arial"/>
          <w:szCs w:val="20"/>
        </w:rPr>
      </w:pPr>
    </w:p>
    <w:p w:rsidR="009F5537" w:rsidRDefault="009F5537" w:rsidP="009F5537">
      <w:pPr>
        <w:spacing w:before="180" w:after="60"/>
        <w:rPr>
          <w:i/>
          <w:iCs/>
          <w:sz w:val="16"/>
        </w:rPr>
      </w:pPr>
    </w:p>
    <w:p w:rsidR="009F5537" w:rsidRDefault="009F5537" w:rsidP="009F5537">
      <w:pPr>
        <w:rPr>
          <w:i/>
          <w:iCs/>
          <w:sz w:val="16"/>
        </w:rPr>
      </w:pPr>
      <w:r>
        <w:rPr>
          <w:i/>
          <w:iCs/>
          <w:sz w:val="16"/>
        </w:rPr>
        <w:t>* Počet živě narozených dětí v daném měsíci a roce očištěný od rozdílného počtu kalendářních dní v měsíci byl vztažen k průměrnému měsíčnímu počtu ve sledovaném roce.</w:t>
      </w:r>
    </w:p>
    <w:p w:rsidR="009F5537" w:rsidRDefault="009F5537" w:rsidP="009F5537">
      <w:pPr>
        <w:pStyle w:val="Nadpis2"/>
      </w:pPr>
      <w:bookmarkStart w:id="7" w:name="_Toc468110167"/>
      <w:r>
        <w:t>2.7 Porodní hmotnost</w:t>
      </w:r>
      <w:bookmarkEnd w:id="7"/>
    </w:p>
    <w:p w:rsidR="009F5537" w:rsidRPr="00B84FAD" w:rsidRDefault="009F5537" w:rsidP="009F5537">
      <w:pPr>
        <w:rPr>
          <w:rFonts w:cs="Arial"/>
          <w:szCs w:val="20"/>
        </w:rPr>
      </w:pPr>
      <w:r>
        <w:rPr>
          <w:rFonts w:cs="Arial"/>
          <w:szCs w:val="20"/>
        </w:rPr>
        <w:t xml:space="preserve">Nejčastěji se v České republice rodí děti s porodní hmotností mezi 3 000 a 3 499 gramy. Mezi lety 2005 až 2015 se na celkovém počtu živě narozených dětí podílely z 38,4 % – 38,7 %. Jasný trend v čase nebyl v této kategorii zřejmý. Zastoupení kategorií s nižší porodní hmotností ovšem většinou rostlo. Podíl živě narozených dětí s porodní hmotností mezi 2 500 až 2 999 g vzrostl z 16,4 % na 18,1 % při srovnání let 2005 a 2013 a podíl dětí s hmotností 2 000 až 2 499 g narostl ve stejném </w:t>
      </w:r>
      <w:proofErr w:type="gramStart"/>
      <w:r>
        <w:rPr>
          <w:rFonts w:cs="Arial"/>
          <w:szCs w:val="20"/>
        </w:rPr>
        <w:t>období z 4,4</w:t>
      </w:r>
      <w:proofErr w:type="gramEnd"/>
      <w:r>
        <w:rPr>
          <w:rFonts w:cs="Arial"/>
          <w:szCs w:val="20"/>
        </w:rPr>
        <w:t xml:space="preserve"> % na 5,2 %. V posledních dvou letech lze ale sledovat mírný pokles zastoupení obou kategorií na </w:t>
      </w:r>
      <w:proofErr w:type="gramStart"/>
      <w:r>
        <w:rPr>
          <w:rFonts w:cs="Arial"/>
          <w:szCs w:val="20"/>
        </w:rPr>
        <w:t>17,6 , resp.</w:t>
      </w:r>
      <w:proofErr w:type="gramEnd"/>
      <w:r>
        <w:rPr>
          <w:rFonts w:cs="Arial"/>
          <w:szCs w:val="20"/>
        </w:rPr>
        <w:t xml:space="preserve"> 4,9 % v roce 2015. Naopak u kategorií s vyšší porodní hmotností nad 3 499 gramů byl trend opačný a jejich podíl do roku 2013 klesal, aby v dalších dvou letech zase mírně narostl. Například u kategorie dětí s porodní hmotností 3 500 až 3 999 gramů se jejich podíl snížil z 29,4 % v roce 2005 na 27,0 % v roce 2013, zatímco v roce 2015 byl nepatrně vyšší – 27,1 %.   </w:t>
      </w:r>
    </w:p>
    <w:p w:rsidR="009F5537" w:rsidRDefault="009F5537" w:rsidP="009F5537">
      <w:pPr>
        <w:rPr>
          <w:rFonts w:cs="Arial"/>
          <w:szCs w:val="20"/>
        </w:rPr>
      </w:pPr>
    </w:p>
    <w:p w:rsidR="009F5537" w:rsidRDefault="009F5537" w:rsidP="009F5537">
      <w:pPr>
        <w:spacing w:after="60"/>
        <w:rPr>
          <w:rFonts w:cs="Arial"/>
          <w:b/>
          <w:szCs w:val="20"/>
        </w:rPr>
      </w:pPr>
      <w:r>
        <w:rPr>
          <w:rFonts w:cs="Arial"/>
          <w:b/>
          <w:szCs w:val="20"/>
        </w:rPr>
        <w:lastRenderedPageBreak/>
        <w:t xml:space="preserve">Tab. 9 </w:t>
      </w:r>
      <w:r w:rsidRPr="000B0A56">
        <w:rPr>
          <w:rFonts w:cs="Arial"/>
          <w:b/>
          <w:szCs w:val="20"/>
        </w:rPr>
        <w:t>Živě narození podle porodní hmotnosti v letech 2005–2015</w:t>
      </w:r>
    </w:p>
    <w:tbl>
      <w:tblPr>
        <w:tblW w:w="9639" w:type="dxa"/>
        <w:tblCellMar>
          <w:left w:w="70" w:type="dxa"/>
          <w:right w:w="70" w:type="dxa"/>
        </w:tblCellMar>
        <w:tblLook w:val="04A0" w:firstRow="1" w:lastRow="0" w:firstColumn="1" w:lastColumn="0" w:noHBand="0" w:noVBand="1"/>
      </w:tblPr>
      <w:tblGrid>
        <w:gridCol w:w="873"/>
        <w:gridCol w:w="873"/>
        <w:gridCol w:w="873"/>
        <w:gridCol w:w="872"/>
        <w:gridCol w:w="872"/>
        <w:gridCol w:w="872"/>
        <w:gridCol w:w="872"/>
        <w:gridCol w:w="872"/>
        <w:gridCol w:w="872"/>
        <w:gridCol w:w="872"/>
        <w:gridCol w:w="916"/>
      </w:tblGrid>
      <w:tr w:rsidR="009F5537" w:rsidRPr="000B0A56" w:rsidTr="00305387">
        <w:trPr>
          <w:trHeight w:val="240"/>
        </w:trPr>
        <w:tc>
          <w:tcPr>
            <w:tcW w:w="873"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0B0A56" w:rsidRDefault="009F5537" w:rsidP="00305387">
            <w:pPr>
              <w:spacing w:after="0" w:line="240" w:lineRule="auto"/>
              <w:jc w:val="center"/>
              <w:rPr>
                <w:rFonts w:cs="Arial"/>
                <w:b/>
                <w:bCs/>
                <w:sz w:val="16"/>
                <w:szCs w:val="16"/>
              </w:rPr>
            </w:pPr>
            <w:r w:rsidRPr="000B0A56">
              <w:rPr>
                <w:rFonts w:cs="Arial"/>
                <w:b/>
                <w:bCs/>
                <w:sz w:val="16"/>
                <w:szCs w:val="16"/>
              </w:rPr>
              <w:t>Rok</w:t>
            </w:r>
          </w:p>
        </w:tc>
        <w:tc>
          <w:tcPr>
            <w:tcW w:w="873" w:type="dxa"/>
            <w:vMerge w:val="restart"/>
            <w:tcBorders>
              <w:top w:val="single" w:sz="4" w:space="0" w:color="auto"/>
              <w:left w:val="nil"/>
              <w:bottom w:val="single" w:sz="4" w:space="0" w:color="000000"/>
              <w:right w:val="single" w:sz="4" w:space="0" w:color="auto"/>
            </w:tcBorders>
            <w:shd w:val="clear" w:color="FFFFFF" w:fill="F5DADD"/>
            <w:vAlign w:val="center"/>
            <w:hideMark/>
          </w:tcPr>
          <w:p w:rsidR="009F5537" w:rsidRPr="000B0A56" w:rsidRDefault="009F5537" w:rsidP="00305387">
            <w:pPr>
              <w:spacing w:after="0" w:line="240" w:lineRule="auto"/>
              <w:jc w:val="center"/>
              <w:rPr>
                <w:rFonts w:cs="Arial"/>
                <w:b/>
                <w:bCs/>
                <w:sz w:val="16"/>
                <w:szCs w:val="16"/>
              </w:rPr>
            </w:pPr>
            <w:r w:rsidRPr="000B0A56">
              <w:rPr>
                <w:rFonts w:cs="Arial"/>
                <w:b/>
                <w:bCs/>
                <w:sz w:val="16"/>
                <w:szCs w:val="16"/>
              </w:rPr>
              <w:t>Živě narození celkem</w:t>
            </w:r>
          </w:p>
        </w:tc>
        <w:tc>
          <w:tcPr>
            <w:tcW w:w="7893" w:type="dxa"/>
            <w:gridSpan w:val="9"/>
            <w:tcBorders>
              <w:top w:val="single" w:sz="4" w:space="0" w:color="auto"/>
              <w:left w:val="nil"/>
              <w:bottom w:val="single" w:sz="4" w:space="0" w:color="auto"/>
              <w:right w:val="nil"/>
            </w:tcBorders>
            <w:shd w:val="clear" w:color="FFFFFF" w:fill="F5DADD"/>
            <w:noWrap/>
            <w:vAlign w:val="center"/>
            <w:hideMark/>
          </w:tcPr>
          <w:p w:rsidR="009F5537" w:rsidRPr="000B0A56" w:rsidRDefault="009F5537" w:rsidP="00305387">
            <w:pPr>
              <w:spacing w:after="0" w:line="240" w:lineRule="auto"/>
              <w:jc w:val="center"/>
              <w:rPr>
                <w:rFonts w:cs="Arial"/>
                <w:b/>
                <w:bCs/>
                <w:sz w:val="16"/>
                <w:szCs w:val="16"/>
              </w:rPr>
            </w:pPr>
            <w:r w:rsidRPr="000B0A56">
              <w:rPr>
                <w:rFonts w:cs="Arial"/>
                <w:b/>
                <w:bCs/>
                <w:sz w:val="16"/>
                <w:szCs w:val="16"/>
              </w:rPr>
              <w:t>Porodní hmotnost</w:t>
            </w:r>
          </w:p>
        </w:tc>
      </w:tr>
      <w:tr w:rsidR="009F5537" w:rsidRPr="000B0A56" w:rsidTr="00305387">
        <w:trPr>
          <w:trHeight w:val="480"/>
        </w:trPr>
        <w:tc>
          <w:tcPr>
            <w:tcW w:w="873" w:type="dxa"/>
            <w:vMerge/>
            <w:tcBorders>
              <w:top w:val="single" w:sz="4" w:space="0" w:color="auto"/>
              <w:left w:val="nil"/>
              <w:bottom w:val="single" w:sz="4" w:space="0" w:color="000000"/>
              <w:right w:val="single" w:sz="4" w:space="0" w:color="auto"/>
            </w:tcBorders>
            <w:vAlign w:val="center"/>
            <w:hideMark/>
          </w:tcPr>
          <w:p w:rsidR="009F5537" w:rsidRPr="000B0A56" w:rsidRDefault="009F5537" w:rsidP="00305387">
            <w:pPr>
              <w:spacing w:after="0" w:line="240" w:lineRule="auto"/>
              <w:rPr>
                <w:rFonts w:cs="Arial"/>
                <w:b/>
                <w:bCs/>
                <w:sz w:val="16"/>
                <w:szCs w:val="16"/>
              </w:rPr>
            </w:pPr>
          </w:p>
        </w:tc>
        <w:tc>
          <w:tcPr>
            <w:tcW w:w="873" w:type="dxa"/>
            <w:vMerge/>
            <w:tcBorders>
              <w:top w:val="single" w:sz="4" w:space="0" w:color="auto"/>
              <w:left w:val="nil"/>
              <w:bottom w:val="single" w:sz="4" w:space="0" w:color="000000"/>
              <w:right w:val="single" w:sz="4" w:space="0" w:color="auto"/>
            </w:tcBorders>
            <w:vAlign w:val="center"/>
            <w:hideMark/>
          </w:tcPr>
          <w:p w:rsidR="009F5537" w:rsidRPr="000B0A56" w:rsidRDefault="009F5537" w:rsidP="00305387">
            <w:pPr>
              <w:spacing w:after="0" w:line="240" w:lineRule="auto"/>
              <w:rPr>
                <w:rFonts w:cs="Arial"/>
                <w:b/>
                <w:bCs/>
                <w:sz w:val="16"/>
                <w:szCs w:val="16"/>
              </w:rPr>
            </w:pPr>
          </w:p>
        </w:tc>
        <w:tc>
          <w:tcPr>
            <w:tcW w:w="873" w:type="dxa"/>
            <w:tcBorders>
              <w:top w:val="nil"/>
              <w:left w:val="nil"/>
              <w:bottom w:val="single" w:sz="4" w:space="0" w:color="auto"/>
              <w:right w:val="single" w:sz="4" w:space="0" w:color="auto"/>
            </w:tcBorders>
            <w:shd w:val="clear" w:color="FFFFFF" w:fill="F5DADD"/>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–999</w:t>
            </w:r>
          </w:p>
        </w:tc>
        <w:tc>
          <w:tcPr>
            <w:tcW w:w="872" w:type="dxa"/>
            <w:tcBorders>
              <w:top w:val="nil"/>
              <w:left w:val="nil"/>
              <w:bottom w:val="single" w:sz="4" w:space="0" w:color="auto"/>
              <w:right w:val="single" w:sz="4" w:space="0" w:color="auto"/>
            </w:tcBorders>
            <w:shd w:val="clear" w:color="FFFFFF" w:fill="F5DADD"/>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w:t>
            </w:r>
            <w:r>
              <w:rPr>
                <w:rFonts w:cs="Arial"/>
                <w:sz w:val="16"/>
                <w:szCs w:val="16"/>
              </w:rPr>
              <w:t xml:space="preserve"> </w:t>
            </w:r>
            <w:r w:rsidRPr="000B0A56">
              <w:rPr>
                <w:rFonts w:cs="Arial"/>
                <w:sz w:val="16"/>
                <w:szCs w:val="16"/>
              </w:rPr>
              <w:t>000–</w:t>
            </w:r>
            <w:r w:rsidRPr="000B0A56">
              <w:rPr>
                <w:rFonts w:cs="Arial"/>
                <w:sz w:val="16"/>
                <w:szCs w:val="16"/>
              </w:rPr>
              <w:br/>
              <w:t>1</w:t>
            </w:r>
            <w:r>
              <w:rPr>
                <w:rFonts w:cs="Arial"/>
                <w:sz w:val="16"/>
                <w:szCs w:val="16"/>
              </w:rPr>
              <w:t xml:space="preserve"> </w:t>
            </w:r>
            <w:r w:rsidRPr="000B0A56">
              <w:rPr>
                <w:rFonts w:cs="Arial"/>
                <w:sz w:val="16"/>
                <w:szCs w:val="16"/>
              </w:rPr>
              <w:t>999</w:t>
            </w:r>
          </w:p>
        </w:tc>
        <w:tc>
          <w:tcPr>
            <w:tcW w:w="872" w:type="dxa"/>
            <w:tcBorders>
              <w:top w:val="nil"/>
              <w:left w:val="nil"/>
              <w:bottom w:val="single" w:sz="4" w:space="0" w:color="auto"/>
              <w:right w:val="single" w:sz="4" w:space="0" w:color="auto"/>
            </w:tcBorders>
            <w:shd w:val="clear" w:color="FFFFFF" w:fill="F5DADD"/>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w:t>
            </w:r>
            <w:r>
              <w:rPr>
                <w:rFonts w:cs="Arial"/>
                <w:sz w:val="16"/>
                <w:szCs w:val="16"/>
              </w:rPr>
              <w:t xml:space="preserve"> </w:t>
            </w:r>
            <w:r w:rsidRPr="000B0A56">
              <w:rPr>
                <w:rFonts w:cs="Arial"/>
                <w:sz w:val="16"/>
                <w:szCs w:val="16"/>
              </w:rPr>
              <w:t>000–</w:t>
            </w:r>
            <w:r w:rsidRPr="000B0A56">
              <w:rPr>
                <w:rFonts w:cs="Arial"/>
                <w:sz w:val="16"/>
                <w:szCs w:val="16"/>
              </w:rPr>
              <w:br/>
              <w:t>2</w:t>
            </w:r>
            <w:r>
              <w:rPr>
                <w:rFonts w:cs="Arial"/>
                <w:sz w:val="16"/>
                <w:szCs w:val="16"/>
              </w:rPr>
              <w:t xml:space="preserve"> </w:t>
            </w:r>
            <w:r w:rsidRPr="000B0A56">
              <w:rPr>
                <w:rFonts w:cs="Arial"/>
                <w:sz w:val="16"/>
                <w:szCs w:val="16"/>
              </w:rPr>
              <w:t>499</w:t>
            </w:r>
          </w:p>
        </w:tc>
        <w:tc>
          <w:tcPr>
            <w:tcW w:w="872" w:type="dxa"/>
            <w:tcBorders>
              <w:top w:val="nil"/>
              <w:left w:val="nil"/>
              <w:bottom w:val="single" w:sz="4" w:space="0" w:color="auto"/>
              <w:right w:val="nil"/>
            </w:tcBorders>
            <w:shd w:val="clear" w:color="FFFFFF" w:fill="F5DADD"/>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w:t>
            </w:r>
            <w:r>
              <w:rPr>
                <w:rFonts w:cs="Arial"/>
                <w:sz w:val="16"/>
                <w:szCs w:val="16"/>
              </w:rPr>
              <w:t xml:space="preserve"> </w:t>
            </w:r>
            <w:r w:rsidRPr="000B0A56">
              <w:rPr>
                <w:rFonts w:cs="Arial"/>
                <w:sz w:val="16"/>
                <w:szCs w:val="16"/>
              </w:rPr>
              <w:t>500–</w:t>
            </w:r>
            <w:r w:rsidRPr="000B0A56">
              <w:rPr>
                <w:rFonts w:cs="Arial"/>
                <w:sz w:val="16"/>
                <w:szCs w:val="16"/>
              </w:rPr>
              <w:br/>
              <w:t>2</w:t>
            </w:r>
            <w:r>
              <w:rPr>
                <w:rFonts w:cs="Arial"/>
                <w:sz w:val="16"/>
                <w:szCs w:val="16"/>
              </w:rPr>
              <w:t xml:space="preserve"> </w:t>
            </w:r>
            <w:r w:rsidRPr="000B0A56">
              <w:rPr>
                <w:rFonts w:cs="Arial"/>
                <w:sz w:val="16"/>
                <w:szCs w:val="16"/>
              </w:rPr>
              <w:t>999</w:t>
            </w:r>
          </w:p>
        </w:tc>
        <w:tc>
          <w:tcPr>
            <w:tcW w:w="872" w:type="dxa"/>
            <w:tcBorders>
              <w:top w:val="nil"/>
              <w:left w:val="single" w:sz="4" w:space="0" w:color="auto"/>
              <w:bottom w:val="single" w:sz="4" w:space="0" w:color="auto"/>
              <w:right w:val="single" w:sz="4" w:space="0" w:color="auto"/>
            </w:tcBorders>
            <w:shd w:val="clear" w:color="FFFFFF" w:fill="F5DADD"/>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3</w:t>
            </w:r>
            <w:r>
              <w:rPr>
                <w:rFonts w:cs="Arial"/>
                <w:sz w:val="16"/>
                <w:szCs w:val="16"/>
              </w:rPr>
              <w:t xml:space="preserve"> </w:t>
            </w:r>
            <w:r w:rsidRPr="000B0A56">
              <w:rPr>
                <w:rFonts w:cs="Arial"/>
                <w:sz w:val="16"/>
                <w:szCs w:val="16"/>
              </w:rPr>
              <w:t>000–</w:t>
            </w:r>
            <w:r w:rsidRPr="000B0A56">
              <w:rPr>
                <w:rFonts w:cs="Arial"/>
                <w:sz w:val="16"/>
                <w:szCs w:val="16"/>
              </w:rPr>
              <w:br/>
              <w:t>3</w:t>
            </w:r>
            <w:r>
              <w:rPr>
                <w:rFonts w:cs="Arial"/>
                <w:sz w:val="16"/>
                <w:szCs w:val="16"/>
              </w:rPr>
              <w:t xml:space="preserve"> </w:t>
            </w:r>
            <w:r w:rsidRPr="000B0A56">
              <w:rPr>
                <w:rFonts w:cs="Arial"/>
                <w:sz w:val="16"/>
                <w:szCs w:val="16"/>
              </w:rPr>
              <w:t>499</w:t>
            </w:r>
          </w:p>
        </w:tc>
        <w:tc>
          <w:tcPr>
            <w:tcW w:w="872" w:type="dxa"/>
            <w:tcBorders>
              <w:top w:val="nil"/>
              <w:left w:val="nil"/>
              <w:bottom w:val="single" w:sz="4" w:space="0" w:color="auto"/>
              <w:right w:val="single" w:sz="4" w:space="0" w:color="auto"/>
            </w:tcBorders>
            <w:shd w:val="clear" w:color="FFFFFF" w:fill="F5DADD"/>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3</w:t>
            </w:r>
            <w:r>
              <w:rPr>
                <w:rFonts w:cs="Arial"/>
                <w:sz w:val="16"/>
                <w:szCs w:val="16"/>
              </w:rPr>
              <w:t xml:space="preserve"> </w:t>
            </w:r>
            <w:r w:rsidRPr="000B0A56">
              <w:rPr>
                <w:rFonts w:cs="Arial"/>
                <w:sz w:val="16"/>
                <w:szCs w:val="16"/>
              </w:rPr>
              <w:t>500–</w:t>
            </w:r>
            <w:r w:rsidRPr="000B0A56">
              <w:rPr>
                <w:rFonts w:cs="Arial"/>
                <w:sz w:val="16"/>
                <w:szCs w:val="16"/>
              </w:rPr>
              <w:br/>
              <w:t>3</w:t>
            </w:r>
            <w:r>
              <w:rPr>
                <w:rFonts w:cs="Arial"/>
                <w:sz w:val="16"/>
                <w:szCs w:val="16"/>
              </w:rPr>
              <w:t xml:space="preserve"> </w:t>
            </w:r>
            <w:r w:rsidRPr="000B0A56">
              <w:rPr>
                <w:rFonts w:cs="Arial"/>
                <w:sz w:val="16"/>
                <w:szCs w:val="16"/>
              </w:rPr>
              <w:t>999</w:t>
            </w:r>
          </w:p>
        </w:tc>
        <w:tc>
          <w:tcPr>
            <w:tcW w:w="872" w:type="dxa"/>
            <w:tcBorders>
              <w:top w:val="nil"/>
              <w:left w:val="nil"/>
              <w:bottom w:val="single" w:sz="4" w:space="0" w:color="auto"/>
              <w:right w:val="nil"/>
            </w:tcBorders>
            <w:shd w:val="clear" w:color="FFFFFF" w:fill="F5DADD"/>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w:t>
            </w:r>
            <w:r>
              <w:rPr>
                <w:rFonts w:cs="Arial"/>
                <w:sz w:val="16"/>
                <w:szCs w:val="16"/>
              </w:rPr>
              <w:t xml:space="preserve"> </w:t>
            </w:r>
            <w:r w:rsidRPr="000B0A56">
              <w:rPr>
                <w:rFonts w:cs="Arial"/>
                <w:sz w:val="16"/>
                <w:szCs w:val="16"/>
              </w:rPr>
              <w:t>000–</w:t>
            </w:r>
            <w:r w:rsidRPr="000B0A56">
              <w:rPr>
                <w:rFonts w:cs="Arial"/>
                <w:sz w:val="16"/>
                <w:szCs w:val="16"/>
              </w:rPr>
              <w:br/>
              <w:t>4</w:t>
            </w:r>
            <w:r>
              <w:rPr>
                <w:rFonts w:cs="Arial"/>
                <w:sz w:val="16"/>
                <w:szCs w:val="16"/>
              </w:rPr>
              <w:t xml:space="preserve"> </w:t>
            </w:r>
            <w:r w:rsidRPr="000B0A56">
              <w:rPr>
                <w:rFonts w:cs="Arial"/>
                <w:sz w:val="16"/>
                <w:szCs w:val="16"/>
              </w:rPr>
              <w:t>499</w:t>
            </w:r>
          </w:p>
        </w:tc>
        <w:tc>
          <w:tcPr>
            <w:tcW w:w="872" w:type="dxa"/>
            <w:tcBorders>
              <w:top w:val="nil"/>
              <w:left w:val="single" w:sz="4" w:space="0" w:color="auto"/>
              <w:bottom w:val="single" w:sz="4" w:space="0" w:color="auto"/>
              <w:right w:val="nil"/>
            </w:tcBorders>
            <w:shd w:val="clear" w:color="FFFFFF" w:fill="F5DADD"/>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w:t>
            </w:r>
            <w:r>
              <w:rPr>
                <w:rFonts w:cs="Arial"/>
                <w:sz w:val="16"/>
                <w:szCs w:val="16"/>
              </w:rPr>
              <w:t xml:space="preserve"> </w:t>
            </w:r>
            <w:r w:rsidRPr="000B0A56">
              <w:rPr>
                <w:rFonts w:cs="Arial"/>
                <w:sz w:val="16"/>
                <w:szCs w:val="16"/>
              </w:rPr>
              <w:t>500+</w:t>
            </w:r>
          </w:p>
        </w:tc>
        <w:tc>
          <w:tcPr>
            <w:tcW w:w="916" w:type="dxa"/>
            <w:tcBorders>
              <w:top w:val="nil"/>
              <w:left w:val="single" w:sz="4" w:space="0" w:color="auto"/>
              <w:bottom w:val="single" w:sz="4" w:space="0" w:color="auto"/>
              <w:right w:val="nil"/>
            </w:tcBorders>
            <w:shd w:val="clear" w:color="FFFFFF" w:fill="F5DADD"/>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nezjištěna</w:t>
            </w:r>
          </w:p>
        </w:tc>
      </w:tr>
      <w:tr w:rsidR="009F5537" w:rsidRPr="000B0A56" w:rsidTr="00305387">
        <w:trPr>
          <w:trHeight w:val="240"/>
        </w:trPr>
        <w:tc>
          <w:tcPr>
            <w:tcW w:w="873" w:type="dxa"/>
            <w:tcBorders>
              <w:top w:val="nil"/>
              <w:left w:val="nil"/>
              <w:bottom w:val="nil"/>
              <w:right w:val="single" w:sz="4" w:space="0" w:color="auto"/>
            </w:tcBorders>
            <w:shd w:val="clear" w:color="FFFFFF" w:fill="FFFFFF"/>
            <w:noWrap/>
            <w:vAlign w:val="bottom"/>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2005</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102 211</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385</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2 029</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4 456</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16 808</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39 280</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30 051</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8 124</w:t>
            </w:r>
          </w:p>
        </w:tc>
        <w:tc>
          <w:tcPr>
            <w:tcW w:w="872" w:type="dxa"/>
            <w:tcBorders>
              <w:top w:val="nil"/>
              <w:left w:val="nil"/>
              <w:bottom w:val="nil"/>
              <w:right w:val="single" w:sz="4" w:space="0" w:color="auto"/>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1 078</w:t>
            </w:r>
          </w:p>
        </w:tc>
        <w:tc>
          <w:tcPr>
            <w:tcW w:w="916" w:type="dxa"/>
            <w:tcBorders>
              <w:top w:val="nil"/>
              <w:left w:val="nil"/>
              <w:bottom w:val="nil"/>
              <w:right w:val="nil"/>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w:t>
            </w:r>
          </w:p>
        </w:tc>
      </w:tr>
      <w:tr w:rsidR="009F5537" w:rsidRPr="000B0A56" w:rsidTr="00305387">
        <w:trPr>
          <w:trHeight w:val="240"/>
        </w:trPr>
        <w:tc>
          <w:tcPr>
            <w:tcW w:w="873" w:type="dxa"/>
            <w:tcBorders>
              <w:top w:val="nil"/>
              <w:left w:val="nil"/>
              <w:bottom w:val="nil"/>
              <w:right w:val="single" w:sz="4" w:space="0" w:color="auto"/>
            </w:tcBorders>
            <w:shd w:val="clear" w:color="FFFFFF" w:fill="FFFFFF"/>
            <w:noWrap/>
            <w:vAlign w:val="bottom"/>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2006</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105 831</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421</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2 303</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4 791</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17 680</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40 633</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30 731</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8 204</w:t>
            </w:r>
          </w:p>
        </w:tc>
        <w:tc>
          <w:tcPr>
            <w:tcW w:w="872" w:type="dxa"/>
            <w:tcBorders>
              <w:top w:val="nil"/>
              <w:left w:val="nil"/>
              <w:bottom w:val="nil"/>
              <w:right w:val="single" w:sz="4" w:space="0" w:color="auto"/>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1 068</w:t>
            </w:r>
          </w:p>
        </w:tc>
        <w:tc>
          <w:tcPr>
            <w:tcW w:w="916" w:type="dxa"/>
            <w:tcBorders>
              <w:top w:val="nil"/>
              <w:left w:val="nil"/>
              <w:bottom w:val="nil"/>
              <w:right w:val="nil"/>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w:t>
            </w:r>
          </w:p>
        </w:tc>
      </w:tr>
      <w:tr w:rsidR="009F5537" w:rsidRPr="000B0A56" w:rsidTr="00305387">
        <w:trPr>
          <w:trHeight w:val="240"/>
        </w:trPr>
        <w:tc>
          <w:tcPr>
            <w:tcW w:w="873" w:type="dxa"/>
            <w:tcBorders>
              <w:top w:val="nil"/>
              <w:left w:val="nil"/>
              <w:bottom w:val="nil"/>
              <w:right w:val="single" w:sz="4" w:space="0" w:color="auto"/>
            </w:tcBorders>
            <w:shd w:val="clear" w:color="FFFFFF" w:fill="FFFFFF"/>
            <w:noWrap/>
            <w:vAlign w:val="bottom"/>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2007</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114 632</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430</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2 637</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5 440</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19 281</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44 362</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32 800</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8 592</w:t>
            </w:r>
          </w:p>
        </w:tc>
        <w:tc>
          <w:tcPr>
            <w:tcW w:w="872" w:type="dxa"/>
            <w:tcBorders>
              <w:top w:val="nil"/>
              <w:left w:val="nil"/>
              <w:bottom w:val="nil"/>
              <w:right w:val="single" w:sz="4" w:space="0" w:color="auto"/>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1 090</w:t>
            </w:r>
          </w:p>
        </w:tc>
        <w:tc>
          <w:tcPr>
            <w:tcW w:w="916" w:type="dxa"/>
            <w:tcBorders>
              <w:top w:val="nil"/>
              <w:left w:val="nil"/>
              <w:bottom w:val="nil"/>
              <w:right w:val="nil"/>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w:t>
            </w:r>
          </w:p>
        </w:tc>
      </w:tr>
      <w:tr w:rsidR="009F5537" w:rsidRPr="000B0A56" w:rsidTr="00305387">
        <w:trPr>
          <w:trHeight w:val="240"/>
        </w:trPr>
        <w:tc>
          <w:tcPr>
            <w:tcW w:w="873" w:type="dxa"/>
            <w:tcBorders>
              <w:top w:val="nil"/>
              <w:left w:val="nil"/>
              <w:bottom w:val="nil"/>
              <w:right w:val="single" w:sz="4" w:space="0" w:color="auto"/>
            </w:tcBorders>
            <w:shd w:val="clear" w:color="FFFFFF" w:fill="FFFFFF"/>
            <w:noWrap/>
            <w:vAlign w:val="bottom"/>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2008</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119 570</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472</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2 647</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5 524</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20 123</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46 255</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34 407</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9 022</w:t>
            </w:r>
          </w:p>
        </w:tc>
        <w:tc>
          <w:tcPr>
            <w:tcW w:w="872" w:type="dxa"/>
            <w:tcBorders>
              <w:top w:val="nil"/>
              <w:left w:val="nil"/>
              <w:bottom w:val="nil"/>
              <w:right w:val="single" w:sz="4" w:space="0" w:color="auto"/>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1 086</w:t>
            </w:r>
          </w:p>
        </w:tc>
        <w:tc>
          <w:tcPr>
            <w:tcW w:w="916" w:type="dxa"/>
            <w:tcBorders>
              <w:top w:val="nil"/>
              <w:left w:val="nil"/>
              <w:bottom w:val="nil"/>
              <w:right w:val="nil"/>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34</w:t>
            </w:r>
          </w:p>
        </w:tc>
      </w:tr>
      <w:tr w:rsidR="009F5537" w:rsidRPr="000B0A56" w:rsidTr="00305387">
        <w:trPr>
          <w:trHeight w:val="240"/>
        </w:trPr>
        <w:tc>
          <w:tcPr>
            <w:tcW w:w="873" w:type="dxa"/>
            <w:tcBorders>
              <w:top w:val="nil"/>
              <w:left w:val="nil"/>
              <w:bottom w:val="nil"/>
              <w:right w:val="single" w:sz="4" w:space="0" w:color="auto"/>
            </w:tcBorders>
            <w:shd w:val="clear" w:color="FFFFFF" w:fill="FFFFFF"/>
            <w:noWrap/>
            <w:vAlign w:val="bottom"/>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2009</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118 348</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483</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2 794</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5 746</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20 417</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45 592</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33 732</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8 565</w:t>
            </w:r>
          </w:p>
        </w:tc>
        <w:tc>
          <w:tcPr>
            <w:tcW w:w="872" w:type="dxa"/>
            <w:tcBorders>
              <w:top w:val="nil"/>
              <w:left w:val="nil"/>
              <w:bottom w:val="nil"/>
              <w:right w:val="single" w:sz="4" w:space="0" w:color="auto"/>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1 019</w:t>
            </w:r>
          </w:p>
        </w:tc>
        <w:tc>
          <w:tcPr>
            <w:tcW w:w="916" w:type="dxa"/>
            <w:tcBorders>
              <w:top w:val="nil"/>
              <w:left w:val="nil"/>
              <w:bottom w:val="nil"/>
              <w:right w:val="nil"/>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w:t>
            </w:r>
          </w:p>
        </w:tc>
      </w:tr>
      <w:tr w:rsidR="009F5537" w:rsidRPr="000B0A56" w:rsidTr="00305387">
        <w:trPr>
          <w:trHeight w:val="240"/>
        </w:trPr>
        <w:tc>
          <w:tcPr>
            <w:tcW w:w="873" w:type="dxa"/>
            <w:tcBorders>
              <w:top w:val="nil"/>
              <w:left w:val="nil"/>
              <w:bottom w:val="nil"/>
              <w:right w:val="single" w:sz="4" w:space="0" w:color="auto"/>
            </w:tcBorders>
            <w:shd w:val="clear" w:color="FFFFFF" w:fill="FFFFFF"/>
            <w:noWrap/>
            <w:vAlign w:val="bottom"/>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2010</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117 153</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446</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2 812</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5 718</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20 652</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45 039</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32 586</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8 216</w:t>
            </w:r>
          </w:p>
        </w:tc>
        <w:tc>
          <w:tcPr>
            <w:tcW w:w="872" w:type="dxa"/>
            <w:tcBorders>
              <w:top w:val="nil"/>
              <w:left w:val="nil"/>
              <w:bottom w:val="nil"/>
              <w:right w:val="single" w:sz="4" w:space="0" w:color="auto"/>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1 012</w:t>
            </w:r>
          </w:p>
        </w:tc>
        <w:tc>
          <w:tcPr>
            <w:tcW w:w="916" w:type="dxa"/>
            <w:tcBorders>
              <w:top w:val="nil"/>
              <w:left w:val="nil"/>
              <w:bottom w:val="nil"/>
              <w:right w:val="nil"/>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672</w:t>
            </w:r>
          </w:p>
        </w:tc>
      </w:tr>
      <w:tr w:rsidR="009F5537" w:rsidRPr="000B0A56" w:rsidTr="00305387">
        <w:trPr>
          <w:trHeight w:val="240"/>
        </w:trPr>
        <w:tc>
          <w:tcPr>
            <w:tcW w:w="873" w:type="dxa"/>
            <w:tcBorders>
              <w:top w:val="nil"/>
              <w:left w:val="nil"/>
              <w:bottom w:val="nil"/>
              <w:right w:val="single" w:sz="4" w:space="0" w:color="auto"/>
            </w:tcBorders>
            <w:shd w:val="clear" w:color="FFFFFF" w:fill="FFFFFF"/>
            <w:noWrap/>
            <w:vAlign w:val="bottom"/>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2011</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108 673</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450</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2 486</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5 324</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19 256</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41 917</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30 482</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7 533</w:t>
            </w:r>
          </w:p>
        </w:tc>
        <w:tc>
          <w:tcPr>
            <w:tcW w:w="872" w:type="dxa"/>
            <w:tcBorders>
              <w:top w:val="nil"/>
              <w:left w:val="nil"/>
              <w:bottom w:val="nil"/>
              <w:right w:val="single" w:sz="4" w:space="0" w:color="auto"/>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848</w:t>
            </w:r>
          </w:p>
        </w:tc>
        <w:tc>
          <w:tcPr>
            <w:tcW w:w="916" w:type="dxa"/>
            <w:tcBorders>
              <w:top w:val="nil"/>
              <w:left w:val="nil"/>
              <w:bottom w:val="nil"/>
              <w:right w:val="nil"/>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377</w:t>
            </w:r>
          </w:p>
        </w:tc>
      </w:tr>
      <w:tr w:rsidR="009F5537" w:rsidRPr="000B0A56" w:rsidTr="00305387">
        <w:trPr>
          <w:trHeight w:val="240"/>
        </w:trPr>
        <w:tc>
          <w:tcPr>
            <w:tcW w:w="873" w:type="dxa"/>
            <w:tcBorders>
              <w:top w:val="nil"/>
              <w:left w:val="nil"/>
              <w:bottom w:val="nil"/>
              <w:right w:val="single" w:sz="4" w:space="0" w:color="auto"/>
            </w:tcBorders>
            <w:shd w:val="clear" w:color="FFFFFF" w:fill="FFFFFF"/>
            <w:noWrap/>
            <w:vAlign w:val="bottom"/>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2012</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108 576</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463</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2 626</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5 575</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19 551</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41 899</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29 667</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7 370</w:t>
            </w:r>
          </w:p>
        </w:tc>
        <w:tc>
          <w:tcPr>
            <w:tcW w:w="872" w:type="dxa"/>
            <w:tcBorders>
              <w:top w:val="nil"/>
              <w:left w:val="nil"/>
              <w:bottom w:val="nil"/>
              <w:right w:val="single" w:sz="4" w:space="0" w:color="auto"/>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871</w:t>
            </w:r>
          </w:p>
        </w:tc>
        <w:tc>
          <w:tcPr>
            <w:tcW w:w="916" w:type="dxa"/>
            <w:tcBorders>
              <w:top w:val="nil"/>
              <w:left w:val="nil"/>
              <w:bottom w:val="nil"/>
              <w:right w:val="nil"/>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554</w:t>
            </w:r>
          </w:p>
        </w:tc>
      </w:tr>
      <w:tr w:rsidR="009F5537" w:rsidRPr="000B0A56" w:rsidTr="00305387">
        <w:trPr>
          <w:trHeight w:val="240"/>
        </w:trPr>
        <w:tc>
          <w:tcPr>
            <w:tcW w:w="873" w:type="dxa"/>
            <w:tcBorders>
              <w:top w:val="nil"/>
              <w:left w:val="nil"/>
              <w:bottom w:val="nil"/>
              <w:right w:val="single" w:sz="4" w:space="0" w:color="auto"/>
            </w:tcBorders>
            <w:shd w:val="clear" w:color="FFFFFF" w:fill="FFFFFF"/>
            <w:noWrap/>
            <w:vAlign w:val="bottom"/>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2013</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106 751</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440</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2 606</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5 515</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19 310</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41 174</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28 835</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7 073</w:t>
            </w:r>
          </w:p>
        </w:tc>
        <w:tc>
          <w:tcPr>
            <w:tcW w:w="872" w:type="dxa"/>
            <w:tcBorders>
              <w:top w:val="nil"/>
              <w:left w:val="nil"/>
              <w:bottom w:val="nil"/>
              <w:right w:val="single" w:sz="4" w:space="0" w:color="auto"/>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816</w:t>
            </w:r>
          </w:p>
        </w:tc>
        <w:tc>
          <w:tcPr>
            <w:tcW w:w="916" w:type="dxa"/>
            <w:tcBorders>
              <w:top w:val="nil"/>
              <w:left w:val="nil"/>
              <w:bottom w:val="nil"/>
              <w:right w:val="nil"/>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982</w:t>
            </w:r>
          </w:p>
        </w:tc>
      </w:tr>
      <w:tr w:rsidR="009F5537" w:rsidRPr="000B0A56" w:rsidTr="00305387">
        <w:trPr>
          <w:trHeight w:val="240"/>
        </w:trPr>
        <w:tc>
          <w:tcPr>
            <w:tcW w:w="873" w:type="dxa"/>
            <w:tcBorders>
              <w:top w:val="nil"/>
              <w:left w:val="nil"/>
              <w:bottom w:val="nil"/>
              <w:right w:val="single" w:sz="4" w:space="0" w:color="auto"/>
            </w:tcBorders>
            <w:shd w:val="clear" w:color="FFFFFF" w:fill="FFFFFF"/>
            <w:noWrap/>
            <w:vAlign w:val="bottom"/>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2014</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109 860</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418</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2 608</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5 417</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19 457</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42 361</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29 891</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7 302</w:t>
            </w:r>
          </w:p>
        </w:tc>
        <w:tc>
          <w:tcPr>
            <w:tcW w:w="872" w:type="dxa"/>
            <w:tcBorders>
              <w:top w:val="nil"/>
              <w:left w:val="nil"/>
              <w:bottom w:val="nil"/>
              <w:right w:val="single" w:sz="4" w:space="0" w:color="auto"/>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858</w:t>
            </w:r>
          </w:p>
        </w:tc>
        <w:tc>
          <w:tcPr>
            <w:tcW w:w="916" w:type="dxa"/>
            <w:tcBorders>
              <w:top w:val="nil"/>
              <w:left w:val="nil"/>
              <w:bottom w:val="nil"/>
              <w:right w:val="nil"/>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1 548</w:t>
            </w:r>
          </w:p>
        </w:tc>
      </w:tr>
      <w:tr w:rsidR="009F5537" w:rsidRPr="000B0A56" w:rsidTr="00305387">
        <w:trPr>
          <w:trHeight w:val="240"/>
        </w:trPr>
        <w:tc>
          <w:tcPr>
            <w:tcW w:w="873" w:type="dxa"/>
            <w:tcBorders>
              <w:top w:val="nil"/>
              <w:left w:val="nil"/>
              <w:bottom w:val="nil"/>
              <w:right w:val="single" w:sz="4" w:space="0" w:color="auto"/>
            </w:tcBorders>
            <w:shd w:val="clear" w:color="FFFFFF" w:fill="FFFFFF"/>
            <w:noWrap/>
            <w:vAlign w:val="bottom"/>
            <w:hideMark/>
          </w:tcPr>
          <w:p w:rsidR="009F5537" w:rsidRPr="000B0A56" w:rsidRDefault="009F5537" w:rsidP="00305387">
            <w:pPr>
              <w:spacing w:after="0" w:line="240" w:lineRule="auto"/>
              <w:jc w:val="center"/>
              <w:rPr>
                <w:rFonts w:cs="Arial"/>
                <w:sz w:val="16"/>
                <w:szCs w:val="16"/>
              </w:rPr>
            </w:pPr>
            <w:r w:rsidRPr="000B0A56">
              <w:rPr>
                <w:rFonts w:cs="Arial"/>
                <w:sz w:val="16"/>
                <w:szCs w:val="16"/>
              </w:rPr>
              <w:t>2015</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110 764</w:t>
            </w:r>
          </w:p>
        </w:tc>
        <w:tc>
          <w:tcPr>
            <w:tcW w:w="873"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453</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2 631</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5 382</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19 533</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42 755</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30 000</w:t>
            </w:r>
          </w:p>
        </w:tc>
        <w:tc>
          <w:tcPr>
            <w:tcW w:w="872" w:type="dxa"/>
            <w:tcBorders>
              <w:top w:val="nil"/>
              <w:left w:val="nil"/>
              <w:bottom w:val="nil"/>
              <w:right w:val="single" w:sz="4" w:space="0" w:color="auto"/>
            </w:tcBorders>
            <w:shd w:val="clear" w:color="FFFFFF" w:fill="FFFFFF"/>
            <w:noWrap/>
            <w:vAlign w:val="center"/>
            <w:hideMark/>
          </w:tcPr>
          <w:p w:rsidR="009F5537" w:rsidRPr="000B0A56" w:rsidRDefault="009F5537" w:rsidP="00305387">
            <w:pPr>
              <w:spacing w:after="0" w:line="240" w:lineRule="auto"/>
              <w:jc w:val="center"/>
              <w:rPr>
                <w:rFonts w:cs="Arial"/>
                <w:sz w:val="16"/>
                <w:szCs w:val="16"/>
              </w:rPr>
            </w:pPr>
            <w:r w:rsidRPr="000B0A56">
              <w:rPr>
                <w:rFonts w:cs="Arial"/>
                <w:sz w:val="16"/>
                <w:szCs w:val="16"/>
              </w:rPr>
              <w:t>7 523</w:t>
            </w:r>
          </w:p>
        </w:tc>
        <w:tc>
          <w:tcPr>
            <w:tcW w:w="872" w:type="dxa"/>
            <w:tcBorders>
              <w:top w:val="nil"/>
              <w:left w:val="nil"/>
              <w:bottom w:val="nil"/>
              <w:right w:val="single" w:sz="4" w:space="0" w:color="auto"/>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864</w:t>
            </w:r>
          </w:p>
        </w:tc>
        <w:tc>
          <w:tcPr>
            <w:tcW w:w="916" w:type="dxa"/>
            <w:tcBorders>
              <w:top w:val="nil"/>
              <w:left w:val="nil"/>
              <w:bottom w:val="nil"/>
              <w:right w:val="nil"/>
            </w:tcBorders>
            <w:shd w:val="clear" w:color="FFFFFF" w:fill="FFFFFF"/>
            <w:noWrap/>
            <w:tcMar>
              <w:right w:w="284" w:type="dxa"/>
            </w:tcMar>
            <w:vAlign w:val="center"/>
            <w:hideMark/>
          </w:tcPr>
          <w:p w:rsidR="009F5537" w:rsidRPr="000B0A56" w:rsidRDefault="009F5537" w:rsidP="00305387">
            <w:pPr>
              <w:spacing w:after="0" w:line="240" w:lineRule="auto"/>
              <w:jc w:val="right"/>
              <w:rPr>
                <w:rFonts w:cs="Arial"/>
                <w:sz w:val="16"/>
                <w:szCs w:val="16"/>
              </w:rPr>
            </w:pPr>
            <w:r w:rsidRPr="000B0A56">
              <w:rPr>
                <w:rFonts w:cs="Arial"/>
                <w:sz w:val="16"/>
                <w:szCs w:val="16"/>
              </w:rPr>
              <w:t>1 623</w:t>
            </w:r>
          </w:p>
        </w:tc>
      </w:tr>
    </w:tbl>
    <w:p w:rsidR="009F5537" w:rsidRDefault="009F5537" w:rsidP="009F5537">
      <w:pPr>
        <w:tabs>
          <w:tab w:val="left" w:pos="3990"/>
        </w:tabs>
        <w:spacing w:after="0"/>
        <w:rPr>
          <w:rFonts w:cs="Arial"/>
          <w:szCs w:val="20"/>
        </w:rPr>
      </w:pPr>
    </w:p>
    <w:p w:rsidR="009F5537" w:rsidRPr="00367AA7" w:rsidRDefault="009F5537" w:rsidP="009F5537">
      <w:pPr>
        <w:spacing w:after="60"/>
        <w:rPr>
          <w:rFonts w:cs="Arial"/>
          <w:b/>
          <w:bCs/>
          <w:color w:val="000000"/>
          <w:szCs w:val="20"/>
        </w:rPr>
      </w:pPr>
      <w:r w:rsidRPr="00367AA7">
        <w:rPr>
          <w:rFonts w:cs="Arial"/>
          <w:b/>
          <w:bCs/>
          <w:color w:val="000000"/>
          <w:szCs w:val="20"/>
        </w:rPr>
        <w:t>Graf 8 Živě narození podle porodní hmotnosti v letech 2005–2015 (v %)</w:t>
      </w:r>
    </w:p>
    <w:p w:rsidR="009F5537" w:rsidRDefault="009F5537" w:rsidP="009F5537">
      <w:pPr>
        <w:spacing w:after="0" w:line="240" w:lineRule="auto"/>
        <w:rPr>
          <w:rFonts w:cs="Arial"/>
          <w:b/>
          <w:szCs w:val="20"/>
        </w:rPr>
      </w:pPr>
      <w:r>
        <w:rPr>
          <w:noProof/>
        </w:rPr>
        <w:pict>
          <v:shape id="_x0000_s1032" type="#_x0000_t75" style="position:absolute;margin-left:.3pt;margin-top:.3pt;width:425.25pt;height:227.25pt;z-index:6;mso-position-horizontal:absolute;mso-position-horizontal-relative:text;mso-position-vertical:absolute;mso-position-vertical-relative:text">
            <v:imagedata r:id="rId16" o:title=""/>
          </v:shape>
        </w:pict>
      </w: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0" w:line="240" w:lineRule="auto"/>
        <w:rPr>
          <w:rFonts w:cs="Arial"/>
          <w:b/>
          <w:szCs w:val="20"/>
        </w:rPr>
      </w:pPr>
    </w:p>
    <w:p w:rsidR="009F5537" w:rsidRDefault="009F5537" w:rsidP="009F5537">
      <w:pPr>
        <w:spacing w:after="60"/>
        <w:rPr>
          <w:rFonts w:cs="Arial"/>
          <w:b/>
          <w:szCs w:val="20"/>
        </w:rPr>
      </w:pPr>
      <w:r>
        <w:rPr>
          <w:noProof/>
        </w:rPr>
        <w:pict>
          <v:shape id="_x0000_s1029" type="#_x0000_t75" style="position:absolute;margin-left:.3pt;margin-top:14.35pt;width:419.25pt;height:227.25pt;z-index:3;mso-position-horizontal-relative:text;mso-position-vertical-relative:text">
            <v:imagedata r:id="rId17" o:title=""/>
          </v:shape>
        </w:pict>
      </w:r>
      <w:r>
        <w:rPr>
          <w:rFonts w:cs="Arial"/>
          <w:b/>
          <w:szCs w:val="20"/>
        </w:rPr>
        <w:t xml:space="preserve">Graf 9 </w:t>
      </w:r>
      <w:r w:rsidRPr="003F4079">
        <w:rPr>
          <w:rFonts w:cs="Arial"/>
          <w:b/>
          <w:szCs w:val="20"/>
        </w:rPr>
        <w:t>Průměrná porodní hmotnost živě narozených dětí v letech 2005–2015</w:t>
      </w: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Pr>
        <w:spacing w:after="60"/>
        <w:rPr>
          <w:rFonts w:cs="Arial"/>
          <w:b/>
          <w:szCs w:val="20"/>
        </w:rPr>
      </w:pPr>
    </w:p>
    <w:p w:rsidR="009F5537" w:rsidRDefault="009F5537" w:rsidP="009F5537"/>
    <w:p w:rsidR="009F5537" w:rsidRDefault="009F5537" w:rsidP="009F5537"/>
    <w:p w:rsidR="009F5537" w:rsidRDefault="009F5537" w:rsidP="009F5537"/>
    <w:p w:rsidR="009F5537" w:rsidRPr="008C426F" w:rsidRDefault="009F5537" w:rsidP="009F5537">
      <w:pPr>
        <w:rPr>
          <w:rFonts w:cs="Arial"/>
          <w:szCs w:val="20"/>
        </w:rPr>
      </w:pPr>
      <w:r>
        <w:rPr>
          <w:rFonts w:cs="Arial"/>
          <w:szCs w:val="20"/>
        </w:rPr>
        <w:lastRenderedPageBreak/>
        <w:t>Průměrná porodní hmotnost chlapců byla v letech 2005 až 2015 o zhruba 4 % (resp. 130–140 gramů) vyšší než u dívek. Vývoj průměrné hmotnosti byl u obou pohlaví obdobný. Mezi roky 2005 až 2013 bylo možné pozorovat spíše pokles (výjimku tvořily roky 2008 u obou pohlaví a 2011 v případě dívek, kdy došlo k mírnému nárůstu) průměrné porodní hmotnosti – u chlapců to bylo z 3 371 na 3 328 gramů a u dívek z 3 241 na 3 193. V posledních dvou letech se hodnoty u obou pohlaví mírně zvýšily a to na 3 337 gramů u chlapců a 3 203 gramů v případě dívek. Obecný pokles porodní hmotnosti souvisí zejména s rostoucím průměrným věkem ženy při porodu a vyšším zastoupením vícečetných porodů.</w:t>
      </w:r>
      <w:bookmarkStart w:id="8" w:name="_GoBack"/>
      <w:bookmarkEnd w:id="8"/>
    </w:p>
    <w:p w:rsidR="00DD569C" w:rsidRDefault="00DD569C" w:rsidP="00DD569C">
      <w:pPr>
        <w:rPr>
          <w:rStyle w:val="Nadpis1Char"/>
        </w:rPr>
      </w:pPr>
    </w:p>
    <w:p w:rsidR="00DD569C" w:rsidRDefault="00DD569C" w:rsidP="00DD569C">
      <w:pPr>
        <w:rPr>
          <w:rStyle w:val="Nadpis1Char"/>
        </w:rPr>
      </w:pPr>
    </w:p>
    <w:p w:rsidR="00DD569C" w:rsidRDefault="00DD569C" w:rsidP="00DD569C">
      <w:pPr>
        <w:rPr>
          <w:rStyle w:val="Nadpis1Char"/>
        </w:rPr>
      </w:pPr>
    </w:p>
    <w:p w:rsidR="00DD569C" w:rsidRDefault="00DD569C" w:rsidP="00DD569C">
      <w:pPr>
        <w:rPr>
          <w:rStyle w:val="Nadpis1Char"/>
        </w:rPr>
      </w:pPr>
    </w:p>
    <w:p w:rsidR="00DD569C" w:rsidRDefault="00DD569C" w:rsidP="00DD569C">
      <w:pPr>
        <w:rPr>
          <w:rStyle w:val="Nadpis1Char"/>
        </w:rPr>
      </w:pPr>
    </w:p>
    <w:p w:rsidR="00DD569C" w:rsidRDefault="00DD569C" w:rsidP="00DD569C">
      <w:pPr>
        <w:rPr>
          <w:rStyle w:val="Nadpis1Char"/>
        </w:rPr>
      </w:pPr>
    </w:p>
    <w:p w:rsidR="00F07CB9" w:rsidRDefault="00F07CB9" w:rsidP="00C5379F"/>
    <w:sectPr w:rsidR="00F07CB9" w:rsidSect="009F5537">
      <w:headerReference w:type="even" r:id="rId18"/>
      <w:headerReference w:type="default" r:id="rId19"/>
      <w:footerReference w:type="even" r:id="rId20"/>
      <w:footerReference w:type="default" r:id="rId21"/>
      <w:pgSz w:w="11906" w:h="16838" w:code="9"/>
      <w:pgMar w:top="1134" w:right="1134" w:bottom="1418" w:left="1134" w:header="680" w:footer="68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9AB" w:rsidRDefault="00D239AB" w:rsidP="00E71A58">
      <w:r>
        <w:separator/>
      </w:r>
    </w:p>
  </w:endnote>
  <w:endnote w:type="continuationSeparator" w:id="0">
    <w:p w:rsidR="00D239AB" w:rsidRDefault="00D239A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B7" w:rsidRPr="00932443" w:rsidRDefault="00D239AB" w:rsidP="00A418BC">
    <w:pPr>
      <w:pStyle w:val="Zpat"/>
      <w:rPr>
        <w:szCs w:val="16"/>
      </w:rPr>
    </w:pPr>
    <w:r>
      <w:rPr>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314.1pt;margin-top:-5.1pt;width:33.75pt;height:15.85pt;z-index:2;mso-position-horizontal:right">
          <v:imagedata r:id="rId1" o:title="CSU RGB CZ logo-01"/>
        </v:shape>
      </w:pict>
    </w:r>
    <w:r w:rsidR="009047B7" w:rsidRPr="00932443">
      <w:rPr>
        <w:szCs w:val="16"/>
      </w:rPr>
      <w:fldChar w:fldCharType="begin"/>
    </w:r>
    <w:r w:rsidR="009047B7" w:rsidRPr="00932443">
      <w:rPr>
        <w:szCs w:val="16"/>
      </w:rPr>
      <w:instrText>PAGE   \* MERGEFORMAT</w:instrText>
    </w:r>
    <w:r w:rsidR="009047B7" w:rsidRPr="00932443">
      <w:rPr>
        <w:szCs w:val="16"/>
      </w:rPr>
      <w:fldChar w:fldCharType="separate"/>
    </w:r>
    <w:r w:rsidR="009F5537">
      <w:rPr>
        <w:szCs w:val="16"/>
      </w:rPr>
      <w:t>16</w:t>
    </w:r>
    <w:r w:rsidR="009047B7" w:rsidRPr="00932443">
      <w:rPr>
        <w:szCs w:val="16"/>
      </w:rPr>
      <w:fldChar w:fldCharType="end"/>
    </w:r>
    <w:r w:rsidR="009047B7" w:rsidRPr="00932443">
      <w:rPr>
        <w:szCs w:val="16"/>
      </w:rPr>
      <w:tab/>
    </w:r>
    <w:r w:rsidR="009047B7">
      <w:rPr>
        <w:szCs w:val="16"/>
      </w:rPr>
      <w:t>2011 - 2015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B7" w:rsidRPr="00932443" w:rsidRDefault="00D239AB" w:rsidP="00A418BC">
    <w:pPr>
      <w:pStyle w:val="Zpat"/>
      <w:rPr>
        <w:szCs w:val="16"/>
      </w:rPr>
    </w:pPr>
    <w:r>
      <w:rPr>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9.65pt;width:40.2pt;height:21.45pt;z-index:1;mso-position-horizontal:left">
          <v:imagedata r:id="rId1" o:title="CSU RGB CZ logo-02"/>
        </v:shape>
      </w:pict>
    </w:r>
    <w:r w:rsidR="009047B7" w:rsidRPr="00932443">
      <w:rPr>
        <w:szCs w:val="16"/>
      </w:rPr>
      <w:tab/>
    </w:r>
    <w:r w:rsidR="009047B7">
      <w:rPr>
        <w:rStyle w:val="ZpatChar"/>
        <w:szCs w:val="16"/>
      </w:rPr>
      <w:t>2011 – 2015</w:t>
    </w:r>
    <w:r w:rsidR="009047B7" w:rsidRPr="00932443">
      <w:rPr>
        <w:szCs w:val="16"/>
      </w:rPr>
      <w:tab/>
    </w:r>
    <w:r w:rsidR="009047B7" w:rsidRPr="00932443">
      <w:rPr>
        <w:rStyle w:val="ZpatChar"/>
        <w:szCs w:val="16"/>
      </w:rPr>
      <w:fldChar w:fldCharType="begin"/>
    </w:r>
    <w:r w:rsidR="009047B7" w:rsidRPr="00932443">
      <w:rPr>
        <w:rStyle w:val="ZpatChar"/>
        <w:szCs w:val="16"/>
      </w:rPr>
      <w:instrText>PAGE   \* MERGEFORMAT</w:instrText>
    </w:r>
    <w:r w:rsidR="009047B7" w:rsidRPr="00932443">
      <w:rPr>
        <w:rStyle w:val="ZpatChar"/>
        <w:szCs w:val="16"/>
      </w:rPr>
      <w:fldChar w:fldCharType="separate"/>
    </w:r>
    <w:r w:rsidR="009F5537">
      <w:rPr>
        <w:rStyle w:val="ZpatChar"/>
        <w:szCs w:val="16"/>
      </w:rPr>
      <w:t>15</w:t>
    </w:r>
    <w:r w:rsidR="009047B7" w:rsidRPr="00932443">
      <w:rPr>
        <w:rStyle w:val="ZpatCha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9AB" w:rsidRDefault="00D239AB" w:rsidP="00E71A58">
      <w:r>
        <w:separator/>
      </w:r>
    </w:p>
  </w:footnote>
  <w:footnote w:type="continuationSeparator" w:id="0">
    <w:p w:rsidR="00D239AB" w:rsidRDefault="00D239AB" w:rsidP="00E71A58">
      <w:r>
        <w:continuationSeparator/>
      </w:r>
    </w:p>
  </w:footnote>
  <w:footnote w:id="1">
    <w:p w:rsidR="009F5537" w:rsidRDefault="009F5537" w:rsidP="009F5537">
      <w:pPr>
        <w:pStyle w:val="Textpoznpodarou"/>
        <w:jc w:val="left"/>
      </w:pPr>
      <w:r>
        <w:rPr>
          <w:rStyle w:val="Znakapoznpodarou"/>
        </w:rPr>
        <w:footnoteRef/>
      </w:r>
      <w:r>
        <w:t xml:space="preserve"> Od 1. 4. 2012 nabyla účinnosti novela zákona o veřejném zdravotním pojištění (č. 48/1997 Sb.), podle níž stát hradí čtyři cykly umělého oplodnění za předpokladu, že v prvních dvou cyklech došlo k přenosu jednoho embrya. V ostatních případech jsou hrazeny pouze tři cykly.  </w:t>
      </w:r>
    </w:p>
  </w:footnote>
  <w:footnote w:id="2">
    <w:p w:rsidR="009F5537" w:rsidRDefault="009F5537" w:rsidP="009F5537">
      <w:pPr>
        <w:pStyle w:val="Textpoznpodarou"/>
      </w:pPr>
      <w:r>
        <w:rPr>
          <w:rStyle w:val="Znakapoznpodarou"/>
        </w:rPr>
        <w:footnoteRef/>
      </w:r>
      <w:r>
        <w:t xml:space="preserve"> Viz </w:t>
      </w:r>
      <w:hyperlink r:id="rId1" w:history="1">
        <w:r w:rsidRPr="00C05A90">
          <w:rPr>
            <w:rStyle w:val="Hypertextovodkaz"/>
          </w:rPr>
          <w:t>https://www.czso.cz/csu/czso/101r-k-vek-a-vzdelani-populace--xrc84xlknq</w:t>
        </w:r>
      </w:hyperlink>
    </w:p>
  </w:footnote>
  <w:footnote w:id="3">
    <w:p w:rsidR="009F5537" w:rsidRDefault="009F5537" w:rsidP="009F5537">
      <w:pPr>
        <w:pStyle w:val="Textpoznpodarou"/>
      </w:pPr>
      <w:r>
        <w:rPr>
          <w:rStyle w:val="Znakapoznpodarou"/>
        </w:rPr>
        <w:footnoteRef/>
      </w:r>
      <w:r>
        <w:t xml:space="preserve"> </w:t>
      </w:r>
      <w:r>
        <w:rPr>
          <w:rFonts w:cs="Arial"/>
        </w:rPr>
        <w:t>Je také pravděpodobné, že ne všechny zpravodajské jednotky zareagovaly včas na změnu sledované vzdělanostní stupnice a pod kódem pro vyšší odborné vzdělání dále uváděly vzdělání vysokoškolské.</w:t>
      </w:r>
    </w:p>
  </w:footnote>
  <w:footnote w:id="4">
    <w:p w:rsidR="009F5537" w:rsidRDefault="009F5537" w:rsidP="009F5537">
      <w:pPr>
        <w:pStyle w:val="Textpoznpodarou"/>
        <w:jc w:val="left"/>
      </w:pPr>
      <w:r>
        <w:rPr>
          <w:rStyle w:val="Znakapoznpodarou"/>
        </w:rPr>
        <w:footnoteRef/>
      </w:r>
      <w:r>
        <w:t xml:space="preserve"> </w:t>
      </w:r>
      <w:r w:rsidRPr="00E353A8">
        <w:rPr>
          <w:iCs/>
          <w:szCs w:val="18"/>
        </w:rPr>
        <w:t>Státní občanství dítěte se na statistickém hlášení přímo nesleduje, je odvozováno od občanství rodičů. Cizí státní občanství ČSÚ udává pouze u dětí, u kterých ani jeden z rodičů neměl v době narození dítěte státní občanství ČR.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B7" w:rsidRPr="002037C9" w:rsidRDefault="009047B7" w:rsidP="002037C9">
    <w:pPr>
      <w:pStyle w:val="Zhlav"/>
    </w:pPr>
    <w:r>
      <w:t>Porodnost a plodnost 2011 - 2015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B7" w:rsidRPr="006F5416" w:rsidRDefault="009047B7" w:rsidP="00937AE2">
    <w:pPr>
      <w:pStyle w:val="Zhlav"/>
    </w:pPr>
    <w:r>
      <w:t>Porodnost a plodnost 2011 - 2015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Moves/>
  <w:defaultTabStop w:val="708"/>
  <w:hyphenationZone w:val="425"/>
  <w:evenAndOddHeaders/>
  <w:drawingGridHorizontalSpacing w:val="110"/>
  <w:displayHorizontalDrawingGridEvery w:val="2"/>
  <w:characterSpacingControl w:val="doNotCompress"/>
  <w:hdrShapeDefaults>
    <o:shapedefaults v:ext="edit" spidmax="2060">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4BB"/>
    <w:rsid w:val="0000209D"/>
    <w:rsid w:val="00004D5A"/>
    <w:rsid w:val="000056D5"/>
    <w:rsid w:val="0000683B"/>
    <w:rsid w:val="0000767A"/>
    <w:rsid w:val="00010702"/>
    <w:rsid w:val="000234D6"/>
    <w:rsid w:val="00023D29"/>
    <w:rsid w:val="00026389"/>
    <w:rsid w:val="00031AE0"/>
    <w:rsid w:val="000322EF"/>
    <w:rsid w:val="000336AC"/>
    <w:rsid w:val="00033FCD"/>
    <w:rsid w:val="00041CEC"/>
    <w:rsid w:val="0004694F"/>
    <w:rsid w:val="00046F8A"/>
    <w:rsid w:val="000522E4"/>
    <w:rsid w:val="000610E1"/>
    <w:rsid w:val="00062EC5"/>
    <w:rsid w:val="00062F22"/>
    <w:rsid w:val="000712B3"/>
    <w:rsid w:val="00074CFC"/>
    <w:rsid w:val="00081632"/>
    <w:rsid w:val="000818F1"/>
    <w:rsid w:val="0008263E"/>
    <w:rsid w:val="00082C19"/>
    <w:rsid w:val="00085395"/>
    <w:rsid w:val="00085CB7"/>
    <w:rsid w:val="00086D37"/>
    <w:rsid w:val="00087634"/>
    <w:rsid w:val="00087F2B"/>
    <w:rsid w:val="00091A5B"/>
    <w:rsid w:val="00091F06"/>
    <w:rsid w:val="000974D1"/>
    <w:rsid w:val="0009799E"/>
    <w:rsid w:val="000A1183"/>
    <w:rsid w:val="000A256D"/>
    <w:rsid w:val="000A3A2C"/>
    <w:rsid w:val="000B0A56"/>
    <w:rsid w:val="000B21AE"/>
    <w:rsid w:val="000B5CD7"/>
    <w:rsid w:val="000B74DD"/>
    <w:rsid w:val="000C070C"/>
    <w:rsid w:val="000C3408"/>
    <w:rsid w:val="000C6AFD"/>
    <w:rsid w:val="000D3D56"/>
    <w:rsid w:val="000D5637"/>
    <w:rsid w:val="000E6FBD"/>
    <w:rsid w:val="000E7369"/>
    <w:rsid w:val="000F1A66"/>
    <w:rsid w:val="000F2B69"/>
    <w:rsid w:val="000F6376"/>
    <w:rsid w:val="00100F5C"/>
    <w:rsid w:val="00103392"/>
    <w:rsid w:val="00104C4C"/>
    <w:rsid w:val="00116BC3"/>
    <w:rsid w:val="0011725D"/>
    <w:rsid w:val="0012192F"/>
    <w:rsid w:val="00122DB3"/>
    <w:rsid w:val="00125D69"/>
    <w:rsid w:val="001276C3"/>
    <w:rsid w:val="001405FA"/>
    <w:rsid w:val="001425C3"/>
    <w:rsid w:val="00144E68"/>
    <w:rsid w:val="00162255"/>
    <w:rsid w:val="0016256B"/>
    <w:rsid w:val="00163793"/>
    <w:rsid w:val="0017050E"/>
    <w:rsid w:val="001706D6"/>
    <w:rsid w:val="001714F2"/>
    <w:rsid w:val="001766BA"/>
    <w:rsid w:val="001776AE"/>
    <w:rsid w:val="00184B08"/>
    <w:rsid w:val="00185010"/>
    <w:rsid w:val="0018715D"/>
    <w:rsid w:val="00192326"/>
    <w:rsid w:val="00196B60"/>
    <w:rsid w:val="001A552F"/>
    <w:rsid w:val="001A6BC0"/>
    <w:rsid w:val="001B2CA9"/>
    <w:rsid w:val="001B3110"/>
    <w:rsid w:val="001B34BB"/>
    <w:rsid w:val="001B4729"/>
    <w:rsid w:val="001B6C09"/>
    <w:rsid w:val="001B71EB"/>
    <w:rsid w:val="001C05CD"/>
    <w:rsid w:val="001C1392"/>
    <w:rsid w:val="001D1710"/>
    <w:rsid w:val="001D68B2"/>
    <w:rsid w:val="001F0A2C"/>
    <w:rsid w:val="001F243F"/>
    <w:rsid w:val="001F4597"/>
    <w:rsid w:val="001F52E2"/>
    <w:rsid w:val="001F6C36"/>
    <w:rsid w:val="00202314"/>
    <w:rsid w:val="002037C9"/>
    <w:rsid w:val="00203CFD"/>
    <w:rsid w:val="002118B9"/>
    <w:rsid w:val="00217C5B"/>
    <w:rsid w:val="0022139E"/>
    <w:rsid w:val="00222CAC"/>
    <w:rsid w:val="00224669"/>
    <w:rsid w:val="002252E0"/>
    <w:rsid w:val="002255F6"/>
    <w:rsid w:val="00227850"/>
    <w:rsid w:val="00227A53"/>
    <w:rsid w:val="002308B2"/>
    <w:rsid w:val="00230C6E"/>
    <w:rsid w:val="00236443"/>
    <w:rsid w:val="00240858"/>
    <w:rsid w:val="002436BA"/>
    <w:rsid w:val="00244A15"/>
    <w:rsid w:val="0024611D"/>
    <w:rsid w:val="00247319"/>
    <w:rsid w:val="0024799E"/>
    <w:rsid w:val="00253C0F"/>
    <w:rsid w:val="00260690"/>
    <w:rsid w:val="00260EBC"/>
    <w:rsid w:val="002645B6"/>
    <w:rsid w:val="00271465"/>
    <w:rsid w:val="00280E72"/>
    <w:rsid w:val="002821A7"/>
    <w:rsid w:val="00283CC2"/>
    <w:rsid w:val="00285412"/>
    <w:rsid w:val="00293C4F"/>
    <w:rsid w:val="0029542D"/>
    <w:rsid w:val="002A00BE"/>
    <w:rsid w:val="002A16D4"/>
    <w:rsid w:val="002A230C"/>
    <w:rsid w:val="002A47A3"/>
    <w:rsid w:val="002C05BD"/>
    <w:rsid w:val="002C43BD"/>
    <w:rsid w:val="002D0E59"/>
    <w:rsid w:val="002E02A1"/>
    <w:rsid w:val="002E4E4C"/>
    <w:rsid w:val="00303337"/>
    <w:rsid w:val="00304771"/>
    <w:rsid w:val="003052D4"/>
    <w:rsid w:val="00306C5B"/>
    <w:rsid w:val="003209D6"/>
    <w:rsid w:val="00321737"/>
    <w:rsid w:val="00321924"/>
    <w:rsid w:val="0032656E"/>
    <w:rsid w:val="003308C5"/>
    <w:rsid w:val="00332190"/>
    <w:rsid w:val="003367CA"/>
    <w:rsid w:val="00344668"/>
    <w:rsid w:val="003454EF"/>
    <w:rsid w:val="003462D9"/>
    <w:rsid w:val="00347E74"/>
    <w:rsid w:val="00352CA8"/>
    <w:rsid w:val="00354569"/>
    <w:rsid w:val="00354958"/>
    <w:rsid w:val="00360C86"/>
    <w:rsid w:val="003657F3"/>
    <w:rsid w:val="00367AA7"/>
    <w:rsid w:val="00370322"/>
    <w:rsid w:val="00370C61"/>
    <w:rsid w:val="00370E9E"/>
    <w:rsid w:val="00372A04"/>
    <w:rsid w:val="00374CB1"/>
    <w:rsid w:val="003801BD"/>
    <w:rsid w:val="003818DC"/>
    <w:rsid w:val="00384327"/>
    <w:rsid w:val="00385D98"/>
    <w:rsid w:val="00387C33"/>
    <w:rsid w:val="00391F25"/>
    <w:rsid w:val="00392800"/>
    <w:rsid w:val="003A2B4D"/>
    <w:rsid w:val="003A478C"/>
    <w:rsid w:val="003A5525"/>
    <w:rsid w:val="003A613A"/>
    <w:rsid w:val="003A6B38"/>
    <w:rsid w:val="003B0AF1"/>
    <w:rsid w:val="003B5A32"/>
    <w:rsid w:val="003C3490"/>
    <w:rsid w:val="003C4A90"/>
    <w:rsid w:val="003C4ED5"/>
    <w:rsid w:val="003D6920"/>
    <w:rsid w:val="003D736E"/>
    <w:rsid w:val="003E47B7"/>
    <w:rsid w:val="003E4C91"/>
    <w:rsid w:val="003F313C"/>
    <w:rsid w:val="003F4079"/>
    <w:rsid w:val="003F4B2C"/>
    <w:rsid w:val="003F551C"/>
    <w:rsid w:val="003F7D23"/>
    <w:rsid w:val="00400C70"/>
    <w:rsid w:val="00404562"/>
    <w:rsid w:val="00407C13"/>
    <w:rsid w:val="00410638"/>
    <w:rsid w:val="0041088C"/>
    <w:rsid w:val="00421D1D"/>
    <w:rsid w:val="00430E7E"/>
    <w:rsid w:val="00432A58"/>
    <w:rsid w:val="00434617"/>
    <w:rsid w:val="00437AAD"/>
    <w:rsid w:val="00440900"/>
    <w:rsid w:val="00442CE3"/>
    <w:rsid w:val="004441A0"/>
    <w:rsid w:val="00460FB3"/>
    <w:rsid w:val="00462E97"/>
    <w:rsid w:val="004669E8"/>
    <w:rsid w:val="00467694"/>
    <w:rsid w:val="00476240"/>
    <w:rsid w:val="00476439"/>
    <w:rsid w:val="0047735C"/>
    <w:rsid w:val="004776BC"/>
    <w:rsid w:val="0048139F"/>
    <w:rsid w:val="00481E40"/>
    <w:rsid w:val="00484A97"/>
    <w:rsid w:val="00484ECE"/>
    <w:rsid w:val="004867D0"/>
    <w:rsid w:val="004900FF"/>
    <w:rsid w:val="004915CB"/>
    <w:rsid w:val="004924DC"/>
    <w:rsid w:val="00492FD7"/>
    <w:rsid w:val="00492FDF"/>
    <w:rsid w:val="004A0994"/>
    <w:rsid w:val="004A14E4"/>
    <w:rsid w:val="004A1F23"/>
    <w:rsid w:val="004A3212"/>
    <w:rsid w:val="004A61C5"/>
    <w:rsid w:val="004A77DF"/>
    <w:rsid w:val="004B1417"/>
    <w:rsid w:val="004B37F1"/>
    <w:rsid w:val="004B48E1"/>
    <w:rsid w:val="004B55B7"/>
    <w:rsid w:val="004B6468"/>
    <w:rsid w:val="004B74FD"/>
    <w:rsid w:val="004C384C"/>
    <w:rsid w:val="004C3867"/>
    <w:rsid w:val="004C3F22"/>
    <w:rsid w:val="004C4CD0"/>
    <w:rsid w:val="004C4EF0"/>
    <w:rsid w:val="004C6B99"/>
    <w:rsid w:val="004C70DC"/>
    <w:rsid w:val="004D0211"/>
    <w:rsid w:val="004D0794"/>
    <w:rsid w:val="004D0803"/>
    <w:rsid w:val="004D48A1"/>
    <w:rsid w:val="004D67F0"/>
    <w:rsid w:val="004E2D09"/>
    <w:rsid w:val="004E483E"/>
    <w:rsid w:val="004E5429"/>
    <w:rsid w:val="004E54BF"/>
    <w:rsid w:val="004F06F5"/>
    <w:rsid w:val="004F0AD7"/>
    <w:rsid w:val="004F33A0"/>
    <w:rsid w:val="00500A8A"/>
    <w:rsid w:val="005072AC"/>
    <w:rsid w:val="005108C0"/>
    <w:rsid w:val="00510D30"/>
    <w:rsid w:val="00511873"/>
    <w:rsid w:val="00512A2F"/>
    <w:rsid w:val="00513B7E"/>
    <w:rsid w:val="00515C74"/>
    <w:rsid w:val="00517F07"/>
    <w:rsid w:val="0052007E"/>
    <w:rsid w:val="0052337A"/>
    <w:rsid w:val="00523F91"/>
    <w:rsid w:val="00525137"/>
    <w:rsid w:val="005251DD"/>
    <w:rsid w:val="00532CE7"/>
    <w:rsid w:val="0053324C"/>
    <w:rsid w:val="00534A28"/>
    <w:rsid w:val="00536611"/>
    <w:rsid w:val="005377E1"/>
    <w:rsid w:val="00540984"/>
    <w:rsid w:val="00541508"/>
    <w:rsid w:val="00541533"/>
    <w:rsid w:val="00544961"/>
    <w:rsid w:val="00544EE1"/>
    <w:rsid w:val="0055599F"/>
    <w:rsid w:val="00556D68"/>
    <w:rsid w:val="005570F2"/>
    <w:rsid w:val="00557A15"/>
    <w:rsid w:val="00560659"/>
    <w:rsid w:val="005647BF"/>
    <w:rsid w:val="005668F4"/>
    <w:rsid w:val="0057364B"/>
    <w:rsid w:val="00574773"/>
    <w:rsid w:val="00582B5E"/>
    <w:rsid w:val="00583FFD"/>
    <w:rsid w:val="00587B4C"/>
    <w:rsid w:val="00590434"/>
    <w:rsid w:val="005911BE"/>
    <w:rsid w:val="00593152"/>
    <w:rsid w:val="00593280"/>
    <w:rsid w:val="005A10F2"/>
    <w:rsid w:val="005A21E0"/>
    <w:rsid w:val="005A28FF"/>
    <w:rsid w:val="005A3DF8"/>
    <w:rsid w:val="005A5549"/>
    <w:rsid w:val="005A660A"/>
    <w:rsid w:val="005B121D"/>
    <w:rsid w:val="005B2ACF"/>
    <w:rsid w:val="005B6AD7"/>
    <w:rsid w:val="005C0558"/>
    <w:rsid w:val="005C06ED"/>
    <w:rsid w:val="005D2600"/>
    <w:rsid w:val="005D5802"/>
    <w:rsid w:val="005D6B94"/>
    <w:rsid w:val="005D7890"/>
    <w:rsid w:val="005E7C78"/>
    <w:rsid w:val="005F2579"/>
    <w:rsid w:val="005F3EB1"/>
    <w:rsid w:val="005F478F"/>
    <w:rsid w:val="005F539F"/>
    <w:rsid w:val="005F5469"/>
    <w:rsid w:val="005F6625"/>
    <w:rsid w:val="00601C79"/>
    <w:rsid w:val="00604307"/>
    <w:rsid w:val="0060487F"/>
    <w:rsid w:val="00604EAD"/>
    <w:rsid w:val="00606C65"/>
    <w:rsid w:val="006104FB"/>
    <w:rsid w:val="00610DAB"/>
    <w:rsid w:val="00612A2F"/>
    <w:rsid w:val="00614B01"/>
    <w:rsid w:val="00616E05"/>
    <w:rsid w:val="0062256D"/>
    <w:rsid w:val="00624093"/>
    <w:rsid w:val="0063536D"/>
    <w:rsid w:val="0063575A"/>
    <w:rsid w:val="006362BD"/>
    <w:rsid w:val="006368F9"/>
    <w:rsid w:val="006404A7"/>
    <w:rsid w:val="006451E4"/>
    <w:rsid w:val="00645B33"/>
    <w:rsid w:val="00646599"/>
    <w:rsid w:val="006503E7"/>
    <w:rsid w:val="006516CB"/>
    <w:rsid w:val="00657E87"/>
    <w:rsid w:val="006633C6"/>
    <w:rsid w:val="00664803"/>
    <w:rsid w:val="00665BA4"/>
    <w:rsid w:val="00667AF2"/>
    <w:rsid w:val="006710C9"/>
    <w:rsid w:val="00673CB5"/>
    <w:rsid w:val="00674D89"/>
    <w:rsid w:val="00675E37"/>
    <w:rsid w:val="0068174E"/>
    <w:rsid w:val="00681DCE"/>
    <w:rsid w:val="0068260E"/>
    <w:rsid w:val="00695BEF"/>
    <w:rsid w:val="006977A3"/>
    <w:rsid w:val="006977F6"/>
    <w:rsid w:val="00697A13"/>
    <w:rsid w:val="006A109C"/>
    <w:rsid w:val="006A5F00"/>
    <w:rsid w:val="006B344A"/>
    <w:rsid w:val="006B78D8"/>
    <w:rsid w:val="006C113F"/>
    <w:rsid w:val="006C123E"/>
    <w:rsid w:val="006C4BA5"/>
    <w:rsid w:val="006C56D4"/>
    <w:rsid w:val="006C6924"/>
    <w:rsid w:val="006C7CA6"/>
    <w:rsid w:val="006D3E8A"/>
    <w:rsid w:val="006D61F6"/>
    <w:rsid w:val="006E0A0B"/>
    <w:rsid w:val="006E279A"/>
    <w:rsid w:val="006E2DE0"/>
    <w:rsid w:val="006E313B"/>
    <w:rsid w:val="006F2352"/>
    <w:rsid w:val="006F5416"/>
    <w:rsid w:val="006F6002"/>
    <w:rsid w:val="006F7137"/>
    <w:rsid w:val="00705631"/>
    <w:rsid w:val="00706AD4"/>
    <w:rsid w:val="007140BE"/>
    <w:rsid w:val="0071781A"/>
    <w:rsid w:val="00717E46"/>
    <w:rsid w:val="007209E8"/>
    <w:rsid w:val="007211F5"/>
    <w:rsid w:val="00722587"/>
    <w:rsid w:val="00725764"/>
    <w:rsid w:val="00725BB5"/>
    <w:rsid w:val="00730AE8"/>
    <w:rsid w:val="00734255"/>
    <w:rsid w:val="00741493"/>
    <w:rsid w:val="00743D95"/>
    <w:rsid w:val="007501A5"/>
    <w:rsid w:val="00751611"/>
    <w:rsid w:val="00752180"/>
    <w:rsid w:val="00755202"/>
    <w:rsid w:val="00755D3A"/>
    <w:rsid w:val="007578D3"/>
    <w:rsid w:val="007609C6"/>
    <w:rsid w:val="0076175D"/>
    <w:rsid w:val="0076521E"/>
    <w:rsid w:val="007661E9"/>
    <w:rsid w:val="007758D2"/>
    <w:rsid w:val="00776169"/>
    <w:rsid w:val="00776527"/>
    <w:rsid w:val="00780EF1"/>
    <w:rsid w:val="00782A7C"/>
    <w:rsid w:val="00785FB1"/>
    <w:rsid w:val="00790764"/>
    <w:rsid w:val="0079453C"/>
    <w:rsid w:val="00794677"/>
    <w:rsid w:val="007B005E"/>
    <w:rsid w:val="007B6689"/>
    <w:rsid w:val="007C4665"/>
    <w:rsid w:val="007D40DF"/>
    <w:rsid w:val="007D4EB6"/>
    <w:rsid w:val="007D7B96"/>
    <w:rsid w:val="007E7E61"/>
    <w:rsid w:val="007F0845"/>
    <w:rsid w:val="007F3EC5"/>
    <w:rsid w:val="007F7943"/>
    <w:rsid w:val="008009CE"/>
    <w:rsid w:val="00807C82"/>
    <w:rsid w:val="00813EDF"/>
    <w:rsid w:val="00816905"/>
    <w:rsid w:val="00820556"/>
    <w:rsid w:val="00821EC7"/>
    <w:rsid w:val="00821FF6"/>
    <w:rsid w:val="00822E29"/>
    <w:rsid w:val="00825C4D"/>
    <w:rsid w:val="00830EB8"/>
    <w:rsid w:val="0083143E"/>
    <w:rsid w:val="00831CDE"/>
    <w:rsid w:val="00834304"/>
    <w:rsid w:val="00834FAA"/>
    <w:rsid w:val="00836086"/>
    <w:rsid w:val="00841E69"/>
    <w:rsid w:val="00844938"/>
    <w:rsid w:val="0084708F"/>
    <w:rsid w:val="008477C8"/>
    <w:rsid w:val="0085114D"/>
    <w:rsid w:val="00851356"/>
    <w:rsid w:val="00852217"/>
    <w:rsid w:val="008533E2"/>
    <w:rsid w:val="00855408"/>
    <w:rsid w:val="00856D65"/>
    <w:rsid w:val="00861B41"/>
    <w:rsid w:val="00863434"/>
    <w:rsid w:val="00865E4C"/>
    <w:rsid w:val="008701E4"/>
    <w:rsid w:val="00872E80"/>
    <w:rsid w:val="00875A32"/>
    <w:rsid w:val="00876086"/>
    <w:rsid w:val="0087779B"/>
    <w:rsid w:val="00885016"/>
    <w:rsid w:val="008873D4"/>
    <w:rsid w:val="00893E85"/>
    <w:rsid w:val="00894031"/>
    <w:rsid w:val="008B45F6"/>
    <w:rsid w:val="008B7C02"/>
    <w:rsid w:val="008B7D2B"/>
    <w:rsid w:val="008C0049"/>
    <w:rsid w:val="008C0E88"/>
    <w:rsid w:val="008C310F"/>
    <w:rsid w:val="008C426F"/>
    <w:rsid w:val="008D016D"/>
    <w:rsid w:val="008D1E6A"/>
    <w:rsid w:val="008D2661"/>
    <w:rsid w:val="008D2A16"/>
    <w:rsid w:val="008E2C57"/>
    <w:rsid w:val="008E31FF"/>
    <w:rsid w:val="008E6F06"/>
    <w:rsid w:val="008F029B"/>
    <w:rsid w:val="008F3FC9"/>
    <w:rsid w:val="008F4794"/>
    <w:rsid w:val="008F57A6"/>
    <w:rsid w:val="008F585B"/>
    <w:rsid w:val="008F612C"/>
    <w:rsid w:val="009003A8"/>
    <w:rsid w:val="00902500"/>
    <w:rsid w:val="00902EFF"/>
    <w:rsid w:val="009047B7"/>
    <w:rsid w:val="00904905"/>
    <w:rsid w:val="00906401"/>
    <w:rsid w:val="00906EE5"/>
    <w:rsid w:val="00907323"/>
    <w:rsid w:val="0091155E"/>
    <w:rsid w:val="00912A92"/>
    <w:rsid w:val="0091728D"/>
    <w:rsid w:val="0092180B"/>
    <w:rsid w:val="00921F14"/>
    <w:rsid w:val="0092254A"/>
    <w:rsid w:val="00922810"/>
    <w:rsid w:val="00923D47"/>
    <w:rsid w:val="009242ED"/>
    <w:rsid w:val="00924AC8"/>
    <w:rsid w:val="0092597A"/>
    <w:rsid w:val="00931308"/>
    <w:rsid w:val="00932443"/>
    <w:rsid w:val="00934193"/>
    <w:rsid w:val="00936899"/>
    <w:rsid w:val="00937AE2"/>
    <w:rsid w:val="0094427A"/>
    <w:rsid w:val="00954170"/>
    <w:rsid w:val="00955BC1"/>
    <w:rsid w:val="0096617D"/>
    <w:rsid w:val="0097155E"/>
    <w:rsid w:val="00974923"/>
    <w:rsid w:val="00980D3D"/>
    <w:rsid w:val="009813A8"/>
    <w:rsid w:val="009821DC"/>
    <w:rsid w:val="00987697"/>
    <w:rsid w:val="00987A30"/>
    <w:rsid w:val="00992CF3"/>
    <w:rsid w:val="009968D6"/>
    <w:rsid w:val="009A1CAB"/>
    <w:rsid w:val="009A57D7"/>
    <w:rsid w:val="009A60D1"/>
    <w:rsid w:val="009A617E"/>
    <w:rsid w:val="009B615A"/>
    <w:rsid w:val="009B6FD3"/>
    <w:rsid w:val="009C1750"/>
    <w:rsid w:val="009C2E29"/>
    <w:rsid w:val="009C554B"/>
    <w:rsid w:val="009C719E"/>
    <w:rsid w:val="009D3ACD"/>
    <w:rsid w:val="009E5273"/>
    <w:rsid w:val="009E55B9"/>
    <w:rsid w:val="009E5DDB"/>
    <w:rsid w:val="009F4CA7"/>
    <w:rsid w:val="009F5537"/>
    <w:rsid w:val="00A037F4"/>
    <w:rsid w:val="00A03F42"/>
    <w:rsid w:val="00A06813"/>
    <w:rsid w:val="00A07E80"/>
    <w:rsid w:val="00A10D66"/>
    <w:rsid w:val="00A10EC3"/>
    <w:rsid w:val="00A13B8F"/>
    <w:rsid w:val="00A14114"/>
    <w:rsid w:val="00A16413"/>
    <w:rsid w:val="00A17080"/>
    <w:rsid w:val="00A23E43"/>
    <w:rsid w:val="00A30F65"/>
    <w:rsid w:val="00A3676E"/>
    <w:rsid w:val="00A37E07"/>
    <w:rsid w:val="00A413D4"/>
    <w:rsid w:val="00A418BC"/>
    <w:rsid w:val="00A46185"/>
    <w:rsid w:val="00A46DE0"/>
    <w:rsid w:val="00A50D73"/>
    <w:rsid w:val="00A513FA"/>
    <w:rsid w:val="00A52CAD"/>
    <w:rsid w:val="00A53FC7"/>
    <w:rsid w:val="00A553DE"/>
    <w:rsid w:val="00A62C82"/>
    <w:rsid w:val="00A62CE1"/>
    <w:rsid w:val="00A6741E"/>
    <w:rsid w:val="00A75E40"/>
    <w:rsid w:val="00A77D1D"/>
    <w:rsid w:val="00A8510B"/>
    <w:rsid w:val="00A857C0"/>
    <w:rsid w:val="00A92A4C"/>
    <w:rsid w:val="00AA17FB"/>
    <w:rsid w:val="00AA2996"/>
    <w:rsid w:val="00AA319D"/>
    <w:rsid w:val="00AA52BF"/>
    <w:rsid w:val="00AA559A"/>
    <w:rsid w:val="00AB1467"/>
    <w:rsid w:val="00AB2AF1"/>
    <w:rsid w:val="00AC58BB"/>
    <w:rsid w:val="00AD306C"/>
    <w:rsid w:val="00AD46A9"/>
    <w:rsid w:val="00AE09B3"/>
    <w:rsid w:val="00AE1A83"/>
    <w:rsid w:val="00AE3398"/>
    <w:rsid w:val="00AE3E55"/>
    <w:rsid w:val="00AF20FF"/>
    <w:rsid w:val="00B00913"/>
    <w:rsid w:val="00B01593"/>
    <w:rsid w:val="00B0303C"/>
    <w:rsid w:val="00B10A4D"/>
    <w:rsid w:val="00B10A7E"/>
    <w:rsid w:val="00B17E71"/>
    <w:rsid w:val="00B17FDE"/>
    <w:rsid w:val="00B2379C"/>
    <w:rsid w:val="00B2687D"/>
    <w:rsid w:val="00B32DDB"/>
    <w:rsid w:val="00B34528"/>
    <w:rsid w:val="00B373CF"/>
    <w:rsid w:val="00B402FC"/>
    <w:rsid w:val="00B43231"/>
    <w:rsid w:val="00B46604"/>
    <w:rsid w:val="00B471BD"/>
    <w:rsid w:val="00B47339"/>
    <w:rsid w:val="00B530CD"/>
    <w:rsid w:val="00B55F5E"/>
    <w:rsid w:val="00B56DC9"/>
    <w:rsid w:val="00B5752E"/>
    <w:rsid w:val="00B61479"/>
    <w:rsid w:val="00B62887"/>
    <w:rsid w:val="00B63A11"/>
    <w:rsid w:val="00B64C24"/>
    <w:rsid w:val="00B6608F"/>
    <w:rsid w:val="00B679FB"/>
    <w:rsid w:val="00B7185A"/>
    <w:rsid w:val="00B7442B"/>
    <w:rsid w:val="00B76D1E"/>
    <w:rsid w:val="00B80EC6"/>
    <w:rsid w:val="00B84FAD"/>
    <w:rsid w:val="00B92D1D"/>
    <w:rsid w:val="00B938C5"/>
    <w:rsid w:val="00B95940"/>
    <w:rsid w:val="00B96C18"/>
    <w:rsid w:val="00BA26B1"/>
    <w:rsid w:val="00BB46F3"/>
    <w:rsid w:val="00BB4CB1"/>
    <w:rsid w:val="00BB4F98"/>
    <w:rsid w:val="00BC674D"/>
    <w:rsid w:val="00BC7154"/>
    <w:rsid w:val="00BD198B"/>
    <w:rsid w:val="00BD30FC"/>
    <w:rsid w:val="00BD366B"/>
    <w:rsid w:val="00BD6D50"/>
    <w:rsid w:val="00BE0D56"/>
    <w:rsid w:val="00BE18B9"/>
    <w:rsid w:val="00BE2495"/>
    <w:rsid w:val="00BF1578"/>
    <w:rsid w:val="00BF218B"/>
    <w:rsid w:val="00C05A90"/>
    <w:rsid w:val="00C15E2B"/>
    <w:rsid w:val="00C21F94"/>
    <w:rsid w:val="00C27913"/>
    <w:rsid w:val="00C27D18"/>
    <w:rsid w:val="00C27ECC"/>
    <w:rsid w:val="00C3195B"/>
    <w:rsid w:val="00C32955"/>
    <w:rsid w:val="00C33B68"/>
    <w:rsid w:val="00C3652B"/>
    <w:rsid w:val="00C36A79"/>
    <w:rsid w:val="00C405D4"/>
    <w:rsid w:val="00C409DC"/>
    <w:rsid w:val="00C43131"/>
    <w:rsid w:val="00C440D8"/>
    <w:rsid w:val="00C4513B"/>
    <w:rsid w:val="00C45FE0"/>
    <w:rsid w:val="00C5379F"/>
    <w:rsid w:val="00C54697"/>
    <w:rsid w:val="00C5561B"/>
    <w:rsid w:val="00C73885"/>
    <w:rsid w:val="00C747B1"/>
    <w:rsid w:val="00C82191"/>
    <w:rsid w:val="00C84E4D"/>
    <w:rsid w:val="00C90CF4"/>
    <w:rsid w:val="00C92502"/>
    <w:rsid w:val="00C92EB6"/>
    <w:rsid w:val="00C93389"/>
    <w:rsid w:val="00C96710"/>
    <w:rsid w:val="00CB4930"/>
    <w:rsid w:val="00CC2E7D"/>
    <w:rsid w:val="00CC565D"/>
    <w:rsid w:val="00CD10A5"/>
    <w:rsid w:val="00CD2076"/>
    <w:rsid w:val="00CE670B"/>
    <w:rsid w:val="00CF12ED"/>
    <w:rsid w:val="00CF51EC"/>
    <w:rsid w:val="00CF73AE"/>
    <w:rsid w:val="00D00502"/>
    <w:rsid w:val="00D040DD"/>
    <w:rsid w:val="00D12A19"/>
    <w:rsid w:val="00D135A5"/>
    <w:rsid w:val="00D13986"/>
    <w:rsid w:val="00D163BC"/>
    <w:rsid w:val="00D235B7"/>
    <w:rsid w:val="00D239AB"/>
    <w:rsid w:val="00D257C0"/>
    <w:rsid w:val="00D25F28"/>
    <w:rsid w:val="00D27973"/>
    <w:rsid w:val="00D325F0"/>
    <w:rsid w:val="00D3462F"/>
    <w:rsid w:val="00D50F46"/>
    <w:rsid w:val="00D5153F"/>
    <w:rsid w:val="00D52224"/>
    <w:rsid w:val="00D529C4"/>
    <w:rsid w:val="00D559C4"/>
    <w:rsid w:val="00D563CA"/>
    <w:rsid w:val="00D60536"/>
    <w:rsid w:val="00D66223"/>
    <w:rsid w:val="00D8084C"/>
    <w:rsid w:val="00D839DC"/>
    <w:rsid w:val="00D861E7"/>
    <w:rsid w:val="00D9332B"/>
    <w:rsid w:val="00D9378B"/>
    <w:rsid w:val="00D970E1"/>
    <w:rsid w:val="00DA7C0C"/>
    <w:rsid w:val="00DB0CB0"/>
    <w:rsid w:val="00DB2EC8"/>
    <w:rsid w:val="00DC5061"/>
    <w:rsid w:val="00DC5B3B"/>
    <w:rsid w:val="00DD0553"/>
    <w:rsid w:val="00DD129F"/>
    <w:rsid w:val="00DD569C"/>
    <w:rsid w:val="00DE1CFD"/>
    <w:rsid w:val="00DF42FF"/>
    <w:rsid w:val="00DF5E7C"/>
    <w:rsid w:val="00E0076C"/>
    <w:rsid w:val="00E01C0E"/>
    <w:rsid w:val="00E03F9A"/>
    <w:rsid w:val="00E04694"/>
    <w:rsid w:val="00E12B1E"/>
    <w:rsid w:val="00E17262"/>
    <w:rsid w:val="00E23793"/>
    <w:rsid w:val="00E243C8"/>
    <w:rsid w:val="00E253A2"/>
    <w:rsid w:val="00E3309D"/>
    <w:rsid w:val="00E358CA"/>
    <w:rsid w:val="00E427B0"/>
    <w:rsid w:val="00E50156"/>
    <w:rsid w:val="00E53470"/>
    <w:rsid w:val="00E539F6"/>
    <w:rsid w:val="00E6519D"/>
    <w:rsid w:val="00E67696"/>
    <w:rsid w:val="00E71A58"/>
    <w:rsid w:val="00E72A7A"/>
    <w:rsid w:val="00E72C16"/>
    <w:rsid w:val="00E75C94"/>
    <w:rsid w:val="00E801D6"/>
    <w:rsid w:val="00E810B0"/>
    <w:rsid w:val="00E858C7"/>
    <w:rsid w:val="00E93820"/>
    <w:rsid w:val="00EA0857"/>
    <w:rsid w:val="00EA0C68"/>
    <w:rsid w:val="00EA32BC"/>
    <w:rsid w:val="00EA63FB"/>
    <w:rsid w:val="00EA7389"/>
    <w:rsid w:val="00EB1118"/>
    <w:rsid w:val="00EB4511"/>
    <w:rsid w:val="00EB518D"/>
    <w:rsid w:val="00EC03D7"/>
    <w:rsid w:val="00ED2BAB"/>
    <w:rsid w:val="00ED62C6"/>
    <w:rsid w:val="00ED64C1"/>
    <w:rsid w:val="00EE3446"/>
    <w:rsid w:val="00EE3E78"/>
    <w:rsid w:val="00EE4B1B"/>
    <w:rsid w:val="00EF150D"/>
    <w:rsid w:val="00EF1F5A"/>
    <w:rsid w:val="00EF47BF"/>
    <w:rsid w:val="00EF797F"/>
    <w:rsid w:val="00F04811"/>
    <w:rsid w:val="00F0488C"/>
    <w:rsid w:val="00F05F5E"/>
    <w:rsid w:val="00F07CB9"/>
    <w:rsid w:val="00F10F11"/>
    <w:rsid w:val="00F122EF"/>
    <w:rsid w:val="00F12ED7"/>
    <w:rsid w:val="00F15AAA"/>
    <w:rsid w:val="00F15BEF"/>
    <w:rsid w:val="00F16257"/>
    <w:rsid w:val="00F24407"/>
    <w:rsid w:val="00F24FAA"/>
    <w:rsid w:val="00F258E6"/>
    <w:rsid w:val="00F31254"/>
    <w:rsid w:val="00F335D5"/>
    <w:rsid w:val="00F3364D"/>
    <w:rsid w:val="00F42A7A"/>
    <w:rsid w:val="00F437CC"/>
    <w:rsid w:val="00F44C2A"/>
    <w:rsid w:val="00F47067"/>
    <w:rsid w:val="00F525EB"/>
    <w:rsid w:val="00F55A6C"/>
    <w:rsid w:val="00F63DDE"/>
    <w:rsid w:val="00F63FB7"/>
    <w:rsid w:val="00F649D2"/>
    <w:rsid w:val="00F6602B"/>
    <w:rsid w:val="00F678F0"/>
    <w:rsid w:val="00F7260E"/>
    <w:rsid w:val="00F73A0C"/>
    <w:rsid w:val="00F756DB"/>
    <w:rsid w:val="00F7570B"/>
    <w:rsid w:val="00F85066"/>
    <w:rsid w:val="00FA5D4D"/>
    <w:rsid w:val="00FA5E67"/>
    <w:rsid w:val="00FB0EE2"/>
    <w:rsid w:val="00FB542E"/>
    <w:rsid w:val="00FB6523"/>
    <w:rsid w:val="00FC0DBA"/>
    <w:rsid w:val="00FC0E5F"/>
    <w:rsid w:val="00FC1A95"/>
    <w:rsid w:val="00FC56DE"/>
    <w:rsid w:val="00FC5805"/>
    <w:rsid w:val="00FC684B"/>
    <w:rsid w:val="00FD3265"/>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ln">
    <w:name w:val="Normal"/>
    <w:qFormat/>
    <w:rsid w:val="004867D0"/>
    <w:pPr>
      <w:spacing w:after="240" w:line="288" w:lineRule="auto"/>
    </w:pPr>
    <w:rPr>
      <w:rFonts w:ascii="Arial" w:eastAsia="Times New Roman" w:hAnsi="Arial"/>
      <w:szCs w:val="24"/>
    </w:rPr>
  </w:style>
  <w:style w:type="paragraph" w:styleId="Nadpis1">
    <w:name w:val="heading 1"/>
    <w:next w:val="Normln"/>
    <w:link w:val="Nadpis1Char"/>
    <w:uiPriority w:val="9"/>
    <w:qFormat/>
    <w:rsid w:val="008C310F"/>
    <w:pPr>
      <w:widowControl w:val="0"/>
      <w:spacing w:after="100" w:line="288" w:lineRule="auto"/>
      <w:contextualSpacing/>
      <w:outlineLvl w:val="0"/>
    </w:pPr>
    <w:rPr>
      <w:rFonts w:ascii="Arial" w:eastAsia="MS Gothic" w:hAnsi="Arial"/>
      <w:b/>
      <w:bCs/>
      <w:color w:val="C00000"/>
      <w:sz w:val="32"/>
      <w:szCs w:val="28"/>
    </w:rPr>
  </w:style>
  <w:style w:type="paragraph" w:styleId="Nadpis2">
    <w:name w:val="heading 2"/>
    <w:next w:val="Normln"/>
    <w:link w:val="Nadpis2Char"/>
    <w:uiPriority w:val="9"/>
    <w:qFormat/>
    <w:rsid w:val="008C310F"/>
    <w:pPr>
      <w:widowControl w:val="0"/>
      <w:spacing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C310F"/>
    <w:rPr>
      <w:rFonts w:ascii="Arial" w:eastAsia="MS Gothic" w:hAnsi="Arial"/>
      <w:b/>
      <w:bCs/>
      <w:color w:val="C00000"/>
      <w:sz w:val="32"/>
      <w:szCs w:val="28"/>
    </w:rPr>
  </w:style>
  <w:style w:type="character" w:customStyle="1" w:styleId="Nadpis2Char">
    <w:name w:val="Nadpis 2 Char"/>
    <w:link w:val="Nadpis2"/>
    <w:uiPriority w:val="9"/>
    <w:rsid w:val="008C310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rPr>
  </w:style>
  <w:style w:type="paragraph" w:customStyle="1" w:styleId="Box2">
    <w:name w:val="Box 2"/>
    <w:qFormat/>
    <w:rsid w:val="004900FF"/>
    <w:pPr>
      <w:spacing w:before="240" w:after="240" w:line="288" w:lineRule="auto"/>
      <w:ind w:left="709"/>
      <w:contextualSpacing/>
    </w:pPr>
    <w:rPr>
      <w:rFonts w:ascii="Arial" w:hAnsi="Arial" w:cs="Arial"/>
      <w:color w:val="BC091B"/>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odkaz-style-wrapper">
    <w:name w:val="odkaz-style-wrapper"/>
    <w:rsid w:val="00C92502"/>
  </w:style>
  <w:style w:type="paragraph" w:styleId="Nadpisobsahu">
    <w:name w:val="TOC Heading"/>
    <w:basedOn w:val="Nadpis1"/>
    <w:next w:val="Normln"/>
    <w:uiPriority w:val="39"/>
    <w:semiHidden/>
    <w:unhideWhenUsed/>
    <w:qFormat/>
    <w:rsid w:val="00557A15"/>
    <w:pPr>
      <w:spacing w:before="480" w:after="0" w:line="276" w:lineRule="auto"/>
      <w:contextualSpacing w:val="0"/>
      <w:outlineLvl w:val="9"/>
    </w:pPr>
    <w:rPr>
      <w:rFonts w:ascii="Cambria" w:eastAsia="Times New Roman" w:hAnsi="Cambria"/>
      <w:color w:val="365F91"/>
      <w:sz w:val="28"/>
    </w:rPr>
  </w:style>
  <w:style w:type="paragraph" w:styleId="Textpoznpodarou">
    <w:name w:val="footnote text"/>
    <w:basedOn w:val="Normln"/>
    <w:link w:val="TextpoznpodarouChar"/>
    <w:semiHidden/>
    <w:rsid w:val="00F12ED7"/>
    <w:pPr>
      <w:spacing w:after="0" w:line="240" w:lineRule="auto"/>
      <w:jc w:val="both"/>
    </w:pPr>
    <w:rPr>
      <w:i/>
      <w:sz w:val="18"/>
      <w:szCs w:val="20"/>
    </w:rPr>
  </w:style>
  <w:style w:type="character" w:customStyle="1" w:styleId="TextpoznpodarouChar">
    <w:name w:val="Text pozn. pod čarou Char"/>
    <w:link w:val="Textpoznpodarou"/>
    <w:semiHidden/>
    <w:rsid w:val="00F12ED7"/>
    <w:rPr>
      <w:rFonts w:ascii="Arial" w:eastAsia="Times New Roman" w:hAnsi="Arial"/>
      <w:i/>
      <w:sz w:val="18"/>
    </w:rPr>
  </w:style>
  <w:style w:type="character" w:styleId="Znakapoznpodarou">
    <w:name w:val="footnote reference"/>
    <w:semiHidden/>
    <w:rsid w:val="00F12ED7"/>
    <w:rPr>
      <w:vertAlign w:val="superscript"/>
    </w:rPr>
  </w:style>
  <w:style w:type="character" w:styleId="Odkaznakoment">
    <w:name w:val="annotation reference"/>
    <w:uiPriority w:val="99"/>
    <w:semiHidden/>
    <w:unhideWhenUsed/>
    <w:rsid w:val="00B7442B"/>
    <w:rPr>
      <w:sz w:val="16"/>
      <w:szCs w:val="16"/>
    </w:rPr>
  </w:style>
  <w:style w:type="paragraph" w:styleId="Textkomente">
    <w:name w:val="annotation text"/>
    <w:basedOn w:val="Normln"/>
    <w:link w:val="TextkomenteChar"/>
    <w:uiPriority w:val="99"/>
    <w:semiHidden/>
    <w:unhideWhenUsed/>
    <w:rsid w:val="00B7442B"/>
    <w:rPr>
      <w:szCs w:val="20"/>
    </w:rPr>
  </w:style>
  <w:style w:type="character" w:customStyle="1" w:styleId="TextkomenteChar">
    <w:name w:val="Text komentáře Char"/>
    <w:link w:val="Textkomente"/>
    <w:uiPriority w:val="99"/>
    <w:semiHidden/>
    <w:rsid w:val="00B7442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B7442B"/>
    <w:rPr>
      <w:b/>
      <w:bCs/>
    </w:rPr>
  </w:style>
  <w:style w:type="character" w:customStyle="1" w:styleId="PedmtkomenteChar">
    <w:name w:val="Předmět komentáře Char"/>
    <w:link w:val="Pedmtkomente"/>
    <w:uiPriority w:val="99"/>
    <w:semiHidden/>
    <w:rsid w:val="00B7442B"/>
    <w:rPr>
      <w:rFonts w:ascii="Arial" w:eastAsia="Times New Roman" w:hAnsi="Arial"/>
      <w:b/>
      <w:bCs/>
    </w:rPr>
  </w:style>
  <w:style w:type="character" w:styleId="Sledovanodkaz">
    <w:name w:val="FollowedHyperlink"/>
    <w:uiPriority w:val="99"/>
    <w:semiHidden/>
    <w:unhideWhenUsed/>
    <w:rsid w:val="00C05A9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093956">
      <w:bodyDiv w:val="1"/>
      <w:marLeft w:val="0"/>
      <w:marRight w:val="0"/>
      <w:marTop w:val="0"/>
      <w:marBottom w:val="0"/>
      <w:divBdr>
        <w:top w:val="none" w:sz="0" w:space="0" w:color="auto"/>
        <w:left w:val="none" w:sz="0" w:space="0" w:color="auto"/>
        <w:bottom w:val="none" w:sz="0" w:space="0" w:color="auto"/>
        <w:right w:val="none" w:sz="0" w:space="0" w:color="auto"/>
      </w:divBdr>
    </w:div>
    <w:div w:id="39062051">
      <w:bodyDiv w:val="1"/>
      <w:marLeft w:val="0"/>
      <w:marRight w:val="0"/>
      <w:marTop w:val="0"/>
      <w:marBottom w:val="0"/>
      <w:divBdr>
        <w:top w:val="none" w:sz="0" w:space="0" w:color="auto"/>
        <w:left w:val="none" w:sz="0" w:space="0" w:color="auto"/>
        <w:bottom w:val="none" w:sz="0" w:space="0" w:color="auto"/>
        <w:right w:val="none" w:sz="0" w:space="0" w:color="auto"/>
      </w:divBdr>
    </w:div>
    <w:div w:id="113718446">
      <w:bodyDiv w:val="1"/>
      <w:marLeft w:val="0"/>
      <w:marRight w:val="0"/>
      <w:marTop w:val="0"/>
      <w:marBottom w:val="0"/>
      <w:divBdr>
        <w:top w:val="none" w:sz="0" w:space="0" w:color="auto"/>
        <w:left w:val="none" w:sz="0" w:space="0" w:color="auto"/>
        <w:bottom w:val="none" w:sz="0" w:space="0" w:color="auto"/>
        <w:right w:val="none" w:sz="0" w:space="0" w:color="auto"/>
      </w:divBdr>
    </w:div>
    <w:div w:id="134497207">
      <w:bodyDiv w:val="1"/>
      <w:marLeft w:val="0"/>
      <w:marRight w:val="0"/>
      <w:marTop w:val="0"/>
      <w:marBottom w:val="0"/>
      <w:divBdr>
        <w:top w:val="none" w:sz="0" w:space="0" w:color="auto"/>
        <w:left w:val="none" w:sz="0" w:space="0" w:color="auto"/>
        <w:bottom w:val="none" w:sz="0" w:space="0" w:color="auto"/>
        <w:right w:val="none" w:sz="0" w:space="0" w:color="auto"/>
      </w:divBdr>
    </w:div>
    <w:div w:id="161286603">
      <w:bodyDiv w:val="1"/>
      <w:marLeft w:val="0"/>
      <w:marRight w:val="0"/>
      <w:marTop w:val="0"/>
      <w:marBottom w:val="0"/>
      <w:divBdr>
        <w:top w:val="none" w:sz="0" w:space="0" w:color="auto"/>
        <w:left w:val="none" w:sz="0" w:space="0" w:color="auto"/>
        <w:bottom w:val="none" w:sz="0" w:space="0" w:color="auto"/>
        <w:right w:val="none" w:sz="0" w:space="0" w:color="auto"/>
      </w:divBdr>
    </w:div>
    <w:div w:id="259261676">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4243444">
      <w:bodyDiv w:val="1"/>
      <w:marLeft w:val="0"/>
      <w:marRight w:val="0"/>
      <w:marTop w:val="0"/>
      <w:marBottom w:val="0"/>
      <w:divBdr>
        <w:top w:val="none" w:sz="0" w:space="0" w:color="auto"/>
        <w:left w:val="none" w:sz="0" w:space="0" w:color="auto"/>
        <w:bottom w:val="none" w:sz="0" w:space="0" w:color="auto"/>
        <w:right w:val="none" w:sz="0" w:space="0" w:color="auto"/>
      </w:divBdr>
    </w:div>
    <w:div w:id="308753862">
      <w:bodyDiv w:val="1"/>
      <w:marLeft w:val="0"/>
      <w:marRight w:val="0"/>
      <w:marTop w:val="0"/>
      <w:marBottom w:val="0"/>
      <w:divBdr>
        <w:top w:val="none" w:sz="0" w:space="0" w:color="auto"/>
        <w:left w:val="none" w:sz="0" w:space="0" w:color="auto"/>
        <w:bottom w:val="none" w:sz="0" w:space="0" w:color="auto"/>
        <w:right w:val="none" w:sz="0" w:space="0" w:color="auto"/>
      </w:divBdr>
    </w:div>
    <w:div w:id="315576752">
      <w:bodyDiv w:val="1"/>
      <w:marLeft w:val="0"/>
      <w:marRight w:val="0"/>
      <w:marTop w:val="0"/>
      <w:marBottom w:val="0"/>
      <w:divBdr>
        <w:top w:val="none" w:sz="0" w:space="0" w:color="auto"/>
        <w:left w:val="none" w:sz="0" w:space="0" w:color="auto"/>
        <w:bottom w:val="none" w:sz="0" w:space="0" w:color="auto"/>
        <w:right w:val="none" w:sz="0" w:space="0" w:color="auto"/>
      </w:divBdr>
    </w:div>
    <w:div w:id="321470946">
      <w:bodyDiv w:val="1"/>
      <w:marLeft w:val="0"/>
      <w:marRight w:val="0"/>
      <w:marTop w:val="0"/>
      <w:marBottom w:val="0"/>
      <w:divBdr>
        <w:top w:val="none" w:sz="0" w:space="0" w:color="auto"/>
        <w:left w:val="none" w:sz="0" w:space="0" w:color="auto"/>
        <w:bottom w:val="none" w:sz="0" w:space="0" w:color="auto"/>
        <w:right w:val="none" w:sz="0" w:space="0" w:color="auto"/>
      </w:divBdr>
    </w:div>
    <w:div w:id="444347079">
      <w:bodyDiv w:val="1"/>
      <w:marLeft w:val="0"/>
      <w:marRight w:val="0"/>
      <w:marTop w:val="0"/>
      <w:marBottom w:val="0"/>
      <w:divBdr>
        <w:top w:val="none" w:sz="0" w:space="0" w:color="auto"/>
        <w:left w:val="none" w:sz="0" w:space="0" w:color="auto"/>
        <w:bottom w:val="none" w:sz="0" w:space="0" w:color="auto"/>
        <w:right w:val="none" w:sz="0" w:space="0" w:color="auto"/>
      </w:divBdr>
    </w:div>
    <w:div w:id="445320267">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498353454">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41235638">
      <w:bodyDiv w:val="1"/>
      <w:marLeft w:val="0"/>
      <w:marRight w:val="0"/>
      <w:marTop w:val="0"/>
      <w:marBottom w:val="0"/>
      <w:divBdr>
        <w:top w:val="none" w:sz="0" w:space="0" w:color="auto"/>
        <w:left w:val="none" w:sz="0" w:space="0" w:color="auto"/>
        <w:bottom w:val="none" w:sz="0" w:space="0" w:color="auto"/>
        <w:right w:val="none" w:sz="0" w:space="0" w:color="auto"/>
      </w:divBdr>
    </w:div>
    <w:div w:id="646782327">
      <w:bodyDiv w:val="1"/>
      <w:marLeft w:val="0"/>
      <w:marRight w:val="0"/>
      <w:marTop w:val="0"/>
      <w:marBottom w:val="0"/>
      <w:divBdr>
        <w:top w:val="none" w:sz="0" w:space="0" w:color="auto"/>
        <w:left w:val="none" w:sz="0" w:space="0" w:color="auto"/>
        <w:bottom w:val="none" w:sz="0" w:space="0" w:color="auto"/>
        <w:right w:val="none" w:sz="0" w:space="0" w:color="auto"/>
      </w:divBdr>
    </w:div>
    <w:div w:id="65931409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1538508">
      <w:bodyDiv w:val="1"/>
      <w:marLeft w:val="0"/>
      <w:marRight w:val="0"/>
      <w:marTop w:val="0"/>
      <w:marBottom w:val="0"/>
      <w:divBdr>
        <w:top w:val="none" w:sz="0" w:space="0" w:color="auto"/>
        <w:left w:val="none" w:sz="0" w:space="0" w:color="auto"/>
        <w:bottom w:val="none" w:sz="0" w:space="0" w:color="auto"/>
        <w:right w:val="none" w:sz="0" w:space="0" w:color="auto"/>
      </w:divBdr>
    </w:div>
    <w:div w:id="725495322">
      <w:bodyDiv w:val="1"/>
      <w:marLeft w:val="0"/>
      <w:marRight w:val="0"/>
      <w:marTop w:val="0"/>
      <w:marBottom w:val="0"/>
      <w:divBdr>
        <w:top w:val="none" w:sz="0" w:space="0" w:color="auto"/>
        <w:left w:val="none" w:sz="0" w:space="0" w:color="auto"/>
        <w:bottom w:val="none" w:sz="0" w:space="0" w:color="auto"/>
        <w:right w:val="none" w:sz="0" w:space="0" w:color="auto"/>
      </w:divBdr>
    </w:div>
    <w:div w:id="846362488">
      <w:bodyDiv w:val="1"/>
      <w:marLeft w:val="0"/>
      <w:marRight w:val="0"/>
      <w:marTop w:val="0"/>
      <w:marBottom w:val="0"/>
      <w:divBdr>
        <w:top w:val="none" w:sz="0" w:space="0" w:color="auto"/>
        <w:left w:val="none" w:sz="0" w:space="0" w:color="auto"/>
        <w:bottom w:val="none" w:sz="0" w:space="0" w:color="auto"/>
        <w:right w:val="none" w:sz="0" w:space="0" w:color="auto"/>
      </w:divBdr>
    </w:div>
    <w:div w:id="870803653">
      <w:bodyDiv w:val="1"/>
      <w:marLeft w:val="0"/>
      <w:marRight w:val="0"/>
      <w:marTop w:val="0"/>
      <w:marBottom w:val="0"/>
      <w:divBdr>
        <w:top w:val="none" w:sz="0" w:space="0" w:color="auto"/>
        <w:left w:val="none" w:sz="0" w:space="0" w:color="auto"/>
        <w:bottom w:val="none" w:sz="0" w:space="0" w:color="auto"/>
        <w:right w:val="none" w:sz="0" w:space="0" w:color="auto"/>
      </w:divBdr>
    </w:div>
    <w:div w:id="936446864">
      <w:bodyDiv w:val="1"/>
      <w:marLeft w:val="0"/>
      <w:marRight w:val="0"/>
      <w:marTop w:val="0"/>
      <w:marBottom w:val="0"/>
      <w:divBdr>
        <w:top w:val="none" w:sz="0" w:space="0" w:color="auto"/>
        <w:left w:val="none" w:sz="0" w:space="0" w:color="auto"/>
        <w:bottom w:val="none" w:sz="0" w:space="0" w:color="auto"/>
        <w:right w:val="none" w:sz="0" w:space="0" w:color="auto"/>
      </w:divBdr>
    </w:div>
    <w:div w:id="966860990">
      <w:bodyDiv w:val="1"/>
      <w:marLeft w:val="0"/>
      <w:marRight w:val="0"/>
      <w:marTop w:val="0"/>
      <w:marBottom w:val="0"/>
      <w:divBdr>
        <w:top w:val="none" w:sz="0" w:space="0" w:color="auto"/>
        <w:left w:val="none" w:sz="0" w:space="0" w:color="auto"/>
        <w:bottom w:val="none" w:sz="0" w:space="0" w:color="auto"/>
        <w:right w:val="none" w:sz="0" w:space="0" w:color="auto"/>
      </w:divBdr>
    </w:div>
    <w:div w:id="978416494">
      <w:bodyDiv w:val="1"/>
      <w:marLeft w:val="0"/>
      <w:marRight w:val="0"/>
      <w:marTop w:val="0"/>
      <w:marBottom w:val="0"/>
      <w:divBdr>
        <w:top w:val="none" w:sz="0" w:space="0" w:color="auto"/>
        <w:left w:val="none" w:sz="0" w:space="0" w:color="auto"/>
        <w:bottom w:val="none" w:sz="0" w:space="0" w:color="auto"/>
        <w:right w:val="none" w:sz="0" w:space="0" w:color="auto"/>
      </w:divBdr>
    </w:div>
    <w:div w:id="992412867">
      <w:bodyDiv w:val="1"/>
      <w:marLeft w:val="0"/>
      <w:marRight w:val="0"/>
      <w:marTop w:val="0"/>
      <w:marBottom w:val="0"/>
      <w:divBdr>
        <w:top w:val="none" w:sz="0" w:space="0" w:color="auto"/>
        <w:left w:val="none" w:sz="0" w:space="0" w:color="auto"/>
        <w:bottom w:val="none" w:sz="0" w:space="0" w:color="auto"/>
        <w:right w:val="none" w:sz="0" w:space="0" w:color="auto"/>
      </w:divBdr>
    </w:div>
    <w:div w:id="1016880383">
      <w:bodyDiv w:val="1"/>
      <w:marLeft w:val="0"/>
      <w:marRight w:val="0"/>
      <w:marTop w:val="0"/>
      <w:marBottom w:val="0"/>
      <w:divBdr>
        <w:top w:val="none" w:sz="0" w:space="0" w:color="auto"/>
        <w:left w:val="none" w:sz="0" w:space="0" w:color="auto"/>
        <w:bottom w:val="none" w:sz="0" w:space="0" w:color="auto"/>
        <w:right w:val="none" w:sz="0" w:space="0" w:color="auto"/>
      </w:divBdr>
    </w:div>
    <w:div w:id="1098526939">
      <w:bodyDiv w:val="1"/>
      <w:marLeft w:val="0"/>
      <w:marRight w:val="0"/>
      <w:marTop w:val="0"/>
      <w:marBottom w:val="0"/>
      <w:divBdr>
        <w:top w:val="none" w:sz="0" w:space="0" w:color="auto"/>
        <w:left w:val="none" w:sz="0" w:space="0" w:color="auto"/>
        <w:bottom w:val="none" w:sz="0" w:space="0" w:color="auto"/>
        <w:right w:val="none" w:sz="0" w:space="0" w:color="auto"/>
      </w:divBdr>
    </w:div>
    <w:div w:id="1173032448">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80527526">
      <w:bodyDiv w:val="1"/>
      <w:marLeft w:val="0"/>
      <w:marRight w:val="0"/>
      <w:marTop w:val="0"/>
      <w:marBottom w:val="0"/>
      <w:divBdr>
        <w:top w:val="none" w:sz="0" w:space="0" w:color="auto"/>
        <w:left w:val="none" w:sz="0" w:space="0" w:color="auto"/>
        <w:bottom w:val="none" w:sz="0" w:space="0" w:color="auto"/>
        <w:right w:val="none" w:sz="0" w:space="0" w:color="auto"/>
      </w:divBdr>
    </w:div>
    <w:div w:id="1304852376">
      <w:bodyDiv w:val="1"/>
      <w:marLeft w:val="0"/>
      <w:marRight w:val="0"/>
      <w:marTop w:val="0"/>
      <w:marBottom w:val="0"/>
      <w:divBdr>
        <w:top w:val="none" w:sz="0" w:space="0" w:color="auto"/>
        <w:left w:val="none" w:sz="0" w:space="0" w:color="auto"/>
        <w:bottom w:val="none" w:sz="0" w:space="0" w:color="auto"/>
        <w:right w:val="none" w:sz="0" w:space="0" w:color="auto"/>
      </w:divBdr>
    </w:div>
    <w:div w:id="1310279944">
      <w:bodyDiv w:val="1"/>
      <w:marLeft w:val="0"/>
      <w:marRight w:val="0"/>
      <w:marTop w:val="0"/>
      <w:marBottom w:val="0"/>
      <w:divBdr>
        <w:top w:val="none" w:sz="0" w:space="0" w:color="auto"/>
        <w:left w:val="none" w:sz="0" w:space="0" w:color="auto"/>
        <w:bottom w:val="none" w:sz="0" w:space="0" w:color="auto"/>
        <w:right w:val="none" w:sz="0" w:space="0" w:color="auto"/>
      </w:divBdr>
    </w:div>
    <w:div w:id="1337417277">
      <w:bodyDiv w:val="1"/>
      <w:marLeft w:val="0"/>
      <w:marRight w:val="0"/>
      <w:marTop w:val="0"/>
      <w:marBottom w:val="0"/>
      <w:divBdr>
        <w:top w:val="none" w:sz="0" w:space="0" w:color="auto"/>
        <w:left w:val="none" w:sz="0" w:space="0" w:color="auto"/>
        <w:bottom w:val="none" w:sz="0" w:space="0" w:color="auto"/>
        <w:right w:val="none" w:sz="0" w:space="0" w:color="auto"/>
      </w:divBdr>
    </w:div>
    <w:div w:id="1341928311">
      <w:bodyDiv w:val="1"/>
      <w:marLeft w:val="0"/>
      <w:marRight w:val="0"/>
      <w:marTop w:val="0"/>
      <w:marBottom w:val="0"/>
      <w:divBdr>
        <w:top w:val="none" w:sz="0" w:space="0" w:color="auto"/>
        <w:left w:val="none" w:sz="0" w:space="0" w:color="auto"/>
        <w:bottom w:val="none" w:sz="0" w:space="0" w:color="auto"/>
        <w:right w:val="none" w:sz="0" w:space="0" w:color="auto"/>
      </w:divBdr>
    </w:div>
    <w:div w:id="1372730014">
      <w:bodyDiv w:val="1"/>
      <w:marLeft w:val="0"/>
      <w:marRight w:val="0"/>
      <w:marTop w:val="0"/>
      <w:marBottom w:val="0"/>
      <w:divBdr>
        <w:top w:val="none" w:sz="0" w:space="0" w:color="auto"/>
        <w:left w:val="none" w:sz="0" w:space="0" w:color="auto"/>
        <w:bottom w:val="none" w:sz="0" w:space="0" w:color="auto"/>
        <w:right w:val="none" w:sz="0" w:space="0" w:color="auto"/>
      </w:divBdr>
    </w:div>
    <w:div w:id="1392655182">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38162408">
      <w:bodyDiv w:val="1"/>
      <w:marLeft w:val="0"/>
      <w:marRight w:val="0"/>
      <w:marTop w:val="0"/>
      <w:marBottom w:val="0"/>
      <w:divBdr>
        <w:top w:val="none" w:sz="0" w:space="0" w:color="auto"/>
        <w:left w:val="none" w:sz="0" w:space="0" w:color="auto"/>
        <w:bottom w:val="none" w:sz="0" w:space="0" w:color="auto"/>
        <w:right w:val="none" w:sz="0" w:space="0" w:color="auto"/>
      </w:divBdr>
    </w:div>
    <w:div w:id="1547570088">
      <w:bodyDiv w:val="1"/>
      <w:marLeft w:val="0"/>
      <w:marRight w:val="0"/>
      <w:marTop w:val="0"/>
      <w:marBottom w:val="0"/>
      <w:divBdr>
        <w:top w:val="none" w:sz="0" w:space="0" w:color="auto"/>
        <w:left w:val="none" w:sz="0" w:space="0" w:color="auto"/>
        <w:bottom w:val="none" w:sz="0" w:space="0" w:color="auto"/>
        <w:right w:val="none" w:sz="0" w:space="0" w:color="auto"/>
      </w:divBdr>
    </w:div>
    <w:div w:id="1561592998">
      <w:bodyDiv w:val="1"/>
      <w:marLeft w:val="0"/>
      <w:marRight w:val="0"/>
      <w:marTop w:val="0"/>
      <w:marBottom w:val="0"/>
      <w:divBdr>
        <w:top w:val="none" w:sz="0" w:space="0" w:color="auto"/>
        <w:left w:val="none" w:sz="0" w:space="0" w:color="auto"/>
        <w:bottom w:val="none" w:sz="0" w:space="0" w:color="auto"/>
        <w:right w:val="none" w:sz="0" w:space="0" w:color="auto"/>
      </w:divBdr>
    </w:div>
    <w:div w:id="1575385723">
      <w:bodyDiv w:val="1"/>
      <w:marLeft w:val="0"/>
      <w:marRight w:val="0"/>
      <w:marTop w:val="0"/>
      <w:marBottom w:val="0"/>
      <w:divBdr>
        <w:top w:val="none" w:sz="0" w:space="0" w:color="auto"/>
        <w:left w:val="none" w:sz="0" w:space="0" w:color="auto"/>
        <w:bottom w:val="none" w:sz="0" w:space="0" w:color="auto"/>
        <w:right w:val="none" w:sz="0" w:space="0" w:color="auto"/>
      </w:divBdr>
    </w:div>
    <w:div w:id="1575508668">
      <w:bodyDiv w:val="1"/>
      <w:marLeft w:val="0"/>
      <w:marRight w:val="0"/>
      <w:marTop w:val="0"/>
      <w:marBottom w:val="0"/>
      <w:divBdr>
        <w:top w:val="none" w:sz="0" w:space="0" w:color="auto"/>
        <w:left w:val="none" w:sz="0" w:space="0" w:color="auto"/>
        <w:bottom w:val="none" w:sz="0" w:space="0" w:color="auto"/>
        <w:right w:val="none" w:sz="0" w:space="0" w:color="auto"/>
      </w:divBdr>
    </w:div>
    <w:div w:id="1597598017">
      <w:bodyDiv w:val="1"/>
      <w:marLeft w:val="0"/>
      <w:marRight w:val="0"/>
      <w:marTop w:val="0"/>
      <w:marBottom w:val="0"/>
      <w:divBdr>
        <w:top w:val="none" w:sz="0" w:space="0" w:color="auto"/>
        <w:left w:val="none" w:sz="0" w:space="0" w:color="auto"/>
        <w:bottom w:val="none" w:sz="0" w:space="0" w:color="auto"/>
        <w:right w:val="none" w:sz="0" w:space="0" w:color="auto"/>
      </w:divBdr>
    </w:div>
    <w:div w:id="1606767098">
      <w:bodyDiv w:val="1"/>
      <w:marLeft w:val="0"/>
      <w:marRight w:val="0"/>
      <w:marTop w:val="0"/>
      <w:marBottom w:val="0"/>
      <w:divBdr>
        <w:top w:val="none" w:sz="0" w:space="0" w:color="auto"/>
        <w:left w:val="none" w:sz="0" w:space="0" w:color="auto"/>
        <w:bottom w:val="none" w:sz="0" w:space="0" w:color="auto"/>
        <w:right w:val="none" w:sz="0" w:space="0" w:color="auto"/>
      </w:divBdr>
    </w:div>
    <w:div w:id="1608001271">
      <w:bodyDiv w:val="1"/>
      <w:marLeft w:val="0"/>
      <w:marRight w:val="0"/>
      <w:marTop w:val="0"/>
      <w:marBottom w:val="0"/>
      <w:divBdr>
        <w:top w:val="none" w:sz="0" w:space="0" w:color="auto"/>
        <w:left w:val="none" w:sz="0" w:space="0" w:color="auto"/>
        <w:bottom w:val="none" w:sz="0" w:space="0" w:color="auto"/>
        <w:right w:val="none" w:sz="0" w:space="0" w:color="auto"/>
      </w:divBdr>
    </w:div>
    <w:div w:id="1712613891">
      <w:bodyDiv w:val="1"/>
      <w:marLeft w:val="0"/>
      <w:marRight w:val="0"/>
      <w:marTop w:val="0"/>
      <w:marBottom w:val="0"/>
      <w:divBdr>
        <w:top w:val="none" w:sz="0" w:space="0" w:color="auto"/>
        <w:left w:val="none" w:sz="0" w:space="0" w:color="auto"/>
        <w:bottom w:val="none" w:sz="0" w:space="0" w:color="auto"/>
        <w:right w:val="none" w:sz="0" w:space="0" w:color="auto"/>
      </w:divBdr>
    </w:div>
    <w:div w:id="1766271024">
      <w:bodyDiv w:val="1"/>
      <w:marLeft w:val="0"/>
      <w:marRight w:val="0"/>
      <w:marTop w:val="0"/>
      <w:marBottom w:val="0"/>
      <w:divBdr>
        <w:top w:val="none" w:sz="0" w:space="0" w:color="auto"/>
        <w:left w:val="none" w:sz="0" w:space="0" w:color="auto"/>
        <w:bottom w:val="none" w:sz="0" w:space="0" w:color="auto"/>
        <w:right w:val="none" w:sz="0" w:space="0" w:color="auto"/>
      </w:divBdr>
    </w:div>
    <w:div w:id="1769691357">
      <w:bodyDiv w:val="1"/>
      <w:marLeft w:val="0"/>
      <w:marRight w:val="0"/>
      <w:marTop w:val="0"/>
      <w:marBottom w:val="0"/>
      <w:divBdr>
        <w:top w:val="none" w:sz="0" w:space="0" w:color="auto"/>
        <w:left w:val="none" w:sz="0" w:space="0" w:color="auto"/>
        <w:bottom w:val="none" w:sz="0" w:space="0" w:color="auto"/>
        <w:right w:val="none" w:sz="0" w:space="0" w:color="auto"/>
      </w:divBdr>
    </w:div>
    <w:div w:id="1844277056">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01091455">
      <w:bodyDiv w:val="1"/>
      <w:marLeft w:val="0"/>
      <w:marRight w:val="0"/>
      <w:marTop w:val="0"/>
      <w:marBottom w:val="0"/>
      <w:divBdr>
        <w:top w:val="none" w:sz="0" w:space="0" w:color="auto"/>
        <w:left w:val="none" w:sz="0" w:space="0" w:color="auto"/>
        <w:bottom w:val="none" w:sz="0" w:space="0" w:color="auto"/>
        <w:right w:val="none" w:sz="0" w:space="0" w:color="auto"/>
      </w:divBdr>
    </w:div>
    <w:div w:id="1916671889">
      <w:bodyDiv w:val="1"/>
      <w:marLeft w:val="0"/>
      <w:marRight w:val="0"/>
      <w:marTop w:val="0"/>
      <w:marBottom w:val="0"/>
      <w:divBdr>
        <w:top w:val="none" w:sz="0" w:space="0" w:color="auto"/>
        <w:left w:val="none" w:sz="0" w:space="0" w:color="auto"/>
        <w:bottom w:val="none" w:sz="0" w:space="0" w:color="auto"/>
        <w:right w:val="none" w:sz="0" w:space="0" w:color="auto"/>
      </w:divBdr>
    </w:div>
    <w:div w:id="1977298247">
      <w:bodyDiv w:val="1"/>
      <w:marLeft w:val="0"/>
      <w:marRight w:val="0"/>
      <w:marTop w:val="0"/>
      <w:marBottom w:val="0"/>
      <w:divBdr>
        <w:top w:val="none" w:sz="0" w:space="0" w:color="auto"/>
        <w:left w:val="none" w:sz="0" w:space="0" w:color="auto"/>
        <w:bottom w:val="none" w:sz="0" w:space="0" w:color="auto"/>
        <w:right w:val="none" w:sz="0" w:space="0" w:color="auto"/>
      </w:divBdr>
    </w:div>
    <w:div w:id="2034571184">
      <w:bodyDiv w:val="1"/>
      <w:marLeft w:val="0"/>
      <w:marRight w:val="0"/>
      <w:marTop w:val="0"/>
      <w:marBottom w:val="0"/>
      <w:divBdr>
        <w:top w:val="none" w:sz="0" w:space="0" w:color="auto"/>
        <w:left w:val="none" w:sz="0" w:space="0" w:color="auto"/>
        <w:bottom w:val="none" w:sz="0" w:space="0" w:color="auto"/>
        <w:right w:val="none" w:sz="0" w:space="0" w:color="auto"/>
      </w:divBdr>
    </w:div>
    <w:div w:id="2040084974">
      <w:bodyDiv w:val="1"/>
      <w:marLeft w:val="0"/>
      <w:marRight w:val="0"/>
      <w:marTop w:val="0"/>
      <w:marBottom w:val="0"/>
      <w:divBdr>
        <w:top w:val="none" w:sz="0" w:space="0" w:color="auto"/>
        <w:left w:val="none" w:sz="0" w:space="0" w:color="auto"/>
        <w:bottom w:val="none" w:sz="0" w:space="0" w:color="auto"/>
        <w:right w:val="none" w:sz="0" w:space="0" w:color="auto"/>
      </w:divBdr>
    </w:div>
    <w:div w:id="2041464997">
      <w:bodyDiv w:val="1"/>
      <w:marLeft w:val="0"/>
      <w:marRight w:val="0"/>
      <w:marTop w:val="0"/>
      <w:marBottom w:val="0"/>
      <w:divBdr>
        <w:top w:val="none" w:sz="0" w:space="0" w:color="auto"/>
        <w:left w:val="none" w:sz="0" w:space="0" w:color="auto"/>
        <w:bottom w:val="none" w:sz="0" w:space="0" w:color="auto"/>
        <w:right w:val="none" w:sz="0" w:space="0" w:color="auto"/>
      </w:divBdr>
    </w:div>
    <w:div w:id="205843196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19058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101r-k-vek-a-vzdelani-populace--xrc84xlkn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KIN~1\AppData\Local\Temp\Publikace%20bar%20CZ_lide%20a%20spolecnost_2016-03-29.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4C9CA-7515-42B2-A548-94AB7DD6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spolecnost_2016-03-29</Template>
  <TotalTime>0</TotalTime>
  <Pages>11</Pages>
  <Words>3456</Words>
  <Characters>20393</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kurkin4488</dc:creator>
  <cp:lastModifiedBy>kurkin4488</cp:lastModifiedBy>
  <cp:revision>3</cp:revision>
  <cp:lastPrinted>2014-07-17T14:07:00Z</cp:lastPrinted>
  <dcterms:created xsi:type="dcterms:W3CDTF">2016-11-28T14:27:00Z</dcterms:created>
  <dcterms:modified xsi:type="dcterms:W3CDTF">2016-11-28T14:32:00Z</dcterms:modified>
</cp:coreProperties>
</file>