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95" w:rsidRDefault="00422D95" w:rsidP="008414DF">
      <w:pPr>
        <w:pStyle w:val="Nadpis1"/>
        <w:spacing w:after="240" w:line="240" w:lineRule="auto"/>
        <w:rPr>
          <w:rFonts w:ascii="Arial" w:hAnsi="Arial" w:cs="Arial"/>
          <w:sz w:val="24"/>
        </w:rPr>
      </w:pPr>
      <w:r>
        <w:rPr>
          <w:rFonts w:ascii="Arial" w:hAnsi="Arial" w:cs="Arial"/>
          <w:sz w:val="24"/>
        </w:rPr>
        <w:t>METODICKÉ VYSVĚTLIVKY</w:t>
      </w:r>
    </w:p>
    <w:p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potravin, nápojů a cigaret za rok 201</w:t>
      </w:r>
      <w:r w:rsidR="00DA3DFD">
        <w:rPr>
          <w:rFonts w:ascii="Arial" w:hAnsi="Arial" w:cs="Arial"/>
          <w:sz w:val="20"/>
        </w:rPr>
        <w:t>9</w:t>
      </w:r>
      <w:r>
        <w:rPr>
          <w:rFonts w:ascii="Arial" w:hAnsi="Arial" w:cs="Arial"/>
          <w:sz w:val="20"/>
        </w:rPr>
        <w:t xml:space="preserve">, pro snadnou orientaci uživatelů dále též </w:t>
      </w:r>
      <w:r w:rsidR="00DF64A7">
        <w:rPr>
          <w:rFonts w:ascii="Arial" w:hAnsi="Arial" w:cs="Arial"/>
          <w:sz w:val="20"/>
        </w:rPr>
        <w:t>údaje v časové řadě od ro</w:t>
      </w:r>
      <w:r w:rsidR="00DF64A7" w:rsidRPr="00E83BB9">
        <w:rPr>
          <w:rFonts w:ascii="Arial" w:hAnsi="Arial" w:cs="Arial"/>
          <w:sz w:val="20"/>
        </w:rPr>
        <w:t xml:space="preserve">ku </w:t>
      </w:r>
      <w:r w:rsidR="00E83BB9" w:rsidRPr="00E83BB9">
        <w:rPr>
          <w:rFonts w:ascii="Arial" w:hAnsi="Arial" w:cs="Arial"/>
          <w:sz w:val="20"/>
        </w:rPr>
        <w:t>2010</w:t>
      </w:r>
      <w:r w:rsidRPr="00E83BB9">
        <w:rPr>
          <w:rFonts w:ascii="Arial" w:hAnsi="Arial" w:cs="Arial"/>
          <w:sz w:val="20"/>
        </w:rPr>
        <w:t xml:space="preserve"> po jedn</w:t>
      </w:r>
      <w:r>
        <w:rPr>
          <w:rFonts w:ascii="Arial" w:hAnsi="Arial" w:cs="Arial"/>
          <w:sz w:val="20"/>
        </w:rPr>
        <w:t>otlivých letech.</w:t>
      </w:r>
    </w:p>
    <w:p w:rsidR="00496D61" w:rsidRPr="00496D61" w:rsidRDefault="00496D61" w:rsidP="00496D61">
      <w:pPr>
        <w:spacing w:before="120" w:after="120"/>
        <w:ind w:firstLine="567"/>
        <w:jc w:val="both"/>
        <w:rPr>
          <w:rFonts w:ascii="Arial" w:hAnsi="Arial" w:cs="Arial"/>
          <w:sz w:val="20"/>
        </w:rPr>
      </w:pPr>
      <w:r w:rsidRPr="00496D61">
        <w:rPr>
          <w:rFonts w:ascii="Arial" w:hAnsi="Arial" w:cs="Arial"/>
          <w:sz w:val="20"/>
        </w:rPr>
        <w:t>Součty, indexy v tabulkách a výpočty v komentáři jsou vypočítány z nezaokrouhlených čísel.</w:t>
      </w:r>
    </w:p>
    <w:p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w:t>
      </w:r>
      <w:r w:rsidR="004C333C">
        <w:rPr>
          <w:rFonts w:ascii="Arial" w:hAnsi="Arial" w:cs="Arial"/>
          <w:sz w:val="20"/>
        </w:rPr>
        <w:t>tiky živočišné výroby za rok 2020</w:t>
      </w:r>
    </w:p>
    <w:p w:rsidR="00422D95" w:rsidRDefault="00422D95" w:rsidP="00422D95">
      <w:pPr>
        <w:numPr>
          <w:ilvl w:val="0"/>
          <w:numId w:val="1"/>
        </w:numPr>
        <w:jc w:val="both"/>
        <w:rPr>
          <w:rFonts w:ascii="Arial" w:hAnsi="Arial" w:cs="Arial"/>
          <w:sz w:val="20"/>
        </w:rPr>
      </w:pPr>
      <w:r>
        <w:rPr>
          <w:rFonts w:ascii="Arial" w:hAnsi="Arial" w:cs="Arial"/>
          <w:sz w:val="20"/>
        </w:rPr>
        <w:t>Definitivní údaje o sklizn</w:t>
      </w:r>
      <w:r w:rsidR="004C333C">
        <w:rPr>
          <w:rFonts w:ascii="Arial" w:hAnsi="Arial" w:cs="Arial"/>
          <w:sz w:val="20"/>
        </w:rPr>
        <w:t>i zemědělských plodin za rok 2020</w:t>
      </w:r>
    </w:p>
    <w:p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w:t>
      </w:r>
      <w:r w:rsidR="004C333C">
        <w:rPr>
          <w:rFonts w:ascii="Arial" w:hAnsi="Arial" w:cs="Arial"/>
          <w:sz w:val="20"/>
        </w:rPr>
        <w:t>myslu České republiky za rok 2020</w:t>
      </w:r>
      <w:r w:rsidRPr="00AE0F29">
        <w:rPr>
          <w:rFonts w:ascii="Arial" w:hAnsi="Arial" w:cs="Arial"/>
          <w:sz w:val="20"/>
        </w:rPr>
        <w:t xml:space="preserve"> (ve zvolených měrných jednotkách) </w:t>
      </w:r>
    </w:p>
    <w:p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rsidR="00422D95" w:rsidRPr="005A3720" w:rsidRDefault="00422D95" w:rsidP="00422D95">
      <w:pPr>
        <w:numPr>
          <w:ilvl w:val="0"/>
          <w:numId w:val="1"/>
        </w:numPr>
        <w:jc w:val="both"/>
        <w:rPr>
          <w:rFonts w:ascii="Arial" w:hAnsi="Arial" w:cs="Arial"/>
          <w:sz w:val="20"/>
        </w:rPr>
      </w:pPr>
      <w:r w:rsidRPr="005A3720">
        <w:rPr>
          <w:rFonts w:ascii="Arial" w:hAnsi="Arial" w:cs="Arial"/>
          <w:sz w:val="20"/>
        </w:rPr>
        <w:t>Dovoz a vývoz potravinářských výrobků ze statistiky zahraničního obchodu ČSÚ (se stavem k </w:t>
      </w:r>
      <w:r w:rsidR="005A3720" w:rsidRPr="005A3720">
        <w:rPr>
          <w:rFonts w:ascii="Arial" w:hAnsi="Arial" w:cs="Arial"/>
          <w:sz w:val="20"/>
        </w:rPr>
        <w:t>1</w:t>
      </w:r>
      <w:r w:rsidR="00052A7B" w:rsidRPr="005A3720">
        <w:rPr>
          <w:rFonts w:ascii="Arial" w:hAnsi="Arial" w:cs="Arial"/>
          <w:sz w:val="20"/>
        </w:rPr>
        <w:t>. 9</w:t>
      </w:r>
      <w:r w:rsidRPr="005A3720">
        <w:rPr>
          <w:rFonts w:ascii="Arial" w:hAnsi="Arial" w:cs="Arial"/>
          <w:sz w:val="20"/>
        </w:rPr>
        <w:t>.</w:t>
      </w:r>
      <w:r w:rsidR="00285102" w:rsidRPr="005A3720">
        <w:rPr>
          <w:rFonts w:ascii="Arial" w:hAnsi="Arial" w:cs="Arial"/>
          <w:sz w:val="20"/>
        </w:rPr>
        <w:t> </w:t>
      </w:r>
      <w:r w:rsidR="004C333C">
        <w:rPr>
          <w:rFonts w:ascii="Arial" w:hAnsi="Arial" w:cs="Arial"/>
          <w:sz w:val="20"/>
        </w:rPr>
        <w:t>2021</w:t>
      </w:r>
      <w:r w:rsidRPr="005A3720">
        <w:rPr>
          <w:rFonts w:ascii="Arial" w:hAnsi="Arial" w:cs="Arial"/>
          <w:sz w:val="20"/>
        </w:rPr>
        <w:t>)</w:t>
      </w:r>
    </w:p>
    <w:p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rsidR="00422D95" w:rsidRDefault="00422D95" w:rsidP="00422D95">
      <w:pPr>
        <w:spacing w:before="120" w:after="120"/>
        <w:ind w:firstLine="567"/>
        <w:jc w:val="both"/>
        <w:rPr>
          <w:rFonts w:ascii="Arial" w:hAnsi="Arial" w:cs="Arial"/>
          <w:sz w:val="20"/>
        </w:rPr>
      </w:pPr>
      <w:r>
        <w:rPr>
          <w:rFonts w:ascii="Arial" w:hAnsi="Arial" w:cs="Arial"/>
          <w:sz w:val="20"/>
        </w:rPr>
        <w:t xml:space="preserve">Pro statistiku spotřeby potravin neexistuje žádná závazná klasifikace – ani v ČR ani v mezinárodním měřítku (EUROSTATu).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r w:rsidRPr="008414DF">
        <w:rPr>
          <w:rFonts w:ascii="Arial" w:hAnsi="Arial" w:cs="Arial"/>
          <w:i/>
          <w:sz w:val="20"/>
        </w:rPr>
        <w:t>(Classification of Individual Consumption by Purpose)</w:t>
      </w:r>
      <w:r>
        <w:rPr>
          <w:rFonts w:ascii="Arial" w:hAnsi="Arial" w:cs="Arial"/>
          <w:sz w:val="20"/>
        </w:rPr>
        <w:t xml:space="preserve"> pro zajištění mezinárodní srovnatelnosti statistických ukazatelů a je, mimo jiné, používaná také ve statistice rodinných účtů.</w:t>
      </w:r>
    </w:p>
    <w:p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 xml:space="preserve">7. v příslušném roce. V následující tabulce jsou uvedeny střední stavy </w:t>
      </w:r>
      <w:r w:rsidR="004C333C">
        <w:rPr>
          <w:rFonts w:ascii="Arial" w:hAnsi="Arial" w:cs="Arial"/>
          <w:sz w:val="20"/>
        </w:rPr>
        <w:t>obyvatelstva v letech 2011–2020</w:t>
      </w:r>
      <w:r>
        <w:rPr>
          <w:rFonts w:ascii="Arial" w:hAnsi="Arial" w:cs="Arial"/>
          <w:sz w:val="20"/>
        </w:rPr>
        <w:t>.</w:t>
      </w: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131"/>
        <w:gridCol w:w="3390"/>
        <w:gridCol w:w="1131"/>
        <w:gridCol w:w="3390"/>
      </w:tblGrid>
      <w:tr w:rsidR="00422D95" w:rsidTr="0076202D">
        <w:trPr>
          <w:jc w:val="center"/>
        </w:trPr>
        <w:tc>
          <w:tcPr>
            <w:tcW w:w="1131" w:type="dxa"/>
            <w:tcBorders>
              <w:top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right w:val="single" w:sz="12"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1" w:type="dxa"/>
            <w:tcBorders>
              <w:top w:val="single" w:sz="12" w:space="0" w:color="auto"/>
              <w:left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D41874" w:rsidTr="00DF64A7">
        <w:trPr>
          <w:jc w:val="center"/>
        </w:trPr>
        <w:tc>
          <w:tcPr>
            <w:tcW w:w="1131" w:type="dxa"/>
            <w:tcBorders>
              <w:top w:val="double" w:sz="4"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2011</w:t>
            </w:r>
          </w:p>
        </w:tc>
        <w:tc>
          <w:tcPr>
            <w:tcW w:w="3390" w:type="dxa"/>
            <w:tcBorders>
              <w:top w:val="double" w:sz="4" w:space="0" w:color="auto"/>
              <w:left w:val="single" w:sz="6" w:space="0" w:color="auto"/>
              <w:bottom w:val="dotted" w:sz="6" w:space="0" w:color="auto"/>
              <w:right w:val="single" w:sz="12"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10 496 672</w:t>
            </w:r>
          </w:p>
        </w:tc>
        <w:tc>
          <w:tcPr>
            <w:tcW w:w="1131" w:type="dxa"/>
            <w:tcBorders>
              <w:top w:val="double" w:sz="4" w:space="0" w:color="auto"/>
              <w:left w:val="single" w:sz="12"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2016</w:t>
            </w:r>
          </w:p>
        </w:tc>
        <w:tc>
          <w:tcPr>
            <w:tcW w:w="3390" w:type="dxa"/>
            <w:tcBorders>
              <w:top w:val="double" w:sz="4" w:space="0" w:color="auto"/>
              <w:left w:val="single" w:sz="6" w:space="0" w:color="auto"/>
              <w:bottom w:val="dotted" w:sz="6" w:space="0" w:color="auto"/>
            </w:tcBorders>
            <w:vAlign w:val="center"/>
          </w:tcPr>
          <w:p w:rsidR="00D41874" w:rsidRPr="00DF64A7" w:rsidRDefault="0036470B" w:rsidP="00131697">
            <w:pPr>
              <w:spacing w:before="120"/>
              <w:jc w:val="center"/>
              <w:rPr>
                <w:rFonts w:ascii="Arial" w:hAnsi="Arial" w:cs="Arial"/>
                <w:sz w:val="20"/>
                <w:szCs w:val="20"/>
              </w:rPr>
            </w:pPr>
            <w:r>
              <w:rPr>
                <w:rFonts w:ascii="Arial" w:hAnsi="Arial" w:cs="Arial"/>
                <w:sz w:val="20"/>
                <w:szCs w:val="20"/>
              </w:rPr>
              <w:t>10 565 284</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2012</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10 509 286</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2017</w:t>
            </w:r>
          </w:p>
        </w:tc>
        <w:tc>
          <w:tcPr>
            <w:tcW w:w="3390" w:type="dxa"/>
            <w:tcBorders>
              <w:top w:val="dotted" w:sz="6" w:space="0" w:color="auto"/>
              <w:left w:val="single" w:sz="6" w:space="0" w:color="auto"/>
              <w:bottom w:val="dotted" w:sz="6" w:space="0" w:color="auto"/>
            </w:tcBorders>
            <w:vAlign w:val="center"/>
          </w:tcPr>
          <w:p w:rsidR="00D41874" w:rsidRPr="00DF64A7" w:rsidRDefault="009B1B26" w:rsidP="00131697">
            <w:pPr>
              <w:spacing w:before="120"/>
              <w:jc w:val="center"/>
              <w:rPr>
                <w:rFonts w:ascii="Arial" w:hAnsi="Arial" w:cs="Arial"/>
                <w:sz w:val="20"/>
                <w:szCs w:val="20"/>
              </w:rPr>
            </w:pPr>
            <w:r>
              <w:rPr>
                <w:rFonts w:ascii="Arial" w:hAnsi="Arial" w:cs="Arial"/>
                <w:sz w:val="20"/>
                <w:szCs w:val="20"/>
              </w:rPr>
              <w:t>10 589 526</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2013</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10 510 719</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2018</w:t>
            </w:r>
          </w:p>
        </w:tc>
        <w:tc>
          <w:tcPr>
            <w:tcW w:w="3390" w:type="dxa"/>
            <w:tcBorders>
              <w:top w:val="dotted" w:sz="6" w:space="0" w:color="auto"/>
              <w:left w:val="single" w:sz="6" w:space="0" w:color="auto"/>
              <w:bottom w:val="dotted" w:sz="6" w:space="0" w:color="auto"/>
            </w:tcBorders>
            <w:vAlign w:val="center"/>
          </w:tcPr>
          <w:p w:rsidR="00D41874" w:rsidRPr="00DF64A7" w:rsidRDefault="009B1B26" w:rsidP="00131697">
            <w:pPr>
              <w:spacing w:before="120"/>
              <w:jc w:val="center"/>
              <w:rPr>
                <w:rFonts w:ascii="Arial" w:hAnsi="Arial" w:cs="Arial"/>
                <w:sz w:val="20"/>
                <w:szCs w:val="20"/>
              </w:rPr>
            </w:pPr>
            <w:r>
              <w:rPr>
                <w:rFonts w:ascii="Arial" w:hAnsi="Arial" w:cs="Arial"/>
                <w:sz w:val="20"/>
                <w:szCs w:val="20"/>
              </w:rPr>
              <w:t>10 626 430</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2014</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9B1B26" w:rsidP="00131697">
            <w:pPr>
              <w:spacing w:before="120"/>
              <w:jc w:val="center"/>
              <w:rPr>
                <w:rFonts w:ascii="Arial" w:hAnsi="Arial" w:cs="Arial"/>
                <w:sz w:val="20"/>
                <w:szCs w:val="20"/>
              </w:rPr>
            </w:pPr>
            <w:r>
              <w:rPr>
                <w:rFonts w:ascii="Arial" w:hAnsi="Arial" w:cs="Arial"/>
                <w:sz w:val="20"/>
                <w:szCs w:val="20"/>
              </w:rPr>
              <w:t>10 524 783</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2019</w:t>
            </w:r>
          </w:p>
        </w:tc>
        <w:tc>
          <w:tcPr>
            <w:tcW w:w="3390" w:type="dxa"/>
            <w:tcBorders>
              <w:top w:val="dotted" w:sz="6"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color w:val="000000"/>
                <w:sz w:val="20"/>
                <w:szCs w:val="20"/>
              </w:rPr>
            </w:pPr>
            <w:r w:rsidRPr="00DF64A7">
              <w:rPr>
                <w:rFonts w:ascii="Arial" w:hAnsi="Arial" w:cs="Arial"/>
                <w:sz w:val="20"/>
                <w:szCs w:val="20"/>
              </w:rPr>
              <w:t>10</w:t>
            </w:r>
            <w:r w:rsidR="009B1B26">
              <w:rPr>
                <w:rFonts w:ascii="Arial" w:hAnsi="Arial" w:cs="Arial"/>
                <w:color w:val="000000"/>
                <w:sz w:val="20"/>
                <w:szCs w:val="20"/>
              </w:rPr>
              <w:t> 669 324</w:t>
            </w:r>
          </w:p>
        </w:tc>
      </w:tr>
      <w:tr w:rsidR="00D41874" w:rsidTr="00DF64A7">
        <w:trPr>
          <w:jc w:val="center"/>
        </w:trPr>
        <w:tc>
          <w:tcPr>
            <w:tcW w:w="1131" w:type="dxa"/>
            <w:tcBorders>
              <w:top w:val="dotted" w:sz="6" w:space="0" w:color="auto"/>
              <w:bottom w:val="single" w:sz="12" w:space="0" w:color="auto"/>
              <w:right w:val="single" w:sz="6" w:space="0" w:color="auto"/>
            </w:tcBorders>
            <w:vAlign w:val="center"/>
          </w:tcPr>
          <w:p w:rsidR="00D41874" w:rsidRPr="00DF64A7" w:rsidRDefault="004C333C" w:rsidP="00131697">
            <w:pPr>
              <w:spacing w:before="120"/>
              <w:jc w:val="center"/>
              <w:rPr>
                <w:rFonts w:ascii="Arial" w:hAnsi="Arial" w:cs="Arial"/>
                <w:sz w:val="20"/>
                <w:szCs w:val="20"/>
              </w:rPr>
            </w:pPr>
            <w:r>
              <w:rPr>
                <w:rFonts w:ascii="Arial" w:hAnsi="Arial" w:cs="Arial"/>
                <w:sz w:val="20"/>
                <w:szCs w:val="20"/>
              </w:rPr>
              <w:t>2015</w:t>
            </w:r>
          </w:p>
        </w:tc>
        <w:tc>
          <w:tcPr>
            <w:tcW w:w="3390" w:type="dxa"/>
            <w:tcBorders>
              <w:top w:val="dotted" w:sz="6" w:space="0" w:color="auto"/>
              <w:left w:val="single" w:sz="6" w:space="0" w:color="auto"/>
              <w:bottom w:val="single" w:sz="12" w:space="0" w:color="auto"/>
              <w:right w:val="single" w:sz="12" w:space="0" w:color="auto"/>
            </w:tcBorders>
            <w:vAlign w:val="center"/>
          </w:tcPr>
          <w:p w:rsidR="00D41874" w:rsidRPr="00DF64A7" w:rsidRDefault="009B1B26" w:rsidP="00131697">
            <w:pPr>
              <w:spacing w:before="120"/>
              <w:jc w:val="center"/>
              <w:rPr>
                <w:rFonts w:ascii="Arial" w:hAnsi="Arial" w:cs="Arial"/>
                <w:sz w:val="20"/>
                <w:szCs w:val="20"/>
              </w:rPr>
            </w:pPr>
            <w:r>
              <w:rPr>
                <w:rFonts w:ascii="Arial" w:hAnsi="Arial" w:cs="Arial"/>
                <w:sz w:val="20"/>
                <w:szCs w:val="20"/>
              </w:rPr>
              <w:t>10 542 942</w:t>
            </w:r>
          </w:p>
        </w:tc>
        <w:tc>
          <w:tcPr>
            <w:tcW w:w="1131" w:type="dxa"/>
            <w:tcBorders>
              <w:top w:val="dotted" w:sz="6" w:space="0" w:color="auto"/>
              <w:left w:val="single" w:sz="12" w:space="0" w:color="auto"/>
              <w:bottom w:val="single" w:sz="12" w:space="0" w:color="auto"/>
              <w:right w:val="single" w:sz="6" w:space="0" w:color="auto"/>
            </w:tcBorders>
            <w:vAlign w:val="center"/>
          </w:tcPr>
          <w:p w:rsidR="00D41874" w:rsidRPr="00DF64A7" w:rsidRDefault="004C333C" w:rsidP="00DF64A7">
            <w:pPr>
              <w:spacing w:before="120"/>
              <w:jc w:val="center"/>
              <w:rPr>
                <w:rFonts w:ascii="Arial" w:hAnsi="Arial" w:cs="Arial"/>
                <w:sz w:val="20"/>
                <w:szCs w:val="20"/>
              </w:rPr>
            </w:pPr>
            <w:r>
              <w:rPr>
                <w:rFonts w:ascii="Arial" w:hAnsi="Arial" w:cs="Arial"/>
                <w:sz w:val="20"/>
                <w:szCs w:val="20"/>
              </w:rPr>
              <w:t>2020</w:t>
            </w:r>
          </w:p>
        </w:tc>
        <w:tc>
          <w:tcPr>
            <w:tcW w:w="3390" w:type="dxa"/>
            <w:tcBorders>
              <w:top w:val="dotted" w:sz="6" w:space="0" w:color="auto"/>
              <w:left w:val="single" w:sz="6" w:space="0" w:color="auto"/>
              <w:bottom w:val="single" w:sz="12" w:space="0" w:color="auto"/>
            </w:tcBorders>
            <w:vAlign w:val="center"/>
          </w:tcPr>
          <w:p w:rsidR="00D41874" w:rsidRPr="00DF64A7" w:rsidRDefault="009B1B26" w:rsidP="00DF64A7">
            <w:pPr>
              <w:spacing w:before="120"/>
              <w:jc w:val="center"/>
              <w:rPr>
                <w:rFonts w:ascii="Arial" w:hAnsi="Arial" w:cs="Arial"/>
                <w:color w:val="000000"/>
                <w:sz w:val="20"/>
                <w:szCs w:val="20"/>
              </w:rPr>
            </w:pPr>
            <w:r>
              <w:rPr>
                <w:rFonts w:ascii="Arial" w:hAnsi="Arial" w:cs="Arial"/>
                <w:color w:val="000000"/>
                <w:sz w:val="20"/>
                <w:szCs w:val="20"/>
              </w:rPr>
              <w:t>10 700 155</w:t>
            </w:r>
          </w:p>
        </w:tc>
      </w:tr>
    </w:tbl>
    <w:p w:rsidR="008414DF" w:rsidRDefault="008414DF" w:rsidP="00496D61">
      <w:pPr>
        <w:spacing w:before="120" w:after="120"/>
        <w:jc w:val="both"/>
        <w:rPr>
          <w:rFonts w:ascii="Arial" w:hAnsi="Arial" w:cs="Arial"/>
          <w:sz w:val="20"/>
        </w:rPr>
      </w:pPr>
    </w:p>
    <w:p w:rsidR="002E4BDE" w:rsidRPr="002E4BDE" w:rsidRDefault="002E4BDE" w:rsidP="002E4BDE">
      <w:pPr>
        <w:ind w:firstLine="708"/>
        <w:rPr>
          <w:rFonts w:ascii="Arial" w:hAnsi="Arial" w:cs="Arial"/>
          <w:sz w:val="20"/>
          <w:szCs w:val="20"/>
        </w:rPr>
      </w:pPr>
      <w:r w:rsidRPr="002E4BDE">
        <w:rPr>
          <w:rFonts w:ascii="Arial" w:hAnsi="Arial" w:cs="Arial"/>
          <w:sz w:val="20"/>
          <w:szCs w:val="20"/>
        </w:rPr>
        <w:t>Potravinová soběstačnost aneb soběstačnost ve výrobě potravin je vyjádřena podílem tuzemské výroby a tuzemské spotřeby. Publikované údaje jsou vypočteny z podílu výroby na obyvatele a spotřeby na obyvatele pro jednotlivé položky, převedeno na procenta.</w:t>
      </w:r>
    </w:p>
    <w:p w:rsidR="002E4BDE" w:rsidRDefault="002E4BDE" w:rsidP="00496D61">
      <w:pPr>
        <w:spacing w:before="120" w:after="120"/>
        <w:jc w:val="both"/>
        <w:rPr>
          <w:rFonts w:ascii="Arial" w:hAnsi="Arial" w:cs="Arial"/>
          <w:sz w:val="20"/>
        </w:rPr>
      </w:pPr>
      <w:bookmarkStart w:id="0" w:name="_GoBack"/>
      <w:bookmarkEnd w:id="0"/>
    </w:p>
    <w:p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 dispozici</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E8"/>
    <w:rsid w:val="000124BB"/>
    <w:rsid w:val="00034104"/>
    <w:rsid w:val="00052A7B"/>
    <w:rsid w:val="0005448A"/>
    <w:rsid w:val="000D3848"/>
    <w:rsid w:val="00111FE5"/>
    <w:rsid w:val="0011637B"/>
    <w:rsid w:val="00173F54"/>
    <w:rsid w:val="002454C9"/>
    <w:rsid w:val="00285102"/>
    <w:rsid w:val="002B0BF6"/>
    <w:rsid w:val="002E4BDE"/>
    <w:rsid w:val="0036470B"/>
    <w:rsid w:val="003809EE"/>
    <w:rsid w:val="003A3CB6"/>
    <w:rsid w:val="00406F65"/>
    <w:rsid w:val="00422D95"/>
    <w:rsid w:val="00496D61"/>
    <w:rsid w:val="004C333C"/>
    <w:rsid w:val="005A3720"/>
    <w:rsid w:val="0069521D"/>
    <w:rsid w:val="00703CEA"/>
    <w:rsid w:val="00724E11"/>
    <w:rsid w:val="007500D0"/>
    <w:rsid w:val="0076202D"/>
    <w:rsid w:val="008414DF"/>
    <w:rsid w:val="008467DF"/>
    <w:rsid w:val="00887D39"/>
    <w:rsid w:val="008A4F70"/>
    <w:rsid w:val="008C1001"/>
    <w:rsid w:val="008E21B4"/>
    <w:rsid w:val="009B1B26"/>
    <w:rsid w:val="009D3A58"/>
    <w:rsid w:val="00A407EB"/>
    <w:rsid w:val="00C042D5"/>
    <w:rsid w:val="00C26D00"/>
    <w:rsid w:val="00C41ED7"/>
    <w:rsid w:val="00D075C0"/>
    <w:rsid w:val="00D41874"/>
    <w:rsid w:val="00D87C98"/>
    <w:rsid w:val="00DA3DFD"/>
    <w:rsid w:val="00DC3796"/>
    <w:rsid w:val="00DC599A"/>
    <w:rsid w:val="00DF64A7"/>
    <w:rsid w:val="00E03141"/>
    <w:rsid w:val="00E321B9"/>
    <w:rsid w:val="00E37815"/>
    <w:rsid w:val="00E610E8"/>
    <w:rsid w:val="00E83BB9"/>
    <w:rsid w:val="00E95D8E"/>
    <w:rsid w:val="00F34910"/>
    <w:rsid w:val="00FF5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FE6"/>
  <w15:docId w15:val="{706B21B7-FDC3-4DD1-BCBA-52A6F7B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858">
      <w:bodyDiv w:val="1"/>
      <w:marLeft w:val="0"/>
      <w:marRight w:val="0"/>
      <w:marTop w:val="0"/>
      <w:marBottom w:val="0"/>
      <w:divBdr>
        <w:top w:val="none" w:sz="0" w:space="0" w:color="auto"/>
        <w:left w:val="none" w:sz="0" w:space="0" w:color="auto"/>
        <w:bottom w:val="none" w:sz="0" w:space="0" w:color="auto"/>
        <w:right w:val="none" w:sz="0" w:space="0" w:color="auto"/>
      </w:divBdr>
    </w:div>
    <w:div w:id="1517160989">
      <w:bodyDiv w:val="1"/>
      <w:marLeft w:val="0"/>
      <w:marRight w:val="0"/>
      <w:marTop w:val="0"/>
      <w:marBottom w:val="0"/>
      <w:divBdr>
        <w:top w:val="none" w:sz="0" w:space="0" w:color="auto"/>
        <w:left w:val="none" w:sz="0" w:space="0" w:color="auto"/>
        <w:bottom w:val="none" w:sz="0" w:space="0" w:color="auto"/>
        <w:right w:val="none" w:sz="0" w:space="0" w:color="auto"/>
      </w:divBdr>
    </w:div>
    <w:div w:id="1955404128">
      <w:bodyDiv w:val="1"/>
      <w:marLeft w:val="0"/>
      <w:marRight w:val="0"/>
      <w:marTop w:val="0"/>
      <w:marBottom w:val="0"/>
      <w:divBdr>
        <w:top w:val="none" w:sz="0" w:space="0" w:color="auto"/>
        <w:left w:val="none" w:sz="0" w:space="0" w:color="auto"/>
        <w:bottom w:val="none" w:sz="0" w:space="0" w:color="auto"/>
        <w:right w:val="none" w:sz="0" w:space="0" w:color="auto"/>
      </w:divBdr>
    </w:div>
    <w:div w:id="19581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444</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hnidkova2727</dc:creator>
  <cp:lastModifiedBy>klemova9719</cp:lastModifiedBy>
  <cp:revision>6</cp:revision>
  <dcterms:created xsi:type="dcterms:W3CDTF">2021-10-26T11:15:00Z</dcterms:created>
  <dcterms:modified xsi:type="dcterms:W3CDTF">2021-11-16T13:34:00Z</dcterms:modified>
</cp:coreProperties>
</file>