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26" w:rsidRPr="00A74192" w:rsidRDefault="00DD0726" w:rsidP="002F4402">
      <w:pPr>
        <w:pStyle w:val="Nadpis1"/>
        <w:numPr>
          <w:ilvl w:val="0"/>
          <w:numId w:val="25"/>
        </w:numPr>
        <w:jc w:val="both"/>
      </w:pPr>
      <w:bookmarkStart w:id="0" w:name="_Toc469299930"/>
      <w:bookmarkStart w:id="1" w:name="_Toc493683634"/>
      <w:bookmarkStart w:id="2" w:name="_Toc454185150"/>
      <w:r w:rsidRPr="00A74192">
        <w:t>Souhrnná výkonnost</w:t>
      </w:r>
      <w:bookmarkEnd w:id="0"/>
      <w:bookmarkEnd w:id="1"/>
    </w:p>
    <w:p w:rsidR="00DD0726" w:rsidRPr="00A74192" w:rsidRDefault="00DD0726" w:rsidP="00DD0726">
      <w:pPr>
        <w:pStyle w:val="Textpoznpodarou"/>
        <w:jc w:val="both"/>
        <w:rPr>
          <w:sz w:val="2"/>
          <w:szCs w:val="2"/>
        </w:rPr>
      </w:pPr>
    </w:p>
    <w:tbl>
      <w:tblPr>
        <w:tblW w:w="5000" w:type="pct"/>
        <w:tblInd w:w="108" w:type="dxa"/>
        <w:tblLayout w:type="fixed"/>
        <w:tblLook w:val="00A0"/>
      </w:tblPr>
      <w:tblGrid>
        <w:gridCol w:w="1985"/>
        <w:gridCol w:w="284"/>
        <w:gridCol w:w="1133"/>
        <w:gridCol w:w="5104"/>
        <w:gridCol w:w="1348"/>
      </w:tblGrid>
      <w:tr w:rsidR="00C10B3B" w:rsidRPr="00A74192" w:rsidTr="006C3DC1">
        <w:tc>
          <w:tcPr>
            <w:tcW w:w="1007" w:type="pct"/>
          </w:tcPr>
          <w:p w:rsidR="00C10B3B" w:rsidRPr="007005F6" w:rsidRDefault="00C10B3B" w:rsidP="006E4368">
            <w:pPr>
              <w:spacing w:line="240" w:lineRule="auto"/>
              <w:rPr>
                <w:rFonts w:cs="Arial"/>
                <w:sz w:val="16"/>
                <w:szCs w:val="16"/>
              </w:rPr>
            </w:pPr>
            <w:r>
              <w:rPr>
                <w:rFonts w:cs="Arial"/>
                <w:sz w:val="16"/>
                <w:szCs w:val="16"/>
              </w:rPr>
              <w:t xml:space="preserve">Meziroční dynamika hrubého domácího produktu v 2. pololetí překonávala 5 %. </w:t>
            </w:r>
          </w:p>
        </w:tc>
        <w:tc>
          <w:tcPr>
            <w:tcW w:w="144" w:type="pct"/>
          </w:tcPr>
          <w:p w:rsidR="00C10B3B" w:rsidRPr="005E2AB2" w:rsidRDefault="00C10B3B" w:rsidP="006E4368">
            <w:pPr>
              <w:pStyle w:val="Textpoznpodarou"/>
              <w:ind w:left="-132" w:firstLine="132"/>
              <w:rPr>
                <w:rFonts w:cs="Arial"/>
              </w:rPr>
            </w:pPr>
          </w:p>
        </w:tc>
        <w:tc>
          <w:tcPr>
            <w:tcW w:w="3849" w:type="pct"/>
            <w:gridSpan w:val="3"/>
          </w:tcPr>
          <w:p w:rsidR="00C10B3B" w:rsidRDefault="00C10B3B" w:rsidP="006E4368">
            <w:pPr>
              <w:pStyle w:val="Bezmezer"/>
              <w:rPr>
                <w:sz w:val="16"/>
                <w:szCs w:val="16"/>
              </w:rPr>
            </w:pPr>
            <w:r>
              <w:t>Růst hrubého domácího produktu (HDP) v roce 2017 dosáhl 4,5 %</w:t>
            </w:r>
            <w:r w:rsidRPr="00F32CCD">
              <w:rPr>
                <w:rStyle w:val="Znakapoznpodarou"/>
                <w:rFonts w:cs="Arial"/>
              </w:rPr>
              <w:footnoteReference w:id="1"/>
            </w:r>
            <w:r>
              <w:t>. Jde o druhou nejvyšší hodnotu od konjunkturního roku 2007. Vyšší byl hospodářský růst jen v roce 2015, kdy byla ekonomika výrazně stimulována dočerpáváním prostředků z evropských fondů. Meziroční dynamika v průběhu loňského roku sílila. Již</w:t>
            </w:r>
            <w:r w:rsidR="00A33C9A">
              <w:t> </w:t>
            </w:r>
            <w:r>
              <w:t xml:space="preserve">v 1. pololetí došlo ke zrychlení v porovnání s rokem 2016 (3,0 % v 1. čtvrtletí, 4,6 % ve 2. čtvrtletí). Ve 3. kvartálu meziroční růst činil 5,1 % a ve 4. čtvrtletí 5,2 %. Na vysokém meziročním navýšení se podílely všechny složky HDP. Po celý rok růst podporoval stabilně vysoký příspěvek domácí spotřeby (především domácností) i zahraniční poptávky. Na tento základ se pak </w:t>
            </w:r>
            <w:r w:rsidR="00F77387">
              <w:t>ve druhé</w:t>
            </w:r>
            <w:r>
              <w:t xml:space="preserve"> polovině roku mohl postavit sílící příspěvek investiční aktivity. </w:t>
            </w:r>
            <w:proofErr w:type="spellStart"/>
            <w:r>
              <w:t>Mezičtvrtletní</w:t>
            </w:r>
            <w:proofErr w:type="spellEnd"/>
            <w:r>
              <w:t xml:space="preserve"> dynamika se od</w:t>
            </w:r>
            <w:r w:rsidR="00A33C9A">
              <w:t> </w:t>
            </w:r>
            <w:r>
              <w:t>té</w:t>
            </w:r>
            <w:r w:rsidR="00A33C9A">
              <w:t> </w:t>
            </w:r>
            <w:r>
              <w:t xml:space="preserve">meziroční lišila. Nejvyšších </w:t>
            </w:r>
            <w:proofErr w:type="spellStart"/>
            <w:r>
              <w:t>mezičtvrtletních</w:t>
            </w:r>
            <w:proofErr w:type="spellEnd"/>
            <w:r>
              <w:t xml:space="preserve"> přírůstků dosahoval HDP v 1. a 2. čtvrtletí (1,5 % a 2,4 %), ve </w:t>
            </w:r>
            <w:r w:rsidR="00F77387">
              <w:t>druhé</w:t>
            </w:r>
            <w:r>
              <w:t xml:space="preserve"> polovině roku se tempo zmírnilo na 0,6</w:t>
            </w:r>
            <w:r w:rsidR="00117597">
              <w:t> </w:t>
            </w:r>
            <w:r w:rsidR="00F77387">
              <w:t> </w:t>
            </w:r>
            <w:r>
              <w:t>% a 0,5 % v jednotlivých čtvrtletích. Hrubá přidaná hodnota (HPH) v roce 2017 vzrostla o 4,5 %. V samotném 4. čtvrtletí meziroční růst HPH mírně převýšil přírůstek HDP, když dosáhl 5,4 %.</w:t>
            </w:r>
          </w:p>
          <w:p w:rsidR="00C10B3B" w:rsidRPr="00422E66" w:rsidRDefault="00C10B3B" w:rsidP="006E4368">
            <w:pPr>
              <w:pStyle w:val="Bezmezer"/>
              <w:rPr>
                <w:sz w:val="16"/>
                <w:szCs w:val="16"/>
              </w:rPr>
            </w:pPr>
          </w:p>
        </w:tc>
      </w:tr>
      <w:tr w:rsidR="00DD0726" w:rsidRPr="00A74192" w:rsidTr="006C3DC1">
        <w:tblPrEx>
          <w:tblCellMar>
            <w:left w:w="70" w:type="dxa"/>
            <w:right w:w="70" w:type="dxa"/>
          </w:tblCellMar>
        </w:tblPrEx>
        <w:tc>
          <w:tcPr>
            <w:tcW w:w="1007" w:type="pct"/>
          </w:tcPr>
          <w:p w:rsidR="00DD0726" w:rsidRDefault="00DD0726" w:rsidP="006C3DC1">
            <w:pPr>
              <w:spacing w:line="240" w:lineRule="auto"/>
              <w:rPr>
                <w:rFonts w:cs="Arial"/>
                <w:sz w:val="16"/>
                <w:szCs w:val="16"/>
              </w:rPr>
            </w:pPr>
          </w:p>
        </w:tc>
        <w:tc>
          <w:tcPr>
            <w:tcW w:w="144" w:type="pct"/>
          </w:tcPr>
          <w:p w:rsidR="00DD0726" w:rsidRPr="005E2AB2" w:rsidRDefault="00DD0726" w:rsidP="006C3DC1">
            <w:pPr>
              <w:pStyle w:val="Textpoznpodarou"/>
              <w:jc w:val="both"/>
              <w:rPr>
                <w:rFonts w:cs="Arial"/>
              </w:rPr>
            </w:pPr>
          </w:p>
        </w:tc>
        <w:tc>
          <w:tcPr>
            <w:tcW w:w="575" w:type="pct"/>
          </w:tcPr>
          <w:p w:rsidR="00DD0726" w:rsidRDefault="00DD0726" w:rsidP="006C3DC1">
            <w:pPr>
              <w:pStyle w:val="Textpoznpodarou"/>
              <w:jc w:val="both"/>
              <w:rPr>
                <w:rFonts w:cs="Arial"/>
              </w:rPr>
            </w:pPr>
            <w:r>
              <w:rPr>
                <w:rFonts w:cs="Arial"/>
              </w:rPr>
              <w:t>Graf č. 1</w:t>
            </w:r>
          </w:p>
        </w:tc>
        <w:tc>
          <w:tcPr>
            <w:tcW w:w="3274" w:type="pct"/>
            <w:gridSpan w:val="2"/>
          </w:tcPr>
          <w:p w:rsidR="00DD0726" w:rsidRDefault="00DD0726" w:rsidP="006C3DC1">
            <w:pPr>
              <w:pStyle w:val="Textpoznpodarou"/>
              <w:spacing w:after="60"/>
              <w:jc w:val="both"/>
              <w:rPr>
                <w:rFonts w:cs="Arial"/>
              </w:rPr>
            </w:pPr>
            <w:r w:rsidRPr="00A6766C">
              <w:rPr>
                <w:rFonts w:cs="Arial"/>
                <w:b/>
                <w:lang w:eastAsia="en-US"/>
              </w:rPr>
              <w:t xml:space="preserve">HDP </w:t>
            </w:r>
            <w:r w:rsidRPr="00A6766C">
              <w:rPr>
                <w:rFonts w:cs="Arial"/>
                <w:lang w:eastAsia="en-US"/>
              </w:rPr>
              <w:t>(</w:t>
            </w:r>
            <w:r>
              <w:rPr>
                <w:rFonts w:cs="Arial"/>
                <w:lang w:eastAsia="en-US"/>
              </w:rPr>
              <w:t>objemové indexy</w:t>
            </w:r>
            <w:r w:rsidRPr="00A6766C">
              <w:rPr>
                <w:rFonts w:cs="Arial"/>
                <w:lang w:eastAsia="en-US"/>
              </w:rPr>
              <w:t>, očištěno o sezónní a kalendářní vlivy, v %)</w:t>
            </w:r>
          </w:p>
        </w:tc>
      </w:tr>
      <w:tr w:rsidR="00DD0726" w:rsidRPr="00A74192" w:rsidTr="006C3DC1">
        <w:tblPrEx>
          <w:tblCellMar>
            <w:left w:w="70" w:type="dxa"/>
            <w:right w:w="70" w:type="dxa"/>
          </w:tblCellMar>
        </w:tblPrEx>
        <w:tc>
          <w:tcPr>
            <w:tcW w:w="1007" w:type="pct"/>
          </w:tcPr>
          <w:p w:rsidR="00DD0726" w:rsidRDefault="00DD0726" w:rsidP="006C3DC1">
            <w:pPr>
              <w:spacing w:line="240" w:lineRule="auto"/>
              <w:rPr>
                <w:rFonts w:cs="Arial"/>
                <w:sz w:val="16"/>
                <w:szCs w:val="16"/>
              </w:rPr>
            </w:pPr>
          </w:p>
        </w:tc>
        <w:tc>
          <w:tcPr>
            <w:tcW w:w="144" w:type="pct"/>
          </w:tcPr>
          <w:p w:rsidR="00DD0726" w:rsidRPr="005E2AB2" w:rsidRDefault="00DD0726" w:rsidP="006C3DC1">
            <w:pPr>
              <w:pStyle w:val="Textpoznpodarou"/>
              <w:jc w:val="both"/>
              <w:rPr>
                <w:rFonts w:cs="Arial"/>
              </w:rPr>
            </w:pPr>
          </w:p>
        </w:tc>
        <w:tc>
          <w:tcPr>
            <w:tcW w:w="3849" w:type="pct"/>
            <w:gridSpan w:val="3"/>
          </w:tcPr>
          <w:p w:rsidR="00DD0726" w:rsidRDefault="00C10B3B" w:rsidP="006C3DC1">
            <w:pPr>
              <w:pStyle w:val="Textpoznpodarou"/>
              <w:rPr>
                <w:rFonts w:cs="Arial"/>
                <w:sz w:val="14"/>
                <w:szCs w:val="14"/>
              </w:rPr>
            </w:pPr>
            <w:r w:rsidRPr="00C10B3B">
              <w:rPr>
                <w:rFonts w:cs="Arial"/>
                <w:noProof/>
                <w:sz w:val="14"/>
                <w:szCs w:val="14"/>
              </w:rPr>
              <w:drawing>
                <wp:inline distT="0" distB="0" distL="0" distR="0">
                  <wp:extent cx="4737600" cy="3553200"/>
                  <wp:effectExtent l="19050" t="0" r="0" b="0"/>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0726" w:rsidRDefault="00DD0726" w:rsidP="006C3DC1">
            <w:pPr>
              <w:pStyle w:val="Textpoznpodarou"/>
              <w:jc w:val="right"/>
              <w:rPr>
                <w:rFonts w:cs="Arial"/>
                <w:sz w:val="14"/>
                <w:szCs w:val="14"/>
              </w:rPr>
            </w:pPr>
            <w:r w:rsidRPr="002E4069">
              <w:rPr>
                <w:rFonts w:cs="Arial"/>
                <w:sz w:val="14"/>
                <w:szCs w:val="14"/>
              </w:rPr>
              <w:t xml:space="preserve">Zdroj: ČSÚ, </w:t>
            </w:r>
            <w:proofErr w:type="spellStart"/>
            <w:r w:rsidRPr="002E4069">
              <w:rPr>
                <w:rFonts w:cs="Arial"/>
                <w:sz w:val="14"/>
                <w:szCs w:val="14"/>
              </w:rPr>
              <w:t>Eurostat</w:t>
            </w:r>
            <w:proofErr w:type="spellEnd"/>
          </w:p>
          <w:p w:rsidR="00DD0726" w:rsidRPr="002E4069" w:rsidRDefault="00DD0726" w:rsidP="006C3DC1">
            <w:pPr>
              <w:pStyle w:val="Textpoznpodarou"/>
              <w:jc w:val="right"/>
              <w:rPr>
                <w:rFonts w:cs="Arial"/>
                <w:sz w:val="14"/>
                <w:szCs w:val="14"/>
              </w:rPr>
            </w:pPr>
          </w:p>
        </w:tc>
      </w:tr>
      <w:tr w:rsidR="00C10B3B" w:rsidRPr="00A74192" w:rsidTr="006C3DC1">
        <w:tblPrEx>
          <w:tblCellMar>
            <w:left w:w="70" w:type="dxa"/>
            <w:right w:w="70" w:type="dxa"/>
          </w:tblCellMar>
        </w:tblPrEx>
        <w:tc>
          <w:tcPr>
            <w:tcW w:w="1007" w:type="pct"/>
          </w:tcPr>
          <w:p w:rsidR="00C10B3B" w:rsidRPr="007005F6" w:rsidRDefault="00C10B3B" w:rsidP="006E4368">
            <w:pPr>
              <w:spacing w:line="240" w:lineRule="auto"/>
              <w:rPr>
                <w:rFonts w:cs="Arial"/>
                <w:sz w:val="16"/>
                <w:szCs w:val="16"/>
              </w:rPr>
            </w:pPr>
            <w:r>
              <w:rPr>
                <w:rFonts w:cs="Arial"/>
                <w:sz w:val="16"/>
                <w:szCs w:val="16"/>
              </w:rPr>
              <w:t>Evropské ekonomice se rovněž dařilo</w:t>
            </w:r>
            <w:r w:rsidR="005A038A">
              <w:rPr>
                <w:rFonts w:cs="Arial"/>
                <w:sz w:val="16"/>
                <w:szCs w:val="16"/>
              </w:rPr>
              <w:t>.</w:t>
            </w:r>
          </w:p>
        </w:tc>
        <w:tc>
          <w:tcPr>
            <w:tcW w:w="144" w:type="pct"/>
          </w:tcPr>
          <w:p w:rsidR="00C10B3B" w:rsidRPr="005E2AB2" w:rsidRDefault="00C10B3B" w:rsidP="006E4368">
            <w:pPr>
              <w:pStyle w:val="Textpoznpodarou"/>
              <w:ind w:left="-132" w:firstLine="132"/>
              <w:rPr>
                <w:rFonts w:cs="Arial"/>
              </w:rPr>
            </w:pPr>
          </w:p>
        </w:tc>
        <w:tc>
          <w:tcPr>
            <w:tcW w:w="3849" w:type="pct"/>
            <w:gridSpan w:val="3"/>
          </w:tcPr>
          <w:p w:rsidR="00C10B3B" w:rsidRDefault="00C10B3B" w:rsidP="00420D92">
            <w:pPr>
              <w:pStyle w:val="Textpoznpodarou"/>
              <w:jc w:val="both"/>
              <w:rPr>
                <w:rFonts w:cs="Arial"/>
                <w:sz w:val="16"/>
                <w:szCs w:val="16"/>
                <w:lang w:eastAsia="en-US"/>
              </w:rPr>
            </w:pPr>
            <w:r>
              <w:rPr>
                <w:rFonts w:cs="Arial"/>
                <w:lang w:eastAsia="en-US"/>
              </w:rPr>
              <w:t>Meziroční růst HDP zrychlil v porovnání s rokem 2016 i v Evropské unii. Loni se HDP v EU</w:t>
            </w:r>
            <w:r w:rsidR="00F77387">
              <w:rPr>
                <w:rFonts w:cs="Arial"/>
                <w:lang w:eastAsia="en-US"/>
              </w:rPr>
              <w:t xml:space="preserve"> zvýšil</w:t>
            </w:r>
            <w:r>
              <w:rPr>
                <w:rFonts w:cs="Arial"/>
                <w:lang w:eastAsia="en-US"/>
              </w:rPr>
              <w:t xml:space="preserve"> o 2,4 %</w:t>
            </w:r>
            <w:r w:rsidRPr="00F66CA8">
              <w:rPr>
                <w:rStyle w:val="Znakapoznpodarou"/>
                <w:spacing w:val="-2"/>
              </w:rPr>
              <w:footnoteReference w:id="2"/>
            </w:r>
            <w:r>
              <w:rPr>
                <w:rFonts w:cs="Arial"/>
                <w:lang w:eastAsia="en-US"/>
              </w:rPr>
              <w:t>. V samotném 4. čtvrtletí zde meziroční růst zmírnil na 2,6</w:t>
            </w:r>
            <w:r w:rsidR="00117597">
              <w:rPr>
                <w:rFonts w:cs="Arial"/>
                <w:lang w:eastAsia="en-US"/>
              </w:rPr>
              <w:t> </w:t>
            </w:r>
            <w:r>
              <w:rPr>
                <w:rFonts w:cs="Arial"/>
                <w:lang w:eastAsia="en-US"/>
              </w:rPr>
              <w:t xml:space="preserve">%. Nejvyššího nárůstu HDP v roce 2017 podle dostupných dat dosáhlo </w:t>
            </w:r>
            <w:r w:rsidR="00CD1A5C">
              <w:rPr>
                <w:rFonts w:cs="Arial"/>
                <w:lang w:eastAsia="en-US"/>
              </w:rPr>
              <w:t>Rumunsko a to 7,0 %. Dalšími silně rostoucími ekonomikami byl</w:t>
            </w:r>
            <w:r w:rsidR="005A038A">
              <w:rPr>
                <w:rFonts w:cs="Arial"/>
                <w:lang w:eastAsia="en-US"/>
              </w:rPr>
              <w:t>y</w:t>
            </w:r>
            <w:r w:rsidR="00CD1A5C">
              <w:rPr>
                <w:rFonts w:cs="Arial"/>
                <w:lang w:eastAsia="en-US"/>
              </w:rPr>
              <w:t xml:space="preserve"> Malta (6,6 %) a</w:t>
            </w:r>
            <w:r w:rsidR="005A038A">
              <w:rPr>
                <w:rFonts w:cs="Arial"/>
                <w:lang w:eastAsia="en-US"/>
              </w:rPr>
              <w:t> </w:t>
            </w:r>
            <w:r w:rsidR="00CD1A5C">
              <w:rPr>
                <w:rFonts w:cs="Arial"/>
                <w:lang w:eastAsia="en-US"/>
              </w:rPr>
              <w:t>Slovinsko (5,0 %). Podle údajů za 1. až 3. čtvrtletí se na pozici nejrychleji rostoucí ekonomiky nebo těsně pod ni pravděpodobně dostane Irsko, u kterého meziroční dynamika dosahovala i dvouciferných hodnot. S méně než 2% růstem se musely potýkat ekonomiky Itálie (1,5 %, i tak jde o nejvyšší růst od roku 2010), Belgie (1,7</w:t>
            </w:r>
            <w:r w:rsidR="005A038A">
              <w:rPr>
                <w:rFonts w:cs="Arial"/>
                <w:lang w:eastAsia="en-US"/>
              </w:rPr>
              <w:t> </w:t>
            </w:r>
            <w:r w:rsidR="00CD1A5C">
              <w:rPr>
                <w:rFonts w:cs="Arial"/>
                <w:lang w:eastAsia="en-US"/>
              </w:rPr>
              <w:t>%), Velké Británie (1,7 %) a Francie (1,8 %)</w:t>
            </w:r>
            <w:r w:rsidR="00420D92">
              <w:rPr>
                <w:rFonts w:cs="Arial"/>
                <w:lang w:eastAsia="en-US"/>
              </w:rPr>
              <w:t xml:space="preserve">. Země sousedící s Českem rovněž zažívaly úspěšný rok, což se nakonec </w:t>
            </w:r>
            <w:r w:rsidR="00766F78">
              <w:rPr>
                <w:rFonts w:cs="Arial"/>
                <w:lang w:eastAsia="en-US"/>
              </w:rPr>
              <w:t xml:space="preserve">prostřednictvím zahraničního obchodu </w:t>
            </w:r>
            <w:r w:rsidR="00420D92">
              <w:rPr>
                <w:rFonts w:cs="Arial"/>
                <w:lang w:eastAsia="en-US"/>
              </w:rPr>
              <w:t>pozitivně promítlo do výkonu domácí ekonomiky. Německá ekonomika zrychlila a</w:t>
            </w:r>
            <w:r w:rsidR="00766F78">
              <w:rPr>
                <w:rFonts w:cs="Arial"/>
                <w:lang w:eastAsia="en-US"/>
              </w:rPr>
              <w:t> </w:t>
            </w:r>
            <w:r w:rsidR="00420D92">
              <w:rPr>
                <w:rFonts w:cs="Arial"/>
                <w:lang w:eastAsia="en-US"/>
              </w:rPr>
              <w:t>v roce 2017 zde HDP vzrostl o 2,2</w:t>
            </w:r>
            <w:r w:rsidR="005A038A">
              <w:rPr>
                <w:rFonts w:cs="Arial"/>
                <w:lang w:eastAsia="en-US"/>
              </w:rPr>
              <w:t> </w:t>
            </w:r>
            <w:r w:rsidR="00420D92">
              <w:rPr>
                <w:rFonts w:cs="Arial"/>
                <w:lang w:eastAsia="en-US"/>
              </w:rPr>
              <w:t xml:space="preserve">%, Slovensko posílilo o 3,4 %, v Polsku došlo </w:t>
            </w:r>
            <w:r w:rsidR="00420D92">
              <w:rPr>
                <w:rFonts w:cs="Arial"/>
                <w:lang w:eastAsia="en-US"/>
              </w:rPr>
              <w:lastRenderedPageBreak/>
              <w:t>ke skokovému zrychlení na 4,6</w:t>
            </w:r>
            <w:r w:rsidR="005A038A">
              <w:rPr>
                <w:rFonts w:cs="Arial"/>
                <w:lang w:eastAsia="en-US"/>
              </w:rPr>
              <w:t> </w:t>
            </w:r>
            <w:r w:rsidR="00420D92">
              <w:rPr>
                <w:rFonts w:cs="Arial"/>
                <w:lang w:eastAsia="en-US"/>
              </w:rPr>
              <w:t>% a</w:t>
            </w:r>
            <w:r w:rsidR="005A038A">
              <w:rPr>
                <w:rFonts w:cs="Arial"/>
                <w:lang w:eastAsia="en-US"/>
              </w:rPr>
              <w:t> </w:t>
            </w:r>
            <w:r w:rsidR="00420D92">
              <w:rPr>
                <w:rFonts w:cs="Arial"/>
                <w:lang w:eastAsia="en-US"/>
              </w:rPr>
              <w:t>Rakousko svůj růst (2,9</w:t>
            </w:r>
            <w:r w:rsidR="005A038A">
              <w:rPr>
                <w:rFonts w:cs="Arial"/>
                <w:lang w:eastAsia="en-US"/>
              </w:rPr>
              <w:t> </w:t>
            </w:r>
            <w:r w:rsidR="00420D92">
              <w:rPr>
                <w:rFonts w:cs="Arial"/>
                <w:lang w:eastAsia="en-US"/>
              </w:rPr>
              <w:t xml:space="preserve">%) rovněž téměř zdvojnásobilo oproti roku 2016. </w:t>
            </w:r>
            <w:proofErr w:type="spellStart"/>
            <w:r>
              <w:rPr>
                <w:rFonts w:cs="Arial"/>
                <w:lang w:eastAsia="en-US"/>
              </w:rPr>
              <w:t>Mezičtvrtletní</w:t>
            </w:r>
            <w:proofErr w:type="spellEnd"/>
            <w:r>
              <w:rPr>
                <w:rFonts w:cs="Arial"/>
                <w:lang w:eastAsia="en-US"/>
              </w:rPr>
              <w:t xml:space="preserve"> dynamika růstu HDP v EU </w:t>
            </w:r>
            <w:r w:rsidR="00A33C9A">
              <w:rPr>
                <w:rFonts w:cs="Arial"/>
                <w:lang w:eastAsia="en-US"/>
              </w:rPr>
              <w:t>v</w:t>
            </w:r>
            <w:r>
              <w:rPr>
                <w:rFonts w:cs="Arial"/>
                <w:lang w:eastAsia="en-US"/>
              </w:rPr>
              <w:t xml:space="preserve"> roce 2017 </w:t>
            </w:r>
            <w:r w:rsidR="00A33C9A">
              <w:rPr>
                <w:rFonts w:cs="Arial"/>
                <w:lang w:eastAsia="en-US"/>
              </w:rPr>
              <w:t>překročila hranici 0,5</w:t>
            </w:r>
            <w:r w:rsidR="005A038A">
              <w:rPr>
                <w:rFonts w:cs="Arial"/>
                <w:lang w:eastAsia="en-US"/>
              </w:rPr>
              <w:t> </w:t>
            </w:r>
            <w:r w:rsidR="00A33C9A">
              <w:rPr>
                <w:rFonts w:cs="Arial"/>
                <w:lang w:eastAsia="en-US"/>
              </w:rPr>
              <w:t xml:space="preserve">% </w:t>
            </w:r>
            <w:r>
              <w:rPr>
                <w:rFonts w:cs="Arial"/>
                <w:lang w:eastAsia="en-US"/>
              </w:rPr>
              <w:t>(0,6</w:t>
            </w:r>
            <w:r w:rsidR="005A038A">
              <w:rPr>
                <w:rFonts w:cs="Arial"/>
                <w:lang w:eastAsia="en-US"/>
              </w:rPr>
              <w:t> </w:t>
            </w:r>
            <w:r>
              <w:rPr>
                <w:rFonts w:cs="Arial"/>
                <w:lang w:eastAsia="en-US"/>
              </w:rPr>
              <w:t>%, 0,7</w:t>
            </w:r>
            <w:r w:rsidR="005A038A">
              <w:rPr>
                <w:rFonts w:cs="Arial"/>
                <w:lang w:eastAsia="en-US"/>
              </w:rPr>
              <w:t> </w:t>
            </w:r>
            <w:r>
              <w:rPr>
                <w:rFonts w:cs="Arial"/>
                <w:lang w:eastAsia="en-US"/>
              </w:rPr>
              <w:t>%, 0,7</w:t>
            </w:r>
            <w:r w:rsidR="005A038A">
              <w:rPr>
                <w:rFonts w:cs="Arial"/>
                <w:lang w:eastAsia="en-US"/>
              </w:rPr>
              <w:t> </w:t>
            </w:r>
            <w:r>
              <w:rPr>
                <w:rFonts w:cs="Arial"/>
                <w:lang w:eastAsia="en-US"/>
              </w:rPr>
              <w:t>% a 0,6</w:t>
            </w:r>
            <w:r w:rsidR="005A038A">
              <w:rPr>
                <w:rFonts w:cs="Arial"/>
                <w:lang w:eastAsia="en-US"/>
              </w:rPr>
              <w:t> </w:t>
            </w:r>
            <w:r>
              <w:rPr>
                <w:rFonts w:cs="Arial"/>
                <w:lang w:eastAsia="en-US"/>
              </w:rPr>
              <w:t>% v jednotlivých čtvrtletích).</w:t>
            </w:r>
          </w:p>
          <w:p w:rsidR="00420D92" w:rsidRPr="00420D92" w:rsidRDefault="00420D92" w:rsidP="00420D92">
            <w:pPr>
              <w:pStyle w:val="Textpoznpodarou"/>
              <w:jc w:val="both"/>
              <w:rPr>
                <w:rFonts w:cs="Arial"/>
                <w:sz w:val="16"/>
                <w:szCs w:val="16"/>
                <w:lang w:eastAsia="en-US"/>
              </w:rPr>
            </w:pPr>
          </w:p>
        </w:tc>
      </w:tr>
      <w:tr w:rsidR="00DD0726" w:rsidRPr="00A6766C" w:rsidTr="006C3DC1">
        <w:tc>
          <w:tcPr>
            <w:tcW w:w="1007" w:type="pct"/>
          </w:tcPr>
          <w:p w:rsidR="00DD0726" w:rsidRPr="00A6766C" w:rsidRDefault="00DD0726" w:rsidP="006C3DC1">
            <w:pPr>
              <w:spacing w:line="240" w:lineRule="auto"/>
              <w:jc w:val="center"/>
              <w:rPr>
                <w:rFonts w:cs="Arial"/>
                <w:szCs w:val="20"/>
              </w:rPr>
            </w:pPr>
          </w:p>
        </w:tc>
        <w:tc>
          <w:tcPr>
            <w:tcW w:w="144" w:type="pct"/>
          </w:tcPr>
          <w:p w:rsidR="00DD0726" w:rsidRPr="00A6766C" w:rsidRDefault="00DD0726" w:rsidP="006C3DC1">
            <w:pPr>
              <w:pStyle w:val="Textpoznpodarou"/>
              <w:jc w:val="both"/>
              <w:rPr>
                <w:rFonts w:cs="Arial"/>
              </w:rPr>
            </w:pPr>
          </w:p>
        </w:tc>
        <w:tc>
          <w:tcPr>
            <w:tcW w:w="575" w:type="pct"/>
          </w:tcPr>
          <w:p w:rsidR="00DD0726" w:rsidRPr="00A6766C" w:rsidRDefault="00DD0726" w:rsidP="006C3DC1">
            <w:pPr>
              <w:pStyle w:val="Textpoznpodarou"/>
              <w:jc w:val="both"/>
              <w:rPr>
                <w:rFonts w:cs="Arial"/>
              </w:rPr>
            </w:pPr>
            <w:r w:rsidRPr="00A6766C">
              <w:rPr>
                <w:rFonts w:cs="Arial"/>
                <w:lang w:eastAsia="en-US"/>
              </w:rPr>
              <w:t>Graf č. 2</w:t>
            </w:r>
          </w:p>
        </w:tc>
        <w:tc>
          <w:tcPr>
            <w:tcW w:w="3274" w:type="pct"/>
            <w:gridSpan w:val="2"/>
          </w:tcPr>
          <w:p w:rsidR="00DD0726" w:rsidRPr="00A6766C" w:rsidRDefault="00DD0726" w:rsidP="006C3DC1">
            <w:pPr>
              <w:pStyle w:val="Textpoznpodarou"/>
              <w:rPr>
                <w:rFonts w:cs="Arial"/>
                <w:lang w:eastAsia="en-US"/>
              </w:rPr>
            </w:pPr>
            <w:r w:rsidRPr="00A6766C">
              <w:rPr>
                <w:rFonts w:cs="Arial"/>
                <w:b/>
                <w:lang w:eastAsia="en-US"/>
              </w:rPr>
              <w:t xml:space="preserve">HDP </w:t>
            </w:r>
            <w:r w:rsidRPr="00A6766C">
              <w:rPr>
                <w:rFonts w:cs="Arial"/>
                <w:lang w:eastAsia="en-US"/>
              </w:rPr>
              <w:t>(</w:t>
            </w:r>
            <w:r>
              <w:rPr>
                <w:rFonts w:cs="Arial"/>
                <w:lang w:eastAsia="en-US"/>
              </w:rPr>
              <w:t>objemové indexy</w:t>
            </w:r>
            <w:r w:rsidRPr="00A6766C">
              <w:rPr>
                <w:rFonts w:cs="Arial"/>
                <w:lang w:eastAsia="en-US"/>
              </w:rPr>
              <w:t xml:space="preserve">, očištěno o sezónní a kalendářní vlivy, </w:t>
            </w:r>
            <w:r>
              <w:rPr>
                <w:rFonts w:cs="Arial"/>
                <w:lang w:eastAsia="en-US"/>
              </w:rPr>
              <w:t>meziročně</w:t>
            </w:r>
            <w:r w:rsidRPr="00A6766C">
              <w:rPr>
                <w:rFonts w:cs="Arial"/>
                <w:lang w:eastAsia="en-US"/>
              </w:rPr>
              <w:t xml:space="preserve"> v</w:t>
            </w:r>
            <w:r>
              <w:rPr>
                <w:rFonts w:cs="Arial"/>
                <w:lang w:eastAsia="en-US"/>
              </w:rPr>
              <w:t> </w:t>
            </w:r>
            <w:r w:rsidRPr="00A6766C">
              <w:rPr>
                <w:rFonts w:cs="Arial"/>
                <w:lang w:eastAsia="en-US"/>
              </w:rPr>
              <w:t xml:space="preserve">%, pravá osa) </w:t>
            </w:r>
            <w:r w:rsidRPr="00A6766C">
              <w:rPr>
                <w:rFonts w:cs="Arial"/>
                <w:b/>
                <w:lang w:eastAsia="en-US"/>
              </w:rPr>
              <w:t>a indikátory důvěry</w:t>
            </w:r>
            <w:r w:rsidRPr="00A6766C">
              <w:rPr>
                <w:rFonts w:cs="Arial"/>
                <w:lang w:eastAsia="en-US"/>
              </w:rPr>
              <w:t xml:space="preserve"> (2005=100, levá osa)</w:t>
            </w:r>
          </w:p>
        </w:tc>
      </w:tr>
      <w:tr w:rsidR="00DD0726" w:rsidRPr="00A74192" w:rsidTr="006C3DC1">
        <w:tc>
          <w:tcPr>
            <w:tcW w:w="1007" w:type="pct"/>
          </w:tcPr>
          <w:p w:rsidR="00DD0726" w:rsidRDefault="00DD0726" w:rsidP="006C3DC1">
            <w:pPr>
              <w:spacing w:line="240" w:lineRule="auto"/>
              <w:rPr>
                <w:rFonts w:cs="Arial"/>
                <w:sz w:val="16"/>
                <w:szCs w:val="16"/>
              </w:rPr>
            </w:pPr>
          </w:p>
        </w:tc>
        <w:tc>
          <w:tcPr>
            <w:tcW w:w="144" w:type="pct"/>
          </w:tcPr>
          <w:p w:rsidR="00DD0726" w:rsidRPr="005E2AB2" w:rsidRDefault="00DD0726" w:rsidP="006C3DC1">
            <w:pPr>
              <w:pStyle w:val="Textpoznpodarou"/>
              <w:jc w:val="both"/>
              <w:rPr>
                <w:rFonts w:cs="Arial"/>
              </w:rPr>
            </w:pPr>
          </w:p>
        </w:tc>
        <w:tc>
          <w:tcPr>
            <w:tcW w:w="3849" w:type="pct"/>
            <w:gridSpan w:val="3"/>
          </w:tcPr>
          <w:p w:rsidR="00DD0726" w:rsidRDefault="00A33C9A" w:rsidP="006C3DC1">
            <w:pPr>
              <w:pStyle w:val="Textpoznpodarou"/>
              <w:ind w:left="-94"/>
              <w:jc w:val="both"/>
              <w:rPr>
                <w:rFonts w:cs="Arial"/>
              </w:rPr>
            </w:pPr>
            <w:r w:rsidRPr="00A33C9A">
              <w:rPr>
                <w:rFonts w:cs="Arial"/>
                <w:noProof/>
              </w:rPr>
              <w:drawing>
                <wp:inline distT="0" distB="0" distL="0" distR="0">
                  <wp:extent cx="4737600" cy="3553200"/>
                  <wp:effectExtent l="0" t="0" r="0" b="0"/>
                  <wp:docPr id="1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0726" w:rsidRPr="007841BB" w:rsidRDefault="00DD0726" w:rsidP="006C3DC1">
            <w:pPr>
              <w:pStyle w:val="Textpoznpodarou"/>
              <w:ind w:left="-94"/>
              <w:jc w:val="right"/>
              <w:rPr>
                <w:rFonts w:cs="Arial"/>
                <w:sz w:val="14"/>
                <w:szCs w:val="14"/>
              </w:rPr>
            </w:pPr>
            <w:r w:rsidRPr="007841BB">
              <w:rPr>
                <w:rFonts w:cs="Arial"/>
                <w:sz w:val="14"/>
                <w:szCs w:val="14"/>
              </w:rPr>
              <w:t>Zdroj: ČSÚ</w:t>
            </w:r>
          </w:p>
          <w:p w:rsidR="00DD0726" w:rsidRPr="000125F0" w:rsidRDefault="00DD0726" w:rsidP="006C3DC1">
            <w:pPr>
              <w:pStyle w:val="Textpoznpodarou"/>
              <w:ind w:left="-94"/>
              <w:jc w:val="right"/>
              <w:rPr>
                <w:rFonts w:cs="Arial"/>
              </w:rPr>
            </w:pPr>
          </w:p>
        </w:tc>
      </w:tr>
      <w:tr w:rsidR="00A33C9A" w:rsidRPr="00A74192" w:rsidTr="006C3DC1">
        <w:tc>
          <w:tcPr>
            <w:tcW w:w="1007" w:type="pct"/>
          </w:tcPr>
          <w:p w:rsidR="00E46E03" w:rsidRDefault="00A33C9A" w:rsidP="006E4368">
            <w:pPr>
              <w:spacing w:line="240" w:lineRule="auto"/>
              <w:rPr>
                <w:rFonts w:cs="Arial"/>
                <w:sz w:val="16"/>
                <w:szCs w:val="16"/>
              </w:rPr>
            </w:pPr>
            <w:r>
              <w:rPr>
                <w:rFonts w:cs="Arial"/>
                <w:sz w:val="16"/>
                <w:szCs w:val="16"/>
              </w:rPr>
              <w:t>Domácí spotřeba rostla nejrychleji od roku 2007. Utrácely především</w:t>
            </w:r>
            <w:r w:rsidR="00E46E03">
              <w:rPr>
                <w:rFonts w:cs="Arial"/>
                <w:sz w:val="16"/>
                <w:szCs w:val="16"/>
              </w:rPr>
              <w:t xml:space="preserve"> domácnosti.</w:t>
            </w:r>
          </w:p>
          <w:p w:rsidR="00E46E03" w:rsidRDefault="00E46E03" w:rsidP="006E4368">
            <w:pPr>
              <w:spacing w:line="240" w:lineRule="auto"/>
              <w:rPr>
                <w:rFonts w:cs="Arial"/>
                <w:sz w:val="16"/>
                <w:szCs w:val="16"/>
              </w:rPr>
            </w:pPr>
          </w:p>
          <w:p w:rsidR="00E46E03" w:rsidRDefault="00E46E03" w:rsidP="006E4368">
            <w:pPr>
              <w:spacing w:line="240" w:lineRule="auto"/>
              <w:rPr>
                <w:rFonts w:cs="Arial"/>
                <w:sz w:val="16"/>
                <w:szCs w:val="16"/>
              </w:rPr>
            </w:pPr>
          </w:p>
          <w:p w:rsidR="00E46E03" w:rsidRDefault="00E46E03" w:rsidP="006E4368">
            <w:pPr>
              <w:spacing w:line="240" w:lineRule="auto"/>
              <w:rPr>
                <w:rFonts w:cs="Arial"/>
                <w:sz w:val="16"/>
                <w:szCs w:val="16"/>
              </w:rPr>
            </w:pPr>
          </w:p>
          <w:p w:rsidR="00E46E03" w:rsidRDefault="00E46E03" w:rsidP="006E4368">
            <w:pPr>
              <w:spacing w:line="240" w:lineRule="auto"/>
              <w:rPr>
                <w:rFonts w:cs="Arial"/>
                <w:sz w:val="16"/>
                <w:szCs w:val="16"/>
              </w:rPr>
            </w:pPr>
          </w:p>
          <w:p w:rsidR="00E46E03" w:rsidRDefault="00E46E03" w:rsidP="00E46E03">
            <w:pPr>
              <w:spacing w:line="240" w:lineRule="auto"/>
              <w:rPr>
                <w:rFonts w:cs="Arial"/>
                <w:sz w:val="16"/>
                <w:szCs w:val="16"/>
              </w:rPr>
            </w:pPr>
          </w:p>
          <w:p w:rsidR="00E46E03" w:rsidRDefault="00E46E03" w:rsidP="00E46E03">
            <w:pPr>
              <w:spacing w:line="240" w:lineRule="auto"/>
              <w:rPr>
                <w:rFonts w:cs="Arial"/>
                <w:sz w:val="16"/>
                <w:szCs w:val="16"/>
              </w:rPr>
            </w:pPr>
          </w:p>
          <w:p w:rsidR="00E46E03" w:rsidRDefault="00E46E03" w:rsidP="00E46E03">
            <w:pPr>
              <w:spacing w:line="240" w:lineRule="auto"/>
              <w:rPr>
                <w:rFonts w:cs="Arial"/>
                <w:sz w:val="16"/>
                <w:szCs w:val="16"/>
              </w:rPr>
            </w:pPr>
          </w:p>
          <w:p w:rsidR="00E46E03" w:rsidRDefault="00E46E03" w:rsidP="00E46E03">
            <w:pPr>
              <w:spacing w:line="240" w:lineRule="auto"/>
              <w:rPr>
                <w:rFonts w:cs="Arial"/>
                <w:sz w:val="16"/>
                <w:szCs w:val="16"/>
              </w:rPr>
            </w:pPr>
          </w:p>
          <w:p w:rsidR="00E46E03" w:rsidRDefault="00E46E03" w:rsidP="00E46E03">
            <w:pPr>
              <w:spacing w:line="240" w:lineRule="auto"/>
              <w:rPr>
                <w:rFonts w:cs="Arial"/>
                <w:sz w:val="16"/>
                <w:szCs w:val="16"/>
              </w:rPr>
            </w:pPr>
          </w:p>
          <w:p w:rsidR="00E46E03" w:rsidRDefault="00E46E03" w:rsidP="00E46E03">
            <w:pPr>
              <w:spacing w:line="240" w:lineRule="auto"/>
              <w:rPr>
                <w:rFonts w:cs="Arial"/>
                <w:sz w:val="16"/>
                <w:szCs w:val="16"/>
              </w:rPr>
            </w:pPr>
          </w:p>
          <w:p w:rsidR="00A33C9A" w:rsidRPr="005E2AB2" w:rsidRDefault="00E46E03" w:rsidP="00E46E03">
            <w:pPr>
              <w:spacing w:line="240" w:lineRule="auto"/>
              <w:rPr>
                <w:rFonts w:cs="Arial"/>
                <w:sz w:val="16"/>
                <w:szCs w:val="16"/>
              </w:rPr>
            </w:pPr>
            <w:r>
              <w:rPr>
                <w:rFonts w:cs="Arial"/>
                <w:sz w:val="16"/>
                <w:szCs w:val="16"/>
              </w:rPr>
              <w:t>Růst spotřeby domácností byl zčásti uspokojován zahraniční nabídkou.</w:t>
            </w:r>
          </w:p>
        </w:tc>
        <w:tc>
          <w:tcPr>
            <w:tcW w:w="144" w:type="pct"/>
          </w:tcPr>
          <w:p w:rsidR="00A33C9A" w:rsidRPr="005E2AB2" w:rsidRDefault="00A33C9A" w:rsidP="006E4368">
            <w:pPr>
              <w:pStyle w:val="Textpoznpodarou"/>
              <w:rPr>
                <w:rFonts w:cs="Arial"/>
              </w:rPr>
            </w:pPr>
          </w:p>
        </w:tc>
        <w:tc>
          <w:tcPr>
            <w:tcW w:w="3849" w:type="pct"/>
            <w:gridSpan w:val="3"/>
          </w:tcPr>
          <w:p w:rsidR="00A33C9A" w:rsidRDefault="00A33C9A" w:rsidP="00E46E03">
            <w:pPr>
              <w:pStyle w:val="Textpoznpodarou"/>
              <w:jc w:val="both"/>
              <w:rPr>
                <w:rFonts w:cs="Arial"/>
                <w:sz w:val="16"/>
                <w:szCs w:val="16"/>
              </w:rPr>
            </w:pPr>
            <w:r>
              <w:rPr>
                <w:rFonts w:cs="Arial"/>
              </w:rPr>
              <w:t>Výdaje na domácí spotřebu v roce 2017 vzrostly o 3,3 %, což je nejvíce od roku 2003. Zrychlil meziroční růst spotřeby domácností (4,0 %, nejvíce od roku 2007), naopak vládní výdaje</w:t>
            </w:r>
            <w:r w:rsidR="004D745A">
              <w:rPr>
                <w:rFonts w:cs="Arial"/>
              </w:rPr>
              <w:t xml:space="preserve"> se loni nezvyšovaly tak rychle</w:t>
            </w:r>
            <w:r>
              <w:rPr>
                <w:rFonts w:cs="Arial"/>
              </w:rPr>
              <w:t xml:space="preserve"> jako v předchozích dvou letech (1,6 %). Dynamika</w:t>
            </w:r>
            <w:r w:rsidRPr="00227E5D">
              <w:rPr>
                <w:rFonts w:cs="Arial"/>
              </w:rPr>
              <w:t xml:space="preserve"> spotřeby domácností reflektoval</w:t>
            </w:r>
            <w:r>
              <w:rPr>
                <w:rFonts w:cs="Arial"/>
              </w:rPr>
              <w:t>a</w:t>
            </w:r>
            <w:r w:rsidRPr="00227E5D">
              <w:rPr>
                <w:rFonts w:cs="Arial"/>
              </w:rPr>
              <w:t xml:space="preserve"> výrazný růst mezd i</w:t>
            </w:r>
            <w:r>
              <w:rPr>
                <w:rFonts w:cs="Arial"/>
              </w:rPr>
              <w:t> </w:t>
            </w:r>
            <w:r w:rsidRPr="00227E5D">
              <w:rPr>
                <w:rFonts w:cs="Arial"/>
              </w:rPr>
              <w:t>pozitivní očekávání dalšího ekonomického vývoje.</w:t>
            </w:r>
            <w:r>
              <w:rPr>
                <w:rFonts w:cs="Arial"/>
              </w:rPr>
              <w:t xml:space="preserve"> Ve 2. až 4. čtvrtletí její meziroční růst překračoval 4% hranici. Podobně jako u HDP i </w:t>
            </w:r>
            <w:proofErr w:type="spellStart"/>
            <w:r>
              <w:rPr>
                <w:rFonts w:cs="Arial"/>
              </w:rPr>
              <w:t>mezičtvrtletní</w:t>
            </w:r>
            <w:proofErr w:type="spellEnd"/>
            <w:r>
              <w:rPr>
                <w:rFonts w:cs="Arial"/>
              </w:rPr>
              <w:t xml:space="preserve"> dynamika spotřeby v průběhu roku zpomalovala. Ve 3. i 4. čtvrtletí dosáhly </w:t>
            </w:r>
            <w:proofErr w:type="spellStart"/>
            <w:r>
              <w:rPr>
                <w:rFonts w:cs="Arial"/>
              </w:rPr>
              <w:t>mezičtvrtletní</w:t>
            </w:r>
            <w:proofErr w:type="spellEnd"/>
            <w:r>
              <w:rPr>
                <w:rFonts w:cs="Arial"/>
              </w:rPr>
              <w:t xml:space="preserve"> přírůstky výdajů na celkovou spotřebu 0,6 %. Stejně během 4. čtvrtletí vzrostla i samotná spotřeba domácností. Pohled na meziroční dynamiku výdajů podle trvanlivosti ukázal, že v roce 2017 nejvýrazněji zpomalil růst výdajů na předměty dlouhodobé spotřeby (z více než 10,0 % na 5,9 %</w:t>
            </w:r>
            <w:r w:rsidRPr="00F32CCD">
              <w:rPr>
                <w:rStyle w:val="Znakapoznpodarou"/>
              </w:rPr>
              <w:footnoteReference w:id="3"/>
            </w:r>
            <w:r>
              <w:rPr>
                <w:rFonts w:cs="Arial"/>
              </w:rPr>
              <w:t>) a zrychlil růst výdajů na netrvanlivé zboží (4,1 %) a služby (2,7 %).</w:t>
            </w:r>
            <w:r w:rsidR="00E46E03">
              <w:rPr>
                <w:rFonts w:cs="Arial"/>
              </w:rPr>
              <w:t xml:space="preserve"> Celkové výdaje na spotřebu v roce 2017 přispěly k meziročnímu růstu HDP 1,7 p. </w:t>
            </w:r>
            <w:proofErr w:type="spellStart"/>
            <w:r w:rsidR="00E46E03">
              <w:rPr>
                <w:rFonts w:cs="Arial"/>
              </w:rPr>
              <w:t>b</w:t>
            </w:r>
            <w:proofErr w:type="spellEnd"/>
            <w:r w:rsidR="00E46E03">
              <w:rPr>
                <w:rFonts w:cs="Arial"/>
              </w:rPr>
              <w:t>.</w:t>
            </w:r>
            <w:r w:rsidR="00E46E03" w:rsidRPr="00F32CCD">
              <w:rPr>
                <w:rStyle w:val="Znakapoznpodarou"/>
              </w:rPr>
              <w:footnoteReference w:id="4"/>
            </w:r>
            <w:r w:rsidR="00E46E03">
              <w:rPr>
                <w:rFonts w:cs="Arial"/>
              </w:rPr>
              <w:t xml:space="preserve">, z toho spotřeba domácností 1,4 p. </w:t>
            </w:r>
            <w:proofErr w:type="spellStart"/>
            <w:r w:rsidR="00E46E03">
              <w:rPr>
                <w:rFonts w:cs="Arial"/>
              </w:rPr>
              <w:t>b</w:t>
            </w:r>
            <w:proofErr w:type="spellEnd"/>
            <w:r w:rsidR="00E46E03">
              <w:rPr>
                <w:rFonts w:cs="Arial"/>
              </w:rPr>
              <w:t xml:space="preserve">. Nejvíce přispěla spotřeba k růstu ve 2. čtvrtletí (1,8 p. </w:t>
            </w:r>
            <w:proofErr w:type="spellStart"/>
            <w:r w:rsidR="00E46E03">
              <w:rPr>
                <w:rFonts w:cs="Arial"/>
              </w:rPr>
              <w:t>b</w:t>
            </w:r>
            <w:proofErr w:type="spellEnd"/>
            <w:r w:rsidR="00E46E03">
              <w:rPr>
                <w:rFonts w:cs="Arial"/>
              </w:rPr>
              <w:t>.). V dalších obdobích příspěvek mírně klesal. Jak totiž vyplývá ze srovnání příspěvků k vývoji HDP po a bez vyloučení dovozu pro konečné užití, zrychlený růst spotřeby domácností ve 2. až 4. čtvrtletí byl do značné míry saturován zahraniční nabídkou.</w:t>
            </w:r>
          </w:p>
          <w:p w:rsidR="00E46E03" w:rsidRPr="00E46E03" w:rsidRDefault="00E46E03" w:rsidP="00E46E03">
            <w:pPr>
              <w:pStyle w:val="Textpoznpodarou"/>
              <w:jc w:val="both"/>
              <w:rPr>
                <w:rFonts w:cs="Arial"/>
                <w:sz w:val="16"/>
                <w:szCs w:val="16"/>
                <w:highlight w:val="yellow"/>
              </w:rPr>
            </w:pPr>
          </w:p>
        </w:tc>
      </w:tr>
      <w:tr w:rsidR="00A33C9A" w:rsidRPr="00A74192" w:rsidTr="006C3DC1">
        <w:tc>
          <w:tcPr>
            <w:tcW w:w="1007" w:type="pct"/>
          </w:tcPr>
          <w:p w:rsidR="00A33C9A" w:rsidRPr="005E2AB2" w:rsidRDefault="00A33C9A" w:rsidP="006E4368">
            <w:pPr>
              <w:spacing w:line="240" w:lineRule="auto"/>
              <w:rPr>
                <w:rFonts w:cs="Arial"/>
                <w:sz w:val="16"/>
                <w:szCs w:val="16"/>
              </w:rPr>
            </w:pPr>
            <w:r>
              <w:rPr>
                <w:rFonts w:cs="Arial"/>
                <w:sz w:val="16"/>
                <w:szCs w:val="16"/>
              </w:rPr>
              <w:t>Mzdy a platy výrazně rostly v nominálním i</w:t>
            </w:r>
            <w:r w:rsidR="00442BD1">
              <w:rPr>
                <w:rFonts w:cs="Arial"/>
                <w:sz w:val="16"/>
                <w:szCs w:val="16"/>
              </w:rPr>
              <w:t> </w:t>
            </w:r>
            <w:r>
              <w:rPr>
                <w:rFonts w:cs="Arial"/>
                <w:sz w:val="16"/>
                <w:szCs w:val="16"/>
              </w:rPr>
              <w:t>reálném vyjádření.</w:t>
            </w:r>
          </w:p>
        </w:tc>
        <w:tc>
          <w:tcPr>
            <w:tcW w:w="144" w:type="pct"/>
          </w:tcPr>
          <w:p w:rsidR="00A33C9A" w:rsidRPr="005E2AB2" w:rsidRDefault="00A33C9A" w:rsidP="006E4368">
            <w:pPr>
              <w:pStyle w:val="Textpoznpodarou"/>
              <w:rPr>
                <w:rFonts w:cs="Arial"/>
              </w:rPr>
            </w:pPr>
          </w:p>
        </w:tc>
        <w:tc>
          <w:tcPr>
            <w:tcW w:w="3849" w:type="pct"/>
            <w:gridSpan w:val="3"/>
          </w:tcPr>
          <w:p w:rsidR="00A33C9A" w:rsidRDefault="00E46E03" w:rsidP="006E4368">
            <w:pPr>
              <w:pStyle w:val="Textpoznpodarou"/>
              <w:jc w:val="both"/>
              <w:rPr>
                <w:rFonts w:cs="Arial"/>
                <w:sz w:val="16"/>
                <w:szCs w:val="16"/>
              </w:rPr>
            </w:pPr>
            <w:r>
              <w:rPr>
                <w:rFonts w:cs="Arial"/>
              </w:rPr>
              <w:t>Z</w:t>
            </w:r>
            <w:r w:rsidR="00A33C9A" w:rsidRPr="00EE0230">
              <w:rPr>
                <w:rFonts w:cs="Arial"/>
              </w:rPr>
              <w:t>míněný růst mezd byl opravdu mimořádný. Nominální navýšení objemu vyplacených mezd a platů v roce 2017 dosáhlo 7,9 %, nejvíce od roku 2007.</w:t>
            </w:r>
            <w:r w:rsidR="00A33C9A">
              <w:rPr>
                <w:rFonts w:cs="Arial"/>
              </w:rPr>
              <w:t xml:space="preserve"> </w:t>
            </w:r>
            <w:r>
              <w:rPr>
                <w:rFonts w:cs="Arial"/>
              </w:rPr>
              <w:t>R</w:t>
            </w:r>
            <w:r w:rsidR="00A33C9A">
              <w:rPr>
                <w:rFonts w:cs="Arial"/>
              </w:rPr>
              <w:t>ostoucí inflac</w:t>
            </w:r>
            <w:r>
              <w:rPr>
                <w:rFonts w:cs="Arial"/>
              </w:rPr>
              <w:t>e vedla ke zvýšení</w:t>
            </w:r>
            <w:r w:rsidR="00A33C9A">
              <w:rPr>
                <w:rFonts w:cs="Arial"/>
              </w:rPr>
              <w:t xml:space="preserve"> rozdíl</w:t>
            </w:r>
            <w:r>
              <w:rPr>
                <w:rFonts w:cs="Arial"/>
              </w:rPr>
              <w:t>u</w:t>
            </w:r>
            <w:r w:rsidR="00A33C9A">
              <w:rPr>
                <w:rFonts w:cs="Arial"/>
              </w:rPr>
              <w:t xml:space="preserve"> mezi reálným a nominálním růstem mezd a platů oproti letům 2013–2016</w:t>
            </w:r>
            <w:r>
              <w:rPr>
                <w:rFonts w:cs="Arial"/>
              </w:rPr>
              <w:t>.</w:t>
            </w:r>
            <w:r w:rsidR="00A33C9A">
              <w:rPr>
                <w:rFonts w:cs="Arial"/>
              </w:rPr>
              <w:t xml:space="preserve"> Reálně bylo loni vyplaceno o 5,3 %</w:t>
            </w:r>
            <w:r w:rsidR="00A33C9A" w:rsidRPr="00F66CA8">
              <w:rPr>
                <w:rStyle w:val="Znakapoznpodarou"/>
                <w:spacing w:val="-2"/>
              </w:rPr>
              <w:footnoteReference w:id="5"/>
            </w:r>
            <w:r w:rsidR="00A33C9A">
              <w:rPr>
                <w:rFonts w:cs="Arial"/>
              </w:rPr>
              <w:t xml:space="preserve"> mzdových prostředků více. V průběhu roku tempo růstu objemu vyplácených mezd a platů zrychlovalo a ve 4. čtvrtletí dosáhlo 8,4 % (nejvíce od 2. čtvrtletí 2008).   Růst </w:t>
            </w:r>
            <w:r w:rsidR="00A33C9A">
              <w:rPr>
                <w:rFonts w:cs="Arial"/>
              </w:rPr>
              <w:lastRenderedPageBreak/>
              <w:t>celkové zaměstnanosti (osoby) loni rovněž mírně zrychlil a dosáhl 1,6 %</w:t>
            </w:r>
            <w:r w:rsidR="00A33C9A" w:rsidRPr="00F66CA8">
              <w:rPr>
                <w:rStyle w:val="Znakapoznpodarou"/>
                <w:spacing w:val="-2"/>
              </w:rPr>
              <w:footnoteReference w:id="6"/>
            </w:r>
            <w:r w:rsidR="00A33C9A">
              <w:rPr>
                <w:rFonts w:cs="Arial"/>
              </w:rPr>
              <w:t>. Celková zaměstnanost měřená počtem odpracovaných hodin rostla rychleji (1,9 %).</w:t>
            </w:r>
          </w:p>
          <w:p w:rsidR="00A33C9A" w:rsidRPr="00DC475F" w:rsidRDefault="00A33C9A" w:rsidP="006E4368">
            <w:pPr>
              <w:pStyle w:val="Textpoznpodarou"/>
              <w:jc w:val="both"/>
              <w:rPr>
                <w:sz w:val="16"/>
                <w:highlight w:val="yellow"/>
              </w:rPr>
            </w:pPr>
          </w:p>
        </w:tc>
      </w:tr>
      <w:tr w:rsidR="00A33C9A" w:rsidRPr="00A74192" w:rsidTr="006C3DC1">
        <w:tc>
          <w:tcPr>
            <w:tcW w:w="1007" w:type="pct"/>
          </w:tcPr>
          <w:p w:rsidR="00A33C9A" w:rsidRPr="005E2AB2" w:rsidRDefault="00A33C9A" w:rsidP="006E4368">
            <w:pPr>
              <w:spacing w:line="240" w:lineRule="auto"/>
              <w:rPr>
                <w:rFonts w:cs="Arial"/>
                <w:sz w:val="16"/>
                <w:szCs w:val="16"/>
              </w:rPr>
            </w:pPr>
            <w:r>
              <w:rPr>
                <w:rFonts w:cs="Arial"/>
                <w:sz w:val="16"/>
                <w:szCs w:val="16"/>
              </w:rPr>
              <w:lastRenderedPageBreak/>
              <w:t>Mzdy rostly ve všech odvětvích. Doprovázel je i růst celkové zaměstnanosti.</w:t>
            </w:r>
          </w:p>
        </w:tc>
        <w:tc>
          <w:tcPr>
            <w:tcW w:w="144" w:type="pct"/>
          </w:tcPr>
          <w:p w:rsidR="00A33C9A" w:rsidRPr="005E2AB2" w:rsidRDefault="00A33C9A" w:rsidP="006E4368">
            <w:pPr>
              <w:pStyle w:val="Textpoznpodarou"/>
              <w:rPr>
                <w:rFonts w:cs="Arial"/>
              </w:rPr>
            </w:pPr>
          </w:p>
        </w:tc>
        <w:tc>
          <w:tcPr>
            <w:tcW w:w="3849" w:type="pct"/>
            <w:gridSpan w:val="3"/>
          </w:tcPr>
          <w:p w:rsidR="00A33C9A" w:rsidRDefault="00A33C9A" w:rsidP="006E4368">
            <w:pPr>
              <w:pStyle w:val="Textpoznpodarou"/>
              <w:jc w:val="both"/>
              <w:rPr>
                <w:rFonts w:cs="Arial"/>
                <w:sz w:val="16"/>
                <w:szCs w:val="16"/>
              </w:rPr>
            </w:pPr>
            <w:r>
              <w:rPr>
                <w:rFonts w:cs="Arial"/>
              </w:rPr>
              <w:t>Celk</w:t>
            </w:r>
            <w:r w:rsidR="00B4795A">
              <w:rPr>
                <w:rFonts w:cs="Arial"/>
              </w:rPr>
              <w:t>ový růst mezd a platů loni táh</w:t>
            </w:r>
            <w:r>
              <w:rPr>
                <w:rFonts w:cs="Arial"/>
              </w:rPr>
              <w:t>l zpracovatelský průmysl, který zaměstnává nejvíce pracovníků. Objem vyplacených mzdových prostředků zde vzrostl o 8,6 %, nedošlo přitom k výraznějšímu růstu zaměstnanosti v tomto odvětví (0,6 %). Na druhém místě v počtu zaměstnanců je obchod, doprava, ubytování a pohostinství, kde objem mezd vzrostl o 8,3 %. Zároveň se zde zaměstnanost zvýšila o 2,4 %. U odvětví s dominancí veřejného sektoru objem mezd a platů narostl o 8,5 %. Nejvyššího růstu objemu výdělků (9,1</w:t>
            </w:r>
            <w:r w:rsidR="00B4795A">
              <w:rPr>
                <w:rFonts w:cs="Arial"/>
              </w:rPr>
              <w:t> %</w:t>
            </w:r>
            <w:r>
              <w:rPr>
                <w:rFonts w:cs="Arial"/>
              </w:rPr>
              <w:t xml:space="preserve"> při 3,8% růstu zaměstnanosti) dosáhly informační a komunikační činnosti. U profesních, vědeckých, technických a administrativních činností rostla zaměstnanost stejným tempem, ale objem vyplácených mezd méně (7,9 %). Nejnižšího růstu vyplácených mezd dosáhlo stavebnictví (3,6 %) a peněžnictví a pojišťovnictví (4,5 %, jediné odvětví s poklesem zaměstnanosti o 1,0 %).</w:t>
            </w:r>
          </w:p>
          <w:p w:rsidR="00A33C9A" w:rsidRPr="00EA0CFE" w:rsidRDefault="00A33C9A" w:rsidP="006E4368">
            <w:pPr>
              <w:pStyle w:val="Textpoznpodarou"/>
              <w:jc w:val="both"/>
              <w:rPr>
                <w:rFonts w:cs="Arial"/>
                <w:sz w:val="16"/>
                <w:szCs w:val="16"/>
              </w:rPr>
            </w:pPr>
          </w:p>
        </w:tc>
      </w:tr>
      <w:tr w:rsidR="00A33C9A" w:rsidRPr="00A74192" w:rsidTr="006C3DC1">
        <w:tc>
          <w:tcPr>
            <w:tcW w:w="1007" w:type="pct"/>
          </w:tcPr>
          <w:p w:rsidR="00A33C9A" w:rsidRPr="005E2AB2" w:rsidRDefault="00A33C9A" w:rsidP="006C3DC1">
            <w:pPr>
              <w:spacing w:line="240" w:lineRule="auto"/>
              <w:jc w:val="center"/>
              <w:rPr>
                <w:rFonts w:cs="Arial"/>
                <w:sz w:val="16"/>
                <w:szCs w:val="16"/>
              </w:rPr>
            </w:pPr>
          </w:p>
        </w:tc>
        <w:tc>
          <w:tcPr>
            <w:tcW w:w="144" w:type="pct"/>
          </w:tcPr>
          <w:p w:rsidR="00A33C9A" w:rsidRPr="005E2AB2" w:rsidRDefault="00A33C9A" w:rsidP="006C3DC1">
            <w:pPr>
              <w:pStyle w:val="Textpoznpodarou"/>
              <w:jc w:val="both"/>
              <w:rPr>
                <w:rFonts w:cs="Arial"/>
              </w:rPr>
            </w:pPr>
          </w:p>
        </w:tc>
        <w:tc>
          <w:tcPr>
            <w:tcW w:w="575" w:type="pct"/>
          </w:tcPr>
          <w:p w:rsidR="00A33C9A" w:rsidRPr="005E2AB2" w:rsidRDefault="00A33C9A" w:rsidP="006C3DC1">
            <w:pPr>
              <w:pStyle w:val="Textpoznpodarou"/>
              <w:rPr>
                <w:rFonts w:cs="Arial"/>
                <w:lang w:eastAsia="en-US"/>
              </w:rPr>
            </w:pPr>
            <w:r w:rsidRPr="005E2AB2">
              <w:rPr>
                <w:rFonts w:cs="Arial"/>
                <w:lang w:eastAsia="en-US"/>
              </w:rPr>
              <w:t>Graf č. 3</w:t>
            </w:r>
          </w:p>
        </w:tc>
        <w:tc>
          <w:tcPr>
            <w:tcW w:w="3274" w:type="pct"/>
            <w:gridSpan w:val="2"/>
          </w:tcPr>
          <w:p w:rsidR="00A33C9A" w:rsidRPr="005E2AB2" w:rsidRDefault="00A33C9A" w:rsidP="006C3DC1">
            <w:pPr>
              <w:pStyle w:val="Textpoznpodarou"/>
              <w:rPr>
                <w:rFonts w:cs="Arial"/>
                <w:lang w:eastAsia="en-US"/>
              </w:rPr>
            </w:pPr>
            <w:r w:rsidRPr="005E2AB2">
              <w:rPr>
                <w:rFonts w:cs="Arial"/>
                <w:b/>
                <w:lang w:eastAsia="en-US"/>
              </w:rPr>
              <w:t>Příspěvky výdajových složek k</w:t>
            </w:r>
            <w:r>
              <w:rPr>
                <w:rFonts w:cs="Arial"/>
                <w:b/>
                <w:lang w:eastAsia="en-US"/>
              </w:rPr>
              <w:t xml:space="preserve"> reálné</w:t>
            </w:r>
            <w:r w:rsidRPr="005E2AB2">
              <w:rPr>
                <w:rFonts w:cs="Arial"/>
                <w:b/>
                <w:lang w:eastAsia="en-US"/>
              </w:rPr>
              <w:t> změně HDP*</w:t>
            </w:r>
            <w:r w:rsidRPr="005E2AB2">
              <w:rPr>
                <w:rFonts w:cs="Arial"/>
                <w:lang w:eastAsia="en-US"/>
              </w:rPr>
              <w:t xml:space="preserve"> (</w:t>
            </w:r>
            <w:r>
              <w:rPr>
                <w:rFonts w:cs="Arial"/>
                <w:lang w:eastAsia="en-US"/>
              </w:rPr>
              <w:t>objemové indexy</w:t>
            </w:r>
            <w:r w:rsidRPr="005E2AB2">
              <w:rPr>
                <w:rFonts w:cs="Arial"/>
                <w:lang w:eastAsia="en-US"/>
              </w:rPr>
              <w:t xml:space="preserve">, </w:t>
            </w:r>
            <w:r>
              <w:rPr>
                <w:rFonts w:cs="Arial"/>
                <w:lang w:eastAsia="en-US"/>
              </w:rPr>
              <w:t xml:space="preserve">meziroční růst, </w:t>
            </w:r>
            <w:r w:rsidRPr="005E2AB2">
              <w:rPr>
                <w:rFonts w:cs="Arial"/>
                <w:lang w:eastAsia="en-US"/>
              </w:rPr>
              <w:t>příspěvky v </w:t>
            </w:r>
            <w:r w:rsidR="00711398">
              <w:rPr>
                <w:rFonts w:cs="Arial"/>
                <w:lang w:eastAsia="en-US"/>
              </w:rPr>
              <w:t xml:space="preserve">p. </w:t>
            </w:r>
            <w:proofErr w:type="spellStart"/>
            <w:r w:rsidR="00711398">
              <w:rPr>
                <w:rFonts w:cs="Arial"/>
                <w:lang w:eastAsia="en-US"/>
              </w:rPr>
              <w:t>b</w:t>
            </w:r>
            <w:proofErr w:type="spellEnd"/>
            <w:r w:rsidR="00711398">
              <w:rPr>
                <w:rFonts w:cs="Arial"/>
                <w:lang w:eastAsia="en-US"/>
              </w:rPr>
              <w:t>.</w:t>
            </w:r>
            <w:r w:rsidRPr="005E2AB2">
              <w:rPr>
                <w:rFonts w:cs="Arial"/>
                <w:lang w:eastAsia="en-US"/>
              </w:rPr>
              <w:t>, HDP v %)</w:t>
            </w:r>
          </w:p>
        </w:tc>
      </w:tr>
      <w:tr w:rsidR="00A33C9A" w:rsidRPr="00A74192" w:rsidTr="006C3DC1">
        <w:tc>
          <w:tcPr>
            <w:tcW w:w="1007" w:type="pct"/>
          </w:tcPr>
          <w:p w:rsidR="00A33C9A" w:rsidRPr="005E2AB2" w:rsidRDefault="00A33C9A" w:rsidP="006C3DC1">
            <w:pPr>
              <w:spacing w:line="240" w:lineRule="auto"/>
              <w:rPr>
                <w:rFonts w:cs="Arial"/>
                <w:sz w:val="16"/>
                <w:szCs w:val="16"/>
              </w:rPr>
            </w:pPr>
          </w:p>
        </w:tc>
        <w:tc>
          <w:tcPr>
            <w:tcW w:w="144" w:type="pct"/>
          </w:tcPr>
          <w:p w:rsidR="00A33C9A" w:rsidRPr="00A74192" w:rsidRDefault="00A33C9A" w:rsidP="006C3DC1">
            <w:pPr>
              <w:pStyle w:val="Textpoznpodarou"/>
              <w:jc w:val="both"/>
              <w:rPr>
                <w:rFonts w:cs="Arial"/>
              </w:rPr>
            </w:pPr>
          </w:p>
        </w:tc>
        <w:tc>
          <w:tcPr>
            <w:tcW w:w="3849" w:type="pct"/>
            <w:gridSpan w:val="3"/>
          </w:tcPr>
          <w:p w:rsidR="00A33C9A" w:rsidRPr="00E60FCE" w:rsidRDefault="00A33C9A" w:rsidP="006C3DC1">
            <w:pPr>
              <w:pStyle w:val="Textpoznpodarou"/>
              <w:ind w:left="-95"/>
              <w:jc w:val="both"/>
              <w:rPr>
                <w:rFonts w:cs="Arial"/>
                <w:sz w:val="14"/>
                <w:szCs w:val="14"/>
                <w:highlight w:val="yellow"/>
              </w:rPr>
            </w:pPr>
            <w:r w:rsidRPr="00A33C9A">
              <w:rPr>
                <w:rFonts w:cs="Arial"/>
                <w:noProof/>
                <w:sz w:val="14"/>
                <w:szCs w:val="14"/>
              </w:rPr>
              <w:drawing>
                <wp:inline distT="0" distB="0" distL="0" distR="0">
                  <wp:extent cx="4737600" cy="3553200"/>
                  <wp:effectExtent l="0" t="0" r="0" b="0"/>
                  <wp:docPr id="1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A33C9A" w:rsidRPr="00A74192" w:rsidTr="006C3DC1">
        <w:tc>
          <w:tcPr>
            <w:tcW w:w="1007" w:type="pct"/>
          </w:tcPr>
          <w:p w:rsidR="00A33C9A" w:rsidRPr="005E2AB2" w:rsidRDefault="00A33C9A" w:rsidP="006C3DC1">
            <w:pPr>
              <w:spacing w:line="240" w:lineRule="auto"/>
              <w:rPr>
                <w:rFonts w:cs="Arial"/>
                <w:sz w:val="16"/>
                <w:szCs w:val="16"/>
              </w:rPr>
            </w:pPr>
          </w:p>
        </w:tc>
        <w:tc>
          <w:tcPr>
            <w:tcW w:w="144" w:type="pct"/>
          </w:tcPr>
          <w:p w:rsidR="00A33C9A" w:rsidRPr="00A74192" w:rsidRDefault="00A33C9A" w:rsidP="006C3DC1">
            <w:pPr>
              <w:pStyle w:val="Textpoznpodarou"/>
              <w:jc w:val="both"/>
              <w:rPr>
                <w:rFonts w:cs="Arial"/>
              </w:rPr>
            </w:pPr>
          </w:p>
        </w:tc>
        <w:tc>
          <w:tcPr>
            <w:tcW w:w="3165" w:type="pct"/>
            <w:gridSpan w:val="2"/>
          </w:tcPr>
          <w:p w:rsidR="00A33C9A" w:rsidRPr="007841BB" w:rsidRDefault="00A33C9A" w:rsidP="006C3DC1">
            <w:pPr>
              <w:pStyle w:val="Textpoznpodarou"/>
              <w:jc w:val="both"/>
              <w:rPr>
                <w:rFonts w:cs="Arial"/>
                <w:sz w:val="14"/>
                <w:szCs w:val="14"/>
              </w:rPr>
            </w:pPr>
            <w:r>
              <w:rPr>
                <w:rFonts w:cs="Arial"/>
                <w:sz w:val="14"/>
                <w:szCs w:val="14"/>
                <w:lang w:eastAsia="en-US"/>
              </w:rPr>
              <w:t>*P</w:t>
            </w:r>
            <w:r w:rsidRPr="007841BB">
              <w:rPr>
                <w:rFonts w:cs="Arial"/>
                <w:sz w:val="14"/>
                <w:szCs w:val="14"/>
                <w:lang w:eastAsia="en-US"/>
              </w:rPr>
              <w:t>říspěvky ke změně HDP po vyloučení dovozu pro konečné užití</w:t>
            </w:r>
          </w:p>
        </w:tc>
        <w:tc>
          <w:tcPr>
            <w:tcW w:w="684" w:type="pct"/>
          </w:tcPr>
          <w:p w:rsidR="00A33C9A" w:rsidRPr="007841BB" w:rsidRDefault="00A33C9A" w:rsidP="006C3DC1">
            <w:pPr>
              <w:pStyle w:val="Textpoznpodarou"/>
              <w:jc w:val="right"/>
              <w:rPr>
                <w:rFonts w:cs="Arial"/>
                <w:sz w:val="14"/>
                <w:szCs w:val="14"/>
              </w:rPr>
            </w:pPr>
            <w:r w:rsidRPr="007841BB">
              <w:rPr>
                <w:rFonts w:cs="Arial"/>
                <w:sz w:val="14"/>
                <w:szCs w:val="14"/>
              </w:rPr>
              <w:t>Zdroj: ČSÚ</w:t>
            </w:r>
          </w:p>
          <w:p w:rsidR="00A33C9A" w:rsidRPr="007841BB" w:rsidRDefault="00A33C9A" w:rsidP="006C3DC1">
            <w:pPr>
              <w:pStyle w:val="Textpoznpodarou"/>
              <w:jc w:val="right"/>
              <w:rPr>
                <w:rFonts w:cs="Arial"/>
                <w:sz w:val="14"/>
                <w:szCs w:val="14"/>
              </w:rPr>
            </w:pPr>
          </w:p>
        </w:tc>
      </w:tr>
      <w:tr w:rsidR="00A33C9A" w:rsidRPr="00A74192" w:rsidTr="006C3DC1">
        <w:tc>
          <w:tcPr>
            <w:tcW w:w="1007" w:type="pct"/>
          </w:tcPr>
          <w:p w:rsidR="00A33C9A" w:rsidRDefault="00A33C9A" w:rsidP="006E4368">
            <w:pPr>
              <w:spacing w:line="240" w:lineRule="auto"/>
              <w:rPr>
                <w:rFonts w:cs="Arial"/>
                <w:sz w:val="16"/>
                <w:szCs w:val="16"/>
              </w:rPr>
            </w:pPr>
            <w:r>
              <w:rPr>
                <w:rFonts w:cs="Arial"/>
                <w:sz w:val="16"/>
                <w:szCs w:val="16"/>
              </w:rPr>
              <w:t xml:space="preserve">Investice podpořily zrychlení meziročního růstu HDP v 2. pololetí. </w:t>
            </w: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Pr="005E2AB2" w:rsidRDefault="00A33C9A" w:rsidP="006E4368">
            <w:pPr>
              <w:spacing w:line="240" w:lineRule="auto"/>
              <w:rPr>
                <w:rFonts w:cs="Arial"/>
                <w:sz w:val="16"/>
                <w:szCs w:val="16"/>
              </w:rPr>
            </w:pPr>
            <w:r>
              <w:rPr>
                <w:rFonts w:cs="Arial"/>
                <w:sz w:val="16"/>
                <w:szCs w:val="16"/>
              </w:rPr>
              <w:t>Z pohledu na věcné členění tvorby hrubého fixního kapitálu vyplývá, že investovaly hlavně firmy a domácnosti.</w:t>
            </w:r>
          </w:p>
        </w:tc>
        <w:tc>
          <w:tcPr>
            <w:tcW w:w="144" w:type="pct"/>
          </w:tcPr>
          <w:p w:rsidR="00A33C9A" w:rsidRPr="005E2AB2" w:rsidRDefault="00A33C9A" w:rsidP="006E4368">
            <w:pPr>
              <w:pStyle w:val="Textpoznpodarou"/>
              <w:rPr>
                <w:rFonts w:cs="Arial"/>
              </w:rPr>
            </w:pPr>
          </w:p>
        </w:tc>
        <w:tc>
          <w:tcPr>
            <w:tcW w:w="3849" w:type="pct"/>
            <w:gridSpan w:val="3"/>
          </w:tcPr>
          <w:p w:rsidR="00A33C9A" w:rsidRPr="00161DB6" w:rsidRDefault="00A33C9A" w:rsidP="00A33C9A">
            <w:pPr>
              <w:pStyle w:val="Textpoznpodarou"/>
              <w:jc w:val="both"/>
              <w:rPr>
                <w:rFonts w:cs="Arial"/>
                <w:spacing w:val="-2"/>
                <w:sz w:val="16"/>
                <w:szCs w:val="16"/>
              </w:rPr>
            </w:pPr>
            <w:r w:rsidRPr="00161DB6">
              <w:rPr>
                <w:rFonts w:cs="Arial"/>
                <w:spacing w:val="-2"/>
              </w:rPr>
              <w:t>Investiční aktivita stála za silným růstem HDP ve 3. a 4. čtvrtletí. Příspěvek výdajů na tvorbu hrubého fixního kapitálu k růstu HDP v roce 2017 činil 1,2</w:t>
            </w:r>
            <w:r w:rsidR="00FA76E1" w:rsidRPr="00161DB6">
              <w:rPr>
                <w:rFonts w:cs="Arial"/>
                <w:spacing w:val="-2"/>
              </w:rPr>
              <w:t> </w:t>
            </w:r>
            <w:r w:rsidRPr="00161DB6">
              <w:rPr>
                <w:rFonts w:cs="Arial"/>
                <w:spacing w:val="-2"/>
              </w:rPr>
              <w:t>p.</w:t>
            </w:r>
            <w:r w:rsidR="00FA76E1" w:rsidRPr="00161DB6">
              <w:rPr>
                <w:rFonts w:cs="Arial"/>
                <w:spacing w:val="-2"/>
              </w:rPr>
              <w:t> </w:t>
            </w:r>
            <w:proofErr w:type="spellStart"/>
            <w:r w:rsidRPr="00161DB6">
              <w:rPr>
                <w:rFonts w:cs="Arial"/>
                <w:spacing w:val="-2"/>
              </w:rPr>
              <w:t>b</w:t>
            </w:r>
            <w:proofErr w:type="spellEnd"/>
            <w:r w:rsidRPr="00161DB6">
              <w:rPr>
                <w:rFonts w:cs="Arial"/>
                <w:spacing w:val="-2"/>
              </w:rPr>
              <w:t>. V průběhu roku se význam investiční aktivity pro růst HDP zvyšoval. Po</w:t>
            </w:r>
            <w:r w:rsidR="00FA76E1" w:rsidRPr="00161DB6">
              <w:rPr>
                <w:rFonts w:cs="Arial"/>
                <w:spacing w:val="-2"/>
              </w:rPr>
              <w:t>dobně jako u výdajů na spotřebu</w:t>
            </w:r>
            <w:r w:rsidRPr="00161DB6">
              <w:rPr>
                <w:rFonts w:cs="Arial"/>
                <w:spacing w:val="-2"/>
              </w:rPr>
              <w:t xml:space="preserve"> </w:t>
            </w:r>
            <w:r w:rsidR="00FA76E1" w:rsidRPr="00161DB6">
              <w:rPr>
                <w:rFonts w:cs="Arial"/>
                <w:spacing w:val="-2"/>
              </w:rPr>
              <w:t xml:space="preserve">byla </w:t>
            </w:r>
            <w:r w:rsidRPr="00161DB6">
              <w:rPr>
                <w:rFonts w:cs="Arial"/>
                <w:spacing w:val="-2"/>
              </w:rPr>
              <w:t>zvýšená poptávka po investičních statcích zčásti saturována zahraniční nabídkou. Investice v roce 2017 vzrostly o</w:t>
            </w:r>
            <w:r w:rsidR="00FA76E1" w:rsidRPr="00161DB6">
              <w:rPr>
                <w:rFonts w:cs="Arial"/>
                <w:spacing w:val="-2"/>
              </w:rPr>
              <w:t> </w:t>
            </w:r>
            <w:r w:rsidRPr="00161DB6">
              <w:rPr>
                <w:rFonts w:cs="Arial"/>
                <w:spacing w:val="-2"/>
              </w:rPr>
              <w:t>5,8</w:t>
            </w:r>
            <w:r w:rsidR="00FA76E1" w:rsidRPr="00161DB6">
              <w:rPr>
                <w:rFonts w:cs="Arial"/>
                <w:spacing w:val="-2"/>
              </w:rPr>
              <w:t> </w:t>
            </w:r>
            <w:r w:rsidRPr="00161DB6">
              <w:rPr>
                <w:rFonts w:cs="Arial"/>
                <w:spacing w:val="-2"/>
              </w:rPr>
              <w:t xml:space="preserve">%. V 1. čtvrtletí roku přitom tato složka HDP ještě stagnovala. V následujících třech čtvrtletích již meziroční přírůstky přesahovaly 7,0 % a ve 4. čtvrtletí vzrostly investiční výdaje o 7,9 %. Zčásti se projevila nízká srovnávací základna roku 2016, </w:t>
            </w:r>
            <w:proofErr w:type="spellStart"/>
            <w:r w:rsidRPr="00161DB6">
              <w:rPr>
                <w:rFonts w:cs="Arial"/>
                <w:spacing w:val="-2"/>
              </w:rPr>
              <w:t>mezičtvrtletní</w:t>
            </w:r>
            <w:proofErr w:type="spellEnd"/>
            <w:r w:rsidRPr="00161DB6">
              <w:rPr>
                <w:rFonts w:cs="Arial"/>
                <w:spacing w:val="-2"/>
              </w:rPr>
              <w:t xml:space="preserve"> dynamika však ukázala zvýšení investiční aktivity především ve</w:t>
            </w:r>
            <w:r w:rsidR="00766F78" w:rsidRPr="00161DB6">
              <w:rPr>
                <w:rFonts w:cs="Arial"/>
                <w:spacing w:val="-2"/>
              </w:rPr>
              <w:t> </w:t>
            </w:r>
            <w:r w:rsidRPr="00161DB6">
              <w:rPr>
                <w:rFonts w:cs="Arial"/>
                <w:spacing w:val="-2"/>
              </w:rPr>
              <w:t>2.</w:t>
            </w:r>
            <w:r w:rsidR="00766F78" w:rsidRPr="00161DB6">
              <w:rPr>
                <w:rFonts w:cs="Arial"/>
                <w:spacing w:val="-2"/>
              </w:rPr>
              <w:t> </w:t>
            </w:r>
            <w:r w:rsidRPr="00161DB6">
              <w:rPr>
                <w:rFonts w:cs="Arial"/>
                <w:spacing w:val="-2"/>
              </w:rPr>
              <w:t>a</w:t>
            </w:r>
            <w:r w:rsidR="00766F78" w:rsidRPr="00161DB6">
              <w:rPr>
                <w:rFonts w:cs="Arial"/>
                <w:spacing w:val="-2"/>
              </w:rPr>
              <w:t> </w:t>
            </w:r>
            <w:r w:rsidRPr="00161DB6">
              <w:rPr>
                <w:rFonts w:cs="Arial"/>
                <w:spacing w:val="-2"/>
              </w:rPr>
              <w:t>3. čtvrtletí. Podle věcného členění tvorby hrubého fixního kapitálu v roce 2017 nejrychleji rostly investice do dopravních prostředků a zařízení (8,9 %</w:t>
            </w:r>
            <w:r w:rsidRPr="00161DB6">
              <w:rPr>
                <w:rStyle w:val="Znakapoznpodarou"/>
                <w:spacing w:val="-2"/>
              </w:rPr>
              <w:footnoteReference w:id="7"/>
            </w:r>
            <w:r w:rsidRPr="00161DB6">
              <w:rPr>
                <w:rFonts w:cs="Arial"/>
                <w:spacing w:val="-2"/>
              </w:rPr>
              <w:t xml:space="preserve">), do obydlí (7,0 %) a do ICT a ostatních strojů a zařízení (6,6 %). U prvních dvou jmenovaných kategorií došlo ke zmírnění meziročního tempa růstu, </w:t>
            </w:r>
            <w:r w:rsidR="00117597" w:rsidRPr="00161DB6">
              <w:rPr>
                <w:rFonts w:cs="Arial"/>
                <w:spacing w:val="-2"/>
              </w:rPr>
              <w:t>třetí a objemově</w:t>
            </w:r>
            <w:r w:rsidRPr="00161DB6">
              <w:rPr>
                <w:rFonts w:cs="Arial"/>
                <w:spacing w:val="-2"/>
              </w:rPr>
              <w:t xml:space="preserve"> nejvýznamnější položka kompenzovala propad z roku 2016. Uvedené složení výdajů na tvorbu hrubého fixního kapitálu poukazuje na klíčovou úlohu firem a domácností v loňské investiční aktivitě. Zrychlil i </w:t>
            </w:r>
            <w:r w:rsidRPr="00161DB6">
              <w:rPr>
                <w:rFonts w:cs="Arial"/>
                <w:spacing w:val="-2"/>
              </w:rPr>
              <w:lastRenderedPageBreak/>
              <w:t>růst investic do produktů duševního vlastnictví (na 5,4 %).  Naopak výdaje na ostatní budovy a stavby loni setrvaly na mimořádně nízké úrovni roku 2016, když jejich růst dosáhl 0,9 %. Tato investiční kategorie zahrnuje infrastrukturní projekty, které jsou doménou sektoru vládních institucí. Zároveň do ní spadají i různé průmyslové budovy a sklady. Jejich výstavbu stimuluje jak silný ekonomický růst</w:t>
            </w:r>
            <w:r w:rsidR="00FA76E1" w:rsidRPr="00161DB6">
              <w:rPr>
                <w:rFonts w:cs="Arial"/>
                <w:spacing w:val="-2"/>
              </w:rPr>
              <w:t>,</w:t>
            </w:r>
            <w:r w:rsidR="0019431C" w:rsidRPr="00161DB6">
              <w:rPr>
                <w:rFonts w:cs="Arial"/>
                <w:spacing w:val="-2"/>
              </w:rPr>
              <w:t xml:space="preserve"> tak</w:t>
            </w:r>
            <w:r w:rsidRPr="00161DB6">
              <w:rPr>
                <w:rFonts w:cs="Arial"/>
                <w:spacing w:val="-2"/>
              </w:rPr>
              <w:t xml:space="preserve"> logisticky výhodná poloha Česka.</w:t>
            </w:r>
          </w:p>
          <w:p w:rsidR="00A33C9A" w:rsidRPr="00161DB6" w:rsidRDefault="00A33C9A" w:rsidP="00A33C9A">
            <w:pPr>
              <w:pStyle w:val="Textpoznpodarou"/>
              <w:jc w:val="both"/>
              <w:rPr>
                <w:rFonts w:cs="Arial"/>
                <w:spacing w:val="-2"/>
                <w:sz w:val="16"/>
                <w:szCs w:val="16"/>
              </w:rPr>
            </w:pPr>
          </w:p>
        </w:tc>
      </w:tr>
      <w:tr w:rsidR="00A33C9A" w:rsidRPr="00A74192" w:rsidTr="006C3DC1">
        <w:tc>
          <w:tcPr>
            <w:tcW w:w="1007" w:type="pct"/>
          </w:tcPr>
          <w:p w:rsidR="00A33C9A" w:rsidRPr="005E2AB2" w:rsidRDefault="00A33C9A" w:rsidP="006E4368">
            <w:pPr>
              <w:spacing w:line="240" w:lineRule="auto"/>
              <w:rPr>
                <w:rFonts w:cs="Arial"/>
                <w:sz w:val="16"/>
                <w:szCs w:val="16"/>
              </w:rPr>
            </w:pPr>
            <w:r>
              <w:rPr>
                <w:rFonts w:cs="Arial"/>
                <w:sz w:val="16"/>
                <w:szCs w:val="16"/>
              </w:rPr>
              <w:lastRenderedPageBreak/>
              <w:t xml:space="preserve">Loni mírně vzrostl přebytek zahraničního obchodu. Hlavní zásluhu na tom má obchod se službami. </w:t>
            </w:r>
          </w:p>
        </w:tc>
        <w:tc>
          <w:tcPr>
            <w:tcW w:w="144" w:type="pct"/>
          </w:tcPr>
          <w:p w:rsidR="00A33C9A" w:rsidRPr="005E2AB2" w:rsidRDefault="00A33C9A" w:rsidP="006E4368">
            <w:pPr>
              <w:pStyle w:val="Textpoznpodarou"/>
              <w:rPr>
                <w:rFonts w:cs="Arial"/>
              </w:rPr>
            </w:pPr>
          </w:p>
        </w:tc>
        <w:tc>
          <w:tcPr>
            <w:tcW w:w="3849" w:type="pct"/>
            <w:gridSpan w:val="3"/>
          </w:tcPr>
          <w:p w:rsidR="00A33C9A" w:rsidRDefault="00A33C9A" w:rsidP="006E4368">
            <w:pPr>
              <w:pStyle w:val="Textpoznpodarou"/>
              <w:jc w:val="both"/>
              <w:rPr>
                <w:rFonts w:cs="Arial"/>
                <w:sz w:val="16"/>
                <w:szCs w:val="16"/>
              </w:rPr>
            </w:pPr>
            <w:r w:rsidRPr="00733F87">
              <w:rPr>
                <w:rFonts w:cs="Arial"/>
              </w:rPr>
              <w:t xml:space="preserve">Zahraniční obchod v roce 2017 dosáhl </w:t>
            </w:r>
            <w:r>
              <w:rPr>
                <w:rFonts w:cs="Arial"/>
              </w:rPr>
              <w:t xml:space="preserve">kladného </w:t>
            </w:r>
            <w:r w:rsidRPr="00733F87">
              <w:rPr>
                <w:rFonts w:cs="Arial"/>
              </w:rPr>
              <w:t>salda ve výši 364,5 mld. korun</w:t>
            </w:r>
            <w:r w:rsidR="000B2324">
              <w:rPr>
                <w:rFonts w:cs="Arial"/>
              </w:rPr>
              <w:t>,</w:t>
            </w:r>
            <w:r w:rsidRPr="00733F87">
              <w:rPr>
                <w:rStyle w:val="Znakapoznpodarou"/>
              </w:rPr>
              <w:footnoteReference w:id="8"/>
            </w:r>
            <w:r>
              <w:rPr>
                <w:rFonts w:cs="Arial"/>
              </w:rPr>
              <w:t xml:space="preserve"> a meziročně tak došlo k navýšení o 8,0 mld. K růstu přebytku docházelo ve všech čtvrtletích, jeho hlavní část však vznikla v 1. čtvrtletí (meziroční nárůst 6,5 mld.). Celkový nárůst je výsledkem výrazného zvýšení přebytku bilance obchodu se službami (122,3 mld. korun, meziroční přírůstek 13,0 mld.). Přebytek zahraničního obchodu se zbožím loni činil 242,3 mld. korun a meziročně se snížil o 5,0 mld. Směnné relace v roce 2017 činily 99,0</w:t>
            </w:r>
            <w:r w:rsidR="000B2324">
              <w:rPr>
                <w:rFonts w:cs="Arial"/>
              </w:rPr>
              <w:t> </w:t>
            </w:r>
            <w:r>
              <w:rPr>
                <w:rFonts w:cs="Arial"/>
              </w:rPr>
              <w:t>%. V průběhu roku se zmírňovaly a ve 4. čtvrtletí již dosáhly kladného výsledku (100,3 %). Ztráta ze změn směnných relací, která je vyjádřena jako rozdíl mezi HDP a reálným hrubým domácím důchodem v roce 2017, dosáhla 38,5 mld. korun. Šlo o první záporný výsledek od roku 2012.</w:t>
            </w:r>
          </w:p>
          <w:p w:rsidR="00A33C9A" w:rsidRPr="005400CC" w:rsidRDefault="00A33C9A" w:rsidP="006E4368">
            <w:pPr>
              <w:pStyle w:val="Textpoznpodarou"/>
              <w:jc w:val="both"/>
              <w:rPr>
                <w:rFonts w:cs="Arial"/>
                <w:sz w:val="16"/>
                <w:szCs w:val="16"/>
                <w:highlight w:val="yellow"/>
              </w:rPr>
            </w:pPr>
          </w:p>
        </w:tc>
      </w:tr>
      <w:tr w:rsidR="00A33C9A" w:rsidRPr="00A74192" w:rsidTr="006C3DC1">
        <w:tc>
          <w:tcPr>
            <w:tcW w:w="1007" w:type="pct"/>
          </w:tcPr>
          <w:p w:rsidR="00A33C9A" w:rsidRPr="005E2AB2" w:rsidRDefault="00A33C9A" w:rsidP="006E4368">
            <w:pPr>
              <w:spacing w:line="240" w:lineRule="auto"/>
              <w:rPr>
                <w:rFonts w:cs="Arial"/>
                <w:sz w:val="16"/>
                <w:szCs w:val="16"/>
              </w:rPr>
            </w:pPr>
            <w:r>
              <w:rPr>
                <w:rFonts w:cs="Arial"/>
                <w:sz w:val="16"/>
                <w:szCs w:val="16"/>
              </w:rPr>
              <w:t>Meziroční růst HPH ve stejné míře podpořil</w:t>
            </w:r>
            <w:r w:rsidR="00292D0B">
              <w:rPr>
                <w:rFonts w:cs="Arial"/>
                <w:sz w:val="16"/>
                <w:szCs w:val="16"/>
              </w:rPr>
              <w:t>y</w:t>
            </w:r>
            <w:r>
              <w:rPr>
                <w:rFonts w:cs="Arial"/>
                <w:sz w:val="16"/>
                <w:szCs w:val="16"/>
              </w:rPr>
              <w:t xml:space="preserve"> zpracovatelský průmysl i</w:t>
            </w:r>
            <w:r w:rsidR="00292D0B">
              <w:rPr>
                <w:rFonts w:cs="Arial"/>
                <w:sz w:val="16"/>
                <w:szCs w:val="16"/>
              </w:rPr>
              <w:t> </w:t>
            </w:r>
            <w:r>
              <w:rPr>
                <w:rFonts w:cs="Arial"/>
                <w:sz w:val="16"/>
                <w:szCs w:val="16"/>
              </w:rPr>
              <w:t>odvětví služeb.</w:t>
            </w:r>
          </w:p>
        </w:tc>
        <w:tc>
          <w:tcPr>
            <w:tcW w:w="144" w:type="pct"/>
          </w:tcPr>
          <w:p w:rsidR="00A33C9A" w:rsidRPr="005E2AB2" w:rsidRDefault="00A33C9A" w:rsidP="006E4368">
            <w:pPr>
              <w:pStyle w:val="Textpoznpodarou"/>
              <w:rPr>
                <w:rFonts w:cs="Arial"/>
              </w:rPr>
            </w:pPr>
          </w:p>
        </w:tc>
        <w:tc>
          <w:tcPr>
            <w:tcW w:w="3849" w:type="pct"/>
            <w:gridSpan w:val="3"/>
          </w:tcPr>
          <w:p w:rsidR="00A33C9A" w:rsidRDefault="00A33C9A" w:rsidP="006E4368">
            <w:pPr>
              <w:pStyle w:val="Textpoznpodarou"/>
              <w:jc w:val="both"/>
              <w:rPr>
                <w:rFonts w:cs="Arial"/>
                <w:sz w:val="16"/>
                <w:szCs w:val="16"/>
              </w:rPr>
            </w:pPr>
            <w:r w:rsidRPr="00402C76">
              <w:rPr>
                <w:rFonts w:cs="Arial"/>
              </w:rPr>
              <w:t>Pohled na nabídkovou stranu HDP potvrzuje pokračující klíčovou úlohu zpracovatelského průmyslu v české ekonomice</w:t>
            </w:r>
            <w:r>
              <w:rPr>
                <w:rFonts w:cs="Arial"/>
              </w:rPr>
              <w:t>. Hrubá přidaná hodnota příslušných odvětví vzrostla o 7,6 %. Příspěvek k celkovému meziročnímu růstu HPH byl v průběhu roku velmi stabilní a za celý rok činil 2,1 p.</w:t>
            </w:r>
            <w:r w:rsidR="000B2324">
              <w:rPr>
                <w:rFonts w:cs="Arial"/>
              </w:rPr>
              <w:t> </w:t>
            </w:r>
            <w:proofErr w:type="spellStart"/>
            <w:r>
              <w:rPr>
                <w:rFonts w:cs="Arial"/>
              </w:rPr>
              <w:t>b</w:t>
            </w:r>
            <w:proofErr w:type="spellEnd"/>
            <w:r>
              <w:rPr>
                <w:rFonts w:cs="Arial"/>
              </w:rPr>
              <w:t>. Velmi důležitá byla i odvětví služeb. Celkový příspěvek služeb k růstu HPH loni dosáhl rovněž 2,1 </w:t>
            </w:r>
            <w:proofErr w:type="gramStart"/>
            <w:r>
              <w:rPr>
                <w:rFonts w:cs="Arial"/>
              </w:rPr>
              <w:t>p.</w:t>
            </w:r>
            <w:r w:rsidR="000B2324">
              <w:rPr>
                <w:rFonts w:cs="Arial"/>
              </w:rPr>
              <w:t> </w:t>
            </w:r>
            <w:proofErr w:type="spellStart"/>
            <w:r>
              <w:rPr>
                <w:rFonts w:cs="Arial"/>
              </w:rPr>
              <w:t>b</w:t>
            </w:r>
            <w:proofErr w:type="spellEnd"/>
            <w:r>
              <w:rPr>
                <w:rFonts w:cs="Arial"/>
              </w:rPr>
              <w:t>. a v průběhu</w:t>
            </w:r>
            <w:proofErr w:type="gramEnd"/>
            <w:r>
              <w:rPr>
                <w:rFonts w:cs="Arial"/>
              </w:rPr>
              <w:t xml:space="preserve"> roku úloha služeb zesilovala. Ve 4. čtvrtletí činil jejich příspěvek k meziročnímu růstu HPH 2,8</w:t>
            </w:r>
            <w:r w:rsidR="000B2324">
              <w:rPr>
                <w:rFonts w:cs="Arial"/>
              </w:rPr>
              <w:t> </w:t>
            </w:r>
            <w:r>
              <w:rPr>
                <w:rFonts w:cs="Arial"/>
              </w:rPr>
              <w:t>p.</w:t>
            </w:r>
            <w:r w:rsidR="000B2324">
              <w:rPr>
                <w:rFonts w:cs="Arial"/>
              </w:rPr>
              <w:t> </w:t>
            </w:r>
            <w:proofErr w:type="spellStart"/>
            <w:r>
              <w:rPr>
                <w:rFonts w:cs="Arial"/>
              </w:rPr>
              <w:t>b</w:t>
            </w:r>
            <w:proofErr w:type="spellEnd"/>
            <w:r>
              <w:rPr>
                <w:rFonts w:cs="Arial"/>
              </w:rPr>
              <w:t>. Z jednotlivých odvětví služeb loni nejsilněji přispěl obchod, doprava, ubytování a pohostinství (0,6</w:t>
            </w:r>
            <w:r w:rsidR="000B2324">
              <w:rPr>
                <w:rFonts w:cs="Arial"/>
              </w:rPr>
              <w:t> </w:t>
            </w:r>
            <w:r>
              <w:rPr>
                <w:rFonts w:cs="Arial"/>
              </w:rPr>
              <w:t>p.</w:t>
            </w:r>
            <w:r w:rsidR="000B2324">
              <w:rPr>
                <w:rFonts w:cs="Arial"/>
              </w:rPr>
              <w:t> </w:t>
            </w:r>
            <w:proofErr w:type="spellStart"/>
            <w:r>
              <w:rPr>
                <w:rFonts w:cs="Arial"/>
              </w:rPr>
              <w:t>b</w:t>
            </w:r>
            <w:proofErr w:type="spellEnd"/>
            <w:r>
              <w:rPr>
                <w:rFonts w:cs="Arial"/>
              </w:rPr>
              <w:t>.) a rovněž profesní, vědecké, technické a administrativní činnosti (0,5</w:t>
            </w:r>
            <w:r w:rsidR="000B2324">
              <w:rPr>
                <w:rFonts w:cs="Arial"/>
              </w:rPr>
              <w:t> </w:t>
            </w:r>
            <w:r>
              <w:rPr>
                <w:rFonts w:cs="Arial"/>
              </w:rPr>
              <w:t>p.</w:t>
            </w:r>
            <w:r w:rsidR="000B2324">
              <w:rPr>
                <w:rFonts w:cs="Arial"/>
              </w:rPr>
              <w:t> </w:t>
            </w:r>
            <w:proofErr w:type="spellStart"/>
            <w:r>
              <w:rPr>
                <w:rFonts w:cs="Arial"/>
              </w:rPr>
              <w:t>b</w:t>
            </w:r>
            <w:proofErr w:type="spellEnd"/>
            <w:r>
              <w:rPr>
                <w:rFonts w:cs="Arial"/>
              </w:rPr>
              <w:t>.). Dařilo se i peněžnictví a pojišťovnictví (příspěvek 0,4</w:t>
            </w:r>
            <w:r w:rsidR="000B2324">
              <w:rPr>
                <w:rFonts w:cs="Arial"/>
              </w:rPr>
              <w:t> </w:t>
            </w:r>
            <w:r>
              <w:rPr>
                <w:rFonts w:cs="Arial"/>
              </w:rPr>
              <w:t>p.</w:t>
            </w:r>
            <w:r w:rsidR="000B2324">
              <w:rPr>
                <w:rFonts w:cs="Arial"/>
              </w:rPr>
              <w:t> </w:t>
            </w:r>
            <w:proofErr w:type="spellStart"/>
            <w:r>
              <w:rPr>
                <w:rFonts w:cs="Arial"/>
              </w:rPr>
              <w:t>b</w:t>
            </w:r>
            <w:proofErr w:type="spellEnd"/>
            <w:r>
              <w:rPr>
                <w:rFonts w:cs="Arial"/>
              </w:rPr>
              <w:t>.). V loňském roce pozitivně přispěla všechna odvětví, takže kladného</w:t>
            </w:r>
            <w:r w:rsidR="000B2324">
              <w:rPr>
                <w:rFonts w:cs="Arial"/>
              </w:rPr>
              <w:t>,</w:t>
            </w:r>
            <w:r>
              <w:rPr>
                <w:rFonts w:cs="Arial"/>
              </w:rPr>
              <w:t xml:space="preserve"> i když malého příspěvku dosáhlo i stavebnictví (0,1</w:t>
            </w:r>
            <w:r w:rsidR="000B2324">
              <w:rPr>
                <w:rFonts w:cs="Arial"/>
              </w:rPr>
              <w:t> </w:t>
            </w:r>
            <w:r>
              <w:rPr>
                <w:rFonts w:cs="Arial"/>
              </w:rPr>
              <w:t>p.</w:t>
            </w:r>
            <w:r w:rsidR="000B2324">
              <w:rPr>
                <w:rFonts w:cs="Arial"/>
              </w:rPr>
              <w:t> </w:t>
            </w:r>
            <w:proofErr w:type="spellStart"/>
            <w:r>
              <w:rPr>
                <w:rFonts w:cs="Arial"/>
              </w:rPr>
              <w:t>b</w:t>
            </w:r>
            <w:proofErr w:type="spellEnd"/>
            <w:r>
              <w:rPr>
                <w:rFonts w:cs="Arial"/>
              </w:rPr>
              <w:t>.), jehož situace v roce 2016 byla poměrně nepříznivá.</w:t>
            </w:r>
          </w:p>
          <w:p w:rsidR="00A33C9A" w:rsidRPr="00733F87" w:rsidRDefault="00A33C9A" w:rsidP="006E4368">
            <w:pPr>
              <w:pStyle w:val="Textpoznpodarou"/>
              <w:jc w:val="both"/>
              <w:rPr>
                <w:rFonts w:cs="Arial"/>
                <w:sz w:val="16"/>
                <w:szCs w:val="16"/>
              </w:rPr>
            </w:pPr>
          </w:p>
        </w:tc>
      </w:tr>
      <w:tr w:rsidR="00A33C9A" w:rsidRPr="00A74192" w:rsidTr="006C3DC1">
        <w:tc>
          <w:tcPr>
            <w:tcW w:w="1007" w:type="pct"/>
          </w:tcPr>
          <w:p w:rsidR="00A33C9A" w:rsidRDefault="00A33C9A" w:rsidP="006C3DC1">
            <w:pPr>
              <w:spacing w:line="240" w:lineRule="auto"/>
              <w:jc w:val="center"/>
              <w:rPr>
                <w:rFonts w:cs="Arial"/>
                <w:sz w:val="16"/>
                <w:szCs w:val="16"/>
              </w:rPr>
            </w:pPr>
          </w:p>
        </w:tc>
        <w:tc>
          <w:tcPr>
            <w:tcW w:w="144" w:type="pct"/>
          </w:tcPr>
          <w:p w:rsidR="00A33C9A" w:rsidRPr="005E2AB2" w:rsidRDefault="00A33C9A" w:rsidP="006C3DC1">
            <w:pPr>
              <w:pStyle w:val="Textpoznpodarou"/>
              <w:jc w:val="both"/>
              <w:rPr>
                <w:rFonts w:cs="Arial"/>
              </w:rPr>
            </w:pPr>
          </w:p>
        </w:tc>
        <w:tc>
          <w:tcPr>
            <w:tcW w:w="575" w:type="pct"/>
          </w:tcPr>
          <w:p w:rsidR="00A33C9A" w:rsidRDefault="00A33C9A" w:rsidP="006C3DC1">
            <w:pPr>
              <w:pStyle w:val="Textpoznpodarou"/>
              <w:jc w:val="both"/>
              <w:rPr>
                <w:rFonts w:cs="Arial"/>
              </w:rPr>
            </w:pPr>
            <w:r w:rsidRPr="005E2AB2">
              <w:rPr>
                <w:rFonts w:cs="Arial"/>
                <w:lang w:eastAsia="en-US"/>
              </w:rPr>
              <w:t>Graf č. 4</w:t>
            </w:r>
          </w:p>
        </w:tc>
        <w:tc>
          <w:tcPr>
            <w:tcW w:w="3274" w:type="pct"/>
            <w:gridSpan w:val="2"/>
          </w:tcPr>
          <w:p w:rsidR="00A33C9A" w:rsidRDefault="00A33C9A" w:rsidP="006C3DC1">
            <w:pPr>
              <w:pStyle w:val="Textpoznpodarou"/>
              <w:rPr>
                <w:rFonts w:cs="Arial"/>
              </w:rPr>
            </w:pPr>
            <w:r>
              <w:rPr>
                <w:rFonts w:cs="Arial"/>
                <w:b/>
                <w:lang w:eastAsia="en-US"/>
              </w:rPr>
              <w:t>Příspěvky odvětví k reálné</w:t>
            </w:r>
            <w:r w:rsidRPr="005E2AB2">
              <w:rPr>
                <w:rFonts w:cs="Arial"/>
                <w:b/>
                <w:lang w:eastAsia="en-US"/>
              </w:rPr>
              <w:t> změně HPH</w:t>
            </w:r>
            <w:r w:rsidRPr="005E2AB2">
              <w:rPr>
                <w:rFonts w:cs="Arial"/>
                <w:lang w:eastAsia="en-US"/>
              </w:rPr>
              <w:t xml:space="preserve"> (</w:t>
            </w:r>
            <w:r>
              <w:rPr>
                <w:rFonts w:cs="Arial"/>
                <w:lang w:eastAsia="en-US"/>
              </w:rPr>
              <w:t>objemové indexy</w:t>
            </w:r>
            <w:r w:rsidRPr="005E2AB2">
              <w:rPr>
                <w:rFonts w:cs="Arial"/>
                <w:lang w:eastAsia="en-US"/>
              </w:rPr>
              <w:t>,</w:t>
            </w:r>
            <w:r>
              <w:rPr>
                <w:rFonts w:cs="Arial"/>
                <w:lang w:eastAsia="en-US"/>
              </w:rPr>
              <w:t xml:space="preserve"> meziroční</w:t>
            </w:r>
            <w:r w:rsidRPr="005E2AB2">
              <w:rPr>
                <w:rFonts w:cs="Arial"/>
                <w:lang w:eastAsia="en-US"/>
              </w:rPr>
              <w:t xml:space="preserve"> příspěvky v </w:t>
            </w:r>
            <w:r w:rsidR="00711398">
              <w:rPr>
                <w:rFonts w:cs="Arial"/>
                <w:lang w:eastAsia="en-US"/>
              </w:rPr>
              <w:t xml:space="preserve">p. </w:t>
            </w:r>
            <w:proofErr w:type="spellStart"/>
            <w:r w:rsidR="00711398">
              <w:rPr>
                <w:rFonts w:cs="Arial"/>
                <w:lang w:eastAsia="en-US"/>
              </w:rPr>
              <w:t>b</w:t>
            </w:r>
            <w:proofErr w:type="spellEnd"/>
            <w:r w:rsidR="00711398">
              <w:rPr>
                <w:rFonts w:cs="Arial"/>
                <w:lang w:eastAsia="en-US"/>
              </w:rPr>
              <w:t>.</w:t>
            </w:r>
            <w:r w:rsidRPr="005E2AB2">
              <w:rPr>
                <w:rFonts w:cs="Arial"/>
                <w:lang w:eastAsia="en-US"/>
              </w:rPr>
              <w:t>, HPH v %)</w:t>
            </w:r>
          </w:p>
        </w:tc>
      </w:tr>
      <w:tr w:rsidR="00A33C9A" w:rsidRPr="00A74192" w:rsidTr="006C3DC1">
        <w:tc>
          <w:tcPr>
            <w:tcW w:w="1007" w:type="pct"/>
          </w:tcPr>
          <w:p w:rsidR="00A33C9A" w:rsidRDefault="00A33C9A" w:rsidP="006C3DC1">
            <w:pPr>
              <w:spacing w:line="240" w:lineRule="auto"/>
              <w:rPr>
                <w:rFonts w:cs="Arial"/>
                <w:sz w:val="16"/>
                <w:szCs w:val="16"/>
              </w:rPr>
            </w:pPr>
          </w:p>
        </w:tc>
        <w:tc>
          <w:tcPr>
            <w:tcW w:w="144" w:type="pct"/>
          </w:tcPr>
          <w:p w:rsidR="00A33C9A" w:rsidRPr="005E2AB2" w:rsidRDefault="00A33C9A" w:rsidP="006C3DC1">
            <w:pPr>
              <w:pStyle w:val="Textpoznpodarou"/>
              <w:jc w:val="both"/>
              <w:rPr>
                <w:rFonts w:cs="Arial"/>
              </w:rPr>
            </w:pPr>
          </w:p>
        </w:tc>
        <w:tc>
          <w:tcPr>
            <w:tcW w:w="3849" w:type="pct"/>
            <w:gridSpan w:val="3"/>
          </w:tcPr>
          <w:p w:rsidR="00A33C9A" w:rsidRDefault="00A33C9A" w:rsidP="006C3DC1">
            <w:pPr>
              <w:pStyle w:val="Textpoznpodarou"/>
              <w:ind w:left="-95"/>
              <w:jc w:val="both"/>
              <w:rPr>
                <w:rFonts w:cs="Arial"/>
              </w:rPr>
            </w:pPr>
            <w:r w:rsidRPr="00A33C9A">
              <w:rPr>
                <w:rFonts w:cs="Arial"/>
                <w:noProof/>
              </w:rPr>
              <w:drawing>
                <wp:inline distT="0" distB="0" distL="0" distR="0">
                  <wp:extent cx="4737600" cy="3553200"/>
                  <wp:effectExtent l="0" t="0" r="0" b="0"/>
                  <wp:docPr id="1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3C9A" w:rsidRDefault="00A33C9A" w:rsidP="006C3DC1">
            <w:pPr>
              <w:pStyle w:val="Textpoznpodarou"/>
              <w:ind w:left="-95"/>
              <w:jc w:val="right"/>
              <w:rPr>
                <w:rFonts w:cs="Arial"/>
                <w:sz w:val="14"/>
                <w:szCs w:val="14"/>
                <w:lang w:eastAsia="en-US"/>
              </w:rPr>
            </w:pPr>
            <w:r w:rsidRPr="007841BB">
              <w:rPr>
                <w:rFonts w:cs="Arial"/>
                <w:sz w:val="14"/>
                <w:szCs w:val="14"/>
                <w:lang w:eastAsia="en-US"/>
              </w:rPr>
              <w:t>Zdroj: ČSÚ</w:t>
            </w:r>
          </w:p>
          <w:p w:rsidR="00A33C9A" w:rsidRPr="007841BB" w:rsidRDefault="00A33C9A" w:rsidP="006C3DC1">
            <w:pPr>
              <w:pStyle w:val="Textpoznpodarou"/>
              <w:ind w:left="-95"/>
              <w:jc w:val="right"/>
              <w:rPr>
                <w:rFonts w:cs="Arial"/>
                <w:sz w:val="14"/>
                <w:szCs w:val="14"/>
                <w:lang w:eastAsia="en-US"/>
              </w:rPr>
            </w:pPr>
          </w:p>
        </w:tc>
      </w:tr>
      <w:bookmarkEnd w:id="2"/>
    </w:tbl>
    <w:p w:rsidR="008A03DE" w:rsidRPr="00CE7158" w:rsidRDefault="008A03DE" w:rsidP="002F4402">
      <w:pPr>
        <w:pStyle w:val="Nadpis1"/>
        <w:jc w:val="both"/>
        <w:rPr>
          <w:rFonts w:cs="Arial"/>
          <w:color w:val="000000"/>
          <w:sz w:val="10"/>
          <w:szCs w:val="10"/>
        </w:rPr>
      </w:pPr>
    </w:p>
    <w:sectPr w:rsidR="008A03DE" w:rsidRPr="00CE7158" w:rsidSect="002F4402">
      <w:headerReference w:type="even" r:id="rId15"/>
      <w:headerReference w:type="default" r:id="rId16"/>
      <w:footerReference w:type="even" r:id="rId17"/>
      <w:footerReference w:type="default" r:id="rId18"/>
      <w:type w:val="continuous"/>
      <w:pgSz w:w="11906" w:h="16838" w:code="9"/>
      <w:pgMar w:top="1134" w:right="1134" w:bottom="1418" w:left="1134" w:header="680" w:footer="680" w:gutter="0"/>
      <w:pgNumType w:start="5"/>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4FCE60" w15:done="0"/>
  <w15:commentEx w15:paraId="30BEC4BA" w15:done="0"/>
  <w15:commentEx w15:paraId="5AD8A77A" w15:done="0"/>
  <w15:commentEx w15:paraId="725DECB0" w15:done="0"/>
  <w15:commentEx w15:paraId="4BCA0381" w15:done="0"/>
  <w15:commentEx w15:paraId="7BB55DD9" w15:done="0"/>
  <w15:commentEx w15:paraId="1846474D" w15:done="0"/>
  <w15:commentEx w15:paraId="1FF54E19" w15:done="0"/>
  <w15:commentEx w15:paraId="20C1CD95" w15:done="0"/>
  <w15:commentEx w15:paraId="40D38D09" w15:done="0"/>
  <w15:commentEx w15:paraId="6D53AB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FCE60" w16cid:durableId="1E5515BA"/>
  <w16cid:commentId w16cid:paraId="30BEC4BA" w16cid:durableId="1E551738"/>
  <w16cid:commentId w16cid:paraId="5AD8A77A" w16cid:durableId="1E551C84"/>
  <w16cid:commentId w16cid:paraId="725DECB0" w16cid:durableId="1E551DB9"/>
  <w16cid:commentId w16cid:paraId="4BCA0381" w16cid:durableId="1E550EE3"/>
  <w16cid:commentId w16cid:paraId="7BB55DD9" w16cid:durableId="1E553A5B"/>
  <w16cid:commentId w16cid:paraId="1846474D" w16cid:durableId="1E554F46"/>
  <w16cid:commentId w16cid:paraId="1FF54E19" w16cid:durableId="1E550EE4"/>
  <w16cid:commentId w16cid:paraId="20C1CD95" w16cid:durableId="1E550EE5"/>
  <w16cid:commentId w16cid:paraId="40D38D09" w16cid:durableId="1E5644B5"/>
  <w16cid:commentId w16cid:paraId="6D53ABCB" w16cid:durableId="1E56875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2F7" w:rsidRDefault="007642F7" w:rsidP="00E71A58">
      <w:r>
        <w:separator/>
      </w:r>
    </w:p>
  </w:endnote>
  <w:endnote w:type="continuationSeparator" w:id="0">
    <w:p w:rsidR="007642F7" w:rsidRDefault="007642F7"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795" w:rsidRDefault="00522795"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1E36E4" w:rsidRPr="005A21E0">
      <w:rPr>
        <w:rFonts w:ascii="Arial" w:hAnsi="Arial" w:cs="Arial"/>
        <w:sz w:val="16"/>
        <w:szCs w:val="16"/>
      </w:rPr>
      <w:fldChar w:fldCharType="begin"/>
    </w:r>
    <w:r w:rsidRPr="005A21E0">
      <w:rPr>
        <w:rFonts w:ascii="Arial" w:hAnsi="Arial" w:cs="Arial"/>
        <w:sz w:val="16"/>
        <w:szCs w:val="16"/>
      </w:rPr>
      <w:instrText>PAGE   \* MERGEFORMAT</w:instrText>
    </w:r>
    <w:r w:rsidR="001E36E4" w:rsidRPr="005A21E0">
      <w:rPr>
        <w:rFonts w:ascii="Arial" w:hAnsi="Arial" w:cs="Arial"/>
        <w:sz w:val="16"/>
        <w:szCs w:val="16"/>
      </w:rPr>
      <w:fldChar w:fldCharType="separate"/>
    </w:r>
    <w:r w:rsidR="002F4402">
      <w:rPr>
        <w:rFonts w:ascii="Arial" w:hAnsi="Arial" w:cs="Arial"/>
        <w:noProof/>
        <w:sz w:val="16"/>
        <w:szCs w:val="16"/>
      </w:rPr>
      <w:t>8</w:t>
    </w:r>
    <w:r w:rsidR="001E36E4" w:rsidRPr="005A21E0">
      <w:rPr>
        <w:rFonts w:ascii="Arial" w:hAnsi="Arial" w:cs="Arial"/>
        <w:sz w:val="16"/>
        <w:szCs w:val="16"/>
      </w:rPr>
      <w:fldChar w:fldCharType="end"/>
    </w:r>
    <w:r>
      <w:rPr>
        <w:rFonts w:ascii="Arial" w:hAnsi="Arial" w:cs="Arial"/>
        <w:sz w:val="16"/>
        <w:szCs w:val="16"/>
      </w:rPr>
      <w:tab/>
      <w:t>2018</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795" w:rsidRDefault="00522795"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a:ln w="9525">
                    <a:noFill/>
                    <a:miter lim="800000"/>
                    <a:headEnd/>
                    <a:tailEnd/>
                  </a:ln>
                </pic:spPr>
              </pic:pic>
            </a:graphicData>
          </a:graphic>
        </wp:anchor>
      </w:drawing>
    </w:r>
    <w:r>
      <w:tab/>
    </w:r>
    <w:r>
      <w:tab/>
    </w:r>
    <w:r w:rsidRPr="00DC5B3B">
      <w:t xml:space="preserve">                              </w:t>
    </w:r>
  </w:p>
  <w:p w:rsidR="00522795" w:rsidRPr="00223E00" w:rsidRDefault="00522795"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2018</w:t>
    </w:r>
    <w:r>
      <w:rPr>
        <w:rFonts w:ascii="Arial" w:hAnsi="Arial" w:cs="Arial"/>
        <w:sz w:val="16"/>
        <w:szCs w:val="16"/>
      </w:rPr>
      <w:tab/>
    </w:r>
    <w:r w:rsidR="001E36E4"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1E36E4" w:rsidRPr="00223E00">
      <w:rPr>
        <w:rFonts w:ascii="Arial" w:hAnsi="Arial" w:cs="Arial"/>
        <w:sz w:val="16"/>
        <w:szCs w:val="16"/>
      </w:rPr>
      <w:fldChar w:fldCharType="separate"/>
    </w:r>
    <w:r w:rsidR="002F4402">
      <w:rPr>
        <w:rFonts w:ascii="Arial" w:hAnsi="Arial" w:cs="Arial"/>
        <w:noProof/>
        <w:sz w:val="16"/>
        <w:szCs w:val="16"/>
      </w:rPr>
      <w:t>7</w:t>
    </w:r>
    <w:r w:rsidR="001E36E4"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2F7" w:rsidRDefault="007642F7" w:rsidP="00E71A58">
      <w:r>
        <w:separator/>
      </w:r>
    </w:p>
  </w:footnote>
  <w:footnote w:type="continuationSeparator" w:id="0">
    <w:p w:rsidR="007642F7" w:rsidRDefault="007642F7" w:rsidP="00E71A58">
      <w:r>
        <w:continuationSeparator/>
      </w:r>
    </w:p>
  </w:footnote>
  <w:footnote w:id="1">
    <w:p w:rsidR="00522795" w:rsidRPr="00EF1EE3" w:rsidRDefault="00522795" w:rsidP="006E4368">
      <w:pPr>
        <w:pStyle w:val="Textpoznpodarou"/>
        <w:rPr>
          <w:sz w:val="16"/>
          <w:szCs w:val="16"/>
        </w:rPr>
      </w:pPr>
      <w:r w:rsidRPr="00EF1EE3">
        <w:rPr>
          <w:rStyle w:val="Znakapoznpodarou"/>
          <w:sz w:val="16"/>
          <w:szCs w:val="16"/>
        </w:rPr>
        <w:footnoteRef/>
      </w:r>
      <w:r w:rsidRPr="00EF1EE3">
        <w:rPr>
          <w:sz w:val="16"/>
          <w:szCs w:val="16"/>
        </w:rPr>
        <w:t xml:space="preserve"> </w:t>
      </w:r>
      <w:r>
        <w:rPr>
          <w:sz w:val="16"/>
          <w:szCs w:val="16"/>
        </w:rPr>
        <w:t>Vývoj</w:t>
      </w:r>
      <w:r w:rsidRPr="00EF1EE3">
        <w:rPr>
          <w:sz w:val="16"/>
          <w:szCs w:val="16"/>
        </w:rPr>
        <w:t xml:space="preserve"> HDP, hrubé přidané hodnot</w:t>
      </w:r>
      <w:r>
        <w:rPr>
          <w:sz w:val="16"/>
          <w:szCs w:val="16"/>
        </w:rPr>
        <w:t>y</w:t>
      </w:r>
      <w:r w:rsidRPr="00EF1EE3">
        <w:rPr>
          <w:sz w:val="16"/>
          <w:szCs w:val="16"/>
        </w:rPr>
        <w:t xml:space="preserve"> a jejich slož</w:t>
      </w:r>
      <w:r>
        <w:rPr>
          <w:sz w:val="16"/>
          <w:szCs w:val="16"/>
        </w:rPr>
        <w:t>e</w:t>
      </w:r>
      <w:r w:rsidRPr="00EF1EE3">
        <w:rPr>
          <w:sz w:val="16"/>
          <w:szCs w:val="16"/>
        </w:rPr>
        <w:t xml:space="preserve">k </w:t>
      </w:r>
      <w:r>
        <w:rPr>
          <w:sz w:val="16"/>
          <w:szCs w:val="16"/>
        </w:rPr>
        <w:t xml:space="preserve">je </w:t>
      </w:r>
      <w:r w:rsidRPr="00EF1EE3">
        <w:rPr>
          <w:sz w:val="16"/>
          <w:szCs w:val="16"/>
        </w:rPr>
        <w:t>vyjádřen</w:t>
      </w:r>
      <w:r>
        <w:rPr>
          <w:sz w:val="16"/>
          <w:szCs w:val="16"/>
        </w:rPr>
        <w:t xml:space="preserve"> prostřednictvím objemových indexů (tj. očištěn o změny cen)</w:t>
      </w:r>
      <w:r w:rsidRPr="00EF1EE3">
        <w:rPr>
          <w:sz w:val="16"/>
          <w:szCs w:val="16"/>
        </w:rPr>
        <w:t xml:space="preserve"> a v očištění o sezónní a kalendářn</w:t>
      </w:r>
      <w:r>
        <w:rPr>
          <w:sz w:val="16"/>
          <w:szCs w:val="16"/>
        </w:rPr>
        <w:t>í vlivy. Údaje byly zveřejněny 2</w:t>
      </w:r>
      <w:r w:rsidRPr="00EF1EE3">
        <w:rPr>
          <w:sz w:val="16"/>
          <w:szCs w:val="16"/>
        </w:rPr>
        <w:t>.</w:t>
      </w:r>
      <w:r>
        <w:rPr>
          <w:sz w:val="16"/>
          <w:szCs w:val="16"/>
        </w:rPr>
        <w:t xml:space="preserve"> 3</w:t>
      </w:r>
      <w:r w:rsidRPr="00EF1EE3">
        <w:rPr>
          <w:sz w:val="16"/>
          <w:szCs w:val="16"/>
        </w:rPr>
        <w:t>.</w:t>
      </w:r>
      <w:r>
        <w:rPr>
          <w:sz w:val="16"/>
          <w:szCs w:val="16"/>
        </w:rPr>
        <w:t xml:space="preserve"> </w:t>
      </w:r>
      <w:r w:rsidRPr="00EF1EE3">
        <w:rPr>
          <w:sz w:val="16"/>
          <w:szCs w:val="16"/>
        </w:rPr>
        <w:t>2018 a z</w:t>
      </w:r>
      <w:r>
        <w:rPr>
          <w:sz w:val="16"/>
          <w:szCs w:val="16"/>
        </w:rPr>
        <w:t xml:space="preserve">revidované údaje </w:t>
      </w:r>
      <w:r w:rsidRPr="00EF1EE3">
        <w:rPr>
          <w:sz w:val="16"/>
          <w:szCs w:val="16"/>
        </w:rPr>
        <w:t>bud</w:t>
      </w:r>
      <w:r>
        <w:rPr>
          <w:sz w:val="16"/>
          <w:szCs w:val="16"/>
        </w:rPr>
        <w:t>ou</w:t>
      </w:r>
      <w:r w:rsidRPr="00EF1EE3">
        <w:rPr>
          <w:sz w:val="16"/>
          <w:szCs w:val="16"/>
        </w:rPr>
        <w:t xml:space="preserve"> publikován</w:t>
      </w:r>
      <w:r>
        <w:rPr>
          <w:sz w:val="16"/>
          <w:szCs w:val="16"/>
        </w:rPr>
        <w:t>y</w:t>
      </w:r>
      <w:r w:rsidRPr="00EF1EE3">
        <w:rPr>
          <w:sz w:val="16"/>
          <w:szCs w:val="16"/>
        </w:rPr>
        <w:t xml:space="preserve"> </w:t>
      </w:r>
      <w:r>
        <w:rPr>
          <w:sz w:val="16"/>
          <w:szCs w:val="16"/>
        </w:rPr>
        <w:t>3</w:t>
      </w:r>
      <w:r w:rsidRPr="00EF1EE3">
        <w:rPr>
          <w:sz w:val="16"/>
          <w:szCs w:val="16"/>
        </w:rPr>
        <w:t xml:space="preserve">. </w:t>
      </w:r>
      <w:r>
        <w:rPr>
          <w:sz w:val="16"/>
          <w:szCs w:val="16"/>
        </w:rPr>
        <w:t>4</w:t>
      </w:r>
      <w:r w:rsidRPr="00EF1EE3">
        <w:rPr>
          <w:sz w:val="16"/>
          <w:szCs w:val="16"/>
        </w:rPr>
        <w:t>. 201</w:t>
      </w:r>
      <w:r>
        <w:rPr>
          <w:sz w:val="16"/>
          <w:szCs w:val="16"/>
        </w:rPr>
        <w:t>8</w:t>
      </w:r>
      <w:r w:rsidRPr="00EF1EE3">
        <w:rPr>
          <w:sz w:val="16"/>
          <w:szCs w:val="16"/>
        </w:rPr>
        <w:t>.</w:t>
      </w:r>
    </w:p>
  </w:footnote>
  <w:footnote w:id="2">
    <w:p w:rsidR="00522795" w:rsidRPr="00BB319F" w:rsidRDefault="00522795" w:rsidP="006E4368">
      <w:pPr>
        <w:pStyle w:val="Textpoznpodarou"/>
        <w:rPr>
          <w:sz w:val="16"/>
          <w:szCs w:val="16"/>
        </w:rPr>
      </w:pPr>
      <w:r w:rsidRPr="00AF6B7C">
        <w:rPr>
          <w:rStyle w:val="Znakapoznpodarou"/>
          <w:sz w:val="16"/>
          <w:szCs w:val="16"/>
        </w:rPr>
        <w:footnoteRef/>
      </w:r>
      <w:r w:rsidRPr="00AF6B7C">
        <w:rPr>
          <w:sz w:val="16"/>
          <w:szCs w:val="16"/>
        </w:rPr>
        <w:t xml:space="preserve"> </w:t>
      </w:r>
      <w:r w:rsidRPr="00BB319F">
        <w:rPr>
          <w:sz w:val="16"/>
          <w:szCs w:val="16"/>
        </w:rPr>
        <w:t>Nedostupná data za Irsko</w:t>
      </w:r>
      <w:r>
        <w:rPr>
          <w:sz w:val="16"/>
          <w:szCs w:val="16"/>
        </w:rPr>
        <w:t xml:space="preserve"> </w:t>
      </w:r>
      <w:r w:rsidRPr="00BB319F">
        <w:rPr>
          <w:sz w:val="16"/>
          <w:szCs w:val="16"/>
        </w:rPr>
        <w:t>a Lucembursko.</w:t>
      </w:r>
      <w:r>
        <w:rPr>
          <w:sz w:val="16"/>
          <w:szCs w:val="16"/>
        </w:rPr>
        <w:t xml:space="preserve"> Data za Slovensko nejsou očištěna o kalendářní vlivy.</w:t>
      </w:r>
    </w:p>
  </w:footnote>
  <w:footnote w:id="3">
    <w:p w:rsidR="00522795" w:rsidRPr="007933CD" w:rsidRDefault="00522795" w:rsidP="006E4368">
      <w:pPr>
        <w:pStyle w:val="Textpoznpodarou"/>
        <w:rPr>
          <w:sz w:val="16"/>
          <w:szCs w:val="16"/>
        </w:rPr>
      </w:pPr>
      <w:r w:rsidRPr="007933CD">
        <w:rPr>
          <w:rStyle w:val="Znakapoznpodarou"/>
          <w:sz w:val="16"/>
          <w:szCs w:val="16"/>
        </w:rPr>
        <w:footnoteRef/>
      </w:r>
      <w:r w:rsidRPr="007933CD">
        <w:rPr>
          <w:sz w:val="16"/>
          <w:szCs w:val="16"/>
        </w:rPr>
        <w:t xml:space="preserve"> Údaje o spotřebě domácností podle trvanlivosti statků nejsou sezónně očištěny.</w:t>
      </w:r>
    </w:p>
  </w:footnote>
  <w:footnote w:id="4">
    <w:p w:rsidR="00522795" w:rsidRPr="009C6EA8" w:rsidRDefault="00522795" w:rsidP="00E46E03">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5">
    <w:p w:rsidR="00522795" w:rsidRPr="009C6EA8" w:rsidRDefault="00522795" w:rsidP="006E4368">
      <w:pPr>
        <w:pStyle w:val="Textpoznpodarou"/>
        <w:rPr>
          <w:sz w:val="16"/>
          <w:szCs w:val="16"/>
        </w:rPr>
      </w:pPr>
      <w:r w:rsidRPr="009C6EA8">
        <w:rPr>
          <w:rStyle w:val="Znakapoznpodarou"/>
          <w:sz w:val="16"/>
          <w:szCs w:val="16"/>
        </w:rPr>
        <w:footnoteRef/>
      </w:r>
      <w:r w:rsidRPr="009C6EA8">
        <w:rPr>
          <w:sz w:val="16"/>
          <w:szCs w:val="16"/>
        </w:rPr>
        <w:t xml:space="preserve"> Do reálného vyjádření převedeno s využitím deflátoru výdajů na konečnou spotřebu domácností.</w:t>
      </w:r>
    </w:p>
  </w:footnote>
  <w:footnote w:id="6">
    <w:p w:rsidR="00522795" w:rsidRDefault="00522795" w:rsidP="006E4368">
      <w:pPr>
        <w:pStyle w:val="Textpoznpodarou"/>
      </w:pPr>
      <w:r w:rsidRPr="009C6EA8">
        <w:rPr>
          <w:rStyle w:val="Znakapoznpodarou"/>
          <w:sz w:val="16"/>
          <w:szCs w:val="16"/>
        </w:rPr>
        <w:footnoteRef/>
      </w:r>
      <w:r w:rsidRPr="009C6EA8">
        <w:rPr>
          <w:sz w:val="16"/>
          <w:szCs w:val="16"/>
        </w:rPr>
        <w:t xml:space="preserve"> V pojetí národních účtů, sezónně očištěno</w:t>
      </w:r>
      <w:r w:rsidRPr="00004BA8">
        <w:rPr>
          <w:sz w:val="16"/>
        </w:rPr>
        <w:t>.</w:t>
      </w:r>
    </w:p>
  </w:footnote>
  <w:footnote w:id="7">
    <w:p w:rsidR="00522795" w:rsidRPr="0021552C" w:rsidRDefault="00522795" w:rsidP="00A33C9A">
      <w:pPr>
        <w:pStyle w:val="Textpoznpodarou"/>
        <w:rPr>
          <w:sz w:val="16"/>
          <w:szCs w:val="16"/>
        </w:rPr>
      </w:pPr>
      <w:r w:rsidRPr="0021552C">
        <w:rPr>
          <w:rStyle w:val="Znakapoznpodarou"/>
          <w:sz w:val="16"/>
          <w:szCs w:val="16"/>
        </w:rPr>
        <w:footnoteRef/>
      </w:r>
      <w:r w:rsidRPr="0021552C">
        <w:rPr>
          <w:sz w:val="16"/>
          <w:szCs w:val="16"/>
        </w:rPr>
        <w:t xml:space="preserve"> </w:t>
      </w:r>
      <w:r>
        <w:rPr>
          <w:rFonts w:cs="Arial"/>
          <w:sz w:val="16"/>
          <w:szCs w:val="16"/>
        </w:rPr>
        <w:t>D</w:t>
      </w:r>
      <w:r w:rsidRPr="0021552C">
        <w:rPr>
          <w:rFonts w:cs="Arial"/>
          <w:sz w:val="16"/>
          <w:szCs w:val="16"/>
        </w:rPr>
        <w:t xml:space="preserve">ata o věcném členění tvorby </w:t>
      </w:r>
      <w:r>
        <w:rPr>
          <w:rFonts w:cs="Arial"/>
          <w:sz w:val="16"/>
          <w:szCs w:val="16"/>
        </w:rPr>
        <w:t>hrubého fixního kapitálu</w:t>
      </w:r>
      <w:r w:rsidRPr="0021552C">
        <w:rPr>
          <w:rFonts w:cs="Arial"/>
          <w:sz w:val="16"/>
          <w:szCs w:val="16"/>
        </w:rPr>
        <w:t xml:space="preserve"> nejsou sezónně očištěna</w:t>
      </w:r>
      <w:r>
        <w:rPr>
          <w:rFonts w:cs="Arial"/>
          <w:sz w:val="16"/>
          <w:szCs w:val="16"/>
        </w:rPr>
        <w:t>.</w:t>
      </w:r>
    </w:p>
  </w:footnote>
  <w:footnote w:id="8">
    <w:p w:rsidR="00522795" w:rsidRPr="00167B30" w:rsidRDefault="00522795" w:rsidP="006E4368">
      <w:pPr>
        <w:pStyle w:val="Textpoznpodarou"/>
        <w:rPr>
          <w:sz w:val="16"/>
          <w:szCs w:val="16"/>
        </w:rPr>
      </w:pPr>
      <w:r w:rsidRPr="00167B30">
        <w:rPr>
          <w:rStyle w:val="Znakapoznpodarou"/>
          <w:sz w:val="16"/>
          <w:szCs w:val="16"/>
        </w:rPr>
        <w:footnoteRef/>
      </w:r>
      <w:r w:rsidRPr="00167B30">
        <w:rPr>
          <w:sz w:val="16"/>
          <w:szCs w:val="16"/>
        </w:rPr>
        <w:t xml:space="preserve"> Podle metodiky národních účtů</w:t>
      </w:r>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795" w:rsidRPr="00C00831" w:rsidRDefault="00522795" w:rsidP="00D766EF">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795" w:rsidRPr="0030768C" w:rsidRDefault="00522795" w:rsidP="0030768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6FB457C"/>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86057FE"/>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nsid w:val="1A48046E"/>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2E20C48"/>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ADD41B7"/>
    <w:multiLevelType w:val="hybridMultilevel"/>
    <w:tmpl w:val="D8A27A9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760513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F94006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BC47DB"/>
    <w:multiLevelType w:val="hybridMultilevel"/>
    <w:tmpl w:val="AA506508"/>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8"/>
  </w:num>
  <w:num w:numId="2">
    <w:abstractNumId w:val="24"/>
  </w:num>
  <w:num w:numId="3">
    <w:abstractNumId w:val="14"/>
  </w:num>
  <w:num w:numId="4">
    <w:abstractNumId w:val="22"/>
  </w:num>
  <w:num w:numId="5">
    <w:abstractNumId w:val="16"/>
  </w:num>
  <w:num w:numId="6">
    <w:abstractNumId w:val="19"/>
  </w:num>
  <w:num w:numId="7">
    <w:abstractNumId w:val="5"/>
  </w:num>
  <w:num w:numId="8">
    <w:abstractNumId w:val="12"/>
  </w:num>
  <w:num w:numId="9">
    <w:abstractNumId w:val="21"/>
  </w:num>
  <w:num w:numId="10">
    <w:abstractNumId w:val="4"/>
  </w:num>
  <w:num w:numId="11">
    <w:abstractNumId w:val="9"/>
  </w:num>
  <w:num w:numId="12">
    <w:abstractNumId w:val="2"/>
  </w:num>
  <w:num w:numId="13">
    <w:abstractNumId w:val="8"/>
  </w:num>
  <w:num w:numId="14">
    <w:abstractNumId w:val="0"/>
  </w:num>
  <w:num w:numId="15">
    <w:abstractNumId w:val="20"/>
  </w:num>
  <w:num w:numId="16">
    <w:abstractNumId w:val="17"/>
  </w:num>
  <w:num w:numId="17">
    <w:abstractNumId w:val="7"/>
  </w:num>
  <w:num w:numId="18">
    <w:abstractNumId w:val="23"/>
  </w:num>
  <w:num w:numId="19">
    <w:abstractNumId w:val="10"/>
  </w:num>
  <w:num w:numId="20">
    <w:abstractNumId w:val="1"/>
  </w:num>
  <w:num w:numId="21">
    <w:abstractNumId w:val="13"/>
  </w:num>
  <w:num w:numId="22">
    <w:abstractNumId w:val="15"/>
  </w:num>
  <w:num w:numId="23">
    <w:abstractNumId w:val="3"/>
  </w:num>
  <w:num w:numId="24">
    <w:abstractNumId w:val="6"/>
  </w:num>
  <w:num w:numId="25">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da">
    <w15:presenceInfo w15:providerId="None" w15:userId="Vla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9B70BD"/>
    <w:rsid w:val="00000FA7"/>
    <w:rsid w:val="00001EFF"/>
    <w:rsid w:val="00003687"/>
    <w:rsid w:val="00003C43"/>
    <w:rsid w:val="00004C5D"/>
    <w:rsid w:val="00004EB0"/>
    <w:rsid w:val="00004FF9"/>
    <w:rsid w:val="00007498"/>
    <w:rsid w:val="0000767A"/>
    <w:rsid w:val="000101F5"/>
    <w:rsid w:val="000104B9"/>
    <w:rsid w:val="00010702"/>
    <w:rsid w:val="00010770"/>
    <w:rsid w:val="00010982"/>
    <w:rsid w:val="00011191"/>
    <w:rsid w:val="0001159B"/>
    <w:rsid w:val="000117CA"/>
    <w:rsid w:val="00012986"/>
    <w:rsid w:val="000129CF"/>
    <w:rsid w:val="00014028"/>
    <w:rsid w:val="00014690"/>
    <w:rsid w:val="00015195"/>
    <w:rsid w:val="0001519F"/>
    <w:rsid w:val="0001572B"/>
    <w:rsid w:val="0001573E"/>
    <w:rsid w:val="000157DA"/>
    <w:rsid w:val="0001589D"/>
    <w:rsid w:val="00016033"/>
    <w:rsid w:val="000162DB"/>
    <w:rsid w:val="00017F05"/>
    <w:rsid w:val="000202C6"/>
    <w:rsid w:val="00020315"/>
    <w:rsid w:val="000208B1"/>
    <w:rsid w:val="00020946"/>
    <w:rsid w:val="00022081"/>
    <w:rsid w:val="0002292C"/>
    <w:rsid w:val="00022B41"/>
    <w:rsid w:val="00023FB5"/>
    <w:rsid w:val="0002434F"/>
    <w:rsid w:val="00024887"/>
    <w:rsid w:val="00024CBA"/>
    <w:rsid w:val="00025501"/>
    <w:rsid w:val="00026998"/>
    <w:rsid w:val="00026B06"/>
    <w:rsid w:val="000304C4"/>
    <w:rsid w:val="0003066A"/>
    <w:rsid w:val="00030F14"/>
    <w:rsid w:val="000311C5"/>
    <w:rsid w:val="00032838"/>
    <w:rsid w:val="00032C12"/>
    <w:rsid w:val="00032E0C"/>
    <w:rsid w:val="00034D3F"/>
    <w:rsid w:val="00035CCF"/>
    <w:rsid w:val="00035FC6"/>
    <w:rsid w:val="0003705E"/>
    <w:rsid w:val="00037667"/>
    <w:rsid w:val="0003780E"/>
    <w:rsid w:val="0004075D"/>
    <w:rsid w:val="000411E1"/>
    <w:rsid w:val="00041E9C"/>
    <w:rsid w:val="00042EC6"/>
    <w:rsid w:val="00043C68"/>
    <w:rsid w:val="00043E05"/>
    <w:rsid w:val="00044913"/>
    <w:rsid w:val="00045681"/>
    <w:rsid w:val="0004694F"/>
    <w:rsid w:val="00046E43"/>
    <w:rsid w:val="000500DC"/>
    <w:rsid w:val="000509FD"/>
    <w:rsid w:val="00051ADE"/>
    <w:rsid w:val="00052052"/>
    <w:rsid w:val="00052172"/>
    <w:rsid w:val="000534FD"/>
    <w:rsid w:val="00053CBA"/>
    <w:rsid w:val="00054E43"/>
    <w:rsid w:val="00055059"/>
    <w:rsid w:val="000553E4"/>
    <w:rsid w:val="0005619C"/>
    <w:rsid w:val="000567FA"/>
    <w:rsid w:val="00056B26"/>
    <w:rsid w:val="00057C16"/>
    <w:rsid w:val="00060F26"/>
    <w:rsid w:val="00062D43"/>
    <w:rsid w:val="00062EC5"/>
    <w:rsid w:val="00063AF0"/>
    <w:rsid w:val="00064256"/>
    <w:rsid w:val="00066B7B"/>
    <w:rsid w:val="000673F8"/>
    <w:rsid w:val="00070314"/>
    <w:rsid w:val="000706A4"/>
    <w:rsid w:val="00070A0C"/>
    <w:rsid w:val="00071F80"/>
    <w:rsid w:val="00072118"/>
    <w:rsid w:val="00073173"/>
    <w:rsid w:val="0007324C"/>
    <w:rsid w:val="00073655"/>
    <w:rsid w:val="000779AC"/>
    <w:rsid w:val="000807ED"/>
    <w:rsid w:val="00080A41"/>
    <w:rsid w:val="00080AA8"/>
    <w:rsid w:val="00081851"/>
    <w:rsid w:val="00083803"/>
    <w:rsid w:val="00083D7F"/>
    <w:rsid w:val="00083FE5"/>
    <w:rsid w:val="00084393"/>
    <w:rsid w:val="00084771"/>
    <w:rsid w:val="0008716A"/>
    <w:rsid w:val="00087634"/>
    <w:rsid w:val="00091237"/>
    <w:rsid w:val="000916B1"/>
    <w:rsid w:val="0009191B"/>
    <w:rsid w:val="000920EC"/>
    <w:rsid w:val="000921B6"/>
    <w:rsid w:val="00092208"/>
    <w:rsid w:val="00092505"/>
    <w:rsid w:val="000927EB"/>
    <w:rsid w:val="00092C9A"/>
    <w:rsid w:val="00093F4B"/>
    <w:rsid w:val="000973B6"/>
    <w:rsid w:val="00097BFC"/>
    <w:rsid w:val="00097D02"/>
    <w:rsid w:val="000A1183"/>
    <w:rsid w:val="000A2121"/>
    <w:rsid w:val="000A2484"/>
    <w:rsid w:val="000A2929"/>
    <w:rsid w:val="000A36CE"/>
    <w:rsid w:val="000A59BF"/>
    <w:rsid w:val="000A66C2"/>
    <w:rsid w:val="000A68A7"/>
    <w:rsid w:val="000A6F68"/>
    <w:rsid w:val="000B1CFE"/>
    <w:rsid w:val="000B210A"/>
    <w:rsid w:val="000B2324"/>
    <w:rsid w:val="000B249B"/>
    <w:rsid w:val="000B2729"/>
    <w:rsid w:val="000B2ADE"/>
    <w:rsid w:val="000B3B01"/>
    <w:rsid w:val="000B3C13"/>
    <w:rsid w:val="000B3DB9"/>
    <w:rsid w:val="000B3F02"/>
    <w:rsid w:val="000B48A2"/>
    <w:rsid w:val="000B48E7"/>
    <w:rsid w:val="000B4E9F"/>
    <w:rsid w:val="000B4F41"/>
    <w:rsid w:val="000B7663"/>
    <w:rsid w:val="000B7A90"/>
    <w:rsid w:val="000C1106"/>
    <w:rsid w:val="000C11D3"/>
    <w:rsid w:val="000C12F5"/>
    <w:rsid w:val="000C3408"/>
    <w:rsid w:val="000C54AF"/>
    <w:rsid w:val="000C57C5"/>
    <w:rsid w:val="000C5C0F"/>
    <w:rsid w:val="000C5D56"/>
    <w:rsid w:val="000C60D8"/>
    <w:rsid w:val="000C6498"/>
    <w:rsid w:val="000D0B22"/>
    <w:rsid w:val="000D0D51"/>
    <w:rsid w:val="000D14B3"/>
    <w:rsid w:val="000D1BFB"/>
    <w:rsid w:val="000D1F52"/>
    <w:rsid w:val="000D208B"/>
    <w:rsid w:val="000D263E"/>
    <w:rsid w:val="000D2B8D"/>
    <w:rsid w:val="000D2E41"/>
    <w:rsid w:val="000D342A"/>
    <w:rsid w:val="000D43CB"/>
    <w:rsid w:val="000D5E7A"/>
    <w:rsid w:val="000D5FAA"/>
    <w:rsid w:val="000D65A4"/>
    <w:rsid w:val="000D6AEF"/>
    <w:rsid w:val="000D7414"/>
    <w:rsid w:val="000E025B"/>
    <w:rsid w:val="000E0ECB"/>
    <w:rsid w:val="000E153A"/>
    <w:rsid w:val="000E19A8"/>
    <w:rsid w:val="000E1EEA"/>
    <w:rsid w:val="000E4241"/>
    <w:rsid w:val="000E4A42"/>
    <w:rsid w:val="000E6184"/>
    <w:rsid w:val="000E6476"/>
    <w:rsid w:val="000E78D2"/>
    <w:rsid w:val="000F3332"/>
    <w:rsid w:val="000F33EE"/>
    <w:rsid w:val="000F401E"/>
    <w:rsid w:val="000F5445"/>
    <w:rsid w:val="000F5598"/>
    <w:rsid w:val="000F5673"/>
    <w:rsid w:val="000F67B2"/>
    <w:rsid w:val="000F6CFB"/>
    <w:rsid w:val="000F7121"/>
    <w:rsid w:val="000F74B6"/>
    <w:rsid w:val="000F790F"/>
    <w:rsid w:val="000F7E1B"/>
    <w:rsid w:val="00100014"/>
    <w:rsid w:val="00100224"/>
    <w:rsid w:val="0010039A"/>
    <w:rsid w:val="00101E94"/>
    <w:rsid w:val="00101FB2"/>
    <w:rsid w:val="001028CF"/>
    <w:rsid w:val="00102CB8"/>
    <w:rsid w:val="00102F02"/>
    <w:rsid w:val="0010385D"/>
    <w:rsid w:val="00103E41"/>
    <w:rsid w:val="001041B6"/>
    <w:rsid w:val="001070EA"/>
    <w:rsid w:val="001076CA"/>
    <w:rsid w:val="0011002A"/>
    <w:rsid w:val="001107CE"/>
    <w:rsid w:val="001109F0"/>
    <w:rsid w:val="0011110A"/>
    <w:rsid w:val="001118AF"/>
    <w:rsid w:val="00111CA5"/>
    <w:rsid w:val="0011256E"/>
    <w:rsid w:val="0011352E"/>
    <w:rsid w:val="0011365A"/>
    <w:rsid w:val="00114FC0"/>
    <w:rsid w:val="00115496"/>
    <w:rsid w:val="00115BDB"/>
    <w:rsid w:val="00116DB9"/>
    <w:rsid w:val="00116F28"/>
    <w:rsid w:val="00117597"/>
    <w:rsid w:val="00117CE8"/>
    <w:rsid w:val="00117F28"/>
    <w:rsid w:val="001201F0"/>
    <w:rsid w:val="00121961"/>
    <w:rsid w:val="00121C39"/>
    <w:rsid w:val="00123255"/>
    <w:rsid w:val="00124D2D"/>
    <w:rsid w:val="00124DA1"/>
    <w:rsid w:val="00125326"/>
    <w:rsid w:val="00125CB5"/>
    <w:rsid w:val="001264C1"/>
    <w:rsid w:val="00127535"/>
    <w:rsid w:val="001305B2"/>
    <w:rsid w:val="001307BE"/>
    <w:rsid w:val="00130C8F"/>
    <w:rsid w:val="001314F2"/>
    <w:rsid w:val="001317DA"/>
    <w:rsid w:val="00131FFA"/>
    <w:rsid w:val="001323BA"/>
    <w:rsid w:val="0013254D"/>
    <w:rsid w:val="00133AAC"/>
    <w:rsid w:val="00133FBD"/>
    <w:rsid w:val="00134DFD"/>
    <w:rsid w:val="00136561"/>
    <w:rsid w:val="00136AE8"/>
    <w:rsid w:val="001400E1"/>
    <w:rsid w:val="001405FA"/>
    <w:rsid w:val="001408DD"/>
    <w:rsid w:val="001413B3"/>
    <w:rsid w:val="001425C3"/>
    <w:rsid w:val="00142F16"/>
    <w:rsid w:val="00143E03"/>
    <w:rsid w:val="00143E93"/>
    <w:rsid w:val="00143FA3"/>
    <w:rsid w:val="0014428D"/>
    <w:rsid w:val="0014731B"/>
    <w:rsid w:val="00147E55"/>
    <w:rsid w:val="00150040"/>
    <w:rsid w:val="001500FC"/>
    <w:rsid w:val="00151AC0"/>
    <w:rsid w:val="00151B27"/>
    <w:rsid w:val="00152046"/>
    <w:rsid w:val="001520AF"/>
    <w:rsid w:val="00152488"/>
    <w:rsid w:val="00152E53"/>
    <w:rsid w:val="00154147"/>
    <w:rsid w:val="001550F3"/>
    <w:rsid w:val="00155746"/>
    <w:rsid w:val="00156318"/>
    <w:rsid w:val="0015639A"/>
    <w:rsid w:val="0016081D"/>
    <w:rsid w:val="00160CF3"/>
    <w:rsid w:val="00160DCA"/>
    <w:rsid w:val="00160E61"/>
    <w:rsid w:val="00161300"/>
    <w:rsid w:val="00161DB6"/>
    <w:rsid w:val="001620FA"/>
    <w:rsid w:val="00162853"/>
    <w:rsid w:val="00163793"/>
    <w:rsid w:val="00167FB2"/>
    <w:rsid w:val="001707DE"/>
    <w:rsid w:val="00170B04"/>
    <w:rsid w:val="00170F47"/>
    <w:rsid w:val="001711F2"/>
    <w:rsid w:val="001714F2"/>
    <w:rsid w:val="001718C2"/>
    <w:rsid w:val="00172B64"/>
    <w:rsid w:val="00173642"/>
    <w:rsid w:val="001736BB"/>
    <w:rsid w:val="00173AF4"/>
    <w:rsid w:val="00173CB0"/>
    <w:rsid w:val="00174CE8"/>
    <w:rsid w:val="00174E7D"/>
    <w:rsid w:val="001752CB"/>
    <w:rsid w:val="00175351"/>
    <w:rsid w:val="00175F60"/>
    <w:rsid w:val="00176050"/>
    <w:rsid w:val="001764D8"/>
    <w:rsid w:val="00176A8F"/>
    <w:rsid w:val="00180D58"/>
    <w:rsid w:val="00181410"/>
    <w:rsid w:val="001814AE"/>
    <w:rsid w:val="00181938"/>
    <w:rsid w:val="00182981"/>
    <w:rsid w:val="00184CF9"/>
    <w:rsid w:val="00184DE8"/>
    <w:rsid w:val="00185010"/>
    <w:rsid w:val="001852EC"/>
    <w:rsid w:val="00186447"/>
    <w:rsid w:val="001874CF"/>
    <w:rsid w:val="00187F91"/>
    <w:rsid w:val="00190214"/>
    <w:rsid w:val="00190D9B"/>
    <w:rsid w:val="0019161A"/>
    <w:rsid w:val="00191BAE"/>
    <w:rsid w:val="00193432"/>
    <w:rsid w:val="0019346C"/>
    <w:rsid w:val="0019431C"/>
    <w:rsid w:val="00194AE3"/>
    <w:rsid w:val="00195335"/>
    <w:rsid w:val="00195444"/>
    <w:rsid w:val="0019579E"/>
    <w:rsid w:val="00197806"/>
    <w:rsid w:val="001A199D"/>
    <w:rsid w:val="001A2855"/>
    <w:rsid w:val="001A2BDB"/>
    <w:rsid w:val="001A30F4"/>
    <w:rsid w:val="001A47AB"/>
    <w:rsid w:val="001A4C0D"/>
    <w:rsid w:val="001A552F"/>
    <w:rsid w:val="001A56F3"/>
    <w:rsid w:val="001A737B"/>
    <w:rsid w:val="001A750C"/>
    <w:rsid w:val="001B008E"/>
    <w:rsid w:val="001B1D89"/>
    <w:rsid w:val="001B2143"/>
    <w:rsid w:val="001B3110"/>
    <w:rsid w:val="001B4198"/>
    <w:rsid w:val="001B44BC"/>
    <w:rsid w:val="001B5215"/>
    <w:rsid w:val="001B5888"/>
    <w:rsid w:val="001B5A75"/>
    <w:rsid w:val="001B618F"/>
    <w:rsid w:val="001B6277"/>
    <w:rsid w:val="001B6545"/>
    <w:rsid w:val="001B681B"/>
    <w:rsid w:val="001B6A49"/>
    <w:rsid w:val="001B7231"/>
    <w:rsid w:val="001B74FB"/>
    <w:rsid w:val="001B77A1"/>
    <w:rsid w:val="001C0422"/>
    <w:rsid w:val="001C0B1E"/>
    <w:rsid w:val="001C0E0E"/>
    <w:rsid w:val="001C0E66"/>
    <w:rsid w:val="001C0EB9"/>
    <w:rsid w:val="001C1219"/>
    <w:rsid w:val="001C357A"/>
    <w:rsid w:val="001C3657"/>
    <w:rsid w:val="001C3961"/>
    <w:rsid w:val="001C3A37"/>
    <w:rsid w:val="001C4384"/>
    <w:rsid w:val="001C55F5"/>
    <w:rsid w:val="001C65FF"/>
    <w:rsid w:val="001C6747"/>
    <w:rsid w:val="001D12FB"/>
    <w:rsid w:val="001D3787"/>
    <w:rsid w:val="001D47E5"/>
    <w:rsid w:val="001D584C"/>
    <w:rsid w:val="001D5E1B"/>
    <w:rsid w:val="001D66C1"/>
    <w:rsid w:val="001D6EF6"/>
    <w:rsid w:val="001D7C6F"/>
    <w:rsid w:val="001E0024"/>
    <w:rsid w:val="001E0735"/>
    <w:rsid w:val="001E0C65"/>
    <w:rsid w:val="001E23E3"/>
    <w:rsid w:val="001E29AF"/>
    <w:rsid w:val="001E36E4"/>
    <w:rsid w:val="001E3731"/>
    <w:rsid w:val="001E387A"/>
    <w:rsid w:val="001E3DA4"/>
    <w:rsid w:val="001E5469"/>
    <w:rsid w:val="001E5830"/>
    <w:rsid w:val="001E5F62"/>
    <w:rsid w:val="001E684C"/>
    <w:rsid w:val="001E701C"/>
    <w:rsid w:val="001E7552"/>
    <w:rsid w:val="001E7C03"/>
    <w:rsid w:val="001F02AF"/>
    <w:rsid w:val="001F0649"/>
    <w:rsid w:val="001F28F4"/>
    <w:rsid w:val="001F2902"/>
    <w:rsid w:val="001F2CC6"/>
    <w:rsid w:val="001F3055"/>
    <w:rsid w:val="001F31BC"/>
    <w:rsid w:val="001F378E"/>
    <w:rsid w:val="001F3C79"/>
    <w:rsid w:val="001F3E68"/>
    <w:rsid w:val="001F4597"/>
    <w:rsid w:val="001F56A9"/>
    <w:rsid w:val="001F5C6A"/>
    <w:rsid w:val="001F63A7"/>
    <w:rsid w:val="001F670A"/>
    <w:rsid w:val="00200D15"/>
    <w:rsid w:val="0020223B"/>
    <w:rsid w:val="0020294A"/>
    <w:rsid w:val="00203074"/>
    <w:rsid w:val="0020340C"/>
    <w:rsid w:val="00203B09"/>
    <w:rsid w:val="00203B46"/>
    <w:rsid w:val="00203FCB"/>
    <w:rsid w:val="002048E1"/>
    <w:rsid w:val="002070AB"/>
    <w:rsid w:val="00207DB6"/>
    <w:rsid w:val="00210278"/>
    <w:rsid w:val="00210CC2"/>
    <w:rsid w:val="00210F5B"/>
    <w:rsid w:val="00210FFA"/>
    <w:rsid w:val="00211262"/>
    <w:rsid w:val="0021139C"/>
    <w:rsid w:val="002115F5"/>
    <w:rsid w:val="00211AC9"/>
    <w:rsid w:val="0021329E"/>
    <w:rsid w:val="0021355B"/>
    <w:rsid w:val="002137A1"/>
    <w:rsid w:val="00215061"/>
    <w:rsid w:val="0021507A"/>
    <w:rsid w:val="0021552C"/>
    <w:rsid w:val="00215A2C"/>
    <w:rsid w:val="00217980"/>
    <w:rsid w:val="002179F9"/>
    <w:rsid w:val="002205F2"/>
    <w:rsid w:val="0022080E"/>
    <w:rsid w:val="00220895"/>
    <w:rsid w:val="00220B20"/>
    <w:rsid w:val="0022139E"/>
    <w:rsid w:val="002224C1"/>
    <w:rsid w:val="0022272B"/>
    <w:rsid w:val="00222A99"/>
    <w:rsid w:val="00223678"/>
    <w:rsid w:val="002236F7"/>
    <w:rsid w:val="00223E00"/>
    <w:rsid w:val="00224048"/>
    <w:rsid w:val="002252E0"/>
    <w:rsid w:val="002255F6"/>
    <w:rsid w:val="00225F36"/>
    <w:rsid w:val="00226466"/>
    <w:rsid w:val="002266D0"/>
    <w:rsid w:val="00226887"/>
    <w:rsid w:val="00227991"/>
    <w:rsid w:val="00230DAD"/>
    <w:rsid w:val="0023229C"/>
    <w:rsid w:val="00232A3C"/>
    <w:rsid w:val="0023301B"/>
    <w:rsid w:val="002334DF"/>
    <w:rsid w:val="0023355C"/>
    <w:rsid w:val="00234280"/>
    <w:rsid w:val="00234DD5"/>
    <w:rsid w:val="00235000"/>
    <w:rsid w:val="002350E3"/>
    <w:rsid w:val="00235330"/>
    <w:rsid w:val="00236443"/>
    <w:rsid w:val="00240773"/>
    <w:rsid w:val="00240815"/>
    <w:rsid w:val="00240A5B"/>
    <w:rsid w:val="00240C76"/>
    <w:rsid w:val="002411EF"/>
    <w:rsid w:val="00241446"/>
    <w:rsid w:val="00242730"/>
    <w:rsid w:val="002436BA"/>
    <w:rsid w:val="002444ED"/>
    <w:rsid w:val="00244A15"/>
    <w:rsid w:val="00244D40"/>
    <w:rsid w:val="002452E5"/>
    <w:rsid w:val="00246AE9"/>
    <w:rsid w:val="0024799E"/>
    <w:rsid w:val="00250C59"/>
    <w:rsid w:val="00250E0D"/>
    <w:rsid w:val="002518F6"/>
    <w:rsid w:val="00251D59"/>
    <w:rsid w:val="00252602"/>
    <w:rsid w:val="00252609"/>
    <w:rsid w:val="00252FDC"/>
    <w:rsid w:val="002532E2"/>
    <w:rsid w:val="00253E11"/>
    <w:rsid w:val="00254069"/>
    <w:rsid w:val="00254B3B"/>
    <w:rsid w:val="00254C4B"/>
    <w:rsid w:val="002550D8"/>
    <w:rsid w:val="00257613"/>
    <w:rsid w:val="002609C2"/>
    <w:rsid w:val="00261A0F"/>
    <w:rsid w:val="00261E5B"/>
    <w:rsid w:val="00262EB9"/>
    <w:rsid w:val="00262F34"/>
    <w:rsid w:val="002633E5"/>
    <w:rsid w:val="00263470"/>
    <w:rsid w:val="00263733"/>
    <w:rsid w:val="00264676"/>
    <w:rsid w:val="00264A46"/>
    <w:rsid w:val="00265536"/>
    <w:rsid w:val="0026595E"/>
    <w:rsid w:val="00265E54"/>
    <w:rsid w:val="00266306"/>
    <w:rsid w:val="002664A1"/>
    <w:rsid w:val="00266F3E"/>
    <w:rsid w:val="00270785"/>
    <w:rsid w:val="00272464"/>
    <w:rsid w:val="00272B0B"/>
    <w:rsid w:val="00272CC5"/>
    <w:rsid w:val="00273C60"/>
    <w:rsid w:val="00273DCD"/>
    <w:rsid w:val="00274291"/>
    <w:rsid w:val="00276C09"/>
    <w:rsid w:val="00276CFE"/>
    <w:rsid w:val="00277071"/>
    <w:rsid w:val="002776A5"/>
    <w:rsid w:val="0027786C"/>
    <w:rsid w:val="00277BF7"/>
    <w:rsid w:val="00281416"/>
    <w:rsid w:val="00282084"/>
    <w:rsid w:val="00283C61"/>
    <w:rsid w:val="00283D6A"/>
    <w:rsid w:val="00284C6F"/>
    <w:rsid w:val="00285CD3"/>
    <w:rsid w:val="0028633E"/>
    <w:rsid w:val="0028686A"/>
    <w:rsid w:val="00286E66"/>
    <w:rsid w:val="002870B7"/>
    <w:rsid w:val="002919B5"/>
    <w:rsid w:val="00292D0B"/>
    <w:rsid w:val="00293441"/>
    <w:rsid w:val="00293553"/>
    <w:rsid w:val="00294238"/>
    <w:rsid w:val="00294776"/>
    <w:rsid w:val="0029493E"/>
    <w:rsid w:val="002962E0"/>
    <w:rsid w:val="00296C2E"/>
    <w:rsid w:val="002A1B05"/>
    <w:rsid w:val="002A267F"/>
    <w:rsid w:val="002A3354"/>
    <w:rsid w:val="002A35EA"/>
    <w:rsid w:val="002A37B6"/>
    <w:rsid w:val="002A3BD5"/>
    <w:rsid w:val="002A43A2"/>
    <w:rsid w:val="002A44ED"/>
    <w:rsid w:val="002A4612"/>
    <w:rsid w:val="002A4F70"/>
    <w:rsid w:val="002A5263"/>
    <w:rsid w:val="002A63B9"/>
    <w:rsid w:val="002A6821"/>
    <w:rsid w:val="002A6F67"/>
    <w:rsid w:val="002A74D2"/>
    <w:rsid w:val="002A7CDA"/>
    <w:rsid w:val="002A7F47"/>
    <w:rsid w:val="002B1544"/>
    <w:rsid w:val="002B1DC1"/>
    <w:rsid w:val="002B36C8"/>
    <w:rsid w:val="002B385B"/>
    <w:rsid w:val="002B6B7A"/>
    <w:rsid w:val="002B71B4"/>
    <w:rsid w:val="002B7240"/>
    <w:rsid w:val="002B7323"/>
    <w:rsid w:val="002B7937"/>
    <w:rsid w:val="002C0FF4"/>
    <w:rsid w:val="002C125A"/>
    <w:rsid w:val="002C2668"/>
    <w:rsid w:val="002C43BD"/>
    <w:rsid w:val="002C493D"/>
    <w:rsid w:val="002C5261"/>
    <w:rsid w:val="002C5CB7"/>
    <w:rsid w:val="002C6091"/>
    <w:rsid w:val="002C63C1"/>
    <w:rsid w:val="002C6A6E"/>
    <w:rsid w:val="002D0562"/>
    <w:rsid w:val="002D1B5A"/>
    <w:rsid w:val="002D2500"/>
    <w:rsid w:val="002D338A"/>
    <w:rsid w:val="002D3E4C"/>
    <w:rsid w:val="002D3F00"/>
    <w:rsid w:val="002D4A1E"/>
    <w:rsid w:val="002D4D59"/>
    <w:rsid w:val="002D54BF"/>
    <w:rsid w:val="002D5C3D"/>
    <w:rsid w:val="002D5E94"/>
    <w:rsid w:val="002D632D"/>
    <w:rsid w:val="002D6B01"/>
    <w:rsid w:val="002D6B11"/>
    <w:rsid w:val="002D6FC7"/>
    <w:rsid w:val="002D7EF4"/>
    <w:rsid w:val="002E02A1"/>
    <w:rsid w:val="002E0982"/>
    <w:rsid w:val="002E0DB9"/>
    <w:rsid w:val="002E1BFA"/>
    <w:rsid w:val="002E2CE4"/>
    <w:rsid w:val="002E31A0"/>
    <w:rsid w:val="002E34F3"/>
    <w:rsid w:val="002E4217"/>
    <w:rsid w:val="002E435E"/>
    <w:rsid w:val="002E73F2"/>
    <w:rsid w:val="002F149A"/>
    <w:rsid w:val="002F33FB"/>
    <w:rsid w:val="002F36D0"/>
    <w:rsid w:val="002F4402"/>
    <w:rsid w:val="002F663A"/>
    <w:rsid w:val="002F68A4"/>
    <w:rsid w:val="002F7594"/>
    <w:rsid w:val="002F7902"/>
    <w:rsid w:val="003003E7"/>
    <w:rsid w:val="003004EB"/>
    <w:rsid w:val="00300D6F"/>
    <w:rsid w:val="00301357"/>
    <w:rsid w:val="0030192C"/>
    <w:rsid w:val="00301D04"/>
    <w:rsid w:val="003035D4"/>
    <w:rsid w:val="00303A3C"/>
    <w:rsid w:val="00303DCB"/>
    <w:rsid w:val="00304771"/>
    <w:rsid w:val="00304E6C"/>
    <w:rsid w:val="00305736"/>
    <w:rsid w:val="00305C33"/>
    <w:rsid w:val="00306C5B"/>
    <w:rsid w:val="00306E3B"/>
    <w:rsid w:val="0030768C"/>
    <w:rsid w:val="00310ADB"/>
    <w:rsid w:val="003119B6"/>
    <w:rsid w:val="00312C3D"/>
    <w:rsid w:val="003131A6"/>
    <w:rsid w:val="00314331"/>
    <w:rsid w:val="00317E31"/>
    <w:rsid w:val="00320214"/>
    <w:rsid w:val="003209D6"/>
    <w:rsid w:val="0032109A"/>
    <w:rsid w:val="0032214F"/>
    <w:rsid w:val="00322164"/>
    <w:rsid w:val="00323486"/>
    <w:rsid w:val="00323A13"/>
    <w:rsid w:val="00323CF7"/>
    <w:rsid w:val="00323E61"/>
    <w:rsid w:val="0032513D"/>
    <w:rsid w:val="00326251"/>
    <w:rsid w:val="0032739C"/>
    <w:rsid w:val="003276D1"/>
    <w:rsid w:val="00327DEE"/>
    <w:rsid w:val="003302DA"/>
    <w:rsid w:val="00330EB0"/>
    <w:rsid w:val="00331574"/>
    <w:rsid w:val="0033229B"/>
    <w:rsid w:val="003329F3"/>
    <w:rsid w:val="00333134"/>
    <w:rsid w:val="0033352E"/>
    <w:rsid w:val="00333690"/>
    <w:rsid w:val="00333D20"/>
    <w:rsid w:val="00333F53"/>
    <w:rsid w:val="003340EF"/>
    <w:rsid w:val="00334A49"/>
    <w:rsid w:val="0033536F"/>
    <w:rsid w:val="00335BB0"/>
    <w:rsid w:val="00335E99"/>
    <w:rsid w:val="0033627B"/>
    <w:rsid w:val="003406BD"/>
    <w:rsid w:val="00343474"/>
    <w:rsid w:val="00343F84"/>
    <w:rsid w:val="00344135"/>
    <w:rsid w:val="003450E2"/>
    <w:rsid w:val="00351B63"/>
    <w:rsid w:val="00352482"/>
    <w:rsid w:val="00352E57"/>
    <w:rsid w:val="003541B0"/>
    <w:rsid w:val="0035457E"/>
    <w:rsid w:val="00355885"/>
    <w:rsid w:val="00355CAA"/>
    <w:rsid w:val="0035605E"/>
    <w:rsid w:val="00356244"/>
    <w:rsid w:val="00356CAE"/>
    <w:rsid w:val="00357449"/>
    <w:rsid w:val="00357C28"/>
    <w:rsid w:val="00361F76"/>
    <w:rsid w:val="0036238B"/>
    <w:rsid w:val="00362408"/>
    <w:rsid w:val="003630B0"/>
    <w:rsid w:val="00364087"/>
    <w:rsid w:val="003649FC"/>
    <w:rsid w:val="00364C0E"/>
    <w:rsid w:val="003651A4"/>
    <w:rsid w:val="00365680"/>
    <w:rsid w:val="003657F3"/>
    <w:rsid w:val="00366D4D"/>
    <w:rsid w:val="00366F77"/>
    <w:rsid w:val="00367038"/>
    <w:rsid w:val="003670FE"/>
    <w:rsid w:val="0036710C"/>
    <w:rsid w:val="0037040B"/>
    <w:rsid w:val="00370963"/>
    <w:rsid w:val="0037144E"/>
    <w:rsid w:val="00372272"/>
    <w:rsid w:val="0037290D"/>
    <w:rsid w:val="003736B5"/>
    <w:rsid w:val="00374DB6"/>
    <w:rsid w:val="00374F1E"/>
    <w:rsid w:val="003750CF"/>
    <w:rsid w:val="003769F0"/>
    <w:rsid w:val="00376DEC"/>
    <w:rsid w:val="00377200"/>
    <w:rsid w:val="00377666"/>
    <w:rsid w:val="0038034A"/>
    <w:rsid w:val="00380E04"/>
    <w:rsid w:val="00380E6C"/>
    <w:rsid w:val="0038187C"/>
    <w:rsid w:val="00383227"/>
    <w:rsid w:val="003839C9"/>
    <w:rsid w:val="0038422D"/>
    <w:rsid w:val="00384D8F"/>
    <w:rsid w:val="003857A2"/>
    <w:rsid w:val="00385D98"/>
    <w:rsid w:val="00385EC5"/>
    <w:rsid w:val="0038658E"/>
    <w:rsid w:val="003875C2"/>
    <w:rsid w:val="0039066E"/>
    <w:rsid w:val="00391C95"/>
    <w:rsid w:val="00392110"/>
    <w:rsid w:val="00393D74"/>
    <w:rsid w:val="003948D7"/>
    <w:rsid w:val="00394D49"/>
    <w:rsid w:val="00396DAC"/>
    <w:rsid w:val="003971D0"/>
    <w:rsid w:val="003A0214"/>
    <w:rsid w:val="003A027D"/>
    <w:rsid w:val="003A1D74"/>
    <w:rsid w:val="003A2B4D"/>
    <w:rsid w:val="003A2D2B"/>
    <w:rsid w:val="003A2DD4"/>
    <w:rsid w:val="003A3982"/>
    <w:rsid w:val="003A3B1C"/>
    <w:rsid w:val="003A4088"/>
    <w:rsid w:val="003A478C"/>
    <w:rsid w:val="003A4F82"/>
    <w:rsid w:val="003A5525"/>
    <w:rsid w:val="003A6B38"/>
    <w:rsid w:val="003B2142"/>
    <w:rsid w:val="003B2580"/>
    <w:rsid w:val="003B293F"/>
    <w:rsid w:val="003B2E63"/>
    <w:rsid w:val="003B3189"/>
    <w:rsid w:val="003B3A9D"/>
    <w:rsid w:val="003B3DDD"/>
    <w:rsid w:val="003B5031"/>
    <w:rsid w:val="003B5A32"/>
    <w:rsid w:val="003B6105"/>
    <w:rsid w:val="003B769D"/>
    <w:rsid w:val="003C03CC"/>
    <w:rsid w:val="003C04C4"/>
    <w:rsid w:val="003C08E2"/>
    <w:rsid w:val="003C0B96"/>
    <w:rsid w:val="003C26F4"/>
    <w:rsid w:val="003C3686"/>
    <w:rsid w:val="003C3E2C"/>
    <w:rsid w:val="003C4852"/>
    <w:rsid w:val="003C5BC7"/>
    <w:rsid w:val="003C601E"/>
    <w:rsid w:val="003C66C4"/>
    <w:rsid w:val="003C6DB9"/>
    <w:rsid w:val="003D1FA0"/>
    <w:rsid w:val="003D2393"/>
    <w:rsid w:val="003D2C4E"/>
    <w:rsid w:val="003D3600"/>
    <w:rsid w:val="003D3825"/>
    <w:rsid w:val="003D3EC4"/>
    <w:rsid w:val="003D3FB2"/>
    <w:rsid w:val="003D44E2"/>
    <w:rsid w:val="003D4760"/>
    <w:rsid w:val="003D49DC"/>
    <w:rsid w:val="003D4DD9"/>
    <w:rsid w:val="003D4FB5"/>
    <w:rsid w:val="003D59BE"/>
    <w:rsid w:val="003D5D7A"/>
    <w:rsid w:val="003D5E4B"/>
    <w:rsid w:val="003D653F"/>
    <w:rsid w:val="003D6B55"/>
    <w:rsid w:val="003E0663"/>
    <w:rsid w:val="003E133F"/>
    <w:rsid w:val="003E49F6"/>
    <w:rsid w:val="003E699C"/>
    <w:rsid w:val="003E69F3"/>
    <w:rsid w:val="003E782E"/>
    <w:rsid w:val="003E7A0B"/>
    <w:rsid w:val="003E7B2B"/>
    <w:rsid w:val="003E7F69"/>
    <w:rsid w:val="003F0293"/>
    <w:rsid w:val="003F116D"/>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D19"/>
    <w:rsid w:val="003F7631"/>
    <w:rsid w:val="004000D5"/>
    <w:rsid w:val="00400244"/>
    <w:rsid w:val="004005C1"/>
    <w:rsid w:val="00400BBD"/>
    <w:rsid w:val="00401716"/>
    <w:rsid w:val="004018F7"/>
    <w:rsid w:val="00401A09"/>
    <w:rsid w:val="0040273A"/>
    <w:rsid w:val="00402C25"/>
    <w:rsid w:val="004036FB"/>
    <w:rsid w:val="004050D7"/>
    <w:rsid w:val="004078BD"/>
    <w:rsid w:val="00410132"/>
    <w:rsid w:val="004104E4"/>
    <w:rsid w:val="00410A97"/>
    <w:rsid w:val="00410BCD"/>
    <w:rsid w:val="00410DE5"/>
    <w:rsid w:val="0041175D"/>
    <w:rsid w:val="004117CE"/>
    <w:rsid w:val="004121D6"/>
    <w:rsid w:val="004123BE"/>
    <w:rsid w:val="0041329F"/>
    <w:rsid w:val="00414CE5"/>
    <w:rsid w:val="00416673"/>
    <w:rsid w:val="0041677D"/>
    <w:rsid w:val="00420D92"/>
    <w:rsid w:val="0042160D"/>
    <w:rsid w:val="00423A3C"/>
    <w:rsid w:val="00423C04"/>
    <w:rsid w:val="00424D9B"/>
    <w:rsid w:val="0042681B"/>
    <w:rsid w:val="00427193"/>
    <w:rsid w:val="0043068A"/>
    <w:rsid w:val="004306E0"/>
    <w:rsid w:val="00431D54"/>
    <w:rsid w:val="00431F98"/>
    <w:rsid w:val="004329BE"/>
    <w:rsid w:val="00432C38"/>
    <w:rsid w:val="004342EC"/>
    <w:rsid w:val="00434D5A"/>
    <w:rsid w:val="00436EDB"/>
    <w:rsid w:val="00437C76"/>
    <w:rsid w:val="00437F4A"/>
    <w:rsid w:val="0044105C"/>
    <w:rsid w:val="00442197"/>
    <w:rsid w:val="00442BD1"/>
    <w:rsid w:val="00443E95"/>
    <w:rsid w:val="004441A0"/>
    <w:rsid w:val="00444268"/>
    <w:rsid w:val="00444326"/>
    <w:rsid w:val="004443BF"/>
    <w:rsid w:val="00444C19"/>
    <w:rsid w:val="00445218"/>
    <w:rsid w:val="00445CDD"/>
    <w:rsid w:val="00446892"/>
    <w:rsid w:val="00447267"/>
    <w:rsid w:val="00447E36"/>
    <w:rsid w:val="00450700"/>
    <w:rsid w:val="00450C30"/>
    <w:rsid w:val="004529C7"/>
    <w:rsid w:val="004540FF"/>
    <w:rsid w:val="004541F1"/>
    <w:rsid w:val="00454921"/>
    <w:rsid w:val="00454D31"/>
    <w:rsid w:val="00455BB8"/>
    <w:rsid w:val="00455ECA"/>
    <w:rsid w:val="00457296"/>
    <w:rsid w:val="00457320"/>
    <w:rsid w:val="00460164"/>
    <w:rsid w:val="0046039A"/>
    <w:rsid w:val="00460A6B"/>
    <w:rsid w:val="00461977"/>
    <w:rsid w:val="00461A3F"/>
    <w:rsid w:val="00461C4C"/>
    <w:rsid w:val="004620C7"/>
    <w:rsid w:val="004629FD"/>
    <w:rsid w:val="00462AD2"/>
    <w:rsid w:val="00463B4B"/>
    <w:rsid w:val="00463F4D"/>
    <w:rsid w:val="00464658"/>
    <w:rsid w:val="0046471F"/>
    <w:rsid w:val="00464BE8"/>
    <w:rsid w:val="00465019"/>
    <w:rsid w:val="00465FA4"/>
    <w:rsid w:val="0046613F"/>
    <w:rsid w:val="0046655D"/>
    <w:rsid w:val="00466808"/>
    <w:rsid w:val="00466AAE"/>
    <w:rsid w:val="0046765E"/>
    <w:rsid w:val="004676E2"/>
    <w:rsid w:val="00471EDD"/>
    <w:rsid w:val="00473E94"/>
    <w:rsid w:val="0047400C"/>
    <w:rsid w:val="00474471"/>
    <w:rsid w:val="004745D9"/>
    <w:rsid w:val="00474619"/>
    <w:rsid w:val="00474B94"/>
    <w:rsid w:val="004761D2"/>
    <w:rsid w:val="004762D8"/>
    <w:rsid w:val="004765B3"/>
    <w:rsid w:val="00476D29"/>
    <w:rsid w:val="00477241"/>
    <w:rsid w:val="0047728F"/>
    <w:rsid w:val="004774F5"/>
    <w:rsid w:val="00477EAF"/>
    <w:rsid w:val="00477EE0"/>
    <w:rsid w:val="00480AB8"/>
    <w:rsid w:val="0048139F"/>
    <w:rsid w:val="00481C00"/>
    <w:rsid w:val="00483053"/>
    <w:rsid w:val="00484874"/>
    <w:rsid w:val="00485230"/>
    <w:rsid w:val="00487127"/>
    <w:rsid w:val="004879E9"/>
    <w:rsid w:val="00487F81"/>
    <w:rsid w:val="00490082"/>
    <w:rsid w:val="00490247"/>
    <w:rsid w:val="00490524"/>
    <w:rsid w:val="00490B20"/>
    <w:rsid w:val="0049104F"/>
    <w:rsid w:val="00491218"/>
    <w:rsid w:val="00491CFD"/>
    <w:rsid w:val="00492991"/>
    <w:rsid w:val="00493362"/>
    <w:rsid w:val="00494343"/>
    <w:rsid w:val="00494AAB"/>
    <w:rsid w:val="00494FB8"/>
    <w:rsid w:val="0049548B"/>
    <w:rsid w:val="00496C2F"/>
    <w:rsid w:val="0049740D"/>
    <w:rsid w:val="004978D3"/>
    <w:rsid w:val="004A06A6"/>
    <w:rsid w:val="004A11F8"/>
    <w:rsid w:val="004A22BD"/>
    <w:rsid w:val="004A22FA"/>
    <w:rsid w:val="004A25E2"/>
    <w:rsid w:val="004A269A"/>
    <w:rsid w:val="004A26AF"/>
    <w:rsid w:val="004A26DB"/>
    <w:rsid w:val="004A30FB"/>
    <w:rsid w:val="004A35DD"/>
    <w:rsid w:val="004A37D3"/>
    <w:rsid w:val="004A3AD6"/>
    <w:rsid w:val="004A3BCE"/>
    <w:rsid w:val="004A4D61"/>
    <w:rsid w:val="004A5865"/>
    <w:rsid w:val="004A7670"/>
    <w:rsid w:val="004A77DF"/>
    <w:rsid w:val="004B0295"/>
    <w:rsid w:val="004B0803"/>
    <w:rsid w:val="004B10A8"/>
    <w:rsid w:val="004B1F58"/>
    <w:rsid w:val="004B1F9D"/>
    <w:rsid w:val="004B22DA"/>
    <w:rsid w:val="004B3CB7"/>
    <w:rsid w:val="004B3D55"/>
    <w:rsid w:val="004B41DC"/>
    <w:rsid w:val="004B55B7"/>
    <w:rsid w:val="004B5836"/>
    <w:rsid w:val="004B5E1F"/>
    <w:rsid w:val="004B5F05"/>
    <w:rsid w:val="004C00A6"/>
    <w:rsid w:val="004C0243"/>
    <w:rsid w:val="004C0BBB"/>
    <w:rsid w:val="004C1AD6"/>
    <w:rsid w:val="004C1B86"/>
    <w:rsid w:val="004C1DEE"/>
    <w:rsid w:val="004C3382"/>
    <w:rsid w:val="004C3867"/>
    <w:rsid w:val="004C4AB7"/>
    <w:rsid w:val="004C4B88"/>
    <w:rsid w:val="004C4CD0"/>
    <w:rsid w:val="004C57B5"/>
    <w:rsid w:val="004C5C25"/>
    <w:rsid w:val="004C6717"/>
    <w:rsid w:val="004C6CFF"/>
    <w:rsid w:val="004C7065"/>
    <w:rsid w:val="004C70DC"/>
    <w:rsid w:val="004C7268"/>
    <w:rsid w:val="004C7C50"/>
    <w:rsid w:val="004D0211"/>
    <w:rsid w:val="004D1C9C"/>
    <w:rsid w:val="004D2A0E"/>
    <w:rsid w:val="004D458D"/>
    <w:rsid w:val="004D474F"/>
    <w:rsid w:val="004D4F13"/>
    <w:rsid w:val="004D504B"/>
    <w:rsid w:val="004D536E"/>
    <w:rsid w:val="004D58CE"/>
    <w:rsid w:val="004D6307"/>
    <w:rsid w:val="004D70B1"/>
    <w:rsid w:val="004D745A"/>
    <w:rsid w:val="004D76CC"/>
    <w:rsid w:val="004E1415"/>
    <w:rsid w:val="004E1839"/>
    <w:rsid w:val="004E4A75"/>
    <w:rsid w:val="004E541A"/>
    <w:rsid w:val="004E5A5C"/>
    <w:rsid w:val="004E7007"/>
    <w:rsid w:val="004E76D6"/>
    <w:rsid w:val="004E7F57"/>
    <w:rsid w:val="004F06F5"/>
    <w:rsid w:val="004F191F"/>
    <w:rsid w:val="004F2A4D"/>
    <w:rsid w:val="004F2A73"/>
    <w:rsid w:val="004F33A0"/>
    <w:rsid w:val="004F353A"/>
    <w:rsid w:val="004F4353"/>
    <w:rsid w:val="004F447D"/>
    <w:rsid w:val="004F4C28"/>
    <w:rsid w:val="004F4E82"/>
    <w:rsid w:val="004F5470"/>
    <w:rsid w:val="004F5950"/>
    <w:rsid w:val="004F5CC5"/>
    <w:rsid w:val="004F5DCC"/>
    <w:rsid w:val="004F6350"/>
    <w:rsid w:val="004F7170"/>
    <w:rsid w:val="005028E1"/>
    <w:rsid w:val="00503955"/>
    <w:rsid w:val="00505989"/>
    <w:rsid w:val="00506309"/>
    <w:rsid w:val="0050692E"/>
    <w:rsid w:val="00507040"/>
    <w:rsid w:val="005079F8"/>
    <w:rsid w:val="00510189"/>
    <w:rsid w:val="00510428"/>
    <w:rsid w:val="005108C0"/>
    <w:rsid w:val="00511873"/>
    <w:rsid w:val="00512495"/>
    <w:rsid w:val="00512603"/>
    <w:rsid w:val="00512B54"/>
    <w:rsid w:val="00512CC5"/>
    <w:rsid w:val="0051367B"/>
    <w:rsid w:val="00513A89"/>
    <w:rsid w:val="00513B7E"/>
    <w:rsid w:val="005140DE"/>
    <w:rsid w:val="00514474"/>
    <w:rsid w:val="005147E9"/>
    <w:rsid w:val="0051507D"/>
    <w:rsid w:val="0051593C"/>
    <w:rsid w:val="0051668A"/>
    <w:rsid w:val="00517567"/>
    <w:rsid w:val="0051778E"/>
    <w:rsid w:val="005215EF"/>
    <w:rsid w:val="00522795"/>
    <w:rsid w:val="00524637"/>
    <w:rsid w:val="00524FDD"/>
    <w:rsid w:val="00525137"/>
    <w:rsid w:val="005251DD"/>
    <w:rsid w:val="00526D50"/>
    <w:rsid w:val="00526DB6"/>
    <w:rsid w:val="0053017A"/>
    <w:rsid w:val="00530492"/>
    <w:rsid w:val="005308E4"/>
    <w:rsid w:val="005325A8"/>
    <w:rsid w:val="00532854"/>
    <w:rsid w:val="005350F2"/>
    <w:rsid w:val="00535152"/>
    <w:rsid w:val="00535359"/>
    <w:rsid w:val="005357A2"/>
    <w:rsid w:val="005359E3"/>
    <w:rsid w:val="00535D87"/>
    <w:rsid w:val="00535EF0"/>
    <w:rsid w:val="00535F78"/>
    <w:rsid w:val="005363DF"/>
    <w:rsid w:val="005369CF"/>
    <w:rsid w:val="0053734B"/>
    <w:rsid w:val="005375B1"/>
    <w:rsid w:val="00537AFD"/>
    <w:rsid w:val="00537CB4"/>
    <w:rsid w:val="00540CB3"/>
    <w:rsid w:val="00540D25"/>
    <w:rsid w:val="00541822"/>
    <w:rsid w:val="00542D19"/>
    <w:rsid w:val="0054516B"/>
    <w:rsid w:val="0054559E"/>
    <w:rsid w:val="005459BD"/>
    <w:rsid w:val="00546833"/>
    <w:rsid w:val="0054787A"/>
    <w:rsid w:val="005513D5"/>
    <w:rsid w:val="005523B9"/>
    <w:rsid w:val="005538E2"/>
    <w:rsid w:val="00553C88"/>
    <w:rsid w:val="005545E0"/>
    <w:rsid w:val="00554865"/>
    <w:rsid w:val="00554E57"/>
    <w:rsid w:val="00557E6A"/>
    <w:rsid w:val="00562749"/>
    <w:rsid w:val="00562DE9"/>
    <w:rsid w:val="005638A5"/>
    <w:rsid w:val="00564137"/>
    <w:rsid w:val="00566381"/>
    <w:rsid w:val="00566A03"/>
    <w:rsid w:val="00571932"/>
    <w:rsid w:val="00573C97"/>
    <w:rsid w:val="00574240"/>
    <w:rsid w:val="005743B4"/>
    <w:rsid w:val="0057454C"/>
    <w:rsid w:val="005752EB"/>
    <w:rsid w:val="005755FE"/>
    <w:rsid w:val="0057569E"/>
    <w:rsid w:val="00575CDC"/>
    <w:rsid w:val="005765D5"/>
    <w:rsid w:val="00576A3E"/>
    <w:rsid w:val="0057703D"/>
    <w:rsid w:val="00581892"/>
    <w:rsid w:val="0058366F"/>
    <w:rsid w:val="00583D5B"/>
    <w:rsid w:val="00583FFD"/>
    <w:rsid w:val="00587CCD"/>
    <w:rsid w:val="005908AE"/>
    <w:rsid w:val="00590CDE"/>
    <w:rsid w:val="0059176E"/>
    <w:rsid w:val="00592854"/>
    <w:rsid w:val="00593152"/>
    <w:rsid w:val="005934CE"/>
    <w:rsid w:val="00593CA3"/>
    <w:rsid w:val="00594161"/>
    <w:rsid w:val="00594969"/>
    <w:rsid w:val="00594B91"/>
    <w:rsid w:val="00595035"/>
    <w:rsid w:val="005959ED"/>
    <w:rsid w:val="00595C7C"/>
    <w:rsid w:val="00596C5E"/>
    <w:rsid w:val="005A038A"/>
    <w:rsid w:val="005A2194"/>
    <w:rsid w:val="005A21E0"/>
    <w:rsid w:val="005A3210"/>
    <w:rsid w:val="005A33A1"/>
    <w:rsid w:val="005A3687"/>
    <w:rsid w:val="005A54EE"/>
    <w:rsid w:val="005A563B"/>
    <w:rsid w:val="005A5F82"/>
    <w:rsid w:val="005A61D1"/>
    <w:rsid w:val="005A6E85"/>
    <w:rsid w:val="005A7500"/>
    <w:rsid w:val="005A77E4"/>
    <w:rsid w:val="005A77F6"/>
    <w:rsid w:val="005B0262"/>
    <w:rsid w:val="005B0B8F"/>
    <w:rsid w:val="005B1BDB"/>
    <w:rsid w:val="005B22A7"/>
    <w:rsid w:val="005B2BAA"/>
    <w:rsid w:val="005B2D53"/>
    <w:rsid w:val="005B3247"/>
    <w:rsid w:val="005B3409"/>
    <w:rsid w:val="005B498A"/>
    <w:rsid w:val="005B7B12"/>
    <w:rsid w:val="005C16CB"/>
    <w:rsid w:val="005C21D6"/>
    <w:rsid w:val="005C3F9F"/>
    <w:rsid w:val="005C406F"/>
    <w:rsid w:val="005C40BA"/>
    <w:rsid w:val="005C419C"/>
    <w:rsid w:val="005C4A23"/>
    <w:rsid w:val="005C562C"/>
    <w:rsid w:val="005C5812"/>
    <w:rsid w:val="005C6400"/>
    <w:rsid w:val="005C7F1E"/>
    <w:rsid w:val="005D073B"/>
    <w:rsid w:val="005D25B4"/>
    <w:rsid w:val="005D374F"/>
    <w:rsid w:val="005D5802"/>
    <w:rsid w:val="005D6CFC"/>
    <w:rsid w:val="005D73E2"/>
    <w:rsid w:val="005D7503"/>
    <w:rsid w:val="005D757A"/>
    <w:rsid w:val="005D76AE"/>
    <w:rsid w:val="005D7C4B"/>
    <w:rsid w:val="005E1871"/>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B8"/>
    <w:rsid w:val="005F0976"/>
    <w:rsid w:val="005F26CE"/>
    <w:rsid w:val="005F38D3"/>
    <w:rsid w:val="005F3F04"/>
    <w:rsid w:val="005F4057"/>
    <w:rsid w:val="005F4088"/>
    <w:rsid w:val="005F42F4"/>
    <w:rsid w:val="005F49ED"/>
    <w:rsid w:val="005F4C83"/>
    <w:rsid w:val="005F5628"/>
    <w:rsid w:val="005F5916"/>
    <w:rsid w:val="005F5F61"/>
    <w:rsid w:val="005F601D"/>
    <w:rsid w:val="005F6119"/>
    <w:rsid w:val="005F7940"/>
    <w:rsid w:val="00600712"/>
    <w:rsid w:val="0060091A"/>
    <w:rsid w:val="0060107A"/>
    <w:rsid w:val="00601AFF"/>
    <w:rsid w:val="00602D1D"/>
    <w:rsid w:val="00604307"/>
    <w:rsid w:val="0060487F"/>
    <w:rsid w:val="00605814"/>
    <w:rsid w:val="00606B93"/>
    <w:rsid w:val="00607727"/>
    <w:rsid w:val="00607934"/>
    <w:rsid w:val="00610BD5"/>
    <w:rsid w:val="00611363"/>
    <w:rsid w:val="00611531"/>
    <w:rsid w:val="006118AA"/>
    <w:rsid w:val="00611C28"/>
    <w:rsid w:val="00612E84"/>
    <w:rsid w:val="006139C7"/>
    <w:rsid w:val="006150EA"/>
    <w:rsid w:val="006153E3"/>
    <w:rsid w:val="006167AB"/>
    <w:rsid w:val="0061718A"/>
    <w:rsid w:val="00617D2D"/>
    <w:rsid w:val="00617D83"/>
    <w:rsid w:val="00620430"/>
    <w:rsid w:val="00620AC5"/>
    <w:rsid w:val="00621575"/>
    <w:rsid w:val="006215FC"/>
    <w:rsid w:val="00624093"/>
    <w:rsid w:val="006260B8"/>
    <w:rsid w:val="006305C4"/>
    <w:rsid w:val="00630E82"/>
    <w:rsid w:val="00630F66"/>
    <w:rsid w:val="00631FC2"/>
    <w:rsid w:val="00632171"/>
    <w:rsid w:val="0063332A"/>
    <w:rsid w:val="00633729"/>
    <w:rsid w:val="006347F9"/>
    <w:rsid w:val="0063494E"/>
    <w:rsid w:val="00634C90"/>
    <w:rsid w:val="00635818"/>
    <w:rsid w:val="00635E79"/>
    <w:rsid w:val="006365E8"/>
    <w:rsid w:val="00636A84"/>
    <w:rsid w:val="00636E5E"/>
    <w:rsid w:val="006379E0"/>
    <w:rsid w:val="00637D0E"/>
    <w:rsid w:val="006404A7"/>
    <w:rsid w:val="006407F3"/>
    <w:rsid w:val="006408EC"/>
    <w:rsid w:val="0064129B"/>
    <w:rsid w:val="00641DF7"/>
    <w:rsid w:val="00643497"/>
    <w:rsid w:val="00643735"/>
    <w:rsid w:val="00643A80"/>
    <w:rsid w:val="00644DFC"/>
    <w:rsid w:val="006451E4"/>
    <w:rsid w:val="006454B4"/>
    <w:rsid w:val="00645A9C"/>
    <w:rsid w:val="006460B8"/>
    <w:rsid w:val="00646448"/>
    <w:rsid w:val="006467D0"/>
    <w:rsid w:val="006504A0"/>
    <w:rsid w:val="00650784"/>
    <w:rsid w:val="006520C7"/>
    <w:rsid w:val="006520D5"/>
    <w:rsid w:val="00652179"/>
    <w:rsid w:val="00652CBB"/>
    <w:rsid w:val="006530B8"/>
    <w:rsid w:val="006535D6"/>
    <w:rsid w:val="00654093"/>
    <w:rsid w:val="00656716"/>
    <w:rsid w:val="006572ED"/>
    <w:rsid w:val="00657E87"/>
    <w:rsid w:val="0066026B"/>
    <w:rsid w:val="00660457"/>
    <w:rsid w:val="00660CB4"/>
    <w:rsid w:val="00660E1E"/>
    <w:rsid w:val="006637B1"/>
    <w:rsid w:val="00663CFD"/>
    <w:rsid w:val="006647AD"/>
    <w:rsid w:val="00664B64"/>
    <w:rsid w:val="00665691"/>
    <w:rsid w:val="00665D67"/>
    <w:rsid w:val="00665D77"/>
    <w:rsid w:val="006660CD"/>
    <w:rsid w:val="00666883"/>
    <w:rsid w:val="00666B1D"/>
    <w:rsid w:val="00666EC8"/>
    <w:rsid w:val="00666F4B"/>
    <w:rsid w:val="006676D0"/>
    <w:rsid w:val="0066796E"/>
    <w:rsid w:val="00670FAC"/>
    <w:rsid w:val="006710C9"/>
    <w:rsid w:val="006716A5"/>
    <w:rsid w:val="006717CC"/>
    <w:rsid w:val="006743E8"/>
    <w:rsid w:val="00675E37"/>
    <w:rsid w:val="00675F0F"/>
    <w:rsid w:val="006764ED"/>
    <w:rsid w:val="00676AFC"/>
    <w:rsid w:val="00676F11"/>
    <w:rsid w:val="00680079"/>
    <w:rsid w:val="00680ECC"/>
    <w:rsid w:val="00680F68"/>
    <w:rsid w:val="0068260E"/>
    <w:rsid w:val="0068373D"/>
    <w:rsid w:val="00683BFE"/>
    <w:rsid w:val="00683EAB"/>
    <w:rsid w:val="0068437D"/>
    <w:rsid w:val="006847C5"/>
    <w:rsid w:val="006857DF"/>
    <w:rsid w:val="00685E66"/>
    <w:rsid w:val="00686B72"/>
    <w:rsid w:val="00686BF1"/>
    <w:rsid w:val="00687AE5"/>
    <w:rsid w:val="00690A09"/>
    <w:rsid w:val="00690A25"/>
    <w:rsid w:val="006936AD"/>
    <w:rsid w:val="00693EA1"/>
    <w:rsid w:val="00693FEA"/>
    <w:rsid w:val="00694930"/>
    <w:rsid w:val="00695170"/>
    <w:rsid w:val="00695BEF"/>
    <w:rsid w:val="006960D6"/>
    <w:rsid w:val="006963FB"/>
    <w:rsid w:val="00696AA5"/>
    <w:rsid w:val="006977F6"/>
    <w:rsid w:val="0069789D"/>
    <w:rsid w:val="00697A13"/>
    <w:rsid w:val="006A109C"/>
    <w:rsid w:val="006A18AE"/>
    <w:rsid w:val="006A2EE8"/>
    <w:rsid w:val="006A3CF3"/>
    <w:rsid w:val="006A568F"/>
    <w:rsid w:val="006A65EF"/>
    <w:rsid w:val="006A672B"/>
    <w:rsid w:val="006B1781"/>
    <w:rsid w:val="006B23A9"/>
    <w:rsid w:val="006B23D8"/>
    <w:rsid w:val="006B281D"/>
    <w:rsid w:val="006B3F8A"/>
    <w:rsid w:val="006B5152"/>
    <w:rsid w:val="006B59D7"/>
    <w:rsid w:val="006B5CA3"/>
    <w:rsid w:val="006B6171"/>
    <w:rsid w:val="006B6B3B"/>
    <w:rsid w:val="006B7248"/>
    <w:rsid w:val="006B7714"/>
    <w:rsid w:val="006B78D8"/>
    <w:rsid w:val="006B7CCE"/>
    <w:rsid w:val="006C090F"/>
    <w:rsid w:val="006C0935"/>
    <w:rsid w:val="006C0BCE"/>
    <w:rsid w:val="006C113F"/>
    <w:rsid w:val="006C2927"/>
    <w:rsid w:val="006C2AED"/>
    <w:rsid w:val="006C38DD"/>
    <w:rsid w:val="006C3DC1"/>
    <w:rsid w:val="006C457F"/>
    <w:rsid w:val="006C53C7"/>
    <w:rsid w:val="006C5577"/>
    <w:rsid w:val="006C559A"/>
    <w:rsid w:val="006C586D"/>
    <w:rsid w:val="006C58FA"/>
    <w:rsid w:val="006C6197"/>
    <w:rsid w:val="006C7A7B"/>
    <w:rsid w:val="006D004F"/>
    <w:rsid w:val="006D042D"/>
    <w:rsid w:val="006D06EF"/>
    <w:rsid w:val="006D07EC"/>
    <w:rsid w:val="006D1418"/>
    <w:rsid w:val="006D142E"/>
    <w:rsid w:val="006D3976"/>
    <w:rsid w:val="006D3B87"/>
    <w:rsid w:val="006D4497"/>
    <w:rsid w:val="006D4E6F"/>
    <w:rsid w:val="006D61F6"/>
    <w:rsid w:val="006D710C"/>
    <w:rsid w:val="006E0EB0"/>
    <w:rsid w:val="006E182C"/>
    <w:rsid w:val="006E1F4C"/>
    <w:rsid w:val="006E22C8"/>
    <w:rsid w:val="006E279A"/>
    <w:rsid w:val="006E2C28"/>
    <w:rsid w:val="006E2F3F"/>
    <w:rsid w:val="006E313B"/>
    <w:rsid w:val="006E4368"/>
    <w:rsid w:val="006E442A"/>
    <w:rsid w:val="006E4434"/>
    <w:rsid w:val="006E4A1B"/>
    <w:rsid w:val="006E59FC"/>
    <w:rsid w:val="006E5CFD"/>
    <w:rsid w:val="006E635B"/>
    <w:rsid w:val="006E642F"/>
    <w:rsid w:val="006E76BE"/>
    <w:rsid w:val="006E7E2C"/>
    <w:rsid w:val="006F0D32"/>
    <w:rsid w:val="006F1326"/>
    <w:rsid w:val="006F1DDD"/>
    <w:rsid w:val="006F2280"/>
    <w:rsid w:val="006F2BEE"/>
    <w:rsid w:val="006F32FF"/>
    <w:rsid w:val="006F3708"/>
    <w:rsid w:val="006F376C"/>
    <w:rsid w:val="006F3A90"/>
    <w:rsid w:val="006F3E6B"/>
    <w:rsid w:val="006F4619"/>
    <w:rsid w:val="006F4A59"/>
    <w:rsid w:val="006F6968"/>
    <w:rsid w:val="00700232"/>
    <w:rsid w:val="00701382"/>
    <w:rsid w:val="007014C7"/>
    <w:rsid w:val="00702100"/>
    <w:rsid w:val="00702D6F"/>
    <w:rsid w:val="007031C6"/>
    <w:rsid w:val="00703B6C"/>
    <w:rsid w:val="00703C6B"/>
    <w:rsid w:val="007047D5"/>
    <w:rsid w:val="00705D98"/>
    <w:rsid w:val="00707891"/>
    <w:rsid w:val="00707D43"/>
    <w:rsid w:val="00710F7C"/>
    <w:rsid w:val="00711398"/>
    <w:rsid w:val="00711EF1"/>
    <w:rsid w:val="0071229A"/>
    <w:rsid w:val="00712572"/>
    <w:rsid w:val="00713495"/>
    <w:rsid w:val="00713EEB"/>
    <w:rsid w:val="007142C1"/>
    <w:rsid w:val="0071479D"/>
    <w:rsid w:val="00715487"/>
    <w:rsid w:val="007159D2"/>
    <w:rsid w:val="00716DCC"/>
    <w:rsid w:val="00717726"/>
    <w:rsid w:val="0072050E"/>
    <w:rsid w:val="00720958"/>
    <w:rsid w:val="00720FA2"/>
    <w:rsid w:val="007211F5"/>
    <w:rsid w:val="00722985"/>
    <w:rsid w:val="007240C5"/>
    <w:rsid w:val="00724666"/>
    <w:rsid w:val="00724E80"/>
    <w:rsid w:val="00725492"/>
    <w:rsid w:val="007256B7"/>
    <w:rsid w:val="00726043"/>
    <w:rsid w:val="007265C6"/>
    <w:rsid w:val="0072671B"/>
    <w:rsid w:val="0072704A"/>
    <w:rsid w:val="007273DC"/>
    <w:rsid w:val="007279B9"/>
    <w:rsid w:val="00727F9F"/>
    <w:rsid w:val="00730AE8"/>
    <w:rsid w:val="007315DA"/>
    <w:rsid w:val="00731963"/>
    <w:rsid w:val="00732706"/>
    <w:rsid w:val="0073325D"/>
    <w:rsid w:val="0073402C"/>
    <w:rsid w:val="00734321"/>
    <w:rsid w:val="00734597"/>
    <w:rsid w:val="00735044"/>
    <w:rsid w:val="0073532E"/>
    <w:rsid w:val="00735B01"/>
    <w:rsid w:val="007367F6"/>
    <w:rsid w:val="00740310"/>
    <w:rsid w:val="00740652"/>
    <w:rsid w:val="00740F02"/>
    <w:rsid w:val="00740FEC"/>
    <w:rsid w:val="0074132E"/>
    <w:rsid w:val="00741493"/>
    <w:rsid w:val="0074240C"/>
    <w:rsid w:val="007426B3"/>
    <w:rsid w:val="007426FD"/>
    <w:rsid w:val="007430AB"/>
    <w:rsid w:val="0074329D"/>
    <w:rsid w:val="00744376"/>
    <w:rsid w:val="007449EA"/>
    <w:rsid w:val="00744D00"/>
    <w:rsid w:val="00744D2B"/>
    <w:rsid w:val="00745273"/>
    <w:rsid w:val="00745F3C"/>
    <w:rsid w:val="00746DD9"/>
    <w:rsid w:val="00747459"/>
    <w:rsid w:val="0075057A"/>
    <w:rsid w:val="00751771"/>
    <w:rsid w:val="00751C1C"/>
    <w:rsid w:val="00752180"/>
    <w:rsid w:val="007521A1"/>
    <w:rsid w:val="00752BC3"/>
    <w:rsid w:val="0075315D"/>
    <w:rsid w:val="007538F9"/>
    <w:rsid w:val="00753AFD"/>
    <w:rsid w:val="00754253"/>
    <w:rsid w:val="007552BB"/>
    <w:rsid w:val="007558D3"/>
    <w:rsid w:val="007559D7"/>
    <w:rsid w:val="00755D3A"/>
    <w:rsid w:val="00755EA0"/>
    <w:rsid w:val="00760141"/>
    <w:rsid w:val="007609C6"/>
    <w:rsid w:val="00760C01"/>
    <w:rsid w:val="007610A0"/>
    <w:rsid w:val="00762036"/>
    <w:rsid w:val="007620F2"/>
    <w:rsid w:val="00762EBA"/>
    <w:rsid w:val="0076359D"/>
    <w:rsid w:val="00763A13"/>
    <w:rsid w:val="00763D86"/>
    <w:rsid w:val="007642F7"/>
    <w:rsid w:val="00766F78"/>
    <w:rsid w:val="0077058D"/>
    <w:rsid w:val="00770931"/>
    <w:rsid w:val="00770FA7"/>
    <w:rsid w:val="00772536"/>
    <w:rsid w:val="00773613"/>
    <w:rsid w:val="0077430F"/>
    <w:rsid w:val="00774782"/>
    <w:rsid w:val="00776476"/>
    <w:rsid w:val="00776527"/>
    <w:rsid w:val="00777DB1"/>
    <w:rsid w:val="007805E1"/>
    <w:rsid w:val="00780DDF"/>
    <w:rsid w:val="0078113E"/>
    <w:rsid w:val="00781834"/>
    <w:rsid w:val="007821DB"/>
    <w:rsid w:val="00782235"/>
    <w:rsid w:val="00782818"/>
    <w:rsid w:val="007838F1"/>
    <w:rsid w:val="007841BB"/>
    <w:rsid w:val="00784C4A"/>
    <w:rsid w:val="00787432"/>
    <w:rsid w:val="00787507"/>
    <w:rsid w:val="0078778C"/>
    <w:rsid w:val="007879F2"/>
    <w:rsid w:val="00790393"/>
    <w:rsid w:val="00791804"/>
    <w:rsid w:val="0079197F"/>
    <w:rsid w:val="00791CF8"/>
    <w:rsid w:val="00791EF9"/>
    <w:rsid w:val="00792262"/>
    <w:rsid w:val="00793387"/>
    <w:rsid w:val="00793BAE"/>
    <w:rsid w:val="007941C3"/>
    <w:rsid w:val="00794870"/>
    <w:rsid w:val="00794E0A"/>
    <w:rsid w:val="00795B04"/>
    <w:rsid w:val="0079638B"/>
    <w:rsid w:val="00796642"/>
    <w:rsid w:val="007A11D9"/>
    <w:rsid w:val="007A327B"/>
    <w:rsid w:val="007A4048"/>
    <w:rsid w:val="007A45B1"/>
    <w:rsid w:val="007A4606"/>
    <w:rsid w:val="007A4D58"/>
    <w:rsid w:val="007A5039"/>
    <w:rsid w:val="007A74B4"/>
    <w:rsid w:val="007B04E8"/>
    <w:rsid w:val="007B0920"/>
    <w:rsid w:val="007B0D67"/>
    <w:rsid w:val="007B0F90"/>
    <w:rsid w:val="007B1966"/>
    <w:rsid w:val="007B2257"/>
    <w:rsid w:val="007B22E6"/>
    <w:rsid w:val="007B2779"/>
    <w:rsid w:val="007B2AF7"/>
    <w:rsid w:val="007B2F37"/>
    <w:rsid w:val="007B3DCC"/>
    <w:rsid w:val="007B4518"/>
    <w:rsid w:val="007B5031"/>
    <w:rsid w:val="007B573F"/>
    <w:rsid w:val="007B72AC"/>
    <w:rsid w:val="007B78F8"/>
    <w:rsid w:val="007C0065"/>
    <w:rsid w:val="007C010B"/>
    <w:rsid w:val="007C32B6"/>
    <w:rsid w:val="007C3AE3"/>
    <w:rsid w:val="007C5363"/>
    <w:rsid w:val="007C605B"/>
    <w:rsid w:val="007C6EBA"/>
    <w:rsid w:val="007C7BAC"/>
    <w:rsid w:val="007C7CC5"/>
    <w:rsid w:val="007D2749"/>
    <w:rsid w:val="007D2A5A"/>
    <w:rsid w:val="007D2AD8"/>
    <w:rsid w:val="007D2C47"/>
    <w:rsid w:val="007D2C61"/>
    <w:rsid w:val="007D2DA3"/>
    <w:rsid w:val="007D2F81"/>
    <w:rsid w:val="007D3167"/>
    <w:rsid w:val="007D3A2C"/>
    <w:rsid w:val="007D3CF7"/>
    <w:rsid w:val="007D4128"/>
    <w:rsid w:val="007D4281"/>
    <w:rsid w:val="007D42F5"/>
    <w:rsid w:val="007D44C3"/>
    <w:rsid w:val="007D5947"/>
    <w:rsid w:val="007D65C1"/>
    <w:rsid w:val="007E030F"/>
    <w:rsid w:val="007E0D49"/>
    <w:rsid w:val="007E0E59"/>
    <w:rsid w:val="007E0F4B"/>
    <w:rsid w:val="007E12C1"/>
    <w:rsid w:val="007E15E9"/>
    <w:rsid w:val="007E1EF7"/>
    <w:rsid w:val="007E3715"/>
    <w:rsid w:val="007E4996"/>
    <w:rsid w:val="007E5880"/>
    <w:rsid w:val="007E5F3D"/>
    <w:rsid w:val="007E61FF"/>
    <w:rsid w:val="007E6588"/>
    <w:rsid w:val="007E7063"/>
    <w:rsid w:val="007E7E61"/>
    <w:rsid w:val="007F0316"/>
    <w:rsid w:val="007F0845"/>
    <w:rsid w:val="007F0DF6"/>
    <w:rsid w:val="007F1092"/>
    <w:rsid w:val="007F16F9"/>
    <w:rsid w:val="007F2801"/>
    <w:rsid w:val="007F3E3E"/>
    <w:rsid w:val="007F42E0"/>
    <w:rsid w:val="007F500D"/>
    <w:rsid w:val="007F5F14"/>
    <w:rsid w:val="007F61D3"/>
    <w:rsid w:val="007F69EE"/>
    <w:rsid w:val="007F7B54"/>
    <w:rsid w:val="007F7C60"/>
    <w:rsid w:val="00800073"/>
    <w:rsid w:val="008005D7"/>
    <w:rsid w:val="00801547"/>
    <w:rsid w:val="00801D15"/>
    <w:rsid w:val="00801FDD"/>
    <w:rsid w:val="008020C2"/>
    <w:rsid w:val="0080255C"/>
    <w:rsid w:val="008054FB"/>
    <w:rsid w:val="00806088"/>
    <w:rsid w:val="00806D07"/>
    <w:rsid w:val="0081019B"/>
    <w:rsid w:val="0081187C"/>
    <w:rsid w:val="00811E24"/>
    <w:rsid w:val="008120C5"/>
    <w:rsid w:val="00812386"/>
    <w:rsid w:val="00812E2B"/>
    <w:rsid w:val="00813A70"/>
    <w:rsid w:val="00813CB4"/>
    <w:rsid w:val="00813DB0"/>
    <w:rsid w:val="00813FE6"/>
    <w:rsid w:val="00814965"/>
    <w:rsid w:val="00815B82"/>
    <w:rsid w:val="00815C6E"/>
    <w:rsid w:val="00815DD0"/>
    <w:rsid w:val="00815F10"/>
    <w:rsid w:val="0081645F"/>
    <w:rsid w:val="00816A28"/>
    <w:rsid w:val="008174A3"/>
    <w:rsid w:val="00817755"/>
    <w:rsid w:val="008178C2"/>
    <w:rsid w:val="008178CF"/>
    <w:rsid w:val="00817C98"/>
    <w:rsid w:val="00820C9F"/>
    <w:rsid w:val="00821AAE"/>
    <w:rsid w:val="00821FF6"/>
    <w:rsid w:val="00823AAF"/>
    <w:rsid w:val="00824081"/>
    <w:rsid w:val="0082409A"/>
    <w:rsid w:val="00824626"/>
    <w:rsid w:val="008252D7"/>
    <w:rsid w:val="00825C0F"/>
    <w:rsid w:val="00826376"/>
    <w:rsid w:val="00826ED1"/>
    <w:rsid w:val="00827181"/>
    <w:rsid w:val="0082733C"/>
    <w:rsid w:val="00827746"/>
    <w:rsid w:val="0083102D"/>
    <w:rsid w:val="0083143E"/>
    <w:rsid w:val="0083159D"/>
    <w:rsid w:val="008318FF"/>
    <w:rsid w:val="00832187"/>
    <w:rsid w:val="00832493"/>
    <w:rsid w:val="008329BD"/>
    <w:rsid w:val="008334C3"/>
    <w:rsid w:val="008336D8"/>
    <w:rsid w:val="008339C4"/>
    <w:rsid w:val="00834F0A"/>
    <w:rsid w:val="00834FAA"/>
    <w:rsid w:val="00835181"/>
    <w:rsid w:val="00835991"/>
    <w:rsid w:val="00836086"/>
    <w:rsid w:val="00837566"/>
    <w:rsid w:val="00840458"/>
    <w:rsid w:val="00840699"/>
    <w:rsid w:val="00841D9F"/>
    <w:rsid w:val="00842078"/>
    <w:rsid w:val="00842604"/>
    <w:rsid w:val="00843ECF"/>
    <w:rsid w:val="00845AB1"/>
    <w:rsid w:val="00846673"/>
    <w:rsid w:val="00846891"/>
    <w:rsid w:val="008508A9"/>
    <w:rsid w:val="0085188D"/>
    <w:rsid w:val="008518D8"/>
    <w:rsid w:val="008525F9"/>
    <w:rsid w:val="0085281A"/>
    <w:rsid w:val="00853C0F"/>
    <w:rsid w:val="00853F33"/>
    <w:rsid w:val="008548EA"/>
    <w:rsid w:val="008550EA"/>
    <w:rsid w:val="008559FE"/>
    <w:rsid w:val="0085686D"/>
    <w:rsid w:val="00857339"/>
    <w:rsid w:val="00860706"/>
    <w:rsid w:val="00862A7A"/>
    <w:rsid w:val="00862FBD"/>
    <w:rsid w:val="00863104"/>
    <w:rsid w:val="008636CD"/>
    <w:rsid w:val="00863702"/>
    <w:rsid w:val="00863D9E"/>
    <w:rsid w:val="00863FDC"/>
    <w:rsid w:val="008642AF"/>
    <w:rsid w:val="00864F00"/>
    <w:rsid w:val="00865286"/>
    <w:rsid w:val="00865729"/>
    <w:rsid w:val="00865EA8"/>
    <w:rsid w:val="00865ED4"/>
    <w:rsid w:val="008669A7"/>
    <w:rsid w:val="00867464"/>
    <w:rsid w:val="00867D15"/>
    <w:rsid w:val="00867E29"/>
    <w:rsid w:val="00870F2B"/>
    <w:rsid w:val="00873B2E"/>
    <w:rsid w:val="00874097"/>
    <w:rsid w:val="008746E6"/>
    <w:rsid w:val="0087515D"/>
    <w:rsid w:val="00875740"/>
    <w:rsid w:val="0087594C"/>
    <w:rsid w:val="00876086"/>
    <w:rsid w:val="008765FA"/>
    <w:rsid w:val="008768D6"/>
    <w:rsid w:val="008775D1"/>
    <w:rsid w:val="008777BB"/>
    <w:rsid w:val="00877D68"/>
    <w:rsid w:val="00877E5D"/>
    <w:rsid w:val="00880150"/>
    <w:rsid w:val="00880ABA"/>
    <w:rsid w:val="00880F23"/>
    <w:rsid w:val="00883A67"/>
    <w:rsid w:val="00883D45"/>
    <w:rsid w:val="00884D69"/>
    <w:rsid w:val="0088503D"/>
    <w:rsid w:val="00885620"/>
    <w:rsid w:val="00885EC6"/>
    <w:rsid w:val="008869D2"/>
    <w:rsid w:val="00886A8F"/>
    <w:rsid w:val="0088733A"/>
    <w:rsid w:val="008901CC"/>
    <w:rsid w:val="0089061C"/>
    <w:rsid w:val="00891BE0"/>
    <w:rsid w:val="00893302"/>
    <w:rsid w:val="00893648"/>
    <w:rsid w:val="00893D05"/>
    <w:rsid w:val="00893D83"/>
    <w:rsid w:val="00893F0C"/>
    <w:rsid w:val="00893F3C"/>
    <w:rsid w:val="008945A1"/>
    <w:rsid w:val="00894A63"/>
    <w:rsid w:val="00894F71"/>
    <w:rsid w:val="00895A54"/>
    <w:rsid w:val="00896776"/>
    <w:rsid w:val="00896874"/>
    <w:rsid w:val="00896916"/>
    <w:rsid w:val="00896BDE"/>
    <w:rsid w:val="0089763E"/>
    <w:rsid w:val="008A03DE"/>
    <w:rsid w:val="008A0861"/>
    <w:rsid w:val="008A0BB2"/>
    <w:rsid w:val="008A1AB3"/>
    <w:rsid w:val="008A1D5C"/>
    <w:rsid w:val="008A3292"/>
    <w:rsid w:val="008A3A85"/>
    <w:rsid w:val="008A43E9"/>
    <w:rsid w:val="008A4CB1"/>
    <w:rsid w:val="008A5F34"/>
    <w:rsid w:val="008A615E"/>
    <w:rsid w:val="008A632B"/>
    <w:rsid w:val="008A6BFE"/>
    <w:rsid w:val="008A6F21"/>
    <w:rsid w:val="008A6F3F"/>
    <w:rsid w:val="008A73DA"/>
    <w:rsid w:val="008B00C2"/>
    <w:rsid w:val="008B04A0"/>
    <w:rsid w:val="008B05E8"/>
    <w:rsid w:val="008B07EF"/>
    <w:rsid w:val="008B16DE"/>
    <w:rsid w:val="008B190E"/>
    <w:rsid w:val="008B1A8A"/>
    <w:rsid w:val="008B1FC9"/>
    <w:rsid w:val="008B531F"/>
    <w:rsid w:val="008B54A3"/>
    <w:rsid w:val="008B634C"/>
    <w:rsid w:val="008B6B67"/>
    <w:rsid w:val="008B7306"/>
    <w:rsid w:val="008B775F"/>
    <w:rsid w:val="008B77D1"/>
    <w:rsid w:val="008B7C02"/>
    <w:rsid w:val="008B7D13"/>
    <w:rsid w:val="008B7F9E"/>
    <w:rsid w:val="008C034E"/>
    <w:rsid w:val="008C0E88"/>
    <w:rsid w:val="008C1399"/>
    <w:rsid w:val="008C18A5"/>
    <w:rsid w:val="008C1AA8"/>
    <w:rsid w:val="008C22A8"/>
    <w:rsid w:val="008C5B43"/>
    <w:rsid w:val="008C63FD"/>
    <w:rsid w:val="008C6CB8"/>
    <w:rsid w:val="008C6D92"/>
    <w:rsid w:val="008C777A"/>
    <w:rsid w:val="008C7815"/>
    <w:rsid w:val="008C7A07"/>
    <w:rsid w:val="008C7E90"/>
    <w:rsid w:val="008C7EB3"/>
    <w:rsid w:val="008D0171"/>
    <w:rsid w:val="008D0632"/>
    <w:rsid w:val="008D0A23"/>
    <w:rsid w:val="008D0E3B"/>
    <w:rsid w:val="008D13EA"/>
    <w:rsid w:val="008D2671"/>
    <w:rsid w:val="008D2A16"/>
    <w:rsid w:val="008D2ECF"/>
    <w:rsid w:val="008D347D"/>
    <w:rsid w:val="008D3F3D"/>
    <w:rsid w:val="008D4376"/>
    <w:rsid w:val="008D51E9"/>
    <w:rsid w:val="008E0367"/>
    <w:rsid w:val="008E2DCD"/>
    <w:rsid w:val="008E308D"/>
    <w:rsid w:val="008E31FF"/>
    <w:rsid w:val="008E3B0F"/>
    <w:rsid w:val="008E46A3"/>
    <w:rsid w:val="008E5DE6"/>
    <w:rsid w:val="008E6113"/>
    <w:rsid w:val="008E6AB3"/>
    <w:rsid w:val="008E6AD3"/>
    <w:rsid w:val="008E6EBD"/>
    <w:rsid w:val="008E71A6"/>
    <w:rsid w:val="008E77B6"/>
    <w:rsid w:val="008E7C55"/>
    <w:rsid w:val="008F032E"/>
    <w:rsid w:val="008F0F14"/>
    <w:rsid w:val="008F1638"/>
    <w:rsid w:val="008F1723"/>
    <w:rsid w:val="008F2097"/>
    <w:rsid w:val="008F2F44"/>
    <w:rsid w:val="008F4FCE"/>
    <w:rsid w:val="008F5301"/>
    <w:rsid w:val="008F6967"/>
    <w:rsid w:val="008F6A0C"/>
    <w:rsid w:val="008F6F38"/>
    <w:rsid w:val="008F7721"/>
    <w:rsid w:val="008F7D28"/>
    <w:rsid w:val="009003A8"/>
    <w:rsid w:val="009010A7"/>
    <w:rsid w:val="009010E3"/>
    <w:rsid w:val="00901703"/>
    <w:rsid w:val="00901AF3"/>
    <w:rsid w:val="0090229C"/>
    <w:rsid w:val="00902CBE"/>
    <w:rsid w:val="00902D74"/>
    <w:rsid w:val="00902EFF"/>
    <w:rsid w:val="00902FAC"/>
    <w:rsid w:val="00903E06"/>
    <w:rsid w:val="009045D1"/>
    <w:rsid w:val="00904B9D"/>
    <w:rsid w:val="00905A11"/>
    <w:rsid w:val="00905FE8"/>
    <w:rsid w:val="009066E1"/>
    <w:rsid w:val="00906F67"/>
    <w:rsid w:val="00907A41"/>
    <w:rsid w:val="00910098"/>
    <w:rsid w:val="009102BD"/>
    <w:rsid w:val="00910F93"/>
    <w:rsid w:val="00910FBC"/>
    <w:rsid w:val="00911E3B"/>
    <w:rsid w:val="0091255A"/>
    <w:rsid w:val="00914426"/>
    <w:rsid w:val="0091675F"/>
    <w:rsid w:val="00917709"/>
    <w:rsid w:val="00917918"/>
    <w:rsid w:val="00920874"/>
    <w:rsid w:val="00921F14"/>
    <w:rsid w:val="009227C6"/>
    <w:rsid w:val="00923750"/>
    <w:rsid w:val="009243A5"/>
    <w:rsid w:val="0092465F"/>
    <w:rsid w:val="0092500F"/>
    <w:rsid w:val="009250D2"/>
    <w:rsid w:val="0092519D"/>
    <w:rsid w:val="0092540B"/>
    <w:rsid w:val="009256C5"/>
    <w:rsid w:val="00925A21"/>
    <w:rsid w:val="00926283"/>
    <w:rsid w:val="009306BE"/>
    <w:rsid w:val="0093161F"/>
    <w:rsid w:val="00934836"/>
    <w:rsid w:val="00934963"/>
    <w:rsid w:val="00936ECA"/>
    <w:rsid w:val="00937320"/>
    <w:rsid w:val="00937B11"/>
    <w:rsid w:val="00940F1F"/>
    <w:rsid w:val="00941250"/>
    <w:rsid w:val="00941339"/>
    <w:rsid w:val="0094396E"/>
    <w:rsid w:val="0094427A"/>
    <w:rsid w:val="00944380"/>
    <w:rsid w:val="009459C5"/>
    <w:rsid w:val="00945E5E"/>
    <w:rsid w:val="0094626C"/>
    <w:rsid w:val="0095013A"/>
    <w:rsid w:val="00953AEF"/>
    <w:rsid w:val="00954FC3"/>
    <w:rsid w:val="009551E2"/>
    <w:rsid w:val="00955783"/>
    <w:rsid w:val="009558A6"/>
    <w:rsid w:val="00955E5F"/>
    <w:rsid w:val="009560B0"/>
    <w:rsid w:val="00956F23"/>
    <w:rsid w:val="009576AC"/>
    <w:rsid w:val="00957871"/>
    <w:rsid w:val="00960077"/>
    <w:rsid w:val="00960769"/>
    <w:rsid w:val="00960D56"/>
    <w:rsid w:val="00962D2E"/>
    <w:rsid w:val="00963724"/>
    <w:rsid w:val="00963D22"/>
    <w:rsid w:val="00964498"/>
    <w:rsid w:val="0096504D"/>
    <w:rsid w:val="00965795"/>
    <w:rsid w:val="00965A2D"/>
    <w:rsid w:val="009663EB"/>
    <w:rsid w:val="0096650F"/>
    <w:rsid w:val="00967801"/>
    <w:rsid w:val="00967AD2"/>
    <w:rsid w:val="00967AE9"/>
    <w:rsid w:val="009700DB"/>
    <w:rsid w:val="00971DC6"/>
    <w:rsid w:val="00972263"/>
    <w:rsid w:val="00972502"/>
    <w:rsid w:val="00972D8D"/>
    <w:rsid w:val="00973AAE"/>
    <w:rsid w:val="009742F7"/>
    <w:rsid w:val="0097476C"/>
    <w:rsid w:val="00974923"/>
    <w:rsid w:val="00974D48"/>
    <w:rsid w:val="00974D5F"/>
    <w:rsid w:val="00975017"/>
    <w:rsid w:val="009759DF"/>
    <w:rsid w:val="009777B3"/>
    <w:rsid w:val="00977A4D"/>
    <w:rsid w:val="00980373"/>
    <w:rsid w:val="00980621"/>
    <w:rsid w:val="0098095B"/>
    <w:rsid w:val="00982072"/>
    <w:rsid w:val="009833FA"/>
    <w:rsid w:val="00983ACF"/>
    <w:rsid w:val="00983DBB"/>
    <w:rsid w:val="00983ECF"/>
    <w:rsid w:val="00985157"/>
    <w:rsid w:val="00986745"/>
    <w:rsid w:val="009867BC"/>
    <w:rsid w:val="00987109"/>
    <w:rsid w:val="00987309"/>
    <w:rsid w:val="00987351"/>
    <w:rsid w:val="0099012D"/>
    <w:rsid w:val="00990363"/>
    <w:rsid w:val="00991266"/>
    <w:rsid w:val="009928AE"/>
    <w:rsid w:val="00993BE6"/>
    <w:rsid w:val="00993D9C"/>
    <w:rsid w:val="00993F56"/>
    <w:rsid w:val="0099483E"/>
    <w:rsid w:val="009954FF"/>
    <w:rsid w:val="0099571E"/>
    <w:rsid w:val="00995E2F"/>
    <w:rsid w:val="009961BC"/>
    <w:rsid w:val="00996355"/>
    <w:rsid w:val="0099788F"/>
    <w:rsid w:val="00997ADD"/>
    <w:rsid w:val="009A05A2"/>
    <w:rsid w:val="009A1374"/>
    <w:rsid w:val="009A13FA"/>
    <w:rsid w:val="009A2014"/>
    <w:rsid w:val="009A2030"/>
    <w:rsid w:val="009A3A87"/>
    <w:rsid w:val="009A4E12"/>
    <w:rsid w:val="009A5C68"/>
    <w:rsid w:val="009A5DE2"/>
    <w:rsid w:val="009A6EF7"/>
    <w:rsid w:val="009B04D0"/>
    <w:rsid w:val="009B052C"/>
    <w:rsid w:val="009B0676"/>
    <w:rsid w:val="009B0975"/>
    <w:rsid w:val="009B0EF2"/>
    <w:rsid w:val="009B23A3"/>
    <w:rsid w:val="009B25CE"/>
    <w:rsid w:val="009B2C0E"/>
    <w:rsid w:val="009B4925"/>
    <w:rsid w:val="009B4B4B"/>
    <w:rsid w:val="009B4BD4"/>
    <w:rsid w:val="009B4CE3"/>
    <w:rsid w:val="009B6FD3"/>
    <w:rsid w:val="009B70BD"/>
    <w:rsid w:val="009C07A5"/>
    <w:rsid w:val="009C24A3"/>
    <w:rsid w:val="009C3705"/>
    <w:rsid w:val="009C6215"/>
    <w:rsid w:val="009C7388"/>
    <w:rsid w:val="009C74C2"/>
    <w:rsid w:val="009D0CFF"/>
    <w:rsid w:val="009D1551"/>
    <w:rsid w:val="009D2859"/>
    <w:rsid w:val="009D36EC"/>
    <w:rsid w:val="009D3CD0"/>
    <w:rsid w:val="009D3E88"/>
    <w:rsid w:val="009D4173"/>
    <w:rsid w:val="009D51CA"/>
    <w:rsid w:val="009D6095"/>
    <w:rsid w:val="009D6306"/>
    <w:rsid w:val="009D6727"/>
    <w:rsid w:val="009E048A"/>
    <w:rsid w:val="009E1124"/>
    <w:rsid w:val="009E1FBA"/>
    <w:rsid w:val="009E2C54"/>
    <w:rsid w:val="009E3710"/>
    <w:rsid w:val="009E6F65"/>
    <w:rsid w:val="009E72A1"/>
    <w:rsid w:val="009E7340"/>
    <w:rsid w:val="009E7B1F"/>
    <w:rsid w:val="009F346F"/>
    <w:rsid w:val="009F371A"/>
    <w:rsid w:val="009F3F25"/>
    <w:rsid w:val="009F3FC3"/>
    <w:rsid w:val="009F41C4"/>
    <w:rsid w:val="009F5846"/>
    <w:rsid w:val="009F63D2"/>
    <w:rsid w:val="009F777A"/>
    <w:rsid w:val="009F7B52"/>
    <w:rsid w:val="009F7D77"/>
    <w:rsid w:val="00A004D2"/>
    <w:rsid w:val="00A015EA"/>
    <w:rsid w:val="00A0172C"/>
    <w:rsid w:val="00A05B91"/>
    <w:rsid w:val="00A10D66"/>
    <w:rsid w:val="00A12BA8"/>
    <w:rsid w:val="00A133F2"/>
    <w:rsid w:val="00A13993"/>
    <w:rsid w:val="00A1420C"/>
    <w:rsid w:val="00A1456C"/>
    <w:rsid w:val="00A14821"/>
    <w:rsid w:val="00A14C9D"/>
    <w:rsid w:val="00A15B39"/>
    <w:rsid w:val="00A17754"/>
    <w:rsid w:val="00A2055B"/>
    <w:rsid w:val="00A20E22"/>
    <w:rsid w:val="00A219FE"/>
    <w:rsid w:val="00A22210"/>
    <w:rsid w:val="00A2253C"/>
    <w:rsid w:val="00A23545"/>
    <w:rsid w:val="00A23A55"/>
    <w:rsid w:val="00A23E43"/>
    <w:rsid w:val="00A23EF0"/>
    <w:rsid w:val="00A24F8C"/>
    <w:rsid w:val="00A262BF"/>
    <w:rsid w:val="00A271AD"/>
    <w:rsid w:val="00A276D5"/>
    <w:rsid w:val="00A301C5"/>
    <w:rsid w:val="00A30336"/>
    <w:rsid w:val="00A30BB5"/>
    <w:rsid w:val="00A3128F"/>
    <w:rsid w:val="00A326D0"/>
    <w:rsid w:val="00A33C9A"/>
    <w:rsid w:val="00A348DC"/>
    <w:rsid w:val="00A35287"/>
    <w:rsid w:val="00A355F2"/>
    <w:rsid w:val="00A35CB2"/>
    <w:rsid w:val="00A37201"/>
    <w:rsid w:val="00A378F8"/>
    <w:rsid w:val="00A40965"/>
    <w:rsid w:val="00A40B19"/>
    <w:rsid w:val="00A40F56"/>
    <w:rsid w:val="00A41D07"/>
    <w:rsid w:val="00A424F8"/>
    <w:rsid w:val="00A42883"/>
    <w:rsid w:val="00A437B7"/>
    <w:rsid w:val="00A43EA2"/>
    <w:rsid w:val="00A45E2F"/>
    <w:rsid w:val="00A46C70"/>
    <w:rsid w:val="00A46D48"/>
    <w:rsid w:val="00A46DE0"/>
    <w:rsid w:val="00A4778A"/>
    <w:rsid w:val="00A47C94"/>
    <w:rsid w:val="00A504C0"/>
    <w:rsid w:val="00A5067F"/>
    <w:rsid w:val="00A517C1"/>
    <w:rsid w:val="00A518E0"/>
    <w:rsid w:val="00A5408A"/>
    <w:rsid w:val="00A5421F"/>
    <w:rsid w:val="00A5430D"/>
    <w:rsid w:val="00A55301"/>
    <w:rsid w:val="00A572FB"/>
    <w:rsid w:val="00A57B3C"/>
    <w:rsid w:val="00A57E77"/>
    <w:rsid w:val="00A57F1B"/>
    <w:rsid w:val="00A600D2"/>
    <w:rsid w:val="00A60383"/>
    <w:rsid w:val="00A6128E"/>
    <w:rsid w:val="00A614EB"/>
    <w:rsid w:val="00A62CE1"/>
    <w:rsid w:val="00A631FA"/>
    <w:rsid w:val="00A63517"/>
    <w:rsid w:val="00A64203"/>
    <w:rsid w:val="00A64348"/>
    <w:rsid w:val="00A644E1"/>
    <w:rsid w:val="00A67641"/>
    <w:rsid w:val="00A6766C"/>
    <w:rsid w:val="00A70765"/>
    <w:rsid w:val="00A711B0"/>
    <w:rsid w:val="00A71279"/>
    <w:rsid w:val="00A721FB"/>
    <w:rsid w:val="00A727BA"/>
    <w:rsid w:val="00A72CA4"/>
    <w:rsid w:val="00A72D4B"/>
    <w:rsid w:val="00A732AE"/>
    <w:rsid w:val="00A74192"/>
    <w:rsid w:val="00A750EB"/>
    <w:rsid w:val="00A75837"/>
    <w:rsid w:val="00A75E40"/>
    <w:rsid w:val="00A76B12"/>
    <w:rsid w:val="00A76EF2"/>
    <w:rsid w:val="00A7727E"/>
    <w:rsid w:val="00A77EB2"/>
    <w:rsid w:val="00A81094"/>
    <w:rsid w:val="00A82B66"/>
    <w:rsid w:val="00A82C52"/>
    <w:rsid w:val="00A83798"/>
    <w:rsid w:val="00A83B58"/>
    <w:rsid w:val="00A84D7D"/>
    <w:rsid w:val="00A84FAF"/>
    <w:rsid w:val="00A851B6"/>
    <w:rsid w:val="00A851ED"/>
    <w:rsid w:val="00A85729"/>
    <w:rsid w:val="00A8574B"/>
    <w:rsid w:val="00A857C0"/>
    <w:rsid w:val="00A85F5E"/>
    <w:rsid w:val="00A90343"/>
    <w:rsid w:val="00A91336"/>
    <w:rsid w:val="00A9221C"/>
    <w:rsid w:val="00A92277"/>
    <w:rsid w:val="00A92916"/>
    <w:rsid w:val="00A929D1"/>
    <w:rsid w:val="00A94628"/>
    <w:rsid w:val="00A94954"/>
    <w:rsid w:val="00A9497A"/>
    <w:rsid w:val="00A949A6"/>
    <w:rsid w:val="00A95AAE"/>
    <w:rsid w:val="00A96241"/>
    <w:rsid w:val="00A96463"/>
    <w:rsid w:val="00A97E3F"/>
    <w:rsid w:val="00AA09D3"/>
    <w:rsid w:val="00AA1356"/>
    <w:rsid w:val="00AA220F"/>
    <w:rsid w:val="00AA23FB"/>
    <w:rsid w:val="00AA34FE"/>
    <w:rsid w:val="00AA42AB"/>
    <w:rsid w:val="00AA4A76"/>
    <w:rsid w:val="00AA559A"/>
    <w:rsid w:val="00AA57A4"/>
    <w:rsid w:val="00AA5F10"/>
    <w:rsid w:val="00AB0BB9"/>
    <w:rsid w:val="00AB104D"/>
    <w:rsid w:val="00AB1441"/>
    <w:rsid w:val="00AB1653"/>
    <w:rsid w:val="00AB2AF1"/>
    <w:rsid w:val="00AB440B"/>
    <w:rsid w:val="00AB47E3"/>
    <w:rsid w:val="00AB74C5"/>
    <w:rsid w:val="00AB75A7"/>
    <w:rsid w:val="00AB7BEE"/>
    <w:rsid w:val="00AB7DF2"/>
    <w:rsid w:val="00AC1E3F"/>
    <w:rsid w:val="00AC219A"/>
    <w:rsid w:val="00AC3D02"/>
    <w:rsid w:val="00AC4F18"/>
    <w:rsid w:val="00AC5F5B"/>
    <w:rsid w:val="00AC69CA"/>
    <w:rsid w:val="00AD0B46"/>
    <w:rsid w:val="00AD1094"/>
    <w:rsid w:val="00AD2565"/>
    <w:rsid w:val="00AD2862"/>
    <w:rsid w:val="00AD306C"/>
    <w:rsid w:val="00AD3111"/>
    <w:rsid w:val="00AD3424"/>
    <w:rsid w:val="00AD3E3F"/>
    <w:rsid w:val="00AD4FEF"/>
    <w:rsid w:val="00AD50D1"/>
    <w:rsid w:val="00AD59BB"/>
    <w:rsid w:val="00AD5D68"/>
    <w:rsid w:val="00AD5D71"/>
    <w:rsid w:val="00AD6483"/>
    <w:rsid w:val="00AD675A"/>
    <w:rsid w:val="00AD6A63"/>
    <w:rsid w:val="00AD6C73"/>
    <w:rsid w:val="00AD7D49"/>
    <w:rsid w:val="00AE06D0"/>
    <w:rsid w:val="00AE1B8A"/>
    <w:rsid w:val="00AE20DF"/>
    <w:rsid w:val="00AE26E1"/>
    <w:rsid w:val="00AE39DC"/>
    <w:rsid w:val="00AE3CDA"/>
    <w:rsid w:val="00AE481D"/>
    <w:rsid w:val="00AE608F"/>
    <w:rsid w:val="00AE6734"/>
    <w:rsid w:val="00AE684E"/>
    <w:rsid w:val="00AE7968"/>
    <w:rsid w:val="00AE7B2B"/>
    <w:rsid w:val="00AE7DFF"/>
    <w:rsid w:val="00AF128B"/>
    <w:rsid w:val="00AF1AEA"/>
    <w:rsid w:val="00AF2536"/>
    <w:rsid w:val="00AF2852"/>
    <w:rsid w:val="00AF3225"/>
    <w:rsid w:val="00AF4983"/>
    <w:rsid w:val="00AF4B98"/>
    <w:rsid w:val="00AF4CA7"/>
    <w:rsid w:val="00AF518B"/>
    <w:rsid w:val="00AF5275"/>
    <w:rsid w:val="00AF5D62"/>
    <w:rsid w:val="00AF6367"/>
    <w:rsid w:val="00AF6A79"/>
    <w:rsid w:val="00AF6B7C"/>
    <w:rsid w:val="00AF724E"/>
    <w:rsid w:val="00AF73A9"/>
    <w:rsid w:val="00B013C0"/>
    <w:rsid w:val="00B01436"/>
    <w:rsid w:val="00B01C2C"/>
    <w:rsid w:val="00B0231C"/>
    <w:rsid w:val="00B07372"/>
    <w:rsid w:val="00B07C2A"/>
    <w:rsid w:val="00B10100"/>
    <w:rsid w:val="00B128E5"/>
    <w:rsid w:val="00B13681"/>
    <w:rsid w:val="00B13BCE"/>
    <w:rsid w:val="00B15DCD"/>
    <w:rsid w:val="00B16201"/>
    <w:rsid w:val="00B17E71"/>
    <w:rsid w:val="00B17FDE"/>
    <w:rsid w:val="00B208FC"/>
    <w:rsid w:val="00B20C65"/>
    <w:rsid w:val="00B21953"/>
    <w:rsid w:val="00B22E17"/>
    <w:rsid w:val="00B2419B"/>
    <w:rsid w:val="00B25567"/>
    <w:rsid w:val="00B25E31"/>
    <w:rsid w:val="00B266C5"/>
    <w:rsid w:val="00B27293"/>
    <w:rsid w:val="00B300E8"/>
    <w:rsid w:val="00B301BB"/>
    <w:rsid w:val="00B30737"/>
    <w:rsid w:val="00B321E3"/>
    <w:rsid w:val="00B3229E"/>
    <w:rsid w:val="00B32DDB"/>
    <w:rsid w:val="00B340AD"/>
    <w:rsid w:val="00B3447A"/>
    <w:rsid w:val="00B3448C"/>
    <w:rsid w:val="00B34931"/>
    <w:rsid w:val="00B35174"/>
    <w:rsid w:val="00B35BEA"/>
    <w:rsid w:val="00B365CB"/>
    <w:rsid w:val="00B37915"/>
    <w:rsid w:val="00B3793D"/>
    <w:rsid w:val="00B41BE6"/>
    <w:rsid w:val="00B42831"/>
    <w:rsid w:val="00B428A4"/>
    <w:rsid w:val="00B428EA"/>
    <w:rsid w:val="00B457E7"/>
    <w:rsid w:val="00B45D1B"/>
    <w:rsid w:val="00B45DE5"/>
    <w:rsid w:val="00B461D6"/>
    <w:rsid w:val="00B46D25"/>
    <w:rsid w:val="00B47430"/>
    <w:rsid w:val="00B4795A"/>
    <w:rsid w:val="00B47AC6"/>
    <w:rsid w:val="00B52D2D"/>
    <w:rsid w:val="00B534EF"/>
    <w:rsid w:val="00B548DA"/>
    <w:rsid w:val="00B55BA8"/>
    <w:rsid w:val="00B55F15"/>
    <w:rsid w:val="00B561A6"/>
    <w:rsid w:val="00B57CC4"/>
    <w:rsid w:val="00B60062"/>
    <w:rsid w:val="00B62960"/>
    <w:rsid w:val="00B63A11"/>
    <w:rsid w:val="00B63FD0"/>
    <w:rsid w:val="00B643EC"/>
    <w:rsid w:val="00B6449F"/>
    <w:rsid w:val="00B6493D"/>
    <w:rsid w:val="00B6553E"/>
    <w:rsid w:val="00B65C84"/>
    <w:rsid w:val="00B6608F"/>
    <w:rsid w:val="00B661F6"/>
    <w:rsid w:val="00B67E42"/>
    <w:rsid w:val="00B73180"/>
    <w:rsid w:val="00B74317"/>
    <w:rsid w:val="00B74D75"/>
    <w:rsid w:val="00B75700"/>
    <w:rsid w:val="00B760C1"/>
    <w:rsid w:val="00B76D1E"/>
    <w:rsid w:val="00B77BC8"/>
    <w:rsid w:val="00B77FB7"/>
    <w:rsid w:val="00B800EB"/>
    <w:rsid w:val="00B822D2"/>
    <w:rsid w:val="00B823F1"/>
    <w:rsid w:val="00B831B4"/>
    <w:rsid w:val="00B83CFE"/>
    <w:rsid w:val="00B83D46"/>
    <w:rsid w:val="00B848B8"/>
    <w:rsid w:val="00B84A41"/>
    <w:rsid w:val="00B84D57"/>
    <w:rsid w:val="00B8504B"/>
    <w:rsid w:val="00B853C2"/>
    <w:rsid w:val="00B85689"/>
    <w:rsid w:val="00B86748"/>
    <w:rsid w:val="00B907EA"/>
    <w:rsid w:val="00B91EC9"/>
    <w:rsid w:val="00B924CA"/>
    <w:rsid w:val="00B92A4B"/>
    <w:rsid w:val="00B93384"/>
    <w:rsid w:val="00B93616"/>
    <w:rsid w:val="00B94417"/>
    <w:rsid w:val="00B95566"/>
    <w:rsid w:val="00B95940"/>
    <w:rsid w:val="00B95EF8"/>
    <w:rsid w:val="00B95F50"/>
    <w:rsid w:val="00B96BD9"/>
    <w:rsid w:val="00B979A0"/>
    <w:rsid w:val="00BA094F"/>
    <w:rsid w:val="00BA0DED"/>
    <w:rsid w:val="00BA0F99"/>
    <w:rsid w:val="00BA6D2C"/>
    <w:rsid w:val="00BB0274"/>
    <w:rsid w:val="00BB0B13"/>
    <w:rsid w:val="00BB12AC"/>
    <w:rsid w:val="00BB1CFD"/>
    <w:rsid w:val="00BB2C53"/>
    <w:rsid w:val="00BB32DA"/>
    <w:rsid w:val="00BB3A54"/>
    <w:rsid w:val="00BB4286"/>
    <w:rsid w:val="00BB462A"/>
    <w:rsid w:val="00BB4D26"/>
    <w:rsid w:val="00BB4E21"/>
    <w:rsid w:val="00BB6F86"/>
    <w:rsid w:val="00BB7746"/>
    <w:rsid w:val="00BC22EB"/>
    <w:rsid w:val="00BC26CA"/>
    <w:rsid w:val="00BC682B"/>
    <w:rsid w:val="00BC68BA"/>
    <w:rsid w:val="00BC6B04"/>
    <w:rsid w:val="00BC6D27"/>
    <w:rsid w:val="00BD059A"/>
    <w:rsid w:val="00BD0CBB"/>
    <w:rsid w:val="00BD186B"/>
    <w:rsid w:val="00BD1EAC"/>
    <w:rsid w:val="00BD254C"/>
    <w:rsid w:val="00BD3428"/>
    <w:rsid w:val="00BD366B"/>
    <w:rsid w:val="00BD5298"/>
    <w:rsid w:val="00BD534C"/>
    <w:rsid w:val="00BD557B"/>
    <w:rsid w:val="00BD55A9"/>
    <w:rsid w:val="00BD56BC"/>
    <w:rsid w:val="00BD5D91"/>
    <w:rsid w:val="00BD6445"/>
    <w:rsid w:val="00BD6526"/>
    <w:rsid w:val="00BD6615"/>
    <w:rsid w:val="00BD6D50"/>
    <w:rsid w:val="00BE0D79"/>
    <w:rsid w:val="00BE0DB0"/>
    <w:rsid w:val="00BE15B9"/>
    <w:rsid w:val="00BE2C15"/>
    <w:rsid w:val="00BE3381"/>
    <w:rsid w:val="00BE3F09"/>
    <w:rsid w:val="00BE670A"/>
    <w:rsid w:val="00BE6906"/>
    <w:rsid w:val="00BF18F4"/>
    <w:rsid w:val="00BF1A69"/>
    <w:rsid w:val="00BF3BC8"/>
    <w:rsid w:val="00BF3DF1"/>
    <w:rsid w:val="00BF3FE5"/>
    <w:rsid w:val="00BF4C31"/>
    <w:rsid w:val="00BF4E57"/>
    <w:rsid w:val="00BF53B8"/>
    <w:rsid w:val="00BF71D5"/>
    <w:rsid w:val="00BF786A"/>
    <w:rsid w:val="00BF7CB8"/>
    <w:rsid w:val="00BF7F08"/>
    <w:rsid w:val="00BF7F28"/>
    <w:rsid w:val="00C00831"/>
    <w:rsid w:val="00C00F20"/>
    <w:rsid w:val="00C01354"/>
    <w:rsid w:val="00C01700"/>
    <w:rsid w:val="00C01B84"/>
    <w:rsid w:val="00C034E6"/>
    <w:rsid w:val="00C05715"/>
    <w:rsid w:val="00C05926"/>
    <w:rsid w:val="00C0784A"/>
    <w:rsid w:val="00C10B28"/>
    <w:rsid w:val="00C10B3B"/>
    <w:rsid w:val="00C10D62"/>
    <w:rsid w:val="00C10FAE"/>
    <w:rsid w:val="00C1135D"/>
    <w:rsid w:val="00C11DAF"/>
    <w:rsid w:val="00C123B4"/>
    <w:rsid w:val="00C12A69"/>
    <w:rsid w:val="00C13150"/>
    <w:rsid w:val="00C13737"/>
    <w:rsid w:val="00C150BE"/>
    <w:rsid w:val="00C158B0"/>
    <w:rsid w:val="00C15A0C"/>
    <w:rsid w:val="00C15CEB"/>
    <w:rsid w:val="00C15DCB"/>
    <w:rsid w:val="00C16208"/>
    <w:rsid w:val="00C1711F"/>
    <w:rsid w:val="00C17BF1"/>
    <w:rsid w:val="00C17E38"/>
    <w:rsid w:val="00C20027"/>
    <w:rsid w:val="00C2038A"/>
    <w:rsid w:val="00C205BF"/>
    <w:rsid w:val="00C20744"/>
    <w:rsid w:val="00C20B1C"/>
    <w:rsid w:val="00C20C4D"/>
    <w:rsid w:val="00C21D46"/>
    <w:rsid w:val="00C21F94"/>
    <w:rsid w:val="00C222A1"/>
    <w:rsid w:val="00C22C59"/>
    <w:rsid w:val="00C23371"/>
    <w:rsid w:val="00C23CBD"/>
    <w:rsid w:val="00C23D22"/>
    <w:rsid w:val="00C2463B"/>
    <w:rsid w:val="00C24E77"/>
    <w:rsid w:val="00C2732D"/>
    <w:rsid w:val="00C273C6"/>
    <w:rsid w:val="00C27913"/>
    <w:rsid w:val="00C3004E"/>
    <w:rsid w:val="00C300C6"/>
    <w:rsid w:val="00C30828"/>
    <w:rsid w:val="00C30924"/>
    <w:rsid w:val="00C31DD8"/>
    <w:rsid w:val="00C3271C"/>
    <w:rsid w:val="00C32A35"/>
    <w:rsid w:val="00C34FDE"/>
    <w:rsid w:val="00C35C16"/>
    <w:rsid w:val="00C36EC3"/>
    <w:rsid w:val="00C40E09"/>
    <w:rsid w:val="00C40F81"/>
    <w:rsid w:val="00C41463"/>
    <w:rsid w:val="00C41A06"/>
    <w:rsid w:val="00C41A72"/>
    <w:rsid w:val="00C42D45"/>
    <w:rsid w:val="00C43CB1"/>
    <w:rsid w:val="00C4422D"/>
    <w:rsid w:val="00C466D1"/>
    <w:rsid w:val="00C476C5"/>
    <w:rsid w:val="00C47EB6"/>
    <w:rsid w:val="00C503B0"/>
    <w:rsid w:val="00C511C2"/>
    <w:rsid w:val="00C527C6"/>
    <w:rsid w:val="00C538FC"/>
    <w:rsid w:val="00C53CDB"/>
    <w:rsid w:val="00C53D7B"/>
    <w:rsid w:val="00C53D82"/>
    <w:rsid w:val="00C54748"/>
    <w:rsid w:val="00C553E8"/>
    <w:rsid w:val="00C574CF"/>
    <w:rsid w:val="00C575FB"/>
    <w:rsid w:val="00C60696"/>
    <w:rsid w:val="00C60943"/>
    <w:rsid w:val="00C60EEF"/>
    <w:rsid w:val="00C610C5"/>
    <w:rsid w:val="00C6121D"/>
    <w:rsid w:val="00C615F1"/>
    <w:rsid w:val="00C61627"/>
    <w:rsid w:val="00C63B1A"/>
    <w:rsid w:val="00C64E60"/>
    <w:rsid w:val="00C657A4"/>
    <w:rsid w:val="00C66589"/>
    <w:rsid w:val="00C6736C"/>
    <w:rsid w:val="00C7179C"/>
    <w:rsid w:val="00C71A1D"/>
    <w:rsid w:val="00C71EC4"/>
    <w:rsid w:val="00C7410A"/>
    <w:rsid w:val="00C74791"/>
    <w:rsid w:val="00C7591E"/>
    <w:rsid w:val="00C75C7E"/>
    <w:rsid w:val="00C75C9B"/>
    <w:rsid w:val="00C76D8E"/>
    <w:rsid w:val="00C77833"/>
    <w:rsid w:val="00C80953"/>
    <w:rsid w:val="00C80C9B"/>
    <w:rsid w:val="00C8180B"/>
    <w:rsid w:val="00C8335E"/>
    <w:rsid w:val="00C83F9C"/>
    <w:rsid w:val="00C84CE3"/>
    <w:rsid w:val="00C85614"/>
    <w:rsid w:val="00C86127"/>
    <w:rsid w:val="00C864FB"/>
    <w:rsid w:val="00C9003C"/>
    <w:rsid w:val="00C90CF4"/>
    <w:rsid w:val="00C91C19"/>
    <w:rsid w:val="00C929A0"/>
    <w:rsid w:val="00C930FB"/>
    <w:rsid w:val="00C93389"/>
    <w:rsid w:val="00C937DB"/>
    <w:rsid w:val="00C94519"/>
    <w:rsid w:val="00C94E11"/>
    <w:rsid w:val="00C94E83"/>
    <w:rsid w:val="00C9567E"/>
    <w:rsid w:val="00C97038"/>
    <w:rsid w:val="00C97D46"/>
    <w:rsid w:val="00CA02B2"/>
    <w:rsid w:val="00CA0883"/>
    <w:rsid w:val="00CA1085"/>
    <w:rsid w:val="00CA140F"/>
    <w:rsid w:val="00CA25C2"/>
    <w:rsid w:val="00CA2BF5"/>
    <w:rsid w:val="00CA37BB"/>
    <w:rsid w:val="00CA37CA"/>
    <w:rsid w:val="00CA39E1"/>
    <w:rsid w:val="00CA5016"/>
    <w:rsid w:val="00CA5724"/>
    <w:rsid w:val="00CA6508"/>
    <w:rsid w:val="00CA6BA1"/>
    <w:rsid w:val="00CA6CD5"/>
    <w:rsid w:val="00CA6D0B"/>
    <w:rsid w:val="00CB1910"/>
    <w:rsid w:val="00CB2150"/>
    <w:rsid w:val="00CB289A"/>
    <w:rsid w:val="00CB28EE"/>
    <w:rsid w:val="00CB2B15"/>
    <w:rsid w:val="00CB2EEA"/>
    <w:rsid w:val="00CB39FE"/>
    <w:rsid w:val="00CB43A7"/>
    <w:rsid w:val="00CB4DF1"/>
    <w:rsid w:val="00CB5996"/>
    <w:rsid w:val="00CB6809"/>
    <w:rsid w:val="00CB7452"/>
    <w:rsid w:val="00CC0E10"/>
    <w:rsid w:val="00CC0F96"/>
    <w:rsid w:val="00CC1DAF"/>
    <w:rsid w:val="00CC212E"/>
    <w:rsid w:val="00CC2642"/>
    <w:rsid w:val="00CC2967"/>
    <w:rsid w:val="00CC2A1E"/>
    <w:rsid w:val="00CC2A36"/>
    <w:rsid w:val="00CC2E15"/>
    <w:rsid w:val="00CC30E2"/>
    <w:rsid w:val="00CC3440"/>
    <w:rsid w:val="00CC351B"/>
    <w:rsid w:val="00CC3908"/>
    <w:rsid w:val="00CC4F3D"/>
    <w:rsid w:val="00CC62AD"/>
    <w:rsid w:val="00CC6CA2"/>
    <w:rsid w:val="00CC7086"/>
    <w:rsid w:val="00CC7B80"/>
    <w:rsid w:val="00CD0080"/>
    <w:rsid w:val="00CD0779"/>
    <w:rsid w:val="00CD1A5C"/>
    <w:rsid w:val="00CD2B3C"/>
    <w:rsid w:val="00CD30F6"/>
    <w:rsid w:val="00CD4B29"/>
    <w:rsid w:val="00CD5493"/>
    <w:rsid w:val="00CD6607"/>
    <w:rsid w:val="00CD67CA"/>
    <w:rsid w:val="00CD6954"/>
    <w:rsid w:val="00CD6DA3"/>
    <w:rsid w:val="00CD6EF1"/>
    <w:rsid w:val="00CD7E35"/>
    <w:rsid w:val="00CE0CD6"/>
    <w:rsid w:val="00CE1313"/>
    <w:rsid w:val="00CE21C7"/>
    <w:rsid w:val="00CE2682"/>
    <w:rsid w:val="00CE2756"/>
    <w:rsid w:val="00CE442A"/>
    <w:rsid w:val="00CE44CE"/>
    <w:rsid w:val="00CE4DEB"/>
    <w:rsid w:val="00CE57D8"/>
    <w:rsid w:val="00CE5F03"/>
    <w:rsid w:val="00CE617A"/>
    <w:rsid w:val="00CE6E3C"/>
    <w:rsid w:val="00CE7158"/>
    <w:rsid w:val="00CE797F"/>
    <w:rsid w:val="00CF0826"/>
    <w:rsid w:val="00CF107E"/>
    <w:rsid w:val="00CF15BF"/>
    <w:rsid w:val="00CF243E"/>
    <w:rsid w:val="00CF25D2"/>
    <w:rsid w:val="00CF28C2"/>
    <w:rsid w:val="00CF3D3A"/>
    <w:rsid w:val="00CF42BD"/>
    <w:rsid w:val="00CF51EC"/>
    <w:rsid w:val="00CF6A9D"/>
    <w:rsid w:val="00CF6CD7"/>
    <w:rsid w:val="00CF7276"/>
    <w:rsid w:val="00CF75EC"/>
    <w:rsid w:val="00D002DF"/>
    <w:rsid w:val="00D0037A"/>
    <w:rsid w:val="00D0061E"/>
    <w:rsid w:val="00D00DAF"/>
    <w:rsid w:val="00D017EC"/>
    <w:rsid w:val="00D01CDA"/>
    <w:rsid w:val="00D020FC"/>
    <w:rsid w:val="00D024A1"/>
    <w:rsid w:val="00D03866"/>
    <w:rsid w:val="00D040DD"/>
    <w:rsid w:val="00D04E1B"/>
    <w:rsid w:val="00D0547B"/>
    <w:rsid w:val="00D076DB"/>
    <w:rsid w:val="00D07EFF"/>
    <w:rsid w:val="00D1067C"/>
    <w:rsid w:val="00D110AB"/>
    <w:rsid w:val="00D11102"/>
    <w:rsid w:val="00D11CBB"/>
    <w:rsid w:val="00D136D4"/>
    <w:rsid w:val="00D13830"/>
    <w:rsid w:val="00D13ECF"/>
    <w:rsid w:val="00D142E5"/>
    <w:rsid w:val="00D148CD"/>
    <w:rsid w:val="00D1611E"/>
    <w:rsid w:val="00D163CC"/>
    <w:rsid w:val="00D16E69"/>
    <w:rsid w:val="00D17F4A"/>
    <w:rsid w:val="00D205A9"/>
    <w:rsid w:val="00D217EE"/>
    <w:rsid w:val="00D24299"/>
    <w:rsid w:val="00D245BA"/>
    <w:rsid w:val="00D248FE"/>
    <w:rsid w:val="00D26923"/>
    <w:rsid w:val="00D26E27"/>
    <w:rsid w:val="00D277FF"/>
    <w:rsid w:val="00D27856"/>
    <w:rsid w:val="00D27D34"/>
    <w:rsid w:val="00D3006B"/>
    <w:rsid w:val="00D301CA"/>
    <w:rsid w:val="00D30740"/>
    <w:rsid w:val="00D309C0"/>
    <w:rsid w:val="00D30DC4"/>
    <w:rsid w:val="00D31075"/>
    <w:rsid w:val="00D31445"/>
    <w:rsid w:val="00D31932"/>
    <w:rsid w:val="00D32AE0"/>
    <w:rsid w:val="00D360DA"/>
    <w:rsid w:val="00D374B3"/>
    <w:rsid w:val="00D37689"/>
    <w:rsid w:val="00D378CC"/>
    <w:rsid w:val="00D37E80"/>
    <w:rsid w:val="00D4042C"/>
    <w:rsid w:val="00D40B9E"/>
    <w:rsid w:val="00D41281"/>
    <w:rsid w:val="00D41320"/>
    <w:rsid w:val="00D42312"/>
    <w:rsid w:val="00D433F5"/>
    <w:rsid w:val="00D43998"/>
    <w:rsid w:val="00D439C2"/>
    <w:rsid w:val="00D451E0"/>
    <w:rsid w:val="00D45A1D"/>
    <w:rsid w:val="00D4615E"/>
    <w:rsid w:val="00D4651F"/>
    <w:rsid w:val="00D478E2"/>
    <w:rsid w:val="00D51739"/>
    <w:rsid w:val="00D5264C"/>
    <w:rsid w:val="00D547BA"/>
    <w:rsid w:val="00D55626"/>
    <w:rsid w:val="00D556BC"/>
    <w:rsid w:val="00D5626D"/>
    <w:rsid w:val="00D56631"/>
    <w:rsid w:val="00D577A4"/>
    <w:rsid w:val="00D57E4B"/>
    <w:rsid w:val="00D60277"/>
    <w:rsid w:val="00D60336"/>
    <w:rsid w:val="00D61B06"/>
    <w:rsid w:val="00D61F88"/>
    <w:rsid w:val="00D623F7"/>
    <w:rsid w:val="00D62688"/>
    <w:rsid w:val="00D62901"/>
    <w:rsid w:val="00D6345E"/>
    <w:rsid w:val="00D6470C"/>
    <w:rsid w:val="00D64853"/>
    <w:rsid w:val="00D64CB5"/>
    <w:rsid w:val="00D66D48"/>
    <w:rsid w:val="00D7162F"/>
    <w:rsid w:val="00D72897"/>
    <w:rsid w:val="00D73256"/>
    <w:rsid w:val="00D73A30"/>
    <w:rsid w:val="00D73E6F"/>
    <w:rsid w:val="00D74ABF"/>
    <w:rsid w:val="00D74C65"/>
    <w:rsid w:val="00D74E97"/>
    <w:rsid w:val="00D74F21"/>
    <w:rsid w:val="00D754CE"/>
    <w:rsid w:val="00D758D0"/>
    <w:rsid w:val="00D75DC2"/>
    <w:rsid w:val="00D75DC3"/>
    <w:rsid w:val="00D766EF"/>
    <w:rsid w:val="00D76C03"/>
    <w:rsid w:val="00D77F8D"/>
    <w:rsid w:val="00D80E07"/>
    <w:rsid w:val="00D8119B"/>
    <w:rsid w:val="00D81B44"/>
    <w:rsid w:val="00D82462"/>
    <w:rsid w:val="00D831C6"/>
    <w:rsid w:val="00D83EF3"/>
    <w:rsid w:val="00D84BD1"/>
    <w:rsid w:val="00D85773"/>
    <w:rsid w:val="00D85886"/>
    <w:rsid w:val="00D85D55"/>
    <w:rsid w:val="00D868CE"/>
    <w:rsid w:val="00D86DAE"/>
    <w:rsid w:val="00D875C9"/>
    <w:rsid w:val="00D90116"/>
    <w:rsid w:val="00D90C1E"/>
    <w:rsid w:val="00D91BDF"/>
    <w:rsid w:val="00D91F2C"/>
    <w:rsid w:val="00D9266B"/>
    <w:rsid w:val="00D93F09"/>
    <w:rsid w:val="00D94859"/>
    <w:rsid w:val="00D954C2"/>
    <w:rsid w:val="00D95D83"/>
    <w:rsid w:val="00D96368"/>
    <w:rsid w:val="00D9640A"/>
    <w:rsid w:val="00D97AAD"/>
    <w:rsid w:val="00D97BB8"/>
    <w:rsid w:val="00DA1318"/>
    <w:rsid w:val="00DA1382"/>
    <w:rsid w:val="00DA28B7"/>
    <w:rsid w:val="00DA2FE8"/>
    <w:rsid w:val="00DA4AF6"/>
    <w:rsid w:val="00DA7AB2"/>
    <w:rsid w:val="00DB016E"/>
    <w:rsid w:val="00DB06E9"/>
    <w:rsid w:val="00DB0BF3"/>
    <w:rsid w:val="00DB19BD"/>
    <w:rsid w:val="00DB1D55"/>
    <w:rsid w:val="00DB378E"/>
    <w:rsid w:val="00DB3C0D"/>
    <w:rsid w:val="00DB3E9D"/>
    <w:rsid w:val="00DB47B9"/>
    <w:rsid w:val="00DB4FB8"/>
    <w:rsid w:val="00DB53CE"/>
    <w:rsid w:val="00DB549D"/>
    <w:rsid w:val="00DB5792"/>
    <w:rsid w:val="00DB6A88"/>
    <w:rsid w:val="00DB7BA4"/>
    <w:rsid w:val="00DB7D77"/>
    <w:rsid w:val="00DC08D7"/>
    <w:rsid w:val="00DC226A"/>
    <w:rsid w:val="00DC257F"/>
    <w:rsid w:val="00DC2A9F"/>
    <w:rsid w:val="00DC2FA9"/>
    <w:rsid w:val="00DC350B"/>
    <w:rsid w:val="00DC3790"/>
    <w:rsid w:val="00DC408A"/>
    <w:rsid w:val="00DC436D"/>
    <w:rsid w:val="00DC519B"/>
    <w:rsid w:val="00DC53D9"/>
    <w:rsid w:val="00DC5B3B"/>
    <w:rsid w:val="00DC60C2"/>
    <w:rsid w:val="00DC6796"/>
    <w:rsid w:val="00DC6CC6"/>
    <w:rsid w:val="00DC78DF"/>
    <w:rsid w:val="00DC7D4C"/>
    <w:rsid w:val="00DD0726"/>
    <w:rsid w:val="00DD0821"/>
    <w:rsid w:val="00DD0E32"/>
    <w:rsid w:val="00DD1878"/>
    <w:rsid w:val="00DD1DC1"/>
    <w:rsid w:val="00DD2670"/>
    <w:rsid w:val="00DD2872"/>
    <w:rsid w:val="00DD2A62"/>
    <w:rsid w:val="00DD2BB1"/>
    <w:rsid w:val="00DD2BD0"/>
    <w:rsid w:val="00DD2BFE"/>
    <w:rsid w:val="00DD36E7"/>
    <w:rsid w:val="00DD373E"/>
    <w:rsid w:val="00DD3867"/>
    <w:rsid w:val="00DD57AD"/>
    <w:rsid w:val="00DD7435"/>
    <w:rsid w:val="00DD7C6D"/>
    <w:rsid w:val="00DE009B"/>
    <w:rsid w:val="00DE08F8"/>
    <w:rsid w:val="00DE0C31"/>
    <w:rsid w:val="00DE0E40"/>
    <w:rsid w:val="00DE1460"/>
    <w:rsid w:val="00DE2ED9"/>
    <w:rsid w:val="00DE319A"/>
    <w:rsid w:val="00DF0615"/>
    <w:rsid w:val="00DF0DC3"/>
    <w:rsid w:val="00DF1A2F"/>
    <w:rsid w:val="00DF21FD"/>
    <w:rsid w:val="00DF2873"/>
    <w:rsid w:val="00DF293C"/>
    <w:rsid w:val="00DF34B2"/>
    <w:rsid w:val="00DF4C74"/>
    <w:rsid w:val="00DF5578"/>
    <w:rsid w:val="00DF594F"/>
    <w:rsid w:val="00DF6CF8"/>
    <w:rsid w:val="00DF78DD"/>
    <w:rsid w:val="00DF7FEC"/>
    <w:rsid w:val="00E01B16"/>
    <w:rsid w:val="00E01C0E"/>
    <w:rsid w:val="00E02086"/>
    <w:rsid w:val="00E023BE"/>
    <w:rsid w:val="00E02740"/>
    <w:rsid w:val="00E03B27"/>
    <w:rsid w:val="00E03B58"/>
    <w:rsid w:val="00E03CA8"/>
    <w:rsid w:val="00E04694"/>
    <w:rsid w:val="00E049F6"/>
    <w:rsid w:val="00E04CA9"/>
    <w:rsid w:val="00E05B2B"/>
    <w:rsid w:val="00E05EAD"/>
    <w:rsid w:val="00E065FC"/>
    <w:rsid w:val="00E06A2A"/>
    <w:rsid w:val="00E07F05"/>
    <w:rsid w:val="00E106A2"/>
    <w:rsid w:val="00E127E1"/>
    <w:rsid w:val="00E12BCE"/>
    <w:rsid w:val="00E144D2"/>
    <w:rsid w:val="00E144D6"/>
    <w:rsid w:val="00E15346"/>
    <w:rsid w:val="00E15B7D"/>
    <w:rsid w:val="00E17C5F"/>
    <w:rsid w:val="00E2097E"/>
    <w:rsid w:val="00E215EA"/>
    <w:rsid w:val="00E21CAB"/>
    <w:rsid w:val="00E221FC"/>
    <w:rsid w:val="00E22E78"/>
    <w:rsid w:val="00E24619"/>
    <w:rsid w:val="00E24871"/>
    <w:rsid w:val="00E25223"/>
    <w:rsid w:val="00E25999"/>
    <w:rsid w:val="00E26123"/>
    <w:rsid w:val="00E263A8"/>
    <w:rsid w:val="00E30BEA"/>
    <w:rsid w:val="00E31764"/>
    <w:rsid w:val="00E3288A"/>
    <w:rsid w:val="00E329AB"/>
    <w:rsid w:val="00E32BC2"/>
    <w:rsid w:val="00E33313"/>
    <w:rsid w:val="00E34985"/>
    <w:rsid w:val="00E34E4A"/>
    <w:rsid w:val="00E365B3"/>
    <w:rsid w:val="00E366BB"/>
    <w:rsid w:val="00E372FD"/>
    <w:rsid w:val="00E37C45"/>
    <w:rsid w:val="00E40AAA"/>
    <w:rsid w:val="00E41A59"/>
    <w:rsid w:val="00E42444"/>
    <w:rsid w:val="00E438CF"/>
    <w:rsid w:val="00E43B06"/>
    <w:rsid w:val="00E43C41"/>
    <w:rsid w:val="00E4500E"/>
    <w:rsid w:val="00E450CE"/>
    <w:rsid w:val="00E45703"/>
    <w:rsid w:val="00E45A00"/>
    <w:rsid w:val="00E45CE7"/>
    <w:rsid w:val="00E4631F"/>
    <w:rsid w:val="00E46A4A"/>
    <w:rsid w:val="00E46E03"/>
    <w:rsid w:val="00E4793B"/>
    <w:rsid w:val="00E47B32"/>
    <w:rsid w:val="00E47CB8"/>
    <w:rsid w:val="00E522BB"/>
    <w:rsid w:val="00E52A3D"/>
    <w:rsid w:val="00E533B7"/>
    <w:rsid w:val="00E539E4"/>
    <w:rsid w:val="00E53C14"/>
    <w:rsid w:val="00E549C7"/>
    <w:rsid w:val="00E569C7"/>
    <w:rsid w:val="00E571F2"/>
    <w:rsid w:val="00E57429"/>
    <w:rsid w:val="00E60FCE"/>
    <w:rsid w:val="00E61EA8"/>
    <w:rsid w:val="00E62A33"/>
    <w:rsid w:val="00E63200"/>
    <w:rsid w:val="00E63221"/>
    <w:rsid w:val="00E63960"/>
    <w:rsid w:val="00E63EC6"/>
    <w:rsid w:val="00E64AE4"/>
    <w:rsid w:val="00E64CFF"/>
    <w:rsid w:val="00E64EA1"/>
    <w:rsid w:val="00E6582D"/>
    <w:rsid w:val="00E669C7"/>
    <w:rsid w:val="00E67611"/>
    <w:rsid w:val="00E70510"/>
    <w:rsid w:val="00E71262"/>
    <w:rsid w:val="00E71A58"/>
    <w:rsid w:val="00E737F6"/>
    <w:rsid w:val="00E7568F"/>
    <w:rsid w:val="00E764AE"/>
    <w:rsid w:val="00E76F80"/>
    <w:rsid w:val="00E7724B"/>
    <w:rsid w:val="00E80E31"/>
    <w:rsid w:val="00E81130"/>
    <w:rsid w:val="00E813EF"/>
    <w:rsid w:val="00E83DAB"/>
    <w:rsid w:val="00E84F21"/>
    <w:rsid w:val="00E8618A"/>
    <w:rsid w:val="00E90A4B"/>
    <w:rsid w:val="00E90D67"/>
    <w:rsid w:val="00E90F73"/>
    <w:rsid w:val="00E910A7"/>
    <w:rsid w:val="00E91607"/>
    <w:rsid w:val="00E921C7"/>
    <w:rsid w:val="00E92995"/>
    <w:rsid w:val="00E932EA"/>
    <w:rsid w:val="00E9446C"/>
    <w:rsid w:val="00E94612"/>
    <w:rsid w:val="00E94ADB"/>
    <w:rsid w:val="00E95797"/>
    <w:rsid w:val="00E9682F"/>
    <w:rsid w:val="00E96A8D"/>
    <w:rsid w:val="00E972BA"/>
    <w:rsid w:val="00E97FA2"/>
    <w:rsid w:val="00EA06CB"/>
    <w:rsid w:val="00EA0AF3"/>
    <w:rsid w:val="00EA0C68"/>
    <w:rsid w:val="00EA19E2"/>
    <w:rsid w:val="00EA1CFB"/>
    <w:rsid w:val="00EA2169"/>
    <w:rsid w:val="00EA3EBE"/>
    <w:rsid w:val="00EA3FAC"/>
    <w:rsid w:val="00EA4153"/>
    <w:rsid w:val="00EA421A"/>
    <w:rsid w:val="00EA5CD6"/>
    <w:rsid w:val="00EA76FD"/>
    <w:rsid w:val="00EA77CA"/>
    <w:rsid w:val="00EA78FE"/>
    <w:rsid w:val="00EB03D4"/>
    <w:rsid w:val="00EB0555"/>
    <w:rsid w:val="00EB0938"/>
    <w:rsid w:val="00EB1298"/>
    <w:rsid w:val="00EB20A0"/>
    <w:rsid w:val="00EB29CA"/>
    <w:rsid w:val="00EB2CE9"/>
    <w:rsid w:val="00EB30B6"/>
    <w:rsid w:val="00EB4335"/>
    <w:rsid w:val="00EB4FA4"/>
    <w:rsid w:val="00EB5146"/>
    <w:rsid w:val="00EB522B"/>
    <w:rsid w:val="00EB55E9"/>
    <w:rsid w:val="00EB5641"/>
    <w:rsid w:val="00EB5CA9"/>
    <w:rsid w:val="00EB5ED4"/>
    <w:rsid w:val="00EB6537"/>
    <w:rsid w:val="00EB70E1"/>
    <w:rsid w:val="00EB7EB5"/>
    <w:rsid w:val="00EC0860"/>
    <w:rsid w:val="00EC0EC1"/>
    <w:rsid w:val="00EC424C"/>
    <w:rsid w:val="00EC454B"/>
    <w:rsid w:val="00EC4941"/>
    <w:rsid w:val="00EC4D9C"/>
    <w:rsid w:val="00EC6153"/>
    <w:rsid w:val="00EC7F92"/>
    <w:rsid w:val="00ED00A8"/>
    <w:rsid w:val="00ED0A79"/>
    <w:rsid w:val="00ED2989"/>
    <w:rsid w:val="00ED2B0B"/>
    <w:rsid w:val="00ED2CA5"/>
    <w:rsid w:val="00ED336F"/>
    <w:rsid w:val="00ED390A"/>
    <w:rsid w:val="00ED3A94"/>
    <w:rsid w:val="00ED40F0"/>
    <w:rsid w:val="00ED4AC0"/>
    <w:rsid w:val="00ED54D6"/>
    <w:rsid w:val="00ED5726"/>
    <w:rsid w:val="00ED7C3C"/>
    <w:rsid w:val="00EE0113"/>
    <w:rsid w:val="00EE0298"/>
    <w:rsid w:val="00EE0384"/>
    <w:rsid w:val="00EE043A"/>
    <w:rsid w:val="00EE0473"/>
    <w:rsid w:val="00EE07DE"/>
    <w:rsid w:val="00EE1057"/>
    <w:rsid w:val="00EE10AA"/>
    <w:rsid w:val="00EE1637"/>
    <w:rsid w:val="00EE208C"/>
    <w:rsid w:val="00EE3547"/>
    <w:rsid w:val="00EE3B7A"/>
    <w:rsid w:val="00EE3E78"/>
    <w:rsid w:val="00EE4534"/>
    <w:rsid w:val="00EE495A"/>
    <w:rsid w:val="00EE5E02"/>
    <w:rsid w:val="00EE617D"/>
    <w:rsid w:val="00EE61BF"/>
    <w:rsid w:val="00EE6538"/>
    <w:rsid w:val="00EE6748"/>
    <w:rsid w:val="00EE6C6B"/>
    <w:rsid w:val="00EF0E75"/>
    <w:rsid w:val="00EF1D92"/>
    <w:rsid w:val="00EF1ED5"/>
    <w:rsid w:val="00EF1F5A"/>
    <w:rsid w:val="00EF303D"/>
    <w:rsid w:val="00EF3486"/>
    <w:rsid w:val="00EF3CF0"/>
    <w:rsid w:val="00EF4685"/>
    <w:rsid w:val="00EF5397"/>
    <w:rsid w:val="00EF63CC"/>
    <w:rsid w:val="00EF6BE3"/>
    <w:rsid w:val="00F00D0E"/>
    <w:rsid w:val="00F00D3C"/>
    <w:rsid w:val="00F020EA"/>
    <w:rsid w:val="00F02A72"/>
    <w:rsid w:val="00F032C4"/>
    <w:rsid w:val="00F0356B"/>
    <w:rsid w:val="00F04811"/>
    <w:rsid w:val="00F0488C"/>
    <w:rsid w:val="00F0496E"/>
    <w:rsid w:val="00F04D10"/>
    <w:rsid w:val="00F04FAE"/>
    <w:rsid w:val="00F053EA"/>
    <w:rsid w:val="00F0625B"/>
    <w:rsid w:val="00F068A8"/>
    <w:rsid w:val="00F06944"/>
    <w:rsid w:val="00F06C6F"/>
    <w:rsid w:val="00F0732D"/>
    <w:rsid w:val="00F101FF"/>
    <w:rsid w:val="00F104DF"/>
    <w:rsid w:val="00F10A33"/>
    <w:rsid w:val="00F10B64"/>
    <w:rsid w:val="00F1186C"/>
    <w:rsid w:val="00F11AD5"/>
    <w:rsid w:val="00F126D0"/>
    <w:rsid w:val="00F12A83"/>
    <w:rsid w:val="00F14ACD"/>
    <w:rsid w:val="00F15309"/>
    <w:rsid w:val="00F15BEF"/>
    <w:rsid w:val="00F160EC"/>
    <w:rsid w:val="00F172BE"/>
    <w:rsid w:val="00F1776C"/>
    <w:rsid w:val="00F2037E"/>
    <w:rsid w:val="00F20D17"/>
    <w:rsid w:val="00F2103E"/>
    <w:rsid w:val="00F214FC"/>
    <w:rsid w:val="00F21837"/>
    <w:rsid w:val="00F21C31"/>
    <w:rsid w:val="00F23825"/>
    <w:rsid w:val="00F2389A"/>
    <w:rsid w:val="00F23F6C"/>
    <w:rsid w:val="00F23FFF"/>
    <w:rsid w:val="00F24115"/>
    <w:rsid w:val="00F2441D"/>
    <w:rsid w:val="00F2490D"/>
    <w:rsid w:val="00F24FAA"/>
    <w:rsid w:val="00F25226"/>
    <w:rsid w:val="00F25860"/>
    <w:rsid w:val="00F26197"/>
    <w:rsid w:val="00F273D4"/>
    <w:rsid w:val="00F307DD"/>
    <w:rsid w:val="00F30C2E"/>
    <w:rsid w:val="00F30CB4"/>
    <w:rsid w:val="00F30EBF"/>
    <w:rsid w:val="00F318FC"/>
    <w:rsid w:val="00F31D53"/>
    <w:rsid w:val="00F31F76"/>
    <w:rsid w:val="00F325A3"/>
    <w:rsid w:val="00F3364D"/>
    <w:rsid w:val="00F339D0"/>
    <w:rsid w:val="00F353AE"/>
    <w:rsid w:val="00F35ACD"/>
    <w:rsid w:val="00F365BF"/>
    <w:rsid w:val="00F36BF8"/>
    <w:rsid w:val="00F375BA"/>
    <w:rsid w:val="00F37760"/>
    <w:rsid w:val="00F403D1"/>
    <w:rsid w:val="00F4170B"/>
    <w:rsid w:val="00F43921"/>
    <w:rsid w:val="00F44E1B"/>
    <w:rsid w:val="00F45222"/>
    <w:rsid w:val="00F4524F"/>
    <w:rsid w:val="00F45530"/>
    <w:rsid w:val="00F4591F"/>
    <w:rsid w:val="00F47321"/>
    <w:rsid w:val="00F4736B"/>
    <w:rsid w:val="00F47804"/>
    <w:rsid w:val="00F47997"/>
    <w:rsid w:val="00F47D05"/>
    <w:rsid w:val="00F50030"/>
    <w:rsid w:val="00F502F5"/>
    <w:rsid w:val="00F50B9D"/>
    <w:rsid w:val="00F51FC9"/>
    <w:rsid w:val="00F529EE"/>
    <w:rsid w:val="00F52AE1"/>
    <w:rsid w:val="00F53243"/>
    <w:rsid w:val="00F541ED"/>
    <w:rsid w:val="00F54B31"/>
    <w:rsid w:val="00F54FD3"/>
    <w:rsid w:val="00F554F9"/>
    <w:rsid w:val="00F55605"/>
    <w:rsid w:val="00F56375"/>
    <w:rsid w:val="00F57CD7"/>
    <w:rsid w:val="00F6080A"/>
    <w:rsid w:val="00F61BFE"/>
    <w:rsid w:val="00F62F02"/>
    <w:rsid w:val="00F6339F"/>
    <w:rsid w:val="00F63DDE"/>
    <w:rsid w:val="00F63FB7"/>
    <w:rsid w:val="00F64726"/>
    <w:rsid w:val="00F64F44"/>
    <w:rsid w:val="00F6561A"/>
    <w:rsid w:val="00F66243"/>
    <w:rsid w:val="00F66CA8"/>
    <w:rsid w:val="00F67BDA"/>
    <w:rsid w:val="00F70309"/>
    <w:rsid w:val="00F7078A"/>
    <w:rsid w:val="00F70C8E"/>
    <w:rsid w:val="00F70E45"/>
    <w:rsid w:val="00F727D5"/>
    <w:rsid w:val="00F72F44"/>
    <w:rsid w:val="00F73A0C"/>
    <w:rsid w:val="00F7593B"/>
    <w:rsid w:val="00F759DC"/>
    <w:rsid w:val="00F76563"/>
    <w:rsid w:val="00F76F35"/>
    <w:rsid w:val="00F7717C"/>
    <w:rsid w:val="00F771A5"/>
    <w:rsid w:val="00F77387"/>
    <w:rsid w:val="00F80021"/>
    <w:rsid w:val="00F80D1E"/>
    <w:rsid w:val="00F817A4"/>
    <w:rsid w:val="00F81C3A"/>
    <w:rsid w:val="00F83573"/>
    <w:rsid w:val="00F835E1"/>
    <w:rsid w:val="00F835FC"/>
    <w:rsid w:val="00F8373A"/>
    <w:rsid w:val="00F83E21"/>
    <w:rsid w:val="00F83FA4"/>
    <w:rsid w:val="00F8410C"/>
    <w:rsid w:val="00F84E18"/>
    <w:rsid w:val="00F852E5"/>
    <w:rsid w:val="00F853A5"/>
    <w:rsid w:val="00F90350"/>
    <w:rsid w:val="00F91EAF"/>
    <w:rsid w:val="00F9310A"/>
    <w:rsid w:val="00F94681"/>
    <w:rsid w:val="00F95117"/>
    <w:rsid w:val="00F97ED2"/>
    <w:rsid w:val="00FA05D7"/>
    <w:rsid w:val="00FA16BD"/>
    <w:rsid w:val="00FA1992"/>
    <w:rsid w:val="00FA1C6C"/>
    <w:rsid w:val="00FA2447"/>
    <w:rsid w:val="00FA2A4A"/>
    <w:rsid w:val="00FA2BDE"/>
    <w:rsid w:val="00FA2C2A"/>
    <w:rsid w:val="00FA309A"/>
    <w:rsid w:val="00FA6B3F"/>
    <w:rsid w:val="00FA7644"/>
    <w:rsid w:val="00FA76E1"/>
    <w:rsid w:val="00FB0A9A"/>
    <w:rsid w:val="00FB16AD"/>
    <w:rsid w:val="00FB1F21"/>
    <w:rsid w:val="00FB332E"/>
    <w:rsid w:val="00FB3763"/>
    <w:rsid w:val="00FB483B"/>
    <w:rsid w:val="00FB56F1"/>
    <w:rsid w:val="00FB5FD4"/>
    <w:rsid w:val="00FB6398"/>
    <w:rsid w:val="00FB67F3"/>
    <w:rsid w:val="00FB6AF4"/>
    <w:rsid w:val="00FB7710"/>
    <w:rsid w:val="00FC0D8A"/>
    <w:rsid w:val="00FC0E5F"/>
    <w:rsid w:val="00FC135D"/>
    <w:rsid w:val="00FC26FB"/>
    <w:rsid w:val="00FC2CF4"/>
    <w:rsid w:val="00FC3C84"/>
    <w:rsid w:val="00FC3EED"/>
    <w:rsid w:val="00FC4660"/>
    <w:rsid w:val="00FC56DE"/>
    <w:rsid w:val="00FC5E01"/>
    <w:rsid w:val="00FC6140"/>
    <w:rsid w:val="00FC6DB5"/>
    <w:rsid w:val="00FD1261"/>
    <w:rsid w:val="00FD1627"/>
    <w:rsid w:val="00FD1BBD"/>
    <w:rsid w:val="00FD38B2"/>
    <w:rsid w:val="00FD4262"/>
    <w:rsid w:val="00FD43A0"/>
    <w:rsid w:val="00FD473D"/>
    <w:rsid w:val="00FD55BA"/>
    <w:rsid w:val="00FD61C8"/>
    <w:rsid w:val="00FD63CE"/>
    <w:rsid w:val="00FD77BB"/>
    <w:rsid w:val="00FD7D49"/>
    <w:rsid w:val="00FE1251"/>
    <w:rsid w:val="00FE16E6"/>
    <w:rsid w:val="00FE2F78"/>
    <w:rsid w:val="00FE3510"/>
    <w:rsid w:val="00FE371D"/>
    <w:rsid w:val="00FE375F"/>
    <w:rsid w:val="00FE3D8B"/>
    <w:rsid w:val="00FE4FCB"/>
    <w:rsid w:val="00FE60A8"/>
    <w:rsid w:val="00FE688F"/>
    <w:rsid w:val="00FE705E"/>
    <w:rsid w:val="00FF02EB"/>
    <w:rsid w:val="00FF288B"/>
    <w:rsid w:val="00FF28E0"/>
    <w:rsid w:val="00FF2FB4"/>
    <w:rsid w:val="00FF30B3"/>
    <w:rsid w:val="00FF3DF3"/>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58011097">
      <w:bodyDiv w:val="1"/>
      <w:marLeft w:val="50"/>
      <w:marRight w:val="50"/>
      <w:marTop w:val="50"/>
      <w:marBottom w:val="13"/>
      <w:divBdr>
        <w:top w:val="none" w:sz="0" w:space="0" w:color="auto"/>
        <w:left w:val="none" w:sz="0" w:space="0" w:color="auto"/>
        <w:bottom w:val="none" w:sz="0" w:space="0" w:color="auto"/>
        <w:right w:val="none" w:sz="0" w:space="0" w:color="auto"/>
      </w:divBdr>
      <w:divsChild>
        <w:div w:id="727414442">
          <w:marLeft w:val="0"/>
          <w:marRight w:val="0"/>
          <w:marTop w:val="0"/>
          <w:marBottom w:val="0"/>
          <w:divBdr>
            <w:top w:val="none" w:sz="0" w:space="0" w:color="auto"/>
            <w:left w:val="none" w:sz="0" w:space="0" w:color="auto"/>
            <w:bottom w:val="none" w:sz="0" w:space="0" w:color="auto"/>
            <w:right w:val="none" w:sz="0" w:space="0" w:color="auto"/>
          </w:divBdr>
        </w:div>
        <w:div w:id="1946301921">
          <w:marLeft w:val="0"/>
          <w:marRight w:val="0"/>
          <w:marTop w:val="0"/>
          <w:marBottom w:val="0"/>
          <w:divBdr>
            <w:top w:val="none" w:sz="0" w:space="0" w:color="auto"/>
            <w:left w:val="none" w:sz="0" w:space="0" w:color="auto"/>
            <w:bottom w:val="none" w:sz="0" w:space="0" w:color="auto"/>
            <w:right w:val="none" w:sz="0" w:space="0" w:color="auto"/>
          </w:divBdr>
        </w:div>
        <w:div w:id="1820540680">
          <w:marLeft w:val="0"/>
          <w:marRight w:val="0"/>
          <w:marTop w:val="0"/>
          <w:marBottom w:val="0"/>
          <w:divBdr>
            <w:top w:val="none" w:sz="0" w:space="0" w:color="auto"/>
            <w:left w:val="none" w:sz="0" w:space="0" w:color="auto"/>
            <w:bottom w:val="none" w:sz="0" w:space="0" w:color="auto"/>
            <w:right w:val="none" w:sz="0" w:space="0" w:color="auto"/>
          </w:divBdr>
          <w:divsChild>
            <w:div w:id="2134322281">
              <w:marLeft w:val="0"/>
              <w:marRight w:val="0"/>
              <w:marTop w:val="0"/>
              <w:marBottom w:val="0"/>
              <w:divBdr>
                <w:top w:val="none" w:sz="0" w:space="0" w:color="auto"/>
                <w:left w:val="none" w:sz="0" w:space="0" w:color="auto"/>
                <w:bottom w:val="none" w:sz="0" w:space="0" w:color="auto"/>
                <w:right w:val="none" w:sz="0" w:space="0" w:color="auto"/>
              </w:divBdr>
            </w:div>
            <w:div w:id="523054529">
              <w:marLeft w:val="0"/>
              <w:marRight w:val="0"/>
              <w:marTop w:val="0"/>
              <w:marBottom w:val="0"/>
              <w:divBdr>
                <w:top w:val="none" w:sz="0" w:space="0" w:color="auto"/>
                <w:left w:val="none" w:sz="0" w:space="0" w:color="auto"/>
                <w:bottom w:val="none" w:sz="0" w:space="0" w:color="auto"/>
                <w:right w:val="none" w:sz="0" w:space="0" w:color="auto"/>
              </w:divBdr>
              <w:divsChild>
                <w:div w:id="1558934058">
                  <w:marLeft w:val="0"/>
                  <w:marRight w:val="0"/>
                  <w:marTop w:val="0"/>
                  <w:marBottom w:val="0"/>
                  <w:divBdr>
                    <w:top w:val="none" w:sz="0" w:space="0" w:color="auto"/>
                    <w:left w:val="none" w:sz="0" w:space="0" w:color="auto"/>
                    <w:bottom w:val="none" w:sz="0" w:space="0" w:color="auto"/>
                    <w:right w:val="none" w:sz="0" w:space="0" w:color="auto"/>
                  </w:divBdr>
                </w:div>
                <w:div w:id="1850876401">
                  <w:marLeft w:val="0"/>
                  <w:marRight w:val="0"/>
                  <w:marTop w:val="0"/>
                  <w:marBottom w:val="0"/>
                  <w:divBdr>
                    <w:top w:val="none" w:sz="0" w:space="0" w:color="auto"/>
                    <w:left w:val="none" w:sz="0" w:space="0" w:color="auto"/>
                    <w:bottom w:val="none" w:sz="0" w:space="0" w:color="auto"/>
                    <w:right w:val="none" w:sz="0" w:space="0" w:color="auto"/>
                  </w:divBdr>
                </w:div>
                <w:div w:id="797725160">
                  <w:marLeft w:val="0"/>
                  <w:marRight w:val="0"/>
                  <w:marTop w:val="0"/>
                  <w:marBottom w:val="0"/>
                  <w:divBdr>
                    <w:top w:val="none" w:sz="0" w:space="0" w:color="auto"/>
                    <w:left w:val="none" w:sz="0" w:space="0" w:color="auto"/>
                    <w:bottom w:val="none" w:sz="0" w:space="0" w:color="auto"/>
                    <w:right w:val="none" w:sz="0" w:space="0" w:color="auto"/>
                  </w:divBdr>
                </w:div>
                <w:div w:id="14808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847">
          <w:marLeft w:val="0"/>
          <w:marRight w:val="0"/>
          <w:marTop w:val="0"/>
          <w:marBottom w:val="0"/>
          <w:divBdr>
            <w:top w:val="none" w:sz="0" w:space="0" w:color="auto"/>
            <w:left w:val="none" w:sz="0" w:space="0" w:color="auto"/>
            <w:bottom w:val="none" w:sz="0" w:space="0" w:color="auto"/>
            <w:right w:val="none" w:sz="0" w:space="0" w:color="auto"/>
          </w:divBdr>
        </w:div>
      </w:divsChild>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1644196240">
      <w:bodyDiv w:val="1"/>
      <w:marLeft w:val="40"/>
      <w:marRight w:val="40"/>
      <w:marTop w:val="40"/>
      <w:marBottom w:val="10"/>
      <w:divBdr>
        <w:top w:val="none" w:sz="0" w:space="0" w:color="auto"/>
        <w:left w:val="none" w:sz="0" w:space="0" w:color="auto"/>
        <w:bottom w:val="none" w:sz="0" w:space="0" w:color="auto"/>
        <w:right w:val="none" w:sz="0" w:space="0" w:color="auto"/>
      </w:divBdr>
      <w:divsChild>
        <w:div w:id="80886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48"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2240163796014245E-2"/>
          <c:y val="2.3046636085627011E-2"/>
          <c:w val="0.93617042384329663"/>
          <c:h val="0.74192840256671833"/>
        </c:manualLayout>
      </c:layout>
      <c:barChart>
        <c:barDir val="col"/>
        <c:grouping val="clustered"/>
        <c:ser>
          <c:idx val="0"/>
          <c:order val="0"/>
          <c:tx>
            <c:strRef>
              <c:f>'souhrnná výkonnost 1'!$C$4</c:f>
              <c:strCache>
                <c:ptCount val="1"/>
                <c:pt idx="0">
                  <c:v>ČR meziroční změna</c:v>
                </c:pt>
              </c:strCache>
            </c:strRef>
          </c:tx>
          <c:spPr>
            <a:solidFill>
              <a:schemeClr val="bg1">
                <a:lumMod val="65000"/>
              </a:schemeClr>
            </a:solidFill>
            <a:ln>
              <a:noFill/>
            </a:ln>
          </c:spPr>
          <c:cat>
            <c:multiLvlStrRef>
              <c:f>'souhrnná výkonnost 1'!$A$9:$B$28</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'souhrnná výkonnost 1'!$C$9:$C$28</c:f>
              <c:numCache>
                <c:formatCode>0.0</c:formatCode>
                <c:ptCount val="20"/>
                <c:pt idx="0">
                  <c:v>-1.7511683134985259</c:v>
                </c:pt>
                <c:pt idx="1">
                  <c:v>-1.1225511599608469</c:v>
                </c:pt>
                <c:pt idx="2">
                  <c:v>-0.35187335671894032</c:v>
                </c:pt>
                <c:pt idx="3">
                  <c:v>1.3064560933108851</c:v>
                </c:pt>
                <c:pt idx="4">
                  <c:v>1.6429317745401164</c:v>
                </c:pt>
                <c:pt idx="5">
                  <c:v>2.379951450221256</c:v>
                </c:pt>
                <c:pt idx="6">
                  <c:v>3.4229941989101462</c:v>
                </c:pt>
                <c:pt idx="7">
                  <c:v>3.3996850847557969</c:v>
                </c:pt>
                <c:pt idx="8">
                  <c:v>5.1924491451289043</c:v>
                </c:pt>
                <c:pt idx="9">
                  <c:v>5.7975987955825934</c:v>
                </c:pt>
                <c:pt idx="10">
                  <c:v>5.6880052521313855</c:v>
                </c:pt>
                <c:pt idx="11">
                  <c:v>4.8807255143514396</c:v>
                </c:pt>
                <c:pt idx="12">
                  <c:v>3.5408169174491197</c:v>
                </c:pt>
                <c:pt idx="13">
                  <c:v>2.8477395147454212</c:v>
                </c:pt>
                <c:pt idx="14">
                  <c:v>1.843939906776342</c:v>
                </c:pt>
                <c:pt idx="15">
                  <c:v>1.7654418234806442</c:v>
                </c:pt>
                <c:pt idx="16" formatCode="General">
                  <c:v>2.9941522181081548</c:v>
                </c:pt>
                <c:pt idx="17" formatCode="General">
                  <c:v>4.637718174337266</c:v>
                </c:pt>
                <c:pt idx="18" formatCode="General">
                  <c:v>5.1185945537623896</c:v>
                </c:pt>
                <c:pt idx="19" formatCode="General">
                  <c:v>5.2033349062953755</c:v>
                </c:pt>
              </c:numCache>
            </c:numRef>
          </c:val>
        </c:ser>
        <c:ser>
          <c:idx val="1"/>
          <c:order val="1"/>
          <c:tx>
            <c:strRef>
              <c:f>'souhrnná výkonnost 1'!$D$4</c:f>
              <c:strCache>
                <c:ptCount val="1"/>
                <c:pt idx="0">
                  <c:v>EU28 meziroční změna</c:v>
                </c:pt>
              </c:strCache>
            </c:strRef>
          </c:tx>
          <c:spPr>
            <a:solidFill>
              <a:schemeClr val="bg1">
                <a:lumMod val="50000"/>
              </a:schemeClr>
            </a:solidFill>
            <a:ln>
              <a:noFill/>
            </a:ln>
          </c:spPr>
          <c:cat>
            <c:multiLvlStrRef>
              <c:f>'souhrnná výkonnost 1'!$A$9:$B$28</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'souhrnná výkonnost 1'!$D$9:$D$28</c:f>
              <c:numCache>
                <c:formatCode>0.0</c:formatCode>
                <c:ptCount val="20"/>
                <c:pt idx="0">
                  <c:v>-0.59113300492609833</c:v>
                </c:pt>
                <c:pt idx="1">
                  <c:v>9.8716683119455764E-2</c:v>
                </c:pt>
                <c:pt idx="2">
                  <c:v>0.49358341559723873</c:v>
                </c:pt>
                <c:pt idx="3">
                  <c:v>1.1892963330029618</c:v>
                </c:pt>
                <c:pt idx="4">
                  <c:v>1.6848364717542021</c:v>
                </c:pt>
                <c:pt idx="5">
                  <c:v>1.4792899408284024</c:v>
                </c:pt>
                <c:pt idx="6">
                  <c:v>1.5717092337917571</c:v>
                </c:pt>
                <c:pt idx="7">
                  <c:v>1.8609206660137181</c:v>
                </c:pt>
                <c:pt idx="8" formatCode="#,##0.0">
                  <c:v>2.2000000000000002</c:v>
                </c:pt>
                <c:pt idx="9" formatCode="#,##0.0">
                  <c:v>2.2999999999999998</c:v>
                </c:pt>
                <c:pt idx="10" formatCode="#,##0.0">
                  <c:v>2.2000000000000002</c:v>
                </c:pt>
                <c:pt idx="11" formatCode="#,##0.0">
                  <c:v>2.2000000000000002</c:v>
                </c:pt>
                <c:pt idx="12" formatCode="#,##0.0">
                  <c:v>1.9000000000000001</c:v>
                </c:pt>
                <c:pt idx="13" formatCode="#,##0.0">
                  <c:v>1.9000000000000001</c:v>
                </c:pt>
                <c:pt idx="14" formatCode="#,##0.0">
                  <c:v>1.9000000000000001</c:v>
                </c:pt>
                <c:pt idx="15" formatCode="#,##0.0">
                  <c:v>2</c:v>
                </c:pt>
                <c:pt idx="16" formatCode="#,##0.0">
                  <c:v>2.2000000000000002</c:v>
                </c:pt>
                <c:pt idx="17" formatCode="#,##0.0">
                  <c:v>2.5</c:v>
                </c:pt>
                <c:pt idx="18" formatCode="#,##0.0">
                  <c:v>2.8</c:v>
                </c:pt>
                <c:pt idx="19" formatCode="#,##0.0">
                  <c:v>2.6</c:v>
                </c:pt>
              </c:numCache>
            </c:numRef>
          </c:val>
        </c:ser>
        <c:gapWidth val="100"/>
        <c:axId val="83310464"/>
        <c:axId val="101332480"/>
      </c:barChart>
      <c:lineChart>
        <c:grouping val="standard"/>
        <c:ser>
          <c:idx val="2"/>
          <c:order val="2"/>
          <c:tx>
            <c:strRef>
              <c:f>'souhrnná výkonnost 1'!$E$4</c:f>
              <c:strCache>
                <c:ptCount val="1"/>
                <c:pt idx="0">
                  <c:v>ČR mezičtvrtletní změna</c:v>
                </c:pt>
              </c:strCache>
            </c:strRef>
          </c:tx>
          <c:spPr>
            <a:ln w="19050">
              <a:noFill/>
            </a:ln>
          </c:spPr>
          <c:marker>
            <c:symbol val="dash"/>
            <c:size val="8"/>
            <c:spPr>
              <a:solidFill>
                <a:schemeClr val="accent1"/>
              </a:solidFill>
              <a:ln>
                <a:noFill/>
              </a:ln>
            </c:spPr>
          </c:marker>
          <c:val>
            <c:numRef>
              <c:f>'souhrnná výkonnost 1'!$E$9:$E$28</c:f>
              <c:numCache>
                <c:formatCode>0.0</c:formatCode>
                <c:ptCount val="20"/>
                <c:pt idx="0">
                  <c:v>-0.45693637688056332</c:v>
                </c:pt>
                <c:pt idx="1">
                  <c:v>0.19806063963226136</c:v>
                </c:pt>
                <c:pt idx="2">
                  <c:v>0.25106366477383801</c:v>
                </c:pt>
                <c:pt idx="3">
                  <c:v>1.3159486871259518</c:v>
                </c:pt>
                <c:pt idx="4">
                  <c:v>-0.1263175650510249</c:v>
                </c:pt>
                <c:pt idx="5">
                  <c:v>0.92460345837255964</c:v>
                </c:pt>
                <c:pt idx="6">
                  <c:v>1.272417391970436</c:v>
                </c:pt>
                <c:pt idx="7">
                  <c:v>1.2931144515490858</c:v>
                </c:pt>
                <c:pt idx="8">
                  <c:v>1.6053119684405321</c:v>
                </c:pt>
                <c:pt idx="9">
                  <c:v>1.5052011058400858</c:v>
                </c:pt>
                <c:pt idx="10">
                  <c:v>1.1675113903011718</c:v>
                </c:pt>
                <c:pt idx="11">
                  <c:v>0.51940433488746207</c:v>
                </c:pt>
                <c:pt idx="12">
                  <c:v>0.30724856994861688</c:v>
                </c:pt>
                <c:pt idx="13">
                  <c:v>0.8257496273044298</c:v>
                </c:pt>
                <c:pt idx="14">
                  <c:v>0.18011090146271191</c:v>
                </c:pt>
                <c:pt idx="15">
                  <c:v>0.44192716166011842</c:v>
                </c:pt>
                <c:pt idx="16" formatCode="General">
                  <c:v>1.51835281875799</c:v>
                </c:pt>
                <c:pt idx="17" formatCode="General">
                  <c:v>2.4347125250016717</c:v>
                </c:pt>
                <c:pt idx="18" formatCode="General">
                  <c:v>0.64050176109941503</c:v>
                </c:pt>
                <c:pt idx="19" formatCode="General">
                  <c:v>0.52289746337408571</c:v>
                </c:pt>
              </c:numCache>
            </c:numRef>
          </c:val>
        </c:ser>
        <c:ser>
          <c:idx val="3"/>
          <c:order val="3"/>
          <c:tx>
            <c:strRef>
              <c:f>'souhrnná výkonnost 1'!$F$4</c:f>
              <c:strCache>
                <c:ptCount val="1"/>
                <c:pt idx="0">
                  <c:v>EU28 mezičtvrtletní změna</c:v>
                </c:pt>
              </c:strCache>
            </c:strRef>
          </c:tx>
          <c:spPr>
            <a:ln w="19050">
              <a:noFill/>
            </a:ln>
          </c:spPr>
          <c:marker>
            <c:symbol val="dash"/>
            <c:size val="8"/>
            <c:spPr>
              <a:solidFill>
                <a:schemeClr val="accent2"/>
              </a:solidFill>
              <a:ln>
                <a:noFill/>
              </a:ln>
            </c:spPr>
          </c:marker>
          <c:val>
            <c:numRef>
              <c:f>'souhrnná výkonnost 1'!$F$9:$F$28</c:f>
              <c:numCache>
                <c:formatCode>0.0</c:formatCode>
                <c:ptCount val="20"/>
                <c:pt idx="0">
                  <c:v>0</c:v>
                </c:pt>
                <c:pt idx="1">
                  <c:v>0.49554013875123876</c:v>
                </c:pt>
                <c:pt idx="2">
                  <c:v>0.39447731755423676</c:v>
                </c:pt>
                <c:pt idx="3">
                  <c:v>0.29469548133595364</c:v>
                </c:pt>
                <c:pt idx="4">
                  <c:v>0.48971596474045476</c:v>
                </c:pt>
                <c:pt idx="5">
                  <c:v>0.29239766081872481</c:v>
                </c:pt>
                <c:pt idx="6">
                  <c:v>0.48590864917395987</c:v>
                </c:pt>
                <c:pt idx="7">
                  <c:v>0.58027079303674456</c:v>
                </c:pt>
                <c:pt idx="8" formatCode="#,##0.0">
                  <c:v>0.70000000000000062</c:v>
                </c:pt>
                <c:pt idx="9" formatCode="#,##0.0">
                  <c:v>0.4</c:v>
                </c:pt>
                <c:pt idx="10" formatCode="#,##0.0">
                  <c:v>0.5</c:v>
                </c:pt>
                <c:pt idx="11" formatCode="#,##0.0">
                  <c:v>0.5</c:v>
                </c:pt>
                <c:pt idx="12" formatCode="#,##0.0">
                  <c:v>0.4</c:v>
                </c:pt>
                <c:pt idx="13" formatCode="#,##0.0">
                  <c:v>0.4</c:v>
                </c:pt>
                <c:pt idx="14" formatCode="#,##0.0">
                  <c:v>0.4</c:v>
                </c:pt>
                <c:pt idx="15" formatCode="#,##0.0">
                  <c:v>0.70000000000000062</c:v>
                </c:pt>
                <c:pt idx="16" formatCode="#,##0.0">
                  <c:v>0.60000000000000064</c:v>
                </c:pt>
                <c:pt idx="17" formatCode="#,##0.0">
                  <c:v>0.70000000000000062</c:v>
                </c:pt>
                <c:pt idx="18" formatCode="#,##0.0">
                  <c:v>0.70000000000000062</c:v>
                </c:pt>
                <c:pt idx="19" formatCode="#,##0.0">
                  <c:v>0.60000000000000064</c:v>
                </c:pt>
              </c:numCache>
            </c:numRef>
          </c:val>
        </c:ser>
        <c:marker val="1"/>
        <c:axId val="83310464"/>
        <c:axId val="101332480"/>
      </c:lineChart>
      <c:catAx>
        <c:axId val="83310464"/>
        <c:scaling>
          <c:orientation val="minMax"/>
        </c:scaling>
        <c:axPos val="b"/>
        <c:tickLblPos val="low"/>
        <c:spPr>
          <a:ln>
            <a:solidFill>
              <a:schemeClr val="tx1"/>
            </a:solidFill>
          </a:ln>
        </c:spPr>
        <c:txPr>
          <a:bodyPr rot="0" vert="horz"/>
          <a:lstStyle/>
          <a:p>
            <a:pPr>
              <a:defRPr/>
            </a:pPr>
            <a:endParaRPr lang="cs-CZ"/>
          </a:p>
        </c:txPr>
        <c:crossAx val="101332480"/>
        <c:crosses val="autoZero"/>
        <c:auto val="1"/>
        <c:lblAlgn val="ctr"/>
        <c:lblOffset val="100"/>
      </c:catAx>
      <c:valAx>
        <c:axId val="101332480"/>
        <c:scaling>
          <c:orientation val="minMax"/>
          <c:max val="6"/>
        </c:scaling>
        <c:axPos val="l"/>
        <c:majorGridlines>
          <c:spPr>
            <a:ln w="6350">
              <a:solidFill>
                <a:schemeClr val="bg1">
                  <a:lumMod val="75000"/>
                </a:schemeClr>
              </a:solidFill>
            </a:ln>
          </c:spPr>
        </c:majorGridlines>
        <c:numFmt formatCode="0" sourceLinked="0"/>
        <c:tickLblPos val="nextTo"/>
        <c:spPr>
          <a:ln>
            <a:solidFill>
              <a:schemeClr val="tx1"/>
            </a:solidFill>
          </a:ln>
        </c:spPr>
        <c:crossAx val="83310464"/>
        <c:crosses val="autoZero"/>
        <c:crossBetween val="between"/>
      </c:valAx>
      <c:spPr>
        <a:ln>
          <a:solidFill>
            <a:schemeClr val="tx1"/>
          </a:solidFill>
        </a:ln>
      </c:spPr>
    </c:plotArea>
    <c:legend>
      <c:legendPos val="b"/>
      <c:layout>
        <c:manualLayout>
          <c:xMode val="edge"/>
          <c:yMode val="edge"/>
          <c:x val="3.9667131036811895E-2"/>
          <c:y val="0.89437255125718051"/>
          <c:w val="0.93714918946301962"/>
          <c:h val="9.0301755758791014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3724701079031984E-2"/>
          <c:y val="2.6970778117567703E-2"/>
          <c:w val="0.87770649039241477"/>
          <c:h val="0.76009512552065761"/>
        </c:manualLayout>
      </c:layout>
      <c:barChart>
        <c:barDir val="col"/>
        <c:grouping val="clustered"/>
        <c:ser>
          <c:idx val="0"/>
          <c:order val="0"/>
          <c:tx>
            <c:strRef>
              <c:f>'souhrnná výkonnost 2'!$C$5</c:f>
              <c:strCache>
                <c:ptCount val="1"/>
                <c:pt idx="0">
                  <c:v>HDP (pravá osa)</c:v>
                </c:pt>
              </c:strCache>
            </c:strRef>
          </c:tx>
          <c:spPr>
            <a:solidFill>
              <a:schemeClr val="bg1">
                <a:lumMod val="65000"/>
              </a:schemeClr>
            </a:solidFill>
            <a:ln>
              <a:noFill/>
            </a:ln>
          </c:spPr>
          <c:val>
            <c:numRef>
              <c:f>'souhrnná výkonnost 2'!$C$18:$C$77</c:f>
              <c:numCache>
                <c:formatCode>0.0</c:formatCode>
                <c:ptCount val="60"/>
                <c:pt idx="0">
                  <c:v>-1.8</c:v>
                </c:pt>
                <c:pt idx="1">
                  <c:v>-1.8</c:v>
                </c:pt>
                <c:pt idx="2">
                  <c:v>-1.8</c:v>
                </c:pt>
                <c:pt idx="3">
                  <c:v>-1.1000000000000001</c:v>
                </c:pt>
                <c:pt idx="4">
                  <c:v>-1.1000000000000001</c:v>
                </c:pt>
                <c:pt idx="5">
                  <c:v>-1.1000000000000001</c:v>
                </c:pt>
                <c:pt idx="6">
                  <c:v>-0.4</c:v>
                </c:pt>
                <c:pt idx="7">
                  <c:v>-0.4</c:v>
                </c:pt>
                <c:pt idx="8">
                  <c:v>-0.4</c:v>
                </c:pt>
                <c:pt idx="9">
                  <c:v>1.3</c:v>
                </c:pt>
                <c:pt idx="10">
                  <c:v>1.3</c:v>
                </c:pt>
                <c:pt idx="11">
                  <c:v>1.3</c:v>
                </c:pt>
                <c:pt idx="12">
                  <c:v>1.6</c:v>
                </c:pt>
                <c:pt idx="13">
                  <c:v>1.6</c:v>
                </c:pt>
                <c:pt idx="14">
                  <c:v>1.6</c:v>
                </c:pt>
                <c:pt idx="15">
                  <c:v>2.4</c:v>
                </c:pt>
                <c:pt idx="16">
                  <c:v>2.4</c:v>
                </c:pt>
                <c:pt idx="17">
                  <c:v>2.4</c:v>
                </c:pt>
                <c:pt idx="18">
                  <c:v>3.4</c:v>
                </c:pt>
                <c:pt idx="19">
                  <c:v>3.4</c:v>
                </c:pt>
                <c:pt idx="20">
                  <c:v>3.4</c:v>
                </c:pt>
                <c:pt idx="21">
                  <c:v>3.4</c:v>
                </c:pt>
                <c:pt idx="22">
                  <c:v>3.4</c:v>
                </c:pt>
                <c:pt idx="23">
                  <c:v>3.4</c:v>
                </c:pt>
                <c:pt idx="24">
                  <c:v>5.2</c:v>
                </c:pt>
                <c:pt idx="25">
                  <c:v>5.2</c:v>
                </c:pt>
                <c:pt idx="26">
                  <c:v>5.2</c:v>
                </c:pt>
                <c:pt idx="27">
                  <c:v>5.8</c:v>
                </c:pt>
                <c:pt idx="28">
                  <c:v>5.8</c:v>
                </c:pt>
                <c:pt idx="29">
                  <c:v>5.8</c:v>
                </c:pt>
                <c:pt idx="30">
                  <c:v>5.7</c:v>
                </c:pt>
                <c:pt idx="31">
                  <c:v>5.7</c:v>
                </c:pt>
                <c:pt idx="32">
                  <c:v>5.7</c:v>
                </c:pt>
                <c:pt idx="33">
                  <c:v>4.9000000000000004</c:v>
                </c:pt>
                <c:pt idx="34">
                  <c:v>4.9000000000000004</c:v>
                </c:pt>
                <c:pt idx="35">
                  <c:v>4.9000000000000004</c:v>
                </c:pt>
                <c:pt idx="36">
                  <c:v>3.5</c:v>
                </c:pt>
                <c:pt idx="37">
                  <c:v>3.5</c:v>
                </c:pt>
                <c:pt idx="38">
                  <c:v>3.5</c:v>
                </c:pt>
                <c:pt idx="39">
                  <c:v>2.8</c:v>
                </c:pt>
                <c:pt idx="40">
                  <c:v>2.8</c:v>
                </c:pt>
                <c:pt idx="41" formatCode="General">
                  <c:v>2.8</c:v>
                </c:pt>
                <c:pt idx="42" formatCode="General">
                  <c:v>1.8</c:v>
                </c:pt>
                <c:pt idx="43" formatCode="General">
                  <c:v>1.8</c:v>
                </c:pt>
                <c:pt idx="44" formatCode="General">
                  <c:v>1.8</c:v>
                </c:pt>
                <c:pt idx="45" formatCode="General">
                  <c:v>1.8</c:v>
                </c:pt>
                <c:pt idx="46" formatCode="General">
                  <c:v>1.8</c:v>
                </c:pt>
                <c:pt idx="47" formatCode="General">
                  <c:v>1.8</c:v>
                </c:pt>
                <c:pt idx="48" formatCode="General">
                  <c:v>3</c:v>
                </c:pt>
                <c:pt idx="49" formatCode="General">
                  <c:v>3</c:v>
                </c:pt>
                <c:pt idx="50" formatCode="General">
                  <c:v>3</c:v>
                </c:pt>
                <c:pt idx="51" formatCode="General">
                  <c:v>4.5999999999999996</c:v>
                </c:pt>
                <c:pt idx="52" formatCode="General">
                  <c:v>4.5999999999999996</c:v>
                </c:pt>
                <c:pt idx="53" formatCode="General">
                  <c:v>4.5999999999999996</c:v>
                </c:pt>
                <c:pt idx="54" formatCode="General">
                  <c:v>5.0999999999999996</c:v>
                </c:pt>
                <c:pt idx="55" formatCode="General">
                  <c:v>5.0999999999999996</c:v>
                </c:pt>
                <c:pt idx="56" formatCode="General">
                  <c:v>5.0999999999999996</c:v>
                </c:pt>
                <c:pt idx="57" formatCode="General">
                  <c:v>5.2</c:v>
                </c:pt>
                <c:pt idx="58" formatCode="General">
                  <c:v>5.2</c:v>
                </c:pt>
                <c:pt idx="59" formatCode="General">
                  <c:v>5.2</c:v>
                </c:pt>
              </c:numCache>
            </c:numRef>
          </c:val>
        </c:ser>
        <c:gapWidth val="30"/>
        <c:axId val="178597248"/>
        <c:axId val="176950656"/>
      </c:barChart>
      <c:lineChart>
        <c:grouping val="standard"/>
        <c:ser>
          <c:idx val="3"/>
          <c:order val="1"/>
          <c:tx>
            <c:strRef>
              <c:f>'souhrnná výkonnost 2'!$D$5</c:f>
              <c:strCache>
                <c:ptCount val="1"/>
                <c:pt idx="0">
                  <c:v>Důvěra podnikatelů</c:v>
                </c:pt>
              </c:strCache>
            </c:strRef>
          </c:tx>
          <c:spPr>
            <a:ln w="19050">
              <a:solidFill>
                <a:srgbClr val="0071BC"/>
              </a:solidFill>
            </a:ln>
          </c:spPr>
          <c:marker>
            <c:symbol val="none"/>
          </c:marker>
          <c:cat>
            <c:multiLvlStrRef>
              <c:f>'souhrnná výkonnost 2'!$A$18:$B$77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'souhrnná výkonnost 2'!$D$18:$D$77</c:f>
              <c:numCache>
                <c:formatCode>###,###,##0.0</c:formatCode>
                <c:ptCount val="60"/>
                <c:pt idx="0">
                  <c:v>84.6</c:v>
                </c:pt>
                <c:pt idx="1">
                  <c:v>85.2</c:v>
                </c:pt>
                <c:pt idx="2" formatCode="###,###,##0">
                  <c:v>85</c:v>
                </c:pt>
                <c:pt idx="3">
                  <c:v>82.7</c:v>
                </c:pt>
                <c:pt idx="4">
                  <c:v>83.6</c:v>
                </c:pt>
                <c:pt idx="5" formatCode="###,###,##0">
                  <c:v>84</c:v>
                </c:pt>
                <c:pt idx="6" formatCode="###,###,##0">
                  <c:v>84</c:v>
                </c:pt>
                <c:pt idx="7">
                  <c:v>84.8</c:v>
                </c:pt>
                <c:pt idx="8">
                  <c:v>87.5</c:v>
                </c:pt>
                <c:pt idx="9" formatCode="###,###,##0">
                  <c:v>89</c:v>
                </c:pt>
                <c:pt idx="10">
                  <c:v>89.9</c:v>
                </c:pt>
                <c:pt idx="11">
                  <c:v>90.9</c:v>
                </c:pt>
                <c:pt idx="12">
                  <c:v>90.1</c:v>
                </c:pt>
                <c:pt idx="13">
                  <c:v>90.9</c:v>
                </c:pt>
                <c:pt idx="14">
                  <c:v>91.6</c:v>
                </c:pt>
                <c:pt idx="15">
                  <c:v>91.5</c:v>
                </c:pt>
                <c:pt idx="16">
                  <c:v>91.5</c:v>
                </c:pt>
                <c:pt idx="17">
                  <c:v>92.5</c:v>
                </c:pt>
                <c:pt idx="18">
                  <c:v>91.6</c:v>
                </c:pt>
                <c:pt idx="19">
                  <c:v>92.5</c:v>
                </c:pt>
                <c:pt idx="20">
                  <c:v>93.2</c:v>
                </c:pt>
                <c:pt idx="21">
                  <c:v>92.8</c:v>
                </c:pt>
                <c:pt idx="22">
                  <c:v>93.5</c:v>
                </c:pt>
                <c:pt idx="23">
                  <c:v>94.8</c:v>
                </c:pt>
                <c:pt idx="24">
                  <c:v>94.3</c:v>
                </c:pt>
                <c:pt idx="25">
                  <c:v>93.4</c:v>
                </c:pt>
                <c:pt idx="26">
                  <c:v>92.9</c:v>
                </c:pt>
                <c:pt idx="27">
                  <c:v>93.2</c:v>
                </c:pt>
                <c:pt idx="28">
                  <c:v>93.8</c:v>
                </c:pt>
                <c:pt idx="29">
                  <c:v>95.5</c:v>
                </c:pt>
                <c:pt idx="30">
                  <c:v>94.6</c:v>
                </c:pt>
                <c:pt idx="31">
                  <c:v>94.2</c:v>
                </c:pt>
                <c:pt idx="32">
                  <c:v>94.4</c:v>
                </c:pt>
                <c:pt idx="33">
                  <c:v>93.2</c:v>
                </c:pt>
                <c:pt idx="34">
                  <c:v>94.2</c:v>
                </c:pt>
                <c:pt idx="35">
                  <c:v>94.3</c:v>
                </c:pt>
                <c:pt idx="36" formatCode="0.0">
                  <c:v>96</c:v>
                </c:pt>
                <c:pt idx="37" formatCode="0.0">
                  <c:v>95.3</c:v>
                </c:pt>
                <c:pt idx="38" formatCode="0.0">
                  <c:v>95.1</c:v>
                </c:pt>
                <c:pt idx="39" formatCode="0.0">
                  <c:v>93.8</c:v>
                </c:pt>
                <c:pt idx="40" formatCode="0.0">
                  <c:v>94.3</c:v>
                </c:pt>
                <c:pt idx="41" formatCode="0.0">
                  <c:v>93.5</c:v>
                </c:pt>
                <c:pt idx="42" formatCode="0.0">
                  <c:v>94</c:v>
                </c:pt>
                <c:pt idx="43" formatCode="0.0">
                  <c:v>95.3</c:v>
                </c:pt>
                <c:pt idx="44" formatCode="0.0">
                  <c:v>95.2</c:v>
                </c:pt>
                <c:pt idx="45" formatCode="0.0">
                  <c:v>95.2</c:v>
                </c:pt>
                <c:pt idx="46" formatCode="0.0">
                  <c:v>97.5</c:v>
                </c:pt>
                <c:pt idx="47" formatCode="0.0">
                  <c:v>97.1</c:v>
                </c:pt>
                <c:pt idx="48" formatCode="0.0">
                  <c:v>97</c:v>
                </c:pt>
                <c:pt idx="49" formatCode="0.0">
                  <c:v>95.9</c:v>
                </c:pt>
                <c:pt idx="50" formatCode="0.0">
                  <c:v>94.1</c:v>
                </c:pt>
                <c:pt idx="51" formatCode="0.0">
                  <c:v>95.1</c:v>
                </c:pt>
                <c:pt idx="52" formatCode="0.0">
                  <c:v>94.9</c:v>
                </c:pt>
                <c:pt idx="53" formatCode="0.0">
                  <c:v>95.2</c:v>
                </c:pt>
                <c:pt idx="54" formatCode="0.0">
                  <c:v>96.1</c:v>
                </c:pt>
                <c:pt idx="55" formatCode="0.0">
                  <c:v>96.8</c:v>
                </c:pt>
                <c:pt idx="56" formatCode="0.0">
                  <c:v>97</c:v>
                </c:pt>
                <c:pt idx="57" formatCode="0.0">
                  <c:v>97.4</c:v>
                </c:pt>
                <c:pt idx="58" formatCode="0.0">
                  <c:v>96.7</c:v>
                </c:pt>
                <c:pt idx="59" formatCode="0.0">
                  <c:v>97.5</c:v>
                </c:pt>
              </c:numCache>
            </c:numRef>
          </c:val>
        </c:ser>
        <c:ser>
          <c:idx val="2"/>
          <c:order val="2"/>
          <c:tx>
            <c:strRef>
              <c:f>'souhrnná výkonnost 2'!$E$5</c:f>
              <c:strCache>
                <c:ptCount val="1"/>
                <c:pt idx="0">
                  <c:v>Důvěra spotřebitelů</c:v>
                </c:pt>
              </c:strCache>
            </c:strRef>
          </c:tx>
          <c:spPr>
            <a:ln w="19050">
              <a:solidFill>
                <a:srgbClr val="BD1B21"/>
              </a:solidFill>
            </a:ln>
          </c:spPr>
          <c:marker>
            <c:symbol val="none"/>
          </c:marker>
          <c:cat>
            <c:multiLvlStrRef>
              <c:f>'souhrnná výkonnost 2'!$A$18:$B$77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'souhrnná výkonnost 2'!$E$18:$E$77</c:f>
              <c:numCache>
                <c:formatCode>###,###,##0.0</c:formatCode>
                <c:ptCount val="60"/>
                <c:pt idx="0">
                  <c:v>73.8</c:v>
                </c:pt>
                <c:pt idx="1">
                  <c:v>79.5</c:v>
                </c:pt>
                <c:pt idx="2" formatCode="###,###,##0">
                  <c:v>81</c:v>
                </c:pt>
                <c:pt idx="3">
                  <c:v>77.900000000000006</c:v>
                </c:pt>
                <c:pt idx="4" formatCode="###,###,##0">
                  <c:v>82</c:v>
                </c:pt>
                <c:pt idx="5">
                  <c:v>82.8</c:v>
                </c:pt>
                <c:pt idx="6">
                  <c:v>81.3</c:v>
                </c:pt>
                <c:pt idx="7">
                  <c:v>84.9</c:v>
                </c:pt>
                <c:pt idx="8">
                  <c:v>87.7</c:v>
                </c:pt>
                <c:pt idx="9">
                  <c:v>88.5</c:v>
                </c:pt>
                <c:pt idx="10">
                  <c:v>92.8</c:v>
                </c:pt>
                <c:pt idx="11">
                  <c:v>92.6</c:v>
                </c:pt>
                <c:pt idx="12">
                  <c:v>96.9</c:v>
                </c:pt>
                <c:pt idx="13">
                  <c:v>93.1</c:v>
                </c:pt>
                <c:pt idx="14">
                  <c:v>96.7</c:v>
                </c:pt>
                <c:pt idx="15">
                  <c:v>98.4</c:v>
                </c:pt>
                <c:pt idx="16">
                  <c:v>98.2</c:v>
                </c:pt>
                <c:pt idx="17">
                  <c:v>99.4</c:v>
                </c:pt>
                <c:pt idx="18">
                  <c:v>99.9</c:v>
                </c:pt>
                <c:pt idx="19">
                  <c:v>97.9</c:v>
                </c:pt>
                <c:pt idx="20">
                  <c:v>96.3</c:v>
                </c:pt>
                <c:pt idx="21">
                  <c:v>100.2</c:v>
                </c:pt>
                <c:pt idx="22">
                  <c:v>103.6</c:v>
                </c:pt>
                <c:pt idx="23">
                  <c:v>105.1</c:v>
                </c:pt>
                <c:pt idx="24">
                  <c:v>106.7</c:v>
                </c:pt>
                <c:pt idx="25">
                  <c:v>105.7</c:v>
                </c:pt>
                <c:pt idx="26">
                  <c:v>105.7</c:v>
                </c:pt>
                <c:pt idx="27">
                  <c:v>104.3</c:v>
                </c:pt>
                <c:pt idx="28">
                  <c:v>103.6</c:v>
                </c:pt>
                <c:pt idx="29">
                  <c:v>104.3</c:v>
                </c:pt>
                <c:pt idx="30">
                  <c:v>103.6</c:v>
                </c:pt>
                <c:pt idx="31">
                  <c:v>103.6</c:v>
                </c:pt>
                <c:pt idx="32">
                  <c:v>103.3</c:v>
                </c:pt>
                <c:pt idx="33">
                  <c:v>104.8</c:v>
                </c:pt>
                <c:pt idx="34">
                  <c:v>105.3</c:v>
                </c:pt>
                <c:pt idx="35">
                  <c:v>107.4</c:v>
                </c:pt>
                <c:pt idx="36" formatCode="0.0">
                  <c:v>110</c:v>
                </c:pt>
                <c:pt idx="37" formatCode="0.0">
                  <c:v>106.2</c:v>
                </c:pt>
                <c:pt idx="38" formatCode="0.0">
                  <c:v>104.8</c:v>
                </c:pt>
                <c:pt idx="39" formatCode="0.0">
                  <c:v>104.3</c:v>
                </c:pt>
                <c:pt idx="40" formatCode="0.0">
                  <c:v>104.3</c:v>
                </c:pt>
                <c:pt idx="41" formatCode="0.0">
                  <c:v>103.8</c:v>
                </c:pt>
                <c:pt idx="42" formatCode="0.0">
                  <c:v>102.3</c:v>
                </c:pt>
                <c:pt idx="43" formatCode="0.0">
                  <c:v>104.3</c:v>
                </c:pt>
                <c:pt idx="44" formatCode="0.0">
                  <c:v>106.4</c:v>
                </c:pt>
                <c:pt idx="45" formatCode="0.0">
                  <c:v>108.9</c:v>
                </c:pt>
                <c:pt idx="46" formatCode="0.0">
                  <c:v>107.9</c:v>
                </c:pt>
                <c:pt idx="47" formatCode="0.0">
                  <c:v>108.7</c:v>
                </c:pt>
                <c:pt idx="48" formatCode="0.0">
                  <c:v>110</c:v>
                </c:pt>
                <c:pt idx="49" formatCode="0.0">
                  <c:v>108.2</c:v>
                </c:pt>
                <c:pt idx="50" formatCode="0.0">
                  <c:v>108.7</c:v>
                </c:pt>
                <c:pt idx="51" formatCode="0.0">
                  <c:v>108.4</c:v>
                </c:pt>
                <c:pt idx="52" formatCode="0.0">
                  <c:v>108.4</c:v>
                </c:pt>
                <c:pt idx="53" formatCode="0.0">
                  <c:v>106.2</c:v>
                </c:pt>
                <c:pt idx="54" formatCode="0.0">
                  <c:v>105.7</c:v>
                </c:pt>
                <c:pt idx="55" formatCode="0.0">
                  <c:v>107.9</c:v>
                </c:pt>
                <c:pt idx="56" formatCode="0.0">
                  <c:v>109.2</c:v>
                </c:pt>
                <c:pt idx="57" formatCode="0.0">
                  <c:v>108.7</c:v>
                </c:pt>
                <c:pt idx="58" formatCode="0.0">
                  <c:v>110.3</c:v>
                </c:pt>
                <c:pt idx="59" formatCode="0.0">
                  <c:v>110</c:v>
                </c:pt>
              </c:numCache>
            </c:numRef>
          </c:val>
        </c:ser>
        <c:ser>
          <c:idx val="1"/>
          <c:order val="3"/>
          <c:tx>
            <c:strRef>
              <c:f>'souhrnná výkonnost 2'!$F$5</c:f>
              <c:strCache>
                <c:ptCount val="1"/>
                <c:pt idx="0">
                  <c:v>Souhrnný indikátor</c:v>
                </c:pt>
              </c:strCache>
            </c:strRef>
          </c:tx>
          <c:spPr>
            <a:ln w="19050">
              <a:solidFill>
                <a:schemeClr val="tx1"/>
              </a:solidFill>
            </a:ln>
          </c:spPr>
          <c:marker>
            <c:symbol val="none"/>
          </c:marker>
          <c:cat>
            <c:multiLvlStrRef>
              <c:f>'souhrnná výkonnost 2'!$A$18:$B$77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'souhrnná výkonnost 2'!$F$18:$F$77</c:f>
              <c:numCache>
                <c:formatCode>###,###,##0.0</c:formatCode>
                <c:ptCount val="60"/>
                <c:pt idx="0">
                  <c:v>82.8</c:v>
                </c:pt>
                <c:pt idx="1">
                  <c:v>84.2</c:v>
                </c:pt>
                <c:pt idx="2">
                  <c:v>84.4</c:v>
                </c:pt>
                <c:pt idx="3">
                  <c:v>81.900000000000006</c:v>
                </c:pt>
                <c:pt idx="4">
                  <c:v>83.3</c:v>
                </c:pt>
                <c:pt idx="5">
                  <c:v>83.8</c:v>
                </c:pt>
                <c:pt idx="6">
                  <c:v>83.6</c:v>
                </c:pt>
                <c:pt idx="7">
                  <c:v>84.8</c:v>
                </c:pt>
                <c:pt idx="8">
                  <c:v>87.5</c:v>
                </c:pt>
                <c:pt idx="9">
                  <c:v>88.9</c:v>
                </c:pt>
                <c:pt idx="10">
                  <c:v>90.4</c:v>
                </c:pt>
                <c:pt idx="11">
                  <c:v>91.2</c:v>
                </c:pt>
                <c:pt idx="12">
                  <c:v>91.3</c:v>
                </c:pt>
                <c:pt idx="13">
                  <c:v>91.2</c:v>
                </c:pt>
                <c:pt idx="14">
                  <c:v>92.4</c:v>
                </c:pt>
                <c:pt idx="15">
                  <c:v>92.6</c:v>
                </c:pt>
                <c:pt idx="16">
                  <c:v>92.6</c:v>
                </c:pt>
                <c:pt idx="17">
                  <c:v>93.6</c:v>
                </c:pt>
                <c:pt idx="18" formatCode="###,###,##0">
                  <c:v>93</c:v>
                </c:pt>
                <c:pt idx="19">
                  <c:v>93.4</c:v>
                </c:pt>
                <c:pt idx="20">
                  <c:v>93.7</c:v>
                </c:pt>
                <c:pt idx="21">
                  <c:v>94.1</c:v>
                </c:pt>
                <c:pt idx="22">
                  <c:v>95.2</c:v>
                </c:pt>
                <c:pt idx="23">
                  <c:v>96.5</c:v>
                </c:pt>
                <c:pt idx="24">
                  <c:v>96.4</c:v>
                </c:pt>
                <c:pt idx="25">
                  <c:v>95.5</c:v>
                </c:pt>
                <c:pt idx="26">
                  <c:v>95.1</c:v>
                </c:pt>
                <c:pt idx="27">
                  <c:v>95.1</c:v>
                </c:pt>
                <c:pt idx="28">
                  <c:v>95.5</c:v>
                </c:pt>
                <c:pt idx="29" formatCode="###,###,##0">
                  <c:v>97</c:v>
                </c:pt>
                <c:pt idx="30">
                  <c:v>96.1</c:v>
                </c:pt>
                <c:pt idx="31">
                  <c:v>95.7</c:v>
                </c:pt>
                <c:pt idx="32">
                  <c:v>95.9</c:v>
                </c:pt>
                <c:pt idx="33">
                  <c:v>95.1</c:v>
                </c:pt>
                <c:pt idx="34" formatCode="###,###,##0">
                  <c:v>96</c:v>
                </c:pt>
                <c:pt idx="35">
                  <c:v>96.5</c:v>
                </c:pt>
                <c:pt idx="36" formatCode="0.0">
                  <c:v>98.4</c:v>
                </c:pt>
                <c:pt idx="37" formatCode="0.0">
                  <c:v>97.1</c:v>
                </c:pt>
                <c:pt idx="38" formatCode="0.0">
                  <c:v>96.7</c:v>
                </c:pt>
                <c:pt idx="39" formatCode="0.0">
                  <c:v>95.6</c:v>
                </c:pt>
                <c:pt idx="40" formatCode="0.0">
                  <c:v>96</c:v>
                </c:pt>
                <c:pt idx="41" formatCode="0.0">
                  <c:v>95.3</c:v>
                </c:pt>
                <c:pt idx="42" formatCode="0.0">
                  <c:v>95.4</c:v>
                </c:pt>
                <c:pt idx="43" formatCode="0.0">
                  <c:v>96.8</c:v>
                </c:pt>
                <c:pt idx="44" formatCode="0.0">
                  <c:v>97.1</c:v>
                </c:pt>
                <c:pt idx="45" formatCode="0.0">
                  <c:v>97.5</c:v>
                </c:pt>
                <c:pt idx="46" formatCode="0.0">
                  <c:v>99.3</c:v>
                </c:pt>
                <c:pt idx="47" formatCode="0.0">
                  <c:v>99.1</c:v>
                </c:pt>
                <c:pt idx="48" formatCode="0.0">
                  <c:v>99.2</c:v>
                </c:pt>
                <c:pt idx="49" formatCode="0.0">
                  <c:v>98</c:v>
                </c:pt>
                <c:pt idx="50" formatCode="0.0">
                  <c:v>96.6</c:v>
                </c:pt>
                <c:pt idx="51" formatCode="0.0">
                  <c:v>97.4</c:v>
                </c:pt>
                <c:pt idx="52" formatCode="0.0">
                  <c:v>97.2</c:v>
                </c:pt>
                <c:pt idx="53" formatCode="0.0">
                  <c:v>97.1</c:v>
                </c:pt>
                <c:pt idx="54" formatCode="0.0">
                  <c:v>97.7</c:v>
                </c:pt>
                <c:pt idx="55" formatCode="0.0">
                  <c:v>98.7</c:v>
                </c:pt>
                <c:pt idx="56" formatCode="0.0">
                  <c:v>99.1</c:v>
                </c:pt>
                <c:pt idx="57" formatCode="0.0">
                  <c:v>99.3</c:v>
                </c:pt>
                <c:pt idx="58" formatCode="0.0">
                  <c:v>99</c:v>
                </c:pt>
                <c:pt idx="59" formatCode="0.0">
                  <c:v>99.6</c:v>
                </c:pt>
              </c:numCache>
            </c:numRef>
          </c:val>
        </c:ser>
        <c:marker val="1"/>
        <c:axId val="176870912"/>
        <c:axId val="176872448"/>
      </c:lineChart>
      <c:catAx>
        <c:axId val="176870912"/>
        <c:scaling>
          <c:orientation val="minMax"/>
        </c:scaling>
        <c:axPos val="b"/>
        <c:tickLblPos val="low"/>
        <c:spPr>
          <a:ln>
            <a:solidFill>
              <a:schemeClr val="tx1"/>
            </a:solidFill>
          </a:ln>
        </c:spPr>
        <c:crossAx val="176872448"/>
        <c:crossesAt val="100"/>
        <c:auto val="1"/>
        <c:lblAlgn val="ctr"/>
        <c:lblOffset val="100"/>
      </c:catAx>
      <c:valAx>
        <c:axId val="176872448"/>
        <c:scaling>
          <c:orientation val="minMax"/>
          <c:max val="130"/>
          <c:min val="70"/>
        </c:scaling>
        <c:axPos val="l"/>
        <c:majorGridlines>
          <c:spPr>
            <a:ln w="6350">
              <a:solidFill>
                <a:schemeClr val="bg1">
                  <a:lumMod val="75000"/>
                </a:schemeClr>
              </a:solidFill>
            </a:ln>
          </c:spPr>
        </c:majorGridlines>
        <c:numFmt formatCode="#,##0" sourceLinked="0"/>
        <c:tickLblPos val="nextTo"/>
        <c:spPr>
          <a:ln>
            <a:solidFill>
              <a:schemeClr val="tx1"/>
            </a:solidFill>
          </a:ln>
        </c:spPr>
        <c:crossAx val="176870912"/>
        <c:crosses val="autoZero"/>
        <c:crossBetween val="between"/>
        <c:majorUnit val="5"/>
      </c:valAx>
      <c:valAx>
        <c:axId val="176950656"/>
        <c:scaling>
          <c:orientation val="minMax"/>
          <c:max val="6"/>
          <c:min val="-6"/>
        </c:scaling>
        <c:axPos val="r"/>
        <c:numFmt formatCode="0" sourceLinked="0"/>
        <c:tickLblPos val="nextTo"/>
        <c:spPr>
          <a:ln>
            <a:solidFill>
              <a:schemeClr val="tx1"/>
            </a:solidFill>
          </a:ln>
        </c:spPr>
        <c:crossAx val="178597248"/>
        <c:crosses val="max"/>
        <c:crossBetween val="between"/>
        <c:majorUnit val="1"/>
      </c:valAx>
      <c:catAx>
        <c:axId val="178597248"/>
        <c:scaling>
          <c:orientation val="minMax"/>
        </c:scaling>
        <c:delete val="1"/>
        <c:axPos val="b"/>
        <c:tickLblPos val="none"/>
        <c:crossAx val="176950656"/>
        <c:crossesAt val="0"/>
        <c:auto val="1"/>
        <c:lblAlgn val="ctr"/>
        <c:lblOffset val="100"/>
      </c:catAx>
      <c:spPr>
        <a:ln>
          <a:solidFill>
            <a:schemeClr val="tx1"/>
          </a:solidFill>
        </a:ln>
      </c:spPr>
    </c:plotArea>
    <c:legend>
      <c:legendPos val="b"/>
      <c:layout>
        <c:manualLayout>
          <c:xMode val="edge"/>
          <c:yMode val="edge"/>
          <c:x val="6.2295583422442583E-2"/>
          <c:y val="0.90228835978834976"/>
          <c:w val="0.87807265282000035"/>
          <c:h val="8.264578408195417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6948352704928246E-2"/>
          <c:y val="2.8458510079622041E-2"/>
          <c:w val="0.93956464282120356"/>
          <c:h val="0.6497469886299676"/>
        </c:manualLayout>
      </c:layout>
      <c:barChart>
        <c:barDir val="col"/>
        <c:grouping val="stacked"/>
        <c:ser>
          <c:idx val="5"/>
          <c:order val="1"/>
          <c:tx>
            <c:strRef>
              <c:f>'souhrnná výkonnost 3'!$D$5</c:f>
              <c:strCache>
                <c:ptCount val="1"/>
                <c:pt idx="0">
                  <c:v>Výdaje na konečnou spotřebu domácností (vč. nezisk. inst.)</c:v>
                </c:pt>
              </c:strCache>
            </c:strRef>
          </c:tx>
          <c:spPr>
            <a:solidFill>
              <a:srgbClr val="0071BC"/>
            </a:solidFill>
            <a:ln>
              <a:noFill/>
            </a:ln>
          </c:spPr>
          <c:val>
            <c:numRef>
              <c:f>'souhrnná výkonnost 3'!$D$10:$D$29</c:f>
              <c:numCache>
                <c:formatCode>#,##0.0</c:formatCode>
                <c:ptCount val="20"/>
                <c:pt idx="0">
                  <c:v>0.40597446298277295</c:v>
                </c:pt>
                <c:pt idx="1">
                  <c:v>0.39628462481417998</c:v>
                </c:pt>
                <c:pt idx="2">
                  <c:v>0.10072438430113229</c:v>
                </c:pt>
                <c:pt idx="3">
                  <c:v>-0.14406158457489426</c:v>
                </c:pt>
                <c:pt idx="4">
                  <c:v>-0.341912483364683</c:v>
                </c:pt>
                <c:pt idx="5">
                  <c:v>9.7003151816959683E-3</c:v>
                </c:pt>
                <c:pt idx="6">
                  <c:v>0.64252536968968565</c:v>
                </c:pt>
                <c:pt idx="7">
                  <c:v>1.1251665920999483</c:v>
                </c:pt>
                <c:pt idx="8">
                  <c:v>0.95996723394403682</c:v>
                </c:pt>
                <c:pt idx="9">
                  <c:v>0.88418646707185844</c:v>
                </c:pt>
                <c:pt idx="10">
                  <c:v>0.95576447741814341</c:v>
                </c:pt>
                <c:pt idx="11">
                  <c:v>1.1866830908443908</c:v>
                </c:pt>
                <c:pt idx="12">
                  <c:v>1.122020889517066</c:v>
                </c:pt>
                <c:pt idx="13">
                  <c:v>1.2236602908141354</c:v>
                </c:pt>
                <c:pt idx="14">
                  <c:v>1.3569551772034671</c:v>
                </c:pt>
                <c:pt idx="15">
                  <c:v>1.1073481536560261</c:v>
                </c:pt>
                <c:pt idx="16">
                  <c:v>1.2033359007134954</c:v>
                </c:pt>
                <c:pt idx="17">
                  <c:v>1.5212657302113635</c:v>
                </c:pt>
                <c:pt idx="18">
                  <c:v>1.4525415814090294</c:v>
                </c:pt>
                <c:pt idx="19">
                  <c:v>1.3464774597454923</c:v>
                </c:pt>
              </c:numCache>
            </c:numRef>
          </c:val>
        </c:ser>
        <c:ser>
          <c:idx val="4"/>
          <c:order val="2"/>
          <c:tx>
            <c:strRef>
              <c:f>'souhrnná výkonnost 3'!$E$5</c:f>
              <c:strCache>
                <c:ptCount val="1"/>
                <c:pt idx="0">
                  <c:v>Výdaje na konečnou spotřebu vládních institucí</c:v>
                </c:pt>
              </c:strCache>
            </c:strRef>
          </c:tx>
          <c:spPr>
            <a:solidFill>
              <a:srgbClr val="A6CDE8"/>
            </a:solidFill>
            <a:ln>
              <a:noFill/>
            </a:ln>
          </c:spPr>
          <c:val>
            <c:numRef>
              <c:f>'souhrnná výkonnost 3'!$E$10:$E$29</c:f>
              <c:numCache>
                <c:formatCode>#,##0.0</c:formatCode>
                <c:ptCount val="20"/>
                <c:pt idx="0">
                  <c:v>0.29182349651824396</c:v>
                </c:pt>
                <c:pt idx="1">
                  <c:v>0.39883827436685626</c:v>
                </c:pt>
                <c:pt idx="2">
                  <c:v>0.61835595894915063</c:v>
                </c:pt>
                <c:pt idx="3">
                  <c:v>0.49997414143888635</c:v>
                </c:pt>
                <c:pt idx="4">
                  <c:v>0.24721971722961228</c:v>
                </c:pt>
                <c:pt idx="5">
                  <c:v>0.35050457281023334</c:v>
                </c:pt>
                <c:pt idx="6">
                  <c:v>8.4527068204703862E-2</c:v>
                </c:pt>
                <c:pt idx="7">
                  <c:v>0.28017686102843087</c:v>
                </c:pt>
                <c:pt idx="8">
                  <c:v>0.38356988684027105</c:v>
                </c:pt>
                <c:pt idx="9">
                  <c:v>0.38665907102931846</c:v>
                </c:pt>
                <c:pt idx="10">
                  <c:v>0.60627256929248252</c:v>
                </c:pt>
                <c:pt idx="11">
                  <c:v>0.5639728704360647</c:v>
                </c:pt>
                <c:pt idx="12">
                  <c:v>0.33602278185610895</c:v>
                </c:pt>
                <c:pt idx="13">
                  <c:v>0.41149254163913818</c:v>
                </c:pt>
                <c:pt idx="14">
                  <c:v>0.34012918105702838</c:v>
                </c:pt>
                <c:pt idx="15">
                  <c:v>0.38626077717024859</c:v>
                </c:pt>
                <c:pt idx="16">
                  <c:v>0.47213665517492381</c:v>
                </c:pt>
                <c:pt idx="17">
                  <c:v>0.29799537695935113</c:v>
                </c:pt>
                <c:pt idx="18">
                  <c:v>0.22245730570723551</c:v>
                </c:pt>
                <c:pt idx="19">
                  <c:v>0.18902058446901696</c:v>
                </c:pt>
              </c:numCache>
            </c:numRef>
          </c:val>
        </c:ser>
        <c:ser>
          <c:idx val="3"/>
          <c:order val="3"/>
          <c:tx>
            <c:strRef>
              <c:f>'souhrnná výkonnost 3'!$J$5</c:f>
              <c:strCache>
                <c:ptCount val="1"/>
                <c:pt idx="0">
                  <c:v>Tvorba hrubého kapitálu</c:v>
                </c:pt>
              </c:strCache>
            </c:strRef>
          </c:tx>
          <c:spPr>
            <a:solidFill>
              <a:srgbClr val="BD1B21"/>
            </a:solidFill>
            <a:ln>
              <a:noFill/>
            </a:ln>
          </c:spPr>
          <c:val>
            <c:numRef>
              <c:f>'souhrnná výkonnost 3'!$J$10:$J$29</c:f>
              <c:numCache>
                <c:formatCode>#,##0.0</c:formatCode>
                <c:ptCount val="20"/>
                <c:pt idx="0">
                  <c:v>-1.3565537417116844</c:v>
                </c:pt>
                <c:pt idx="1">
                  <c:v>-2.8563879245256727</c:v>
                </c:pt>
                <c:pt idx="2">
                  <c:v>-8.4138539479111193E-2</c:v>
                </c:pt>
                <c:pt idx="3">
                  <c:v>0.37621790098269786</c:v>
                </c:pt>
                <c:pt idx="4">
                  <c:v>-6.421771790176492E-2</c:v>
                </c:pt>
                <c:pt idx="5">
                  <c:v>1.7432034404711898</c:v>
                </c:pt>
                <c:pt idx="6">
                  <c:v>1.1897955210010354</c:v>
                </c:pt>
                <c:pt idx="7">
                  <c:v>0.47141627966227129</c:v>
                </c:pt>
                <c:pt idx="8">
                  <c:v>2.995551102866798</c:v>
                </c:pt>
                <c:pt idx="9">
                  <c:v>3.9932674109015083</c:v>
                </c:pt>
                <c:pt idx="10">
                  <c:v>2.7507831059265202</c:v>
                </c:pt>
                <c:pt idx="11">
                  <c:v>1.0081209599196153</c:v>
                </c:pt>
                <c:pt idx="12">
                  <c:v>1.0273007963049217</c:v>
                </c:pt>
                <c:pt idx="13">
                  <c:v>-0.96946155529155886</c:v>
                </c:pt>
                <c:pt idx="14">
                  <c:v>-0.51354041218170265</c:v>
                </c:pt>
                <c:pt idx="15">
                  <c:v>-0.21949598559679259</c:v>
                </c:pt>
                <c:pt idx="16">
                  <c:v>-0.84198786360534394</c:v>
                </c:pt>
                <c:pt idx="17">
                  <c:v>0.6321292773608661</c:v>
                </c:pt>
                <c:pt idx="18">
                  <c:v>1.7212844693219043</c:v>
                </c:pt>
                <c:pt idx="19">
                  <c:v>2.4825034735268727</c:v>
                </c:pt>
              </c:numCache>
            </c:numRef>
          </c:val>
        </c:ser>
        <c:ser>
          <c:idx val="1"/>
          <c:order val="4"/>
          <c:tx>
            <c:strRef>
              <c:f>'souhrnná výkonnost 3'!$H$5</c:f>
              <c:strCache>
                <c:ptCount val="1"/>
                <c:pt idx="0">
                  <c:v>Bilance zahraničního obchodu</c:v>
                </c:pt>
              </c:strCache>
            </c:strRef>
          </c:tx>
          <c:spPr>
            <a:solidFill>
              <a:srgbClr val="7DBB2D"/>
            </a:solidFill>
            <a:ln>
              <a:noFill/>
            </a:ln>
          </c:spPr>
          <c:val>
            <c:numRef>
              <c:f>'souhrnná výkonnost 3'!$H$10:$H$29</c:f>
              <c:numCache>
                <c:formatCode>#,##0.0</c:formatCode>
                <c:ptCount val="20"/>
                <c:pt idx="0">
                  <c:v>-1.1212539863066899</c:v>
                </c:pt>
                <c:pt idx="1">
                  <c:v>0.92540979141000812</c:v>
                </c:pt>
                <c:pt idx="2">
                  <c:v>-1.0354498395259251</c:v>
                </c:pt>
                <c:pt idx="3">
                  <c:v>0.55721289260918605</c:v>
                </c:pt>
                <c:pt idx="4">
                  <c:v>1.8104123228453401</c:v>
                </c:pt>
                <c:pt idx="5">
                  <c:v>0.25472480422095556</c:v>
                </c:pt>
                <c:pt idx="6">
                  <c:v>1.4702269856408019</c:v>
                </c:pt>
                <c:pt idx="7">
                  <c:v>1.4755441754070078</c:v>
                </c:pt>
                <c:pt idx="8">
                  <c:v>0.87270670480565737</c:v>
                </c:pt>
                <c:pt idx="9">
                  <c:v>0.56954370937031307</c:v>
                </c:pt>
                <c:pt idx="10">
                  <c:v>1.4131260319789174</c:v>
                </c:pt>
                <c:pt idx="11">
                  <c:v>2.1455063702622859</c:v>
                </c:pt>
                <c:pt idx="12">
                  <c:v>1.0557410423051135</c:v>
                </c:pt>
                <c:pt idx="13">
                  <c:v>2.1496812176394218</c:v>
                </c:pt>
                <c:pt idx="14">
                  <c:v>0.65095065525562124</c:v>
                </c:pt>
                <c:pt idx="15">
                  <c:v>0.49407696770870579</c:v>
                </c:pt>
                <c:pt idx="16">
                  <c:v>2.1199424655121777</c:v>
                </c:pt>
                <c:pt idx="17">
                  <c:v>2.1610214378480004</c:v>
                </c:pt>
                <c:pt idx="18">
                  <c:v>1.6890565350750282</c:v>
                </c:pt>
                <c:pt idx="19">
                  <c:v>1.1657793622517323</c:v>
                </c:pt>
              </c:numCache>
            </c:numRef>
          </c:val>
        </c:ser>
        <c:gapWidth val="40"/>
        <c:overlap val="100"/>
        <c:axId val="188773504"/>
        <c:axId val="188877824"/>
      </c:barChart>
      <c:lineChart>
        <c:grouping val="standard"/>
        <c:ser>
          <c:idx val="0"/>
          <c:order val="0"/>
          <c:tx>
            <c:strRef>
              <c:f>'souhrnná výkonnost 3'!$C$5</c:f>
              <c:strCache>
                <c:ptCount val="1"/>
                <c:pt idx="0">
                  <c:v>HDP</c:v>
                </c:pt>
              </c:strCache>
            </c:strRef>
          </c:tx>
          <c:spPr>
            <a:ln>
              <a:solidFill>
                <a:prstClr val="black"/>
              </a:solidFill>
            </a:ln>
          </c:spPr>
          <c:marker>
            <c:symbol val="none"/>
          </c:marker>
          <c:cat>
            <c:multiLvlStrRef>
              <c:f>'souhrnná výkonnost 3'!$A$10:$B$29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'souhrnná výkonnost 3'!$C$10:$C$29</c:f>
              <c:numCache>
                <c:formatCode>#,##0.0</c:formatCode>
                <c:ptCount val="20"/>
                <c:pt idx="0">
                  <c:v>-1.7511683134985219</c:v>
                </c:pt>
                <c:pt idx="1">
                  <c:v>-1.1225511599608669</c:v>
                </c:pt>
                <c:pt idx="2">
                  <c:v>-0.3518733567189688</c:v>
                </c:pt>
                <c:pt idx="3">
                  <c:v>1.3064560933108733</c:v>
                </c:pt>
                <c:pt idx="4">
                  <c:v>1.6429317745401153</c:v>
                </c:pt>
                <c:pt idx="5">
                  <c:v>2.3799514502212578</c:v>
                </c:pt>
                <c:pt idx="6">
                  <c:v>3.4229941989101591</c:v>
                </c:pt>
                <c:pt idx="7">
                  <c:v>3.3996850847558004</c:v>
                </c:pt>
                <c:pt idx="8">
                  <c:v>5.1924491451289025</c:v>
                </c:pt>
                <c:pt idx="9">
                  <c:v>5.7975987955825934</c:v>
                </c:pt>
                <c:pt idx="10">
                  <c:v>5.6880052521313855</c:v>
                </c:pt>
                <c:pt idx="11">
                  <c:v>4.880725514351437</c:v>
                </c:pt>
                <c:pt idx="12">
                  <c:v>3.5408169174491047</c:v>
                </c:pt>
                <c:pt idx="13">
                  <c:v>2.8477395147454412</c:v>
                </c:pt>
                <c:pt idx="14">
                  <c:v>1.843939906776336</c:v>
                </c:pt>
                <c:pt idx="15">
                  <c:v>1.765441823480645</c:v>
                </c:pt>
                <c:pt idx="16">
                  <c:v>2.9941522181081437</c:v>
                </c:pt>
                <c:pt idx="17">
                  <c:v>4.6377181743372642</c:v>
                </c:pt>
                <c:pt idx="18">
                  <c:v>5.1185945537623745</c:v>
                </c:pt>
                <c:pt idx="19">
                  <c:v>5.2033349062953755</c:v>
                </c:pt>
              </c:numCache>
            </c:numRef>
          </c:val>
        </c:ser>
        <c:marker val="1"/>
        <c:axId val="188773504"/>
        <c:axId val="188877824"/>
      </c:lineChart>
      <c:catAx>
        <c:axId val="188773504"/>
        <c:scaling>
          <c:orientation val="minMax"/>
        </c:scaling>
        <c:axPos val="b"/>
        <c:tickLblPos val="low"/>
        <c:spPr>
          <a:ln>
            <a:solidFill>
              <a:schemeClr val="tx1"/>
            </a:solidFill>
          </a:ln>
        </c:spPr>
        <c:txPr>
          <a:bodyPr rot="0" vert="horz"/>
          <a:lstStyle/>
          <a:p>
            <a:pPr>
              <a:defRPr/>
            </a:pPr>
            <a:endParaRPr lang="cs-CZ"/>
          </a:p>
        </c:txPr>
        <c:crossAx val="188877824"/>
        <c:crosses val="autoZero"/>
        <c:auto val="1"/>
        <c:lblAlgn val="ctr"/>
        <c:lblOffset val="100"/>
      </c:catAx>
      <c:valAx>
        <c:axId val="188877824"/>
        <c:scaling>
          <c:orientation val="minMax"/>
          <c:max val="6"/>
          <c:min val="-4"/>
        </c:scaling>
        <c:axPos val="l"/>
        <c:majorGridlines>
          <c:spPr>
            <a:ln w="6350">
              <a:solidFill>
                <a:schemeClr val="bg1">
                  <a:lumMod val="75000"/>
                </a:schemeClr>
              </a:solidFill>
            </a:ln>
          </c:spPr>
        </c:majorGridlines>
        <c:numFmt formatCode="#,##0" sourceLinked="0"/>
        <c:tickLblPos val="nextTo"/>
        <c:spPr>
          <a:ln>
            <a:solidFill>
              <a:schemeClr val="tx1"/>
            </a:solidFill>
          </a:ln>
        </c:spPr>
        <c:crossAx val="188773504"/>
        <c:crosses val="autoZero"/>
        <c:crossBetween val="between"/>
        <c:majorUnit val="1"/>
      </c:valAx>
      <c:spPr>
        <a:ln>
          <a:solidFill>
            <a:schemeClr val="tx1"/>
          </a:solidFill>
        </a:ln>
      </c:spPr>
    </c:plotArea>
    <c:legend>
      <c:legendPos val="b"/>
      <c:layout>
        <c:manualLayout>
          <c:xMode val="edge"/>
          <c:yMode val="edge"/>
          <c:x val="4.4891184424094004E-2"/>
          <c:y val="0.79301446583361457"/>
          <c:w val="0.94049666651103803"/>
          <c:h val="0.19014325115388939"/>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4404035346809034E-2"/>
          <c:y val="3.7154479717354444E-2"/>
          <c:w val="0.93674937195830565"/>
          <c:h val="0.63445260610154264"/>
        </c:manualLayout>
      </c:layout>
      <c:barChart>
        <c:barDir val="col"/>
        <c:grouping val="stacked"/>
        <c:ser>
          <c:idx val="4"/>
          <c:order val="0"/>
          <c:tx>
            <c:strRef>
              <c:f>'souhrnná výkonnost 4'!$C$5</c:f>
              <c:strCache>
                <c:ptCount val="1"/>
                <c:pt idx="0">
                  <c:v>Zemědělství, lesnictví a rybářství</c:v>
                </c:pt>
              </c:strCache>
            </c:strRef>
          </c:tx>
          <c:spPr>
            <a:solidFill>
              <a:srgbClr val="0071BC"/>
            </a:solidFill>
            <a:ln>
              <a:noFill/>
            </a:ln>
          </c:spPr>
          <c:val>
            <c:numRef>
              <c:f>'souhrnná výkonnost 4'!$C$10:$C$29</c:f>
              <c:numCache>
                <c:formatCode>#,##0.0</c:formatCode>
                <c:ptCount val="20"/>
                <c:pt idx="0">
                  <c:v>-4.4699648816173963E-2</c:v>
                </c:pt>
                <c:pt idx="1">
                  <c:v>-0.11466415714156022</c:v>
                </c:pt>
                <c:pt idx="2">
                  <c:v>-8.9941431175314654E-2</c:v>
                </c:pt>
                <c:pt idx="3">
                  <c:v>-6.1245633202245504E-3</c:v>
                </c:pt>
                <c:pt idx="4">
                  <c:v>9.4408798336974964E-2</c:v>
                </c:pt>
                <c:pt idx="5">
                  <c:v>0.23066751983404632</c:v>
                </c:pt>
                <c:pt idx="6">
                  <c:v>0.28225200568902681</c:v>
                </c:pt>
                <c:pt idx="7">
                  <c:v>0.25875789622783918</c:v>
                </c:pt>
                <c:pt idx="8">
                  <c:v>0.23202547241325647</c:v>
                </c:pt>
                <c:pt idx="9">
                  <c:v>0.1519285796170429</c:v>
                </c:pt>
                <c:pt idx="10">
                  <c:v>0.12094967534777865</c:v>
                </c:pt>
                <c:pt idx="11">
                  <c:v>0.10040143726492615</c:v>
                </c:pt>
                <c:pt idx="12">
                  <c:v>0.13957559104473763</c:v>
                </c:pt>
                <c:pt idx="13">
                  <c:v>0.21132726920557363</c:v>
                </c:pt>
                <c:pt idx="14">
                  <c:v>0.25387931030712041</c:v>
                </c:pt>
                <c:pt idx="15">
                  <c:v>0.31886734542080708</c:v>
                </c:pt>
                <c:pt idx="16">
                  <c:v>0.22546241575801171</c:v>
                </c:pt>
                <c:pt idx="17">
                  <c:v>0.15088911683333694</c:v>
                </c:pt>
                <c:pt idx="18">
                  <c:v>7.3981110548603179E-2</c:v>
                </c:pt>
                <c:pt idx="19">
                  <c:v>1.4293298094048838E-2</c:v>
                </c:pt>
              </c:numCache>
            </c:numRef>
          </c:val>
        </c:ser>
        <c:ser>
          <c:idx val="3"/>
          <c:order val="1"/>
          <c:tx>
            <c:strRef>
              <c:f>'souhrnná výkonnost 4'!$D$5</c:f>
              <c:strCache>
                <c:ptCount val="1"/>
                <c:pt idx="0">
                  <c:v>Zpracovatelský průmysl (CZ-NACE C)</c:v>
                </c:pt>
              </c:strCache>
            </c:strRef>
          </c:tx>
          <c:spPr>
            <a:solidFill>
              <a:srgbClr val="A6CDE8"/>
            </a:solidFill>
            <a:ln>
              <a:noFill/>
            </a:ln>
          </c:spPr>
          <c:val>
            <c:numRef>
              <c:f>'souhrnná výkonnost 4'!$D$10:$D$29</c:f>
              <c:numCache>
                <c:formatCode>#,##0.0</c:formatCode>
                <c:ptCount val="20"/>
                <c:pt idx="0">
                  <c:v>-0.80190174195229758</c:v>
                </c:pt>
                <c:pt idx="1">
                  <c:v>-0.63316913532183261</c:v>
                </c:pt>
                <c:pt idx="2">
                  <c:v>-0.6579997176202127</c:v>
                </c:pt>
                <c:pt idx="3">
                  <c:v>-0.58767125058761094</c:v>
                </c:pt>
                <c:pt idx="4">
                  <c:v>0.42669631687426551</c:v>
                </c:pt>
                <c:pt idx="5">
                  <c:v>1.1788143597117262</c:v>
                </c:pt>
                <c:pt idx="6">
                  <c:v>1.9647162979640993</c:v>
                </c:pt>
                <c:pt idx="7">
                  <c:v>2.5539363152168306</c:v>
                </c:pt>
                <c:pt idx="8">
                  <c:v>2.1478703755568072</c:v>
                </c:pt>
                <c:pt idx="9">
                  <c:v>1.6166800300274804</c:v>
                </c:pt>
                <c:pt idx="10">
                  <c:v>1.4270095405518384</c:v>
                </c:pt>
                <c:pt idx="11">
                  <c:v>0.6586336385235696</c:v>
                </c:pt>
                <c:pt idx="12">
                  <c:v>1.1730324306135371</c:v>
                </c:pt>
                <c:pt idx="13">
                  <c:v>1.8409531560333301</c:v>
                </c:pt>
                <c:pt idx="14">
                  <c:v>1.8950378832938781</c:v>
                </c:pt>
                <c:pt idx="15">
                  <c:v>2.2496949915383992</c:v>
                </c:pt>
                <c:pt idx="16">
                  <c:v>1.8803316141150999</c:v>
                </c:pt>
                <c:pt idx="17">
                  <c:v>2.1182989480673746</c:v>
                </c:pt>
                <c:pt idx="18">
                  <c:v>2.1573007701652602</c:v>
                </c:pt>
                <c:pt idx="19">
                  <c:v>2.0433612402886938</c:v>
                </c:pt>
              </c:numCache>
            </c:numRef>
          </c:val>
        </c:ser>
        <c:ser>
          <c:idx val="2"/>
          <c:order val="2"/>
          <c:tx>
            <c:strRef>
              <c:f>'souhrnná výkonnost 4'!$E$5</c:f>
              <c:strCache>
                <c:ptCount val="1"/>
                <c:pt idx="0">
                  <c:v>Ostatní průmyslová odvětví (CZ-NACE B,D,E)</c:v>
                </c:pt>
              </c:strCache>
            </c:strRef>
          </c:tx>
          <c:spPr>
            <a:solidFill>
              <a:srgbClr val="BD1B21"/>
            </a:solidFill>
            <a:ln>
              <a:noFill/>
            </a:ln>
          </c:spPr>
          <c:val>
            <c:numRef>
              <c:f>'souhrnná výkonnost 4'!$E$10:$E$29</c:f>
              <c:numCache>
                <c:formatCode>0.0</c:formatCode>
                <c:ptCount val="20"/>
                <c:pt idx="0">
                  <c:v>-0.99676396653493249</c:v>
                </c:pt>
                <c:pt idx="1">
                  <c:v>-0.998621897276189</c:v>
                </c:pt>
                <c:pt idx="2">
                  <c:v>-0.64102712488527125</c:v>
                </c:pt>
                <c:pt idx="3">
                  <c:v>-0.2376831237571034</c:v>
                </c:pt>
                <c:pt idx="4">
                  <c:v>0.34101321981670818</c:v>
                </c:pt>
                <c:pt idx="5">
                  <c:v>0.10905314809036515</c:v>
                </c:pt>
                <c:pt idx="6">
                  <c:v>-0.12299518913780627</c:v>
                </c:pt>
                <c:pt idx="7">
                  <c:v>-0.11606163720933306</c:v>
                </c:pt>
                <c:pt idx="8">
                  <c:v>-0.13641374514700538</c:v>
                </c:pt>
                <c:pt idx="9">
                  <c:v>2.6994603690324401E-2</c:v>
                </c:pt>
                <c:pt idx="10">
                  <c:v>-2.4696121131873472E-2</c:v>
                </c:pt>
                <c:pt idx="11">
                  <c:v>-8.1123422474820725E-2</c:v>
                </c:pt>
                <c:pt idx="12">
                  <c:v>-0.25523928298471665</c:v>
                </c:pt>
                <c:pt idx="13">
                  <c:v>-0.25608606894098607</c:v>
                </c:pt>
                <c:pt idx="14">
                  <c:v>-0.25707511147730044</c:v>
                </c:pt>
                <c:pt idx="15">
                  <c:v>-0.26726875277732276</c:v>
                </c:pt>
                <c:pt idx="16">
                  <c:v>0.10746003681127712</c:v>
                </c:pt>
                <c:pt idx="17">
                  <c:v>-3.0739318352514637E-2</c:v>
                </c:pt>
                <c:pt idx="18" formatCode="General">
                  <c:v>0.322324682709204</c:v>
                </c:pt>
                <c:pt idx="19" formatCode="General">
                  <c:v>0.39745451648190022</c:v>
                </c:pt>
              </c:numCache>
            </c:numRef>
          </c:val>
        </c:ser>
        <c:ser>
          <c:idx val="1"/>
          <c:order val="3"/>
          <c:tx>
            <c:strRef>
              <c:f>'souhrnná výkonnost 4'!$F$5</c:f>
              <c:strCache>
                <c:ptCount val="1"/>
                <c:pt idx="0">
                  <c:v>Stavebnictví</c:v>
                </c:pt>
              </c:strCache>
            </c:strRef>
          </c:tx>
          <c:spPr>
            <a:solidFill>
              <a:srgbClr val="E8AFB2"/>
            </a:solidFill>
            <a:ln>
              <a:noFill/>
            </a:ln>
          </c:spPr>
          <c:val>
            <c:numRef>
              <c:f>'souhrnná výkonnost 4'!$F$10:$F$29</c:f>
              <c:numCache>
                <c:formatCode>#,##0.0</c:formatCode>
                <c:ptCount val="20"/>
                <c:pt idx="0">
                  <c:v>-9.7833498488409248E-2</c:v>
                </c:pt>
                <c:pt idx="1">
                  <c:v>7.0101451917918819E-2</c:v>
                </c:pt>
                <c:pt idx="2">
                  <c:v>0.14066955556231278</c:v>
                </c:pt>
                <c:pt idx="3">
                  <c:v>0.16590826997768471</c:v>
                </c:pt>
                <c:pt idx="4">
                  <c:v>0.20380087901239571</c:v>
                </c:pt>
                <c:pt idx="5">
                  <c:v>7.707944200185142E-2</c:v>
                </c:pt>
                <c:pt idx="6">
                  <c:v>3.6125144783951582E-2</c:v>
                </c:pt>
                <c:pt idx="7">
                  <c:v>0.13861192388176091</c:v>
                </c:pt>
                <c:pt idx="8">
                  <c:v>0.1004407238403428</c:v>
                </c:pt>
                <c:pt idx="9">
                  <c:v>0.26610784775566931</c:v>
                </c:pt>
                <c:pt idx="10">
                  <c:v>0.35569158305836607</c:v>
                </c:pt>
                <c:pt idx="11">
                  <c:v>0.16508861905557687</c:v>
                </c:pt>
                <c:pt idx="12">
                  <c:v>6.0176601627870432E-2</c:v>
                </c:pt>
                <c:pt idx="13">
                  <c:v>-0.13874288331323245</c:v>
                </c:pt>
                <c:pt idx="14">
                  <c:v>-0.25240045091449731</c:v>
                </c:pt>
                <c:pt idx="15">
                  <c:v>-0.22682214751648944</c:v>
                </c:pt>
                <c:pt idx="16">
                  <c:v>-7.1054531040185123E-2</c:v>
                </c:pt>
                <c:pt idx="17">
                  <c:v>0.14652667240025907</c:v>
                </c:pt>
                <c:pt idx="18">
                  <c:v>0.11119905360655896</c:v>
                </c:pt>
                <c:pt idx="19">
                  <c:v>0.11216122907512589</c:v>
                </c:pt>
              </c:numCache>
            </c:numRef>
          </c:val>
        </c:ser>
        <c:ser>
          <c:idx val="0"/>
          <c:order val="4"/>
          <c:tx>
            <c:strRef>
              <c:f>'souhrnná výkonnost 4'!$G$5</c:f>
              <c:strCache>
                <c:ptCount val="1"/>
                <c:pt idx="0">
                  <c:v>Služby (CZ-NACE G až U)</c:v>
                </c:pt>
              </c:strCache>
            </c:strRef>
          </c:tx>
          <c:spPr>
            <a:solidFill>
              <a:srgbClr val="7DBB2D"/>
            </a:solidFill>
            <a:ln>
              <a:noFill/>
            </a:ln>
          </c:spPr>
          <c:val>
            <c:numRef>
              <c:f>'souhrnná výkonnost 4'!$G$10:$G$29</c:f>
              <c:numCache>
                <c:formatCode>0.0</c:formatCode>
                <c:ptCount val="20"/>
                <c:pt idx="0">
                  <c:v>0.3764483951999521</c:v>
                </c:pt>
                <c:pt idx="1">
                  <c:v>0.81261671036245109</c:v>
                </c:pt>
                <c:pt idx="2">
                  <c:v>1.016694702729785</c:v>
                </c:pt>
                <c:pt idx="3">
                  <c:v>1.3689952261875691</c:v>
                </c:pt>
                <c:pt idx="4">
                  <c:v>1.2580269123348964</c:v>
                </c:pt>
                <c:pt idx="5">
                  <c:v>1.3856652786986978</c:v>
                </c:pt>
                <c:pt idx="6">
                  <c:v>1.6254915583254212</c:v>
                </c:pt>
                <c:pt idx="7">
                  <c:v>1.6641765372351613</c:v>
                </c:pt>
                <c:pt idx="8">
                  <c:v>2.2624440762395142</c:v>
                </c:pt>
                <c:pt idx="9">
                  <c:v>2.9696553573602107</c:v>
                </c:pt>
                <c:pt idx="10">
                  <c:v>3.3867849325780148</c:v>
                </c:pt>
                <c:pt idx="11">
                  <c:v>3.5053477898363856</c:v>
                </c:pt>
                <c:pt idx="12">
                  <c:v>2.2395224984374402</c:v>
                </c:pt>
                <c:pt idx="13">
                  <c:v>1.131058441483757</c:v>
                </c:pt>
                <c:pt idx="14">
                  <c:v>0.12888406553309981</c:v>
                </c:pt>
                <c:pt idx="15">
                  <c:v>-0.27609394109782032</c:v>
                </c:pt>
                <c:pt idx="16">
                  <c:v>0.80118882358588694</c:v>
                </c:pt>
                <c:pt idx="17">
                  <c:v>2.1714731564025342</c:v>
                </c:pt>
                <c:pt idx="18" formatCode="General">
                  <c:v>2.577516904958391</c:v>
                </c:pt>
                <c:pt idx="19" formatCode="General">
                  <c:v>2.8454982134076379</c:v>
                </c:pt>
              </c:numCache>
            </c:numRef>
          </c:val>
        </c:ser>
        <c:gapWidth val="70"/>
        <c:overlap val="100"/>
        <c:axId val="192950272"/>
        <c:axId val="192954368"/>
      </c:barChart>
      <c:lineChart>
        <c:grouping val="standard"/>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'souhrnná výkonnost 4'!$H$10:$H$29</c:f>
              <c:numCache>
                <c:formatCode>#,##0.0</c:formatCode>
                <c:ptCount val="20"/>
                <c:pt idx="0">
                  <c:v>-1.5564064599066569</c:v>
                </c:pt>
                <c:pt idx="1">
                  <c:v>-0.85476160118254663</c:v>
                </c:pt>
                <c:pt idx="2">
                  <c:v>-0.23921578851919759</c:v>
                </c:pt>
                <c:pt idx="3">
                  <c:v>0.69357314385265545</c:v>
                </c:pt>
                <c:pt idx="4">
                  <c:v>2.3418618184973092</c:v>
                </c:pt>
                <c:pt idx="5">
                  <c:v>2.9853700509145402</c:v>
                </c:pt>
                <c:pt idx="6">
                  <c:v>3.7747323841488187</c:v>
                </c:pt>
                <c:pt idx="7">
                  <c:v>4.4884230044467071</c:v>
                </c:pt>
                <c:pt idx="8">
                  <c:v>4.6030533672095215</c:v>
                </c:pt>
                <c:pt idx="9">
                  <c:v>5.0290309680465262</c:v>
                </c:pt>
                <c:pt idx="10">
                  <c:v>5.2622941596795165</c:v>
                </c:pt>
                <c:pt idx="11">
                  <c:v>4.357242052869359</c:v>
                </c:pt>
                <c:pt idx="12">
                  <c:v>3.3617514038440377</c:v>
                </c:pt>
                <c:pt idx="13">
                  <c:v>2.7921029280771741</c:v>
                </c:pt>
                <c:pt idx="14">
                  <c:v>1.7671103559341004</c:v>
                </c:pt>
                <c:pt idx="15">
                  <c:v>1.7915027023020438</c:v>
                </c:pt>
                <c:pt idx="16">
                  <c:v>2.9850934562979412</c:v>
                </c:pt>
                <c:pt idx="17">
                  <c:v>4.5669487030454166</c:v>
                </c:pt>
                <c:pt idx="18">
                  <c:v>5.2300017321239434</c:v>
                </c:pt>
                <c:pt idx="19">
                  <c:v>5.373455082647852</c:v>
                </c:pt>
              </c:numCache>
            </c:numRef>
          </c:val>
        </c:ser>
        <c:marker val="1"/>
        <c:axId val="192950272"/>
        <c:axId val="192954368"/>
      </c:lineChart>
      <c:catAx>
        <c:axId val="192950272"/>
        <c:scaling>
          <c:orientation val="minMax"/>
        </c:scaling>
        <c:axPos val="b"/>
        <c:tickLblPos val="low"/>
        <c:spPr>
          <a:ln>
            <a:solidFill>
              <a:schemeClr val="tx1"/>
            </a:solidFill>
          </a:ln>
        </c:spPr>
        <c:txPr>
          <a:bodyPr rot="0" vert="horz"/>
          <a:lstStyle/>
          <a:p>
            <a:pPr>
              <a:defRPr/>
            </a:pPr>
            <a:endParaRPr lang="cs-CZ"/>
          </a:p>
        </c:txPr>
        <c:crossAx val="192954368"/>
        <c:crosses val="autoZero"/>
        <c:auto val="1"/>
        <c:lblAlgn val="ctr"/>
        <c:lblOffset val="100"/>
      </c:catAx>
      <c:valAx>
        <c:axId val="192954368"/>
        <c:scaling>
          <c:orientation val="minMax"/>
          <c:max val="6"/>
          <c:min val="-3"/>
        </c:scaling>
        <c:axPos val="l"/>
        <c:majorGridlines>
          <c:spPr>
            <a:ln w="6350">
              <a:solidFill>
                <a:schemeClr val="bg1">
                  <a:lumMod val="75000"/>
                </a:schemeClr>
              </a:solidFill>
            </a:ln>
          </c:spPr>
        </c:majorGridlines>
        <c:numFmt formatCode="0" sourceLinked="0"/>
        <c:tickLblPos val="nextTo"/>
        <c:spPr>
          <a:ln>
            <a:solidFill>
              <a:schemeClr val="tx1"/>
            </a:solidFill>
          </a:ln>
        </c:spPr>
        <c:crossAx val="192950272"/>
        <c:crosses val="autoZero"/>
        <c:crossBetween val="between"/>
        <c:majorUnit val="1"/>
      </c:valAx>
      <c:spPr>
        <a:ln>
          <a:solidFill>
            <a:schemeClr val="tx1"/>
          </a:solidFill>
        </a:ln>
      </c:spPr>
    </c:plotArea>
    <c:legend>
      <c:legendPos val="b"/>
      <c:layout>
        <c:manualLayout>
          <c:xMode val="edge"/>
          <c:yMode val="edge"/>
          <c:x val="4.0740881458966573E-2"/>
          <c:y val="0.79016604750647301"/>
          <c:w val="0.93726823708206686"/>
          <c:h val="0.19462484520994899"/>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0EDE4-B818-4F29-B78B-0BBFA8520629}">
  <ds:schemaRefs>
    <ds:schemaRef ds:uri="http://schemas.openxmlformats.org/officeDocument/2006/bibliography"/>
  </ds:schemaRefs>
</ds:datastoreItem>
</file>

<file path=customXml/itemProps2.xml><?xml version="1.0" encoding="utf-8"?>
<ds:datastoreItem xmlns:ds="http://schemas.openxmlformats.org/officeDocument/2006/customXml" ds:itemID="{E1C88BDD-4AA7-49FA-9197-A1E09E4F77C9}">
  <ds:schemaRefs>
    <ds:schemaRef ds:uri="http://schemas.openxmlformats.org/officeDocument/2006/bibliography"/>
  </ds:schemaRefs>
</ds:datastoreItem>
</file>

<file path=customXml/itemProps3.xml><?xml version="1.0" encoding="utf-8"?>
<ds:datastoreItem xmlns:ds="http://schemas.openxmlformats.org/officeDocument/2006/customXml" ds:itemID="{15E5A913-9747-4466-BDC6-ACAC8BE9791B}">
  <ds:schemaRefs>
    <ds:schemaRef ds:uri="http://schemas.openxmlformats.org/officeDocument/2006/bibliography"/>
  </ds:schemaRefs>
</ds:datastoreItem>
</file>

<file path=customXml/itemProps4.xml><?xml version="1.0" encoding="utf-8"?>
<ds:datastoreItem xmlns:ds="http://schemas.openxmlformats.org/officeDocument/2006/customXml" ds:itemID="{52132D06-209F-4FEC-BBE2-28A4813E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2</TotalTime>
  <Pages>4</Pages>
  <Words>1444</Words>
  <Characters>8520</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9945</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2018-03-14T17:02:00Z</cp:lastPrinted>
  <dcterms:created xsi:type="dcterms:W3CDTF">2018-03-22T15:35:00Z</dcterms:created>
  <dcterms:modified xsi:type="dcterms:W3CDTF">2018-03-22T15:37:00Z</dcterms:modified>
</cp:coreProperties>
</file>