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567FF9" w:rsidP="006C49F4">
      <w:pPr>
        <w:pStyle w:val="datum"/>
        <w:spacing w:line="276" w:lineRule="auto"/>
        <w:rPr>
          <w:color w:val="BD1B16"/>
        </w:rPr>
      </w:pPr>
      <w:r>
        <w:t>29</w:t>
      </w:r>
      <w:r w:rsidR="006C49F4">
        <w:t xml:space="preserve">. </w:t>
      </w:r>
      <w:r w:rsidR="00D82C64">
        <w:t>7</w:t>
      </w:r>
      <w:r w:rsidR="006C49F4">
        <w:t>. 201</w:t>
      </w:r>
      <w:r w:rsidR="00933775">
        <w:t>6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6C49F4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B40E81">
        <w:rPr>
          <w:rFonts w:cs="Arial"/>
          <w:b/>
          <w:szCs w:val="18"/>
        </w:rPr>
        <w:t xml:space="preserve">V 1. čtvrtletí roku 2016 </w:t>
      </w:r>
      <w:r w:rsidR="00E7276A">
        <w:rPr>
          <w:rFonts w:cs="Arial"/>
          <w:b/>
          <w:szCs w:val="18"/>
        </w:rPr>
        <w:t>se t</w:t>
      </w:r>
      <w:r w:rsidR="004724F2">
        <w:rPr>
          <w:rFonts w:cs="Arial"/>
          <w:b/>
          <w:szCs w:val="18"/>
        </w:rPr>
        <w:t>éměř ve všech zemích</w:t>
      </w:r>
      <w:r w:rsidR="00BB7C3A">
        <w:rPr>
          <w:rFonts w:cs="Arial"/>
          <w:b/>
          <w:szCs w:val="18"/>
        </w:rPr>
        <w:t xml:space="preserve"> </w:t>
      </w:r>
      <w:r w:rsidR="00E7276A">
        <w:rPr>
          <w:rFonts w:cs="Arial"/>
          <w:b/>
          <w:szCs w:val="18"/>
        </w:rPr>
        <w:t>EU28 </w:t>
      </w:r>
      <w:r w:rsidR="00087B70">
        <w:rPr>
          <w:rFonts w:cs="Arial"/>
          <w:b/>
          <w:szCs w:val="18"/>
        </w:rPr>
        <w:t xml:space="preserve">míra zaměstnanosti </w:t>
      </w:r>
      <w:r w:rsidR="007D4C69">
        <w:rPr>
          <w:rFonts w:cs="Arial"/>
          <w:b/>
          <w:szCs w:val="18"/>
        </w:rPr>
        <w:t xml:space="preserve">20-64letých </w:t>
      </w:r>
      <w:r w:rsidR="00D62326">
        <w:rPr>
          <w:rFonts w:cs="Arial"/>
          <w:b/>
          <w:szCs w:val="18"/>
        </w:rPr>
        <w:t>meziročně zvýšila. Ke stanovenému cíli</w:t>
      </w:r>
      <w:r w:rsidR="00087B70">
        <w:rPr>
          <w:rFonts w:cs="Arial"/>
          <w:b/>
          <w:szCs w:val="18"/>
        </w:rPr>
        <w:t xml:space="preserve"> </w:t>
      </w:r>
      <w:r w:rsidR="004724F2">
        <w:rPr>
          <w:rFonts w:cs="Arial"/>
          <w:b/>
          <w:szCs w:val="18"/>
        </w:rPr>
        <w:t>členským zemím EU</w:t>
      </w:r>
      <w:r w:rsidR="00D62326">
        <w:rPr>
          <w:rFonts w:cs="Arial"/>
          <w:b/>
          <w:szCs w:val="18"/>
        </w:rPr>
        <w:t xml:space="preserve"> </w:t>
      </w:r>
      <w:r w:rsidR="00284B9F">
        <w:rPr>
          <w:rFonts w:cs="Arial"/>
          <w:b/>
          <w:szCs w:val="18"/>
        </w:rPr>
        <w:t>ovšem stále chybí v průměru 4,8</w:t>
      </w:r>
      <w:r w:rsidR="00087B70">
        <w:rPr>
          <w:rFonts w:cs="Arial"/>
          <w:b/>
          <w:szCs w:val="18"/>
        </w:rPr>
        <w:t xml:space="preserve"> procentního bodu. </w:t>
      </w:r>
      <w:r w:rsidR="00D91BAF">
        <w:rPr>
          <w:rFonts w:cs="Arial"/>
          <w:b/>
          <w:szCs w:val="18"/>
        </w:rPr>
        <w:t xml:space="preserve">Za </w:t>
      </w:r>
      <w:r w:rsidR="00587D4F">
        <w:rPr>
          <w:rFonts w:cs="Arial"/>
          <w:b/>
          <w:szCs w:val="18"/>
        </w:rPr>
        <w:t>poslední rok je to opakovaně</w:t>
      </w:r>
      <w:r w:rsidR="00D91BAF">
        <w:rPr>
          <w:rFonts w:cs="Arial"/>
          <w:b/>
          <w:szCs w:val="18"/>
        </w:rPr>
        <w:t>, kdy byla zaměstnanost v</w:t>
      </w:r>
      <w:r w:rsidR="00D62326">
        <w:rPr>
          <w:rFonts w:cs="Arial"/>
          <w:b/>
          <w:szCs w:val="18"/>
        </w:rPr>
        <w:t xml:space="preserve"> České republice u muž</w:t>
      </w:r>
      <w:r w:rsidR="00D91BAF">
        <w:rPr>
          <w:rFonts w:cs="Arial"/>
          <w:b/>
          <w:szCs w:val="18"/>
        </w:rPr>
        <w:t>ů v tomto věku</w:t>
      </w:r>
      <w:r w:rsidR="00D62326">
        <w:rPr>
          <w:rFonts w:cs="Arial"/>
          <w:b/>
          <w:szCs w:val="18"/>
        </w:rPr>
        <w:t xml:space="preserve"> v rámci unie vůbec nejvyšší</w:t>
      </w:r>
      <w:r w:rsidR="008B6481">
        <w:rPr>
          <w:rFonts w:cs="Arial"/>
          <w:b/>
          <w:szCs w:val="18"/>
        </w:rPr>
        <w:t>. C</w:t>
      </w:r>
      <w:r w:rsidR="00531F87">
        <w:rPr>
          <w:rFonts w:cs="Arial"/>
          <w:b/>
          <w:szCs w:val="18"/>
        </w:rPr>
        <w:t xml:space="preserve">elková </w:t>
      </w:r>
      <w:r>
        <w:rPr>
          <w:rFonts w:cs="Arial"/>
          <w:b/>
          <w:szCs w:val="18"/>
        </w:rPr>
        <w:t>mí</w:t>
      </w:r>
      <w:r w:rsidR="00D62326">
        <w:rPr>
          <w:rFonts w:cs="Arial"/>
          <w:b/>
          <w:szCs w:val="18"/>
        </w:rPr>
        <w:t>ra nezaměstnanosti dosáhla v</w:t>
      </w:r>
      <w:r w:rsidR="00D91BAF">
        <w:rPr>
          <w:rFonts w:cs="Arial"/>
          <w:b/>
          <w:szCs w:val="18"/>
        </w:rPr>
        <w:t> </w:t>
      </w:r>
      <w:r w:rsidR="00D62326">
        <w:rPr>
          <w:rFonts w:cs="Arial"/>
          <w:b/>
          <w:szCs w:val="18"/>
        </w:rPr>
        <w:t>ČR</w:t>
      </w:r>
      <w:r w:rsidR="00D91BAF">
        <w:rPr>
          <w:rFonts w:cs="Arial"/>
          <w:b/>
          <w:szCs w:val="18"/>
        </w:rPr>
        <w:t xml:space="preserve"> stejně jako minulé období</w:t>
      </w:r>
      <w:r>
        <w:rPr>
          <w:rFonts w:cs="Arial"/>
          <w:b/>
          <w:szCs w:val="18"/>
        </w:rPr>
        <w:t xml:space="preserve"> nejnižší</w:t>
      </w:r>
      <w:r w:rsidR="00D62326">
        <w:rPr>
          <w:rFonts w:cs="Arial"/>
          <w:b/>
          <w:szCs w:val="18"/>
        </w:rPr>
        <w:t xml:space="preserve"> úrovně</w:t>
      </w:r>
      <w:r>
        <w:rPr>
          <w:rFonts w:cs="Arial"/>
          <w:b/>
          <w:szCs w:val="18"/>
        </w:rPr>
        <w:t>.</w:t>
      </w:r>
    </w:p>
    <w:p w:rsidR="00BE2FD6" w:rsidRDefault="00BE2FD6" w:rsidP="006C49F4">
      <w:pPr>
        <w:rPr>
          <w:b/>
        </w:rPr>
      </w:pPr>
      <w:r w:rsidRPr="00BE2FD6">
        <w:rPr>
          <w:b/>
        </w:rPr>
        <w:t>Míra zaměstnanosti ve věku 20-64 let</w:t>
      </w:r>
      <w:r w:rsidR="00CD685F">
        <w:rPr>
          <w:b/>
        </w:rPr>
        <w:t xml:space="preserve"> je v České republice </w:t>
      </w:r>
      <w:r w:rsidR="000F33D8">
        <w:rPr>
          <w:b/>
        </w:rPr>
        <w:t>již šestá</w:t>
      </w:r>
      <w:r w:rsidR="00CD685F">
        <w:rPr>
          <w:b/>
        </w:rPr>
        <w:t xml:space="preserve"> nejvyšší v</w:t>
      </w:r>
      <w:r w:rsidR="004724F2">
        <w:rPr>
          <w:b/>
        </w:rPr>
        <w:t> </w:t>
      </w:r>
      <w:r w:rsidR="00CD685F">
        <w:rPr>
          <w:b/>
        </w:rPr>
        <w:t>EU</w:t>
      </w:r>
    </w:p>
    <w:p w:rsidR="004724F2" w:rsidRDefault="004724F2" w:rsidP="006C49F4">
      <w:pPr>
        <w:rPr>
          <w:b/>
        </w:rPr>
      </w:pPr>
    </w:p>
    <w:p w:rsidR="006C49F4" w:rsidRDefault="00EF17F6" w:rsidP="006C49F4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20-64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>%. V</w:t>
      </w:r>
      <w:r w:rsidR="006C49F4">
        <w:t xml:space="preserve"> </w:t>
      </w:r>
      <w:r w:rsidR="000F33D8">
        <w:t>1</w:t>
      </w:r>
      <w:r w:rsidR="006C49F4">
        <w:t>.</w:t>
      </w:r>
      <w:r w:rsidR="001F3A63">
        <w:t> </w:t>
      </w:r>
      <w:r w:rsidR="006C49F4">
        <w:t>čtvrtletí 201</w:t>
      </w:r>
      <w:r w:rsidR="000F33D8">
        <w:t>6</w:t>
      </w:r>
      <w:r w:rsidR="006C49F4">
        <w:t xml:space="preserve"> v zemích EU28 </w:t>
      </w:r>
      <w:r w:rsidR="004D467B">
        <w:t xml:space="preserve">dosahovala </w:t>
      </w:r>
      <w:r w:rsidR="00D14C54">
        <w:t>70</w:t>
      </w:r>
      <w:r w:rsidR="000F33D8">
        <w:t>,2</w:t>
      </w:r>
      <w:r w:rsidR="00D14C54">
        <w:t xml:space="preserve"> procent</w:t>
      </w:r>
      <w:r w:rsidR="000B2C96">
        <w:t>.</w:t>
      </w:r>
      <w:r w:rsidR="00684BED">
        <w:t xml:space="preserve"> Míra zaměstnanosti mužů (</w:t>
      </w:r>
      <w:r w:rsidR="006C49F4">
        <w:t>7</w:t>
      </w:r>
      <w:r w:rsidR="00645FBE">
        <w:t>5</w:t>
      </w:r>
      <w:r w:rsidR="008610D9">
        <w:t>,</w:t>
      </w:r>
      <w:r w:rsidR="00645FBE">
        <w:t>9</w:t>
      </w:r>
      <w:r w:rsidR="00C472F8">
        <w:t xml:space="preserve"> </w:t>
      </w:r>
      <w:r w:rsidR="00684BED">
        <w:t>%)</w:t>
      </w:r>
      <w:r w:rsidR="006C49F4">
        <w:t xml:space="preserve"> </w:t>
      </w:r>
      <w:r w:rsidR="00645FBE">
        <w:t>stále</w:t>
      </w:r>
      <w:r w:rsidR="004724F2">
        <w:t xml:space="preserve"> </w:t>
      </w:r>
      <w:r w:rsidR="006C49F4">
        <w:t>přev</w:t>
      </w:r>
      <w:r w:rsidR="00677C25">
        <w:t xml:space="preserve">yšovala míru zaměstnanosti </w:t>
      </w:r>
      <w:r w:rsidR="0028454A">
        <w:t>žen (64,6</w:t>
      </w:r>
      <w:r w:rsidR="009D5BCA">
        <w:t> </w:t>
      </w:r>
      <w:r w:rsidR="004724F2">
        <w:t>%)</w:t>
      </w:r>
      <w:r w:rsidR="00677C25">
        <w:t xml:space="preserve">. </w:t>
      </w:r>
    </w:p>
    <w:p w:rsidR="008B5F76" w:rsidRDefault="008B5F76" w:rsidP="006C49F4"/>
    <w:p w:rsidR="00456B83" w:rsidRDefault="006C49F4" w:rsidP="006C49F4">
      <w:r>
        <w:t xml:space="preserve">Tabulka seřazená od nejvyšších hodnot k nejnižším </w:t>
      </w:r>
      <w:r w:rsidR="00456B83">
        <w:t xml:space="preserve">ukazuje, že si </w:t>
      </w:r>
      <w:r w:rsidR="00FB0495">
        <w:t xml:space="preserve">vysokou míru zaměstnanosti udržují </w:t>
      </w:r>
      <w:r w:rsidR="00D14C54">
        <w:t>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D14C54">
        <w:t>některé země západní Evropy a naše republika.</w:t>
      </w:r>
      <w:r>
        <w:t xml:space="preserve"> </w:t>
      </w:r>
      <w:r w:rsidR="004724F2">
        <w:t>Nejvyšší míry</w:t>
      </w:r>
      <w:r w:rsidR="00271012">
        <w:t xml:space="preserve"> zaměstnanosti </w:t>
      </w:r>
      <w:r w:rsidR="00B5604A">
        <w:t>dlouhodobě dosahuje Švédsko (</w:t>
      </w:r>
      <w:r w:rsidR="00AF74F6">
        <w:t>80</w:t>
      </w:r>
      <w:r>
        <w:t>,</w:t>
      </w:r>
      <w:r w:rsidR="00456B83">
        <w:t>0</w:t>
      </w:r>
      <w:r w:rsidR="004724F2">
        <w:t>)</w:t>
      </w:r>
      <w:r w:rsidR="00B5604A">
        <w:t>. Naopak nejnižší mír</w:t>
      </w:r>
      <w:r w:rsidR="00456B83">
        <w:t>a zaměstnanosti je v Řecku (v 1. čtvrtletí 2016 pouze 55,1</w:t>
      </w:r>
      <w:r w:rsidR="00C472F8">
        <w:t xml:space="preserve"> </w:t>
      </w:r>
      <w:r w:rsidR="00E14D35">
        <w:t xml:space="preserve">%), </w:t>
      </w:r>
      <w:r w:rsidR="00E14D35" w:rsidRPr="00D84B0D">
        <w:t>kde</w:t>
      </w:r>
      <w:r w:rsidR="00B5604A" w:rsidRPr="00D84B0D">
        <w:t xml:space="preserve"> je dokonce</w:t>
      </w:r>
      <w:r w:rsidR="00E14D35" w:rsidRPr="00D84B0D">
        <w:t xml:space="preserve"> míra zaměstnanosti žen </w:t>
      </w:r>
      <w:r w:rsidR="00456B83" w:rsidRPr="00D84B0D">
        <w:t xml:space="preserve">stále </w:t>
      </w:r>
      <w:r w:rsidR="00B5604A" w:rsidRPr="00D84B0D">
        <w:t>pod 50 procenty.</w:t>
      </w:r>
      <w:r w:rsidR="002D0A87" w:rsidRPr="00D84B0D">
        <w:t xml:space="preserve"> </w:t>
      </w:r>
      <w:r w:rsidR="00456B83">
        <w:t xml:space="preserve">Z posledních let si soustavně zvyšuje zaměstnanost Maďarsko, Litva, Česká republika i Slovensko. </w:t>
      </w:r>
      <w:r w:rsidR="00A613B4">
        <w:t>Meziročně n</w:t>
      </w:r>
      <w:r w:rsidR="00BB1A16">
        <w:t>ejvyšší nárůst zaměstnanosti zaznamenalo</w:t>
      </w:r>
      <w:r w:rsidR="00587D4F">
        <w:t xml:space="preserve"> Maďarsko o 2,7</w:t>
      </w:r>
      <w:r w:rsidR="00A613B4">
        <w:t xml:space="preserve"> procentního bodu.</w:t>
      </w:r>
      <w:r w:rsidR="00BB1A16">
        <w:t xml:space="preserve"> V Lucembursku se jako jedné z mála zemí naopak</w:t>
      </w:r>
      <w:r w:rsidR="001A0A45">
        <w:t xml:space="preserve"> zaměstnanost meziročně snížila, a to o 0,6 procentního bodu. </w:t>
      </w:r>
    </w:p>
    <w:p w:rsidR="00987684" w:rsidRDefault="00987684" w:rsidP="006C49F4"/>
    <w:p w:rsidR="006E0268" w:rsidRDefault="00987684" w:rsidP="006C49F4">
      <w:r>
        <w:t>Průměrná</w:t>
      </w:r>
      <w:r w:rsidR="009D6998">
        <w:t xml:space="preserve"> úroveň zaměstnanosti</w:t>
      </w:r>
      <w:r w:rsidR="009F3AB2">
        <w:t xml:space="preserve"> v zemích EU28</w:t>
      </w:r>
      <w:r w:rsidR="006D13AE">
        <w:t xml:space="preserve"> v porovnání s minulým obdobím</w:t>
      </w:r>
      <w:r w:rsidR="009D6998">
        <w:t xml:space="preserve"> v</w:t>
      </w:r>
      <w:r w:rsidR="006C49F4">
        <w:t> </w:t>
      </w:r>
      <w:r>
        <w:t>1</w:t>
      </w:r>
      <w:r w:rsidR="006C49F4">
        <w:t>. čtvrtletí 201</w:t>
      </w:r>
      <w:r>
        <w:t>6</w:t>
      </w:r>
      <w:r w:rsidR="006C49F4">
        <w:t xml:space="preserve"> </w:t>
      </w:r>
      <w:r w:rsidR="009F3AB2">
        <w:t>mírně spadla.</w:t>
      </w:r>
      <w:r w:rsidR="009D6998">
        <w:t xml:space="preserve"> </w:t>
      </w:r>
      <w:r w:rsidR="00E02ECE">
        <w:t>I tak si c</w:t>
      </w:r>
      <w:r w:rsidR="009F3AB2">
        <w:t>ílovou hranici</w:t>
      </w:r>
      <w:r w:rsidR="00E02ECE">
        <w:t xml:space="preserve"> 75 %</w:t>
      </w:r>
      <w:r w:rsidR="00807A78">
        <w:t xml:space="preserve"> udrželo</w:t>
      </w:r>
      <w:r w:rsidR="006C49F4">
        <w:t xml:space="preserve"> </w:t>
      </w:r>
      <w:r w:rsidR="009F3AB2">
        <w:t xml:space="preserve">stále </w:t>
      </w:r>
      <w:r w:rsidR="006C49F4">
        <w:t xml:space="preserve">celkem </w:t>
      </w:r>
      <w:r w:rsidR="00807A78">
        <w:t>sedm</w:t>
      </w:r>
      <w:r w:rsidR="006C49F4">
        <w:t xml:space="preserve"> států</w:t>
      </w:r>
      <w:r w:rsidR="00463B1E">
        <w:t xml:space="preserve"> včetně České republiky</w:t>
      </w:r>
      <w:r w:rsidR="006C49F4">
        <w:t xml:space="preserve"> (Švédsko, Německo, </w:t>
      </w:r>
      <w:r w:rsidR="001533F3">
        <w:t xml:space="preserve">Spojené království, </w:t>
      </w:r>
      <w:r w:rsidR="001A2A5A">
        <w:t xml:space="preserve">Dánsko, </w:t>
      </w:r>
      <w:r w:rsidR="001F3A63">
        <w:t>Nizozemsko</w:t>
      </w:r>
      <w:r w:rsidR="00463B1E">
        <w:t>, Česk</w:t>
      </w:r>
      <w:r w:rsidR="009D6998">
        <w:t>á republika</w:t>
      </w:r>
      <w:r w:rsidR="009F3AB2">
        <w:t xml:space="preserve"> a Estonsko</w:t>
      </w:r>
      <w:r w:rsidR="006C49F4">
        <w:t xml:space="preserve">). </w:t>
      </w:r>
      <w:r w:rsidR="006E0268">
        <w:t>Na druhé st</w:t>
      </w:r>
      <w:r w:rsidR="009D6998">
        <w:t>raně je míra zaměstnanosti stále</w:t>
      </w:r>
      <w:r w:rsidR="006E0268">
        <w:t xml:space="preserve"> velmi nízká v jižních státech </w:t>
      </w:r>
      <w:r w:rsidR="005A14AE">
        <w:t xml:space="preserve">Evropské </w:t>
      </w:r>
      <w:r w:rsidR="006E0268">
        <w:t>unie. Kromě Řecka se to týká hlavně</w:t>
      </w:r>
      <w:r w:rsidR="009D6998">
        <w:t xml:space="preserve"> Chorvatska, Itálie,</w:t>
      </w:r>
      <w:r w:rsidR="00595202">
        <w:t xml:space="preserve"> Španělska</w:t>
      </w:r>
      <w:r w:rsidR="009F3AB2">
        <w:t xml:space="preserve">, </w:t>
      </w:r>
      <w:r w:rsidR="009D6998">
        <w:t>Rumunska</w:t>
      </w:r>
      <w:r w:rsidR="00E02ECE">
        <w:t xml:space="preserve"> a za 1. čtvrtletí i Bulharska</w:t>
      </w:r>
      <w:r w:rsidR="006E0268">
        <w:t>, kde nepracuje více než třetina populace v</w:t>
      </w:r>
      <w:r w:rsidR="005528C2">
        <w:t xml:space="preserve"> tomto </w:t>
      </w:r>
      <w:r w:rsidR="006E0268">
        <w:t>produktivním věku.</w:t>
      </w:r>
    </w:p>
    <w:p w:rsidR="008B5F76" w:rsidRDefault="008B5F76" w:rsidP="006C49F4"/>
    <w:p w:rsidR="006E0268" w:rsidRDefault="00744F9E" w:rsidP="006C49F4">
      <w:r>
        <w:t>Ve všech členských zemí</w:t>
      </w:r>
      <w:r w:rsidR="0026665F">
        <w:t>ch</w:t>
      </w:r>
      <w:r>
        <w:t xml:space="preserve"> je míra zaměstnanosti mužů </w:t>
      </w:r>
      <w:r w:rsidR="00EC278A">
        <w:t xml:space="preserve">více či méně </w:t>
      </w:r>
      <w:r>
        <w:t>vyš</w:t>
      </w:r>
      <w:r w:rsidR="00595202">
        <w:t>ší než míra zaměstnanosti žen.</w:t>
      </w:r>
      <w:r w:rsidR="00CC421F">
        <w:t xml:space="preserve"> </w:t>
      </w:r>
      <w:r w:rsidR="00E20DC1">
        <w:t>Nejvyšší míra</w:t>
      </w:r>
      <w:r>
        <w:t xml:space="preserve"> zaměstnanosti mužů byla</w:t>
      </w:r>
      <w:r w:rsidR="005A14AE">
        <w:t xml:space="preserve"> </w:t>
      </w:r>
      <w:r>
        <w:t>v</w:t>
      </w:r>
      <w:r w:rsidR="005A14AE">
        <w:t xml:space="preserve"> 1</w:t>
      </w:r>
      <w:r>
        <w:t>.</w:t>
      </w:r>
      <w:r w:rsidR="00CC421F">
        <w:t xml:space="preserve"> čtvrtletí</w:t>
      </w:r>
      <w:r w:rsidR="00587AD9">
        <w:t xml:space="preserve"> roku</w:t>
      </w:r>
      <w:r w:rsidR="005A14AE">
        <w:t xml:space="preserve"> 2016</w:t>
      </w:r>
      <w:r w:rsidR="00C75735">
        <w:t xml:space="preserve"> </w:t>
      </w:r>
      <w:r w:rsidR="00555416">
        <w:t xml:space="preserve">opět </w:t>
      </w:r>
      <w:r>
        <w:t>v</w:t>
      </w:r>
      <w:r w:rsidR="00CC5E0D">
        <w:t> České republice (83,7</w:t>
      </w:r>
      <w:r w:rsidR="00C472F8">
        <w:t xml:space="preserve"> </w:t>
      </w:r>
      <w:r w:rsidR="00EF4C84">
        <w:t>%), poté v</w:t>
      </w:r>
      <w:r w:rsidR="00CC5E0D">
        <w:t>e</w:t>
      </w:r>
      <w:r>
        <w:t> </w:t>
      </w:r>
      <w:r w:rsidR="00CC5E0D">
        <w:t xml:space="preserve">Spojeném království </w:t>
      </w:r>
      <w:r w:rsidR="00C75735">
        <w:t>(82,8</w:t>
      </w:r>
      <w:r w:rsidR="00C472F8">
        <w:t xml:space="preserve"> </w:t>
      </w:r>
      <w:r>
        <w:t>%)</w:t>
      </w:r>
      <w:r w:rsidR="00CC5E0D">
        <w:t xml:space="preserve"> a Německu</w:t>
      </w:r>
      <w:r w:rsidR="00555416">
        <w:t xml:space="preserve"> (82</w:t>
      </w:r>
      <w:r w:rsidR="00EF4C84">
        <w:t>,</w:t>
      </w:r>
      <w:r w:rsidR="00555416">
        <w:t>3</w:t>
      </w:r>
      <w:r w:rsidR="00C472F8">
        <w:t xml:space="preserve"> </w:t>
      </w:r>
      <w:r w:rsidR="00EF4C84">
        <w:t xml:space="preserve">%). Míru zaměstnanosti žen </w:t>
      </w:r>
      <w:r w:rsidR="00555416">
        <w:t xml:space="preserve">dlouhodobě </w:t>
      </w:r>
      <w:r w:rsidR="00EF4C84">
        <w:t>suveré</w:t>
      </w:r>
      <w:r w:rsidR="001852C5">
        <w:t>nně vede Šv</w:t>
      </w:r>
      <w:r w:rsidR="00555416">
        <w:t>édsko s 78,2</w:t>
      </w:r>
      <w:r w:rsidR="001852C5">
        <w:t>%</w:t>
      </w:r>
      <w:r w:rsidR="00EF4C84">
        <w:t xml:space="preserve">. V ČR zaměstnanost žen </w:t>
      </w:r>
      <w:r w:rsidR="00115C5D">
        <w:t>dosáhla</w:t>
      </w:r>
      <w:r w:rsidR="00356D50">
        <w:t xml:space="preserve"> 67,5</w:t>
      </w:r>
      <w:r w:rsidR="00FC5021">
        <w:t>%</w:t>
      </w:r>
      <w:r w:rsidR="00EF4C84">
        <w:t xml:space="preserve">, </w:t>
      </w:r>
      <w:r w:rsidR="00FC5021">
        <w:t xml:space="preserve">rozdíl </w:t>
      </w:r>
      <w:r w:rsidR="00587AD9">
        <w:t xml:space="preserve">mezi </w:t>
      </w:r>
      <w:r w:rsidR="00FC5021">
        <w:t>m</w:t>
      </w:r>
      <w:r w:rsidR="008B5F76">
        <w:t xml:space="preserve">uži a ženami </w:t>
      </w:r>
      <w:r w:rsidR="00115C5D">
        <w:t xml:space="preserve">patří </w:t>
      </w:r>
      <w:r w:rsidR="008B5F76">
        <w:t xml:space="preserve">v této míře </w:t>
      </w:r>
      <w:r w:rsidR="00E14296">
        <w:t>spíše k vyšším</w:t>
      </w:r>
      <w:r w:rsidR="00FC5021">
        <w:t xml:space="preserve"> v EU.</w:t>
      </w:r>
    </w:p>
    <w:p w:rsidR="00E504C3" w:rsidRDefault="00E504C3" w:rsidP="006C49F4"/>
    <w:p w:rsidR="006C49F4" w:rsidRDefault="006C49F4" w:rsidP="006C49F4">
      <w:r w:rsidRPr="00315A47">
        <w:t xml:space="preserve">V </w:t>
      </w:r>
      <w:r w:rsidR="006923FD">
        <w:t>1</w:t>
      </w:r>
      <w:r w:rsidRPr="00315A47">
        <w:t>. čtvrtletí 201</w:t>
      </w:r>
      <w:r w:rsidR="006923FD">
        <w:t>6</w:t>
      </w:r>
      <w:r w:rsidRPr="00315A47">
        <w:t xml:space="preserve"> se</w:t>
      </w:r>
      <w:r w:rsidR="00FC5021">
        <w:t xml:space="preserve"> Česká republika</w:t>
      </w:r>
      <w:r w:rsidR="005970C2">
        <w:t xml:space="preserve"> </w:t>
      </w:r>
      <w:r w:rsidR="005528C2">
        <w:t>za</w:t>
      </w:r>
      <w:r w:rsidR="006923FD">
        <w:t>řadila již na</w:t>
      </w:r>
      <w:r>
        <w:t xml:space="preserve"> </w:t>
      </w:r>
      <w:r w:rsidR="006923FD">
        <w:t>šesté</w:t>
      </w:r>
      <w:r>
        <w:t xml:space="preserve"> místo </w:t>
      </w:r>
      <w:r w:rsidR="004A05AF">
        <w:t>mezi země</w:t>
      </w:r>
      <w:r w:rsidR="005528C2">
        <w:t xml:space="preserve"> EU28, když m</w:t>
      </w:r>
      <w:r>
        <w:t>íra</w:t>
      </w:r>
      <w:r w:rsidR="005528C2">
        <w:t xml:space="preserve"> naší zaměstnanosti</w:t>
      </w:r>
      <w:r>
        <w:t xml:space="preserve"> (7</w:t>
      </w:r>
      <w:r w:rsidR="005970C2">
        <w:t>5</w:t>
      </w:r>
      <w:r>
        <w:t>,</w:t>
      </w:r>
      <w:r w:rsidR="006923FD">
        <w:t>7</w:t>
      </w:r>
      <w:r w:rsidR="00C472F8">
        <w:t xml:space="preserve"> </w:t>
      </w:r>
      <w:r w:rsidR="005528C2">
        <w:t>%)</w:t>
      </w:r>
      <w:r w:rsidR="00FC5021">
        <w:t xml:space="preserve"> převyšovala </w:t>
      </w:r>
      <w:r>
        <w:t>průměr EU28</w:t>
      </w:r>
      <w:r w:rsidR="009A59A7">
        <w:t xml:space="preserve"> </w:t>
      </w:r>
      <w:r>
        <w:t xml:space="preserve">o </w:t>
      </w:r>
      <w:r w:rsidR="006923FD">
        <w:t>více než</w:t>
      </w:r>
      <w:r w:rsidR="00F719B3">
        <w:t xml:space="preserve"> 5</w:t>
      </w:r>
      <w:r>
        <w:t xml:space="preserve"> procentní</w:t>
      </w:r>
      <w:r w:rsidR="00F719B3">
        <w:t>ch</w:t>
      </w:r>
      <w:r>
        <w:t xml:space="preserve"> bod</w:t>
      </w:r>
      <w:r w:rsidR="00F719B3">
        <w:t>ů</w:t>
      </w:r>
      <w:r w:rsidR="004A3E39">
        <w:t>. Ze </w:t>
      </w:r>
      <w:r>
        <w:t>sousedních států</w:t>
      </w:r>
      <w:r w:rsidR="00C80844">
        <w:t xml:space="preserve"> mělo</w:t>
      </w:r>
      <w:r>
        <w:t xml:space="preserve"> </w:t>
      </w:r>
      <w:r w:rsidR="00C80844">
        <w:t>v </w:t>
      </w:r>
      <w:r w:rsidR="00BF31DA">
        <w:t>prvním</w:t>
      </w:r>
      <w:r w:rsidR="00C80844">
        <w:t xml:space="preserve"> čtvrtletí 201</w:t>
      </w:r>
      <w:r w:rsidR="00BF31DA">
        <w:t>6</w:t>
      </w:r>
      <w:r w:rsidR="00C80844">
        <w:t xml:space="preserve"> </w:t>
      </w:r>
      <w:r>
        <w:t>vyšší mír</w:t>
      </w:r>
      <w:r w:rsidR="00C80844">
        <w:t>u</w:t>
      </w:r>
      <w:r>
        <w:t xml:space="preserve"> zaměstnanosti </w:t>
      </w:r>
      <w:r w:rsidR="008C1BD4">
        <w:t xml:space="preserve">pouze </w:t>
      </w:r>
      <w:r>
        <w:t>Německ</w:t>
      </w:r>
      <w:r w:rsidR="00C80844">
        <w:t>o</w:t>
      </w:r>
      <w:r>
        <w:t xml:space="preserve"> </w:t>
      </w:r>
      <w:r>
        <w:lastRenderedPageBreak/>
        <w:t>(7</w:t>
      </w:r>
      <w:r w:rsidR="005528C2">
        <w:t>8</w:t>
      </w:r>
      <w:r>
        <w:t>,</w:t>
      </w:r>
      <w:r w:rsidR="005528C2">
        <w:t>2</w:t>
      </w:r>
      <w:r w:rsidR="00D348FA">
        <w:t> </w:t>
      </w:r>
      <w:r w:rsidR="00BF31DA">
        <w:t>%). Na</w:t>
      </w:r>
      <w:r w:rsidR="007D4C69">
        <w:t xml:space="preserve"> </w:t>
      </w:r>
      <w:r w:rsidR="00BF31DA">
        <w:t>Rakousko s mírou zaměstnanosti 73,7% se dotahuje Slovensko s 69,0% a Polsko 68,4%.</w:t>
      </w:r>
      <w:r w:rsidR="005970C2">
        <w:t xml:space="preserve"> </w:t>
      </w:r>
    </w:p>
    <w:p w:rsidR="005F2255" w:rsidRDefault="005F2255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20-64letých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956D2F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 w:rsidR="00D01F63" w:rsidRPr="00D01F63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A46060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956D2F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956D2F">
              <w:rPr>
                <w:rFonts w:eastAsia="Times New Roman" w:cs="Arial"/>
                <w:sz w:val="16"/>
                <w:szCs w:val="16"/>
                <w:lang w:eastAsia="cs-CZ"/>
              </w:rPr>
              <w:br/>
              <w:t>1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 xml:space="preserve">Q </w:t>
            </w:r>
            <w:r w:rsidR="00956D2F">
              <w:rPr>
                <w:rFonts w:eastAsia="Times New Roman" w:cs="Arial"/>
                <w:sz w:val="16"/>
                <w:szCs w:val="16"/>
                <w:lang w:eastAsia="cs-CZ"/>
              </w:rPr>
              <w:t>2016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956D2F">
              <w:rPr>
                <w:rFonts w:eastAsia="Times New Roman" w:cs="Arial"/>
                <w:sz w:val="16"/>
                <w:szCs w:val="16"/>
                <w:lang w:eastAsia="cs-CZ"/>
              </w:rPr>
              <w:t xml:space="preserve"> 1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956D2F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75,7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83,7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67,5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1,8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75,9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64,6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1,1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F44FD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6D4E1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0" w:rsidRDefault="006D4E1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0" w:rsidRDefault="006D4E1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8B5F76" w:rsidRDefault="008B5F76" w:rsidP="006C49F4">
      <w:pPr>
        <w:rPr>
          <w:b/>
        </w:rPr>
      </w:pPr>
    </w:p>
    <w:p w:rsidR="002E5AB4" w:rsidRDefault="002E5AB4" w:rsidP="002E5AB4">
      <w:pPr>
        <w:pStyle w:val="Nadpis3"/>
        <w:numPr>
          <w:ilvl w:val="2"/>
          <w:numId w:val="1"/>
        </w:numPr>
        <w:suppressAutoHyphens/>
        <w:spacing w:before="0"/>
      </w:pPr>
      <w:r>
        <w:t>Podí</w:t>
      </w:r>
      <w:r w:rsidR="00E02ECE">
        <w:t>l vysokoškolsky vzdělaných osob</w:t>
      </w:r>
    </w:p>
    <w:p w:rsidR="00E02ECE" w:rsidRPr="00E02ECE" w:rsidRDefault="00E02ECE" w:rsidP="00E02ECE"/>
    <w:p w:rsidR="002E5AB4" w:rsidRDefault="002E5AB4" w:rsidP="007C742A">
      <w:pPr>
        <w:numPr>
          <w:ilvl w:val="0"/>
          <w:numId w:val="1"/>
        </w:numPr>
        <w:ind w:left="0" w:firstLine="0"/>
      </w:pPr>
      <w:r>
        <w:t>Důležitým indikátorem z pohledu trhu práce je podíl vysokoškolsky vzdělaných osob.</w:t>
      </w:r>
      <w:r w:rsidR="00FB3D01">
        <w:t xml:space="preserve"> V </w:t>
      </w:r>
      <w:r w:rsidR="007C742A">
        <w:t>1. čtvrtletí 2016 dosáhl podíl vysokoškolsky vzdělaných osob</w:t>
      </w:r>
      <w:r w:rsidR="007C742A" w:rsidRPr="007C742A">
        <w:t xml:space="preserve"> </w:t>
      </w:r>
      <w:r w:rsidR="007C742A">
        <w:t xml:space="preserve">ve věku 30 </w:t>
      </w:r>
      <w:r w:rsidR="00E02ECE">
        <w:t>- 34 let v EU28 průměrně 38,6 %. Požadovanou hranici úrovně vzdělání stanovenou</w:t>
      </w:r>
      <w:r>
        <w:t xml:space="preserve"> strategií Evropa 2020 (4</w:t>
      </w:r>
      <w:r w:rsidR="00E02ECE">
        <w:t xml:space="preserve">0 %) </w:t>
      </w:r>
      <w:r w:rsidR="00965707">
        <w:t>splňuje</w:t>
      </w:r>
      <w:r>
        <w:t xml:space="preserve"> </w:t>
      </w:r>
      <w:r w:rsidR="00965707">
        <w:t xml:space="preserve">stále </w:t>
      </w:r>
      <w:r>
        <w:t xml:space="preserve">17 zemí EU. </w:t>
      </w:r>
    </w:p>
    <w:p w:rsidR="002E5AB4" w:rsidRDefault="002E5AB4" w:rsidP="002E5AB4">
      <w:pPr>
        <w:numPr>
          <w:ilvl w:val="0"/>
          <w:numId w:val="1"/>
        </w:numPr>
        <w:ind w:left="0" w:firstLine="0"/>
      </w:pPr>
    </w:p>
    <w:p w:rsidR="002E5AB4" w:rsidRDefault="002E5AB4" w:rsidP="002E5AB4">
      <w:pPr>
        <w:numPr>
          <w:ilvl w:val="0"/>
          <w:numId w:val="1"/>
        </w:numPr>
        <w:ind w:left="0" w:firstLine="0"/>
      </w:pPr>
      <w:r>
        <w:lastRenderedPageBreak/>
        <w:t xml:space="preserve">Tato věková skupina </w:t>
      </w:r>
      <w:r w:rsidR="00965707">
        <w:t xml:space="preserve">30 - 34 let </w:t>
      </w:r>
      <w:r>
        <w:t xml:space="preserve">se vyznačuje podstatně vyšším počtem absolventek terciárního studia než počtem vysokoškolsky vzdělaných mužů. </w:t>
      </w:r>
      <w:r w:rsidR="008001A6">
        <w:t>Podíl vysokoškolaček dosáhl v 1</w:t>
      </w:r>
      <w:r>
        <w:t xml:space="preserve">. čtvrtletí v unijním průměru 43,5 %, zatímco mezi </w:t>
      </w:r>
      <w:r w:rsidR="008001A6">
        <w:t>muži byl tento podíl nižší o 9,7</w:t>
      </w:r>
      <w:r>
        <w:t xml:space="preserve"> p. b. </w:t>
      </w:r>
    </w:p>
    <w:p w:rsidR="002E5AB4" w:rsidRPr="00BE119A" w:rsidRDefault="002E5AB4" w:rsidP="002E5AB4">
      <w:pPr>
        <w:numPr>
          <w:ilvl w:val="0"/>
          <w:numId w:val="1"/>
        </w:numPr>
        <w:ind w:left="0" w:firstLine="0"/>
      </w:pPr>
    </w:p>
    <w:p w:rsidR="002E5AB4" w:rsidRPr="00495AED" w:rsidRDefault="002E5AB4" w:rsidP="002E5AB4">
      <w:pPr>
        <w:jc w:val="left"/>
        <w:rPr>
          <w:szCs w:val="20"/>
        </w:rPr>
      </w:pPr>
      <w:r w:rsidRPr="00495AED">
        <w:rPr>
          <w:rFonts w:eastAsia="Times New Roman" w:cs="Arial"/>
          <w:b/>
          <w:bCs/>
          <w:szCs w:val="20"/>
        </w:rPr>
        <w:t>Tabulka 2</w:t>
      </w:r>
      <w:r>
        <w:rPr>
          <w:rFonts w:eastAsia="Times New Roman" w:cs="Arial"/>
          <w:b/>
          <w:bCs/>
          <w:szCs w:val="20"/>
        </w:rPr>
        <w:t xml:space="preserve"> Podíl vysokoškolsky vzdělaných osob ve věku 30-34 let</w:t>
      </w:r>
      <w:r w:rsidRPr="00495AED">
        <w:rPr>
          <w:rFonts w:eastAsia="Times New Roman" w:cs="Arial"/>
          <w:b/>
          <w:bCs/>
          <w:szCs w:val="20"/>
        </w:rPr>
        <w:t xml:space="preserve"> (v %)</w:t>
      </w:r>
    </w:p>
    <w:tbl>
      <w:tblPr>
        <w:tblW w:w="84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20"/>
        <w:gridCol w:w="2160"/>
        <w:gridCol w:w="2160"/>
        <w:gridCol w:w="2160"/>
      </w:tblGrid>
      <w:tr w:rsidR="002E5AB4" w:rsidRPr="004047E0" w:rsidTr="0008686E">
        <w:trPr>
          <w:trHeight w:val="551"/>
          <w:jc w:val="center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B4" w:rsidRPr="004047E0" w:rsidRDefault="002E5AB4" w:rsidP="008001A6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B4" w:rsidRDefault="002E5AB4" w:rsidP="008001A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</w:pPr>
            <w:r w:rsidRPr="00981AE0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 (ISCED 5-8)</w:t>
            </w:r>
            <w:r w:rsidRPr="00981AE0"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  <w:t>1</w:t>
            </w:r>
          </w:p>
          <w:p w:rsidR="002E5AB4" w:rsidRPr="00981AE0" w:rsidRDefault="00F44FDC" w:rsidP="008001A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2016</w:t>
            </w:r>
          </w:p>
        </w:tc>
      </w:tr>
      <w:tr w:rsidR="002E5AB4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E5AB4" w:rsidRPr="004047E0" w:rsidRDefault="002E5AB4" w:rsidP="008001A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B4" w:rsidRPr="004047E0" w:rsidRDefault="002E5AB4" w:rsidP="008001A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B4" w:rsidRPr="004047E0" w:rsidRDefault="002E5AB4" w:rsidP="008001A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B4" w:rsidRPr="004047E0" w:rsidRDefault="002E5AB4" w:rsidP="008001A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67,8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55,3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57,8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47,3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50,3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51,2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52,9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49,1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60,3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49,2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57,1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48,5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47,6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52,5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46,2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47,6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43,5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43,0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40,5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40,8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32,6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27,2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36,1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38,7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36,7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32,7</w:t>
            </w:r>
          </w:p>
        </w:tc>
      </w:tr>
      <w:tr w:rsidR="008001A6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A6" w:rsidRDefault="008001A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1A6" w:rsidRDefault="008001A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26,3</w:t>
            </w:r>
          </w:p>
        </w:tc>
      </w:tr>
      <w:tr w:rsidR="002E5AB4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AB4" w:rsidRPr="004047E0" w:rsidRDefault="002E5AB4" w:rsidP="008001A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B4" w:rsidRPr="004047E0" w:rsidRDefault="002E5AB4" w:rsidP="008001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B4" w:rsidRPr="004047E0" w:rsidRDefault="002E5AB4" w:rsidP="008001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AB4" w:rsidRPr="004047E0" w:rsidRDefault="002E5AB4" w:rsidP="008001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E5AB4" w:rsidRPr="004047E0" w:rsidTr="0008686E">
        <w:trPr>
          <w:trHeight w:val="25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AB4" w:rsidRPr="004047E0" w:rsidRDefault="002E5AB4" w:rsidP="008001A6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B4" w:rsidRPr="004047E0" w:rsidRDefault="002E5AB4" w:rsidP="008001A6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B4" w:rsidRPr="004047E0" w:rsidRDefault="002E5AB4" w:rsidP="008001A6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B4" w:rsidRPr="004047E0" w:rsidRDefault="002E5AB4" w:rsidP="008001A6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</w:tr>
    </w:tbl>
    <w:p w:rsidR="002E5AB4" w:rsidRDefault="002E5AB4" w:rsidP="002E5AB4">
      <w:pPr>
        <w:pStyle w:val="Poznmky"/>
      </w:pPr>
      <w:r>
        <w:rPr>
          <w:rStyle w:val="Znakapoznpodarou"/>
        </w:rPr>
        <w:footnoteRef/>
      </w:r>
      <w:r>
        <w:t xml:space="preserve"> </w:t>
      </w:r>
      <w:r w:rsidRPr="006B1D06">
        <w:t>Od 1. ledna 2014 byla zavedena nová klasifikace vzdělání ISCED 2011 (nahrazuje klasifikaci ISCED 97)</w:t>
      </w:r>
    </w:p>
    <w:p w:rsidR="002E5AB4" w:rsidRDefault="002E5AB4" w:rsidP="002E5AB4">
      <w:pPr>
        <w:tabs>
          <w:tab w:val="left" w:pos="1545"/>
        </w:tabs>
      </w:pPr>
    </w:p>
    <w:p w:rsidR="002E5AB4" w:rsidRDefault="002E5AB4" w:rsidP="002E5AB4">
      <w:pPr>
        <w:tabs>
          <w:tab w:val="left" w:pos="1545"/>
        </w:tabs>
      </w:pPr>
      <w:r>
        <w:lastRenderedPageBreak/>
        <w:t>Česká repub</w:t>
      </w:r>
      <w:r w:rsidR="008001A6">
        <w:t>lika se podle výsledků VŠPS za 1. čtvrtletí 2016</w:t>
      </w:r>
      <w:r>
        <w:t xml:space="preserve"> s</w:t>
      </w:r>
      <w:r w:rsidR="008001A6">
        <w:t>tále řadí s dosaženým podílem 31,5 % mezi země s </w:t>
      </w:r>
      <w:r>
        <w:t xml:space="preserve">nižším zastoupením vysokoškolsky vzdělaných osob ve věku 30 - 34 let. </w:t>
      </w:r>
    </w:p>
    <w:p w:rsidR="00F9630D" w:rsidRDefault="002E5AB4" w:rsidP="002E5AB4">
      <w:pPr>
        <w:tabs>
          <w:tab w:val="left" w:pos="1545"/>
        </w:tabs>
      </w:pPr>
      <w:r>
        <w:t xml:space="preserve">Tento </w:t>
      </w:r>
      <w:r w:rsidR="008001A6">
        <w:t>podíl v ČR vzrostl meziročně o 2,2</w:t>
      </w:r>
      <w:r w:rsidR="00F9630D">
        <w:t xml:space="preserve"> p. b. Nejvyšší meziroční nárůst zaznamenalo</w:t>
      </w:r>
      <w:r>
        <w:t xml:space="preserve"> </w:t>
      </w:r>
      <w:r w:rsidR="00F9630D">
        <w:t>Lotyšsko s nárůstem o 5,8 p. b., naopak nejnižší meziroční pokles o 1,8 p. b. byl v Dánsku.</w:t>
      </w:r>
    </w:p>
    <w:p w:rsidR="002E5AB4" w:rsidRDefault="002E5AB4" w:rsidP="002E5AB4">
      <w:pPr>
        <w:tabs>
          <w:tab w:val="left" w:pos="1545"/>
        </w:tabs>
      </w:pPr>
    </w:p>
    <w:p w:rsidR="002E5AB4" w:rsidRDefault="00F9630D" w:rsidP="002E5AB4">
      <w:pPr>
        <w:tabs>
          <w:tab w:val="left" w:pos="1545"/>
        </w:tabs>
      </w:pPr>
      <w:r>
        <w:t>Mírně n</w:t>
      </w:r>
      <w:r w:rsidR="002E5AB4">
        <w:t>ižší podíl vysokoškolsky vzdělaných osob než v České repub</w:t>
      </w:r>
      <w:r>
        <w:t>lice má ze sousedních zemí</w:t>
      </w:r>
      <w:r w:rsidR="002E5AB4">
        <w:t xml:space="preserve"> Slovensko </w:t>
      </w:r>
      <w:r w:rsidR="002E5AB4">
        <w:rPr>
          <w:sz w:val="22"/>
        </w:rPr>
        <w:t>(</w:t>
      </w:r>
      <w:r>
        <w:t>30,5 %). Ú</w:t>
      </w:r>
      <w:r w:rsidR="002E5AB4">
        <w:t xml:space="preserve">daj za ČR se významně nelišil </w:t>
      </w:r>
      <w:r>
        <w:t xml:space="preserve">ani </w:t>
      </w:r>
      <w:r w:rsidR="002E5AB4">
        <w:t>od údaje za Německo (32,2 %). Vyšší hodn</w:t>
      </w:r>
      <w:r>
        <w:t>oty než ČR dosahuje Rakousko (39,4 %) a zvláště Polsko (43,1</w:t>
      </w:r>
      <w:r w:rsidR="002E5AB4">
        <w:t xml:space="preserve"> %). </w:t>
      </w:r>
    </w:p>
    <w:p w:rsidR="002E5AB4" w:rsidRDefault="002E5AB4" w:rsidP="00DF4E4A">
      <w:pPr>
        <w:pStyle w:val="Nadpis3"/>
        <w:numPr>
          <w:ilvl w:val="2"/>
          <w:numId w:val="1"/>
        </w:numPr>
        <w:suppressAutoHyphens/>
        <w:spacing w:before="0"/>
      </w:pPr>
    </w:p>
    <w:p w:rsidR="00DF4E4A" w:rsidRDefault="00DF4E4A" w:rsidP="00DF4E4A">
      <w:pPr>
        <w:pStyle w:val="Nadpis3"/>
        <w:numPr>
          <w:ilvl w:val="2"/>
          <w:numId w:val="1"/>
        </w:numPr>
        <w:suppressAutoHyphens/>
        <w:spacing w:before="0"/>
      </w:pPr>
      <w:r>
        <w:t xml:space="preserve">Nezaměstnanost ve věku 15-64 let je </w:t>
      </w:r>
      <w:r w:rsidR="00A46060">
        <w:t xml:space="preserve">stále ještě </w:t>
      </w:r>
      <w:r>
        <w:t>v naší republice nejnižší</w:t>
      </w:r>
    </w:p>
    <w:p w:rsidR="00D348FA" w:rsidRDefault="00D348FA" w:rsidP="008B5F76">
      <w:pPr>
        <w:keepNext/>
        <w:rPr>
          <w:b/>
        </w:rPr>
      </w:pPr>
    </w:p>
    <w:p w:rsidR="00E92C06" w:rsidRPr="00FF7610" w:rsidRDefault="00350673" w:rsidP="000E54E1">
      <w:pPr>
        <w:numPr>
          <w:ilvl w:val="0"/>
          <w:numId w:val="1"/>
        </w:numPr>
        <w:ind w:left="0" w:firstLine="0"/>
      </w:pPr>
      <w:r w:rsidRPr="00FF7610">
        <w:t>S v</w:t>
      </w:r>
      <w:r w:rsidR="00296369" w:rsidRPr="00FF7610">
        <w:t>yšší zaměstn</w:t>
      </w:r>
      <w:r w:rsidR="00310BEB" w:rsidRPr="00FF7610">
        <w:t>anost</w:t>
      </w:r>
      <w:r w:rsidRPr="00FF7610">
        <w:t>í zůstává</w:t>
      </w:r>
      <w:r w:rsidR="00D64386" w:rsidRPr="00FF7610">
        <w:t xml:space="preserve"> i míra nezaměstnanosti</w:t>
      </w:r>
      <w:r w:rsidR="006E1288" w:rsidRPr="00FF7610">
        <w:t xml:space="preserve"> </w:t>
      </w:r>
      <w:r w:rsidR="007550FC" w:rsidRPr="00FF7610">
        <w:t>nízká</w:t>
      </w:r>
      <w:r w:rsidR="00D64386" w:rsidRPr="00FF7610">
        <w:t>. Průměrně míra ne</w:t>
      </w:r>
      <w:r w:rsidR="00DC045B" w:rsidRPr="00FF7610">
        <w:t>zaměstnanosti za státy EU28 v 1</w:t>
      </w:r>
      <w:r w:rsidR="00750DBA" w:rsidRPr="00FF7610">
        <w:t>. čtvrtletí</w:t>
      </w:r>
      <w:r w:rsidR="00DC045B" w:rsidRPr="00FF7610">
        <w:t xml:space="preserve"> činila 9,3</w:t>
      </w:r>
      <w:r w:rsidR="007550FC" w:rsidRPr="00FF7610">
        <w:t xml:space="preserve"> %. V České republice</w:t>
      </w:r>
      <w:r w:rsidR="00D64386" w:rsidRPr="00FF7610">
        <w:t xml:space="preserve"> byla </w:t>
      </w:r>
      <w:r w:rsidR="00804F10" w:rsidRPr="00FF7610">
        <w:t xml:space="preserve">celková </w:t>
      </w:r>
      <w:r w:rsidR="00FB3D01">
        <w:t>míra nezaměstnanosti v </w:t>
      </w:r>
      <w:r w:rsidR="00D64386" w:rsidRPr="00FF7610">
        <w:t>daném obdob</w:t>
      </w:r>
      <w:r w:rsidR="00DC045B" w:rsidRPr="00FF7610">
        <w:t>í opět</w:t>
      </w:r>
      <w:r w:rsidR="007653DD" w:rsidRPr="00FF7610">
        <w:t xml:space="preserve"> nejnižší, dosahovala </w:t>
      </w:r>
      <w:r w:rsidR="00DC045B" w:rsidRPr="00FF7610">
        <w:t>pouhých 4,4</w:t>
      </w:r>
      <w:r w:rsidR="00D64386" w:rsidRPr="00FF7610">
        <w:t> %</w:t>
      </w:r>
      <w:r w:rsidR="00804F10" w:rsidRPr="00FF7610">
        <w:t>.</w:t>
      </w:r>
      <w:r w:rsidR="00DC045B" w:rsidRPr="00FF7610">
        <w:t xml:space="preserve"> </w:t>
      </w:r>
      <w:r w:rsidR="00804F10" w:rsidRPr="00FF7610">
        <w:t xml:space="preserve">Také </w:t>
      </w:r>
      <w:r w:rsidR="00DC045B" w:rsidRPr="00FF7610">
        <w:t xml:space="preserve">u mužů </w:t>
      </w:r>
      <w:r w:rsidR="00804F10" w:rsidRPr="00FF7610">
        <w:t xml:space="preserve">byla míra nezaměstnanosti 3,9 % v České </w:t>
      </w:r>
      <w:r w:rsidR="007C79E5" w:rsidRPr="00FF7610">
        <w:t xml:space="preserve">republice </w:t>
      </w:r>
      <w:r w:rsidR="00804F10" w:rsidRPr="00FF7610">
        <w:t>nejnižší</w:t>
      </w:r>
      <w:r w:rsidR="00665CE3" w:rsidRPr="00FF7610">
        <w:t>, stejně jako v posledních téměř dvou letech</w:t>
      </w:r>
      <w:r w:rsidR="00D64386" w:rsidRPr="00FF7610">
        <w:t xml:space="preserve">. </w:t>
      </w:r>
      <w:r w:rsidR="00DC045B" w:rsidRPr="00FF7610">
        <w:t>N</w:t>
      </w:r>
      <w:r w:rsidR="00E92C06" w:rsidRPr="00FF7610">
        <w:t>a druhé</w:t>
      </w:r>
      <w:r w:rsidR="000E54E1" w:rsidRPr="00FF7610">
        <w:t xml:space="preserve"> místo se zařadilo Německo také s </w:t>
      </w:r>
      <w:r w:rsidR="00E92C06" w:rsidRPr="00FF7610">
        <w:t>nízkou úrovní ne</w:t>
      </w:r>
      <w:r w:rsidR="00476528" w:rsidRPr="00FF7610">
        <w:t xml:space="preserve">zaměstnanosti </w:t>
      </w:r>
      <w:r w:rsidR="00DC045B" w:rsidRPr="00FF7610">
        <w:t xml:space="preserve">4,6 %. Německo si </w:t>
      </w:r>
      <w:r w:rsidR="003E6040" w:rsidRPr="00FF7610">
        <w:t>udržuje nejnižší</w:t>
      </w:r>
      <w:r w:rsidR="00E92C06" w:rsidRPr="00FF7610">
        <w:t xml:space="preserve"> m</w:t>
      </w:r>
      <w:r w:rsidR="00804F10" w:rsidRPr="00FF7610">
        <w:t>íru nezaměstnanosti u žen, ta v 1</w:t>
      </w:r>
      <w:r w:rsidR="00E92C06" w:rsidRPr="00FF7610">
        <w:t xml:space="preserve">. čtvrtletí </w:t>
      </w:r>
      <w:r w:rsidR="00796333" w:rsidRPr="00FF7610">
        <w:t>činila</w:t>
      </w:r>
      <w:r w:rsidR="00804F10" w:rsidRPr="00FF7610">
        <w:t xml:space="preserve"> 4,2</w:t>
      </w:r>
      <w:r w:rsidR="00E92C06" w:rsidRPr="00FF7610">
        <w:t xml:space="preserve"> procent.</w:t>
      </w:r>
    </w:p>
    <w:p w:rsidR="00D64386" w:rsidRPr="00FF7610" w:rsidRDefault="001340B0" w:rsidP="00D64386">
      <w:pPr>
        <w:numPr>
          <w:ilvl w:val="0"/>
          <w:numId w:val="1"/>
        </w:numPr>
        <w:ind w:left="0" w:firstLine="0"/>
      </w:pPr>
      <w:r w:rsidRPr="00FF7610">
        <w:t>V porovnání s ostatními</w:t>
      </w:r>
      <w:r w:rsidR="00D64386" w:rsidRPr="00FF7610">
        <w:t xml:space="preserve"> sousedními státy byla míra nezaměstnanosti </w:t>
      </w:r>
      <w:r w:rsidR="000B6FBC" w:rsidRPr="00FF7610">
        <w:t>v</w:t>
      </w:r>
      <w:r w:rsidR="00322099" w:rsidRPr="00FF7610">
        <w:t> </w:t>
      </w:r>
      <w:r w:rsidR="000B6FBC" w:rsidRPr="00FF7610">
        <w:t>Rakousku</w:t>
      </w:r>
      <w:r w:rsidR="00322099" w:rsidRPr="00FF7610">
        <w:t xml:space="preserve"> </w:t>
      </w:r>
      <w:r w:rsidR="000B6FBC" w:rsidRPr="00FF7610">
        <w:t>(6,3 %), v Polsku (7,1 %) a na Slovensku (10,4</w:t>
      </w:r>
      <w:r w:rsidR="00D64386" w:rsidRPr="00FF7610">
        <w:t xml:space="preserve"> %).</w:t>
      </w:r>
      <w:r w:rsidR="000B6FBC" w:rsidRPr="00FF7610">
        <w:t xml:space="preserve"> Slovensko zaznamenává významné meziroční snížení míry nezaměstnanosti o 2,1 procentních bodů a dotahuje se tak na</w:t>
      </w:r>
      <w:r w:rsidR="00FF42B2" w:rsidRPr="00FF7610">
        <w:t xml:space="preserve"> unijní průměr</w:t>
      </w:r>
      <w:r w:rsidR="00322099" w:rsidRPr="00FF7610">
        <w:t>, zejména pak mezi muži.</w:t>
      </w:r>
    </w:p>
    <w:p w:rsidR="008B5F76" w:rsidRDefault="008B5F76" w:rsidP="00F74404">
      <w:pPr>
        <w:jc w:val="left"/>
        <w:rPr>
          <w:rFonts w:eastAsia="Times New Roman" w:cs="Arial"/>
          <w:b/>
          <w:bCs/>
          <w:szCs w:val="20"/>
        </w:rPr>
      </w:pPr>
    </w:p>
    <w:p w:rsidR="00F74404" w:rsidRDefault="0047611B" w:rsidP="00F74404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Tabulka 3</w:t>
      </w:r>
      <w:r w:rsidR="00906CA7">
        <w:rPr>
          <w:rFonts w:eastAsia="Times New Roman" w:cs="Arial"/>
          <w:b/>
          <w:bCs/>
          <w:szCs w:val="20"/>
        </w:rPr>
        <w:t xml:space="preserve"> Míra nezaměstnanosti 15-6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350673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>. čtvrtletí</w:t>
            </w:r>
            <w:r w:rsidR="00906CA7"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 xml:space="preserve"> b.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350673">
              <w:rPr>
                <w:rFonts w:eastAsia="Times New Roman" w:cs="Arial"/>
                <w:sz w:val="16"/>
                <w:szCs w:val="16"/>
                <w:lang w:eastAsia="cs-CZ"/>
              </w:rPr>
              <w:t>1. Q 2016 - 1</w:t>
            </w:r>
            <w:r w:rsidR="005D1D50"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350673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-1,8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-0,9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350673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73" w:rsidRDefault="00350673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906CA7" w:rsidRPr="00495AED" w:rsidRDefault="00906CA7" w:rsidP="00F74404">
      <w:pPr>
        <w:jc w:val="left"/>
        <w:rPr>
          <w:szCs w:val="20"/>
        </w:rPr>
      </w:pPr>
    </w:p>
    <w:p w:rsidR="00750DBA" w:rsidRDefault="00E27618" w:rsidP="00750DBA">
      <w:pPr>
        <w:tabs>
          <w:tab w:val="left" w:pos="1545"/>
        </w:tabs>
      </w:pPr>
      <w:r>
        <w:t>I přes meziroční snížení míry nezaměstnanosti v jižních státech Evropy se hodnoty udržují na vyšších hodnotách</w:t>
      </w:r>
      <w:r w:rsidR="00750DBA">
        <w:t xml:space="preserve">. Státy s nejnižší zaměstnaností (zejména Řecko a Španělsko) se umístily </w:t>
      </w:r>
      <w:r w:rsidR="00565BC5">
        <w:t xml:space="preserve">zároveň </w:t>
      </w:r>
      <w:r w:rsidR="00750DBA">
        <w:t xml:space="preserve">na předních místech žebříčků zemí s nejvyšší mírou nezaměstnanosti. </w:t>
      </w:r>
      <w:r w:rsidR="00565BC5">
        <w:t>U</w:t>
      </w:r>
      <w:r w:rsidR="00582699">
        <w:t xml:space="preserve"> Řecka</w:t>
      </w:r>
      <w:r w:rsidR="00AE7DFA">
        <w:t xml:space="preserve"> z </w:t>
      </w:r>
      <w:r w:rsidR="00750DBA">
        <w:t>osob ve věku 15-64 let, kter</w:t>
      </w:r>
      <w:r w:rsidR="00FF7610">
        <w:t>é by chtěly pracovat, byla více než</w:t>
      </w:r>
      <w:r w:rsidR="00750DBA">
        <w:t xml:space="preserve"> čtvrtina nezaměstnaná</w:t>
      </w:r>
      <w:r w:rsidR="00FF7610">
        <w:t xml:space="preserve"> a to převážně ženy</w:t>
      </w:r>
      <w:r w:rsidR="00750DBA">
        <w:t>.</w:t>
      </w:r>
      <w:r w:rsidR="001D6836">
        <w:t xml:space="preserve"> </w:t>
      </w:r>
    </w:p>
    <w:p w:rsidR="00DF4E4A" w:rsidRDefault="00DF4E4A" w:rsidP="006C49F4">
      <w:pPr>
        <w:rPr>
          <w:rFonts w:eastAsia="Times New Roman" w:cs="Arial"/>
          <w:b/>
          <w:bCs/>
          <w:szCs w:val="20"/>
        </w:rPr>
      </w:pPr>
    </w:p>
    <w:p w:rsidR="00A9335F" w:rsidRDefault="00742BF1" w:rsidP="006C49F4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  <w:r w:rsidR="00CD685F">
        <w:rPr>
          <w:rFonts w:eastAsia="Times New Roman" w:cs="Arial"/>
          <w:b/>
          <w:bCs/>
          <w:szCs w:val="20"/>
        </w:rPr>
        <w:t xml:space="preserve"> se v ČR pohybuje na úrovni průměru EU</w:t>
      </w:r>
    </w:p>
    <w:p w:rsidR="00EF753F" w:rsidRDefault="00EF753F" w:rsidP="006C49F4"/>
    <w:p w:rsidR="006C49F4" w:rsidRPr="00F27D16" w:rsidRDefault="006C49F4" w:rsidP="006C49F4">
      <w:r>
        <w:t>Při</w:t>
      </w:r>
      <w:r w:rsidR="001340B0">
        <w:t xml:space="preserve"> celkovém</w:t>
      </w:r>
      <w:r>
        <w:t xml:space="preserve"> </w:t>
      </w:r>
      <w:r w:rsidR="003B2C6D">
        <w:t>poklesu nezaměstnanosti</w:t>
      </w:r>
      <w:r>
        <w:t xml:space="preserve"> </w:t>
      </w:r>
      <w:r w:rsidR="00794CFA">
        <w:t xml:space="preserve">se </w:t>
      </w:r>
      <w:r>
        <w:t xml:space="preserve">podíl dlouhodobě nezaměstnaných (1 rok a déle) </w:t>
      </w:r>
      <w:r w:rsidR="00794CFA">
        <w:t>n</w:t>
      </w:r>
      <w:r w:rsidR="004A3E39">
        <w:t>a </w:t>
      </w:r>
      <w:r>
        <w:t>celkové nezaměstnanosti</w:t>
      </w:r>
      <w:r w:rsidR="00794CFA">
        <w:t xml:space="preserve"> - v průměru za EU28 meziročně</w:t>
      </w:r>
      <w:r w:rsidR="00337592">
        <w:t xml:space="preserve"> </w:t>
      </w:r>
      <w:r w:rsidR="00715483">
        <w:t>snížil o 1</w:t>
      </w:r>
      <w:r w:rsidR="00BF404E">
        <w:t>,9</w:t>
      </w:r>
      <w:r w:rsidR="00794CFA">
        <w:t xml:space="preserve"> p. </w:t>
      </w:r>
      <w:r>
        <w:t xml:space="preserve">b. na </w:t>
      </w:r>
      <w:r w:rsidR="00EF4DBF">
        <w:t>4</w:t>
      </w:r>
      <w:r w:rsidR="00BF404E">
        <w:t>6</w:t>
      </w:r>
      <w:r>
        <w:t>,</w:t>
      </w:r>
      <w:r w:rsidR="00BF404E">
        <w:t>4</w:t>
      </w:r>
      <w:r w:rsidR="00AE7DFA">
        <w:t xml:space="preserve"> %. V </w:t>
      </w:r>
      <w:r>
        <w:t xml:space="preserve">České republice se podíl dlouhodobě nezaměstnaných meziročně </w:t>
      </w:r>
      <w:r w:rsidR="00F91C28">
        <w:t>naopak</w:t>
      </w:r>
      <w:r w:rsidR="00EF4DBF">
        <w:t xml:space="preserve"> zvýšil, </w:t>
      </w:r>
      <w:r w:rsidR="00CC5B92">
        <w:t xml:space="preserve">a to </w:t>
      </w:r>
      <w:r w:rsidR="00EF4DBF">
        <w:t xml:space="preserve">o </w:t>
      </w:r>
      <w:r w:rsidR="00BF404E">
        <w:t>0</w:t>
      </w:r>
      <w:r w:rsidR="00CC5B92">
        <w:t>,</w:t>
      </w:r>
      <w:r w:rsidR="00BF404E">
        <w:t>1</w:t>
      </w:r>
      <w:r w:rsidRPr="009D58D2">
        <w:t xml:space="preserve"> procentní</w:t>
      </w:r>
      <w:r w:rsidR="00CC5B92">
        <w:t>ch</w:t>
      </w:r>
      <w:r w:rsidRPr="009D58D2">
        <w:t xml:space="preserve"> bod</w:t>
      </w:r>
      <w:r w:rsidR="00CC5B92">
        <w:t>ů</w:t>
      </w:r>
      <w:r w:rsidRPr="009D58D2">
        <w:t>.</w:t>
      </w:r>
      <w:r w:rsidR="00BF404E">
        <w:t xml:space="preserve"> </w:t>
      </w:r>
      <w:r w:rsidR="001F20FA">
        <w:t>U nás je u</w:t>
      </w:r>
      <w:r w:rsidR="00BF404E">
        <w:t>stálený</w:t>
      </w:r>
      <w:r w:rsidR="001F20FA">
        <w:t xml:space="preserve"> podíl dlouhodobě nezaměstnaných jako důsledek již nízké celkové nezaměstnanosti</w:t>
      </w:r>
      <w:r w:rsidR="00F040EB">
        <w:t>.</w:t>
      </w:r>
      <w:r>
        <w:t xml:space="preserve"> </w:t>
      </w:r>
      <w:r w:rsidR="001F20FA">
        <w:t xml:space="preserve">V 1. čtvrtletí 2016 </w:t>
      </w:r>
      <w:r>
        <w:t>sledovaný ukazatel</w:t>
      </w:r>
      <w:r w:rsidR="001F20FA">
        <w:t xml:space="preserve"> za Českou republiku spadl pod úroveň</w:t>
      </w:r>
      <w:r>
        <w:t xml:space="preserve"> EU28 (rozdíl</w:t>
      </w:r>
      <w:r w:rsidR="008E05F9">
        <w:t xml:space="preserve"> o</w:t>
      </w:r>
      <w:r>
        <w:t xml:space="preserve"> </w:t>
      </w:r>
      <w:r w:rsidR="00715483">
        <w:t>0</w:t>
      </w:r>
      <w:r>
        <w:t>,</w:t>
      </w:r>
      <w:r w:rsidR="001F20FA">
        <w:t>5</w:t>
      </w:r>
      <w:r>
        <w:t xml:space="preserve"> p. b.). </w:t>
      </w:r>
      <w:r w:rsidR="00F040EB">
        <w:t>Dlouhodobá nezaměstnanost je velkým problémem zejména v</w:t>
      </w:r>
      <w:r w:rsidR="001F20FA">
        <w:t> </w:t>
      </w:r>
      <w:r w:rsidR="00F040EB">
        <w:t>Řecku</w:t>
      </w:r>
      <w:r w:rsidR="001F20FA">
        <w:t xml:space="preserve"> a na Slovensku</w:t>
      </w:r>
      <w:r w:rsidR="00F040EB">
        <w:t xml:space="preserve">. Nejnižší podíl </w:t>
      </w:r>
      <w:r w:rsidR="007D4C69">
        <w:t xml:space="preserve">dlouhodobě </w:t>
      </w:r>
      <w:r w:rsidR="00F040EB">
        <w:t>nezaměstnaných je naopak v severských státech, které se</w:t>
      </w:r>
      <w:r w:rsidR="007D4C69">
        <w:t xml:space="preserve"> přitom</w:t>
      </w:r>
      <w:r w:rsidR="00F040EB">
        <w:t xml:space="preserve"> vyznačují nízkou celkovou nezaměstnaností. </w:t>
      </w:r>
      <w:r w:rsidR="001810B6">
        <w:t>V Estonsku se od roku 2010 výrazně snižuje míra dlouhodobě nezaměstnaných, tudíž se v meziročním porovnání podíl dlouhodobě nezaměstnaných osob v této zemi snížil až o 16,</w:t>
      </w:r>
      <w:r w:rsidR="001810B6" w:rsidRPr="001810B6">
        <w:t>7 procentních bodů.</w:t>
      </w:r>
      <w:r w:rsidR="001810B6">
        <w:t xml:space="preserve"> </w:t>
      </w:r>
    </w:p>
    <w:p w:rsidR="008B5F76" w:rsidRDefault="008B5F76" w:rsidP="006C49F4">
      <w:pPr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6C49F4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15-64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7835B9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1. čtvrtletí 2016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AE44C1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7835B9">
              <w:rPr>
                <w:rFonts w:eastAsia="Times New Roman" w:cs="Arial"/>
                <w:sz w:val="16"/>
                <w:szCs w:val="16"/>
                <w:lang w:eastAsia="cs-CZ"/>
              </w:rPr>
              <w:t>1. Q 2016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7835B9">
              <w:rPr>
                <w:rFonts w:eastAsia="Times New Roman" w:cs="Arial"/>
                <w:sz w:val="16"/>
                <w:szCs w:val="16"/>
                <w:lang w:eastAsia="cs-CZ"/>
              </w:rPr>
              <w:t xml:space="preserve"> 1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7835B9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8,2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-18,1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46,5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50,7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40,0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-0,2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-6,8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sz w:val="16"/>
                <w:szCs w:val="16"/>
              </w:rPr>
              <w:t>:</w:t>
            </w: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 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46,4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47,5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45,2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3,5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Cs/>
                <w:sz w:val="16"/>
                <w:szCs w:val="16"/>
              </w:rPr>
              <w:t>3,3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46,4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46,4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46,4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-1,9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-2,0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-1,7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45,9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48,8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43,1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4,5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Pr="00CF7745" w:rsidRDefault="00CF7745" w:rsidP="00CF774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7745">
              <w:rPr>
                <w:rFonts w:ascii="Arial CE" w:hAnsi="Arial CE" w:cs="Arial CE"/>
                <w:b/>
                <w:sz w:val="16"/>
                <w:szCs w:val="16"/>
              </w:rPr>
              <w:t>-4,1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-4,1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-6,6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-3,0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-16,7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-16,1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 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</w:tr>
      <w:tr w:rsidR="00CF7745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745" w:rsidRDefault="00CF7745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19,1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20,6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45" w:rsidRDefault="00CF7745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AE18FD" w:rsidRDefault="00AE18FD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7C3F1A" w:rsidP="006C49F4">
      <w:pPr>
        <w:rPr>
          <w:rFonts w:cs="Arial"/>
        </w:rPr>
      </w:pPr>
      <w:r>
        <w:rPr>
          <w:rFonts w:cs="Arial"/>
        </w:rPr>
        <w:t>Ilona Mendlová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r w:rsidR="007C3F1A">
        <w:rPr>
          <w:rFonts w:cs="Arial"/>
        </w:rPr>
        <w:t>ilona.mendlova</w:t>
      </w:r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F4" w:rsidRDefault="000070F4" w:rsidP="00BA6370">
      <w:r>
        <w:separator/>
      </w:r>
    </w:p>
  </w:endnote>
  <w:endnote w:type="continuationSeparator" w:id="0">
    <w:p w:rsidR="000070F4" w:rsidRDefault="000070F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A6" w:rsidRDefault="008001A6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8001A6" w:rsidRPr="001404AB" w:rsidRDefault="008001A6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8001A6" w:rsidRPr="00A81EB3" w:rsidRDefault="008001A6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FB3D01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F4" w:rsidRDefault="000070F4" w:rsidP="00BA6370">
      <w:r>
        <w:separator/>
      </w:r>
    </w:p>
  </w:footnote>
  <w:footnote w:type="continuationSeparator" w:id="0">
    <w:p w:rsidR="000070F4" w:rsidRDefault="000070F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A6" w:rsidRDefault="008001A6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142A"/>
    <w:rsid w:val="00002417"/>
    <w:rsid w:val="000070F4"/>
    <w:rsid w:val="0000744E"/>
    <w:rsid w:val="00013212"/>
    <w:rsid w:val="0001572F"/>
    <w:rsid w:val="0003657F"/>
    <w:rsid w:val="0004482A"/>
    <w:rsid w:val="0005042A"/>
    <w:rsid w:val="000521B6"/>
    <w:rsid w:val="00063179"/>
    <w:rsid w:val="00064FBD"/>
    <w:rsid w:val="000761E6"/>
    <w:rsid w:val="00076327"/>
    <w:rsid w:val="00083F88"/>
    <w:rsid w:val="000861DB"/>
    <w:rsid w:val="0008686E"/>
    <w:rsid w:val="00087B70"/>
    <w:rsid w:val="000900EF"/>
    <w:rsid w:val="00090CE5"/>
    <w:rsid w:val="00091139"/>
    <w:rsid w:val="000917AA"/>
    <w:rsid w:val="00091CEB"/>
    <w:rsid w:val="00094016"/>
    <w:rsid w:val="0009799C"/>
    <w:rsid w:val="000B1699"/>
    <w:rsid w:val="000B2C96"/>
    <w:rsid w:val="000B6FBC"/>
    <w:rsid w:val="000C1528"/>
    <w:rsid w:val="000C2AA2"/>
    <w:rsid w:val="000C7509"/>
    <w:rsid w:val="000E54E1"/>
    <w:rsid w:val="000E54E3"/>
    <w:rsid w:val="000E736E"/>
    <w:rsid w:val="000F33D8"/>
    <w:rsid w:val="000F479D"/>
    <w:rsid w:val="000F726C"/>
    <w:rsid w:val="00104EA0"/>
    <w:rsid w:val="001123EF"/>
    <w:rsid w:val="00113FEB"/>
    <w:rsid w:val="00115C5D"/>
    <w:rsid w:val="00116A63"/>
    <w:rsid w:val="001172C5"/>
    <w:rsid w:val="00117A68"/>
    <w:rsid w:val="001226A8"/>
    <w:rsid w:val="00125FC3"/>
    <w:rsid w:val="00132376"/>
    <w:rsid w:val="001330CD"/>
    <w:rsid w:val="001340B0"/>
    <w:rsid w:val="00134E08"/>
    <w:rsid w:val="001416A6"/>
    <w:rsid w:val="0014209C"/>
    <w:rsid w:val="001443E1"/>
    <w:rsid w:val="001528A8"/>
    <w:rsid w:val="0015316B"/>
    <w:rsid w:val="001533F3"/>
    <w:rsid w:val="00157549"/>
    <w:rsid w:val="00160D98"/>
    <w:rsid w:val="0017231D"/>
    <w:rsid w:val="00174F35"/>
    <w:rsid w:val="00180AB9"/>
    <w:rsid w:val="001810B6"/>
    <w:rsid w:val="001810DC"/>
    <w:rsid w:val="001817BB"/>
    <w:rsid w:val="001835FB"/>
    <w:rsid w:val="001852C5"/>
    <w:rsid w:val="0018547A"/>
    <w:rsid w:val="00187ED2"/>
    <w:rsid w:val="001917CC"/>
    <w:rsid w:val="00192DC0"/>
    <w:rsid w:val="00194DB2"/>
    <w:rsid w:val="001965EC"/>
    <w:rsid w:val="001A0A45"/>
    <w:rsid w:val="001A1589"/>
    <w:rsid w:val="001A2A5A"/>
    <w:rsid w:val="001A532E"/>
    <w:rsid w:val="001B607F"/>
    <w:rsid w:val="001B79FC"/>
    <w:rsid w:val="001C1249"/>
    <w:rsid w:val="001C58DD"/>
    <w:rsid w:val="001C5ADC"/>
    <w:rsid w:val="001C67AA"/>
    <w:rsid w:val="001D6836"/>
    <w:rsid w:val="001D70AD"/>
    <w:rsid w:val="001D770C"/>
    <w:rsid w:val="001D78C5"/>
    <w:rsid w:val="001E166F"/>
    <w:rsid w:val="001E1EEB"/>
    <w:rsid w:val="001E3DCB"/>
    <w:rsid w:val="001E453B"/>
    <w:rsid w:val="001F20FA"/>
    <w:rsid w:val="001F3A63"/>
    <w:rsid w:val="002036A8"/>
    <w:rsid w:val="002070FB"/>
    <w:rsid w:val="0021022B"/>
    <w:rsid w:val="00210589"/>
    <w:rsid w:val="00222765"/>
    <w:rsid w:val="00222F90"/>
    <w:rsid w:val="00225483"/>
    <w:rsid w:val="0022636B"/>
    <w:rsid w:val="002309C1"/>
    <w:rsid w:val="0023284A"/>
    <w:rsid w:val="00232FC2"/>
    <w:rsid w:val="00233E9A"/>
    <w:rsid w:val="002366E1"/>
    <w:rsid w:val="002406FA"/>
    <w:rsid w:val="00261CC4"/>
    <w:rsid w:val="00261F39"/>
    <w:rsid w:val="00262984"/>
    <w:rsid w:val="002639BA"/>
    <w:rsid w:val="0026665F"/>
    <w:rsid w:val="00271012"/>
    <w:rsid w:val="00272702"/>
    <w:rsid w:val="002746BA"/>
    <w:rsid w:val="00274EF5"/>
    <w:rsid w:val="00282A25"/>
    <w:rsid w:val="0028454A"/>
    <w:rsid w:val="00284B9F"/>
    <w:rsid w:val="00290290"/>
    <w:rsid w:val="00291964"/>
    <w:rsid w:val="0029585E"/>
    <w:rsid w:val="00295FE5"/>
    <w:rsid w:val="00296369"/>
    <w:rsid w:val="002969CF"/>
    <w:rsid w:val="002A10CA"/>
    <w:rsid w:val="002A11A1"/>
    <w:rsid w:val="002B10EC"/>
    <w:rsid w:val="002B2E47"/>
    <w:rsid w:val="002B5869"/>
    <w:rsid w:val="002B69ED"/>
    <w:rsid w:val="002C5BC2"/>
    <w:rsid w:val="002D0A87"/>
    <w:rsid w:val="002E2381"/>
    <w:rsid w:val="002E39AA"/>
    <w:rsid w:val="002E5AB4"/>
    <w:rsid w:val="002E5B39"/>
    <w:rsid w:val="002E7D49"/>
    <w:rsid w:val="002F0D22"/>
    <w:rsid w:val="002F1644"/>
    <w:rsid w:val="002F1EDB"/>
    <w:rsid w:val="002F413C"/>
    <w:rsid w:val="002F50E1"/>
    <w:rsid w:val="00303535"/>
    <w:rsid w:val="00304728"/>
    <w:rsid w:val="00307C33"/>
    <w:rsid w:val="00310BEB"/>
    <w:rsid w:val="00311C1A"/>
    <w:rsid w:val="003120A3"/>
    <w:rsid w:val="003156B5"/>
    <w:rsid w:val="00315A47"/>
    <w:rsid w:val="00316FF5"/>
    <w:rsid w:val="00322099"/>
    <w:rsid w:val="0033547E"/>
    <w:rsid w:val="00335A22"/>
    <w:rsid w:val="00337592"/>
    <w:rsid w:val="003463B8"/>
    <w:rsid w:val="00347437"/>
    <w:rsid w:val="00350673"/>
    <w:rsid w:val="00356D50"/>
    <w:rsid w:val="00357523"/>
    <w:rsid w:val="00362C2E"/>
    <w:rsid w:val="003768CE"/>
    <w:rsid w:val="0038282A"/>
    <w:rsid w:val="0038473F"/>
    <w:rsid w:val="00393363"/>
    <w:rsid w:val="00393847"/>
    <w:rsid w:val="003952D4"/>
    <w:rsid w:val="00397580"/>
    <w:rsid w:val="003B2C6D"/>
    <w:rsid w:val="003B7664"/>
    <w:rsid w:val="003C20FA"/>
    <w:rsid w:val="003C67B2"/>
    <w:rsid w:val="003D0499"/>
    <w:rsid w:val="003D5A98"/>
    <w:rsid w:val="003E0953"/>
    <w:rsid w:val="003E43AB"/>
    <w:rsid w:val="003E47CC"/>
    <w:rsid w:val="003E6040"/>
    <w:rsid w:val="003E7666"/>
    <w:rsid w:val="003E7845"/>
    <w:rsid w:val="003F247A"/>
    <w:rsid w:val="003F3DCF"/>
    <w:rsid w:val="003F526A"/>
    <w:rsid w:val="003F758F"/>
    <w:rsid w:val="00403AED"/>
    <w:rsid w:val="0040411A"/>
    <w:rsid w:val="004047E0"/>
    <w:rsid w:val="00405244"/>
    <w:rsid w:val="00405DFB"/>
    <w:rsid w:val="00411B61"/>
    <w:rsid w:val="00414EB0"/>
    <w:rsid w:val="0042178D"/>
    <w:rsid w:val="004223F8"/>
    <w:rsid w:val="00422EBE"/>
    <w:rsid w:val="004234A2"/>
    <w:rsid w:val="00427C16"/>
    <w:rsid w:val="004314A9"/>
    <w:rsid w:val="00432BAE"/>
    <w:rsid w:val="00435973"/>
    <w:rsid w:val="004369C7"/>
    <w:rsid w:val="00442C49"/>
    <w:rsid w:val="00443548"/>
    <w:rsid w:val="00454545"/>
    <w:rsid w:val="0045547F"/>
    <w:rsid w:val="00456B83"/>
    <w:rsid w:val="00463B1E"/>
    <w:rsid w:val="00465D63"/>
    <w:rsid w:val="004724F2"/>
    <w:rsid w:val="00472E38"/>
    <w:rsid w:val="0047611B"/>
    <w:rsid w:val="00476528"/>
    <w:rsid w:val="00483566"/>
    <w:rsid w:val="004837A4"/>
    <w:rsid w:val="00484959"/>
    <w:rsid w:val="004878A3"/>
    <w:rsid w:val="00493A49"/>
    <w:rsid w:val="00495AED"/>
    <w:rsid w:val="004966AC"/>
    <w:rsid w:val="004A05AF"/>
    <w:rsid w:val="004A127B"/>
    <w:rsid w:val="004A3A92"/>
    <w:rsid w:val="004A3E39"/>
    <w:rsid w:val="004B06FC"/>
    <w:rsid w:val="004B1BEB"/>
    <w:rsid w:val="004C484E"/>
    <w:rsid w:val="004C634B"/>
    <w:rsid w:val="004D2A8D"/>
    <w:rsid w:val="004D3A0C"/>
    <w:rsid w:val="004D467B"/>
    <w:rsid w:val="004D5FFB"/>
    <w:rsid w:val="004D656F"/>
    <w:rsid w:val="004E41E3"/>
    <w:rsid w:val="004E479E"/>
    <w:rsid w:val="004F2B96"/>
    <w:rsid w:val="004F59AC"/>
    <w:rsid w:val="004F78E6"/>
    <w:rsid w:val="0050108D"/>
    <w:rsid w:val="00501A1F"/>
    <w:rsid w:val="00506862"/>
    <w:rsid w:val="005107D5"/>
    <w:rsid w:val="00511E12"/>
    <w:rsid w:val="00512D99"/>
    <w:rsid w:val="005179CB"/>
    <w:rsid w:val="00523ABF"/>
    <w:rsid w:val="00525851"/>
    <w:rsid w:val="00527724"/>
    <w:rsid w:val="0053149C"/>
    <w:rsid w:val="00531F87"/>
    <w:rsid w:val="005341FC"/>
    <w:rsid w:val="00534B46"/>
    <w:rsid w:val="00546C25"/>
    <w:rsid w:val="00546CA0"/>
    <w:rsid w:val="00547BCD"/>
    <w:rsid w:val="005528C2"/>
    <w:rsid w:val="00553960"/>
    <w:rsid w:val="005552EA"/>
    <w:rsid w:val="00555416"/>
    <w:rsid w:val="00556DA8"/>
    <w:rsid w:val="00563856"/>
    <w:rsid w:val="005641DA"/>
    <w:rsid w:val="00564476"/>
    <w:rsid w:val="00565BC5"/>
    <w:rsid w:val="00566AE2"/>
    <w:rsid w:val="00567FF9"/>
    <w:rsid w:val="0057666D"/>
    <w:rsid w:val="00577D18"/>
    <w:rsid w:val="00582699"/>
    <w:rsid w:val="005846FE"/>
    <w:rsid w:val="00587155"/>
    <w:rsid w:val="0058773B"/>
    <w:rsid w:val="00587AD9"/>
    <w:rsid w:val="00587D4F"/>
    <w:rsid w:val="00595202"/>
    <w:rsid w:val="00595DB6"/>
    <w:rsid w:val="005970C2"/>
    <w:rsid w:val="00597DA3"/>
    <w:rsid w:val="005A14AE"/>
    <w:rsid w:val="005B0729"/>
    <w:rsid w:val="005B21C1"/>
    <w:rsid w:val="005B71B1"/>
    <w:rsid w:val="005B7B2A"/>
    <w:rsid w:val="005C071F"/>
    <w:rsid w:val="005C2C37"/>
    <w:rsid w:val="005C363E"/>
    <w:rsid w:val="005C445E"/>
    <w:rsid w:val="005C734A"/>
    <w:rsid w:val="005D0B61"/>
    <w:rsid w:val="005D1D50"/>
    <w:rsid w:val="005E0082"/>
    <w:rsid w:val="005E14BC"/>
    <w:rsid w:val="005E6647"/>
    <w:rsid w:val="005E6747"/>
    <w:rsid w:val="005F0E29"/>
    <w:rsid w:val="005F2255"/>
    <w:rsid w:val="005F58AB"/>
    <w:rsid w:val="005F79FB"/>
    <w:rsid w:val="00601BEF"/>
    <w:rsid w:val="006043EB"/>
    <w:rsid w:val="00624101"/>
    <w:rsid w:val="00625F8B"/>
    <w:rsid w:val="00627AAB"/>
    <w:rsid w:val="0063589C"/>
    <w:rsid w:val="00637E67"/>
    <w:rsid w:val="00645FBE"/>
    <w:rsid w:val="006533BD"/>
    <w:rsid w:val="00657620"/>
    <w:rsid w:val="00657987"/>
    <w:rsid w:val="006602F9"/>
    <w:rsid w:val="0066195A"/>
    <w:rsid w:val="00664658"/>
    <w:rsid w:val="00665317"/>
    <w:rsid w:val="00665622"/>
    <w:rsid w:val="00665B58"/>
    <w:rsid w:val="00665CE3"/>
    <w:rsid w:val="0067006E"/>
    <w:rsid w:val="00674991"/>
    <w:rsid w:val="00677C25"/>
    <w:rsid w:val="00681080"/>
    <w:rsid w:val="00684BED"/>
    <w:rsid w:val="00684DA9"/>
    <w:rsid w:val="006908E4"/>
    <w:rsid w:val="006923FD"/>
    <w:rsid w:val="00697606"/>
    <w:rsid w:val="006A1B47"/>
    <w:rsid w:val="006A3ABC"/>
    <w:rsid w:val="006B18B9"/>
    <w:rsid w:val="006B1D06"/>
    <w:rsid w:val="006B50BC"/>
    <w:rsid w:val="006B76C4"/>
    <w:rsid w:val="006C1771"/>
    <w:rsid w:val="006C49F4"/>
    <w:rsid w:val="006C4D80"/>
    <w:rsid w:val="006D13AE"/>
    <w:rsid w:val="006D2459"/>
    <w:rsid w:val="006D4C33"/>
    <w:rsid w:val="006D4E10"/>
    <w:rsid w:val="006D7F3F"/>
    <w:rsid w:val="006E0007"/>
    <w:rsid w:val="006E024F"/>
    <w:rsid w:val="006E0268"/>
    <w:rsid w:val="006E1288"/>
    <w:rsid w:val="006E3FBE"/>
    <w:rsid w:val="006E4E81"/>
    <w:rsid w:val="00700551"/>
    <w:rsid w:val="00702D54"/>
    <w:rsid w:val="00704A72"/>
    <w:rsid w:val="00705F43"/>
    <w:rsid w:val="00706132"/>
    <w:rsid w:val="00706298"/>
    <w:rsid w:val="00707F7D"/>
    <w:rsid w:val="00713969"/>
    <w:rsid w:val="00715483"/>
    <w:rsid w:val="00717EC5"/>
    <w:rsid w:val="00723941"/>
    <w:rsid w:val="00730630"/>
    <w:rsid w:val="00736841"/>
    <w:rsid w:val="00741CA0"/>
    <w:rsid w:val="00742BF1"/>
    <w:rsid w:val="00744F9E"/>
    <w:rsid w:val="007468D4"/>
    <w:rsid w:val="00750DBA"/>
    <w:rsid w:val="0075396A"/>
    <w:rsid w:val="007550FC"/>
    <w:rsid w:val="00763591"/>
    <w:rsid w:val="0076380E"/>
    <w:rsid w:val="00763AA8"/>
    <w:rsid w:val="007653DD"/>
    <w:rsid w:val="00767DF3"/>
    <w:rsid w:val="00770E62"/>
    <w:rsid w:val="0077500B"/>
    <w:rsid w:val="007835B9"/>
    <w:rsid w:val="00790CFC"/>
    <w:rsid w:val="00794CFA"/>
    <w:rsid w:val="00796333"/>
    <w:rsid w:val="007A072A"/>
    <w:rsid w:val="007A5786"/>
    <w:rsid w:val="007B00D8"/>
    <w:rsid w:val="007B3E9F"/>
    <w:rsid w:val="007C3F1A"/>
    <w:rsid w:val="007C451F"/>
    <w:rsid w:val="007C5403"/>
    <w:rsid w:val="007C57A0"/>
    <w:rsid w:val="007C60E9"/>
    <w:rsid w:val="007C7374"/>
    <w:rsid w:val="007C742A"/>
    <w:rsid w:val="007C79E5"/>
    <w:rsid w:val="007C7F6F"/>
    <w:rsid w:val="007D0327"/>
    <w:rsid w:val="007D0C51"/>
    <w:rsid w:val="007D4C69"/>
    <w:rsid w:val="007D77C6"/>
    <w:rsid w:val="007D7A62"/>
    <w:rsid w:val="007E08ED"/>
    <w:rsid w:val="007F0EF8"/>
    <w:rsid w:val="007F6804"/>
    <w:rsid w:val="008001A6"/>
    <w:rsid w:val="00804F10"/>
    <w:rsid w:val="008066B3"/>
    <w:rsid w:val="00807A78"/>
    <w:rsid w:val="008100CE"/>
    <w:rsid w:val="0081283C"/>
    <w:rsid w:val="00812E5E"/>
    <w:rsid w:val="008210F6"/>
    <w:rsid w:val="00822E27"/>
    <w:rsid w:val="00825586"/>
    <w:rsid w:val="00826170"/>
    <w:rsid w:val="00837EC0"/>
    <w:rsid w:val="008436A1"/>
    <w:rsid w:val="00843DD5"/>
    <w:rsid w:val="00843F20"/>
    <w:rsid w:val="0084584C"/>
    <w:rsid w:val="00847A7C"/>
    <w:rsid w:val="0085224A"/>
    <w:rsid w:val="008528EA"/>
    <w:rsid w:val="00854B30"/>
    <w:rsid w:val="00855438"/>
    <w:rsid w:val="008602EF"/>
    <w:rsid w:val="008610D9"/>
    <w:rsid w:val="00861D0E"/>
    <w:rsid w:val="00870B9F"/>
    <w:rsid w:val="00871B04"/>
    <w:rsid w:val="00871F1D"/>
    <w:rsid w:val="008752CD"/>
    <w:rsid w:val="00876D84"/>
    <w:rsid w:val="00881879"/>
    <w:rsid w:val="008940E6"/>
    <w:rsid w:val="00896A8B"/>
    <w:rsid w:val="008A6A3E"/>
    <w:rsid w:val="008A7FA9"/>
    <w:rsid w:val="008B58DE"/>
    <w:rsid w:val="008B5F76"/>
    <w:rsid w:val="008B6481"/>
    <w:rsid w:val="008C192B"/>
    <w:rsid w:val="008C1BD4"/>
    <w:rsid w:val="008C2026"/>
    <w:rsid w:val="008C31CD"/>
    <w:rsid w:val="008C384C"/>
    <w:rsid w:val="008C5FBF"/>
    <w:rsid w:val="008D4A8F"/>
    <w:rsid w:val="008E05F9"/>
    <w:rsid w:val="008E2BC7"/>
    <w:rsid w:val="008E5C95"/>
    <w:rsid w:val="008F20F7"/>
    <w:rsid w:val="008F6143"/>
    <w:rsid w:val="008F73B4"/>
    <w:rsid w:val="00904A54"/>
    <w:rsid w:val="009068E3"/>
    <w:rsid w:val="00906CA7"/>
    <w:rsid w:val="0091284E"/>
    <w:rsid w:val="00921F8C"/>
    <w:rsid w:val="00924006"/>
    <w:rsid w:val="009301FE"/>
    <w:rsid w:val="00930869"/>
    <w:rsid w:val="009330BE"/>
    <w:rsid w:val="00933775"/>
    <w:rsid w:val="00936470"/>
    <w:rsid w:val="00940628"/>
    <w:rsid w:val="009423B5"/>
    <w:rsid w:val="009440FA"/>
    <w:rsid w:val="00954026"/>
    <w:rsid w:val="00956D2F"/>
    <w:rsid w:val="00961433"/>
    <w:rsid w:val="00964C5E"/>
    <w:rsid w:val="00965707"/>
    <w:rsid w:val="009676DD"/>
    <w:rsid w:val="00970ACC"/>
    <w:rsid w:val="00971E81"/>
    <w:rsid w:val="00981AE0"/>
    <w:rsid w:val="00981F64"/>
    <w:rsid w:val="00987684"/>
    <w:rsid w:val="009A0536"/>
    <w:rsid w:val="009A27B3"/>
    <w:rsid w:val="009A36F5"/>
    <w:rsid w:val="009A4BD7"/>
    <w:rsid w:val="009A59A7"/>
    <w:rsid w:val="009B08A0"/>
    <w:rsid w:val="009B2363"/>
    <w:rsid w:val="009B39BB"/>
    <w:rsid w:val="009B55B1"/>
    <w:rsid w:val="009C2A2D"/>
    <w:rsid w:val="009D05C4"/>
    <w:rsid w:val="009D11DB"/>
    <w:rsid w:val="009D2F07"/>
    <w:rsid w:val="009D53FB"/>
    <w:rsid w:val="009D58D2"/>
    <w:rsid w:val="009D5BCA"/>
    <w:rsid w:val="009D6998"/>
    <w:rsid w:val="009E147F"/>
    <w:rsid w:val="009F0DE4"/>
    <w:rsid w:val="009F0E27"/>
    <w:rsid w:val="009F1958"/>
    <w:rsid w:val="009F3AB2"/>
    <w:rsid w:val="009F421B"/>
    <w:rsid w:val="009F48F3"/>
    <w:rsid w:val="009F5E2C"/>
    <w:rsid w:val="009F6477"/>
    <w:rsid w:val="009F799A"/>
    <w:rsid w:val="00A01ADC"/>
    <w:rsid w:val="00A02584"/>
    <w:rsid w:val="00A0427B"/>
    <w:rsid w:val="00A04964"/>
    <w:rsid w:val="00A172E0"/>
    <w:rsid w:val="00A25DC0"/>
    <w:rsid w:val="00A33D03"/>
    <w:rsid w:val="00A42073"/>
    <w:rsid w:val="00A4343D"/>
    <w:rsid w:val="00A44A24"/>
    <w:rsid w:val="00A46060"/>
    <w:rsid w:val="00A46909"/>
    <w:rsid w:val="00A473A6"/>
    <w:rsid w:val="00A507A2"/>
    <w:rsid w:val="00A543D6"/>
    <w:rsid w:val="00A55BE4"/>
    <w:rsid w:val="00A604C3"/>
    <w:rsid w:val="00A613B4"/>
    <w:rsid w:val="00A62B48"/>
    <w:rsid w:val="00A64010"/>
    <w:rsid w:val="00A64EF5"/>
    <w:rsid w:val="00A66F4A"/>
    <w:rsid w:val="00A81EB3"/>
    <w:rsid w:val="00A82330"/>
    <w:rsid w:val="00A83D23"/>
    <w:rsid w:val="00A83D4B"/>
    <w:rsid w:val="00A91B15"/>
    <w:rsid w:val="00A9335F"/>
    <w:rsid w:val="00A94634"/>
    <w:rsid w:val="00A97530"/>
    <w:rsid w:val="00AA12A9"/>
    <w:rsid w:val="00AB0281"/>
    <w:rsid w:val="00AB5363"/>
    <w:rsid w:val="00AC18BD"/>
    <w:rsid w:val="00AC4D38"/>
    <w:rsid w:val="00AD344F"/>
    <w:rsid w:val="00AD377F"/>
    <w:rsid w:val="00AD4FD2"/>
    <w:rsid w:val="00AE18FD"/>
    <w:rsid w:val="00AE44C1"/>
    <w:rsid w:val="00AE7DFA"/>
    <w:rsid w:val="00AF18E7"/>
    <w:rsid w:val="00AF3D7F"/>
    <w:rsid w:val="00AF74F6"/>
    <w:rsid w:val="00B008B0"/>
    <w:rsid w:val="00B00C1D"/>
    <w:rsid w:val="00B03086"/>
    <w:rsid w:val="00B03586"/>
    <w:rsid w:val="00B04ED5"/>
    <w:rsid w:val="00B15E8A"/>
    <w:rsid w:val="00B15FB9"/>
    <w:rsid w:val="00B21E2E"/>
    <w:rsid w:val="00B329CD"/>
    <w:rsid w:val="00B35A9B"/>
    <w:rsid w:val="00B37AAD"/>
    <w:rsid w:val="00B37BD2"/>
    <w:rsid w:val="00B40E81"/>
    <w:rsid w:val="00B445F8"/>
    <w:rsid w:val="00B502F8"/>
    <w:rsid w:val="00B5604A"/>
    <w:rsid w:val="00B57CF9"/>
    <w:rsid w:val="00B6165F"/>
    <w:rsid w:val="00B62047"/>
    <w:rsid w:val="00B6314F"/>
    <w:rsid w:val="00B715F8"/>
    <w:rsid w:val="00B73FE6"/>
    <w:rsid w:val="00B75587"/>
    <w:rsid w:val="00B80050"/>
    <w:rsid w:val="00B804E6"/>
    <w:rsid w:val="00B8116A"/>
    <w:rsid w:val="00B872B0"/>
    <w:rsid w:val="00B87E8A"/>
    <w:rsid w:val="00B91750"/>
    <w:rsid w:val="00B91B9F"/>
    <w:rsid w:val="00B91FE2"/>
    <w:rsid w:val="00B96515"/>
    <w:rsid w:val="00B97043"/>
    <w:rsid w:val="00BA49E2"/>
    <w:rsid w:val="00BA6370"/>
    <w:rsid w:val="00BB1A16"/>
    <w:rsid w:val="00BB31EC"/>
    <w:rsid w:val="00BB4483"/>
    <w:rsid w:val="00BB567D"/>
    <w:rsid w:val="00BB7C3A"/>
    <w:rsid w:val="00BC5812"/>
    <w:rsid w:val="00BC6C63"/>
    <w:rsid w:val="00BC712C"/>
    <w:rsid w:val="00BD5637"/>
    <w:rsid w:val="00BD65C7"/>
    <w:rsid w:val="00BE119A"/>
    <w:rsid w:val="00BE2FD6"/>
    <w:rsid w:val="00BE634C"/>
    <w:rsid w:val="00BF31DA"/>
    <w:rsid w:val="00BF404E"/>
    <w:rsid w:val="00BF5150"/>
    <w:rsid w:val="00C024C5"/>
    <w:rsid w:val="00C114EB"/>
    <w:rsid w:val="00C13C27"/>
    <w:rsid w:val="00C14F12"/>
    <w:rsid w:val="00C1683A"/>
    <w:rsid w:val="00C2573C"/>
    <w:rsid w:val="00C26567"/>
    <w:rsid w:val="00C3414C"/>
    <w:rsid w:val="00C4160D"/>
    <w:rsid w:val="00C45361"/>
    <w:rsid w:val="00C466A1"/>
    <w:rsid w:val="00C472F8"/>
    <w:rsid w:val="00C520EF"/>
    <w:rsid w:val="00C5397B"/>
    <w:rsid w:val="00C56334"/>
    <w:rsid w:val="00C63CD2"/>
    <w:rsid w:val="00C6507B"/>
    <w:rsid w:val="00C66FC1"/>
    <w:rsid w:val="00C67D47"/>
    <w:rsid w:val="00C70B56"/>
    <w:rsid w:val="00C738D4"/>
    <w:rsid w:val="00C75735"/>
    <w:rsid w:val="00C80844"/>
    <w:rsid w:val="00C8406E"/>
    <w:rsid w:val="00C916CE"/>
    <w:rsid w:val="00C95787"/>
    <w:rsid w:val="00CA1124"/>
    <w:rsid w:val="00CA124B"/>
    <w:rsid w:val="00CA798A"/>
    <w:rsid w:val="00CB1E01"/>
    <w:rsid w:val="00CB2709"/>
    <w:rsid w:val="00CB6F89"/>
    <w:rsid w:val="00CC0046"/>
    <w:rsid w:val="00CC1C57"/>
    <w:rsid w:val="00CC2A6E"/>
    <w:rsid w:val="00CC421F"/>
    <w:rsid w:val="00CC5B92"/>
    <w:rsid w:val="00CC5E0D"/>
    <w:rsid w:val="00CD59C6"/>
    <w:rsid w:val="00CD685F"/>
    <w:rsid w:val="00CE0673"/>
    <w:rsid w:val="00CE43AE"/>
    <w:rsid w:val="00CE740C"/>
    <w:rsid w:val="00CF24D7"/>
    <w:rsid w:val="00CF545B"/>
    <w:rsid w:val="00CF65FB"/>
    <w:rsid w:val="00CF7745"/>
    <w:rsid w:val="00D01F63"/>
    <w:rsid w:val="00D03405"/>
    <w:rsid w:val="00D057F7"/>
    <w:rsid w:val="00D06D98"/>
    <w:rsid w:val="00D14316"/>
    <w:rsid w:val="00D148C5"/>
    <w:rsid w:val="00D14C54"/>
    <w:rsid w:val="00D2322E"/>
    <w:rsid w:val="00D27D7D"/>
    <w:rsid w:val="00D31417"/>
    <w:rsid w:val="00D3232B"/>
    <w:rsid w:val="00D32B26"/>
    <w:rsid w:val="00D33FD7"/>
    <w:rsid w:val="00D348FA"/>
    <w:rsid w:val="00D41DCA"/>
    <w:rsid w:val="00D46A1E"/>
    <w:rsid w:val="00D51215"/>
    <w:rsid w:val="00D523E4"/>
    <w:rsid w:val="00D61CE3"/>
    <w:rsid w:val="00D62326"/>
    <w:rsid w:val="00D628F8"/>
    <w:rsid w:val="00D64386"/>
    <w:rsid w:val="00D646AE"/>
    <w:rsid w:val="00D67581"/>
    <w:rsid w:val="00D71E3E"/>
    <w:rsid w:val="00D73AE1"/>
    <w:rsid w:val="00D74BC1"/>
    <w:rsid w:val="00D82C64"/>
    <w:rsid w:val="00D84B0D"/>
    <w:rsid w:val="00D86C49"/>
    <w:rsid w:val="00D91BAF"/>
    <w:rsid w:val="00D92643"/>
    <w:rsid w:val="00DA67C0"/>
    <w:rsid w:val="00DB46EE"/>
    <w:rsid w:val="00DB5A7A"/>
    <w:rsid w:val="00DC045B"/>
    <w:rsid w:val="00DC4F36"/>
    <w:rsid w:val="00DC59E3"/>
    <w:rsid w:val="00DC78CD"/>
    <w:rsid w:val="00DE7B56"/>
    <w:rsid w:val="00DF01C7"/>
    <w:rsid w:val="00DF28D3"/>
    <w:rsid w:val="00DF3C28"/>
    <w:rsid w:val="00DF47FE"/>
    <w:rsid w:val="00DF4E4A"/>
    <w:rsid w:val="00DF5C8B"/>
    <w:rsid w:val="00DF64B3"/>
    <w:rsid w:val="00DF73A1"/>
    <w:rsid w:val="00E01B71"/>
    <w:rsid w:val="00E02ECE"/>
    <w:rsid w:val="00E05ADE"/>
    <w:rsid w:val="00E076F2"/>
    <w:rsid w:val="00E103D9"/>
    <w:rsid w:val="00E106ED"/>
    <w:rsid w:val="00E1085F"/>
    <w:rsid w:val="00E13D88"/>
    <w:rsid w:val="00E14296"/>
    <w:rsid w:val="00E14D35"/>
    <w:rsid w:val="00E159D2"/>
    <w:rsid w:val="00E160E8"/>
    <w:rsid w:val="00E20DC1"/>
    <w:rsid w:val="00E23D65"/>
    <w:rsid w:val="00E27618"/>
    <w:rsid w:val="00E321EC"/>
    <w:rsid w:val="00E332B3"/>
    <w:rsid w:val="00E3794B"/>
    <w:rsid w:val="00E41F21"/>
    <w:rsid w:val="00E504C3"/>
    <w:rsid w:val="00E52D09"/>
    <w:rsid w:val="00E54770"/>
    <w:rsid w:val="00E55AB6"/>
    <w:rsid w:val="00E565D3"/>
    <w:rsid w:val="00E6622E"/>
    <w:rsid w:val="00E71384"/>
    <w:rsid w:val="00E7276A"/>
    <w:rsid w:val="00E73AF7"/>
    <w:rsid w:val="00E756CB"/>
    <w:rsid w:val="00E80F06"/>
    <w:rsid w:val="00E86679"/>
    <w:rsid w:val="00E91DEF"/>
    <w:rsid w:val="00E92176"/>
    <w:rsid w:val="00E92C06"/>
    <w:rsid w:val="00EA5985"/>
    <w:rsid w:val="00EA5E1A"/>
    <w:rsid w:val="00EB50BC"/>
    <w:rsid w:val="00EC278A"/>
    <w:rsid w:val="00ED070A"/>
    <w:rsid w:val="00ED71F6"/>
    <w:rsid w:val="00ED7A6A"/>
    <w:rsid w:val="00ED7CBC"/>
    <w:rsid w:val="00ED7CFA"/>
    <w:rsid w:val="00EE596B"/>
    <w:rsid w:val="00EE5A4D"/>
    <w:rsid w:val="00EF17F6"/>
    <w:rsid w:val="00EF22FF"/>
    <w:rsid w:val="00EF4C84"/>
    <w:rsid w:val="00EF4DBF"/>
    <w:rsid w:val="00EF6165"/>
    <w:rsid w:val="00EF67EC"/>
    <w:rsid w:val="00EF753F"/>
    <w:rsid w:val="00F004FC"/>
    <w:rsid w:val="00F034C1"/>
    <w:rsid w:val="00F040EB"/>
    <w:rsid w:val="00F05785"/>
    <w:rsid w:val="00F11B08"/>
    <w:rsid w:val="00F14747"/>
    <w:rsid w:val="00F15C86"/>
    <w:rsid w:val="00F2122E"/>
    <w:rsid w:val="00F27D16"/>
    <w:rsid w:val="00F36477"/>
    <w:rsid w:val="00F41E18"/>
    <w:rsid w:val="00F44D4E"/>
    <w:rsid w:val="00F44FDC"/>
    <w:rsid w:val="00F460A6"/>
    <w:rsid w:val="00F47570"/>
    <w:rsid w:val="00F51006"/>
    <w:rsid w:val="00F5114D"/>
    <w:rsid w:val="00F531ED"/>
    <w:rsid w:val="00F5477A"/>
    <w:rsid w:val="00F65F1D"/>
    <w:rsid w:val="00F719B3"/>
    <w:rsid w:val="00F74404"/>
    <w:rsid w:val="00F748E9"/>
    <w:rsid w:val="00F7609B"/>
    <w:rsid w:val="00F77AAC"/>
    <w:rsid w:val="00F80714"/>
    <w:rsid w:val="00F82D27"/>
    <w:rsid w:val="00F84970"/>
    <w:rsid w:val="00F86919"/>
    <w:rsid w:val="00F91C28"/>
    <w:rsid w:val="00F92BD7"/>
    <w:rsid w:val="00F95D3F"/>
    <w:rsid w:val="00F9630D"/>
    <w:rsid w:val="00FA083C"/>
    <w:rsid w:val="00FA6142"/>
    <w:rsid w:val="00FA6F15"/>
    <w:rsid w:val="00FB0495"/>
    <w:rsid w:val="00FB0931"/>
    <w:rsid w:val="00FB27D0"/>
    <w:rsid w:val="00FB3D01"/>
    <w:rsid w:val="00FB4530"/>
    <w:rsid w:val="00FB514A"/>
    <w:rsid w:val="00FB687C"/>
    <w:rsid w:val="00FC19C5"/>
    <w:rsid w:val="00FC5021"/>
    <w:rsid w:val="00FD130C"/>
    <w:rsid w:val="00FD1F2F"/>
    <w:rsid w:val="00FD31E4"/>
    <w:rsid w:val="00FD605D"/>
    <w:rsid w:val="00FD66FC"/>
    <w:rsid w:val="00FE1FD1"/>
    <w:rsid w:val="00FE3477"/>
    <w:rsid w:val="00FE43C2"/>
    <w:rsid w:val="00FF07B3"/>
    <w:rsid w:val="00FF4291"/>
    <w:rsid w:val="00FF42B2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364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DB0C-BC01-43B5-9F75-01CCFBAF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9322</TotalTime>
  <Pages>6</Pages>
  <Words>1674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11528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Operator</cp:lastModifiedBy>
  <cp:revision>133</cp:revision>
  <cp:lastPrinted>2016-07-28T08:37:00Z</cp:lastPrinted>
  <dcterms:created xsi:type="dcterms:W3CDTF">2016-01-11T10:09:00Z</dcterms:created>
  <dcterms:modified xsi:type="dcterms:W3CDTF">2016-07-28T09:38:00Z</dcterms:modified>
</cp:coreProperties>
</file>