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2C" w:rsidRPr="0045192C" w:rsidRDefault="0045192C" w:rsidP="0045192C">
      <w:pPr>
        <w:pStyle w:val="Nadpis1"/>
        <w:numPr>
          <w:ilvl w:val="0"/>
          <w:numId w:val="41"/>
        </w:numPr>
        <w:ind w:left="0"/>
      </w:pPr>
      <w:r>
        <w:rPr>
          <w:lang w:val="cs-CZ"/>
        </w:rPr>
        <w:t xml:space="preserve"> </w:t>
      </w:r>
      <w:r w:rsidR="00EE38E0">
        <w:t xml:space="preserve">Následky nehod v podobě hmotných škod i širších </w:t>
      </w:r>
      <w:proofErr w:type="spellStart"/>
      <w:r w:rsidR="00EE38E0">
        <w:t>socio</w:t>
      </w:r>
      <w:proofErr w:type="spellEnd"/>
      <w:r w:rsidR="00EE38E0">
        <w:t xml:space="preserve">- </w:t>
      </w:r>
    </w:p>
    <w:p w:rsidR="00EE38E0" w:rsidRDefault="0045192C" w:rsidP="0045192C">
      <w:pPr>
        <w:pStyle w:val="Nadpis1"/>
        <w:numPr>
          <w:ilvl w:val="0"/>
          <w:numId w:val="0"/>
        </w:numPr>
      </w:pPr>
      <w:r>
        <w:rPr>
          <w:lang w:val="cs-CZ"/>
        </w:rPr>
        <w:t xml:space="preserve"> </w:t>
      </w:r>
      <w:r w:rsidR="00EE38E0">
        <w:t>ekonomických dopadů</w:t>
      </w:r>
    </w:p>
    <w:p w:rsidR="00EE38E0" w:rsidRDefault="00EE38E0">
      <w:pPr>
        <w:rPr>
          <w:lang/>
        </w:rPr>
      </w:pPr>
    </w:p>
    <w:p w:rsidR="00EE38E0" w:rsidRDefault="00EE38E0">
      <w:pPr>
        <w:rPr>
          <w:lang/>
        </w:rPr>
      </w:pPr>
    </w:p>
    <w:tbl>
      <w:tblPr>
        <w:tblW w:w="5000" w:type="pct"/>
        <w:tblCellMar>
          <w:left w:w="28" w:type="dxa"/>
          <w:right w:w="28" w:type="dxa"/>
        </w:tblCellMar>
        <w:tblLook w:val="04A0"/>
      </w:tblPr>
      <w:tblGrid>
        <w:gridCol w:w="2044"/>
        <w:gridCol w:w="275"/>
        <w:gridCol w:w="7375"/>
      </w:tblGrid>
      <w:tr w:rsidR="00EE38E0">
        <w:tc>
          <w:tcPr>
            <w:tcW w:w="1054" w:type="pct"/>
          </w:tcPr>
          <w:p w:rsidR="00EE38E0" w:rsidRDefault="00194858">
            <w:pPr>
              <w:jc w:val="left"/>
              <w:rPr>
                <w:sz w:val="16"/>
                <w:szCs w:val="16"/>
              </w:rPr>
            </w:pPr>
            <w:r>
              <w:rPr>
                <w:sz w:val="16"/>
                <w:szCs w:val="16"/>
              </w:rPr>
              <w:t>V roce 2011 činily hmotné škody při dopravních nehodách 4,6 mld. korun</w:t>
            </w:r>
          </w:p>
        </w:tc>
        <w:tc>
          <w:tcPr>
            <w:tcW w:w="142" w:type="pct"/>
          </w:tcPr>
          <w:p w:rsidR="00EE38E0" w:rsidRDefault="00EE38E0">
            <w:pPr>
              <w:pStyle w:val="Textpoznpodarou"/>
              <w:jc w:val="both"/>
              <w:rPr>
                <w:lang w:val="cs-CZ" w:eastAsia="cs-CZ"/>
              </w:rPr>
            </w:pPr>
          </w:p>
        </w:tc>
        <w:tc>
          <w:tcPr>
            <w:tcW w:w="3804" w:type="pct"/>
          </w:tcPr>
          <w:p w:rsidR="00645582" w:rsidRPr="00645582" w:rsidRDefault="00645582" w:rsidP="00645582">
            <w:pPr>
              <w:pStyle w:val="Zpat"/>
              <w:tabs>
                <w:tab w:val="clear" w:pos="4536"/>
                <w:tab w:val="clear" w:pos="9072"/>
              </w:tabs>
              <w:jc w:val="both"/>
              <w:rPr>
                <w:rFonts w:ascii="Arial" w:eastAsia="Times New Roman" w:hAnsi="Arial"/>
                <w:sz w:val="20"/>
                <w:szCs w:val="20"/>
                <w:lang/>
              </w:rPr>
            </w:pPr>
            <w:r w:rsidRPr="00645582">
              <w:rPr>
                <w:rFonts w:ascii="Arial" w:eastAsia="Times New Roman" w:hAnsi="Arial"/>
                <w:sz w:val="20"/>
                <w:szCs w:val="20"/>
                <w:lang/>
              </w:rPr>
              <w:t xml:space="preserve">Podle odhadu dopravní policie na místě události byla při nehodách v silničním provozu na území ČR v roce 2011 způsobena celková hmotná škoda ve výši 4,628 mld. </w:t>
            </w:r>
            <w:r w:rsidR="00194858">
              <w:rPr>
                <w:rFonts w:ascii="Arial" w:eastAsia="Times New Roman" w:hAnsi="Arial"/>
                <w:sz w:val="20"/>
                <w:szCs w:val="20"/>
                <w:lang/>
              </w:rPr>
              <w:t>k</w:t>
            </w:r>
            <w:r w:rsidRPr="00645582">
              <w:rPr>
                <w:rFonts w:ascii="Arial" w:eastAsia="Times New Roman" w:hAnsi="Arial"/>
                <w:sz w:val="20"/>
                <w:szCs w:val="20"/>
                <w:lang/>
              </w:rPr>
              <w:t>orun. Na této částce se z 94,4 % jako vinící nehod podíleli řidiči motorových vozidel, což není překvapivé, neboť tito řidiči tvoří rozhodující část dopravního toku. Řidiči pod vlivem alkoho</w:t>
            </w:r>
            <w:r w:rsidR="0097040D">
              <w:rPr>
                <w:rFonts w:ascii="Arial" w:eastAsia="Times New Roman" w:hAnsi="Arial"/>
                <w:sz w:val="20"/>
                <w:szCs w:val="20"/>
                <w:lang/>
              </w:rPr>
              <w:t xml:space="preserve">lu způsobili 6 % hmotných škod. </w:t>
            </w:r>
            <w:r w:rsidRPr="00645582">
              <w:rPr>
                <w:rFonts w:ascii="Arial" w:eastAsia="Times New Roman" w:hAnsi="Arial"/>
                <w:sz w:val="20"/>
                <w:szCs w:val="20"/>
                <w:lang/>
              </w:rPr>
              <w:t xml:space="preserve">Neopomenutelný byl i vliv tranzitní dopravy, neboť řidiči, jejichž vozidla jsou byla registrována mimo území ČR, se v roce 2011 na celkovém objemu škodu podíleli 7,5 %. </w:t>
            </w:r>
          </w:p>
          <w:p w:rsidR="00EE38E0" w:rsidRDefault="00EE38E0" w:rsidP="00645582">
            <w:pPr>
              <w:pStyle w:val="Zpat"/>
              <w:tabs>
                <w:tab w:val="clear" w:pos="4536"/>
                <w:tab w:val="clear" w:pos="9072"/>
              </w:tabs>
              <w:jc w:val="both"/>
              <w:rPr>
                <w:lang w:eastAsia="cs-CZ"/>
              </w:rPr>
            </w:pPr>
          </w:p>
        </w:tc>
      </w:tr>
      <w:tr w:rsidR="00EE38E0">
        <w:tc>
          <w:tcPr>
            <w:tcW w:w="1054" w:type="pct"/>
          </w:tcPr>
          <w:p w:rsidR="00EE38E0" w:rsidRDefault="00194858" w:rsidP="005A3E80">
            <w:pPr>
              <w:jc w:val="left"/>
              <w:rPr>
                <w:sz w:val="16"/>
                <w:szCs w:val="16"/>
              </w:rPr>
            </w:pPr>
            <w:r>
              <w:rPr>
                <w:sz w:val="16"/>
                <w:szCs w:val="16"/>
              </w:rPr>
              <w:t xml:space="preserve">… ale ze dvou třetin šlo o případy, kdy nebyli zraněni či usmrceni lidé </w:t>
            </w:r>
          </w:p>
        </w:tc>
        <w:tc>
          <w:tcPr>
            <w:tcW w:w="142" w:type="pct"/>
          </w:tcPr>
          <w:p w:rsidR="00EE38E0" w:rsidRDefault="00EE38E0">
            <w:pPr>
              <w:pStyle w:val="Textpoznpodarou"/>
              <w:jc w:val="both"/>
              <w:rPr>
                <w:lang w:val="cs-CZ" w:eastAsia="cs-CZ"/>
              </w:rPr>
            </w:pPr>
          </w:p>
        </w:tc>
        <w:tc>
          <w:tcPr>
            <w:tcW w:w="3804" w:type="pct"/>
          </w:tcPr>
          <w:p w:rsidR="00645582" w:rsidRPr="00645582" w:rsidRDefault="00645582" w:rsidP="00645582">
            <w:pPr>
              <w:pStyle w:val="Zpat"/>
              <w:tabs>
                <w:tab w:val="clear" w:pos="4536"/>
                <w:tab w:val="clear" w:pos="9072"/>
              </w:tabs>
              <w:jc w:val="both"/>
              <w:rPr>
                <w:rFonts w:ascii="Arial" w:eastAsia="Times New Roman" w:hAnsi="Arial"/>
                <w:sz w:val="20"/>
                <w:szCs w:val="20"/>
                <w:lang/>
              </w:rPr>
            </w:pPr>
            <w:r w:rsidRPr="00645582">
              <w:rPr>
                <w:rFonts w:ascii="Arial" w:eastAsia="Times New Roman" w:hAnsi="Arial"/>
                <w:sz w:val="20"/>
                <w:szCs w:val="20"/>
                <w:lang/>
              </w:rPr>
              <w:t>Dvě třetiny výše všech hmotných škod připadá na dopravní nehody, při kterých nedošlo ke zranění či usmrcení osob. Evidovaný počet takových nehod se však postupně snižuje vlivem legislativních změn upravujících povinnost nahlašovat policii vzniklou nehodu. Tato skutečnost rozhodujícím způsobem přispívá k poklesu celkových hmotných škod u nehod v silničním provozu – za poslední pětiletí se snížily na polovinu.</w:t>
            </w:r>
          </w:p>
          <w:p w:rsidR="00EE38E0" w:rsidRDefault="00EE38E0" w:rsidP="00645582">
            <w:pPr>
              <w:pStyle w:val="Textpoznpodarou"/>
              <w:jc w:val="both"/>
              <w:rPr>
                <w:lang w:val="cs-CZ" w:eastAsia="cs-CZ"/>
              </w:rPr>
            </w:pPr>
          </w:p>
        </w:tc>
      </w:tr>
      <w:tr w:rsidR="00EE38E0">
        <w:tc>
          <w:tcPr>
            <w:tcW w:w="1054" w:type="pct"/>
          </w:tcPr>
          <w:p w:rsidR="00EE38E0" w:rsidRDefault="00194858" w:rsidP="00194858">
            <w:pPr>
              <w:jc w:val="left"/>
              <w:rPr>
                <w:sz w:val="16"/>
                <w:szCs w:val="16"/>
              </w:rPr>
            </w:pPr>
            <w:r>
              <w:rPr>
                <w:sz w:val="16"/>
                <w:szCs w:val="16"/>
              </w:rPr>
              <w:t>Na jednu dopravní nehodu připadala škoda ve výši nad 60 tisíc korun a dlouhodobě se mírně zvyšuje</w:t>
            </w:r>
          </w:p>
        </w:tc>
        <w:tc>
          <w:tcPr>
            <w:tcW w:w="142" w:type="pct"/>
          </w:tcPr>
          <w:p w:rsidR="00EE38E0" w:rsidRDefault="00EE38E0">
            <w:pPr>
              <w:pStyle w:val="Textpoznpodarou"/>
              <w:jc w:val="both"/>
              <w:rPr>
                <w:lang w:val="cs-CZ" w:eastAsia="cs-CZ"/>
              </w:rPr>
            </w:pPr>
          </w:p>
        </w:tc>
        <w:tc>
          <w:tcPr>
            <w:tcW w:w="3804" w:type="pct"/>
          </w:tcPr>
          <w:p w:rsidR="00645582" w:rsidRPr="00645582" w:rsidRDefault="00645582" w:rsidP="00645582">
            <w:pPr>
              <w:pStyle w:val="Zpat"/>
              <w:tabs>
                <w:tab w:val="clear" w:pos="4536"/>
                <w:tab w:val="clear" w:pos="9072"/>
              </w:tabs>
              <w:jc w:val="both"/>
              <w:rPr>
                <w:rFonts w:ascii="Arial" w:eastAsia="Times New Roman" w:hAnsi="Arial"/>
                <w:sz w:val="20"/>
                <w:szCs w:val="20"/>
                <w:lang/>
              </w:rPr>
            </w:pPr>
            <w:r w:rsidRPr="00645582">
              <w:rPr>
                <w:rFonts w:ascii="Arial" w:eastAsia="Times New Roman" w:hAnsi="Arial"/>
                <w:sz w:val="20"/>
                <w:szCs w:val="20"/>
                <w:lang/>
              </w:rPr>
              <w:t xml:space="preserve">Výše hmotných škod připadající na </w:t>
            </w:r>
            <w:r w:rsidR="00194858">
              <w:rPr>
                <w:rFonts w:ascii="Arial" w:eastAsia="Times New Roman" w:hAnsi="Arial"/>
                <w:sz w:val="20"/>
                <w:szCs w:val="20"/>
                <w:lang/>
              </w:rPr>
              <w:t>jednu</w:t>
            </w:r>
            <w:r w:rsidRPr="00645582">
              <w:rPr>
                <w:rFonts w:ascii="Arial" w:eastAsia="Times New Roman" w:hAnsi="Arial"/>
                <w:sz w:val="20"/>
                <w:szCs w:val="20"/>
                <w:lang/>
              </w:rPr>
              <w:t xml:space="preserve"> dopravní nehodu se v ČR dlouhodobě mírně zvyšuje, v roce 2011 lehce přesáhla šedesátitisícovou hranici a proti úrovni roku 2000 byla téměř dvojnásobná. Výše hmotných škod roste úměrně se závažností nehody, nejvyšší byla u nehod, při kterých došlo k usmrcení osob (v roce 2011 v průměru na jednu takovou nehodu 224 tis. korun). Hmotná škoda připadající na 1 nehodu s následky na zdraví rostla mezi roky 2000 a 2006, ve všech kategoriích nehod, nejrychleji u těch</w:t>
            </w:r>
            <w:r w:rsidR="00DD2F40">
              <w:rPr>
                <w:rFonts w:ascii="Arial" w:eastAsia="Times New Roman" w:hAnsi="Arial"/>
                <w:sz w:val="20"/>
                <w:szCs w:val="20"/>
                <w:lang/>
              </w:rPr>
              <w:t xml:space="preserve"> s těžkým zraněním (ze 74 tis. korun na 110 tis. k</w:t>
            </w:r>
            <w:r w:rsidRPr="00645582">
              <w:rPr>
                <w:rFonts w:ascii="Arial" w:eastAsia="Times New Roman" w:hAnsi="Arial"/>
                <w:sz w:val="20"/>
                <w:szCs w:val="20"/>
                <w:lang/>
              </w:rPr>
              <w:t>orun). Od roku 2006 tento růst pokračuje pouze u smrtelných ne</w:t>
            </w:r>
            <w:r w:rsidR="00DD2F40">
              <w:rPr>
                <w:rFonts w:ascii="Arial" w:eastAsia="Times New Roman" w:hAnsi="Arial"/>
                <w:sz w:val="20"/>
                <w:szCs w:val="20"/>
                <w:lang/>
              </w:rPr>
              <w:t>hod. Příčinu lze hledat ve změně</w:t>
            </w:r>
            <w:r w:rsidRPr="00645582">
              <w:rPr>
                <w:rFonts w:ascii="Arial" w:eastAsia="Times New Roman" w:hAnsi="Arial"/>
                <w:sz w:val="20"/>
                <w:szCs w:val="20"/>
                <w:lang/>
              </w:rPr>
              <w:t xml:space="preserve"> struktury nabouraných vozidel (posun od menších motorových vozidel k automobilům) a celkové obměně vozového parku (vyšší zastoupení výkonnějších a také dražších vozidel). </w:t>
            </w:r>
          </w:p>
          <w:p w:rsidR="00EE38E0" w:rsidRDefault="00EE38E0">
            <w:pPr>
              <w:pStyle w:val="Textpoznpodarou"/>
              <w:jc w:val="both"/>
              <w:rPr>
                <w:lang w:val="cs-CZ" w:eastAsia="cs-CZ"/>
              </w:rPr>
            </w:pPr>
          </w:p>
        </w:tc>
      </w:tr>
    </w:tbl>
    <w:p w:rsidR="00EE38E0" w:rsidRDefault="00EE38E0">
      <w:pPr>
        <w:pStyle w:val="Bezmezer"/>
        <w:spacing w:line="120" w:lineRule="auto"/>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1"/>
        <w:gridCol w:w="4136"/>
        <w:gridCol w:w="825"/>
        <w:gridCol w:w="3968"/>
      </w:tblGrid>
      <w:tr w:rsidR="00645582" w:rsidTr="0050158F">
        <w:tblPrEx>
          <w:tblCellMar>
            <w:top w:w="0" w:type="dxa"/>
            <w:bottom w:w="0" w:type="dxa"/>
          </w:tblCellMar>
        </w:tblPrEx>
        <w:trPr>
          <w:trHeight w:val="479"/>
        </w:trPr>
        <w:tc>
          <w:tcPr>
            <w:tcW w:w="402" w:type="pct"/>
            <w:tcBorders>
              <w:top w:val="nil"/>
              <w:left w:val="nil"/>
              <w:bottom w:val="nil"/>
              <w:right w:val="nil"/>
            </w:tcBorders>
          </w:tcPr>
          <w:p w:rsidR="00645582" w:rsidRPr="008636B6" w:rsidRDefault="003F3007" w:rsidP="008636B6">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11</w:t>
            </w:r>
            <w:r w:rsidR="00F925BA">
              <w:rPr>
                <w:rFonts w:ascii="Arial" w:hAnsi="Arial" w:cs="Arial"/>
                <w:b w:val="0"/>
                <w:i w:val="0"/>
                <w:iCs w:val="0"/>
                <w:sz w:val="20"/>
                <w:szCs w:val="20"/>
                <w:lang w:val="cs-CZ"/>
              </w:rPr>
              <w:t>8</w:t>
            </w:r>
          </w:p>
        </w:tc>
        <w:tc>
          <w:tcPr>
            <w:tcW w:w="2130" w:type="pct"/>
            <w:tcBorders>
              <w:top w:val="nil"/>
              <w:left w:val="nil"/>
              <w:bottom w:val="nil"/>
              <w:right w:val="nil"/>
            </w:tcBorders>
          </w:tcPr>
          <w:p w:rsidR="00645582" w:rsidRPr="003F3007" w:rsidRDefault="003F3007" w:rsidP="008636B6">
            <w:pPr>
              <w:pStyle w:val="Nadpis5"/>
              <w:numPr>
                <w:ilvl w:val="0"/>
                <w:numId w:val="0"/>
              </w:numPr>
              <w:spacing w:before="20"/>
              <w:jc w:val="left"/>
              <w:rPr>
                <w:rFonts w:ascii="Arial" w:hAnsi="Arial"/>
                <w:i w:val="0"/>
                <w:iCs w:val="0"/>
                <w:spacing w:val="-4"/>
                <w:sz w:val="20"/>
                <w:szCs w:val="24"/>
                <w:lang w:val="cs-CZ"/>
              </w:rPr>
            </w:pPr>
            <w:r>
              <w:rPr>
                <w:rFonts w:ascii="Arial" w:hAnsi="Arial"/>
                <w:i w:val="0"/>
                <w:iCs w:val="0"/>
                <w:spacing w:val="-4"/>
                <w:sz w:val="20"/>
                <w:szCs w:val="24"/>
              </w:rPr>
              <w:t>Vývoj průměr</w:t>
            </w:r>
            <w:r>
              <w:rPr>
                <w:rFonts w:ascii="Arial" w:hAnsi="Arial"/>
                <w:i w:val="0"/>
                <w:iCs w:val="0"/>
                <w:spacing w:val="-4"/>
                <w:sz w:val="20"/>
                <w:szCs w:val="24"/>
                <w:lang w:val="cs-CZ"/>
              </w:rPr>
              <w:t>.</w:t>
            </w:r>
            <w:r w:rsidR="00645582" w:rsidRPr="003F3007">
              <w:rPr>
                <w:rFonts w:ascii="Arial" w:hAnsi="Arial"/>
                <w:i w:val="0"/>
                <w:iCs w:val="0"/>
                <w:spacing w:val="-4"/>
                <w:sz w:val="20"/>
                <w:szCs w:val="24"/>
              </w:rPr>
              <w:t xml:space="preserve"> hmotné škody na 1</w:t>
            </w:r>
            <w:r w:rsidR="00645582" w:rsidRPr="003F3007">
              <w:rPr>
                <w:rFonts w:ascii="Arial" w:hAnsi="Arial"/>
                <w:i w:val="0"/>
                <w:iCs w:val="0"/>
                <w:spacing w:val="-4"/>
                <w:sz w:val="20"/>
                <w:szCs w:val="24"/>
                <w:lang w:val="cs-CZ"/>
              </w:rPr>
              <w:t xml:space="preserve"> </w:t>
            </w:r>
            <w:r w:rsidR="000B1A54" w:rsidRPr="003F3007">
              <w:rPr>
                <w:rFonts w:ascii="Arial" w:hAnsi="Arial"/>
                <w:i w:val="0"/>
                <w:iCs w:val="0"/>
                <w:spacing w:val="-4"/>
                <w:sz w:val="20"/>
                <w:szCs w:val="24"/>
              </w:rPr>
              <w:t xml:space="preserve">nehodu </w:t>
            </w:r>
            <w:r w:rsidR="008636B6" w:rsidRPr="003F3007">
              <w:rPr>
                <w:rFonts w:ascii="Arial" w:hAnsi="Arial"/>
                <w:i w:val="0"/>
                <w:iCs w:val="0"/>
                <w:spacing w:val="-4"/>
                <w:sz w:val="20"/>
                <w:szCs w:val="24"/>
              </w:rPr>
              <w:t>v ČR</w:t>
            </w:r>
            <w:r w:rsidR="008636B6" w:rsidRPr="003F3007">
              <w:rPr>
                <w:rFonts w:ascii="Arial" w:hAnsi="Arial"/>
                <w:i w:val="0"/>
                <w:iCs w:val="0"/>
                <w:spacing w:val="-4"/>
                <w:sz w:val="20"/>
                <w:szCs w:val="24"/>
                <w:lang w:val="cs-CZ"/>
              </w:rPr>
              <w:t xml:space="preserve"> po</w:t>
            </w:r>
            <w:r w:rsidR="00645582" w:rsidRPr="003F3007">
              <w:rPr>
                <w:rFonts w:ascii="Arial" w:hAnsi="Arial"/>
                <w:i w:val="0"/>
                <w:iCs w:val="0"/>
                <w:spacing w:val="-4"/>
                <w:sz w:val="20"/>
                <w:szCs w:val="24"/>
              </w:rPr>
              <w:t xml:space="preserve">dle </w:t>
            </w:r>
            <w:r w:rsidR="008636B6" w:rsidRPr="003F3007">
              <w:rPr>
                <w:rFonts w:ascii="Arial" w:hAnsi="Arial"/>
                <w:i w:val="0"/>
                <w:iCs w:val="0"/>
                <w:spacing w:val="-4"/>
                <w:sz w:val="20"/>
                <w:szCs w:val="24"/>
                <w:lang w:val="cs-CZ"/>
              </w:rPr>
              <w:t xml:space="preserve">závažnosti nehody </w:t>
            </w:r>
            <w:r w:rsidR="008636B6" w:rsidRPr="003F3007">
              <w:rPr>
                <w:rFonts w:ascii="Arial" w:hAnsi="Arial"/>
                <w:b w:val="0"/>
                <w:i w:val="0"/>
                <w:iCs w:val="0"/>
                <w:spacing w:val="-4"/>
                <w:sz w:val="20"/>
                <w:szCs w:val="24"/>
              </w:rPr>
              <w:t xml:space="preserve">(v tis. </w:t>
            </w:r>
            <w:r w:rsidR="008636B6" w:rsidRPr="003F3007">
              <w:rPr>
                <w:rFonts w:ascii="Arial" w:hAnsi="Arial"/>
                <w:b w:val="0"/>
                <w:i w:val="0"/>
                <w:iCs w:val="0"/>
                <w:spacing w:val="-4"/>
                <w:sz w:val="20"/>
                <w:szCs w:val="24"/>
                <w:lang w:val="cs-CZ"/>
              </w:rPr>
              <w:t>k</w:t>
            </w:r>
            <w:proofErr w:type="spellStart"/>
            <w:r w:rsidR="008636B6" w:rsidRPr="003F3007">
              <w:rPr>
                <w:rFonts w:ascii="Arial" w:hAnsi="Arial"/>
                <w:b w:val="0"/>
                <w:i w:val="0"/>
                <w:iCs w:val="0"/>
                <w:spacing w:val="-4"/>
                <w:sz w:val="20"/>
                <w:szCs w:val="24"/>
              </w:rPr>
              <w:t>orun</w:t>
            </w:r>
            <w:proofErr w:type="spellEnd"/>
            <w:r w:rsidR="008636B6" w:rsidRPr="003F3007">
              <w:rPr>
                <w:rFonts w:ascii="Arial" w:hAnsi="Arial"/>
                <w:b w:val="0"/>
                <w:i w:val="0"/>
                <w:iCs w:val="0"/>
                <w:spacing w:val="-4"/>
                <w:sz w:val="20"/>
                <w:szCs w:val="24"/>
              </w:rPr>
              <w:t>)</w:t>
            </w:r>
          </w:p>
        </w:tc>
        <w:tc>
          <w:tcPr>
            <w:tcW w:w="425" w:type="pct"/>
            <w:tcBorders>
              <w:top w:val="nil"/>
              <w:left w:val="nil"/>
              <w:bottom w:val="nil"/>
              <w:right w:val="nil"/>
            </w:tcBorders>
          </w:tcPr>
          <w:p w:rsidR="00645582" w:rsidRPr="00645582" w:rsidRDefault="003F3007" w:rsidP="008636B6">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11</w:t>
            </w:r>
            <w:r w:rsidR="00F925BA">
              <w:rPr>
                <w:rFonts w:ascii="Arial" w:hAnsi="Arial" w:cs="Arial"/>
                <w:b w:val="0"/>
                <w:i w:val="0"/>
                <w:iCs w:val="0"/>
                <w:sz w:val="20"/>
                <w:szCs w:val="20"/>
                <w:lang w:val="cs-CZ"/>
              </w:rPr>
              <w:t>9</w:t>
            </w:r>
          </w:p>
        </w:tc>
        <w:tc>
          <w:tcPr>
            <w:tcW w:w="2044" w:type="pct"/>
            <w:tcBorders>
              <w:top w:val="nil"/>
              <w:left w:val="nil"/>
              <w:bottom w:val="nil"/>
              <w:right w:val="nil"/>
            </w:tcBorders>
          </w:tcPr>
          <w:p w:rsidR="00645582" w:rsidRPr="003F3007" w:rsidRDefault="00645582" w:rsidP="008636B6">
            <w:pPr>
              <w:pStyle w:val="Nadpis2"/>
              <w:numPr>
                <w:ilvl w:val="0"/>
                <w:numId w:val="0"/>
              </w:numPr>
              <w:spacing w:before="0" w:after="0"/>
              <w:jc w:val="left"/>
              <w:rPr>
                <w:iCs w:val="0"/>
                <w:sz w:val="20"/>
                <w:szCs w:val="20"/>
                <w:lang w:val="cs-CZ"/>
              </w:rPr>
            </w:pPr>
            <w:r w:rsidRPr="00645582">
              <w:rPr>
                <w:iCs w:val="0"/>
                <w:sz w:val="20"/>
                <w:szCs w:val="20"/>
              </w:rPr>
              <w:t xml:space="preserve">Průměrná hmotná škoda na 1 nehodu </w:t>
            </w:r>
            <w:r w:rsidR="008636B6">
              <w:rPr>
                <w:iCs w:val="0"/>
                <w:sz w:val="20"/>
                <w:szCs w:val="20"/>
                <w:lang w:val="cs-CZ"/>
              </w:rPr>
              <w:t>celkem po</w:t>
            </w:r>
            <w:r w:rsidRPr="00645582">
              <w:rPr>
                <w:iCs w:val="0"/>
                <w:sz w:val="20"/>
                <w:szCs w:val="20"/>
              </w:rPr>
              <w:t xml:space="preserve">dle krajů </w:t>
            </w:r>
            <w:r w:rsidR="008636B6" w:rsidRPr="00645582">
              <w:rPr>
                <w:b w:val="0"/>
                <w:iCs w:val="0"/>
                <w:sz w:val="20"/>
                <w:szCs w:val="20"/>
                <w:lang w:val="cs-CZ"/>
              </w:rPr>
              <w:t>(</w:t>
            </w:r>
            <w:r w:rsidR="008636B6">
              <w:rPr>
                <w:b w:val="0"/>
                <w:iCs w:val="0"/>
                <w:sz w:val="20"/>
                <w:szCs w:val="20"/>
                <w:lang w:val="cs-CZ"/>
              </w:rPr>
              <w:t>v tis. korun)</w:t>
            </w:r>
          </w:p>
        </w:tc>
      </w:tr>
    </w:tbl>
    <w:p w:rsidR="00645582" w:rsidRDefault="0050158F" w:rsidP="00645582">
      <w:r w:rsidRPr="005015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6pt;height:201pt">
            <v:imagedata r:id="rId8" o:title=""/>
          </v:shape>
        </w:pict>
      </w:r>
      <w:r w:rsidR="003321B5" w:rsidRPr="003321B5">
        <w:pict>
          <v:shape id="_x0000_i1026" type="#_x0000_t75" style="width:239.6pt;height:201.6pt">
            <v:imagedata r:id="rId9" o:title=""/>
          </v:shape>
        </w:pict>
      </w:r>
    </w:p>
    <w:p w:rsidR="00645582" w:rsidRDefault="00645582" w:rsidP="00645582">
      <w:r>
        <w:t>Pramen: Policejní prezidium ČR, vlastní výpočty</w:t>
      </w:r>
    </w:p>
    <w:p w:rsidR="00645582" w:rsidRPr="0086453F" w:rsidRDefault="00645582">
      <w:pPr>
        <w:rPr>
          <w:sz w:val="18"/>
          <w:szCs w:val="18"/>
          <w:lang/>
        </w:rPr>
      </w:pPr>
    </w:p>
    <w:p w:rsidR="005A3E80" w:rsidRDefault="005A3E80">
      <w:pPr>
        <w:rPr>
          <w:lang/>
        </w:rPr>
      </w:pPr>
    </w:p>
    <w:p w:rsidR="005A3E80" w:rsidRDefault="005A3E80">
      <w:pPr>
        <w:rPr>
          <w:lang/>
        </w:rPr>
      </w:pPr>
    </w:p>
    <w:p w:rsidR="005A3E80" w:rsidRDefault="005A3E80">
      <w:pPr>
        <w:rPr>
          <w:lang/>
        </w:rPr>
      </w:pPr>
    </w:p>
    <w:p w:rsidR="005A3E80" w:rsidRDefault="005A3E80">
      <w:pPr>
        <w:rPr>
          <w:lang/>
        </w:rPr>
      </w:pPr>
    </w:p>
    <w:p w:rsidR="005A3E80" w:rsidRDefault="005A3E80">
      <w:pPr>
        <w:rPr>
          <w:lang/>
        </w:rPr>
      </w:pPr>
    </w:p>
    <w:p w:rsidR="005A3E80" w:rsidRDefault="005A3E80">
      <w:pPr>
        <w:rPr>
          <w:lang/>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8931"/>
      </w:tblGrid>
      <w:tr w:rsidR="00ED6D4C" w:rsidTr="003F3007">
        <w:tblPrEx>
          <w:tblCellMar>
            <w:top w:w="0" w:type="dxa"/>
            <w:bottom w:w="0" w:type="dxa"/>
          </w:tblCellMar>
        </w:tblPrEx>
        <w:trPr>
          <w:trHeight w:val="479"/>
        </w:trPr>
        <w:tc>
          <w:tcPr>
            <w:tcW w:w="401" w:type="pct"/>
            <w:tcBorders>
              <w:top w:val="nil"/>
              <w:left w:val="nil"/>
              <w:bottom w:val="nil"/>
              <w:right w:val="nil"/>
            </w:tcBorders>
          </w:tcPr>
          <w:p w:rsidR="00ED6D4C" w:rsidRPr="008636B6" w:rsidRDefault="003F3007" w:rsidP="00547B96">
            <w:pPr>
              <w:pStyle w:val="Nadpis5"/>
              <w:numPr>
                <w:ilvl w:val="0"/>
                <w:numId w:val="0"/>
              </w:numPr>
              <w:spacing w:before="0" w:after="0"/>
              <w:jc w:val="left"/>
              <w:rPr>
                <w:rFonts w:ascii="Arial" w:hAnsi="Arial" w:cs="Arial"/>
                <w:i w:val="0"/>
                <w:sz w:val="20"/>
                <w:szCs w:val="20"/>
              </w:rPr>
            </w:pPr>
            <w:r w:rsidRPr="003F3007">
              <w:rPr>
                <w:rFonts w:ascii="Arial" w:hAnsi="Arial" w:cs="Arial"/>
                <w:b w:val="0"/>
                <w:i w:val="0"/>
                <w:iCs w:val="0"/>
                <w:sz w:val="20"/>
                <w:szCs w:val="20"/>
              </w:rPr>
              <w:lastRenderedPageBreak/>
              <w:t xml:space="preserve">Graf </w:t>
            </w:r>
            <w:r w:rsidRPr="003F3007">
              <w:rPr>
                <w:rFonts w:ascii="Arial" w:hAnsi="Arial" w:cs="Arial"/>
                <w:b w:val="0"/>
                <w:i w:val="0"/>
                <w:iCs w:val="0"/>
                <w:sz w:val="20"/>
                <w:szCs w:val="20"/>
                <w:lang w:val="cs-CZ"/>
              </w:rPr>
              <w:t xml:space="preserve">č. </w:t>
            </w:r>
            <w:r>
              <w:rPr>
                <w:rFonts w:ascii="Arial" w:hAnsi="Arial" w:cs="Arial"/>
                <w:b w:val="0"/>
                <w:i w:val="0"/>
                <w:iCs w:val="0"/>
                <w:sz w:val="20"/>
                <w:szCs w:val="20"/>
                <w:lang w:val="cs-CZ"/>
              </w:rPr>
              <w:t>1</w:t>
            </w:r>
            <w:r w:rsidR="00F925BA">
              <w:rPr>
                <w:rFonts w:ascii="Arial" w:hAnsi="Arial" w:cs="Arial"/>
                <w:b w:val="0"/>
                <w:i w:val="0"/>
                <w:iCs w:val="0"/>
                <w:sz w:val="20"/>
                <w:szCs w:val="20"/>
                <w:lang w:val="cs-CZ"/>
              </w:rPr>
              <w:t>20</w:t>
            </w:r>
          </w:p>
        </w:tc>
        <w:tc>
          <w:tcPr>
            <w:tcW w:w="4599" w:type="pct"/>
            <w:tcBorders>
              <w:top w:val="nil"/>
              <w:left w:val="nil"/>
              <w:bottom w:val="nil"/>
              <w:right w:val="nil"/>
            </w:tcBorders>
          </w:tcPr>
          <w:p w:rsidR="00ED6D4C" w:rsidRPr="00411890" w:rsidRDefault="00ED6D4C" w:rsidP="00547B96">
            <w:pPr>
              <w:pStyle w:val="Nadpis5"/>
              <w:numPr>
                <w:ilvl w:val="0"/>
                <w:numId w:val="0"/>
              </w:numPr>
              <w:spacing w:before="20"/>
              <w:jc w:val="left"/>
              <w:rPr>
                <w:rFonts w:ascii="Arial" w:hAnsi="Arial"/>
                <w:i w:val="0"/>
                <w:iCs w:val="0"/>
                <w:spacing w:val="-2"/>
                <w:sz w:val="20"/>
                <w:szCs w:val="24"/>
                <w:lang w:val="cs-CZ"/>
              </w:rPr>
            </w:pPr>
            <w:r>
              <w:rPr>
                <w:rFonts w:ascii="Arial" w:hAnsi="Arial"/>
                <w:i w:val="0"/>
                <w:iCs w:val="0"/>
                <w:spacing w:val="-2"/>
                <w:sz w:val="20"/>
                <w:szCs w:val="24"/>
                <w:lang w:val="cs-CZ"/>
              </w:rPr>
              <w:t xml:space="preserve">Průměrná výše hmotných škod </w:t>
            </w:r>
            <w:r w:rsidRPr="00ED6D4C">
              <w:rPr>
                <w:rFonts w:ascii="Arial" w:hAnsi="Arial"/>
                <w:b w:val="0"/>
                <w:i w:val="0"/>
                <w:iCs w:val="0"/>
                <w:spacing w:val="-2"/>
                <w:sz w:val="20"/>
                <w:szCs w:val="24"/>
                <w:lang w:val="cs-CZ"/>
              </w:rPr>
              <w:t xml:space="preserve">(v korunách, </w:t>
            </w:r>
            <w:proofErr w:type="spellStart"/>
            <w:r w:rsidRPr="00ED6D4C">
              <w:rPr>
                <w:rFonts w:ascii="Arial" w:hAnsi="Arial"/>
                <w:b w:val="0"/>
                <w:i w:val="0"/>
                <w:iCs w:val="0"/>
                <w:spacing w:val="-2"/>
                <w:sz w:val="20"/>
                <w:szCs w:val="24"/>
                <w:lang w:val="cs-CZ"/>
              </w:rPr>
              <w:t>b.c</w:t>
            </w:r>
            <w:proofErr w:type="spellEnd"/>
            <w:r w:rsidRPr="00ED6D4C">
              <w:rPr>
                <w:rFonts w:ascii="Arial" w:hAnsi="Arial"/>
                <w:b w:val="0"/>
                <w:i w:val="0"/>
                <w:iCs w:val="0"/>
                <w:spacing w:val="-2"/>
                <w:sz w:val="20"/>
                <w:szCs w:val="24"/>
                <w:lang w:val="cs-CZ"/>
              </w:rPr>
              <w:t>.)</w:t>
            </w:r>
            <w:r>
              <w:rPr>
                <w:rFonts w:ascii="Arial" w:hAnsi="Arial"/>
                <w:i w:val="0"/>
                <w:iCs w:val="0"/>
                <w:spacing w:val="-2"/>
                <w:sz w:val="20"/>
                <w:szCs w:val="24"/>
                <w:lang w:val="cs-CZ"/>
              </w:rPr>
              <w:t xml:space="preserve"> na 1 nehodu v ČR podle druhu komunikace, srážky a vlastnictví vozidla viníka </w:t>
            </w:r>
          </w:p>
        </w:tc>
      </w:tr>
    </w:tbl>
    <w:p w:rsidR="00ED6D4C" w:rsidRDefault="006D419F">
      <w:pPr>
        <w:rPr>
          <w:lang/>
        </w:rPr>
      </w:pPr>
      <w:r w:rsidRPr="006D419F">
        <w:pict>
          <v:shape id="_x0000_i1027" type="#_x0000_t75" style="width:481.55pt;height:247.1pt">
            <v:imagedata r:id="rId10" o:title=""/>
          </v:shape>
        </w:pict>
      </w:r>
    </w:p>
    <w:p w:rsidR="00ED6D4C" w:rsidRPr="0086453F" w:rsidRDefault="00ED6D4C" w:rsidP="00ED6D4C">
      <w:pPr>
        <w:rPr>
          <w:sz w:val="18"/>
          <w:szCs w:val="18"/>
        </w:rPr>
      </w:pPr>
      <w:r w:rsidRPr="0086453F">
        <w:rPr>
          <w:sz w:val="18"/>
          <w:szCs w:val="18"/>
        </w:rPr>
        <w:t>Pramen: Policejní prezidium ČR, vlastní výpočty</w:t>
      </w:r>
    </w:p>
    <w:p w:rsidR="00ED6D4C" w:rsidRDefault="00ED6D4C">
      <w:pPr>
        <w:rPr>
          <w:lang/>
        </w:rPr>
      </w:pPr>
    </w:p>
    <w:tbl>
      <w:tblPr>
        <w:tblW w:w="5000" w:type="pct"/>
        <w:tblCellMar>
          <w:left w:w="28" w:type="dxa"/>
          <w:right w:w="28" w:type="dxa"/>
        </w:tblCellMar>
        <w:tblLook w:val="04A0"/>
      </w:tblPr>
      <w:tblGrid>
        <w:gridCol w:w="2044"/>
        <w:gridCol w:w="275"/>
        <w:gridCol w:w="7375"/>
      </w:tblGrid>
      <w:tr w:rsidR="00EE38E0">
        <w:tc>
          <w:tcPr>
            <w:tcW w:w="1054" w:type="pct"/>
          </w:tcPr>
          <w:p w:rsidR="00EE38E0" w:rsidRDefault="00194858" w:rsidP="00194858">
            <w:pPr>
              <w:jc w:val="left"/>
              <w:rPr>
                <w:sz w:val="16"/>
                <w:szCs w:val="16"/>
              </w:rPr>
            </w:pPr>
            <w:r>
              <w:rPr>
                <w:sz w:val="16"/>
                <w:szCs w:val="16"/>
              </w:rPr>
              <w:t>Nižší škody při dopravních nehodách na Olomoucku a Zlínsku, vysoké v Praze a Středočeském kraji</w:t>
            </w:r>
          </w:p>
        </w:tc>
        <w:tc>
          <w:tcPr>
            <w:tcW w:w="142" w:type="pct"/>
          </w:tcPr>
          <w:p w:rsidR="00EE38E0" w:rsidRDefault="00EE38E0">
            <w:pPr>
              <w:pStyle w:val="Textpoznpodarou"/>
              <w:jc w:val="both"/>
              <w:rPr>
                <w:lang w:val="cs-CZ" w:eastAsia="cs-CZ"/>
              </w:rPr>
            </w:pPr>
          </w:p>
        </w:tc>
        <w:tc>
          <w:tcPr>
            <w:tcW w:w="3804" w:type="pct"/>
          </w:tcPr>
          <w:p w:rsidR="00645582" w:rsidRDefault="00645582" w:rsidP="00645582">
            <w:r>
              <w:t>Výše hmotných škod na 1 nehodu s následky na zdraví se odlišuje i podle regionů. Nízké hodnoty na Olomoucku (64 tis.) a Zlínsku (68 tis.) kontrastují s Prahou a Středočeským krajem, kde byla mezi roky 2010 a 2011 průměrná výše škody o více než polovinu vyšší. Hmotné škody při vážnějších dopravních nehodách na území v Prahy a St</w:t>
            </w:r>
            <w:r w:rsidR="00CA5ABC">
              <w:t>ředních Čech</w:t>
            </w:r>
            <w:r>
              <w:t xml:space="preserve"> jsou mezi kraji nejvyšší dlouhodobě – v roce 2000 dosáhly</w:t>
            </w:r>
            <w:r w:rsidR="00CA5ABC">
              <w:t xml:space="preserve"> v obou těchto krajích 82 tis. k</w:t>
            </w:r>
            <w:r>
              <w:t xml:space="preserve">orun, republiková hodnota byla 64 tis. Jedním z významných faktorů, které tyto regionální diskrepance způsobují, je odlišné staří a kvalita vozového parku. </w:t>
            </w:r>
          </w:p>
          <w:p w:rsidR="00EE38E0" w:rsidRDefault="00EE38E0">
            <w:pPr>
              <w:pStyle w:val="Textpoznpodarou"/>
              <w:jc w:val="both"/>
              <w:rPr>
                <w:lang w:val="cs-CZ" w:eastAsia="cs-CZ"/>
              </w:rPr>
            </w:pPr>
          </w:p>
        </w:tc>
      </w:tr>
      <w:tr w:rsidR="00EE38E0">
        <w:tc>
          <w:tcPr>
            <w:tcW w:w="1054" w:type="pct"/>
          </w:tcPr>
          <w:p w:rsidR="00EE38E0" w:rsidRDefault="00194858">
            <w:pPr>
              <w:jc w:val="left"/>
              <w:rPr>
                <w:sz w:val="16"/>
                <w:szCs w:val="16"/>
              </w:rPr>
            </w:pPr>
            <w:r>
              <w:rPr>
                <w:sz w:val="16"/>
                <w:szCs w:val="16"/>
              </w:rPr>
              <w:t>Nejen hmotné škody, ale např. i psychická újma účastníků nehod…</w:t>
            </w:r>
          </w:p>
        </w:tc>
        <w:tc>
          <w:tcPr>
            <w:tcW w:w="142" w:type="pct"/>
          </w:tcPr>
          <w:p w:rsidR="00EE38E0" w:rsidRDefault="00EE38E0">
            <w:pPr>
              <w:pStyle w:val="Textpoznpodarou"/>
              <w:jc w:val="both"/>
              <w:rPr>
                <w:lang w:val="cs-CZ" w:eastAsia="cs-CZ"/>
              </w:rPr>
            </w:pPr>
          </w:p>
        </w:tc>
        <w:tc>
          <w:tcPr>
            <w:tcW w:w="3804" w:type="pct"/>
          </w:tcPr>
          <w:p w:rsidR="00645582" w:rsidRDefault="00645582" w:rsidP="00645582">
            <w:r>
              <w:t xml:space="preserve">Výše uvedená kvantifikace hmotných škod představuje pouze jeden z dílčích pohledů na ekonomické ztráty plynoucí z dopravní nehodovosti. Zohledňují většinou pouze hmotné škody na zúčastněných dopravních prostředcích. Dopravní kolize však způsobí řadu dalších negativních externalit, např. zranění účastníků vč. psychických dopadů, rovněž i širší majetkové a finanční ztráty. </w:t>
            </w:r>
          </w:p>
          <w:p w:rsidR="00EE38E0" w:rsidRDefault="00EE38E0">
            <w:pPr>
              <w:pStyle w:val="Textpoznpodarou"/>
              <w:jc w:val="both"/>
              <w:rPr>
                <w:lang w:val="cs-CZ" w:eastAsia="cs-CZ"/>
              </w:rPr>
            </w:pPr>
          </w:p>
        </w:tc>
      </w:tr>
      <w:tr w:rsidR="00EE38E0">
        <w:tc>
          <w:tcPr>
            <w:tcW w:w="1054" w:type="pct"/>
          </w:tcPr>
          <w:p w:rsidR="00EE38E0" w:rsidRDefault="00194858">
            <w:pPr>
              <w:jc w:val="left"/>
              <w:rPr>
                <w:sz w:val="16"/>
                <w:szCs w:val="16"/>
              </w:rPr>
            </w:pPr>
            <w:r>
              <w:rPr>
                <w:sz w:val="16"/>
                <w:szCs w:val="16"/>
              </w:rPr>
              <w:t xml:space="preserve">… a jejich důsledky společenské </w:t>
            </w:r>
          </w:p>
        </w:tc>
        <w:tc>
          <w:tcPr>
            <w:tcW w:w="142" w:type="pct"/>
          </w:tcPr>
          <w:p w:rsidR="00EE38E0" w:rsidRDefault="00EE38E0">
            <w:pPr>
              <w:pStyle w:val="Textpoznpodarou"/>
              <w:jc w:val="both"/>
              <w:rPr>
                <w:lang w:val="cs-CZ" w:eastAsia="cs-CZ"/>
              </w:rPr>
            </w:pPr>
          </w:p>
        </w:tc>
        <w:tc>
          <w:tcPr>
            <w:tcW w:w="3804" w:type="pct"/>
          </w:tcPr>
          <w:p w:rsidR="00645582" w:rsidRDefault="00645582" w:rsidP="00645582">
            <w:r>
              <w:t>Z ekonomických dopadů doprav</w:t>
            </w:r>
            <w:r w:rsidR="00CA5ABC">
              <w:t>ní nehodovosti, které je</w:t>
            </w:r>
            <w:r>
              <w:t xml:space="preserve"> možné kvantifikovat, se vedle hmotných škod musíme soustředit i na náklady na zdravotní péči, soudní lékařství, dopravní policii, hasičský záchranný sbor, soudy, pojišťovny či náklady sociální péče. Navíc nelze opomíjet některé významné nepřímé dopady především ve formě ztrát pro trh práce (ztráty na produkci). Ty jsou extrémní např. u osob na počátku ekonomické aktivy, které při nehodě přišly o život. Nepodstatné nejsou ani u sta</w:t>
            </w:r>
            <w:r w:rsidR="0097040D">
              <w:t xml:space="preserve">rších osob, které vyvázli „jen“ s </w:t>
            </w:r>
            <w:r>
              <w:t xml:space="preserve">menším zraněním, negativní dopady má v takovém případě krátkodobé či dlouhodobé omezené pracovního výkonu (nemocnosti, částečná či trvalá invalidita). </w:t>
            </w:r>
          </w:p>
          <w:p w:rsidR="00EE38E0" w:rsidRDefault="00EE38E0">
            <w:pPr>
              <w:pStyle w:val="Textpoznpodarou"/>
              <w:jc w:val="both"/>
              <w:rPr>
                <w:lang w:val="cs-CZ" w:eastAsia="cs-CZ"/>
              </w:rPr>
            </w:pPr>
          </w:p>
        </w:tc>
      </w:tr>
      <w:tr w:rsidR="00CA473A" w:rsidTr="00CA473A">
        <w:tc>
          <w:tcPr>
            <w:tcW w:w="1054" w:type="pct"/>
          </w:tcPr>
          <w:p w:rsidR="00CA473A" w:rsidRDefault="00E94247" w:rsidP="00E94247">
            <w:pPr>
              <w:jc w:val="left"/>
              <w:rPr>
                <w:sz w:val="16"/>
                <w:szCs w:val="16"/>
              </w:rPr>
            </w:pPr>
            <w:r>
              <w:rPr>
                <w:sz w:val="16"/>
                <w:szCs w:val="16"/>
              </w:rPr>
              <w:t xml:space="preserve">V relaci k HDP činily v roce 2010 celkové ztráty z dopravní nehodovosti v ČR 1,5 % </w:t>
            </w:r>
          </w:p>
        </w:tc>
        <w:tc>
          <w:tcPr>
            <w:tcW w:w="142" w:type="pct"/>
          </w:tcPr>
          <w:p w:rsidR="00CA473A" w:rsidRDefault="00CA473A" w:rsidP="00552C98">
            <w:pPr>
              <w:pStyle w:val="Textpoznpodarou"/>
              <w:jc w:val="both"/>
              <w:rPr>
                <w:lang w:val="cs-CZ" w:eastAsia="cs-CZ"/>
              </w:rPr>
            </w:pPr>
          </w:p>
        </w:tc>
        <w:tc>
          <w:tcPr>
            <w:tcW w:w="3804" w:type="pct"/>
          </w:tcPr>
          <w:p w:rsidR="00CA473A" w:rsidRDefault="00CA473A" w:rsidP="00CA473A">
            <w:r>
              <w:t>Propočet všech výše uvedených komponentů škod provedli technikou přímého zjišťování nákladů dopravní experti z Centra dopravního výzkumu. Podle těchto propočtů byly celkové ztráty z dopravní nehodovosti na pozemních komunikacích ČR v roce 2010 dopravními experty stanoveny na 57,2 mld. korun, což ve vztahu k vytvořenému hrubému domácímu produktu činilo 1,5 %. Nejvýraznější složku celkových ztrát představovaly ztráty na produkci (částečné či úplné snížení ekonomické aktivity obětí nehod). Celkové ztráty vztažené na 1 nehodu s usmrcením činily v témže roce dle odhadů Centra dopravního výz</w:t>
            </w:r>
            <w:r w:rsidR="00CA5ABC">
              <w:t>kumu 17,7 mil. korun, u nehod s těžkým zraněním 4,9 mil. k</w:t>
            </w:r>
            <w:r>
              <w:t>orun a ne</w:t>
            </w:r>
            <w:r w:rsidR="00CA5ABC">
              <w:t>hod s lehkým zraněním 0,7 mil. korun. U nehod, při nichž došlo pouze k hmotným škodám</w:t>
            </w:r>
            <w:r>
              <w:t xml:space="preserve"> </w:t>
            </w:r>
            <w:r w:rsidR="00CA5ABC">
              <w:t>(</w:t>
            </w:r>
            <w:r>
              <w:t>u kterých je</w:t>
            </w:r>
            <w:r w:rsidR="00CA5ABC">
              <w:t xml:space="preserve"> vliv ztrát na produkci omezený),</w:t>
            </w:r>
            <w:r>
              <w:t xml:space="preserve"> připadala dle těchto odhadů na jednu </w:t>
            </w:r>
            <w:r w:rsidR="008D7CAB">
              <w:t>nehodu celková ztráta 271 tis. k</w:t>
            </w:r>
            <w:r>
              <w:t xml:space="preserve">orun, zatímco na stejný typ nehody byla pouze samotnou dopravní </w:t>
            </w:r>
            <w:r>
              <w:lastRenderedPageBreak/>
              <w:t>policií v roce 2010 odhadnutá hmotná škoda 57,5 tis. korun. Rozdíl lze přispat především vlivu nepřímých důsledků těchto nehod. Navíc je třeba připomenout, že většina drobných nehod není již od roku 2009 policii hlášena (nehody bez zranění osob či poškození majetku třetí osoby a celkovou hmotnou škodou nižší než 100 tis. korun).</w:t>
            </w:r>
          </w:p>
        </w:tc>
      </w:tr>
      <w:tr w:rsidR="00CA473A" w:rsidTr="00CA473A">
        <w:tc>
          <w:tcPr>
            <w:tcW w:w="1054" w:type="pct"/>
          </w:tcPr>
          <w:p w:rsidR="00CA473A" w:rsidRDefault="00CA473A" w:rsidP="00552C98">
            <w:pPr>
              <w:jc w:val="left"/>
              <w:rPr>
                <w:sz w:val="16"/>
                <w:szCs w:val="16"/>
              </w:rPr>
            </w:pPr>
          </w:p>
        </w:tc>
        <w:tc>
          <w:tcPr>
            <w:tcW w:w="142" w:type="pct"/>
          </w:tcPr>
          <w:p w:rsidR="00CA473A" w:rsidRDefault="00CA473A" w:rsidP="00552C98">
            <w:pPr>
              <w:pStyle w:val="Textpoznpodarou"/>
              <w:jc w:val="both"/>
              <w:rPr>
                <w:lang w:val="cs-CZ" w:eastAsia="cs-CZ"/>
              </w:rPr>
            </w:pPr>
          </w:p>
        </w:tc>
        <w:tc>
          <w:tcPr>
            <w:tcW w:w="3804" w:type="pct"/>
          </w:tcPr>
          <w:p w:rsidR="00CA473A" w:rsidRDefault="00CA473A" w:rsidP="00CA473A"/>
        </w:tc>
      </w:tr>
      <w:tr w:rsidR="00CA473A" w:rsidTr="00CA473A">
        <w:tc>
          <w:tcPr>
            <w:tcW w:w="1054" w:type="pct"/>
          </w:tcPr>
          <w:p w:rsidR="00CA473A" w:rsidRDefault="00CA473A" w:rsidP="00552C98">
            <w:pPr>
              <w:jc w:val="left"/>
              <w:rPr>
                <w:sz w:val="16"/>
                <w:szCs w:val="16"/>
              </w:rPr>
            </w:pPr>
          </w:p>
        </w:tc>
        <w:tc>
          <w:tcPr>
            <w:tcW w:w="142" w:type="pct"/>
          </w:tcPr>
          <w:p w:rsidR="00CA473A" w:rsidRDefault="00CA473A" w:rsidP="00552C98">
            <w:pPr>
              <w:pStyle w:val="Textpoznpodarou"/>
              <w:jc w:val="both"/>
              <w:rPr>
                <w:lang w:val="cs-CZ" w:eastAsia="cs-CZ"/>
              </w:rPr>
            </w:pPr>
          </w:p>
        </w:tc>
        <w:tc>
          <w:tcPr>
            <w:tcW w:w="3804" w:type="pct"/>
          </w:tcPr>
          <w:p w:rsidR="00CA473A" w:rsidRDefault="00CA473A" w:rsidP="00CA473A"/>
        </w:tc>
      </w:tr>
      <w:tr w:rsidR="00CA473A" w:rsidTr="00CA473A">
        <w:tc>
          <w:tcPr>
            <w:tcW w:w="1054" w:type="pct"/>
          </w:tcPr>
          <w:p w:rsidR="00CA473A" w:rsidRDefault="00CA473A" w:rsidP="00552C98">
            <w:pPr>
              <w:jc w:val="left"/>
              <w:rPr>
                <w:sz w:val="16"/>
                <w:szCs w:val="16"/>
              </w:rPr>
            </w:pPr>
          </w:p>
        </w:tc>
        <w:tc>
          <w:tcPr>
            <w:tcW w:w="142" w:type="pct"/>
          </w:tcPr>
          <w:p w:rsidR="00CA473A" w:rsidRPr="00CA473A" w:rsidRDefault="00CA473A" w:rsidP="00552C98">
            <w:pPr>
              <w:pStyle w:val="Textpoznpodarou"/>
              <w:jc w:val="both"/>
              <w:rPr>
                <w:lang w:val="cs-CZ" w:eastAsia="cs-CZ"/>
              </w:rPr>
            </w:pPr>
          </w:p>
        </w:tc>
        <w:tc>
          <w:tcPr>
            <w:tcW w:w="3804" w:type="pct"/>
          </w:tcPr>
          <w:p w:rsidR="00CA473A" w:rsidRDefault="00CA473A" w:rsidP="00CA473A"/>
        </w:tc>
      </w:tr>
      <w:tr w:rsidR="00CA473A" w:rsidTr="00CA473A">
        <w:tc>
          <w:tcPr>
            <w:tcW w:w="1054" w:type="pct"/>
          </w:tcPr>
          <w:p w:rsidR="00CA473A" w:rsidRPr="00CA473A" w:rsidRDefault="00CA473A" w:rsidP="00552C98">
            <w:pPr>
              <w:jc w:val="left"/>
              <w:rPr>
                <w:sz w:val="16"/>
                <w:szCs w:val="16"/>
              </w:rPr>
            </w:pPr>
          </w:p>
        </w:tc>
        <w:tc>
          <w:tcPr>
            <w:tcW w:w="142" w:type="pct"/>
          </w:tcPr>
          <w:p w:rsidR="00CA473A" w:rsidRPr="00CA473A" w:rsidRDefault="00CA473A" w:rsidP="00CA473A">
            <w:pPr>
              <w:pStyle w:val="Textpoznpodarou"/>
              <w:jc w:val="both"/>
              <w:rPr>
                <w:lang w:val="cs-CZ" w:eastAsia="cs-CZ"/>
              </w:rPr>
            </w:pPr>
          </w:p>
        </w:tc>
        <w:tc>
          <w:tcPr>
            <w:tcW w:w="3804" w:type="pct"/>
          </w:tcPr>
          <w:p w:rsidR="00CA473A" w:rsidRPr="00CA473A" w:rsidRDefault="00CA473A" w:rsidP="00CA473A"/>
        </w:tc>
      </w:tr>
    </w:tbl>
    <w:p w:rsidR="00EE38E0" w:rsidRDefault="00EE38E0">
      <w:pPr>
        <w:rPr>
          <w:lang/>
        </w:rPr>
      </w:pPr>
    </w:p>
    <w:p w:rsidR="00EE38E0" w:rsidRDefault="00EE38E0" w:rsidP="0045192C">
      <w:pPr>
        <w:pStyle w:val="Nadpis1"/>
        <w:numPr>
          <w:ilvl w:val="0"/>
          <w:numId w:val="0"/>
        </w:numPr>
      </w:pPr>
    </w:p>
    <w:sectPr w:rsidR="00EE38E0">
      <w:headerReference w:type="even" r:id="rId11"/>
      <w:headerReference w:type="default" r:id="rId12"/>
      <w:footerReference w:type="even" r:id="rId13"/>
      <w:footerReference w:type="default" r:id="rId14"/>
      <w:pgSz w:w="11906" w:h="16838" w:code="9"/>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B22" w:rsidRDefault="00853B22">
      <w:r>
        <w:separator/>
      </w:r>
    </w:p>
  </w:endnote>
  <w:endnote w:type="continuationSeparator" w:id="0">
    <w:p w:rsidR="00853B22" w:rsidRDefault="00853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94" w:rsidRDefault="00685B94">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45.7pt;margin-top:-4.15pt;width:36.75pt;height:17.25pt;z-index:2">
          <v:imagedata r:id="rId1" o:title="3"/>
        </v:shape>
      </w:pict>
    </w:r>
    <w:r>
      <w:rPr>
        <w:rFonts w:ascii="Arial" w:hAnsi="Arial" w:cs="Arial"/>
        <w:sz w:val="16"/>
        <w:szCs w:val="16"/>
      </w:rPr>
      <w:tab/>
    </w:r>
    <w:r w:rsidR="0086691A">
      <w:rPr>
        <w:rFonts w:ascii="Arial" w:hAnsi="Arial" w:cs="Arial"/>
        <w:sz w:val="16"/>
        <w:szCs w:val="16"/>
      </w:rPr>
      <w:t>říjen 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94" w:rsidRDefault="00685B94">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pt;margin-top:7.1pt;width:39pt;height:21pt;z-index:1">
          <v:imagedata r:id="rId1" o:title="3"/>
        </v:shape>
      </w:pict>
    </w:r>
    <w:r>
      <w:tab/>
    </w:r>
    <w:r>
      <w:tab/>
    </w:r>
  </w:p>
  <w:p w:rsidR="00685B94" w:rsidRDefault="0086691A">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říjen</w:t>
    </w:r>
    <w:r w:rsidR="00685B94">
      <w:rPr>
        <w:rFonts w:ascii="Arial" w:hAnsi="Arial" w:cs="Arial"/>
        <w:sz w:val="16"/>
        <w:szCs w:val="16"/>
      </w:rPr>
      <w:t xml:space="preserve"> 2014</w:t>
    </w:r>
    <w:r w:rsidR="00685B9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B22" w:rsidRDefault="00853B22">
      <w:r>
        <w:separator/>
      </w:r>
    </w:p>
  </w:footnote>
  <w:footnote w:type="continuationSeparator" w:id="0">
    <w:p w:rsidR="00853B22" w:rsidRDefault="00853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685B94">
      <w:tc>
        <w:tcPr>
          <w:tcW w:w="6518" w:type="dxa"/>
        </w:tcPr>
        <w:p w:rsidR="00685B94" w:rsidRDefault="00685B94">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sz w:val="16"/>
              <w:szCs w:val="16"/>
            </w:rPr>
            <w:t>Dopravní nehodovost a její důsledky v ČR v dlouhodobém pohledu</w:t>
          </w:r>
        </w:p>
      </w:tc>
      <w:tc>
        <w:tcPr>
          <w:tcW w:w="3260" w:type="dxa"/>
        </w:tcPr>
        <w:p w:rsidR="00685B94" w:rsidRDefault="0086691A">
          <w:pPr>
            <w:pStyle w:val="Zhlav"/>
            <w:tabs>
              <w:tab w:val="clear" w:pos="4536"/>
              <w:tab w:val="clear" w:pos="9072"/>
              <w:tab w:val="left" w:pos="-6379"/>
              <w:tab w:val="center" w:pos="4820"/>
              <w:tab w:val="right" w:pos="9639"/>
            </w:tabs>
            <w:jc w:val="right"/>
            <w:rPr>
              <w:rFonts w:ascii="Arial" w:hAnsi="Arial" w:cs="Arial"/>
              <w:sz w:val="16"/>
              <w:szCs w:val="16"/>
            </w:rPr>
          </w:pPr>
          <w:r w:rsidRPr="0086691A">
            <w:rPr>
              <w:rFonts w:ascii="Arial" w:hAnsi="Arial" w:cs="Arial"/>
              <w:sz w:val="16"/>
              <w:szCs w:val="16"/>
            </w:rPr>
            <w:t>kód : 320254-14</w:t>
          </w:r>
        </w:p>
      </w:tc>
    </w:tr>
  </w:tbl>
  <w:p w:rsidR="00685B94" w:rsidRDefault="00685B94">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685B94" w:rsidRPr="0086691A">
      <w:tc>
        <w:tcPr>
          <w:tcW w:w="6518" w:type="dxa"/>
        </w:tcPr>
        <w:p w:rsidR="00685B94" w:rsidRDefault="00685B94" w:rsidP="00B75BBF">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sz w:val="16"/>
              <w:szCs w:val="16"/>
            </w:rPr>
            <w:t>Dopravní nehodovost a její důsledky v ČR v dlouhodobém pohledu</w:t>
          </w:r>
        </w:p>
      </w:tc>
      <w:tc>
        <w:tcPr>
          <w:tcW w:w="3260" w:type="dxa"/>
        </w:tcPr>
        <w:p w:rsidR="00685B94" w:rsidRDefault="0086691A">
          <w:pPr>
            <w:pStyle w:val="Zhlav"/>
            <w:tabs>
              <w:tab w:val="clear" w:pos="4536"/>
              <w:tab w:val="clear" w:pos="9072"/>
              <w:tab w:val="left" w:pos="-6379"/>
              <w:tab w:val="center" w:pos="4820"/>
              <w:tab w:val="right" w:pos="9639"/>
            </w:tabs>
            <w:jc w:val="right"/>
            <w:rPr>
              <w:rFonts w:ascii="Arial" w:hAnsi="Arial" w:cs="Arial"/>
              <w:sz w:val="16"/>
              <w:szCs w:val="16"/>
              <w:highlight w:val="yellow"/>
            </w:rPr>
          </w:pPr>
          <w:r w:rsidRPr="0086691A">
            <w:rPr>
              <w:rFonts w:ascii="Arial" w:hAnsi="Arial" w:cs="Arial"/>
              <w:sz w:val="16"/>
              <w:szCs w:val="16"/>
            </w:rPr>
            <w:t>kód : 320254-14</w:t>
          </w:r>
        </w:p>
      </w:tc>
    </w:tr>
  </w:tbl>
  <w:p w:rsidR="00685B94" w:rsidRDefault="00685B94">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37645148"/>
    <w:lvl w:ilvl="0">
      <w:start w:val="1"/>
      <w:numFmt w:val="decimal"/>
      <w:lvlText w:val="%1"/>
      <w:lvlJc w:val="left"/>
      <w:pPr>
        <w:ind w:left="432" w:hanging="432"/>
      </w:pPr>
    </w:lvl>
    <w:lvl w:ilvl="1">
      <w:start w:val="1"/>
      <w:numFmt w:val="decimal"/>
      <w:pStyle w:val="Nadpis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2">
      <w:start w:val="1"/>
      <w:numFmt w:val="decimal"/>
      <w:pStyle w:val="Nadpis3"/>
      <w:lvlText w:val="%1.%2.%3"/>
      <w:lvlJc w:val="left"/>
      <w:pPr>
        <w:ind w:left="1854"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4F43100"/>
    <w:multiLevelType w:val="hybridMultilevel"/>
    <w:tmpl w:val="A346433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E64123"/>
    <w:multiLevelType w:val="hybridMultilevel"/>
    <w:tmpl w:val="F96EBE1C"/>
    <w:lvl w:ilvl="0" w:tplc="04050017">
      <w:start w:val="1"/>
      <w:numFmt w:val="lowerLetter"/>
      <w:lvlText w:val="%1)"/>
      <w:lvlJc w:val="left"/>
      <w:pPr>
        <w:ind w:left="720" w:hanging="360"/>
      </w:pPr>
      <w:rPr>
        <w:rFonts w:hint="default"/>
      </w:rPr>
    </w:lvl>
    <w:lvl w:ilvl="1" w:tplc="A8E4B7A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63F00B0"/>
    <w:multiLevelType w:val="hybridMultilevel"/>
    <w:tmpl w:val="0290A0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791254A"/>
    <w:multiLevelType w:val="hybridMultilevel"/>
    <w:tmpl w:val="196EFAB4"/>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2D4816"/>
    <w:multiLevelType w:val="multilevel"/>
    <w:tmpl w:val="0B66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EB0369"/>
    <w:multiLevelType w:val="hybridMultilevel"/>
    <w:tmpl w:val="E920128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FF602B"/>
    <w:multiLevelType w:val="hybridMultilevel"/>
    <w:tmpl w:val="C4D0FCCE"/>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19423F"/>
    <w:multiLevelType w:val="hybridMultilevel"/>
    <w:tmpl w:val="80D04F0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5F2685"/>
    <w:multiLevelType w:val="hybridMultilevel"/>
    <w:tmpl w:val="0290A026"/>
    <w:lvl w:ilvl="0" w:tplc="E3860FD4">
      <w:start w:val="1"/>
      <w:numFmt w:val="bullet"/>
      <w:lvlText w:val=""/>
      <w:lvlJc w:val="left"/>
      <w:pPr>
        <w:tabs>
          <w:tab w:val="num" w:pos="417"/>
        </w:tabs>
        <w:ind w:left="0" w:firstLine="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767461"/>
    <w:multiLevelType w:val="hybridMultilevel"/>
    <w:tmpl w:val="61845866"/>
    <w:lvl w:ilvl="0" w:tplc="69566B4A">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AE612E"/>
    <w:multiLevelType w:val="hybridMultilevel"/>
    <w:tmpl w:val="98160A84"/>
    <w:lvl w:ilvl="0" w:tplc="F642FA9A">
      <w:start w:val="1"/>
      <w:numFmt w:val="bullet"/>
      <w:lvlText w:val=""/>
      <w:lvlJc w:val="left"/>
      <w:pPr>
        <w:tabs>
          <w:tab w:val="num" w:pos="417"/>
        </w:tabs>
        <w:ind w:left="0" w:firstLine="57"/>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1AC7CE2"/>
    <w:multiLevelType w:val="hybridMultilevel"/>
    <w:tmpl w:val="5DE0B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5D34C17"/>
    <w:multiLevelType w:val="hybridMultilevel"/>
    <w:tmpl w:val="F490C59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5F6C65"/>
    <w:multiLevelType w:val="multilevel"/>
    <w:tmpl w:val="41584756"/>
    <w:lvl w:ilvl="0">
      <w:start w:val="1"/>
      <w:numFmt w:val="decimal"/>
      <w:pStyle w:val="Nadpis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902644C"/>
    <w:multiLevelType w:val="hybridMultilevel"/>
    <w:tmpl w:val="4E5CAD62"/>
    <w:lvl w:ilvl="0" w:tplc="7BF00364">
      <w:start w:val="14"/>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BEF31DE"/>
    <w:multiLevelType w:val="hybridMultilevel"/>
    <w:tmpl w:val="280C96C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5A591A"/>
    <w:multiLevelType w:val="hybridMultilevel"/>
    <w:tmpl w:val="605AD6D0"/>
    <w:lvl w:ilvl="0" w:tplc="1974D260">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306567"/>
    <w:multiLevelType w:val="hybridMultilevel"/>
    <w:tmpl w:val="213C4E38"/>
    <w:lvl w:ilvl="0" w:tplc="9D96ED3E">
      <w:numFmt w:val="bullet"/>
      <w:lvlText w:val=""/>
      <w:lvlJc w:val="left"/>
      <w:pPr>
        <w:ind w:left="720" w:hanging="360"/>
      </w:pPr>
      <w:rPr>
        <w:rFonts w:ascii="Symbol" w:eastAsia="Calibri" w:hAnsi="Symbol" w:cs="Times New Roman"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69636F2"/>
    <w:multiLevelType w:val="hybridMultilevel"/>
    <w:tmpl w:val="DFBCC8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C550A0F"/>
    <w:multiLevelType w:val="hybridMultilevel"/>
    <w:tmpl w:val="5A76F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0"/>
  </w:num>
  <w:num w:numId="5">
    <w:abstractNumId w:val="18"/>
  </w:num>
  <w:num w:numId="6">
    <w:abstractNumId w:val="24"/>
  </w:num>
  <w:num w:numId="7">
    <w:abstractNumId w:val="12"/>
  </w:num>
  <w:num w:numId="8">
    <w:abstractNumId w:val="15"/>
  </w:num>
  <w:num w:numId="9">
    <w:abstractNumId w:val="4"/>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23"/>
  </w:num>
  <w:num w:numId="18">
    <w:abstractNumId w:val="2"/>
  </w:num>
  <w:num w:numId="19">
    <w:abstractNumId w:val="3"/>
  </w:num>
  <w:num w:numId="20">
    <w:abstractNumId w:val="0"/>
  </w:num>
  <w:num w:numId="21">
    <w:abstractNumId w:val="0"/>
  </w:num>
  <w:num w:numId="22">
    <w:abstractNumId w:val="0"/>
  </w:num>
  <w:num w:numId="23">
    <w:abstractNumId w:val="18"/>
  </w:num>
  <w:num w:numId="24">
    <w:abstractNumId w:val="0"/>
  </w:num>
  <w:num w:numId="25">
    <w:abstractNumId w:val="0"/>
  </w:num>
  <w:num w:numId="26">
    <w:abstractNumId w:val="0"/>
  </w:num>
  <w:num w:numId="27">
    <w:abstractNumId w:val="21"/>
  </w:num>
  <w:num w:numId="28">
    <w:abstractNumId w:val="14"/>
  </w:num>
  <w:num w:numId="29">
    <w:abstractNumId w:val="22"/>
  </w:num>
  <w:num w:numId="30">
    <w:abstractNumId w:val="8"/>
  </w:num>
  <w:num w:numId="31">
    <w:abstractNumId w:val="20"/>
  </w:num>
  <w:num w:numId="32">
    <w:abstractNumId w:val="6"/>
  </w:num>
  <w:num w:numId="33">
    <w:abstractNumId w:val="17"/>
  </w:num>
  <w:num w:numId="34">
    <w:abstractNumId w:val="1"/>
  </w:num>
  <w:num w:numId="35">
    <w:abstractNumId w:val="0"/>
  </w:num>
  <w:num w:numId="36">
    <w:abstractNumId w:val="0"/>
  </w:num>
  <w:num w:numId="37">
    <w:abstractNumId w:val="10"/>
  </w:num>
  <w:num w:numId="38">
    <w:abstractNumId w:val="16"/>
  </w:num>
  <w:num w:numId="39">
    <w:abstractNumId w:val="5"/>
  </w:num>
  <w:num w:numId="40">
    <w:abstractNumId w:val="9"/>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hyphenationZone w:val="425"/>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9AB"/>
    <w:rsid w:val="00001DD7"/>
    <w:rsid w:val="0000373F"/>
    <w:rsid w:val="00005800"/>
    <w:rsid w:val="0001070A"/>
    <w:rsid w:val="000124A7"/>
    <w:rsid w:val="00014521"/>
    <w:rsid w:val="0001612E"/>
    <w:rsid w:val="000162DA"/>
    <w:rsid w:val="00016E79"/>
    <w:rsid w:val="00020310"/>
    <w:rsid w:val="00020843"/>
    <w:rsid w:val="000217A8"/>
    <w:rsid w:val="00022498"/>
    <w:rsid w:val="0002336E"/>
    <w:rsid w:val="00030A7A"/>
    <w:rsid w:val="00032F16"/>
    <w:rsid w:val="00040F48"/>
    <w:rsid w:val="000421B1"/>
    <w:rsid w:val="00043998"/>
    <w:rsid w:val="00045D51"/>
    <w:rsid w:val="00051290"/>
    <w:rsid w:val="00053458"/>
    <w:rsid w:val="00054809"/>
    <w:rsid w:val="00054B25"/>
    <w:rsid w:val="00054D5B"/>
    <w:rsid w:val="0005570C"/>
    <w:rsid w:val="00055719"/>
    <w:rsid w:val="00056F9B"/>
    <w:rsid w:val="00057357"/>
    <w:rsid w:val="00060D72"/>
    <w:rsid w:val="000616DD"/>
    <w:rsid w:val="000630F4"/>
    <w:rsid w:val="00063196"/>
    <w:rsid w:val="000705C4"/>
    <w:rsid w:val="00071465"/>
    <w:rsid w:val="00074EB7"/>
    <w:rsid w:val="00074ED6"/>
    <w:rsid w:val="00080BC0"/>
    <w:rsid w:val="00081687"/>
    <w:rsid w:val="00083E44"/>
    <w:rsid w:val="000862A6"/>
    <w:rsid w:val="00087E95"/>
    <w:rsid w:val="000905B3"/>
    <w:rsid w:val="00090E50"/>
    <w:rsid w:val="00092F94"/>
    <w:rsid w:val="00094786"/>
    <w:rsid w:val="0009665E"/>
    <w:rsid w:val="00097BAA"/>
    <w:rsid w:val="000A03AF"/>
    <w:rsid w:val="000A2679"/>
    <w:rsid w:val="000B0A1A"/>
    <w:rsid w:val="000B1272"/>
    <w:rsid w:val="000B1A54"/>
    <w:rsid w:val="000B4A49"/>
    <w:rsid w:val="000B6A1C"/>
    <w:rsid w:val="000B7F7B"/>
    <w:rsid w:val="000C126C"/>
    <w:rsid w:val="000C44D3"/>
    <w:rsid w:val="000C46AC"/>
    <w:rsid w:val="000C7133"/>
    <w:rsid w:val="000D222D"/>
    <w:rsid w:val="000D2717"/>
    <w:rsid w:val="000D3038"/>
    <w:rsid w:val="000D3A1D"/>
    <w:rsid w:val="000D56D3"/>
    <w:rsid w:val="000E0F6F"/>
    <w:rsid w:val="000E21C6"/>
    <w:rsid w:val="000E3FAF"/>
    <w:rsid w:val="000E4BA2"/>
    <w:rsid w:val="000E54EF"/>
    <w:rsid w:val="000F1280"/>
    <w:rsid w:val="000F1499"/>
    <w:rsid w:val="001000EA"/>
    <w:rsid w:val="00100E80"/>
    <w:rsid w:val="00101017"/>
    <w:rsid w:val="00103AE8"/>
    <w:rsid w:val="00106185"/>
    <w:rsid w:val="00107C20"/>
    <w:rsid w:val="0011597C"/>
    <w:rsid w:val="00116DE8"/>
    <w:rsid w:val="00120887"/>
    <w:rsid w:val="00131152"/>
    <w:rsid w:val="00131AE5"/>
    <w:rsid w:val="001324DB"/>
    <w:rsid w:val="001328B8"/>
    <w:rsid w:val="00136973"/>
    <w:rsid w:val="00140349"/>
    <w:rsid w:val="001406A6"/>
    <w:rsid w:val="00141D9C"/>
    <w:rsid w:val="001429DB"/>
    <w:rsid w:val="00142D85"/>
    <w:rsid w:val="001463C5"/>
    <w:rsid w:val="0015495A"/>
    <w:rsid w:val="001549E6"/>
    <w:rsid w:val="00160668"/>
    <w:rsid w:val="001642DB"/>
    <w:rsid w:val="001649F5"/>
    <w:rsid w:val="00164B15"/>
    <w:rsid w:val="00170306"/>
    <w:rsid w:val="00175609"/>
    <w:rsid w:val="001764CB"/>
    <w:rsid w:val="001768D4"/>
    <w:rsid w:val="001779B6"/>
    <w:rsid w:val="00181BF3"/>
    <w:rsid w:val="001843E0"/>
    <w:rsid w:val="00184967"/>
    <w:rsid w:val="00184B9C"/>
    <w:rsid w:val="00185232"/>
    <w:rsid w:val="00194858"/>
    <w:rsid w:val="001972EE"/>
    <w:rsid w:val="001A0112"/>
    <w:rsid w:val="001A0382"/>
    <w:rsid w:val="001A6A25"/>
    <w:rsid w:val="001B11BB"/>
    <w:rsid w:val="001B30E3"/>
    <w:rsid w:val="001B38C6"/>
    <w:rsid w:val="001B497C"/>
    <w:rsid w:val="001B5961"/>
    <w:rsid w:val="001B7668"/>
    <w:rsid w:val="001B7D59"/>
    <w:rsid w:val="001C04B4"/>
    <w:rsid w:val="001C6A8E"/>
    <w:rsid w:val="001D0EA9"/>
    <w:rsid w:val="001D433E"/>
    <w:rsid w:val="001D4BFC"/>
    <w:rsid w:val="001D5E35"/>
    <w:rsid w:val="001D7367"/>
    <w:rsid w:val="001E4717"/>
    <w:rsid w:val="001E5CAB"/>
    <w:rsid w:val="001F1E91"/>
    <w:rsid w:val="001F1EF2"/>
    <w:rsid w:val="001F1F74"/>
    <w:rsid w:val="001F4705"/>
    <w:rsid w:val="00203FF4"/>
    <w:rsid w:val="00205BAC"/>
    <w:rsid w:val="00205DEC"/>
    <w:rsid w:val="002062BD"/>
    <w:rsid w:val="00213FE7"/>
    <w:rsid w:val="00214A41"/>
    <w:rsid w:val="00217B11"/>
    <w:rsid w:val="00220C0E"/>
    <w:rsid w:val="00222C70"/>
    <w:rsid w:val="00224F57"/>
    <w:rsid w:val="00225892"/>
    <w:rsid w:val="00226758"/>
    <w:rsid w:val="0023076D"/>
    <w:rsid w:val="002329D5"/>
    <w:rsid w:val="00233029"/>
    <w:rsid w:val="002335A9"/>
    <w:rsid w:val="0023708F"/>
    <w:rsid w:val="0024140C"/>
    <w:rsid w:val="0024249F"/>
    <w:rsid w:val="00244340"/>
    <w:rsid w:val="00245159"/>
    <w:rsid w:val="00257C4F"/>
    <w:rsid w:val="00265D38"/>
    <w:rsid w:val="002706D0"/>
    <w:rsid w:val="002802C9"/>
    <w:rsid w:val="00281A9A"/>
    <w:rsid w:val="00284B2E"/>
    <w:rsid w:val="00286F00"/>
    <w:rsid w:val="00287D8E"/>
    <w:rsid w:val="002915E0"/>
    <w:rsid w:val="0029731D"/>
    <w:rsid w:val="002A7920"/>
    <w:rsid w:val="002B13EC"/>
    <w:rsid w:val="002B1C65"/>
    <w:rsid w:val="002B4B5F"/>
    <w:rsid w:val="002C4EA8"/>
    <w:rsid w:val="002C6ED9"/>
    <w:rsid w:val="002C72CA"/>
    <w:rsid w:val="002C75DC"/>
    <w:rsid w:val="002C7F6E"/>
    <w:rsid w:val="002D1957"/>
    <w:rsid w:val="002D1D14"/>
    <w:rsid w:val="002D1D44"/>
    <w:rsid w:val="002D32BC"/>
    <w:rsid w:val="002D5139"/>
    <w:rsid w:val="002D786E"/>
    <w:rsid w:val="002E0962"/>
    <w:rsid w:val="002E2960"/>
    <w:rsid w:val="002E2B63"/>
    <w:rsid w:val="002E5831"/>
    <w:rsid w:val="002E5F5C"/>
    <w:rsid w:val="002F0944"/>
    <w:rsid w:val="002F2741"/>
    <w:rsid w:val="002F60B4"/>
    <w:rsid w:val="002F6845"/>
    <w:rsid w:val="002F70E5"/>
    <w:rsid w:val="0030074E"/>
    <w:rsid w:val="00300C48"/>
    <w:rsid w:val="003024D4"/>
    <w:rsid w:val="003026CD"/>
    <w:rsid w:val="00304881"/>
    <w:rsid w:val="00306810"/>
    <w:rsid w:val="00311401"/>
    <w:rsid w:val="00311BF5"/>
    <w:rsid w:val="00316C37"/>
    <w:rsid w:val="003175FF"/>
    <w:rsid w:val="00322507"/>
    <w:rsid w:val="003266F3"/>
    <w:rsid w:val="00326794"/>
    <w:rsid w:val="003270C2"/>
    <w:rsid w:val="003279AA"/>
    <w:rsid w:val="003304FF"/>
    <w:rsid w:val="00331834"/>
    <w:rsid w:val="003321B5"/>
    <w:rsid w:val="00334A30"/>
    <w:rsid w:val="00334F6C"/>
    <w:rsid w:val="00336BAF"/>
    <w:rsid w:val="00337330"/>
    <w:rsid w:val="00342A90"/>
    <w:rsid w:val="00343A08"/>
    <w:rsid w:val="00346F3E"/>
    <w:rsid w:val="00350C31"/>
    <w:rsid w:val="00352B50"/>
    <w:rsid w:val="00353088"/>
    <w:rsid w:val="003557B5"/>
    <w:rsid w:val="00355DEB"/>
    <w:rsid w:val="003611E9"/>
    <w:rsid w:val="00364A29"/>
    <w:rsid w:val="00365894"/>
    <w:rsid w:val="00366A7A"/>
    <w:rsid w:val="0036731C"/>
    <w:rsid w:val="00370CCC"/>
    <w:rsid w:val="003710FC"/>
    <w:rsid w:val="00371BEE"/>
    <w:rsid w:val="003722A4"/>
    <w:rsid w:val="00372502"/>
    <w:rsid w:val="00375009"/>
    <w:rsid w:val="00376262"/>
    <w:rsid w:val="00380CDD"/>
    <w:rsid w:val="0038416B"/>
    <w:rsid w:val="003876A7"/>
    <w:rsid w:val="00387B5E"/>
    <w:rsid w:val="003921B0"/>
    <w:rsid w:val="0039431A"/>
    <w:rsid w:val="00394840"/>
    <w:rsid w:val="00395C0E"/>
    <w:rsid w:val="0039614C"/>
    <w:rsid w:val="003A1872"/>
    <w:rsid w:val="003A1E81"/>
    <w:rsid w:val="003A21A8"/>
    <w:rsid w:val="003A328F"/>
    <w:rsid w:val="003B2F98"/>
    <w:rsid w:val="003B3FD1"/>
    <w:rsid w:val="003B5C56"/>
    <w:rsid w:val="003C2C27"/>
    <w:rsid w:val="003C2E72"/>
    <w:rsid w:val="003C331A"/>
    <w:rsid w:val="003C5C58"/>
    <w:rsid w:val="003C648B"/>
    <w:rsid w:val="003C719F"/>
    <w:rsid w:val="003C7C62"/>
    <w:rsid w:val="003D0B76"/>
    <w:rsid w:val="003D5184"/>
    <w:rsid w:val="003D6B07"/>
    <w:rsid w:val="003E13D1"/>
    <w:rsid w:val="003E17E1"/>
    <w:rsid w:val="003E20FD"/>
    <w:rsid w:val="003E3C3B"/>
    <w:rsid w:val="003E5662"/>
    <w:rsid w:val="003E78AD"/>
    <w:rsid w:val="003F0DC6"/>
    <w:rsid w:val="003F160E"/>
    <w:rsid w:val="003F3007"/>
    <w:rsid w:val="00400252"/>
    <w:rsid w:val="00401547"/>
    <w:rsid w:val="00402542"/>
    <w:rsid w:val="004026AE"/>
    <w:rsid w:val="0040316B"/>
    <w:rsid w:val="00404D35"/>
    <w:rsid w:val="00411890"/>
    <w:rsid w:val="004130CC"/>
    <w:rsid w:val="00415163"/>
    <w:rsid w:val="00417003"/>
    <w:rsid w:val="00417553"/>
    <w:rsid w:val="004178F2"/>
    <w:rsid w:val="00421BB3"/>
    <w:rsid w:val="0042352F"/>
    <w:rsid w:val="00437986"/>
    <w:rsid w:val="004419BC"/>
    <w:rsid w:val="00447192"/>
    <w:rsid w:val="00450385"/>
    <w:rsid w:val="0045192C"/>
    <w:rsid w:val="004519F0"/>
    <w:rsid w:val="00452EF4"/>
    <w:rsid w:val="00460619"/>
    <w:rsid w:val="0046132E"/>
    <w:rsid w:val="00461BE8"/>
    <w:rsid w:val="00465185"/>
    <w:rsid w:val="00467F46"/>
    <w:rsid w:val="00470380"/>
    <w:rsid w:val="004711BA"/>
    <w:rsid w:val="00471A7C"/>
    <w:rsid w:val="004724A0"/>
    <w:rsid w:val="00476322"/>
    <w:rsid w:val="004779D0"/>
    <w:rsid w:val="00481DC9"/>
    <w:rsid w:val="00483783"/>
    <w:rsid w:val="00486E71"/>
    <w:rsid w:val="00493E93"/>
    <w:rsid w:val="004947B9"/>
    <w:rsid w:val="004A3F65"/>
    <w:rsid w:val="004A40F8"/>
    <w:rsid w:val="004A5847"/>
    <w:rsid w:val="004A6CCA"/>
    <w:rsid w:val="004B16F6"/>
    <w:rsid w:val="004B3EFB"/>
    <w:rsid w:val="004B42B5"/>
    <w:rsid w:val="004B435A"/>
    <w:rsid w:val="004B7927"/>
    <w:rsid w:val="004C259A"/>
    <w:rsid w:val="004C313C"/>
    <w:rsid w:val="004C4BCC"/>
    <w:rsid w:val="004C526C"/>
    <w:rsid w:val="004C5C1F"/>
    <w:rsid w:val="004D03E4"/>
    <w:rsid w:val="004D39F8"/>
    <w:rsid w:val="004D560B"/>
    <w:rsid w:val="004E0E01"/>
    <w:rsid w:val="004E3CF7"/>
    <w:rsid w:val="004E64B1"/>
    <w:rsid w:val="004F08FD"/>
    <w:rsid w:val="004F1BFA"/>
    <w:rsid w:val="004F24C3"/>
    <w:rsid w:val="004F5E15"/>
    <w:rsid w:val="004F6603"/>
    <w:rsid w:val="0050158F"/>
    <w:rsid w:val="00503CD7"/>
    <w:rsid w:val="00503DE4"/>
    <w:rsid w:val="0050498C"/>
    <w:rsid w:val="00504F27"/>
    <w:rsid w:val="00506508"/>
    <w:rsid w:val="0051155F"/>
    <w:rsid w:val="00512422"/>
    <w:rsid w:val="005154B4"/>
    <w:rsid w:val="00516BF8"/>
    <w:rsid w:val="00517914"/>
    <w:rsid w:val="005208C1"/>
    <w:rsid w:val="0052140D"/>
    <w:rsid w:val="00522F6B"/>
    <w:rsid w:val="00524A3E"/>
    <w:rsid w:val="00535E17"/>
    <w:rsid w:val="005368B9"/>
    <w:rsid w:val="005405FF"/>
    <w:rsid w:val="0054160F"/>
    <w:rsid w:val="0054384C"/>
    <w:rsid w:val="00543C96"/>
    <w:rsid w:val="00544FF0"/>
    <w:rsid w:val="00545DD6"/>
    <w:rsid w:val="005461F2"/>
    <w:rsid w:val="00547418"/>
    <w:rsid w:val="00547B96"/>
    <w:rsid w:val="00550C2F"/>
    <w:rsid w:val="00550F22"/>
    <w:rsid w:val="00552459"/>
    <w:rsid w:val="00552C98"/>
    <w:rsid w:val="00555455"/>
    <w:rsid w:val="005573FD"/>
    <w:rsid w:val="00557ACF"/>
    <w:rsid w:val="00562C45"/>
    <w:rsid w:val="00562FE3"/>
    <w:rsid w:val="0056786E"/>
    <w:rsid w:val="00570106"/>
    <w:rsid w:val="00575C06"/>
    <w:rsid w:val="00580054"/>
    <w:rsid w:val="005811EC"/>
    <w:rsid w:val="005828A6"/>
    <w:rsid w:val="00585E3A"/>
    <w:rsid w:val="00587618"/>
    <w:rsid w:val="00591383"/>
    <w:rsid w:val="00591B2B"/>
    <w:rsid w:val="00594F0B"/>
    <w:rsid w:val="005952D0"/>
    <w:rsid w:val="005973F6"/>
    <w:rsid w:val="005A1F89"/>
    <w:rsid w:val="005A2384"/>
    <w:rsid w:val="005A2824"/>
    <w:rsid w:val="005A3E80"/>
    <w:rsid w:val="005A738A"/>
    <w:rsid w:val="005B2ADF"/>
    <w:rsid w:val="005B3B6C"/>
    <w:rsid w:val="005B5E1F"/>
    <w:rsid w:val="005C1B29"/>
    <w:rsid w:val="005C2E7E"/>
    <w:rsid w:val="005C4AB5"/>
    <w:rsid w:val="005C521B"/>
    <w:rsid w:val="005D019B"/>
    <w:rsid w:val="005D3516"/>
    <w:rsid w:val="005D5D20"/>
    <w:rsid w:val="005E0B29"/>
    <w:rsid w:val="005E1C26"/>
    <w:rsid w:val="005E1E8A"/>
    <w:rsid w:val="005E21C7"/>
    <w:rsid w:val="005E6E54"/>
    <w:rsid w:val="005F18E4"/>
    <w:rsid w:val="005F5282"/>
    <w:rsid w:val="00602D54"/>
    <w:rsid w:val="00604EA3"/>
    <w:rsid w:val="00605801"/>
    <w:rsid w:val="006059AB"/>
    <w:rsid w:val="0060740F"/>
    <w:rsid w:val="0061176D"/>
    <w:rsid w:val="00614128"/>
    <w:rsid w:val="0061755D"/>
    <w:rsid w:val="00620024"/>
    <w:rsid w:val="00625FDD"/>
    <w:rsid w:val="006266FB"/>
    <w:rsid w:val="006267A5"/>
    <w:rsid w:val="0063254B"/>
    <w:rsid w:val="006416FA"/>
    <w:rsid w:val="00645582"/>
    <w:rsid w:val="0064571A"/>
    <w:rsid w:val="006457C5"/>
    <w:rsid w:val="00647E04"/>
    <w:rsid w:val="006512E9"/>
    <w:rsid w:val="006532F4"/>
    <w:rsid w:val="0065586C"/>
    <w:rsid w:val="006649E5"/>
    <w:rsid w:val="00666A4A"/>
    <w:rsid w:val="006700A2"/>
    <w:rsid w:val="006704BC"/>
    <w:rsid w:val="006722A1"/>
    <w:rsid w:val="00683B9E"/>
    <w:rsid w:val="00683CD2"/>
    <w:rsid w:val="00685B94"/>
    <w:rsid w:val="006873F2"/>
    <w:rsid w:val="00690C2A"/>
    <w:rsid w:val="00691B43"/>
    <w:rsid w:val="00692045"/>
    <w:rsid w:val="006921FF"/>
    <w:rsid w:val="0069221A"/>
    <w:rsid w:val="006933AC"/>
    <w:rsid w:val="00697393"/>
    <w:rsid w:val="0069784E"/>
    <w:rsid w:val="006A4820"/>
    <w:rsid w:val="006B24FC"/>
    <w:rsid w:val="006C1611"/>
    <w:rsid w:val="006C66FB"/>
    <w:rsid w:val="006D38BE"/>
    <w:rsid w:val="006D3EAA"/>
    <w:rsid w:val="006D419F"/>
    <w:rsid w:val="006D52BA"/>
    <w:rsid w:val="006E0372"/>
    <w:rsid w:val="006E0539"/>
    <w:rsid w:val="006E22F0"/>
    <w:rsid w:val="006F0A06"/>
    <w:rsid w:val="006F0FAD"/>
    <w:rsid w:val="006F1330"/>
    <w:rsid w:val="006F13C6"/>
    <w:rsid w:val="006F1942"/>
    <w:rsid w:val="006F366C"/>
    <w:rsid w:val="006F52AC"/>
    <w:rsid w:val="006F5C2E"/>
    <w:rsid w:val="006F762F"/>
    <w:rsid w:val="006F7EF0"/>
    <w:rsid w:val="0070242E"/>
    <w:rsid w:val="00704198"/>
    <w:rsid w:val="007053F7"/>
    <w:rsid w:val="00706359"/>
    <w:rsid w:val="0071217B"/>
    <w:rsid w:val="00714AEB"/>
    <w:rsid w:val="00715D94"/>
    <w:rsid w:val="00717295"/>
    <w:rsid w:val="00720C53"/>
    <w:rsid w:val="00721EBD"/>
    <w:rsid w:val="0072216C"/>
    <w:rsid w:val="00722EFB"/>
    <w:rsid w:val="007252DF"/>
    <w:rsid w:val="0072626E"/>
    <w:rsid w:val="00736072"/>
    <w:rsid w:val="00736D3F"/>
    <w:rsid w:val="00743F52"/>
    <w:rsid w:val="00744AAD"/>
    <w:rsid w:val="00745816"/>
    <w:rsid w:val="00746384"/>
    <w:rsid w:val="00750525"/>
    <w:rsid w:val="00762235"/>
    <w:rsid w:val="007649BD"/>
    <w:rsid w:val="00765B01"/>
    <w:rsid w:val="00765BCF"/>
    <w:rsid w:val="00771297"/>
    <w:rsid w:val="00771514"/>
    <w:rsid w:val="00773740"/>
    <w:rsid w:val="00773D36"/>
    <w:rsid w:val="00775A37"/>
    <w:rsid w:val="00775EB8"/>
    <w:rsid w:val="00776983"/>
    <w:rsid w:val="00780C60"/>
    <w:rsid w:val="00782697"/>
    <w:rsid w:val="00791527"/>
    <w:rsid w:val="00792DA6"/>
    <w:rsid w:val="00796D59"/>
    <w:rsid w:val="00796F09"/>
    <w:rsid w:val="007A0371"/>
    <w:rsid w:val="007A1117"/>
    <w:rsid w:val="007A11E2"/>
    <w:rsid w:val="007A72D7"/>
    <w:rsid w:val="007B304C"/>
    <w:rsid w:val="007B394C"/>
    <w:rsid w:val="007C11BE"/>
    <w:rsid w:val="007C43C0"/>
    <w:rsid w:val="007C529E"/>
    <w:rsid w:val="007D1C2C"/>
    <w:rsid w:val="007D49C2"/>
    <w:rsid w:val="007D53D8"/>
    <w:rsid w:val="007D73DF"/>
    <w:rsid w:val="007E4BCB"/>
    <w:rsid w:val="007E51AC"/>
    <w:rsid w:val="007E5C2D"/>
    <w:rsid w:val="007E6854"/>
    <w:rsid w:val="007E6BDA"/>
    <w:rsid w:val="007E7B58"/>
    <w:rsid w:val="007F2B54"/>
    <w:rsid w:val="007F2F60"/>
    <w:rsid w:val="007F6AEB"/>
    <w:rsid w:val="00813973"/>
    <w:rsid w:val="008146D3"/>
    <w:rsid w:val="00816636"/>
    <w:rsid w:val="00816A7D"/>
    <w:rsid w:val="00817BAF"/>
    <w:rsid w:val="00820D0F"/>
    <w:rsid w:val="008238A2"/>
    <w:rsid w:val="00825290"/>
    <w:rsid w:val="00827E30"/>
    <w:rsid w:val="00827E5E"/>
    <w:rsid w:val="008373CC"/>
    <w:rsid w:val="00837660"/>
    <w:rsid w:val="00837BDE"/>
    <w:rsid w:val="00837F6F"/>
    <w:rsid w:val="008421EE"/>
    <w:rsid w:val="00843397"/>
    <w:rsid w:val="008449EC"/>
    <w:rsid w:val="00845380"/>
    <w:rsid w:val="00853B22"/>
    <w:rsid w:val="00854197"/>
    <w:rsid w:val="00855AB2"/>
    <w:rsid w:val="0085794E"/>
    <w:rsid w:val="0086085B"/>
    <w:rsid w:val="00861142"/>
    <w:rsid w:val="00861E37"/>
    <w:rsid w:val="00862AFC"/>
    <w:rsid w:val="008636B6"/>
    <w:rsid w:val="0086453F"/>
    <w:rsid w:val="0086691A"/>
    <w:rsid w:val="008701C7"/>
    <w:rsid w:val="0087031C"/>
    <w:rsid w:val="00870DB2"/>
    <w:rsid w:val="00871E2D"/>
    <w:rsid w:val="00876E08"/>
    <w:rsid w:val="00877613"/>
    <w:rsid w:val="00881E38"/>
    <w:rsid w:val="00884794"/>
    <w:rsid w:val="00884908"/>
    <w:rsid w:val="008855AD"/>
    <w:rsid w:val="00885F79"/>
    <w:rsid w:val="008912E5"/>
    <w:rsid w:val="00892ACB"/>
    <w:rsid w:val="00892BEE"/>
    <w:rsid w:val="00895F97"/>
    <w:rsid w:val="008A1905"/>
    <w:rsid w:val="008A536F"/>
    <w:rsid w:val="008A74E1"/>
    <w:rsid w:val="008B0B07"/>
    <w:rsid w:val="008B1F5C"/>
    <w:rsid w:val="008B55C7"/>
    <w:rsid w:val="008C031C"/>
    <w:rsid w:val="008C2BFE"/>
    <w:rsid w:val="008D12E0"/>
    <w:rsid w:val="008D53BC"/>
    <w:rsid w:val="008D7AE7"/>
    <w:rsid w:val="008D7CAB"/>
    <w:rsid w:val="008E12B1"/>
    <w:rsid w:val="008E43BC"/>
    <w:rsid w:val="008E4E91"/>
    <w:rsid w:val="008E64F8"/>
    <w:rsid w:val="008F14A6"/>
    <w:rsid w:val="0090254C"/>
    <w:rsid w:val="00902DB1"/>
    <w:rsid w:val="009079AE"/>
    <w:rsid w:val="00916222"/>
    <w:rsid w:val="00916CBB"/>
    <w:rsid w:val="00916ECB"/>
    <w:rsid w:val="0092001D"/>
    <w:rsid w:val="00921B55"/>
    <w:rsid w:val="009239E0"/>
    <w:rsid w:val="00924182"/>
    <w:rsid w:val="009245E2"/>
    <w:rsid w:val="009264B0"/>
    <w:rsid w:val="0092726A"/>
    <w:rsid w:val="00927836"/>
    <w:rsid w:val="009304B6"/>
    <w:rsid w:val="009324A3"/>
    <w:rsid w:val="009331C6"/>
    <w:rsid w:val="00933576"/>
    <w:rsid w:val="00934ED7"/>
    <w:rsid w:val="00940137"/>
    <w:rsid w:val="009409A3"/>
    <w:rsid w:val="009427BC"/>
    <w:rsid w:val="0094690C"/>
    <w:rsid w:val="00947700"/>
    <w:rsid w:val="0095013C"/>
    <w:rsid w:val="009513F0"/>
    <w:rsid w:val="009530DD"/>
    <w:rsid w:val="00956A39"/>
    <w:rsid w:val="00960330"/>
    <w:rsid w:val="00961BE8"/>
    <w:rsid w:val="00963403"/>
    <w:rsid w:val="00967824"/>
    <w:rsid w:val="0097040D"/>
    <w:rsid w:val="0097075F"/>
    <w:rsid w:val="009778C7"/>
    <w:rsid w:val="00981FEA"/>
    <w:rsid w:val="0098217E"/>
    <w:rsid w:val="0098243E"/>
    <w:rsid w:val="00982DE4"/>
    <w:rsid w:val="00985308"/>
    <w:rsid w:val="00991BC1"/>
    <w:rsid w:val="00991DF7"/>
    <w:rsid w:val="00996925"/>
    <w:rsid w:val="009A62AC"/>
    <w:rsid w:val="009B2451"/>
    <w:rsid w:val="009B478E"/>
    <w:rsid w:val="009D5203"/>
    <w:rsid w:val="009D5370"/>
    <w:rsid w:val="009D735E"/>
    <w:rsid w:val="009D765C"/>
    <w:rsid w:val="009E5FC0"/>
    <w:rsid w:val="009E623E"/>
    <w:rsid w:val="009F3BAE"/>
    <w:rsid w:val="009F5C2B"/>
    <w:rsid w:val="00A006E5"/>
    <w:rsid w:val="00A01751"/>
    <w:rsid w:val="00A03078"/>
    <w:rsid w:val="00A049CA"/>
    <w:rsid w:val="00A0693C"/>
    <w:rsid w:val="00A238DA"/>
    <w:rsid w:val="00A256CB"/>
    <w:rsid w:val="00A25A9E"/>
    <w:rsid w:val="00A2738E"/>
    <w:rsid w:val="00A32AC9"/>
    <w:rsid w:val="00A353EF"/>
    <w:rsid w:val="00A36231"/>
    <w:rsid w:val="00A376EE"/>
    <w:rsid w:val="00A41341"/>
    <w:rsid w:val="00A4326D"/>
    <w:rsid w:val="00A44044"/>
    <w:rsid w:val="00A45812"/>
    <w:rsid w:val="00A535DC"/>
    <w:rsid w:val="00A57BE3"/>
    <w:rsid w:val="00A64FE3"/>
    <w:rsid w:val="00A653CB"/>
    <w:rsid w:val="00A71933"/>
    <w:rsid w:val="00A7266D"/>
    <w:rsid w:val="00A77556"/>
    <w:rsid w:val="00A80FAA"/>
    <w:rsid w:val="00A84610"/>
    <w:rsid w:val="00A847BA"/>
    <w:rsid w:val="00A851DA"/>
    <w:rsid w:val="00A87325"/>
    <w:rsid w:val="00A92C50"/>
    <w:rsid w:val="00A937FE"/>
    <w:rsid w:val="00A93871"/>
    <w:rsid w:val="00A945D6"/>
    <w:rsid w:val="00A95852"/>
    <w:rsid w:val="00A964D6"/>
    <w:rsid w:val="00A966CF"/>
    <w:rsid w:val="00AA0882"/>
    <w:rsid w:val="00AA13E4"/>
    <w:rsid w:val="00AA3E9A"/>
    <w:rsid w:val="00AA400D"/>
    <w:rsid w:val="00AA4835"/>
    <w:rsid w:val="00AA5B67"/>
    <w:rsid w:val="00AA64D1"/>
    <w:rsid w:val="00AB4406"/>
    <w:rsid w:val="00AB57A2"/>
    <w:rsid w:val="00AB5E18"/>
    <w:rsid w:val="00AC3783"/>
    <w:rsid w:val="00AC3A84"/>
    <w:rsid w:val="00AC5721"/>
    <w:rsid w:val="00AC639F"/>
    <w:rsid w:val="00AD0B0C"/>
    <w:rsid w:val="00AD308E"/>
    <w:rsid w:val="00AD42CE"/>
    <w:rsid w:val="00AD485A"/>
    <w:rsid w:val="00AD5288"/>
    <w:rsid w:val="00AD5715"/>
    <w:rsid w:val="00AD78FE"/>
    <w:rsid w:val="00AD7EE2"/>
    <w:rsid w:val="00AE3DBC"/>
    <w:rsid w:val="00AE3F7F"/>
    <w:rsid w:val="00AE7B7B"/>
    <w:rsid w:val="00AE7DA7"/>
    <w:rsid w:val="00AF1C70"/>
    <w:rsid w:val="00AF32AA"/>
    <w:rsid w:val="00AF36DA"/>
    <w:rsid w:val="00AF3B7D"/>
    <w:rsid w:val="00AF5FBF"/>
    <w:rsid w:val="00AF63C0"/>
    <w:rsid w:val="00AF683F"/>
    <w:rsid w:val="00AF7AF5"/>
    <w:rsid w:val="00B00B48"/>
    <w:rsid w:val="00B03872"/>
    <w:rsid w:val="00B041C4"/>
    <w:rsid w:val="00B05CBF"/>
    <w:rsid w:val="00B109F9"/>
    <w:rsid w:val="00B171F3"/>
    <w:rsid w:val="00B177CD"/>
    <w:rsid w:val="00B202DB"/>
    <w:rsid w:val="00B22640"/>
    <w:rsid w:val="00B23763"/>
    <w:rsid w:val="00B27BAF"/>
    <w:rsid w:val="00B3089E"/>
    <w:rsid w:val="00B320B3"/>
    <w:rsid w:val="00B3351F"/>
    <w:rsid w:val="00B361BB"/>
    <w:rsid w:val="00B40662"/>
    <w:rsid w:val="00B40861"/>
    <w:rsid w:val="00B50E03"/>
    <w:rsid w:val="00B51F46"/>
    <w:rsid w:val="00B529BE"/>
    <w:rsid w:val="00B52E36"/>
    <w:rsid w:val="00B53005"/>
    <w:rsid w:val="00B54AFA"/>
    <w:rsid w:val="00B56A51"/>
    <w:rsid w:val="00B604A7"/>
    <w:rsid w:val="00B657C2"/>
    <w:rsid w:val="00B74975"/>
    <w:rsid w:val="00B75185"/>
    <w:rsid w:val="00B75BBF"/>
    <w:rsid w:val="00B76512"/>
    <w:rsid w:val="00B817D3"/>
    <w:rsid w:val="00B81B15"/>
    <w:rsid w:val="00B8469E"/>
    <w:rsid w:val="00B85627"/>
    <w:rsid w:val="00B8657F"/>
    <w:rsid w:val="00B91650"/>
    <w:rsid w:val="00B93604"/>
    <w:rsid w:val="00BA4771"/>
    <w:rsid w:val="00BB007D"/>
    <w:rsid w:val="00BB5CCA"/>
    <w:rsid w:val="00BB6ADE"/>
    <w:rsid w:val="00BC0071"/>
    <w:rsid w:val="00BC2CD5"/>
    <w:rsid w:val="00BC322D"/>
    <w:rsid w:val="00BC4383"/>
    <w:rsid w:val="00BC578F"/>
    <w:rsid w:val="00BD1290"/>
    <w:rsid w:val="00BE2CC0"/>
    <w:rsid w:val="00BE582F"/>
    <w:rsid w:val="00BE7EF1"/>
    <w:rsid w:val="00BF173F"/>
    <w:rsid w:val="00BF198B"/>
    <w:rsid w:val="00C04BCE"/>
    <w:rsid w:val="00C133E6"/>
    <w:rsid w:val="00C13ABB"/>
    <w:rsid w:val="00C151CD"/>
    <w:rsid w:val="00C246F0"/>
    <w:rsid w:val="00C33A45"/>
    <w:rsid w:val="00C40D0B"/>
    <w:rsid w:val="00C43AB7"/>
    <w:rsid w:val="00C45B2E"/>
    <w:rsid w:val="00C539A6"/>
    <w:rsid w:val="00C5600A"/>
    <w:rsid w:val="00C6183C"/>
    <w:rsid w:val="00C6237C"/>
    <w:rsid w:val="00C62FFA"/>
    <w:rsid w:val="00C718DA"/>
    <w:rsid w:val="00C7399D"/>
    <w:rsid w:val="00C77E52"/>
    <w:rsid w:val="00C809E8"/>
    <w:rsid w:val="00C839C1"/>
    <w:rsid w:val="00C83D48"/>
    <w:rsid w:val="00C84569"/>
    <w:rsid w:val="00C84785"/>
    <w:rsid w:val="00C9082F"/>
    <w:rsid w:val="00C92CDD"/>
    <w:rsid w:val="00C97722"/>
    <w:rsid w:val="00CA022A"/>
    <w:rsid w:val="00CA24C4"/>
    <w:rsid w:val="00CA33FE"/>
    <w:rsid w:val="00CA401B"/>
    <w:rsid w:val="00CA473A"/>
    <w:rsid w:val="00CA5ABC"/>
    <w:rsid w:val="00CA6D70"/>
    <w:rsid w:val="00CB20B5"/>
    <w:rsid w:val="00CB2ACF"/>
    <w:rsid w:val="00CB3257"/>
    <w:rsid w:val="00CB3AA8"/>
    <w:rsid w:val="00CB5878"/>
    <w:rsid w:val="00CB7FEA"/>
    <w:rsid w:val="00CD2D5C"/>
    <w:rsid w:val="00CD30C2"/>
    <w:rsid w:val="00CD33C2"/>
    <w:rsid w:val="00CD6B5E"/>
    <w:rsid w:val="00CD6D77"/>
    <w:rsid w:val="00CE059E"/>
    <w:rsid w:val="00CE1BA5"/>
    <w:rsid w:val="00CE296E"/>
    <w:rsid w:val="00CE2DAD"/>
    <w:rsid w:val="00CE2DB1"/>
    <w:rsid w:val="00CE33C0"/>
    <w:rsid w:val="00CE3E47"/>
    <w:rsid w:val="00CE504D"/>
    <w:rsid w:val="00CE56C1"/>
    <w:rsid w:val="00CF0CE5"/>
    <w:rsid w:val="00CF5C9C"/>
    <w:rsid w:val="00D00D87"/>
    <w:rsid w:val="00D02105"/>
    <w:rsid w:val="00D0275F"/>
    <w:rsid w:val="00D02FE2"/>
    <w:rsid w:val="00D10A3F"/>
    <w:rsid w:val="00D115B6"/>
    <w:rsid w:val="00D123C1"/>
    <w:rsid w:val="00D15E58"/>
    <w:rsid w:val="00D1762B"/>
    <w:rsid w:val="00D22067"/>
    <w:rsid w:val="00D2277F"/>
    <w:rsid w:val="00D254FC"/>
    <w:rsid w:val="00D26F91"/>
    <w:rsid w:val="00D27CDB"/>
    <w:rsid w:val="00D338D7"/>
    <w:rsid w:val="00D36ED0"/>
    <w:rsid w:val="00D50CB6"/>
    <w:rsid w:val="00D54271"/>
    <w:rsid w:val="00D6000C"/>
    <w:rsid w:val="00D60951"/>
    <w:rsid w:val="00D60C33"/>
    <w:rsid w:val="00D61589"/>
    <w:rsid w:val="00D6212A"/>
    <w:rsid w:val="00D63523"/>
    <w:rsid w:val="00D6376B"/>
    <w:rsid w:val="00D639FD"/>
    <w:rsid w:val="00D652F8"/>
    <w:rsid w:val="00D6563D"/>
    <w:rsid w:val="00D66335"/>
    <w:rsid w:val="00D6768E"/>
    <w:rsid w:val="00D72091"/>
    <w:rsid w:val="00D75F5B"/>
    <w:rsid w:val="00D76415"/>
    <w:rsid w:val="00D8144F"/>
    <w:rsid w:val="00D818A3"/>
    <w:rsid w:val="00D93460"/>
    <w:rsid w:val="00D93D32"/>
    <w:rsid w:val="00D95B3E"/>
    <w:rsid w:val="00DA0967"/>
    <w:rsid w:val="00DA0DD3"/>
    <w:rsid w:val="00DA1FBA"/>
    <w:rsid w:val="00DA2910"/>
    <w:rsid w:val="00DA3E19"/>
    <w:rsid w:val="00DA6281"/>
    <w:rsid w:val="00DB5179"/>
    <w:rsid w:val="00DB5798"/>
    <w:rsid w:val="00DB58DB"/>
    <w:rsid w:val="00DB7E77"/>
    <w:rsid w:val="00DC338D"/>
    <w:rsid w:val="00DD022C"/>
    <w:rsid w:val="00DD0B20"/>
    <w:rsid w:val="00DD0CEC"/>
    <w:rsid w:val="00DD1E2B"/>
    <w:rsid w:val="00DD2F40"/>
    <w:rsid w:val="00DD6077"/>
    <w:rsid w:val="00DD66B3"/>
    <w:rsid w:val="00DF08CE"/>
    <w:rsid w:val="00DF1599"/>
    <w:rsid w:val="00DF1B0C"/>
    <w:rsid w:val="00DF2DE2"/>
    <w:rsid w:val="00DF4F68"/>
    <w:rsid w:val="00E01837"/>
    <w:rsid w:val="00E04FDF"/>
    <w:rsid w:val="00E052B8"/>
    <w:rsid w:val="00E05343"/>
    <w:rsid w:val="00E068AD"/>
    <w:rsid w:val="00E10159"/>
    <w:rsid w:val="00E118A7"/>
    <w:rsid w:val="00E27382"/>
    <w:rsid w:val="00E27589"/>
    <w:rsid w:val="00E32EE9"/>
    <w:rsid w:val="00E3510D"/>
    <w:rsid w:val="00E41C0F"/>
    <w:rsid w:val="00E41E11"/>
    <w:rsid w:val="00E4391D"/>
    <w:rsid w:val="00E43CD8"/>
    <w:rsid w:val="00E46E44"/>
    <w:rsid w:val="00E473DC"/>
    <w:rsid w:val="00E51805"/>
    <w:rsid w:val="00E55A30"/>
    <w:rsid w:val="00E55E8D"/>
    <w:rsid w:val="00E56C74"/>
    <w:rsid w:val="00E57DCA"/>
    <w:rsid w:val="00E615DF"/>
    <w:rsid w:val="00E647CF"/>
    <w:rsid w:val="00E64D14"/>
    <w:rsid w:val="00E70305"/>
    <w:rsid w:val="00E71DC8"/>
    <w:rsid w:val="00E775EF"/>
    <w:rsid w:val="00E8107A"/>
    <w:rsid w:val="00E82D6F"/>
    <w:rsid w:val="00E82EC2"/>
    <w:rsid w:val="00E85786"/>
    <w:rsid w:val="00E877E4"/>
    <w:rsid w:val="00E87CEE"/>
    <w:rsid w:val="00E94247"/>
    <w:rsid w:val="00E97183"/>
    <w:rsid w:val="00EA21A6"/>
    <w:rsid w:val="00EA5BF5"/>
    <w:rsid w:val="00EA76B0"/>
    <w:rsid w:val="00EB1E28"/>
    <w:rsid w:val="00EB23A7"/>
    <w:rsid w:val="00EB53D5"/>
    <w:rsid w:val="00EB651F"/>
    <w:rsid w:val="00EC1AEE"/>
    <w:rsid w:val="00ED0BD0"/>
    <w:rsid w:val="00ED397C"/>
    <w:rsid w:val="00ED5D81"/>
    <w:rsid w:val="00ED63CA"/>
    <w:rsid w:val="00ED6D4C"/>
    <w:rsid w:val="00EE295E"/>
    <w:rsid w:val="00EE38E0"/>
    <w:rsid w:val="00EE6AAC"/>
    <w:rsid w:val="00EF2CFF"/>
    <w:rsid w:val="00EF3975"/>
    <w:rsid w:val="00EF7DE7"/>
    <w:rsid w:val="00EF7DF4"/>
    <w:rsid w:val="00F01023"/>
    <w:rsid w:val="00F03E6D"/>
    <w:rsid w:val="00F056D4"/>
    <w:rsid w:val="00F05DAC"/>
    <w:rsid w:val="00F1295F"/>
    <w:rsid w:val="00F169A6"/>
    <w:rsid w:val="00F21BE0"/>
    <w:rsid w:val="00F23A60"/>
    <w:rsid w:val="00F23DBB"/>
    <w:rsid w:val="00F2751F"/>
    <w:rsid w:val="00F32831"/>
    <w:rsid w:val="00F41529"/>
    <w:rsid w:val="00F42750"/>
    <w:rsid w:val="00F45E96"/>
    <w:rsid w:val="00F5026B"/>
    <w:rsid w:val="00F50406"/>
    <w:rsid w:val="00F50B68"/>
    <w:rsid w:val="00F52766"/>
    <w:rsid w:val="00F537CF"/>
    <w:rsid w:val="00F56770"/>
    <w:rsid w:val="00F667D7"/>
    <w:rsid w:val="00F71D4D"/>
    <w:rsid w:val="00F76F2C"/>
    <w:rsid w:val="00F773BE"/>
    <w:rsid w:val="00F77B2C"/>
    <w:rsid w:val="00F804D3"/>
    <w:rsid w:val="00F85E54"/>
    <w:rsid w:val="00F9085F"/>
    <w:rsid w:val="00F90C69"/>
    <w:rsid w:val="00F91490"/>
    <w:rsid w:val="00F925BA"/>
    <w:rsid w:val="00F937A7"/>
    <w:rsid w:val="00F947E2"/>
    <w:rsid w:val="00F97EA2"/>
    <w:rsid w:val="00FA28AE"/>
    <w:rsid w:val="00FA35A9"/>
    <w:rsid w:val="00FA5D55"/>
    <w:rsid w:val="00FA5F6A"/>
    <w:rsid w:val="00FA7710"/>
    <w:rsid w:val="00FB3A9D"/>
    <w:rsid w:val="00FB6D44"/>
    <w:rsid w:val="00FB7488"/>
    <w:rsid w:val="00FC0100"/>
    <w:rsid w:val="00FC2924"/>
    <w:rsid w:val="00FC48CD"/>
    <w:rsid w:val="00FC4DD1"/>
    <w:rsid w:val="00FC5124"/>
    <w:rsid w:val="00FC6912"/>
    <w:rsid w:val="00FC70D9"/>
    <w:rsid w:val="00FD3FE8"/>
    <w:rsid w:val="00FD6A7E"/>
    <w:rsid w:val="00FD7B8F"/>
    <w:rsid w:val="00FE1CCC"/>
    <w:rsid w:val="00FE2B3B"/>
    <w:rsid w:val="00FF19D7"/>
    <w:rsid w:val="00FF2BC9"/>
    <w:rsid w:val="00FF31B0"/>
    <w:rsid w:val="00FF711D"/>
    <w:rsid w:val="00FF73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pPr>
      <w:jc w:val="both"/>
    </w:pPr>
    <w:rPr>
      <w:rFonts w:ascii="Arial" w:eastAsia="Times New Roman" w:hAnsi="Arial"/>
      <w:szCs w:val="24"/>
    </w:rPr>
  </w:style>
  <w:style w:type="paragraph" w:styleId="Nadpis1">
    <w:name w:val="heading 1"/>
    <w:basedOn w:val="Normln"/>
    <w:next w:val="Normln"/>
    <w:qFormat/>
    <w:pPr>
      <w:keepNext/>
      <w:numPr>
        <w:numId w:val="5"/>
      </w:numPr>
      <w:outlineLvl w:val="0"/>
    </w:pPr>
    <w:rPr>
      <w:b/>
      <w:bCs/>
      <w:sz w:val="28"/>
      <w:szCs w:val="28"/>
      <w:lang/>
    </w:rPr>
  </w:style>
  <w:style w:type="paragraph" w:styleId="Nadpis2">
    <w:name w:val="heading 2"/>
    <w:basedOn w:val="Normln"/>
    <w:next w:val="Normln"/>
    <w:qFormat/>
    <w:pPr>
      <w:keepNext/>
      <w:numPr>
        <w:ilvl w:val="1"/>
        <w:numId w:val="4"/>
      </w:numPr>
      <w:spacing w:before="240" w:after="60"/>
      <w:outlineLvl w:val="1"/>
    </w:pPr>
    <w:rPr>
      <w:b/>
      <w:bCs/>
      <w:iCs/>
      <w:sz w:val="24"/>
      <w:lang/>
    </w:rPr>
  </w:style>
  <w:style w:type="paragraph" w:styleId="Nadpis3">
    <w:name w:val="heading 3"/>
    <w:basedOn w:val="Normln"/>
    <w:next w:val="Normln"/>
    <w:qFormat/>
    <w:pPr>
      <w:keepNext/>
      <w:numPr>
        <w:ilvl w:val="2"/>
        <w:numId w:val="4"/>
      </w:numPr>
      <w:spacing w:before="240" w:after="60"/>
      <w:outlineLvl w:val="2"/>
    </w:pPr>
    <w:rPr>
      <w:rFonts w:ascii="Cambria" w:hAnsi="Cambria"/>
      <w:b/>
      <w:bCs/>
      <w:sz w:val="26"/>
      <w:szCs w:val="26"/>
      <w:lang/>
    </w:rPr>
  </w:style>
  <w:style w:type="paragraph" w:styleId="Nadpis4">
    <w:name w:val="heading 4"/>
    <w:basedOn w:val="Normln"/>
    <w:next w:val="Normln"/>
    <w:qFormat/>
    <w:pPr>
      <w:keepNext/>
      <w:numPr>
        <w:ilvl w:val="3"/>
        <w:numId w:val="4"/>
      </w:numPr>
      <w:spacing w:before="240" w:after="60"/>
      <w:outlineLvl w:val="3"/>
    </w:pPr>
    <w:rPr>
      <w:rFonts w:ascii="Calibri" w:hAnsi="Calibri"/>
      <w:b/>
      <w:bCs/>
      <w:sz w:val="28"/>
      <w:szCs w:val="28"/>
      <w:lang/>
    </w:rPr>
  </w:style>
  <w:style w:type="paragraph" w:styleId="Nadpis5">
    <w:name w:val="heading 5"/>
    <w:basedOn w:val="Normln"/>
    <w:next w:val="Normln"/>
    <w:qFormat/>
    <w:pPr>
      <w:numPr>
        <w:ilvl w:val="4"/>
        <w:numId w:val="4"/>
      </w:numPr>
      <w:spacing w:before="240" w:after="60"/>
      <w:outlineLvl w:val="4"/>
    </w:pPr>
    <w:rPr>
      <w:rFonts w:ascii="Calibri" w:hAnsi="Calibri"/>
      <w:b/>
      <w:bCs/>
      <w:i/>
      <w:iCs/>
      <w:sz w:val="26"/>
      <w:szCs w:val="26"/>
      <w:lang/>
    </w:rPr>
  </w:style>
  <w:style w:type="paragraph" w:styleId="Nadpis6">
    <w:name w:val="heading 6"/>
    <w:basedOn w:val="Normln"/>
    <w:next w:val="Normln"/>
    <w:qFormat/>
    <w:pPr>
      <w:numPr>
        <w:ilvl w:val="5"/>
        <w:numId w:val="4"/>
      </w:numPr>
      <w:spacing w:before="240" w:after="60"/>
      <w:outlineLvl w:val="5"/>
    </w:pPr>
    <w:rPr>
      <w:rFonts w:ascii="Calibri" w:hAnsi="Calibri"/>
      <w:b/>
      <w:bCs/>
      <w:sz w:val="22"/>
      <w:szCs w:val="22"/>
      <w:lang/>
    </w:rPr>
  </w:style>
  <w:style w:type="paragraph" w:styleId="Nadpis7">
    <w:name w:val="heading 7"/>
    <w:basedOn w:val="Normln"/>
    <w:next w:val="Normln"/>
    <w:qFormat/>
    <w:pPr>
      <w:numPr>
        <w:ilvl w:val="6"/>
        <w:numId w:val="4"/>
      </w:numPr>
      <w:spacing w:before="240" w:after="60"/>
      <w:outlineLvl w:val="6"/>
    </w:pPr>
    <w:rPr>
      <w:rFonts w:ascii="Calibri" w:hAnsi="Calibri"/>
      <w:sz w:val="24"/>
      <w:lang/>
    </w:rPr>
  </w:style>
  <w:style w:type="paragraph" w:styleId="Nadpis8">
    <w:name w:val="heading 8"/>
    <w:basedOn w:val="Normln"/>
    <w:next w:val="Normln"/>
    <w:qFormat/>
    <w:pPr>
      <w:numPr>
        <w:ilvl w:val="7"/>
        <w:numId w:val="4"/>
      </w:numPr>
      <w:spacing w:before="240" w:after="60"/>
      <w:outlineLvl w:val="7"/>
    </w:pPr>
    <w:rPr>
      <w:rFonts w:ascii="Calibri" w:hAnsi="Calibri"/>
      <w:i/>
      <w:iCs/>
      <w:sz w:val="24"/>
      <w:lang/>
    </w:rPr>
  </w:style>
  <w:style w:type="paragraph" w:styleId="Nadpis9">
    <w:name w:val="heading 9"/>
    <w:basedOn w:val="Normln"/>
    <w:next w:val="Normln"/>
    <w:qFormat/>
    <w:pPr>
      <w:numPr>
        <w:ilvl w:val="8"/>
        <w:numId w:val="4"/>
      </w:numPr>
      <w:spacing w:before="240" w:after="60"/>
      <w:outlineLvl w:val="8"/>
    </w:pPr>
    <w:rPr>
      <w:rFonts w:ascii="Cambria" w:hAnsi="Cambria"/>
      <w:sz w:val="22"/>
      <w:szCs w:val="22"/>
      <w:lang/>
    </w:rPr>
  </w:style>
  <w:style w:type="character" w:default="1" w:styleId="Standardnpsmoodstavce">
    <w:name w:val="Default Paragraph Font"/>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customStyle="1" w:styleId="Styl1">
    <w:name w:val="Styl1"/>
    <w:pPr>
      <w:suppressAutoHyphens/>
      <w:autoSpaceDE w:val="0"/>
    </w:pPr>
    <w:rPr>
      <w:rFonts w:ascii="Arial" w:eastAsia="Times New Roman" w:hAnsi="Arial"/>
      <w:sz w:val="24"/>
      <w:szCs w:val="24"/>
      <w:lang w:eastAsia="ar-SA"/>
    </w:rPr>
  </w:style>
  <w:style w:type="paragraph" w:styleId="Zhlav">
    <w:name w:val="header"/>
    <w:basedOn w:val="Normln"/>
    <w:unhideWhenUsed/>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style>
  <w:style w:type="paragraph" w:styleId="Zpat">
    <w:name w:val="footer"/>
    <w:basedOn w:val="Normln"/>
    <w:unhideWhenUsed/>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style>
  <w:style w:type="paragraph" w:styleId="Textbubliny">
    <w:name w:val="Balloon Text"/>
    <w:basedOn w:val="Normln"/>
    <w:semiHidden/>
    <w:unhideWhenUsed/>
    <w:rPr>
      <w:rFonts w:ascii="Tahoma" w:eastAsia="Calibri" w:hAnsi="Tahoma"/>
      <w:sz w:val="16"/>
      <w:szCs w:val="16"/>
      <w:lang/>
    </w:rPr>
  </w:style>
  <w:style w:type="character" w:customStyle="1" w:styleId="TextbublinyChar">
    <w:name w:val="Text bubliny Char"/>
    <w:semiHidden/>
    <w:rPr>
      <w:rFonts w:ascii="Tahoma" w:hAnsi="Tahoma" w:cs="Tahoma"/>
      <w:sz w:val="16"/>
      <w:szCs w:val="16"/>
    </w:rPr>
  </w:style>
  <w:style w:type="paragraph" w:customStyle="1" w:styleId="Zkladnodstavec">
    <w:name w:val="[Základní odstavec]"/>
    <w:basedOn w:val="Normln"/>
    <w:pPr>
      <w:autoSpaceDE w:val="0"/>
      <w:autoSpaceDN w:val="0"/>
      <w:adjustRightInd w:val="0"/>
      <w:spacing w:line="288" w:lineRule="auto"/>
      <w:jc w:val="left"/>
      <w:textAlignment w:val="center"/>
    </w:pPr>
    <w:rPr>
      <w:rFonts w:ascii="Minion Pro" w:eastAsia="Calibri" w:hAnsi="Minion Pro" w:cs="Minion Pro"/>
      <w:color w:val="000000"/>
      <w:sz w:val="24"/>
    </w:rPr>
  </w:style>
  <w:style w:type="character" w:customStyle="1" w:styleId="Nadpis1Char">
    <w:name w:val="Nadpis 1 Char"/>
    <w:rPr>
      <w:rFonts w:ascii="Arial" w:eastAsia="Times New Roman" w:hAnsi="Arial" w:cs="Arial"/>
      <w:b/>
      <w:bCs/>
      <w:sz w:val="28"/>
      <w:szCs w:val="28"/>
    </w:rPr>
  </w:style>
  <w:style w:type="paragraph" w:styleId="Textpoznpodarou">
    <w:name w:val="footnote text"/>
    <w:aliases w:val="Text pozn. pod čarou_martin_ang"/>
    <w:basedOn w:val="Normln"/>
    <w:semiHidden/>
    <w:pPr>
      <w:jc w:val="left"/>
    </w:pPr>
    <w:rPr>
      <w:szCs w:val="20"/>
      <w:lang/>
    </w:rPr>
  </w:style>
  <w:style w:type="character" w:customStyle="1" w:styleId="TextpoznpodarouChar">
    <w:name w:val="Text pozn. pod čarou Char"/>
    <w:aliases w:val="Text pozn. pod čarou_martin_ang Char1"/>
    <w:semiHidden/>
    <w:rPr>
      <w:rFonts w:ascii="Arial" w:eastAsia="Times New Roman" w:hAnsi="Arial"/>
    </w:rPr>
  </w:style>
  <w:style w:type="character" w:styleId="Znakapoznpodarou">
    <w:name w:val="footnote reference"/>
    <w:semiHidden/>
    <w:rPr>
      <w:vertAlign w:val="superscript"/>
    </w:rPr>
  </w:style>
  <w:style w:type="paragraph" w:styleId="Odstavecseseznamem">
    <w:name w:val="List Paragraph"/>
    <w:basedOn w:val="Normln"/>
    <w:qFormat/>
    <w:pPr>
      <w:ind w:left="708"/>
      <w:jc w:val="left"/>
    </w:pPr>
    <w:rPr>
      <w:sz w:val="18"/>
      <w:szCs w:val="20"/>
    </w:rPr>
  </w:style>
  <w:style w:type="character" w:styleId="Odkaznakoment">
    <w:name w:val="annotation reference"/>
    <w:semiHidden/>
    <w:unhideWhenUsed/>
    <w:rPr>
      <w:sz w:val="16"/>
      <w:szCs w:val="16"/>
    </w:rPr>
  </w:style>
  <w:style w:type="paragraph" w:styleId="Textkomente">
    <w:name w:val="annotation text"/>
    <w:basedOn w:val="Normln"/>
    <w:semiHidden/>
    <w:unhideWhenUsed/>
    <w:pPr>
      <w:jc w:val="left"/>
    </w:pPr>
    <w:rPr>
      <w:szCs w:val="20"/>
      <w:lang/>
    </w:rPr>
  </w:style>
  <w:style w:type="character" w:customStyle="1" w:styleId="TextkomenteChar">
    <w:name w:val="Text komentáře Char"/>
    <w:semiHidden/>
    <w:rPr>
      <w:rFonts w:ascii="Arial" w:eastAsia="Times New Roman" w:hAnsi="Arial"/>
    </w:rPr>
  </w:style>
  <w:style w:type="character" w:customStyle="1" w:styleId="Nadpis2Char">
    <w:name w:val="Nadpis 2 Char"/>
    <w:rPr>
      <w:rFonts w:ascii="Arial" w:eastAsia="Times New Roman" w:hAnsi="Arial" w:cs="Arial"/>
      <w:b/>
      <w:bCs/>
      <w:iCs/>
      <w:sz w:val="24"/>
      <w:szCs w:val="24"/>
    </w:rPr>
  </w:style>
  <w:style w:type="character" w:customStyle="1" w:styleId="Nadpis3Char">
    <w:name w:val="Nadpis 3 Char"/>
    <w:rPr>
      <w:rFonts w:ascii="Cambria" w:eastAsia="Times New Roman" w:hAnsi="Cambria" w:cs="Times New Roman"/>
      <w:b/>
      <w:bCs/>
      <w:sz w:val="26"/>
      <w:szCs w:val="26"/>
    </w:rPr>
  </w:style>
  <w:style w:type="character" w:customStyle="1" w:styleId="Nadpis4Char">
    <w:name w:val="Nadpis 4 Char"/>
    <w:semiHidden/>
    <w:rPr>
      <w:rFonts w:ascii="Calibri" w:eastAsia="Times New Roman" w:hAnsi="Calibri" w:cs="Times New Roman"/>
      <w:b/>
      <w:bCs/>
      <w:sz w:val="28"/>
      <w:szCs w:val="28"/>
    </w:rPr>
  </w:style>
  <w:style w:type="character" w:customStyle="1" w:styleId="Nadpis5Char">
    <w:name w:val="Nadpis 5 Char"/>
    <w:semiHidden/>
    <w:rPr>
      <w:rFonts w:ascii="Calibri" w:eastAsia="Times New Roman" w:hAnsi="Calibri" w:cs="Times New Roman"/>
      <w:b/>
      <w:bCs/>
      <w:i/>
      <w:iCs/>
      <w:sz w:val="26"/>
      <w:szCs w:val="26"/>
    </w:rPr>
  </w:style>
  <w:style w:type="character" w:customStyle="1" w:styleId="Nadpis6Char">
    <w:name w:val="Nadpis 6 Char"/>
    <w:semiHidden/>
    <w:rPr>
      <w:rFonts w:ascii="Calibri" w:eastAsia="Times New Roman" w:hAnsi="Calibri" w:cs="Times New Roman"/>
      <w:b/>
      <w:bCs/>
      <w:sz w:val="22"/>
      <w:szCs w:val="22"/>
    </w:rPr>
  </w:style>
  <w:style w:type="character" w:customStyle="1" w:styleId="Nadpis7Char">
    <w:name w:val="Nadpis 7 Char"/>
    <w:semiHidden/>
    <w:rPr>
      <w:rFonts w:ascii="Calibri" w:eastAsia="Times New Roman" w:hAnsi="Calibri" w:cs="Times New Roman"/>
      <w:sz w:val="24"/>
      <w:szCs w:val="24"/>
    </w:rPr>
  </w:style>
  <w:style w:type="character" w:customStyle="1" w:styleId="Nadpis8Char">
    <w:name w:val="Nadpis 8 Char"/>
    <w:semiHidden/>
    <w:rPr>
      <w:rFonts w:ascii="Calibri" w:eastAsia="Times New Roman" w:hAnsi="Calibri" w:cs="Times New Roman"/>
      <w:i/>
      <w:iCs/>
      <w:sz w:val="24"/>
      <w:szCs w:val="24"/>
    </w:rPr>
  </w:style>
  <w:style w:type="character" w:customStyle="1" w:styleId="Nadpis9Char">
    <w:name w:val="Nadpis 9 Char"/>
    <w:semiHidden/>
    <w:rPr>
      <w:rFonts w:ascii="Cambria" w:eastAsia="Times New Roman" w:hAnsi="Cambria" w:cs="Times New Roman"/>
      <w:sz w:val="22"/>
      <w:szCs w:val="22"/>
    </w:rPr>
  </w:style>
  <w:style w:type="paragraph" w:styleId="Nadpisobsahu">
    <w:name w:val="TOC Heading"/>
    <w:basedOn w:val="Nadpis1"/>
    <w:next w:val="Normln"/>
    <w:qFormat/>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semiHidden/>
    <w:unhideWhenUsed/>
    <w:qFormat/>
    <w:pPr>
      <w:tabs>
        <w:tab w:val="left" w:pos="880"/>
        <w:tab w:val="right" w:leader="dot" w:pos="9628"/>
      </w:tabs>
      <w:spacing w:after="100" w:line="276" w:lineRule="auto"/>
      <w:ind w:left="851" w:hanging="567"/>
      <w:jc w:val="left"/>
    </w:pPr>
    <w:rPr>
      <w:rFonts w:ascii="Calibri" w:hAnsi="Calibri"/>
      <w:sz w:val="22"/>
      <w:szCs w:val="22"/>
    </w:rPr>
  </w:style>
  <w:style w:type="paragraph" w:styleId="Obsah1">
    <w:name w:val="toc 1"/>
    <w:basedOn w:val="Normln"/>
    <w:next w:val="Normln"/>
    <w:autoRedefine/>
    <w:semiHidden/>
    <w:unhideWhenUsed/>
    <w:qFormat/>
    <w:pPr>
      <w:tabs>
        <w:tab w:val="left" w:pos="851"/>
        <w:tab w:val="right" w:leader="dot" w:pos="9628"/>
      </w:tabs>
      <w:spacing w:after="100" w:line="276" w:lineRule="auto"/>
      <w:jc w:val="left"/>
    </w:pPr>
    <w:rPr>
      <w:szCs w:val="22"/>
    </w:rPr>
  </w:style>
  <w:style w:type="paragraph" w:styleId="Obsah3">
    <w:name w:val="toc 3"/>
    <w:basedOn w:val="Normln"/>
    <w:next w:val="Normln"/>
    <w:autoRedefine/>
    <w:semiHidden/>
    <w:unhideWhenUsed/>
    <w:qFormat/>
    <w:pPr>
      <w:tabs>
        <w:tab w:val="right" w:leader="dot" w:pos="9638"/>
      </w:tabs>
      <w:spacing w:after="100" w:line="276" w:lineRule="auto"/>
      <w:ind w:left="446"/>
      <w:jc w:val="left"/>
    </w:pPr>
    <w:rPr>
      <w:rFonts w:ascii="Calibri" w:hAnsi="Calibri"/>
      <w:sz w:val="22"/>
      <w:szCs w:val="22"/>
    </w:rPr>
  </w:style>
  <w:style w:type="paragraph" w:styleId="Bezmezer">
    <w:name w:val="No Spacing"/>
    <w:qFormat/>
    <w:pPr>
      <w:jc w:val="both"/>
    </w:pPr>
    <w:rPr>
      <w:rFonts w:ascii="Arial" w:eastAsia="Times New Roman" w:hAnsi="Arial"/>
      <w:szCs w:val="24"/>
    </w:rPr>
  </w:style>
  <w:style w:type="paragraph" w:styleId="Obsah10">
    <w:name w:val="toc 1"/>
    <w:basedOn w:val="Normln"/>
    <w:next w:val="Normln"/>
    <w:autoRedefine/>
    <w:semiHidden/>
    <w:unhideWhenUsed/>
    <w:qFormat/>
    <w:pPr>
      <w:tabs>
        <w:tab w:val="left" w:pos="851"/>
        <w:tab w:val="right" w:leader="dot" w:pos="9498"/>
      </w:tabs>
      <w:spacing w:after="100" w:line="276" w:lineRule="auto"/>
      <w:jc w:val="left"/>
    </w:pPr>
    <w:rPr>
      <w:szCs w:val="22"/>
    </w:rPr>
  </w:style>
  <w:style w:type="paragraph" w:styleId="Zkladntext">
    <w:name w:val="Body Text"/>
    <w:basedOn w:val="Normln"/>
    <w:semiHidden/>
    <w:rPr>
      <w:color w:val="000000"/>
    </w:rPr>
  </w:style>
  <w:style w:type="paragraph" w:styleId="Zkladntext3">
    <w:name w:val="Body Text 3"/>
    <w:basedOn w:val="Normln"/>
    <w:semiHidden/>
    <w:rPr>
      <w:sz w:val="18"/>
    </w:rPr>
  </w:style>
  <w:style w:type="character" w:styleId="Sledovanodkaz">
    <w:name w:val="FollowedHyperlink"/>
    <w:semiHidden/>
    <w:rPr>
      <w:color w:val="800080"/>
      <w:u w:val="single"/>
    </w:rPr>
  </w:style>
  <w:style w:type="character" w:customStyle="1" w:styleId="card">
    <w:name w:val="card"/>
    <w:basedOn w:val="Standardnpsmoodstavce"/>
  </w:style>
  <w:style w:type="paragraph" w:styleId="Zkladntext2">
    <w:name w:val="Body Text 2"/>
    <w:basedOn w:val="Normln"/>
    <w:semiHidden/>
    <w:pPr>
      <w:jc w:val="left"/>
    </w:pPr>
    <w:rPr>
      <w:b/>
      <w:bCs/>
    </w:rPr>
  </w:style>
  <w:style w:type="paragraph" w:customStyle="1" w:styleId="normalnsodrkami">
    <w:name w:val="normalní s odrážkami"/>
    <w:basedOn w:val="Normln"/>
    <w:pPr>
      <w:numPr>
        <w:numId w:val="19"/>
      </w:numPr>
    </w:pPr>
  </w:style>
  <w:style w:type="paragraph" w:styleId="Normlnweb">
    <w:name w:val="Normal (Web)"/>
    <w:basedOn w:val="Normln"/>
    <w:uiPriority w:val="99"/>
    <w:semiHidden/>
    <w:pPr>
      <w:spacing w:before="100" w:beforeAutospacing="1" w:after="100" w:afterAutospacing="1"/>
      <w:jc w:val="left"/>
    </w:pPr>
    <w:rPr>
      <w:rFonts w:ascii="Arial Unicode MS" w:eastAsia="Arial Unicode MS" w:hAnsi="Arial Unicode MS" w:cs="Arial Unicode MS"/>
      <w:sz w:val="24"/>
    </w:rPr>
  </w:style>
  <w:style w:type="character" w:styleId="Siln">
    <w:name w:val="Strong"/>
    <w:uiPriority w:val="22"/>
    <w:qFormat/>
    <w:rPr>
      <w:b/>
      <w:bCs/>
    </w:rPr>
  </w:style>
  <w:style w:type="paragraph" w:customStyle="1" w:styleId="Default">
    <w:name w:val="Default"/>
    <w:rsid w:val="004D03E4"/>
    <w:pPr>
      <w:autoSpaceDE w:val="0"/>
      <w:autoSpaceDN w:val="0"/>
      <w:adjustRightInd w:val="0"/>
    </w:pPr>
    <w:rPr>
      <w:rFonts w:ascii="Times New Roman" w:hAnsi="Times New Roman"/>
      <w:color w:val="000000"/>
      <w:sz w:val="24"/>
      <w:szCs w:val="24"/>
    </w:rPr>
  </w:style>
  <w:style w:type="paragraph" w:styleId="Textvysvtlivek">
    <w:name w:val="endnote text"/>
    <w:basedOn w:val="Normln"/>
    <w:link w:val="TextvysvtlivekChar"/>
    <w:uiPriority w:val="99"/>
    <w:semiHidden/>
    <w:unhideWhenUsed/>
    <w:rsid w:val="003E13D1"/>
    <w:rPr>
      <w:szCs w:val="20"/>
    </w:rPr>
  </w:style>
  <w:style w:type="character" w:customStyle="1" w:styleId="TextvysvtlivekChar">
    <w:name w:val="Text vysvětlivek Char"/>
    <w:basedOn w:val="Standardnpsmoodstavce"/>
    <w:link w:val="Textvysvtlivek"/>
    <w:uiPriority w:val="99"/>
    <w:semiHidden/>
    <w:rsid w:val="003E13D1"/>
    <w:rPr>
      <w:rFonts w:ascii="Arial" w:eastAsia="Times New Roman" w:hAnsi="Arial"/>
    </w:rPr>
  </w:style>
  <w:style w:type="character" w:styleId="Odkaznavysvtlivky">
    <w:name w:val="endnote reference"/>
    <w:basedOn w:val="Standardnpsmoodstavce"/>
    <w:uiPriority w:val="99"/>
    <w:semiHidden/>
    <w:unhideWhenUsed/>
    <w:rsid w:val="003E13D1"/>
    <w:rPr>
      <w:vertAlign w:val="superscript"/>
    </w:rPr>
  </w:style>
  <w:style w:type="character" w:customStyle="1" w:styleId="hps">
    <w:name w:val="hps"/>
    <w:basedOn w:val="Standardnpsmoodstavce"/>
    <w:rsid w:val="00FF19D7"/>
  </w:style>
</w:styles>
</file>

<file path=word/webSettings.xml><?xml version="1.0" encoding="utf-8"?>
<w:webSettings xmlns:r="http://schemas.openxmlformats.org/officeDocument/2006/relationships" xmlns:w="http://schemas.openxmlformats.org/wordprocessingml/2006/main">
  <w:divs>
    <w:div w:id="239101744">
      <w:bodyDiv w:val="1"/>
      <w:marLeft w:val="0"/>
      <w:marRight w:val="0"/>
      <w:marTop w:val="0"/>
      <w:marBottom w:val="0"/>
      <w:divBdr>
        <w:top w:val="none" w:sz="0" w:space="0" w:color="auto"/>
        <w:left w:val="none" w:sz="0" w:space="0" w:color="auto"/>
        <w:bottom w:val="none" w:sz="0" w:space="0" w:color="auto"/>
        <w:right w:val="none" w:sz="0" w:space="0" w:color="auto"/>
      </w:divBdr>
    </w:div>
    <w:div w:id="445664477">
      <w:bodyDiv w:val="1"/>
      <w:marLeft w:val="0"/>
      <w:marRight w:val="0"/>
      <w:marTop w:val="0"/>
      <w:marBottom w:val="0"/>
      <w:divBdr>
        <w:top w:val="none" w:sz="0" w:space="0" w:color="auto"/>
        <w:left w:val="none" w:sz="0" w:space="0" w:color="auto"/>
        <w:bottom w:val="none" w:sz="0" w:space="0" w:color="auto"/>
        <w:right w:val="none" w:sz="0" w:space="0" w:color="auto"/>
      </w:divBdr>
      <w:divsChild>
        <w:div w:id="779766456">
          <w:marLeft w:val="0"/>
          <w:marRight w:val="0"/>
          <w:marTop w:val="0"/>
          <w:marBottom w:val="0"/>
          <w:divBdr>
            <w:top w:val="none" w:sz="0" w:space="0" w:color="auto"/>
            <w:left w:val="none" w:sz="0" w:space="0" w:color="auto"/>
            <w:bottom w:val="none" w:sz="0" w:space="0" w:color="auto"/>
            <w:right w:val="none" w:sz="0" w:space="0" w:color="auto"/>
          </w:divBdr>
          <w:divsChild>
            <w:div w:id="403795093">
              <w:marLeft w:val="0"/>
              <w:marRight w:val="0"/>
              <w:marTop w:val="0"/>
              <w:marBottom w:val="0"/>
              <w:divBdr>
                <w:top w:val="none" w:sz="0" w:space="0" w:color="auto"/>
                <w:left w:val="none" w:sz="0" w:space="0" w:color="auto"/>
                <w:bottom w:val="none" w:sz="0" w:space="0" w:color="auto"/>
                <w:right w:val="none" w:sz="0" w:space="0" w:color="auto"/>
              </w:divBdr>
              <w:divsChild>
                <w:div w:id="344290132">
                  <w:marLeft w:val="0"/>
                  <w:marRight w:val="0"/>
                  <w:marTop w:val="0"/>
                  <w:marBottom w:val="0"/>
                  <w:divBdr>
                    <w:top w:val="none" w:sz="0" w:space="0" w:color="auto"/>
                    <w:left w:val="none" w:sz="0" w:space="0" w:color="auto"/>
                    <w:bottom w:val="none" w:sz="0" w:space="0" w:color="auto"/>
                    <w:right w:val="none" w:sz="0" w:space="0" w:color="auto"/>
                  </w:divBdr>
                  <w:divsChild>
                    <w:div w:id="1851987086">
                      <w:marLeft w:val="0"/>
                      <w:marRight w:val="0"/>
                      <w:marTop w:val="0"/>
                      <w:marBottom w:val="0"/>
                      <w:divBdr>
                        <w:top w:val="none" w:sz="0" w:space="0" w:color="auto"/>
                        <w:left w:val="none" w:sz="0" w:space="0" w:color="auto"/>
                        <w:bottom w:val="none" w:sz="0" w:space="0" w:color="auto"/>
                        <w:right w:val="none" w:sz="0" w:space="0" w:color="auto"/>
                      </w:divBdr>
                      <w:divsChild>
                        <w:div w:id="783614495">
                          <w:marLeft w:val="0"/>
                          <w:marRight w:val="0"/>
                          <w:marTop w:val="0"/>
                          <w:marBottom w:val="0"/>
                          <w:divBdr>
                            <w:top w:val="none" w:sz="0" w:space="0" w:color="auto"/>
                            <w:left w:val="none" w:sz="0" w:space="0" w:color="auto"/>
                            <w:bottom w:val="none" w:sz="0" w:space="0" w:color="auto"/>
                            <w:right w:val="none" w:sz="0" w:space="0" w:color="auto"/>
                          </w:divBdr>
                          <w:divsChild>
                            <w:div w:id="5438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63967">
      <w:bodyDiv w:val="1"/>
      <w:marLeft w:val="0"/>
      <w:marRight w:val="0"/>
      <w:marTop w:val="0"/>
      <w:marBottom w:val="0"/>
      <w:divBdr>
        <w:top w:val="none" w:sz="0" w:space="0" w:color="auto"/>
        <w:left w:val="none" w:sz="0" w:space="0" w:color="auto"/>
        <w:bottom w:val="none" w:sz="0" w:space="0" w:color="auto"/>
        <w:right w:val="none" w:sz="0" w:space="0" w:color="auto"/>
      </w:divBdr>
    </w:div>
    <w:div w:id="550651446">
      <w:bodyDiv w:val="1"/>
      <w:marLeft w:val="0"/>
      <w:marRight w:val="0"/>
      <w:marTop w:val="0"/>
      <w:marBottom w:val="0"/>
      <w:divBdr>
        <w:top w:val="none" w:sz="0" w:space="0" w:color="auto"/>
        <w:left w:val="none" w:sz="0" w:space="0" w:color="auto"/>
        <w:bottom w:val="none" w:sz="0" w:space="0" w:color="auto"/>
        <w:right w:val="none" w:sz="0" w:space="0" w:color="auto"/>
      </w:divBdr>
    </w:div>
    <w:div w:id="628896432">
      <w:bodyDiv w:val="1"/>
      <w:marLeft w:val="0"/>
      <w:marRight w:val="0"/>
      <w:marTop w:val="0"/>
      <w:marBottom w:val="0"/>
      <w:divBdr>
        <w:top w:val="none" w:sz="0" w:space="0" w:color="auto"/>
        <w:left w:val="none" w:sz="0" w:space="0" w:color="auto"/>
        <w:bottom w:val="none" w:sz="0" w:space="0" w:color="auto"/>
        <w:right w:val="none" w:sz="0" w:space="0" w:color="auto"/>
      </w:divBdr>
    </w:div>
    <w:div w:id="850142910">
      <w:bodyDiv w:val="1"/>
      <w:marLeft w:val="0"/>
      <w:marRight w:val="0"/>
      <w:marTop w:val="0"/>
      <w:marBottom w:val="0"/>
      <w:divBdr>
        <w:top w:val="none" w:sz="0" w:space="0" w:color="auto"/>
        <w:left w:val="none" w:sz="0" w:space="0" w:color="auto"/>
        <w:bottom w:val="none" w:sz="0" w:space="0" w:color="auto"/>
        <w:right w:val="none" w:sz="0" w:space="0" w:color="auto"/>
      </w:divBdr>
    </w:div>
    <w:div w:id="894587641">
      <w:bodyDiv w:val="1"/>
      <w:marLeft w:val="0"/>
      <w:marRight w:val="0"/>
      <w:marTop w:val="0"/>
      <w:marBottom w:val="0"/>
      <w:divBdr>
        <w:top w:val="none" w:sz="0" w:space="0" w:color="auto"/>
        <w:left w:val="none" w:sz="0" w:space="0" w:color="auto"/>
        <w:bottom w:val="none" w:sz="0" w:space="0" w:color="auto"/>
        <w:right w:val="none" w:sz="0" w:space="0" w:color="auto"/>
      </w:divBdr>
    </w:div>
    <w:div w:id="939989794">
      <w:bodyDiv w:val="1"/>
      <w:marLeft w:val="0"/>
      <w:marRight w:val="0"/>
      <w:marTop w:val="0"/>
      <w:marBottom w:val="0"/>
      <w:divBdr>
        <w:top w:val="none" w:sz="0" w:space="0" w:color="auto"/>
        <w:left w:val="none" w:sz="0" w:space="0" w:color="auto"/>
        <w:bottom w:val="none" w:sz="0" w:space="0" w:color="auto"/>
        <w:right w:val="none" w:sz="0" w:space="0" w:color="auto"/>
      </w:divBdr>
    </w:div>
    <w:div w:id="996956910">
      <w:bodyDiv w:val="1"/>
      <w:marLeft w:val="0"/>
      <w:marRight w:val="0"/>
      <w:marTop w:val="0"/>
      <w:marBottom w:val="0"/>
      <w:divBdr>
        <w:top w:val="none" w:sz="0" w:space="0" w:color="auto"/>
        <w:left w:val="none" w:sz="0" w:space="0" w:color="auto"/>
        <w:bottom w:val="none" w:sz="0" w:space="0" w:color="auto"/>
        <w:right w:val="none" w:sz="0" w:space="0" w:color="auto"/>
      </w:divBdr>
    </w:div>
    <w:div w:id="1004750243">
      <w:bodyDiv w:val="1"/>
      <w:marLeft w:val="0"/>
      <w:marRight w:val="0"/>
      <w:marTop w:val="0"/>
      <w:marBottom w:val="0"/>
      <w:divBdr>
        <w:top w:val="none" w:sz="0" w:space="0" w:color="auto"/>
        <w:left w:val="none" w:sz="0" w:space="0" w:color="auto"/>
        <w:bottom w:val="none" w:sz="0" w:space="0" w:color="auto"/>
        <w:right w:val="none" w:sz="0" w:space="0" w:color="auto"/>
      </w:divBdr>
    </w:div>
    <w:div w:id="1141574737">
      <w:bodyDiv w:val="1"/>
      <w:marLeft w:val="0"/>
      <w:marRight w:val="0"/>
      <w:marTop w:val="0"/>
      <w:marBottom w:val="0"/>
      <w:divBdr>
        <w:top w:val="none" w:sz="0" w:space="0" w:color="auto"/>
        <w:left w:val="none" w:sz="0" w:space="0" w:color="auto"/>
        <w:bottom w:val="none" w:sz="0" w:space="0" w:color="auto"/>
        <w:right w:val="none" w:sz="0" w:space="0" w:color="auto"/>
      </w:divBdr>
      <w:divsChild>
        <w:div w:id="447747906">
          <w:marLeft w:val="0"/>
          <w:marRight w:val="0"/>
          <w:marTop w:val="0"/>
          <w:marBottom w:val="0"/>
          <w:divBdr>
            <w:top w:val="none" w:sz="0" w:space="0" w:color="auto"/>
            <w:left w:val="none" w:sz="0" w:space="0" w:color="auto"/>
            <w:bottom w:val="none" w:sz="0" w:space="0" w:color="auto"/>
            <w:right w:val="none" w:sz="0" w:space="0" w:color="auto"/>
          </w:divBdr>
          <w:divsChild>
            <w:div w:id="1726223405">
              <w:marLeft w:val="0"/>
              <w:marRight w:val="0"/>
              <w:marTop w:val="0"/>
              <w:marBottom w:val="0"/>
              <w:divBdr>
                <w:top w:val="none" w:sz="0" w:space="0" w:color="auto"/>
                <w:left w:val="none" w:sz="0" w:space="0" w:color="auto"/>
                <w:bottom w:val="none" w:sz="0" w:space="0" w:color="auto"/>
                <w:right w:val="none" w:sz="0" w:space="0" w:color="auto"/>
              </w:divBdr>
              <w:divsChild>
                <w:div w:id="1306357570">
                  <w:marLeft w:val="0"/>
                  <w:marRight w:val="0"/>
                  <w:marTop w:val="0"/>
                  <w:marBottom w:val="0"/>
                  <w:divBdr>
                    <w:top w:val="none" w:sz="0" w:space="0" w:color="auto"/>
                    <w:left w:val="none" w:sz="0" w:space="0" w:color="auto"/>
                    <w:bottom w:val="none" w:sz="0" w:space="0" w:color="auto"/>
                    <w:right w:val="none" w:sz="0" w:space="0" w:color="auto"/>
                  </w:divBdr>
                  <w:divsChild>
                    <w:div w:id="1593928260">
                      <w:marLeft w:val="0"/>
                      <w:marRight w:val="0"/>
                      <w:marTop w:val="0"/>
                      <w:marBottom w:val="0"/>
                      <w:divBdr>
                        <w:top w:val="none" w:sz="0" w:space="0" w:color="auto"/>
                        <w:left w:val="none" w:sz="0" w:space="0" w:color="auto"/>
                        <w:bottom w:val="none" w:sz="0" w:space="0" w:color="auto"/>
                        <w:right w:val="none" w:sz="0" w:space="0" w:color="auto"/>
                      </w:divBdr>
                      <w:divsChild>
                        <w:div w:id="1835995717">
                          <w:marLeft w:val="0"/>
                          <w:marRight w:val="0"/>
                          <w:marTop w:val="0"/>
                          <w:marBottom w:val="0"/>
                          <w:divBdr>
                            <w:top w:val="none" w:sz="0" w:space="0" w:color="auto"/>
                            <w:left w:val="none" w:sz="0" w:space="0" w:color="auto"/>
                            <w:bottom w:val="none" w:sz="0" w:space="0" w:color="auto"/>
                            <w:right w:val="none" w:sz="0" w:space="0" w:color="auto"/>
                          </w:divBdr>
                          <w:divsChild>
                            <w:div w:id="1345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23828">
      <w:bodyDiv w:val="1"/>
      <w:marLeft w:val="0"/>
      <w:marRight w:val="0"/>
      <w:marTop w:val="0"/>
      <w:marBottom w:val="0"/>
      <w:divBdr>
        <w:top w:val="none" w:sz="0" w:space="0" w:color="auto"/>
        <w:left w:val="none" w:sz="0" w:space="0" w:color="auto"/>
        <w:bottom w:val="none" w:sz="0" w:space="0" w:color="auto"/>
        <w:right w:val="none" w:sz="0" w:space="0" w:color="auto"/>
      </w:divBdr>
    </w:div>
    <w:div w:id="1270157837">
      <w:bodyDiv w:val="1"/>
      <w:marLeft w:val="0"/>
      <w:marRight w:val="0"/>
      <w:marTop w:val="0"/>
      <w:marBottom w:val="0"/>
      <w:divBdr>
        <w:top w:val="none" w:sz="0" w:space="0" w:color="auto"/>
        <w:left w:val="none" w:sz="0" w:space="0" w:color="auto"/>
        <w:bottom w:val="none" w:sz="0" w:space="0" w:color="auto"/>
        <w:right w:val="none" w:sz="0" w:space="0" w:color="auto"/>
      </w:divBdr>
    </w:div>
    <w:div w:id="1372924770">
      <w:bodyDiv w:val="1"/>
      <w:marLeft w:val="0"/>
      <w:marRight w:val="0"/>
      <w:marTop w:val="0"/>
      <w:marBottom w:val="0"/>
      <w:divBdr>
        <w:top w:val="none" w:sz="0" w:space="0" w:color="auto"/>
        <w:left w:val="none" w:sz="0" w:space="0" w:color="auto"/>
        <w:bottom w:val="none" w:sz="0" w:space="0" w:color="auto"/>
        <w:right w:val="none" w:sz="0" w:space="0" w:color="auto"/>
      </w:divBdr>
    </w:div>
    <w:div w:id="1414812567">
      <w:bodyDiv w:val="1"/>
      <w:marLeft w:val="0"/>
      <w:marRight w:val="0"/>
      <w:marTop w:val="0"/>
      <w:marBottom w:val="0"/>
      <w:divBdr>
        <w:top w:val="none" w:sz="0" w:space="0" w:color="auto"/>
        <w:left w:val="none" w:sz="0" w:space="0" w:color="auto"/>
        <w:bottom w:val="none" w:sz="0" w:space="0" w:color="auto"/>
        <w:right w:val="none" w:sz="0" w:space="0" w:color="auto"/>
      </w:divBdr>
    </w:div>
    <w:div w:id="1432818069">
      <w:bodyDiv w:val="1"/>
      <w:marLeft w:val="0"/>
      <w:marRight w:val="0"/>
      <w:marTop w:val="0"/>
      <w:marBottom w:val="0"/>
      <w:divBdr>
        <w:top w:val="none" w:sz="0" w:space="0" w:color="auto"/>
        <w:left w:val="none" w:sz="0" w:space="0" w:color="auto"/>
        <w:bottom w:val="none" w:sz="0" w:space="0" w:color="auto"/>
        <w:right w:val="none" w:sz="0" w:space="0" w:color="auto"/>
      </w:divBdr>
    </w:div>
    <w:div w:id="1445727807">
      <w:bodyDiv w:val="1"/>
      <w:marLeft w:val="0"/>
      <w:marRight w:val="0"/>
      <w:marTop w:val="0"/>
      <w:marBottom w:val="0"/>
      <w:divBdr>
        <w:top w:val="none" w:sz="0" w:space="0" w:color="auto"/>
        <w:left w:val="none" w:sz="0" w:space="0" w:color="auto"/>
        <w:bottom w:val="none" w:sz="0" w:space="0" w:color="auto"/>
        <w:right w:val="none" w:sz="0" w:space="0" w:color="auto"/>
      </w:divBdr>
    </w:div>
    <w:div w:id="1488861535">
      <w:bodyDiv w:val="1"/>
      <w:marLeft w:val="0"/>
      <w:marRight w:val="0"/>
      <w:marTop w:val="0"/>
      <w:marBottom w:val="0"/>
      <w:divBdr>
        <w:top w:val="none" w:sz="0" w:space="0" w:color="auto"/>
        <w:left w:val="none" w:sz="0" w:space="0" w:color="auto"/>
        <w:bottom w:val="none" w:sz="0" w:space="0" w:color="auto"/>
        <w:right w:val="none" w:sz="0" w:space="0" w:color="auto"/>
      </w:divBdr>
    </w:div>
    <w:div w:id="1497958471">
      <w:bodyDiv w:val="1"/>
      <w:marLeft w:val="0"/>
      <w:marRight w:val="0"/>
      <w:marTop w:val="0"/>
      <w:marBottom w:val="0"/>
      <w:divBdr>
        <w:top w:val="none" w:sz="0" w:space="0" w:color="auto"/>
        <w:left w:val="none" w:sz="0" w:space="0" w:color="auto"/>
        <w:bottom w:val="none" w:sz="0" w:space="0" w:color="auto"/>
        <w:right w:val="none" w:sz="0" w:space="0" w:color="auto"/>
      </w:divBdr>
    </w:div>
    <w:div w:id="1527715507">
      <w:bodyDiv w:val="1"/>
      <w:marLeft w:val="0"/>
      <w:marRight w:val="0"/>
      <w:marTop w:val="0"/>
      <w:marBottom w:val="0"/>
      <w:divBdr>
        <w:top w:val="none" w:sz="0" w:space="0" w:color="auto"/>
        <w:left w:val="none" w:sz="0" w:space="0" w:color="auto"/>
        <w:bottom w:val="none" w:sz="0" w:space="0" w:color="auto"/>
        <w:right w:val="none" w:sz="0" w:space="0" w:color="auto"/>
      </w:divBdr>
    </w:div>
    <w:div w:id="1578202072">
      <w:bodyDiv w:val="1"/>
      <w:marLeft w:val="0"/>
      <w:marRight w:val="0"/>
      <w:marTop w:val="0"/>
      <w:marBottom w:val="0"/>
      <w:divBdr>
        <w:top w:val="none" w:sz="0" w:space="0" w:color="auto"/>
        <w:left w:val="none" w:sz="0" w:space="0" w:color="auto"/>
        <w:bottom w:val="none" w:sz="0" w:space="0" w:color="auto"/>
        <w:right w:val="none" w:sz="0" w:space="0" w:color="auto"/>
      </w:divBdr>
    </w:div>
    <w:div w:id="1596356724">
      <w:bodyDiv w:val="1"/>
      <w:marLeft w:val="0"/>
      <w:marRight w:val="0"/>
      <w:marTop w:val="0"/>
      <w:marBottom w:val="0"/>
      <w:divBdr>
        <w:top w:val="none" w:sz="0" w:space="0" w:color="auto"/>
        <w:left w:val="none" w:sz="0" w:space="0" w:color="auto"/>
        <w:bottom w:val="none" w:sz="0" w:space="0" w:color="auto"/>
        <w:right w:val="none" w:sz="0" w:space="0" w:color="auto"/>
      </w:divBdr>
    </w:div>
    <w:div w:id="1713770986">
      <w:bodyDiv w:val="1"/>
      <w:marLeft w:val="0"/>
      <w:marRight w:val="0"/>
      <w:marTop w:val="0"/>
      <w:marBottom w:val="0"/>
      <w:divBdr>
        <w:top w:val="none" w:sz="0" w:space="0" w:color="auto"/>
        <w:left w:val="none" w:sz="0" w:space="0" w:color="auto"/>
        <w:bottom w:val="none" w:sz="0" w:space="0" w:color="auto"/>
        <w:right w:val="none" w:sz="0" w:space="0" w:color="auto"/>
      </w:divBdr>
    </w:div>
    <w:div w:id="1793011009">
      <w:bodyDiv w:val="1"/>
      <w:marLeft w:val="0"/>
      <w:marRight w:val="0"/>
      <w:marTop w:val="0"/>
      <w:marBottom w:val="0"/>
      <w:divBdr>
        <w:top w:val="none" w:sz="0" w:space="0" w:color="auto"/>
        <w:left w:val="none" w:sz="0" w:space="0" w:color="auto"/>
        <w:bottom w:val="none" w:sz="0" w:space="0" w:color="auto"/>
        <w:right w:val="none" w:sz="0" w:space="0" w:color="auto"/>
      </w:divBdr>
    </w:div>
    <w:div w:id="1851749484">
      <w:bodyDiv w:val="1"/>
      <w:marLeft w:val="0"/>
      <w:marRight w:val="0"/>
      <w:marTop w:val="0"/>
      <w:marBottom w:val="0"/>
      <w:divBdr>
        <w:top w:val="none" w:sz="0" w:space="0" w:color="auto"/>
        <w:left w:val="none" w:sz="0" w:space="0" w:color="auto"/>
        <w:bottom w:val="none" w:sz="0" w:space="0" w:color="auto"/>
        <w:right w:val="none" w:sz="0" w:space="0" w:color="auto"/>
      </w:divBdr>
      <w:divsChild>
        <w:div w:id="899826625">
          <w:marLeft w:val="0"/>
          <w:marRight w:val="0"/>
          <w:marTop w:val="0"/>
          <w:marBottom w:val="0"/>
          <w:divBdr>
            <w:top w:val="none" w:sz="0" w:space="0" w:color="auto"/>
            <w:left w:val="none" w:sz="0" w:space="0" w:color="auto"/>
            <w:bottom w:val="none" w:sz="0" w:space="0" w:color="auto"/>
            <w:right w:val="none" w:sz="0" w:space="0" w:color="auto"/>
          </w:divBdr>
          <w:divsChild>
            <w:div w:id="1126435972">
              <w:marLeft w:val="0"/>
              <w:marRight w:val="0"/>
              <w:marTop w:val="0"/>
              <w:marBottom w:val="0"/>
              <w:divBdr>
                <w:top w:val="none" w:sz="0" w:space="0" w:color="auto"/>
                <w:left w:val="none" w:sz="0" w:space="0" w:color="auto"/>
                <w:bottom w:val="none" w:sz="0" w:space="0" w:color="auto"/>
                <w:right w:val="none" w:sz="0" w:space="0" w:color="auto"/>
              </w:divBdr>
              <w:divsChild>
                <w:div w:id="1253735958">
                  <w:marLeft w:val="0"/>
                  <w:marRight w:val="0"/>
                  <w:marTop w:val="0"/>
                  <w:marBottom w:val="0"/>
                  <w:divBdr>
                    <w:top w:val="none" w:sz="0" w:space="0" w:color="auto"/>
                    <w:left w:val="none" w:sz="0" w:space="0" w:color="auto"/>
                    <w:bottom w:val="none" w:sz="0" w:space="0" w:color="auto"/>
                    <w:right w:val="none" w:sz="0" w:space="0" w:color="auto"/>
                  </w:divBdr>
                  <w:divsChild>
                    <w:div w:id="1136794698">
                      <w:marLeft w:val="0"/>
                      <w:marRight w:val="0"/>
                      <w:marTop w:val="0"/>
                      <w:marBottom w:val="0"/>
                      <w:divBdr>
                        <w:top w:val="none" w:sz="0" w:space="0" w:color="auto"/>
                        <w:left w:val="none" w:sz="0" w:space="0" w:color="auto"/>
                        <w:bottom w:val="none" w:sz="0" w:space="0" w:color="auto"/>
                        <w:right w:val="none" w:sz="0" w:space="0" w:color="auto"/>
                      </w:divBdr>
                      <w:divsChild>
                        <w:div w:id="545141742">
                          <w:marLeft w:val="0"/>
                          <w:marRight w:val="0"/>
                          <w:marTop w:val="0"/>
                          <w:marBottom w:val="0"/>
                          <w:divBdr>
                            <w:top w:val="none" w:sz="0" w:space="0" w:color="auto"/>
                            <w:left w:val="none" w:sz="0" w:space="0" w:color="auto"/>
                            <w:bottom w:val="none" w:sz="0" w:space="0" w:color="auto"/>
                            <w:right w:val="none" w:sz="0" w:space="0" w:color="auto"/>
                          </w:divBdr>
                          <w:divsChild>
                            <w:div w:id="3373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71729">
      <w:bodyDiv w:val="1"/>
      <w:marLeft w:val="0"/>
      <w:marRight w:val="0"/>
      <w:marTop w:val="0"/>
      <w:marBottom w:val="0"/>
      <w:divBdr>
        <w:top w:val="none" w:sz="0" w:space="0" w:color="auto"/>
        <w:left w:val="none" w:sz="0" w:space="0" w:color="auto"/>
        <w:bottom w:val="none" w:sz="0" w:space="0" w:color="auto"/>
        <w:right w:val="none" w:sz="0" w:space="0" w:color="auto"/>
      </w:divBdr>
    </w:div>
    <w:div w:id="2020741819">
      <w:bodyDiv w:val="1"/>
      <w:marLeft w:val="0"/>
      <w:marRight w:val="0"/>
      <w:marTop w:val="0"/>
      <w:marBottom w:val="0"/>
      <w:divBdr>
        <w:top w:val="none" w:sz="0" w:space="0" w:color="auto"/>
        <w:left w:val="none" w:sz="0" w:space="0" w:color="auto"/>
        <w:bottom w:val="none" w:sz="0" w:space="0" w:color="auto"/>
        <w:right w:val="none" w:sz="0" w:space="0" w:color="auto"/>
      </w:divBdr>
    </w:div>
    <w:div w:id="21096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257BC-C720-48A7-9FEA-A1D8BF05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4905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VÍCETÉMATICKÉ INFORMACE</vt:lpstr>
    </vt:vector>
  </TitlesOfParts>
  <Company>ČSÚ</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VÍCETÉMATICKÉ INFORMACE</dc:title>
  <dc:creator>SystemService</dc:creator>
  <cp:lastModifiedBy>Jiří Kamenický</cp:lastModifiedBy>
  <cp:revision>2</cp:revision>
  <cp:lastPrinted>2014-06-02T17:09:00Z</cp:lastPrinted>
  <dcterms:created xsi:type="dcterms:W3CDTF">2014-10-24T06:32:00Z</dcterms:created>
  <dcterms:modified xsi:type="dcterms:W3CDTF">2014-10-24T06:32:00Z</dcterms:modified>
</cp:coreProperties>
</file>