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3D2D" w14:textId="2384E1E4" w:rsidR="00EF371C" w:rsidRPr="00F204DA" w:rsidRDefault="00EF371C" w:rsidP="00EF371C">
      <w:pPr>
        <w:pStyle w:val="Nadpis1"/>
      </w:pPr>
      <w:bookmarkStart w:id="0" w:name="_Toc224903148"/>
      <w:bookmarkStart w:id="1" w:name="_Toc193366677"/>
      <w:bookmarkStart w:id="2" w:name="_Toc232503735"/>
      <w:r>
        <w:t>4</w:t>
      </w:r>
      <w:bookmarkStart w:id="3" w:name="_Toc19090679"/>
      <w:bookmarkStart w:id="4" w:name="_Toc74643856"/>
      <w:bookmarkStart w:id="5" w:name="_Toc42852411"/>
      <w:bookmarkStart w:id="6" w:name="_Toc74643857"/>
      <w:bookmarkEnd w:id="3"/>
      <w:r>
        <w:t>. Vnější vztahy</w:t>
      </w:r>
      <w:bookmarkEnd w:id="0"/>
      <w:bookmarkEnd w:id="2"/>
    </w:p>
    <w:tbl>
      <w:tblPr>
        <w:tblW w:w="9677" w:type="dxa"/>
        <w:tblInd w:w="-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16"/>
        <w:gridCol w:w="284"/>
        <w:gridCol w:w="2811"/>
        <w:gridCol w:w="57"/>
        <w:gridCol w:w="4809"/>
      </w:tblGrid>
      <w:tr w:rsidR="00EF371C" w14:paraId="1DFCFFEB" w14:textId="77777777" w:rsidTr="00675BD1">
        <w:trPr>
          <w:trHeight w:val="145"/>
        </w:trPr>
        <w:tc>
          <w:tcPr>
            <w:tcW w:w="1716" w:type="dxa"/>
            <w:hideMark/>
          </w:tcPr>
          <w:p w14:paraId="21BDC097" w14:textId="77777777" w:rsidR="00EF371C" w:rsidRDefault="00EF371C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 xml:space="preserve">Hodnota vývozu </w:t>
            </w:r>
            <w:r>
              <w:rPr>
                <w:lang w:eastAsia="en-US"/>
              </w:rPr>
              <w:br/>
              <w:t>v 1. čtvrtletí 2026 meziročně vzrostla.</w:t>
            </w:r>
          </w:p>
        </w:tc>
        <w:tc>
          <w:tcPr>
            <w:tcW w:w="284" w:type="dxa"/>
          </w:tcPr>
          <w:p w14:paraId="07922126" w14:textId="77777777" w:rsidR="00EF371C" w:rsidRDefault="00EF371C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  <w:hideMark/>
          </w:tcPr>
          <w:p w14:paraId="0C0E5C71" w14:textId="77777777" w:rsidR="00EF371C" w:rsidRDefault="00EF371C" w:rsidP="00675BD1">
            <w:pPr>
              <w:spacing w:after="18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Hodnota exportu zboží</w:t>
            </w:r>
            <w:r>
              <w:rPr>
                <w:rStyle w:val="Znakapoznpodarou"/>
                <w:spacing w:val="-4"/>
                <w:lang w:eastAsia="en-US"/>
              </w:rPr>
              <w:footnoteReference w:id="1"/>
            </w:r>
            <w:r>
              <w:rPr>
                <w:spacing w:val="-4"/>
                <w:lang w:eastAsia="en-US"/>
              </w:rPr>
              <w:t xml:space="preserve"> v 1. čtvrtletí 2026 dosáhla celkem 1 260,0 mld. korun a meziročně se zvýšila o 32,9 mld. (2,7 %). I přes silnou srovnávací základnu začátku loňského roku meziroční růst hodnoty vývozu v letošním 1. čtvrtletí posílil oproti předchozím dvěma kvartálům. Výraznějšímu meziročnímu růstu hodnoty exportu zabránil meziroční pokles cen</w:t>
            </w:r>
            <w:r>
              <w:rPr>
                <w:rStyle w:val="Znakapoznpodarou"/>
                <w:spacing w:val="-4"/>
                <w:lang w:eastAsia="en-US"/>
              </w:rPr>
              <w:footnoteReference w:id="2"/>
            </w:r>
            <w:r>
              <w:rPr>
                <w:spacing w:val="-4"/>
                <w:lang w:eastAsia="en-US"/>
              </w:rPr>
              <w:t>.  Podle sezónně očištěných údajů hodnota exportu v 1. kvartálu mezičtvrtletně vzrostla o 2,8 %.</w:t>
            </w:r>
          </w:p>
        </w:tc>
      </w:tr>
      <w:tr w:rsidR="00EF371C" w14:paraId="1CA16EF6" w14:textId="77777777" w:rsidTr="00675BD1">
        <w:trPr>
          <w:trHeight w:val="150"/>
        </w:trPr>
        <w:tc>
          <w:tcPr>
            <w:tcW w:w="1716" w:type="dxa"/>
            <w:vMerge w:val="restart"/>
          </w:tcPr>
          <w:p w14:paraId="0DF29BF0" w14:textId="77777777" w:rsidR="00EF371C" w:rsidRDefault="00EF371C" w:rsidP="00675BD1">
            <w:pPr>
              <w:pStyle w:val="Marginlie"/>
              <w:rPr>
                <w:lang w:eastAsia="en-US"/>
              </w:rPr>
            </w:pPr>
          </w:p>
        </w:tc>
        <w:tc>
          <w:tcPr>
            <w:tcW w:w="284" w:type="dxa"/>
            <w:vMerge w:val="restart"/>
          </w:tcPr>
          <w:p w14:paraId="2F54F731" w14:textId="77777777" w:rsidR="00EF371C" w:rsidRDefault="00EF371C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699BE4B2" w14:textId="376F18CC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>Graf č. </w:t>
            </w:r>
            <w:r w:rsidR="00712600">
              <w:rPr>
                <w:rFonts w:cs="Arial"/>
                <w:b/>
                <w:bCs/>
                <w:color w:val="000000"/>
                <w:szCs w:val="20"/>
                <w:lang w:eastAsia="en-US"/>
              </w:rPr>
              <w:t>9</w:t>
            </w: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Vývoz a dovoz zboží </w:t>
            </w:r>
            <w:r>
              <w:rPr>
                <w:rFonts w:cs="Arial"/>
                <w:bCs/>
                <w:color w:val="000000"/>
                <w:szCs w:val="20"/>
                <w:lang w:eastAsia="en-US"/>
              </w:rPr>
              <w:t>(meziročně v %)</w:t>
            </w: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a bilance zahraničního obchodu se zbožím </w:t>
            </w:r>
            <w:r>
              <w:rPr>
                <w:rFonts w:cs="Arial"/>
                <w:bCs/>
                <w:color w:val="000000"/>
                <w:szCs w:val="20"/>
                <w:lang w:eastAsia="en-US"/>
              </w:rPr>
              <w:t>(v mld. korun, pravá osa)</w:t>
            </w: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</w:t>
            </w:r>
          </w:p>
        </w:tc>
      </w:tr>
      <w:tr w:rsidR="00EF371C" w14:paraId="25A4847E" w14:textId="77777777" w:rsidTr="00675BD1">
        <w:tblPrEx>
          <w:tblCellMar>
            <w:left w:w="70" w:type="dxa"/>
            <w:right w:w="70" w:type="dxa"/>
          </w:tblCellMar>
        </w:tblPrEx>
        <w:trPr>
          <w:trHeight w:val="150"/>
        </w:trPr>
        <w:tc>
          <w:tcPr>
            <w:tcW w:w="1716" w:type="dxa"/>
            <w:vMerge/>
          </w:tcPr>
          <w:p w14:paraId="782A953A" w14:textId="77777777" w:rsidR="00EF371C" w:rsidRDefault="00EF371C" w:rsidP="00675BD1">
            <w:pPr>
              <w:pStyle w:val="Marginlie"/>
              <w:rPr>
                <w:lang w:eastAsia="en-US"/>
              </w:rPr>
            </w:pPr>
          </w:p>
        </w:tc>
        <w:tc>
          <w:tcPr>
            <w:tcW w:w="284" w:type="dxa"/>
            <w:vMerge/>
          </w:tcPr>
          <w:p w14:paraId="14ABC550" w14:textId="77777777" w:rsidR="00EF371C" w:rsidRDefault="00EF371C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1CBD4FA1" w14:textId="62C819DB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5271143" wp14:editId="62BDD36A">
                  <wp:extent cx="4752000" cy="3492000"/>
                  <wp:effectExtent l="0" t="0" r="0" b="0"/>
                  <wp:docPr id="654981300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EF371C" w14:paraId="35981C2D" w14:textId="77777777" w:rsidTr="00675BD1">
        <w:trPr>
          <w:trHeight w:val="150"/>
        </w:trPr>
        <w:tc>
          <w:tcPr>
            <w:tcW w:w="1716" w:type="dxa"/>
            <w:vMerge/>
          </w:tcPr>
          <w:p w14:paraId="337BA7AC" w14:textId="77777777" w:rsidR="00EF371C" w:rsidRDefault="00EF371C" w:rsidP="00675BD1">
            <w:pPr>
              <w:pStyle w:val="Marginlie"/>
              <w:rPr>
                <w:lang w:eastAsia="en-US"/>
              </w:rPr>
            </w:pPr>
          </w:p>
        </w:tc>
        <w:tc>
          <w:tcPr>
            <w:tcW w:w="284" w:type="dxa"/>
            <w:vMerge/>
          </w:tcPr>
          <w:p w14:paraId="29DC396B" w14:textId="77777777" w:rsidR="00EF371C" w:rsidRDefault="00EF371C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00937FBD" w14:textId="77777777" w:rsidR="00EF371C" w:rsidRDefault="00EF371C" w:rsidP="00675BD1">
            <w:pPr>
              <w:spacing w:after="180"/>
              <w:rPr>
                <w:spacing w:val="-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EF371C" w14:paraId="055EB7B6" w14:textId="77777777" w:rsidTr="00675BD1">
        <w:trPr>
          <w:trHeight w:val="145"/>
        </w:trPr>
        <w:tc>
          <w:tcPr>
            <w:tcW w:w="1716" w:type="dxa"/>
          </w:tcPr>
          <w:p w14:paraId="277DABC3" w14:textId="77777777" w:rsidR="00EF371C" w:rsidRDefault="00EF371C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Růst exportu táhl vývoz do EU.</w:t>
            </w:r>
          </w:p>
        </w:tc>
        <w:tc>
          <w:tcPr>
            <w:tcW w:w="284" w:type="dxa"/>
          </w:tcPr>
          <w:p w14:paraId="1B332CBC" w14:textId="77777777" w:rsidR="00EF371C" w:rsidRDefault="00EF371C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1547FA6C" w14:textId="77777777" w:rsidR="00EF371C" w:rsidRDefault="00EF371C" w:rsidP="00675BD1">
            <w:pPr>
              <w:spacing w:after="18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Meziroční růst vývozu zboží v 1. čtvrtletí podpořil výhradně export do zemí EU (+43,8 mld. korun, 4,6 %). Naopak třetí kvartál v řadě meziročně klesla hodnota vývozu mimo EU (−11,2 mld. korun, −4,1 %). K celkovému meziročnímu růstu exportu tak nejvíce přispěl vývoz do Rakouska</w:t>
            </w:r>
            <w:r>
              <w:rPr>
                <w:rStyle w:val="Znakapoznpodarou"/>
                <w:spacing w:val="-4"/>
                <w:lang w:eastAsia="en-US"/>
              </w:rPr>
              <w:footnoteReference w:id="3"/>
            </w:r>
            <w:r>
              <w:rPr>
                <w:spacing w:val="-4"/>
                <w:lang w:eastAsia="en-US"/>
              </w:rPr>
              <w:t>, Itálie a Francie (viz Tabulka č. 2). Z mimoevropských destinací nejvíce vzrostl export do Jižní Koreje a významný přírůstek byl patrný rovněž u Španělska, Bulharska nebo Polska. Za poklesem vývozu mimo EU stál zejména pokračující propad exportu do Spojených států amerických</w:t>
            </w:r>
            <w:r>
              <w:rPr>
                <w:rStyle w:val="Znakapoznpodarou"/>
                <w:spacing w:val="-4"/>
                <w:lang w:eastAsia="en-US"/>
              </w:rPr>
              <w:footnoteReference w:id="4"/>
            </w:r>
            <w:r>
              <w:rPr>
                <w:spacing w:val="-4"/>
                <w:lang w:eastAsia="en-US"/>
              </w:rPr>
              <w:t xml:space="preserve"> a Velké Británie, ale přispěl i pokles u Spojených arabských emirátů</w:t>
            </w:r>
            <w:r>
              <w:rPr>
                <w:rStyle w:val="Znakapoznpodarou"/>
                <w:spacing w:val="-4"/>
                <w:lang w:eastAsia="en-US"/>
              </w:rPr>
              <w:footnoteReference w:id="5"/>
            </w:r>
            <w:r>
              <w:rPr>
                <w:spacing w:val="-4"/>
                <w:lang w:eastAsia="en-US"/>
              </w:rPr>
              <w:t>. Pokles byl zachycen také u vývozu do Německa</w:t>
            </w:r>
            <w:r>
              <w:rPr>
                <w:rStyle w:val="Znakapoznpodarou"/>
                <w:spacing w:val="-4"/>
                <w:lang w:eastAsia="en-US"/>
              </w:rPr>
              <w:footnoteReference w:id="6"/>
            </w:r>
            <w:r>
              <w:rPr>
                <w:spacing w:val="-4"/>
                <w:lang w:eastAsia="en-US"/>
              </w:rPr>
              <w:t>.</w:t>
            </w:r>
          </w:p>
        </w:tc>
      </w:tr>
      <w:tr w:rsidR="00EF371C" w14:paraId="283CB80C" w14:textId="77777777" w:rsidTr="00675BD1">
        <w:trPr>
          <w:trHeight w:val="145"/>
        </w:trPr>
        <w:tc>
          <w:tcPr>
            <w:tcW w:w="1716" w:type="dxa"/>
          </w:tcPr>
          <w:p w14:paraId="1DBA769E" w14:textId="77777777" w:rsidR="00EF371C" w:rsidRDefault="00EF371C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 xml:space="preserve">Rostl vývoz ve většině oddílů klasifikace produkce. </w:t>
            </w:r>
          </w:p>
        </w:tc>
        <w:tc>
          <w:tcPr>
            <w:tcW w:w="284" w:type="dxa"/>
          </w:tcPr>
          <w:p w14:paraId="15655967" w14:textId="77777777" w:rsidR="00EF371C" w:rsidRDefault="00EF371C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6C237B43" w14:textId="77777777" w:rsidR="00EF371C" w:rsidRDefault="00EF371C" w:rsidP="00675BD1">
            <w:pPr>
              <w:spacing w:after="18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V 1. čtvrtletí po oslabení z konce loňského roku opět posílil meziroční nárůst hodnoty exportu u řady sledovaných artiklů. Celkový meziroční nárůst hodnoty exportu zboží byl v 1. čtvrtletí podpořen zejména zvýšením u strojů a zařízení, motorových vozidel a dílů a počítačů, elektronických a optických přístrojů a zařízení (viz Tabulka č. 1). Prudký meziroční nárůst byl zaznamenán také u vývozu ropy a zemního plynu a z poklesu se dostal </w:t>
            </w:r>
            <w:r>
              <w:rPr>
                <w:spacing w:val="-4"/>
                <w:lang w:eastAsia="en-US"/>
              </w:rPr>
              <w:lastRenderedPageBreak/>
              <w:t>export elektrických zařízení. Meziroční přírůstek si udržoval export ostatních dopravních prostředků a zařízení, ostatních výrobků zpracovatelského průmyslu a základních farmaceutických výrobků a přípravků. Vývoz meziročně klesl u menšiny sledovaných oddílů a šlo zejména o drobnější obory zpracovatelského průmyslu. Největší poklesy vývozu byly zachyceny u koksu a rafinovaných ropných výrobků a v papírenství a další snížení nepřesáhla 1 mld. korun.</w:t>
            </w:r>
          </w:p>
        </w:tc>
      </w:tr>
      <w:tr w:rsidR="00EF371C" w14:paraId="7BF36BED" w14:textId="77777777" w:rsidTr="00675BD1">
        <w:trPr>
          <w:trHeight w:val="170"/>
        </w:trPr>
        <w:tc>
          <w:tcPr>
            <w:tcW w:w="4811" w:type="dxa"/>
            <w:gridSpan w:val="3"/>
            <w:hideMark/>
          </w:tcPr>
          <w:p w14:paraId="3C6D5DD4" w14:textId="77777777" w:rsidR="00EF371C" w:rsidRDefault="00EF371C" w:rsidP="00675BD1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Tabulka č. 1 Oddíly klasifikace CPA s největším </w:t>
            </w:r>
          </w:p>
          <w:p w14:paraId="4AB57411" w14:textId="77777777" w:rsidR="00EF371C" w:rsidRDefault="00EF371C" w:rsidP="00675BD1">
            <w:pPr>
              <w:spacing w:after="0"/>
              <w:jc w:val="left"/>
              <w:rPr>
                <w:spacing w:val="-4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vlivem na vývoj vývozu zboží v 1. čtvrtletí 2026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  <w:tc>
          <w:tcPr>
            <w:tcW w:w="57" w:type="dxa"/>
          </w:tcPr>
          <w:p w14:paraId="2E329927" w14:textId="77777777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662A3300" w14:textId="77777777" w:rsidR="00EF371C" w:rsidRDefault="00EF371C" w:rsidP="00675BD1">
            <w:pPr>
              <w:spacing w:after="0"/>
              <w:jc w:val="left"/>
              <w:rPr>
                <w:spacing w:val="-4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Tabulka č. 2 Země s největším vlivem na vývoj vývozu zboží v 1. čtvrtletí 2026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</w:tr>
      <w:tr w:rsidR="00EF371C" w14:paraId="1F727949" w14:textId="77777777" w:rsidTr="00675BD1">
        <w:trPr>
          <w:trHeight w:val="170"/>
        </w:trPr>
        <w:tc>
          <w:tcPr>
            <w:tcW w:w="4811" w:type="dxa"/>
            <w:gridSpan w:val="3"/>
            <w:hideMark/>
          </w:tcPr>
          <w:tbl>
            <w:tblPr>
              <w:tblW w:w="48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16"/>
              <w:gridCol w:w="700"/>
              <w:gridCol w:w="700"/>
            </w:tblGrid>
            <w:tr w:rsidR="00EF371C" w:rsidRPr="006C5C9A" w14:paraId="1DE6359F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8056A3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8888A7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EF358D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F371C" w:rsidRPr="006C5C9A" w14:paraId="7B6D6E06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3A3CE9C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Stroje a zařízení j. n.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9F2D6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+9,4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5F679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+7,0</w:t>
                  </w:r>
                </w:p>
              </w:tc>
            </w:tr>
            <w:tr w:rsidR="00EF371C" w:rsidRPr="006C5C9A" w14:paraId="127191F8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022D5F1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Motorová vozidla (kromě motocyklů) a díly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763878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+8,4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13D18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+2,4</w:t>
                  </w:r>
                </w:p>
              </w:tc>
            </w:tr>
            <w:tr w:rsidR="00EF371C" w:rsidRPr="006C5C9A" w14:paraId="359F2837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9F99F2D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Počítače, elektron. a opt. přístroje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5C5125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+6,7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1E371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+6,2</w:t>
                  </w:r>
                </w:p>
              </w:tc>
            </w:tr>
            <w:tr w:rsidR="00EF371C" w:rsidRPr="006C5C9A" w14:paraId="1A025B3E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5D6885E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Elektrická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3A5572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+2,6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EC9AFB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+2,1</w:t>
                  </w:r>
                </w:p>
              </w:tc>
            </w:tr>
            <w:tr w:rsidR="00EF371C" w:rsidRPr="006C5C9A" w14:paraId="3936D8F3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7730BA6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Ropa a zemní plyn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92CD00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CF4FD7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+1560</w:t>
                  </w:r>
                </w:p>
              </w:tc>
            </w:tr>
            <w:tr w:rsidR="00EF371C" w:rsidRPr="006C5C9A" w14:paraId="16E1B633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82DC736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Ostatní dopravní prostředky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40096E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69E3F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+8,4</w:t>
                  </w:r>
                </w:p>
              </w:tc>
            </w:tr>
            <w:tr w:rsidR="00EF371C" w:rsidRPr="006C5C9A" w14:paraId="64D3963A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C1777CD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Ostatní výrobky zpracovatelského průmyslu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5BD2EE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7DE2F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+5,6</w:t>
                  </w:r>
                </w:p>
              </w:tc>
            </w:tr>
            <w:tr w:rsidR="00EF371C" w:rsidRPr="006C5C9A" w14:paraId="3FA486F0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437114E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Základní farmaceutické výrobky a přípravky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F95D4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43E491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+7,7</w:t>
                  </w:r>
                </w:p>
              </w:tc>
            </w:tr>
            <w:tr w:rsidR="00EF371C" w:rsidRPr="006C5C9A" w14:paraId="71304E46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5D96D1F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Sběr, likvidace a zpracování odpadu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3C0020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DD9881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+10,3</w:t>
                  </w:r>
                </w:p>
              </w:tc>
            </w:tr>
            <w:tr w:rsidR="00EF371C" w:rsidRPr="006C5C9A" w14:paraId="21D8515C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537C339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Základní kovy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493BD9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9BB04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+2,4</w:t>
                  </w:r>
                </w:p>
              </w:tc>
            </w:tr>
            <w:tr w:rsidR="00EF371C" w:rsidRPr="006C5C9A" w14:paraId="6E6AB089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2B60626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Produkty zemědělství a myslivosti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69D79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3F13E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+6,4</w:t>
                  </w:r>
                </w:p>
              </w:tc>
            </w:tr>
            <w:tr w:rsidR="00EF371C" w:rsidRPr="006C5C9A" w14:paraId="6A48AF74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E036FE2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Potravinářské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E7EB2C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+0,7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35C80F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+1,4</w:t>
                  </w:r>
                </w:p>
              </w:tc>
            </w:tr>
            <w:tr w:rsidR="00EF371C" w:rsidRPr="006C5C9A" w14:paraId="4036B3CB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17FE457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Elektřina, plyn, pára a klimatizovaný vzduch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678000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0,8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641C9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3,9</w:t>
                  </w:r>
                </w:p>
              </w:tc>
            </w:tr>
            <w:tr w:rsidR="00EF371C" w:rsidRPr="006C5C9A" w14:paraId="69A2BB86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D9C470B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Papír a výrobky z papíru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5E31BC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1,4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6D0BE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6,7</w:t>
                  </w:r>
                </w:p>
              </w:tc>
            </w:tr>
            <w:tr w:rsidR="00EF371C" w:rsidRPr="006C5C9A" w14:paraId="51DCC37A" w14:textId="77777777" w:rsidTr="00675BD1">
              <w:trPr>
                <w:trHeight w:val="25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300EDDB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Koks a rafinované ropné produkty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B1ACCB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1,8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3ED777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14,7</w:t>
                  </w:r>
                </w:p>
              </w:tc>
            </w:tr>
          </w:tbl>
          <w:p w14:paraId="1D43F198" w14:textId="77777777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57" w:type="dxa"/>
          </w:tcPr>
          <w:p w14:paraId="529818A1" w14:textId="77777777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tbl>
            <w:tblPr>
              <w:tblW w:w="477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73"/>
              <w:gridCol w:w="700"/>
              <w:gridCol w:w="700"/>
            </w:tblGrid>
            <w:tr w:rsidR="00EF371C" w:rsidRPr="006C5C9A" w14:paraId="12C95690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5AC1C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87CEB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3D3FE7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F371C" w:rsidRPr="006C5C9A" w14:paraId="704C586A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0A9D64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Rakousko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44DF52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+14,7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380609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+32,4</w:t>
                  </w:r>
                </w:p>
              </w:tc>
            </w:tr>
            <w:tr w:rsidR="00EF371C" w:rsidRPr="006C5C9A" w14:paraId="36ED17B0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E8CFD9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Itálie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7A7CB0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+7,4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E695F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+15,2</w:t>
                  </w:r>
                </w:p>
              </w:tc>
            </w:tr>
            <w:tr w:rsidR="00EF371C" w:rsidRPr="006C5C9A" w14:paraId="20128589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B27AED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Francie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22B496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+5,6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693D7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+9,2</w:t>
                  </w:r>
                </w:p>
              </w:tc>
            </w:tr>
            <w:tr w:rsidR="00EF371C" w:rsidRPr="006C5C9A" w14:paraId="5EDFCBCC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9997DD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Jižní Korea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63AA82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+3,3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914A65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+93,0</w:t>
                  </w:r>
                </w:p>
              </w:tc>
            </w:tr>
            <w:tr w:rsidR="00EF371C" w:rsidRPr="006C5C9A" w14:paraId="038F617C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9A3969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Španělsko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9944FE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+3,1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F88191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+9,6</w:t>
                  </w:r>
                </w:p>
              </w:tc>
            </w:tr>
            <w:tr w:rsidR="00EF371C" w:rsidRPr="006C5C9A" w14:paraId="07280E81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9B824D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Polsko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E29CEA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+2,9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AA87C9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+3,3</w:t>
                  </w:r>
                </w:p>
              </w:tc>
            </w:tr>
            <w:tr w:rsidR="00EF371C" w:rsidRPr="006C5C9A" w14:paraId="4B90BFE8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C10E4E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Bulharsko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4E9CF4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E81594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+34,1</w:t>
                  </w:r>
                </w:p>
              </w:tc>
            </w:tr>
            <w:tr w:rsidR="00EF371C" w:rsidRPr="006C5C9A" w14:paraId="02229668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F0BEA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Maďarsko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18C150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+2,6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BCE177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+7,4</w:t>
                  </w:r>
                </w:p>
              </w:tc>
            </w:tr>
            <w:tr w:rsidR="00EF371C" w:rsidRPr="006C5C9A" w14:paraId="1797372A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F0D725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Švýcarsko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7A653C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+2,1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A8181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+10,1</w:t>
                  </w:r>
                </w:p>
              </w:tc>
            </w:tr>
            <w:tr w:rsidR="00EF371C" w:rsidRPr="006C5C9A" w14:paraId="608E8AF2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BFF21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Belgie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E769A7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+2,0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CD359C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+7,1</w:t>
                  </w:r>
                </w:p>
              </w:tc>
            </w:tr>
            <w:tr w:rsidR="00EF371C" w:rsidRPr="006C5C9A" w14:paraId="17A627AA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5479F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Švédsko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497335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+1,7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586EE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+8,8</w:t>
                  </w:r>
                </w:p>
              </w:tc>
            </w:tr>
            <w:tr w:rsidR="00EF371C" w:rsidRPr="006C5C9A" w14:paraId="4828E450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4C5802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Spojené arabské emiráty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D927DB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DAE24F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43,7</w:t>
                  </w:r>
                </w:p>
              </w:tc>
            </w:tr>
            <w:tr w:rsidR="00EF371C" w:rsidRPr="006C5C9A" w14:paraId="6180964B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CBB551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Německo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F7BF9E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7EC60B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1,1</w:t>
                  </w:r>
                </w:p>
              </w:tc>
            </w:tr>
            <w:tr w:rsidR="00EF371C" w:rsidRPr="006C5C9A" w14:paraId="1AB1AFF2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12B6A8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Velká Británie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604B9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4,1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20282B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6,7</w:t>
                  </w:r>
                </w:p>
              </w:tc>
            </w:tr>
            <w:tr w:rsidR="00EF371C" w:rsidRPr="006C5C9A" w14:paraId="6B87A747" w14:textId="77777777" w:rsidTr="00675BD1">
              <w:trPr>
                <w:trHeight w:val="255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B7A4D7" w14:textId="77777777" w:rsidR="00EF371C" w:rsidRPr="006C5C9A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Spojené státy</w:t>
                  </w: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 americké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BA258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5,8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D00CCA" w14:textId="77777777" w:rsidR="00EF371C" w:rsidRPr="006C5C9A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6C5C9A">
                    <w:rPr>
                      <w:rFonts w:cs="Arial"/>
                      <w:color w:val="000000"/>
                      <w:sz w:val="16"/>
                      <w:szCs w:val="16"/>
                    </w:rPr>
                    <w:t>15,5</w:t>
                  </w:r>
                </w:p>
              </w:tc>
            </w:tr>
          </w:tbl>
          <w:p w14:paraId="4E293F69" w14:textId="77777777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</w:p>
        </w:tc>
      </w:tr>
      <w:tr w:rsidR="00EF371C" w14:paraId="3379D5E9" w14:textId="77777777" w:rsidTr="00675BD1">
        <w:trPr>
          <w:trHeight w:val="170"/>
        </w:trPr>
        <w:tc>
          <w:tcPr>
            <w:tcW w:w="4811" w:type="dxa"/>
            <w:gridSpan w:val="3"/>
            <w:hideMark/>
          </w:tcPr>
          <w:p w14:paraId="05A3ACB5" w14:textId="77777777" w:rsidR="00EF371C" w:rsidRDefault="00EF371C" w:rsidP="00675BD1">
            <w:pPr>
              <w:jc w:val="left"/>
              <w:rPr>
                <w:spacing w:val="-4"/>
                <w:sz w:val="16"/>
                <w:szCs w:val="16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  <w:tc>
          <w:tcPr>
            <w:tcW w:w="57" w:type="dxa"/>
          </w:tcPr>
          <w:p w14:paraId="73253E4B" w14:textId="77777777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76D3B954" w14:textId="77777777" w:rsidR="00EF371C" w:rsidRDefault="00EF371C" w:rsidP="00675BD1">
            <w:pPr>
              <w:spacing w:after="0"/>
              <w:ind w:right="21"/>
              <w:jc w:val="left"/>
              <w:rPr>
                <w:spacing w:val="-4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</w:tr>
      <w:tr w:rsidR="00EF371C" w14:paraId="4379624E" w14:textId="77777777" w:rsidTr="00675BD1">
        <w:trPr>
          <w:trHeight w:val="145"/>
        </w:trPr>
        <w:tc>
          <w:tcPr>
            <w:tcW w:w="1716" w:type="dxa"/>
          </w:tcPr>
          <w:p w14:paraId="64101200" w14:textId="77777777" w:rsidR="00EF371C" w:rsidRDefault="00EF371C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Dovoz rostl silněji než vývoz.</w:t>
            </w:r>
          </w:p>
        </w:tc>
        <w:tc>
          <w:tcPr>
            <w:tcW w:w="284" w:type="dxa"/>
          </w:tcPr>
          <w:p w14:paraId="578F7958" w14:textId="77777777" w:rsidR="00EF371C" w:rsidRDefault="00EF371C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  <w:hideMark/>
          </w:tcPr>
          <w:p w14:paraId="362EFBA9" w14:textId="77777777" w:rsidR="00EF371C" w:rsidRDefault="00EF371C" w:rsidP="00675BD1">
            <w:pPr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Hodnota dovozu zboží v 1. čtvrtletí 2026 dosáhla 1 189,5 mld. korun a stoupla meziročně o 38,8 mld. (3,4 %). Rovněž u importu cenový vývoj tlumil meziroční dynamiku</w:t>
            </w:r>
            <w:r w:rsidRPr="00C11451">
              <w:rPr>
                <w:rStyle w:val="Znakapoznpodarou"/>
                <w:spacing w:val="-4"/>
                <w:lang w:eastAsia="en-US"/>
              </w:rPr>
              <w:footnoteReference w:id="7"/>
            </w:r>
            <w:r>
              <w:rPr>
                <w:spacing w:val="-4"/>
                <w:lang w:eastAsia="en-US"/>
              </w:rPr>
              <w:t>. Sezónně očištěný dovoz mezičtvrtletně vzrostl o 5,2 %. Výraznější meziroční přírůstek měl v 1. kvartálu import z Evropské unie (+30,0 mld. korun, 4,2 %). Dovoz ze zemí mimo EU byl vyšší o 8,6 mld. korun (2,1 %). Nejvíce meziročně rostl dovoz z nám blízkého Německa (viz Tabulka č. 4), ale téměř se zdvojnásobil také import z Tchaj-wanu</w:t>
            </w:r>
            <w:r>
              <w:rPr>
                <w:rStyle w:val="Znakapoznpodarou"/>
                <w:spacing w:val="-4"/>
                <w:lang w:eastAsia="en-US"/>
              </w:rPr>
              <w:footnoteReference w:id="8"/>
            </w:r>
            <w:r>
              <w:rPr>
                <w:spacing w:val="-4"/>
                <w:lang w:eastAsia="en-US"/>
              </w:rPr>
              <w:t xml:space="preserve"> a výrazné navýšení bylo zaznamenáno také u Maďarska. Více se dováželo rovněž z Polska, Rakouska nebo Číny. Největší pokles měl dovoz z Ruska, snížení se ale po velkém loňském propadu</w:t>
            </w:r>
            <w:r>
              <w:rPr>
                <w:rStyle w:val="Znakapoznpodarou"/>
                <w:spacing w:val="-4"/>
                <w:lang w:eastAsia="en-US"/>
              </w:rPr>
              <w:footnoteReference w:id="9"/>
            </w:r>
            <w:r>
              <w:rPr>
                <w:spacing w:val="-4"/>
                <w:lang w:eastAsia="en-US"/>
              </w:rPr>
              <w:t xml:space="preserve"> zmírnilo. Klesl i dovoz se Spojených států amerických a Slovenska a významné byly i poklesy </w:t>
            </w:r>
            <w:r>
              <w:rPr>
                <w:spacing w:val="-4"/>
                <w:lang w:eastAsia="en-US"/>
              </w:rPr>
              <w:br/>
              <w:t>u asijských destinací, jako jsou Ázerbájdžán, Jižní Korea, Kazachstán nebo Indie.</w:t>
            </w:r>
          </w:p>
        </w:tc>
      </w:tr>
      <w:tr w:rsidR="00EF371C" w14:paraId="68E8E492" w14:textId="77777777" w:rsidTr="00675BD1">
        <w:trPr>
          <w:trHeight w:val="145"/>
        </w:trPr>
        <w:tc>
          <w:tcPr>
            <w:tcW w:w="1716" w:type="dxa"/>
          </w:tcPr>
          <w:p w14:paraId="22BD10FF" w14:textId="77777777" w:rsidR="00EF371C" w:rsidRDefault="00EF371C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Růst dovozu podpořily především počítače, elektronické a optické přístroje.</w:t>
            </w:r>
          </w:p>
        </w:tc>
        <w:tc>
          <w:tcPr>
            <w:tcW w:w="284" w:type="dxa"/>
          </w:tcPr>
          <w:p w14:paraId="4A41C520" w14:textId="77777777" w:rsidR="00EF371C" w:rsidRDefault="00EF371C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57D518CC" w14:textId="77777777" w:rsidR="00EF371C" w:rsidRDefault="00EF371C" w:rsidP="00675BD1">
            <w:pPr>
              <w:spacing w:after="180"/>
              <w:rPr>
                <w:spacing w:val="-4"/>
                <w:szCs w:val="20"/>
                <w:lang w:eastAsia="en-US"/>
              </w:rPr>
            </w:pPr>
            <w:r>
              <w:rPr>
                <w:spacing w:val="-4"/>
                <w:szCs w:val="20"/>
                <w:lang w:eastAsia="en-US"/>
              </w:rPr>
              <w:t xml:space="preserve">K meziročnímu růstu hodnoty dovozu zboží v 1. čtvrtletí se značnou převahou přispělo zejména zvýšení importu počítačů, elektronických a optických přístrojů a zařízení (viz Tabulka č. 3). Vyšší byl i dovoz motorových vozidel a dílů, velmi výrazné navýšení měl import základních farmaceutických výrobků a přípravků, solidní přírůstek byl zaznamenán u strojů a zařízení a základních kovů. Nezanedbatelně meziročně vzrostla také hodnota dovozu elektřiny, plynu, páry a klimatizovaného vzduchu a ostatních výrobků zpracovatelského průmyslu. Nejvýraznější pokles hodnoty dovozu byl zaznamenán u ropy a zemního plynu a dále u kovodělných výrobků, u kterých pokračoval propad dynamiky započatý na konci loňského roku. Významně se snižoval také import ostatních dopravních prostředků a zařízení a oděvů. </w:t>
            </w:r>
          </w:p>
          <w:p w14:paraId="58344932" w14:textId="77777777" w:rsidR="00875B99" w:rsidRDefault="00875B99" w:rsidP="00675BD1">
            <w:pPr>
              <w:spacing w:after="180"/>
              <w:rPr>
                <w:spacing w:val="-4"/>
                <w:lang w:eastAsia="en-US"/>
              </w:rPr>
            </w:pPr>
          </w:p>
        </w:tc>
      </w:tr>
      <w:tr w:rsidR="00EF371C" w14:paraId="4D711BC8" w14:textId="77777777" w:rsidTr="00675BD1">
        <w:trPr>
          <w:trHeight w:val="170"/>
        </w:trPr>
        <w:tc>
          <w:tcPr>
            <w:tcW w:w="4811" w:type="dxa"/>
            <w:gridSpan w:val="3"/>
            <w:hideMark/>
          </w:tcPr>
          <w:p w14:paraId="499593F9" w14:textId="77777777" w:rsidR="00EF371C" w:rsidRDefault="00EF371C" w:rsidP="00675BD1">
            <w:pPr>
              <w:spacing w:after="0"/>
              <w:jc w:val="left"/>
              <w:rPr>
                <w:spacing w:val="-4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Tabulka č. 3 Oddíly klasifikace CPA s největším vlivem na vývoj dovozu zboží v 1. čtvrtletí 2026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  <w:tc>
          <w:tcPr>
            <w:tcW w:w="57" w:type="dxa"/>
          </w:tcPr>
          <w:p w14:paraId="0A5A969F" w14:textId="77777777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5050F919" w14:textId="77777777" w:rsidR="00EF371C" w:rsidRDefault="00EF371C" w:rsidP="00675BD1">
            <w:pPr>
              <w:spacing w:after="0"/>
              <w:jc w:val="left"/>
              <w:rPr>
                <w:spacing w:val="-4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Tabulka č. 4 Země s největším vlivem na vývoj dovozu zboží v 1. čtvrtletí 2026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</w:tr>
      <w:tr w:rsidR="00EF371C" w:rsidRPr="005A40B7" w14:paraId="2DA64372" w14:textId="77777777" w:rsidTr="00675BD1">
        <w:trPr>
          <w:trHeight w:val="170"/>
        </w:trPr>
        <w:tc>
          <w:tcPr>
            <w:tcW w:w="4811" w:type="dxa"/>
            <w:gridSpan w:val="3"/>
            <w:hideMark/>
          </w:tcPr>
          <w:tbl>
            <w:tblPr>
              <w:tblW w:w="48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16"/>
              <w:gridCol w:w="700"/>
              <w:gridCol w:w="700"/>
            </w:tblGrid>
            <w:tr w:rsidR="00EF371C" w:rsidRPr="004D4977" w14:paraId="73F643A2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743B07C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AD63CF1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7ECD6B9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F371C" w:rsidRPr="004D4977" w14:paraId="7A582055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8D822E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Počítače, elektron. a opt. přístroje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C800F1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+18,1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D8FC6A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+14,3</w:t>
                  </w:r>
                </w:p>
              </w:tc>
            </w:tr>
            <w:tr w:rsidR="00EF371C" w:rsidRPr="004D4977" w14:paraId="43A1EF50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D5511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Motorová vozidla (kromě motocyklů) a díly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152E24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+7,1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97E110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+4,2</w:t>
                  </w:r>
                </w:p>
              </w:tc>
            </w:tr>
            <w:tr w:rsidR="00EF371C" w:rsidRPr="004D4977" w14:paraId="78C5045A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66BB5C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Základní farmaceutické výrobky a přípravky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E9676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+5,8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4EDEC4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+15,6</w:t>
                  </w:r>
                </w:p>
              </w:tc>
            </w:tr>
            <w:tr w:rsidR="00EF371C" w:rsidRPr="004D4977" w14:paraId="34218388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44FA57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Stroje a zařízení j. n.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44A902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+5,2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147D8E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+5,3</w:t>
                  </w:r>
                </w:p>
              </w:tc>
            </w:tr>
            <w:tr w:rsidR="00EF371C" w:rsidRPr="004D4977" w14:paraId="08BAC6BE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BFD52C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Základní kovy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61A784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+4,2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644514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+5,1</w:t>
                  </w:r>
                </w:p>
              </w:tc>
            </w:tr>
            <w:tr w:rsidR="00EF371C" w:rsidRPr="004D4977" w14:paraId="157143F2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671C87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Elektřina, plyn, pára a klimatizovaný vzduch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BE0EAF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+2,1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46066D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+24,0</w:t>
                  </w:r>
                </w:p>
              </w:tc>
            </w:tr>
            <w:tr w:rsidR="00EF371C" w:rsidRPr="004D4977" w14:paraId="36067BE3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485762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Ostatní výrobky zpracovatelského průmyslu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4D147B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179045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+7,5</w:t>
                  </w:r>
                </w:p>
              </w:tc>
            </w:tr>
            <w:tr w:rsidR="00EF371C" w:rsidRPr="004D4977" w14:paraId="6E688661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CB7E9E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Ostatní nekovové minerální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C5545B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42028C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+13,4</w:t>
                  </w:r>
                </w:p>
              </w:tc>
            </w:tr>
            <w:tr w:rsidR="00EF371C" w:rsidRPr="004D4977" w14:paraId="5B83DBC4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F8290E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Elektrická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4BD4A0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28F676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+1,2</w:t>
                  </w:r>
                </w:p>
              </w:tc>
            </w:tr>
            <w:tr w:rsidR="00EF371C" w:rsidRPr="004D4977" w14:paraId="4A3E8777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92D24E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Produkty zemědělství a myslivosti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9AEDF3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7679B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+6,5</w:t>
                  </w:r>
                </w:p>
              </w:tc>
            </w:tr>
            <w:tr w:rsidR="00EF371C" w:rsidRPr="004D4977" w14:paraId="50986916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FB845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Potravinářské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AD1951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B101A1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+1,6</w:t>
                  </w:r>
                </w:p>
              </w:tc>
            </w:tr>
            <w:tr w:rsidR="00EF371C" w:rsidRPr="004D4977" w14:paraId="4F3DDFBB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04448B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Oděvy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629E9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1,0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2D04C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6,2</w:t>
                  </w:r>
                </w:p>
              </w:tc>
            </w:tr>
            <w:tr w:rsidR="00EF371C" w:rsidRPr="004D4977" w14:paraId="309F949F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BCE6E6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Ostatní dopravní prostředky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F2B07D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698853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5,9</w:t>
                  </w:r>
                </w:p>
              </w:tc>
            </w:tr>
            <w:tr w:rsidR="00EF371C" w:rsidRPr="004D4977" w14:paraId="7BCAE849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561A3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Kovodělné výrobky kromě strojů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4FAE2A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2,9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D95627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4,6</w:t>
                  </w:r>
                </w:p>
              </w:tc>
            </w:tr>
            <w:tr w:rsidR="00EF371C" w:rsidRPr="004D4977" w14:paraId="4C62D137" w14:textId="77777777" w:rsidTr="00675BD1">
              <w:trPr>
                <w:trHeight w:val="25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3E3BB8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Ropa a zemní plyn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85DDC9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6,2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9A16A0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16,2</w:t>
                  </w:r>
                </w:p>
              </w:tc>
            </w:tr>
          </w:tbl>
          <w:p w14:paraId="060103B3" w14:textId="77777777" w:rsidR="00EF371C" w:rsidRPr="005A40B7" w:rsidRDefault="00EF371C" w:rsidP="00675BD1">
            <w:pPr>
              <w:spacing w:after="0"/>
              <w:rPr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57" w:type="dxa"/>
          </w:tcPr>
          <w:p w14:paraId="6FF79FE6" w14:textId="77777777" w:rsidR="00EF371C" w:rsidRPr="005A40B7" w:rsidRDefault="00EF371C" w:rsidP="00675BD1">
            <w:pPr>
              <w:spacing w:after="0"/>
              <w:rPr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09" w:type="dxa"/>
            <w:hideMark/>
          </w:tcPr>
          <w:tbl>
            <w:tblPr>
              <w:tblW w:w="477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73"/>
              <w:gridCol w:w="700"/>
              <w:gridCol w:w="700"/>
            </w:tblGrid>
            <w:tr w:rsidR="00EF371C" w:rsidRPr="004D4977" w14:paraId="63228B9A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9BE2B66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F93B0CF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FF2DD5A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F371C" w:rsidRPr="004D4977" w14:paraId="2848E465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527ED8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Německo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D8ED86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1D0B57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+4,0</w:t>
                  </w:r>
                </w:p>
              </w:tc>
            </w:tr>
            <w:tr w:rsidR="00EF371C" w:rsidRPr="004D4977" w14:paraId="3A86EB5D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EBDBA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Tchaj-wan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71438A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+7,3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38DD19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+91,7</w:t>
                  </w:r>
                </w:p>
              </w:tc>
            </w:tr>
            <w:tr w:rsidR="00EF371C" w:rsidRPr="004D4977" w14:paraId="4402B4DD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001C1C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Maďarsko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434965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+5,9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37EC2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+23,9</w:t>
                  </w:r>
                </w:p>
              </w:tc>
            </w:tr>
            <w:tr w:rsidR="00EF371C" w:rsidRPr="004D4977" w14:paraId="28431486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E15AB4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Polsko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616BC0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+3,9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6FA613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+3,6</w:t>
                  </w:r>
                </w:p>
              </w:tc>
            </w:tr>
            <w:tr w:rsidR="00EF371C" w:rsidRPr="004D4977" w14:paraId="143EC570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7728A1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Čína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5E7B0F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+3,6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A3CEBB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+2,6</w:t>
                  </w:r>
                </w:p>
              </w:tc>
            </w:tr>
            <w:tr w:rsidR="00EF371C" w:rsidRPr="004D4977" w14:paraId="77B93377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90393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Rakousko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7AE67D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+3,6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8F2D9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+11,1</w:t>
                  </w:r>
                </w:p>
              </w:tc>
            </w:tr>
            <w:tr w:rsidR="00EF371C" w:rsidRPr="004D4977" w14:paraId="10CE2B96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F844C2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Nizozemsko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7288F0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FC3D73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+6,2</w:t>
                  </w:r>
                </w:p>
              </w:tc>
            </w:tr>
            <w:tr w:rsidR="00EF371C" w:rsidRPr="004D4977" w14:paraId="33114FF7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6AE5EB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Španělsko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34CB4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+1,5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A25130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+5,8</w:t>
                  </w:r>
                </w:p>
              </w:tc>
            </w:tr>
            <w:tr w:rsidR="00EF371C" w:rsidRPr="004D4977" w14:paraId="3F577525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35930B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Indie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56DE72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A07FE7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18,7</w:t>
                  </w:r>
                </w:p>
              </w:tc>
            </w:tr>
            <w:tr w:rsidR="00EF371C" w:rsidRPr="004D4977" w14:paraId="7FF761D7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35D713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Kazachstán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88A415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B8B9A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38,3</w:t>
                  </w:r>
                </w:p>
              </w:tc>
            </w:tr>
            <w:tr w:rsidR="00EF371C" w:rsidRPr="004D4977" w14:paraId="33FE29EC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717F93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Jižní Korea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7F7A8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2,2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24A5EC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8,9</w:t>
                  </w:r>
                </w:p>
              </w:tc>
            </w:tr>
            <w:tr w:rsidR="00EF371C" w:rsidRPr="004D4977" w14:paraId="7055B859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9B1EBF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Slovensko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F76153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2,3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D821E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3,6</w:t>
                  </w:r>
                </w:p>
              </w:tc>
            </w:tr>
            <w:tr w:rsidR="00EF371C" w:rsidRPr="004D4977" w14:paraId="23543354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8E2D7D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Ázerbájdžán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73D154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3250D8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32,1</w:t>
                  </w:r>
                </w:p>
              </w:tc>
            </w:tr>
            <w:tr w:rsidR="00EF371C" w:rsidRPr="004D4977" w14:paraId="3AB270BF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1F494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Spojené státy</w:t>
                  </w: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 americké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0D484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4,6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F5A472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12,8</w:t>
                  </w:r>
                </w:p>
              </w:tc>
            </w:tr>
            <w:tr w:rsidR="00EF371C" w:rsidRPr="004D4977" w14:paraId="1A50D1A0" w14:textId="77777777" w:rsidTr="00675BD1">
              <w:trPr>
                <w:trHeight w:val="252"/>
              </w:trPr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C263A" w14:textId="77777777" w:rsidR="00EF371C" w:rsidRPr="004D4977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Rusko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736CEB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6,1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2631C8" w14:textId="77777777" w:rsidR="00EF371C" w:rsidRPr="004D4977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4D4977">
                    <w:rPr>
                      <w:rFonts w:cs="Arial"/>
                      <w:color w:val="000000"/>
                      <w:sz w:val="16"/>
                      <w:szCs w:val="16"/>
                    </w:rPr>
                    <w:t>56,2</w:t>
                  </w:r>
                </w:p>
              </w:tc>
            </w:tr>
          </w:tbl>
          <w:p w14:paraId="2986A64B" w14:textId="77777777" w:rsidR="00EF371C" w:rsidRPr="005A40B7" w:rsidRDefault="00EF371C" w:rsidP="00675BD1">
            <w:pPr>
              <w:spacing w:after="0"/>
              <w:rPr>
                <w:spacing w:val="-4"/>
                <w:sz w:val="16"/>
                <w:szCs w:val="16"/>
                <w:lang w:eastAsia="en-US"/>
              </w:rPr>
            </w:pPr>
          </w:p>
        </w:tc>
      </w:tr>
      <w:tr w:rsidR="00EF371C" w14:paraId="757EF30D" w14:textId="77777777" w:rsidTr="00675BD1">
        <w:trPr>
          <w:trHeight w:val="170"/>
        </w:trPr>
        <w:tc>
          <w:tcPr>
            <w:tcW w:w="4811" w:type="dxa"/>
            <w:gridSpan w:val="3"/>
            <w:hideMark/>
          </w:tcPr>
          <w:p w14:paraId="5E7628BB" w14:textId="77777777" w:rsidR="00EF371C" w:rsidRDefault="00EF371C" w:rsidP="00675BD1">
            <w:pPr>
              <w:jc w:val="left"/>
              <w:rPr>
                <w:spacing w:val="-4"/>
                <w:sz w:val="16"/>
                <w:szCs w:val="16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  <w:tc>
          <w:tcPr>
            <w:tcW w:w="57" w:type="dxa"/>
          </w:tcPr>
          <w:p w14:paraId="7605703D" w14:textId="77777777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49AFB9FD" w14:textId="77777777" w:rsidR="00EF371C" w:rsidRDefault="00EF371C" w:rsidP="00675BD1">
            <w:pPr>
              <w:spacing w:after="0"/>
              <w:ind w:right="21"/>
              <w:jc w:val="left"/>
              <w:rPr>
                <w:spacing w:val="-4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</w:tr>
      <w:tr w:rsidR="00EF371C" w14:paraId="7FDF8755" w14:textId="77777777" w:rsidTr="00675BD1">
        <w:trPr>
          <w:trHeight w:val="145"/>
        </w:trPr>
        <w:tc>
          <w:tcPr>
            <w:tcW w:w="1716" w:type="dxa"/>
            <w:hideMark/>
          </w:tcPr>
          <w:p w14:paraId="223F3941" w14:textId="77777777" w:rsidR="00EF371C" w:rsidRDefault="00EF371C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Přebytek bilance zahraničního obchodu se zbožím meziročně klesl.</w:t>
            </w:r>
          </w:p>
        </w:tc>
        <w:tc>
          <w:tcPr>
            <w:tcW w:w="284" w:type="dxa"/>
          </w:tcPr>
          <w:p w14:paraId="6E842C15" w14:textId="77777777" w:rsidR="00EF371C" w:rsidRDefault="00EF371C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  <w:hideMark/>
          </w:tcPr>
          <w:p w14:paraId="5F9C07AE" w14:textId="77777777" w:rsidR="00EF371C" w:rsidRPr="002971BF" w:rsidRDefault="00EF371C" w:rsidP="00675BD1">
            <w:pPr>
              <w:spacing w:after="180"/>
              <w:rPr>
                <w:spacing w:val="-4"/>
                <w:szCs w:val="20"/>
                <w:lang w:eastAsia="en-US"/>
              </w:rPr>
            </w:pPr>
            <w:r>
              <w:rPr>
                <w:spacing w:val="-4"/>
                <w:szCs w:val="20"/>
                <w:lang w:eastAsia="en-US"/>
              </w:rPr>
              <w:t>Bilance zahraničního obchodu se zbožím v 1. čtvrtletí dosáhla přebytku ve výši 70,5 mld. korun. Přebytek meziročně klesl o 5,9 mld. Podle sezónně očištěných údajů se kladné saldo výrazně mezičtvrtletně snížilo. Celkový meziroční pokles přebytku byl v 1. čtvrtletí výsledkem značného zhoršení bilance obchodu se zeměmi mimo EU (−19,8 mld. korun). Naopak bilance obchodu se zeměmi EU se meziročně zlepšila nejvíce od 2. čtvrtletí 2023 (+13,8 mld. korun). Nejvíce ve směru zlepšení salda působil obchod s Rakouskem (viz Tabulka č. 6), s odstupem následovaný Itálií, Ruskem a Jižní Koreou. Významné zlepšení výsledku zahraničního obchodu se zbožím bylo patrné také u Francie, Ázerbájdžánu, Slovenska nebo Bulharska. Největší meziroční propad přebytku byl v 1. čtvrtletí zaznamenán u obchodu s Německem a dále u Tchaj-wanu a Velké Británie. Výrazně ve směru zhoršení celkové bilance působil i obchod s Maďarskem, Spojenými arabskými emiráty nebo Tureckem.</w:t>
            </w:r>
          </w:p>
        </w:tc>
      </w:tr>
      <w:tr w:rsidR="00EF371C" w14:paraId="7953965B" w14:textId="77777777" w:rsidTr="00675BD1">
        <w:trPr>
          <w:trHeight w:val="170"/>
        </w:trPr>
        <w:tc>
          <w:tcPr>
            <w:tcW w:w="4811" w:type="dxa"/>
            <w:gridSpan w:val="3"/>
            <w:hideMark/>
          </w:tcPr>
          <w:p w14:paraId="3D57C203" w14:textId="77777777" w:rsidR="00EF371C" w:rsidRDefault="00EF371C" w:rsidP="00675BD1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Tabulka č. 5 Oddíly klasifikace CPA s největším </w:t>
            </w:r>
          </w:p>
          <w:p w14:paraId="6ABAC9EC" w14:textId="77777777" w:rsidR="00EF371C" w:rsidRDefault="00EF371C" w:rsidP="00675BD1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vlivem na vývoj bilance zahraničního obchodu se zbožím v 1. čtvrtletí 2026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  <w:tc>
          <w:tcPr>
            <w:tcW w:w="57" w:type="dxa"/>
          </w:tcPr>
          <w:p w14:paraId="1AE164F6" w14:textId="77777777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53EAFF5E" w14:textId="77777777" w:rsidR="00EF371C" w:rsidRDefault="00EF371C" w:rsidP="00675BD1">
            <w:pPr>
              <w:spacing w:after="0"/>
              <w:jc w:val="left"/>
              <w:rPr>
                <w:spacing w:val="-4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Tabulka č. 6 Země s největším vlivem na vývoj bilance zahraničního obchodu se zbožím v 1. čtvrtletí 2026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</w:tr>
      <w:tr w:rsidR="00EF371C" w14:paraId="46A1C00E" w14:textId="77777777" w:rsidTr="00675BD1">
        <w:trPr>
          <w:trHeight w:val="170"/>
        </w:trPr>
        <w:tc>
          <w:tcPr>
            <w:tcW w:w="4811" w:type="dxa"/>
            <w:gridSpan w:val="3"/>
            <w:hideMark/>
          </w:tcPr>
          <w:tbl>
            <w:tblPr>
              <w:tblW w:w="4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25"/>
              <w:gridCol w:w="700"/>
            </w:tblGrid>
            <w:tr w:rsidR="00EF371C" w:rsidRPr="00C23755" w14:paraId="1698BB8A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BC1FC4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A1B5BAC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</w:tr>
            <w:tr w:rsidR="00EF371C" w:rsidRPr="00C23755" w14:paraId="0F219147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5F5FBE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Ropa a zemní plyn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E8E838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+8,6</w:t>
                  </w:r>
                </w:p>
              </w:tc>
            </w:tr>
            <w:tr w:rsidR="00EF371C" w:rsidRPr="00C23755" w14:paraId="75CB5A6A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EF7AF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Stroje a zařízení j. n.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00B277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+4,2</w:t>
                  </w:r>
                </w:p>
              </w:tc>
            </w:tr>
            <w:tr w:rsidR="00EF371C" w:rsidRPr="00C23755" w14:paraId="7DEFAC99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5896E3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Ostatní dopravní prostředky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A1380B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+3,2</w:t>
                  </w:r>
                </w:p>
              </w:tc>
            </w:tr>
            <w:tr w:rsidR="00EF371C" w:rsidRPr="00C23755" w14:paraId="2E4F5628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BD6909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Kovodělné výrobky, kromě strojů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736DFC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+2,6</w:t>
                  </w:r>
                </w:p>
              </w:tc>
            </w:tr>
            <w:tr w:rsidR="00EF371C" w:rsidRPr="00C23755" w14:paraId="7C7AE365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90EE1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Motorová vozidla (kromě motocyklů) a díly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AC991D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+1,3</w:t>
                  </w:r>
                </w:p>
              </w:tc>
            </w:tr>
            <w:tr w:rsidR="00EF371C" w:rsidRPr="00C23755" w14:paraId="55F34C4F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728F2F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Oděvy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EBAA5B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+1,2</w:t>
                  </w:r>
                </w:p>
              </w:tc>
            </w:tr>
            <w:tr w:rsidR="00EF371C" w:rsidRPr="00C23755" w14:paraId="578C0E51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C35839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Elektrická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C87A1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+1,1</w:t>
                  </w:r>
                </w:p>
              </w:tc>
            </w:tr>
            <w:tr w:rsidR="00EF371C" w:rsidRPr="00C23755" w14:paraId="3E5AF877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0E29BF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Papír a výrobky z papíru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644294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1,0</w:t>
                  </w:r>
                </w:p>
              </w:tc>
            </w:tr>
            <w:tr w:rsidR="00EF371C" w:rsidRPr="00C23755" w14:paraId="2B9822E4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AB8C2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Dřevo a dřevěné a korkové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8EC7EA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1,1</w:t>
                  </w:r>
                </w:p>
              </w:tc>
            </w:tr>
            <w:tr w:rsidR="00EF371C" w:rsidRPr="00C23755" w14:paraId="65A78D89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F583A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Koks a rafinované ropné produkty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6862EA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2,5</w:t>
                  </w:r>
                </w:p>
              </w:tc>
            </w:tr>
            <w:tr w:rsidR="00EF371C" w:rsidRPr="00C23755" w14:paraId="5BABB35C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EDBB80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Ostatní nekovové minerální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3F0B92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2,5</w:t>
                  </w:r>
                </w:p>
              </w:tc>
            </w:tr>
            <w:tr w:rsidR="00EF371C" w:rsidRPr="00C23755" w14:paraId="6B43635A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0CA9A9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Elektřina, plyn, pára a klimatizovaný vzduch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D59F0C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2,9</w:t>
                  </w:r>
                </w:p>
              </w:tc>
            </w:tr>
            <w:tr w:rsidR="00EF371C" w:rsidRPr="00C23755" w14:paraId="3076B1C8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47654A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Základní kovy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58972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3,2</w:t>
                  </w:r>
                </w:p>
              </w:tc>
            </w:tr>
            <w:tr w:rsidR="00EF371C" w:rsidRPr="00C23755" w14:paraId="360E322E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8F178D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Základní farmaceutické výrobky a přípravky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876A85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4,3</w:t>
                  </w:r>
                </w:p>
              </w:tc>
            </w:tr>
            <w:tr w:rsidR="00EF371C" w:rsidRPr="00C23755" w14:paraId="6DF7AD7E" w14:textId="77777777" w:rsidTr="00675BD1">
              <w:trPr>
                <w:trHeight w:val="255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7DB96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Počítače, elektron. a opt. přístroje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9FF145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11,4</w:t>
                  </w:r>
                </w:p>
              </w:tc>
            </w:tr>
          </w:tbl>
          <w:p w14:paraId="51C7BB46" w14:textId="77777777" w:rsidR="00EF371C" w:rsidRPr="0010385A" w:rsidRDefault="00EF371C" w:rsidP="00675BD1">
            <w:pPr>
              <w:spacing w:after="0"/>
              <w:rPr>
                <w:rFonts w:cs="Arial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57" w:type="dxa"/>
          </w:tcPr>
          <w:p w14:paraId="76685A0C" w14:textId="77777777" w:rsidR="00EF371C" w:rsidRPr="0010385A" w:rsidRDefault="00EF371C" w:rsidP="00675BD1">
            <w:pPr>
              <w:spacing w:after="0"/>
              <w:rPr>
                <w:rFonts w:cs="Arial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09" w:type="dxa"/>
            <w:hideMark/>
          </w:tcPr>
          <w:tbl>
            <w:tblPr>
              <w:tblW w:w="47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82"/>
              <w:gridCol w:w="700"/>
            </w:tblGrid>
            <w:tr w:rsidR="00EF371C" w:rsidRPr="00C23755" w14:paraId="2AB3F839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C537499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C23755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8ACDD56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</w:tr>
            <w:tr w:rsidR="00EF371C" w:rsidRPr="00C23755" w14:paraId="6D9ACC7F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465D3A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Rakousko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734E98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+11,1</w:t>
                  </w:r>
                </w:p>
              </w:tc>
            </w:tr>
            <w:tr w:rsidR="00EF371C" w:rsidRPr="00C23755" w14:paraId="0F489377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41593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Itálie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DCA8E8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+7,0</w:t>
                  </w:r>
                </w:p>
              </w:tc>
            </w:tr>
            <w:tr w:rsidR="00EF371C" w:rsidRPr="00C23755" w14:paraId="0EB3AFB8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4E0522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Rusko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27DF70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+5,8</w:t>
                  </w:r>
                </w:p>
              </w:tc>
            </w:tr>
            <w:tr w:rsidR="00EF371C" w:rsidRPr="00C23755" w14:paraId="7BD08ACF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68EC21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Jižní Korea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377000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+5,5</w:t>
                  </w:r>
                </w:p>
              </w:tc>
            </w:tr>
            <w:tr w:rsidR="00EF371C" w:rsidRPr="00C23755" w14:paraId="0807D74F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6A2D1A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Francie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50E256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+4,3</w:t>
                  </w:r>
                </w:p>
              </w:tc>
            </w:tr>
            <w:tr w:rsidR="00EF371C" w:rsidRPr="00C23755" w14:paraId="6A90C79E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BB1EA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Ázerbájdžán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52B09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+3,2</w:t>
                  </w:r>
                </w:p>
              </w:tc>
            </w:tr>
            <w:tr w:rsidR="00EF371C" w:rsidRPr="00C23755" w14:paraId="3E7F59C3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46DFF3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Bulharsko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0A482A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+3,0</w:t>
                  </w:r>
                </w:p>
              </w:tc>
            </w:tr>
            <w:tr w:rsidR="00EF371C" w:rsidRPr="00C23755" w14:paraId="67E1375B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A353E6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Slovensko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D67207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+3,0</w:t>
                  </w:r>
                </w:p>
              </w:tc>
            </w:tr>
            <w:tr w:rsidR="00EF371C" w:rsidRPr="00C23755" w14:paraId="6F95B9CA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157C78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Řecko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54DC57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+2,7</w:t>
                  </w:r>
                </w:p>
              </w:tc>
            </w:tr>
            <w:tr w:rsidR="00EF371C" w:rsidRPr="00C23755" w14:paraId="27FDAE1A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55F76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Turecko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2C0D0F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2,4</w:t>
                  </w:r>
                </w:p>
              </w:tc>
            </w:tr>
            <w:tr w:rsidR="00EF371C" w:rsidRPr="00C23755" w14:paraId="7C6ED51B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0CD105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Maďarsko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BB81C8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3,4</w:t>
                  </w:r>
                </w:p>
              </w:tc>
            </w:tr>
            <w:tr w:rsidR="00EF371C" w:rsidRPr="00C23755" w14:paraId="4EC426DE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26BE3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Spojené arabské emiráty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21BFB3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3,5</w:t>
                  </w:r>
                </w:p>
              </w:tc>
            </w:tr>
            <w:tr w:rsidR="00EF371C" w:rsidRPr="00C23755" w14:paraId="7CE5292F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4019E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Velká Británie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8EE49C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5,2</w:t>
                  </w:r>
                </w:p>
              </w:tc>
            </w:tr>
            <w:tr w:rsidR="00EF371C" w:rsidRPr="00C23755" w14:paraId="6A1B2428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69DB38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Tchaj-wan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BE9F5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5,9</w:t>
                  </w:r>
                </w:p>
              </w:tc>
            </w:tr>
            <w:tr w:rsidR="00EF371C" w:rsidRPr="00C23755" w14:paraId="217418F8" w14:textId="77777777" w:rsidTr="00675BD1">
              <w:trPr>
                <w:trHeight w:val="255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470FAA" w14:textId="77777777" w:rsidR="00EF371C" w:rsidRPr="00C23755" w:rsidRDefault="00EF371C" w:rsidP="00675BD1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Německo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30AD45" w14:textId="77777777" w:rsidR="00EF371C" w:rsidRPr="00C23755" w:rsidRDefault="00EF371C" w:rsidP="00675BD1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C23755">
                    <w:rPr>
                      <w:rFonts w:cs="Arial"/>
                      <w:color w:val="000000"/>
                      <w:sz w:val="16"/>
                      <w:szCs w:val="16"/>
                    </w:rPr>
                    <w:t>14,4</w:t>
                  </w:r>
                </w:p>
              </w:tc>
            </w:tr>
          </w:tbl>
          <w:p w14:paraId="7DEEA0F5" w14:textId="77777777" w:rsidR="00EF371C" w:rsidRPr="0010385A" w:rsidRDefault="00EF371C" w:rsidP="00675BD1">
            <w:pPr>
              <w:spacing w:after="0"/>
              <w:rPr>
                <w:rFonts w:cs="Arial"/>
                <w:spacing w:val="-4"/>
                <w:sz w:val="16"/>
                <w:szCs w:val="16"/>
                <w:lang w:eastAsia="en-US"/>
              </w:rPr>
            </w:pPr>
          </w:p>
        </w:tc>
      </w:tr>
      <w:tr w:rsidR="00EF371C" w14:paraId="679FFF5A" w14:textId="77777777" w:rsidTr="00675BD1">
        <w:trPr>
          <w:trHeight w:val="170"/>
        </w:trPr>
        <w:tc>
          <w:tcPr>
            <w:tcW w:w="4811" w:type="dxa"/>
            <w:gridSpan w:val="3"/>
            <w:hideMark/>
          </w:tcPr>
          <w:p w14:paraId="4651A60A" w14:textId="77777777" w:rsidR="00EF371C" w:rsidRDefault="00EF371C" w:rsidP="00675BD1">
            <w:pPr>
              <w:jc w:val="left"/>
              <w:rPr>
                <w:spacing w:val="-4"/>
                <w:sz w:val="16"/>
                <w:szCs w:val="16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  <w:tc>
          <w:tcPr>
            <w:tcW w:w="57" w:type="dxa"/>
          </w:tcPr>
          <w:p w14:paraId="455B9603" w14:textId="77777777" w:rsidR="00EF371C" w:rsidRDefault="00EF371C" w:rsidP="00675BD1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6596DCC3" w14:textId="77777777" w:rsidR="00EF371C" w:rsidRDefault="00EF371C" w:rsidP="00675BD1">
            <w:pPr>
              <w:spacing w:after="0"/>
              <w:ind w:right="21"/>
              <w:jc w:val="left"/>
              <w:rPr>
                <w:spacing w:val="-4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</w:tr>
      <w:tr w:rsidR="00EF371C" w14:paraId="51D2DCB6" w14:textId="77777777" w:rsidTr="00675BD1">
        <w:trPr>
          <w:trHeight w:val="170"/>
        </w:trPr>
        <w:tc>
          <w:tcPr>
            <w:tcW w:w="1716" w:type="dxa"/>
          </w:tcPr>
          <w:p w14:paraId="001409B9" w14:textId="77777777" w:rsidR="00EF371C" w:rsidRDefault="00EF371C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 xml:space="preserve">Vliv na zhoršení bilance měl zejména obchod s počítači, </w:t>
            </w:r>
            <w:r>
              <w:rPr>
                <w:lang w:eastAsia="en-US"/>
              </w:rPr>
              <w:lastRenderedPageBreak/>
              <w:t xml:space="preserve">elektronickými </w:t>
            </w:r>
            <w:r>
              <w:rPr>
                <w:lang w:eastAsia="en-US"/>
              </w:rPr>
              <w:br/>
              <w:t>a optickými přístroji.</w:t>
            </w:r>
          </w:p>
        </w:tc>
        <w:tc>
          <w:tcPr>
            <w:tcW w:w="284" w:type="dxa"/>
          </w:tcPr>
          <w:p w14:paraId="1BC5B282" w14:textId="77777777" w:rsidR="00EF371C" w:rsidRDefault="00EF371C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0A5DF6D4" w14:textId="56B28832" w:rsidR="00EF371C" w:rsidRPr="009A2AD3" w:rsidRDefault="00EF371C" w:rsidP="00675BD1">
            <w:pPr>
              <w:rPr>
                <w:rFonts w:cs="Arial"/>
                <w:color w:val="000000"/>
                <w:szCs w:val="20"/>
                <w:lang w:eastAsia="en-US"/>
              </w:rPr>
            </w:pPr>
            <w:r>
              <w:rPr>
                <w:rFonts w:cs="Arial"/>
                <w:color w:val="000000"/>
                <w:szCs w:val="20"/>
                <w:lang w:eastAsia="en-US"/>
              </w:rPr>
              <w:t xml:space="preserve">Nejvíce ve směru meziročního zhoršení bilance zahraničního obchodu se zbožím působilo značné prohloubení schodku obchodu s počítači, elektronickými a optickými </w:t>
            </w:r>
            <w:r>
              <w:rPr>
                <w:rFonts w:cs="Arial"/>
                <w:color w:val="000000"/>
                <w:szCs w:val="20"/>
                <w:lang w:eastAsia="en-US"/>
              </w:rPr>
              <w:lastRenderedPageBreak/>
              <w:t>přístroji. Značné zhoršení bilance bylo zachyceno také v případě obchodu se základními farmaceutickými výrobky a přípravky, základními kovy, elektřinou, párou a</w:t>
            </w:r>
            <w:r w:rsidR="00FE402C">
              <w:rPr>
                <w:rFonts w:cs="Arial"/>
                <w:color w:val="000000"/>
                <w:szCs w:val="20"/>
                <w:lang w:eastAsia="en-US"/>
              </w:rPr>
              <w:t> </w:t>
            </w:r>
            <w:r>
              <w:rPr>
                <w:rFonts w:cs="Arial"/>
                <w:color w:val="000000"/>
                <w:szCs w:val="20"/>
                <w:lang w:eastAsia="en-US"/>
              </w:rPr>
              <w:t>klimatizovaným</w:t>
            </w:r>
            <w:r w:rsidR="00FE402C">
              <w:rPr>
                <w:rFonts w:cs="Arial"/>
                <w:color w:val="000000"/>
                <w:szCs w:val="20"/>
                <w:lang w:eastAsia="en-US"/>
              </w:rPr>
              <w:t xml:space="preserve"> </w:t>
            </w:r>
            <w:r>
              <w:rPr>
                <w:rFonts w:cs="Arial"/>
                <w:color w:val="000000"/>
                <w:szCs w:val="20"/>
                <w:lang w:eastAsia="en-US"/>
              </w:rPr>
              <w:t xml:space="preserve">vzduchem, koksem a rafinovanými ropnými produkty nebo ostatními nekovovými minerálními výrobky. Na druhé straně ve směru meziročně lepšího celkového výsledku bilance silně působil zahraniční obchod s ropou a zemním plynem a dále se stroji a zařízeními, ostatními dopravními prostředky a zařízeními, kovodělnými výrobky nebo motorovými vozidly. </w:t>
            </w:r>
          </w:p>
        </w:tc>
      </w:tr>
      <w:bookmarkEnd w:id="4"/>
      <w:bookmarkEnd w:id="5"/>
      <w:bookmarkEnd w:id="6"/>
    </w:tbl>
    <w:p w14:paraId="216A06B7" w14:textId="77777777" w:rsidR="00EF371C" w:rsidRDefault="00EF371C" w:rsidP="00EF371C">
      <w:pPr>
        <w:spacing w:after="0" w:line="240" w:lineRule="auto"/>
        <w:jc w:val="left"/>
        <w:rPr>
          <w:rFonts w:eastAsia="MS Gothic"/>
          <w:bCs/>
          <w:color w:val="71818C"/>
          <w:sz w:val="2"/>
          <w:szCs w:val="2"/>
        </w:rPr>
      </w:pPr>
    </w:p>
    <w:p w14:paraId="7B9050BA" w14:textId="77777777" w:rsidR="00EF371C" w:rsidRDefault="00EF371C" w:rsidP="00EF371C">
      <w:pPr>
        <w:spacing w:after="0" w:line="240" w:lineRule="auto"/>
        <w:jc w:val="left"/>
        <w:rPr>
          <w:rFonts w:eastAsia="MS Gothic"/>
          <w:b/>
          <w:bCs/>
          <w:color w:val="86BF5E"/>
          <w:sz w:val="32"/>
          <w:szCs w:val="28"/>
        </w:rPr>
      </w:pPr>
    </w:p>
    <w:p w14:paraId="6A75DCE3" w14:textId="77777777" w:rsidR="00EF371C" w:rsidRDefault="00EF371C" w:rsidP="00EF371C">
      <w:pPr>
        <w:spacing w:after="0" w:line="240" w:lineRule="auto"/>
        <w:jc w:val="left"/>
        <w:rPr>
          <w:rFonts w:eastAsia="MS Gothic"/>
          <w:bCs/>
          <w:color w:val="71818C"/>
          <w:sz w:val="2"/>
          <w:szCs w:val="2"/>
        </w:rPr>
      </w:pPr>
    </w:p>
    <w:bookmarkEnd w:id="1"/>
    <w:p w14:paraId="46A7F144" w14:textId="77777777" w:rsidR="00EF371C" w:rsidRPr="00C5418A" w:rsidRDefault="00EF371C" w:rsidP="00EF371C">
      <w:pPr>
        <w:spacing w:after="0" w:line="240" w:lineRule="auto"/>
        <w:jc w:val="left"/>
        <w:rPr>
          <w:rFonts w:eastAsia="MS Gothic"/>
          <w:b/>
          <w:bCs/>
          <w:color w:val="86BF5E"/>
          <w:sz w:val="32"/>
          <w:szCs w:val="28"/>
          <w:highlight w:val="yellow"/>
        </w:rPr>
      </w:pPr>
    </w:p>
    <w:sectPr w:rsidR="00EF371C" w:rsidRPr="00C5418A" w:rsidSect="00201B0E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39B6" w14:textId="77777777" w:rsidR="0038719B" w:rsidRDefault="0038719B" w:rsidP="00E71A58">
      <w:r>
        <w:separator/>
      </w:r>
    </w:p>
  </w:endnote>
  <w:endnote w:type="continuationSeparator" w:id="0">
    <w:p w14:paraId="7B23199B" w14:textId="77777777" w:rsidR="0038719B" w:rsidRDefault="0038719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2E38F52B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1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D53EAD">
      <w:rPr>
        <w:szCs w:val="16"/>
      </w:rPr>
      <w:t xml:space="preserve">1. čtvrtletí </w:t>
    </w:r>
    <w:r w:rsidR="00C5418A">
      <w:rPr>
        <w:szCs w:val="16"/>
      </w:rPr>
      <w:t>202</w:t>
    </w:r>
    <w:r w:rsidR="00D53EAD">
      <w:rPr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8290478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D53EAD">
      <w:rPr>
        <w:szCs w:val="16"/>
      </w:rPr>
      <w:t>1. čtvrtletí</w:t>
    </w:r>
    <w:r>
      <w:rPr>
        <w:szCs w:val="16"/>
      </w:rPr>
      <w:t xml:space="preserve"> 202</w:t>
    </w:r>
    <w:r w:rsidR="00D53EAD">
      <w:rPr>
        <w:szCs w:val="16"/>
      </w:rPr>
      <w:t>6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FB8E" w14:textId="77777777" w:rsidR="0038719B" w:rsidRDefault="0038719B" w:rsidP="00EA4302">
      <w:pPr>
        <w:spacing w:after="0"/>
      </w:pPr>
      <w:r>
        <w:separator/>
      </w:r>
    </w:p>
  </w:footnote>
  <w:footnote w:type="continuationSeparator" w:id="0">
    <w:p w14:paraId="051B5D8E" w14:textId="77777777" w:rsidR="0038719B" w:rsidRDefault="0038719B" w:rsidP="00E71A58">
      <w:r>
        <w:continuationSeparator/>
      </w:r>
    </w:p>
  </w:footnote>
  <w:footnote w:id="1">
    <w:p w14:paraId="092B5242" w14:textId="77777777" w:rsidR="00EF371C" w:rsidRPr="001F1881" w:rsidRDefault="00EF371C" w:rsidP="00EF371C">
      <w:pPr>
        <w:pStyle w:val="Textpoznpodarou"/>
        <w:rPr>
          <w:rFonts w:cs="Arial"/>
          <w:iCs/>
          <w:sz w:val="16"/>
          <w:szCs w:val="16"/>
        </w:rPr>
      </w:pPr>
      <w:r w:rsidRPr="00B6522D">
        <w:rPr>
          <w:rStyle w:val="Znakapoznpodarou"/>
          <w:rFonts w:cs="Arial"/>
          <w:i/>
          <w:sz w:val="16"/>
          <w:szCs w:val="16"/>
        </w:rPr>
        <w:footnoteRef/>
      </w:r>
      <w:r>
        <w:rPr>
          <w:sz w:val="16"/>
          <w:szCs w:val="16"/>
        </w:rPr>
        <w:t>Není-li uveden</w:t>
      </w:r>
      <w:r w:rsidRPr="00B6522D">
        <w:rPr>
          <w:sz w:val="16"/>
          <w:szCs w:val="16"/>
        </w:rPr>
        <w:t>o jinak, jsou všechny údaje</w:t>
      </w:r>
      <w:r w:rsidRPr="001F1881">
        <w:rPr>
          <w:sz w:val="16"/>
          <w:szCs w:val="16"/>
        </w:rPr>
        <w:t xml:space="preserve"> sezónně neočištěné a v běžných cenách.</w:t>
      </w:r>
    </w:p>
  </w:footnote>
  <w:footnote w:id="2">
    <w:p w14:paraId="5DFF6E90" w14:textId="77777777" w:rsidR="00EF371C" w:rsidRPr="007B30CA" w:rsidRDefault="00EF371C" w:rsidP="00EF371C">
      <w:pPr>
        <w:pStyle w:val="Textpoznpodarou"/>
        <w:rPr>
          <w:sz w:val="16"/>
          <w:szCs w:val="16"/>
        </w:rPr>
      </w:pPr>
      <w:r w:rsidRPr="00DF3884">
        <w:rPr>
          <w:rStyle w:val="Znakapoznpodarou"/>
          <w:sz w:val="16"/>
          <w:szCs w:val="16"/>
        </w:rPr>
        <w:footnoteRef/>
      </w:r>
      <w:r w:rsidRPr="00DF3884">
        <w:rPr>
          <w:sz w:val="16"/>
          <w:szCs w:val="16"/>
        </w:rPr>
        <w:t xml:space="preserve"> </w:t>
      </w:r>
      <w:r w:rsidRPr="0031401F">
        <w:rPr>
          <w:sz w:val="16"/>
          <w:szCs w:val="16"/>
        </w:rPr>
        <w:t xml:space="preserve">Ceny vývozu zboží za </w:t>
      </w:r>
      <w:r>
        <w:rPr>
          <w:sz w:val="16"/>
          <w:szCs w:val="16"/>
        </w:rPr>
        <w:t>1. čtvrtletí 2026 meziročně klesly o 3,4 % a mezičtvrtletně se zvýšily o 0,8 %.</w:t>
      </w:r>
    </w:p>
  </w:footnote>
  <w:footnote w:id="3">
    <w:p w14:paraId="2B417A2F" w14:textId="77777777" w:rsidR="00EF371C" w:rsidRPr="00A057AB" w:rsidRDefault="00EF371C" w:rsidP="00EF371C">
      <w:pPr>
        <w:pStyle w:val="Textpoznpodarou"/>
        <w:rPr>
          <w:sz w:val="16"/>
          <w:szCs w:val="16"/>
        </w:rPr>
      </w:pPr>
      <w:r w:rsidRPr="00A057AB">
        <w:rPr>
          <w:rStyle w:val="Znakapoznpodarou"/>
          <w:sz w:val="16"/>
          <w:szCs w:val="16"/>
        </w:rPr>
        <w:footnoteRef/>
      </w:r>
      <w:r w:rsidRPr="00A057AB">
        <w:rPr>
          <w:sz w:val="16"/>
          <w:szCs w:val="16"/>
        </w:rPr>
        <w:t xml:space="preserve"> Prudce narostla hodnota exportu elektřiny a dále motorových vozidel.</w:t>
      </w:r>
    </w:p>
  </w:footnote>
  <w:footnote w:id="4">
    <w:p w14:paraId="09F917D2" w14:textId="77777777" w:rsidR="00EF371C" w:rsidRPr="00146057" w:rsidRDefault="00EF371C" w:rsidP="00EF371C">
      <w:pPr>
        <w:pStyle w:val="Textpoznpodarou"/>
        <w:rPr>
          <w:sz w:val="16"/>
          <w:szCs w:val="16"/>
        </w:rPr>
      </w:pPr>
      <w:r w:rsidRPr="00146057">
        <w:rPr>
          <w:rStyle w:val="Znakapoznpodarou"/>
          <w:sz w:val="16"/>
          <w:szCs w:val="16"/>
        </w:rPr>
        <w:footnoteRef/>
      </w:r>
      <w:r w:rsidRPr="00146057">
        <w:rPr>
          <w:sz w:val="16"/>
          <w:szCs w:val="16"/>
        </w:rPr>
        <w:t xml:space="preserve"> Pokles byl plošný napříč celou klasifikací produkce. Nejvíce se snížil vývoz počítačů, elektronických a optických přístrojů a zařízení, strojů a zařízení, pryžových a plastových výrobků a ostatních dopravních prostředků.</w:t>
      </w:r>
    </w:p>
  </w:footnote>
  <w:footnote w:id="5">
    <w:p w14:paraId="3413965A" w14:textId="77777777" w:rsidR="00EF371C" w:rsidRPr="00797C9C" w:rsidRDefault="00EF371C" w:rsidP="00EF371C">
      <w:pPr>
        <w:pStyle w:val="Textpoznpodarou"/>
        <w:rPr>
          <w:sz w:val="16"/>
          <w:szCs w:val="16"/>
        </w:rPr>
      </w:pPr>
      <w:r w:rsidRPr="00797C9C">
        <w:rPr>
          <w:rStyle w:val="Znakapoznpodarou"/>
          <w:sz w:val="16"/>
          <w:szCs w:val="16"/>
        </w:rPr>
        <w:footnoteRef/>
      </w:r>
      <w:r w:rsidRPr="00797C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Hlavní propad se zde odehrál u položky počítače, elektronické a optické přístroje a zařízení, ale významně přispělo i snížení </w:t>
      </w:r>
      <w:r>
        <w:rPr>
          <w:sz w:val="16"/>
          <w:szCs w:val="16"/>
        </w:rPr>
        <w:br/>
        <w:t>u motorových vozidel, elektrických zařízení nebo kovodělných výrobků.</w:t>
      </w:r>
    </w:p>
  </w:footnote>
  <w:footnote w:id="6">
    <w:p w14:paraId="6E7BC3F9" w14:textId="77777777" w:rsidR="00EF371C" w:rsidRPr="009129C9" w:rsidRDefault="00EF371C" w:rsidP="00EF371C">
      <w:pPr>
        <w:pStyle w:val="Textpoznpodarou"/>
        <w:rPr>
          <w:sz w:val="16"/>
          <w:szCs w:val="16"/>
        </w:rPr>
      </w:pPr>
      <w:r w:rsidRPr="009129C9">
        <w:rPr>
          <w:rStyle w:val="Znakapoznpodarou"/>
          <w:sz w:val="16"/>
          <w:szCs w:val="16"/>
        </w:rPr>
        <w:footnoteRef/>
      </w:r>
      <w:r w:rsidRPr="009129C9">
        <w:rPr>
          <w:sz w:val="16"/>
          <w:szCs w:val="16"/>
        </w:rPr>
        <w:t xml:space="preserve"> Celkový propad byl ovlivněn vývojem exportu elektrických zařízení a elektřiny. Naopak u motorových vozidel vývoz do Německa silně rostl.</w:t>
      </w:r>
    </w:p>
  </w:footnote>
  <w:footnote w:id="7">
    <w:p w14:paraId="1D1A1A06" w14:textId="77777777" w:rsidR="00EF371C" w:rsidRPr="000A5229" w:rsidRDefault="00EF371C" w:rsidP="00EF371C">
      <w:pPr>
        <w:pStyle w:val="Textpoznpodarou"/>
        <w:rPr>
          <w:sz w:val="16"/>
          <w:szCs w:val="16"/>
        </w:rPr>
      </w:pPr>
      <w:r w:rsidRPr="00880676">
        <w:rPr>
          <w:rStyle w:val="Znakapoznpodarou"/>
          <w:sz w:val="16"/>
          <w:szCs w:val="16"/>
        </w:rPr>
        <w:footnoteRef/>
      </w:r>
      <w:r w:rsidRPr="00880676">
        <w:rPr>
          <w:sz w:val="16"/>
          <w:szCs w:val="16"/>
        </w:rPr>
        <w:t xml:space="preserve"> Ceny dovozu</w:t>
      </w:r>
      <w:r>
        <w:rPr>
          <w:sz w:val="16"/>
          <w:szCs w:val="16"/>
        </w:rPr>
        <w:t xml:space="preserve"> v 1. čtvrtletí 2026 meziročně klesly o 4,4 % a mezičtvrtletně byly vyšší o 1,0 %.</w:t>
      </w:r>
    </w:p>
  </w:footnote>
  <w:footnote w:id="8">
    <w:p w14:paraId="0D6527AF" w14:textId="77777777" w:rsidR="00EF371C" w:rsidRPr="0001314F" w:rsidRDefault="00EF371C" w:rsidP="00EF371C">
      <w:pPr>
        <w:pStyle w:val="Textpoznpodarou"/>
        <w:rPr>
          <w:sz w:val="16"/>
          <w:szCs w:val="16"/>
        </w:rPr>
      </w:pPr>
      <w:r w:rsidRPr="0001314F">
        <w:rPr>
          <w:rStyle w:val="Znakapoznpodarou"/>
          <w:sz w:val="16"/>
          <w:szCs w:val="16"/>
        </w:rPr>
        <w:footnoteRef/>
      </w:r>
      <w:r w:rsidRPr="0001314F">
        <w:rPr>
          <w:sz w:val="16"/>
          <w:szCs w:val="16"/>
        </w:rPr>
        <w:t xml:space="preserve"> </w:t>
      </w:r>
      <w:r>
        <w:rPr>
          <w:sz w:val="16"/>
          <w:szCs w:val="16"/>
        </w:rPr>
        <w:t>Navýšil se zde zejména dovoz u položky p</w:t>
      </w:r>
      <w:r w:rsidRPr="0001314F">
        <w:rPr>
          <w:sz w:val="16"/>
          <w:szCs w:val="16"/>
        </w:rPr>
        <w:t>očítače, elektronické a optické přístroje a zařízení.</w:t>
      </w:r>
    </w:p>
  </w:footnote>
  <w:footnote w:id="9">
    <w:p w14:paraId="7CB00D55" w14:textId="77777777" w:rsidR="00EF371C" w:rsidRPr="0052427E" w:rsidRDefault="00EF371C" w:rsidP="00EF371C">
      <w:pPr>
        <w:pStyle w:val="Textpoznpodarou"/>
        <w:rPr>
          <w:sz w:val="16"/>
          <w:szCs w:val="16"/>
        </w:rPr>
      </w:pPr>
      <w:r w:rsidRPr="0052427E">
        <w:rPr>
          <w:rStyle w:val="Znakapoznpodarou"/>
          <w:sz w:val="16"/>
          <w:szCs w:val="16"/>
        </w:rPr>
        <w:footnoteRef/>
      </w:r>
      <w:r w:rsidRPr="005242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Dovoz z Ruska už během loňska klesl na jednotky mld. Kč, když se </w:t>
      </w:r>
      <w:r w:rsidRPr="0052427E">
        <w:rPr>
          <w:sz w:val="16"/>
          <w:szCs w:val="16"/>
        </w:rPr>
        <w:t xml:space="preserve">projevilo </w:t>
      </w:r>
      <w:r>
        <w:rPr>
          <w:sz w:val="16"/>
          <w:szCs w:val="16"/>
        </w:rPr>
        <w:t xml:space="preserve">značné </w:t>
      </w:r>
      <w:r w:rsidRPr="0052427E">
        <w:rPr>
          <w:sz w:val="16"/>
          <w:szCs w:val="16"/>
        </w:rPr>
        <w:t>omezení dovozu ropy prostřednictvím ropovodu Družba.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35D04"/>
    <w:multiLevelType w:val="hybridMultilevel"/>
    <w:tmpl w:val="2684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4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3"/>
  </w:num>
  <w:num w:numId="27" w16cid:durableId="223610688">
    <w:abstractNumId w:val="44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6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5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4"/>
  </w:num>
  <w:num w:numId="48" w16cid:durableId="1639922006">
    <w:abstractNumId w:val="44"/>
    <w:lvlOverride w:ilvl="0">
      <w:startOverride w:val="1"/>
    </w:lvlOverride>
  </w:num>
  <w:num w:numId="49" w16cid:durableId="1509101590">
    <w:abstractNumId w:val="17"/>
  </w:num>
  <w:num w:numId="50" w16cid:durableId="14816520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6CFB"/>
    <w:rsid w:val="00087634"/>
    <w:rsid w:val="00087F2B"/>
    <w:rsid w:val="00090C0E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1202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18D0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098"/>
    <w:rsid w:val="001224E5"/>
    <w:rsid w:val="00124443"/>
    <w:rsid w:val="00124940"/>
    <w:rsid w:val="00125D69"/>
    <w:rsid w:val="001302D9"/>
    <w:rsid w:val="001403D0"/>
    <w:rsid w:val="001405FA"/>
    <w:rsid w:val="00142254"/>
    <w:rsid w:val="001425C3"/>
    <w:rsid w:val="001476BD"/>
    <w:rsid w:val="001477BA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93777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4738"/>
    <w:rsid w:val="001B6310"/>
    <w:rsid w:val="001B6C09"/>
    <w:rsid w:val="001B73E6"/>
    <w:rsid w:val="001C05CD"/>
    <w:rsid w:val="001C2AA7"/>
    <w:rsid w:val="001C3924"/>
    <w:rsid w:val="001C6020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1B0E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3A3C"/>
    <w:rsid w:val="00244A15"/>
    <w:rsid w:val="0024661A"/>
    <w:rsid w:val="00247319"/>
    <w:rsid w:val="0024741D"/>
    <w:rsid w:val="002475AC"/>
    <w:rsid w:val="0024799E"/>
    <w:rsid w:val="00247EE7"/>
    <w:rsid w:val="0025271C"/>
    <w:rsid w:val="00252D48"/>
    <w:rsid w:val="00253C0F"/>
    <w:rsid w:val="002558C1"/>
    <w:rsid w:val="00255B30"/>
    <w:rsid w:val="00261A17"/>
    <w:rsid w:val="0027099B"/>
    <w:rsid w:val="00271465"/>
    <w:rsid w:val="00275385"/>
    <w:rsid w:val="00281666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264B"/>
    <w:rsid w:val="002B4845"/>
    <w:rsid w:val="002B48B4"/>
    <w:rsid w:val="002C2FE9"/>
    <w:rsid w:val="002C3E17"/>
    <w:rsid w:val="002C43BD"/>
    <w:rsid w:val="002C5568"/>
    <w:rsid w:val="002D0E59"/>
    <w:rsid w:val="002E02A1"/>
    <w:rsid w:val="002E42AC"/>
    <w:rsid w:val="002E4E4C"/>
    <w:rsid w:val="002F2057"/>
    <w:rsid w:val="002F3E4F"/>
    <w:rsid w:val="002F40D1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40188"/>
    <w:rsid w:val="003421E1"/>
    <w:rsid w:val="0034226A"/>
    <w:rsid w:val="00343182"/>
    <w:rsid w:val="0034335E"/>
    <w:rsid w:val="00343701"/>
    <w:rsid w:val="00344668"/>
    <w:rsid w:val="003462D9"/>
    <w:rsid w:val="00352109"/>
    <w:rsid w:val="00360C86"/>
    <w:rsid w:val="00360FBC"/>
    <w:rsid w:val="00362E90"/>
    <w:rsid w:val="00364FA0"/>
    <w:rsid w:val="003657F3"/>
    <w:rsid w:val="00366591"/>
    <w:rsid w:val="00366647"/>
    <w:rsid w:val="00371826"/>
    <w:rsid w:val="00373504"/>
    <w:rsid w:val="00374FEF"/>
    <w:rsid w:val="0038123E"/>
    <w:rsid w:val="003818DC"/>
    <w:rsid w:val="00382C5B"/>
    <w:rsid w:val="00384327"/>
    <w:rsid w:val="00385D98"/>
    <w:rsid w:val="0038719B"/>
    <w:rsid w:val="003A15ED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6BF6"/>
    <w:rsid w:val="003B7AFA"/>
    <w:rsid w:val="003C1099"/>
    <w:rsid w:val="003C16D0"/>
    <w:rsid w:val="003C3490"/>
    <w:rsid w:val="003C6550"/>
    <w:rsid w:val="003C79A6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95B"/>
    <w:rsid w:val="00416EB7"/>
    <w:rsid w:val="00420136"/>
    <w:rsid w:val="00421773"/>
    <w:rsid w:val="00432A58"/>
    <w:rsid w:val="00434617"/>
    <w:rsid w:val="00440900"/>
    <w:rsid w:val="00441BF6"/>
    <w:rsid w:val="00443556"/>
    <w:rsid w:val="004441A0"/>
    <w:rsid w:val="004455BA"/>
    <w:rsid w:val="00446D77"/>
    <w:rsid w:val="0045010F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87F47"/>
    <w:rsid w:val="004915CB"/>
    <w:rsid w:val="004924DC"/>
    <w:rsid w:val="004942C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0C"/>
    <w:rsid w:val="004E7C6B"/>
    <w:rsid w:val="004F06F5"/>
    <w:rsid w:val="004F16B2"/>
    <w:rsid w:val="004F2C1B"/>
    <w:rsid w:val="004F33A0"/>
    <w:rsid w:val="004F3A59"/>
    <w:rsid w:val="00501EBC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353A2"/>
    <w:rsid w:val="005402E9"/>
    <w:rsid w:val="00541508"/>
    <w:rsid w:val="00543498"/>
    <w:rsid w:val="00545512"/>
    <w:rsid w:val="00553016"/>
    <w:rsid w:val="0055599F"/>
    <w:rsid w:val="00556995"/>
    <w:rsid w:val="00556D68"/>
    <w:rsid w:val="005602C0"/>
    <w:rsid w:val="00563EB8"/>
    <w:rsid w:val="005647BF"/>
    <w:rsid w:val="0056486D"/>
    <w:rsid w:val="00564AF1"/>
    <w:rsid w:val="0056601A"/>
    <w:rsid w:val="005722EB"/>
    <w:rsid w:val="0057364B"/>
    <w:rsid w:val="0057452C"/>
    <w:rsid w:val="00574773"/>
    <w:rsid w:val="0058050D"/>
    <w:rsid w:val="0058308D"/>
    <w:rsid w:val="00583FFD"/>
    <w:rsid w:val="00591099"/>
    <w:rsid w:val="005911BE"/>
    <w:rsid w:val="00591330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A7128"/>
    <w:rsid w:val="005B121D"/>
    <w:rsid w:val="005B1BD0"/>
    <w:rsid w:val="005B3361"/>
    <w:rsid w:val="005C06ED"/>
    <w:rsid w:val="005C2609"/>
    <w:rsid w:val="005C3522"/>
    <w:rsid w:val="005C50BD"/>
    <w:rsid w:val="005C6CF0"/>
    <w:rsid w:val="005D0D46"/>
    <w:rsid w:val="005D2A72"/>
    <w:rsid w:val="005D4DDC"/>
    <w:rsid w:val="005D5802"/>
    <w:rsid w:val="005D7119"/>
    <w:rsid w:val="005D7241"/>
    <w:rsid w:val="005D7890"/>
    <w:rsid w:val="005E705E"/>
    <w:rsid w:val="005E7903"/>
    <w:rsid w:val="005E7C78"/>
    <w:rsid w:val="005F082A"/>
    <w:rsid w:val="005F18C5"/>
    <w:rsid w:val="005F3374"/>
    <w:rsid w:val="005F3491"/>
    <w:rsid w:val="005F3EB1"/>
    <w:rsid w:val="005F46D8"/>
    <w:rsid w:val="005F5469"/>
    <w:rsid w:val="0060201D"/>
    <w:rsid w:val="00603FF5"/>
    <w:rsid w:val="00604307"/>
    <w:rsid w:val="0060487F"/>
    <w:rsid w:val="00604EAD"/>
    <w:rsid w:val="00605D96"/>
    <w:rsid w:val="006104FB"/>
    <w:rsid w:val="00612A2F"/>
    <w:rsid w:val="0061390C"/>
    <w:rsid w:val="0061546D"/>
    <w:rsid w:val="006165E5"/>
    <w:rsid w:val="00616E05"/>
    <w:rsid w:val="00622275"/>
    <w:rsid w:val="00624093"/>
    <w:rsid w:val="00625F8F"/>
    <w:rsid w:val="00632F89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BD1"/>
    <w:rsid w:val="00675E37"/>
    <w:rsid w:val="006760C8"/>
    <w:rsid w:val="0068174E"/>
    <w:rsid w:val="00681DCE"/>
    <w:rsid w:val="0068260E"/>
    <w:rsid w:val="0068697A"/>
    <w:rsid w:val="00693594"/>
    <w:rsid w:val="00693FEC"/>
    <w:rsid w:val="0069490A"/>
    <w:rsid w:val="00695BEF"/>
    <w:rsid w:val="006977F6"/>
    <w:rsid w:val="00697A13"/>
    <w:rsid w:val="006A109C"/>
    <w:rsid w:val="006A2056"/>
    <w:rsid w:val="006A31AB"/>
    <w:rsid w:val="006A3832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6EC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6B4C"/>
    <w:rsid w:val="006E7227"/>
    <w:rsid w:val="006F438E"/>
    <w:rsid w:val="006F4AB0"/>
    <w:rsid w:val="006F5416"/>
    <w:rsid w:val="006F7076"/>
    <w:rsid w:val="00702448"/>
    <w:rsid w:val="007037C0"/>
    <w:rsid w:val="00705242"/>
    <w:rsid w:val="00706AD4"/>
    <w:rsid w:val="00707150"/>
    <w:rsid w:val="00710078"/>
    <w:rsid w:val="00710229"/>
    <w:rsid w:val="00710CD2"/>
    <w:rsid w:val="0071217E"/>
    <w:rsid w:val="00712600"/>
    <w:rsid w:val="0071340F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35AD8"/>
    <w:rsid w:val="00741493"/>
    <w:rsid w:val="00743C34"/>
    <w:rsid w:val="007446ED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4BEB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835CD"/>
    <w:rsid w:val="00790711"/>
    <w:rsid w:val="00790764"/>
    <w:rsid w:val="0079124F"/>
    <w:rsid w:val="0079453C"/>
    <w:rsid w:val="00794677"/>
    <w:rsid w:val="007951E8"/>
    <w:rsid w:val="00795928"/>
    <w:rsid w:val="00797445"/>
    <w:rsid w:val="007A0CEC"/>
    <w:rsid w:val="007A37D6"/>
    <w:rsid w:val="007A3861"/>
    <w:rsid w:val="007A4577"/>
    <w:rsid w:val="007A516D"/>
    <w:rsid w:val="007B3597"/>
    <w:rsid w:val="007B5EB6"/>
    <w:rsid w:val="007B6203"/>
    <w:rsid w:val="007B6689"/>
    <w:rsid w:val="007C6BBD"/>
    <w:rsid w:val="007D293C"/>
    <w:rsid w:val="007D40DF"/>
    <w:rsid w:val="007E29B4"/>
    <w:rsid w:val="007E2BA5"/>
    <w:rsid w:val="007E435A"/>
    <w:rsid w:val="007E4A88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316C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3CC6"/>
    <w:rsid w:val="00854F24"/>
    <w:rsid w:val="00855408"/>
    <w:rsid w:val="00855712"/>
    <w:rsid w:val="00856D65"/>
    <w:rsid w:val="0085781D"/>
    <w:rsid w:val="00860007"/>
    <w:rsid w:val="00861B41"/>
    <w:rsid w:val="00861BE3"/>
    <w:rsid w:val="00863434"/>
    <w:rsid w:val="00865E4C"/>
    <w:rsid w:val="008701E4"/>
    <w:rsid w:val="0087052A"/>
    <w:rsid w:val="00871069"/>
    <w:rsid w:val="00875A32"/>
    <w:rsid w:val="00875B99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A7135"/>
    <w:rsid w:val="008B542E"/>
    <w:rsid w:val="008B5CF6"/>
    <w:rsid w:val="008B76AB"/>
    <w:rsid w:val="008B7C02"/>
    <w:rsid w:val="008B7D2B"/>
    <w:rsid w:val="008C0049"/>
    <w:rsid w:val="008C0E88"/>
    <w:rsid w:val="008C1968"/>
    <w:rsid w:val="008C4F74"/>
    <w:rsid w:val="008C53CB"/>
    <w:rsid w:val="008C6FD4"/>
    <w:rsid w:val="008D1BA1"/>
    <w:rsid w:val="008D1E6A"/>
    <w:rsid w:val="008D2A16"/>
    <w:rsid w:val="008D632C"/>
    <w:rsid w:val="008D6B35"/>
    <w:rsid w:val="008D75D9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279"/>
    <w:rsid w:val="00934464"/>
    <w:rsid w:val="00937AE2"/>
    <w:rsid w:val="00943853"/>
    <w:rsid w:val="0094427A"/>
    <w:rsid w:val="00945245"/>
    <w:rsid w:val="009452D0"/>
    <w:rsid w:val="00952289"/>
    <w:rsid w:val="00954BC5"/>
    <w:rsid w:val="00956572"/>
    <w:rsid w:val="00957309"/>
    <w:rsid w:val="0095759C"/>
    <w:rsid w:val="009607C5"/>
    <w:rsid w:val="00960A29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1731"/>
    <w:rsid w:val="00992CF3"/>
    <w:rsid w:val="00994868"/>
    <w:rsid w:val="0099574A"/>
    <w:rsid w:val="009968D6"/>
    <w:rsid w:val="009A1136"/>
    <w:rsid w:val="009A1CAB"/>
    <w:rsid w:val="009A60D1"/>
    <w:rsid w:val="009A7063"/>
    <w:rsid w:val="009B6FD3"/>
    <w:rsid w:val="009B8F42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4C0"/>
    <w:rsid w:val="00A40EAC"/>
    <w:rsid w:val="00A40EDD"/>
    <w:rsid w:val="00A418BC"/>
    <w:rsid w:val="00A41A20"/>
    <w:rsid w:val="00A41D7E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453F"/>
    <w:rsid w:val="00A754EA"/>
    <w:rsid w:val="00A75E40"/>
    <w:rsid w:val="00A770F4"/>
    <w:rsid w:val="00A77D1D"/>
    <w:rsid w:val="00A84A6A"/>
    <w:rsid w:val="00A857C0"/>
    <w:rsid w:val="00A85A4E"/>
    <w:rsid w:val="00A875AD"/>
    <w:rsid w:val="00A90FED"/>
    <w:rsid w:val="00AA2996"/>
    <w:rsid w:val="00AA2A70"/>
    <w:rsid w:val="00AA2DA1"/>
    <w:rsid w:val="00AA4B30"/>
    <w:rsid w:val="00AA52BF"/>
    <w:rsid w:val="00AA559A"/>
    <w:rsid w:val="00AB11E0"/>
    <w:rsid w:val="00AB2AF1"/>
    <w:rsid w:val="00AB4BB8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48A"/>
    <w:rsid w:val="00B2687D"/>
    <w:rsid w:val="00B26897"/>
    <w:rsid w:val="00B32DDB"/>
    <w:rsid w:val="00B34528"/>
    <w:rsid w:val="00B34CC9"/>
    <w:rsid w:val="00B402FC"/>
    <w:rsid w:val="00B42C45"/>
    <w:rsid w:val="00B439DA"/>
    <w:rsid w:val="00B46604"/>
    <w:rsid w:val="00B50624"/>
    <w:rsid w:val="00B530CD"/>
    <w:rsid w:val="00B55F5E"/>
    <w:rsid w:val="00B5752E"/>
    <w:rsid w:val="00B615F8"/>
    <w:rsid w:val="00B63A11"/>
    <w:rsid w:val="00B63B6A"/>
    <w:rsid w:val="00B64C24"/>
    <w:rsid w:val="00B65232"/>
    <w:rsid w:val="00B6584F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1396"/>
    <w:rsid w:val="00B84CF6"/>
    <w:rsid w:val="00B857A1"/>
    <w:rsid w:val="00B87623"/>
    <w:rsid w:val="00B927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5F"/>
    <w:rsid w:val="00BF1578"/>
    <w:rsid w:val="00BF3B1D"/>
    <w:rsid w:val="00BF53A6"/>
    <w:rsid w:val="00BF6D32"/>
    <w:rsid w:val="00BF71A0"/>
    <w:rsid w:val="00BF723F"/>
    <w:rsid w:val="00BF7ED6"/>
    <w:rsid w:val="00C02943"/>
    <w:rsid w:val="00C145CE"/>
    <w:rsid w:val="00C16FB0"/>
    <w:rsid w:val="00C21F94"/>
    <w:rsid w:val="00C27913"/>
    <w:rsid w:val="00C27E4F"/>
    <w:rsid w:val="00C325AE"/>
    <w:rsid w:val="00C32964"/>
    <w:rsid w:val="00C33B68"/>
    <w:rsid w:val="00C36A79"/>
    <w:rsid w:val="00C36F5A"/>
    <w:rsid w:val="00C401D2"/>
    <w:rsid w:val="00C405D4"/>
    <w:rsid w:val="00C41A20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0427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82C"/>
    <w:rsid w:val="00C90CF4"/>
    <w:rsid w:val="00C92EB6"/>
    <w:rsid w:val="00C93389"/>
    <w:rsid w:val="00C96040"/>
    <w:rsid w:val="00C97237"/>
    <w:rsid w:val="00C9769E"/>
    <w:rsid w:val="00CA0914"/>
    <w:rsid w:val="00CA6AB4"/>
    <w:rsid w:val="00CA7BE7"/>
    <w:rsid w:val="00CB15D6"/>
    <w:rsid w:val="00CB2F3F"/>
    <w:rsid w:val="00CB4930"/>
    <w:rsid w:val="00CC0E87"/>
    <w:rsid w:val="00CC2E7D"/>
    <w:rsid w:val="00CC6B42"/>
    <w:rsid w:val="00CD10A5"/>
    <w:rsid w:val="00CD1F6B"/>
    <w:rsid w:val="00CD2076"/>
    <w:rsid w:val="00CD29B5"/>
    <w:rsid w:val="00CD6331"/>
    <w:rsid w:val="00CD7704"/>
    <w:rsid w:val="00CD7AFB"/>
    <w:rsid w:val="00CE3E57"/>
    <w:rsid w:val="00CE670B"/>
    <w:rsid w:val="00CF04C7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8DC"/>
    <w:rsid w:val="00D23C02"/>
    <w:rsid w:val="00D23F97"/>
    <w:rsid w:val="00D25F28"/>
    <w:rsid w:val="00D26071"/>
    <w:rsid w:val="00D27973"/>
    <w:rsid w:val="00D35E1A"/>
    <w:rsid w:val="00D373EA"/>
    <w:rsid w:val="00D37C1E"/>
    <w:rsid w:val="00D40B2B"/>
    <w:rsid w:val="00D40F7C"/>
    <w:rsid w:val="00D417B7"/>
    <w:rsid w:val="00D42211"/>
    <w:rsid w:val="00D42756"/>
    <w:rsid w:val="00D50F46"/>
    <w:rsid w:val="00D53EAD"/>
    <w:rsid w:val="00D567C6"/>
    <w:rsid w:val="00D57677"/>
    <w:rsid w:val="00D61DF8"/>
    <w:rsid w:val="00D66223"/>
    <w:rsid w:val="00D674D7"/>
    <w:rsid w:val="00D71625"/>
    <w:rsid w:val="00D73A8D"/>
    <w:rsid w:val="00D751DA"/>
    <w:rsid w:val="00D75205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C6743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017C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551D2"/>
    <w:rsid w:val="00E6519D"/>
    <w:rsid w:val="00E67696"/>
    <w:rsid w:val="00E678BC"/>
    <w:rsid w:val="00E71654"/>
    <w:rsid w:val="00E71A58"/>
    <w:rsid w:val="00E72A7A"/>
    <w:rsid w:val="00E75C94"/>
    <w:rsid w:val="00E7677B"/>
    <w:rsid w:val="00E776FD"/>
    <w:rsid w:val="00E77A6B"/>
    <w:rsid w:val="00E8073E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24BB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5B59"/>
    <w:rsid w:val="00EE7F19"/>
    <w:rsid w:val="00EF150D"/>
    <w:rsid w:val="00EF1F5A"/>
    <w:rsid w:val="00EF371C"/>
    <w:rsid w:val="00EF47BF"/>
    <w:rsid w:val="00EF6DB3"/>
    <w:rsid w:val="00F04811"/>
    <w:rsid w:val="00F0488C"/>
    <w:rsid w:val="00F066CF"/>
    <w:rsid w:val="00F06C9E"/>
    <w:rsid w:val="00F10F11"/>
    <w:rsid w:val="00F15AAA"/>
    <w:rsid w:val="00F15BEF"/>
    <w:rsid w:val="00F17E83"/>
    <w:rsid w:val="00F20B71"/>
    <w:rsid w:val="00F21780"/>
    <w:rsid w:val="00F24407"/>
    <w:rsid w:val="00F24931"/>
    <w:rsid w:val="00F24FAA"/>
    <w:rsid w:val="00F252A0"/>
    <w:rsid w:val="00F25B4A"/>
    <w:rsid w:val="00F25DEE"/>
    <w:rsid w:val="00F3364D"/>
    <w:rsid w:val="00F4081A"/>
    <w:rsid w:val="00F437CC"/>
    <w:rsid w:val="00F43E29"/>
    <w:rsid w:val="00F44537"/>
    <w:rsid w:val="00F44B6A"/>
    <w:rsid w:val="00F4587B"/>
    <w:rsid w:val="00F47067"/>
    <w:rsid w:val="00F50FC3"/>
    <w:rsid w:val="00F51087"/>
    <w:rsid w:val="00F5188A"/>
    <w:rsid w:val="00F52106"/>
    <w:rsid w:val="00F525EB"/>
    <w:rsid w:val="00F52AFF"/>
    <w:rsid w:val="00F545ED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76A1A"/>
    <w:rsid w:val="00F84E7D"/>
    <w:rsid w:val="00F85066"/>
    <w:rsid w:val="00F87A4D"/>
    <w:rsid w:val="00F90035"/>
    <w:rsid w:val="00F9212A"/>
    <w:rsid w:val="00F92283"/>
    <w:rsid w:val="00F9785E"/>
    <w:rsid w:val="00FA1E9B"/>
    <w:rsid w:val="00FA3B1E"/>
    <w:rsid w:val="00FA5D4D"/>
    <w:rsid w:val="00FA60AD"/>
    <w:rsid w:val="00FA7115"/>
    <w:rsid w:val="00FB0EE2"/>
    <w:rsid w:val="00FB4423"/>
    <w:rsid w:val="00FB542E"/>
    <w:rsid w:val="00FB65CC"/>
    <w:rsid w:val="00FB6631"/>
    <w:rsid w:val="00FC0E5F"/>
    <w:rsid w:val="00FC1A95"/>
    <w:rsid w:val="00FC56DE"/>
    <w:rsid w:val="00FC6700"/>
    <w:rsid w:val="00FC684B"/>
    <w:rsid w:val="00FD1A5F"/>
    <w:rsid w:val="00FD23FA"/>
    <w:rsid w:val="00FD3265"/>
    <w:rsid w:val="00FD5F92"/>
    <w:rsid w:val="00FD66F9"/>
    <w:rsid w:val="00FD78F8"/>
    <w:rsid w:val="00FE2F78"/>
    <w:rsid w:val="00FE402C"/>
    <w:rsid w:val="00FE470B"/>
    <w:rsid w:val="00FF4082"/>
    <w:rsid w:val="00FF7090"/>
    <w:rsid w:val="00FF7B96"/>
    <w:rsid w:val="010E6CF6"/>
    <w:rsid w:val="01C12A79"/>
    <w:rsid w:val="0274CEEB"/>
    <w:rsid w:val="068FDE2D"/>
    <w:rsid w:val="0715AD2B"/>
    <w:rsid w:val="07E2429D"/>
    <w:rsid w:val="08A8D553"/>
    <w:rsid w:val="0B987C70"/>
    <w:rsid w:val="0C4F5932"/>
    <w:rsid w:val="0CDADA5A"/>
    <w:rsid w:val="0D60D9AA"/>
    <w:rsid w:val="0F9A6A16"/>
    <w:rsid w:val="11D0C0D9"/>
    <w:rsid w:val="13CB842F"/>
    <w:rsid w:val="13F45D65"/>
    <w:rsid w:val="17193E37"/>
    <w:rsid w:val="1873E3C4"/>
    <w:rsid w:val="1941F3F6"/>
    <w:rsid w:val="1A33BA0B"/>
    <w:rsid w:val="1B2689A5"/>
    <w:rsid w:val="1C7F89FF"/>
    <w:rsid w:val="1F63A775"/>
    <w:rsid w:val="1FF29EC8"/>
    <w:rsid w:val="24E94C0C"/>
    <w:rsid w:val="26B06DF0"/>
    <w:rsid w:val="26E021B7"/>
    <w:rsid w:val="292D1013"/>
    <w:rsid w:val="2A7920C3"/>
    <w:rsid w:val="2A79D812"/>
    <w:rsid w:val="2C90AA00"/>
    <w:rsid w:val="2DB28FFA"/>
    <w:rsid w:val="304DB734"/>
    <w:rsid w:val="30D0B3BE"/>
    <w:rsid w:val="331BE13C"/>
    <w:rsid w:val="332C5513"/>
    <w:rsid w:val="34AC24B1"/>
    <w:rsid w:val="3547C370"/>
    <w:rsid w:val="36710FB5"/>
    <w:rsid w:val="36C06199"/>
    <w:rsid w:val="3A09C7D4"/>
    <w:rsid w:val="3A10C190"/>
    <w:rsid w:val="3D1A961D"/>
    <w:rsid w:val="40199337"/>
    <w:rsid w:val="40B601A1"/>
    <w:rsid w:val="416A2A6C"/>
    <w:rsid w:val="4237DD18"/>
    <w:rsid w:val="442C5944"/>
    <w:rsid w:val="4C532880"/>
    <w:rsid w:val="4D58776A"/>
    <w:rsid w:val="52985A95"/>
    <w:rsid w:val="52CC52E2"/>
    <w:rsid w:val="54C43EB7"/>
    <w:rsid w:val="55C2456F"/>
    <w:rsid w:val="5D089BC5"/>
    <w:rsid w:val="5DC219FF"/>
    <w:rsid w:val="5E9E82EF"/>
    <w:rsid w:val="614CA75B"/>
    <w:rsid w:val="620EDB10"/>
    <w:rsid w:val="62DFE06B"/>
    <w:rsid w:val="6526004C"/>
    <w:rsid w:val="66D2B563"/>
    <w:rsid w:val="6766E9C4"/>
    <w:rsid w:val="68A6219C"/>
    <w:rsid w:val="69AF073E"/>
    <w:rsid w:val="6AD8AC9F"/>
    <w:rsid w:val="6B2670A5"/>
    <w:rsid w:val="6D02C387"/>
    <w:rsid w:val="6E1EAC99"/>
    <w:rsid w:val="7365B279"/>
    <w:rsid w:val="78254C23"/>
    <w:rsid w:val="7934B909"/>
    <w:rsid w:val="7A8E97F6"/>
    <w:rsid w:val="7A9DC929"/>
    <w:rsid w:val="7AD10CA0"/>
    <w:rsid w:val="7B277DC5"/>
    <w:rsid w:val="7BDB84E4"/>
    <w:rsid w:val="7DB22EB4"/>
    <w:rsid w:val="7E11BEDC"/>
    <w:rsid w:val="7E305D59"/>
    <w:rsid w:val="7EFAE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6F256F2C-AFCA-4565-B6C6-99433E4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karolina_zabojnikova_czso_cz/Documents/Dokumenty/Anal&#253;za/Q/2026Q1/Makroanal&#253;za%20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324074074074073E-2"/>
          <c:y val="4.0005727376861394E-2"/>
          <c:w val="0.88059911616161612"/>
          <c:h val="0.76044243986254301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'Vnější vztahy'!$E$6</c:f>
              <c:strCache>
                <c:ptCount val="1"/>
                <c:pt idx="0">
                  <c:v>Bilance</c:v>
                </c:pt>
              </c:strCache>
            </c:strRef>
          </c:tx>
          <c:spPr>
            <a:solidFill>
              <a:srgbClr val="85898E"/>
            </a:solidFill>
            <a:ln>
              <a:noFill/>
            </a:ln>
            <a:effectLst/>
          </c:spPr>
          <c:invertIfNegative val="0"/>
          <c:cat>
            <c:multiLvlStrRef>
              <c:f>'Vnější vztahy'!$A$15:$B$35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'Vnější vztahy'!$E$15:$E$35</c:f>
              <c:numCache>
                <c:formatCode>0.0</c:formatCode>
                <c:ptCount val="21"/>
                <c:pt idx="0">
                  <c:v>60.916821217999995</c:v>
                </c:pt>
                <c:pt idx="1">
                  <c:v>13.848192235000001</c:v>
                </c:pt>
                <c:pt idx="2">
                  <c:v>-54.700282055000002</c:v>
                </c:pt>
                <c:pt idx="3">
                  <c:v>-29.269374235000001</c:v>
                </c:pt>
                <c:pt idx="4">
                  <c:v>-12.635912592</c:v>
                </c:pt>
                <c:pt idx="5">
                  <c:v>-73.225200095999995</c:v>
                </c:pt>
                <c:pt idx="6">
                  <c:v>-64.314002961</c:v>
                </c:pt>
                <c:pt idx="7">
                  <c:v>-54.639469009000003</c:v>
                </c:pt>
                <c:pt idx="8">
                  <c:v>40.885161205999999</c:v>
                </c:pt>
                <c:pt idx="9">
                  <c:v>36.180839551999995</c:v>
                </c:pt>
                <c:pt idx="10">
                  <c:v>-1.2235418870000001</c:v>
                </c:pt>
                <c:pt idx="11">
                  <c:v>46.660049057999998</c:v>
                </c:pt>
                <c:pt idx="12">
                  <c:v>82.282917839000007</c:v>
                </c:pt>
                <c:pt idx="13">
                  <c:v>70.988541018000006</c:v>
                </c:pt>
                <c:pt idx="14">
                  <c:v>27.293198606000001</c:v>
                </c:pt>
                <c:pt idx="15">
                  <c:v>39.924275514999998</c:v>
                </c:pt>
                <c:pt idx="16">
                  <c:v>76.401159958999997</c:v>
                </c:pt>
                <c:pt idx="17">
                  <c:v>56.169417443999997</c:v>
                </c:pt>
                <c:pt idx="18">
                  <c:v>26.667608876999999</c:v>
                </c:pt>
                <c:pt idx="19">
                  <c:v>48.352389455999997</c:v>
                </c:pt>
                <c:pt idx="20">
                  <c:v>70.491511707000001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03-4499-BA49-41BC01BE3D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842150016"/>
        <c:axId val="1842137120"/>
      </c:barChart>
      <c:lineChart>
        <c:grouping val="standard"/>
        <c:varyColors val="0"/>
        <c:ser>
          <c:idx val="0"/>
          <c:order val="0"/>
          <c:tx>
            <c:strRef>
              <c:f>'Vnější vztahy'!$C$6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ash"/>
            <c:size val="9"/>
            <c:spPr>
              <a:solidFill>
                <a:srgbClr val="174F70"/>
              </a:solidFill>
              <a:ln w="9525">
                <a:noFill/>
              </a:ln>
              <a:effectLst/>
            </c:spPr>
          </c:marker>
          <c:cat>
            <c:multiLvlStrRef>
              <c:f>'Vnější vztahy'!$A$15:$B$35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'Vnější vztahy'!$C$15:$C$35</c:f>
              <c:numCache>
                <c:formatCode>#\ ##0.0</c:formatCode>
                <c:ptCount val="21"/>
                <c:pt idx="0">
                  <c:v>10.962313304399999</c:v>
                </c:pt>
                <c:pt idx="1">
                  <c:v>41.981094956100009</c:v>
                </c:pt>
                <c:pt idx="2">
                  <c:v>3.4515742189000065</c:v>
                </c:pt>
                <c:pt idx="3">
                  <c:v>2.749198525500006</c:v>
                </c:pt>
                <c:pt idx="4">
                  <c:v>8.0064988441999958</c:v>
                </c:pt>
                <c:pt idx="5">
                  <c:v>11.287163968300007</c:v>
                </c:pt>
                <c:pt idx="6">
                  <c:v>22.470879917399998</c:v>
                </c:pt>
                <c:pt idx="7">
                  <c:v>13.234980039600003</c:v>
                </c:pt>
                <c:pt idx="8">
                  <c:v>10.691327997000002</c:v>
                </c:pt>
                <c:pt idx="9">
                  <c:v>0.90534101039999371</c:v>
                </c:pt>
                <c:pt idx="10">
                  <c:v>-6.7264620790000009</c:v>
                </c:pt>
                <c:pt idx="11">
                  <c:v>-1.1504207308999952</c:v>
                </c:pt>
                <c:pt idx="12">
                  <c:v>-8.6901433099995984E-2</c:v>
                </c:pt>
                <c:pt idx="13">
                  <c:v>4.7005744015000062</c:v>
                </c:pt>
                <c:pt idx="14">
                  <c:v>10.984825847799996</c:v>
                </c:pt>
                <c:pt idx="15">
                  <c:v>4.9824641242999945</c:v>
                </c:pt>
                <c:pt idx="16">
                  <c:v>6.2055707495999997</c:v>
                </c:pt>
                <c:pt idx="17">
                  <c:v>2.9983534046999978</c:v>
                </c:pt>
                <c:pt idx="18">
                  <c:v>1.1961658963000019</c:v>
                </c:pt>
                <c:pt idx="19">
                  <c:v>-0.29474438430000305</c:v>
                </c:pt>
                <c:pt idx="20">
                  <c:v>2.677252141699995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03-4499-BA49-41BC01BE3D77}"/>
            </c:ext>
          </c:extLst>
        </c:ser>
        <c:ser>
          <c:idx val="1"/>
          <c:order val="1"/>
          <c:tx>
            <c:strRef>
              <c:f>'Vnější vztahy'!$D$6</c:f>
              <c:strCache>
                <c:ptCount val="1"/>
                <c:pt idx="0">
                  <c:v>Dovoz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ash"/>
            <c:size val="9"/>
            <c:spPr>
              <a:solidFill>
                <a:srgbClr val="BC5B80"/>
              </a:solidFill>
              <a:ln w="9525">
                <a:noFill/>
              </a:ln>
              <a:effectLst/>
            </c:spPr>
          </c:marker>
          <c:cat>
            <c:multiLvlStrRef>
              <c:f>'Vnější vztahy'!$A$15:$B$35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'Vnější vztahy'!$D$15:$D$35</c:f>
              <c:numCache>
                <c:formatCode>#\ ##0.0</c:formatCode>
                <c:ptCount val="21"/>
                <c:pt idx="0">
                  <c:v>8.4767312925000056</c:v>
                </c:pt>
                <c:pt idx="1">
                  <c:v>41.887499316600014</c:v>
                </c:pt>
                <c:pt idx="2">
                  <c:v>17.303793961099998</c:v>
                </c:pt>
                <c:pt idx="3">
                  <c:v>14.923030300799994</c:v>
                </c:pt>
                <c:pt idx="4">
                  <c:v>16.659765110899997</c:v>
                </c:pt>
                <c:pt idx="5">
                  <c:v>20.193090002000005</c:v>
                </c:pt>
                <c:pt idx="6">
                  <c:v>22.188267180799997</c:v>
                </c:pt>
                <c:pt idx="7">
                  <c:v>15.2991180633</c:v>
                </c:pt>
                <c:pt idx="8">
                  <c:v>5.5018043466999984</c:v>
                </c:pt>
                <c:pt idx="9">
                  <c:v>-8.2960208406999953</c:v>
                </c:pt>
                <c:pt idx="10">
                  <c:v>-11.801975368499996</c:v>
                </c:pt>
                <c:pt idx="11">
                  <c:v>-9.5344571271999996</c:v>
                </c:pt>
                <c:pt idx="12">
                  <c:v>-3.8011078601000037</c:v>
                </c:pt>
                <c:pt idx="13">
                  <c:v>1.682577773999995</c:v>
                </c:pt>
                <c:pt idx="14">
                  <c:v>8.1790772874000055</c:v>
                </c:pt>
                <c:pt idx="15">
                  <c:v>5.8165725733999949</c:v>
                </c:pt>
                <c:pt idx="16">
                  <c:v>7.2294779413000043</c:v>
                </c:pt>
                <c:pt idx="17">
                  <c:v>4.5177142658999969</c:v>
                </c:pt>
                <c:pt idx="18">
                  <c:v>1.2823502797999993</c:v>
                </c:pt>
                <c:pt idx="19">
                  <c:v>-1.0382158618999995</c:v>
                </c:pt>
                <c:pt idx="20">
                  <c:v>3.3685704093999931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03-4499-BA49-41BC01BE3D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1653648"/>
        <c:axId val="1621653232"/>
      </c:lineChart>
      <c:catAx>
        <c:axId val="162165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1621653232"/>
        <c:crosses val="autoZero"/>
        <c:auto val="1"/>
        <c:lblAlgn val="ctr"/>
        <c:lblOffset val="100"/>
        <c:noMultiLvlLbl val="0"/>
      </c:catAx>
      <c:valAx>
        <c:axId val="1621653232"/>
        <c:scaling>
          <c:orientation val="minMax"/>
          <c:min val="-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1621653648"/>
        <c:crosses val="autoZero"/>
        <c:crossBetween val="between"/>
      </c:valAx>
      <c:valAx>
        <c:axId val="1842137120"/>
        <c:scaling>
          <c:orientation val="minMax"/>
          <c:min val="-8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1842150016"/>
        <c:crosses val="max"/>
        <c:crossBetween val="between"/>
      </c:valAx>
      <c:catAx>
        <c:axId val="1842150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421371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7334595959595941E-2"/>
          <c:y val="0.9241869988545246"/>
          <c:w val="0.85464057239057234"/>
          <c:h val="5.3991695303550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1371</Words>
  <Characters>8093</Characters>
  <Application>Microsoft Office Word</Application>
  <DocSecurity>0</DocSecurity>
  <Lines>67</Lines>
  <Paragraphs>18</Paragraphs>
  <ScaleCrop>false</ScaleCrop>
  <Company>CSU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25</cp:revision>
  <cp:lastPrinted>2014-07-17T14:07:00Z</cp:lastPrinted>
  <dcterms:created xsi:type="dcterms:W3CDTF">2026-06-16T07:48:00Z</dcterms:created>
  <dcterms:modified xsi:type="dcterms:W3CDTF">2026-06-16T10:09:00Z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