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AC79FA" w:rsidP="0097104F">
      <w:pPr>
        <w:pStyle w:val="Nadpis1"/>
      </w:pPr>
      <w:bookmarkStart w:id="0" w:name="_GoBack"/>
      <w:bookmarkEnd w:id="0"/>
      <w:r w:rsidRPr="00AC79FA">
        <w:t>Průměrná mí</w:t>
      </w:r>
      <w:r>
        <w:t>ra inflace v roce 2021 byla 3,8 </w:t>
      </w:r>
      <w:r w:rsidRPr="00AC79FA">
        <w:t>%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AC79FA">
        <w:t>prosinec</w:t>
      </w:r>
      <w:r w:rsidR="00250429">
        <w:t> 20</w:t>
      </w:r>
      <w:r w:rsidR="00D563FA">
        <w:t>2</w:t>
      </w:r>
      <w:r w:rsidR="0085490B">
        <w:t>1</w:t>
      </w:r>
    </w:p>
    <w:p w:rsidR="0078029C" w:rsidRDefault="00B32059" w:rsidP="0078029C">
      <w:pPr>
        <w:pStyle w:val="Perex"/>
      </w:pPr>
      <w:r w:rsidRPr="00A64F2C">
        <w:t>Spotřebitelské ceny vzrostly v </w:t>
      </w:r>
      <w:r>
        <w:t>prosinci</w:t>
      </w:r>
      <w:r w:rsidRPr="00A64F2C">
        <w:t xml:space="preserve"> proti </w:t>
      </w:r>
      <w:r>
        <w:t>listopadu</w:t>
      </w:r>
      <w:r w:rsidRPr="00A64F2C">
        <w:t xml:space="preserve"> o 0,</w:t>
      </w:r>
      <w:r>
        <w:t>4</w:t>
      </w:r>
      <w:r w:rsidRPr="00A64F2C">
        <w:t> %. Tento vývoj byl ovlivněn zejména vyššími cenami v oddíle potraviny a nealkoholické nápoje</w:t>
      </w:r>
      <w:r>
        <w:t>.</w:t>
      </w:r>
      <w:r w:rsidRPr="00A64F2C">
        <w:t xml:space="preserve"> Meziročně vzrostly spotřebitelské ceny v</w:t>
      </w:r>
      <w:r>
        <w:t> prosinci</w:t>
      </w:r>
      <w:r w:rsidRPr="00A64F2C">
        <w:t xml:space="preserve"> o 6,</w:t>
      </w:r>
      <w:r>
        <w:t>6</w:t>
      </w:r>
      <w:r w:rsidRPr="00A64F2C">
        <w:t> %, což bylo</w:t>
      </w:r>
      <w:r>
        <w:t xml:space="preserve"> </w:t>
      </w:r>
      <w:r w:rsidRPr="00A64F2C">
        <w:t>o 0,</w:t>
      </w:r>
      <w:r>
        <w:t>6</w:t>
      </w:r>
      <w:r w:rsidRPr="00A64F2C">
        <w:t> procentního bodu více</w:t>
      </w:r>
      <w:r>
        <w:t xml:space="preserve"> než </w:t>
      </w:r>
      <w:r w:rsidRPr="00A64F2C">
        <w:t>v </w:t>
      </w:r>
      <w:r>
        <w:t>listopadu</w:t>
      </w:r>
      <w:r w:rsidRPr="00A64F2C">
        <w:t>.</w:t>
      </w:r>
      <w:r>
        <w:t xml:space="preserve"> Průměrná míra inflace za celý rok 2021 </w:t>
      </w:r>
      <w:r w:rsidRPr="0070699C">
        <w:t>byla</w:t>
      </w:r>
      <w:r>
        <w:t> </w:t>
      </w:r>
      <w:r w:rsidRPr="0070699C">
        <w:t>3</w:t>
      </w:r>
      <w:r>
        <w:t>,8 %.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B32059" w:rsidRDefault="00B32059" w:rsidP="00B32059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A64F2C">
        <w:rPr>
          <w:rFonts w:cs="Arial"/>
          <w:szCs w:val="20"/>
        </w:rPr>
        <w:t>Meziměsíčně vzrostly spotřebitelské ceny v </w:t>
      </w:r>
      <w:r>
        <w:rPr>
          <w:rFonts w:cs="Arial"/>
          <w:szCs w:val="20"/>
        </w:rPr>
        <w:t>prosinci</w:t>
      </w:r>
      <w:r w:rsidRPr="00A64F2C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4</w:t>
      </w:r>
      <w:r w:rsidRPr="00A64F2C">
        <w:rPr>
          <w:rFonts w:cs="Arial"/>
          <w:szCs w:val="20"/>
        </w:rPr>
        <w:t xml:space="preserve"> %. </w:t>
      </w:r>
      <w:r w:rsidRPr="00A64F2C">
        <w:rPr>
          <w:rFonts w:eastAsia="Calibri" w:cs="Arial"/>
          <w:szCs w:val="20"/>
        </w:rPr>
        <w:t xml:space="preserve">V oddíle </w:t>
      </w:r>
      <w:r>
        <w:rPr>
          <w:rFonts w:eastAsia="Calibri" w:cs="Arial"/>
          <w:szCs w:val="20"/>
        </w:rPr>
        <w:t>potraviny a nealkoholické nápoje byly vyšší především ceny pekárenských výrobků a obilovin o 2,2 %, zeleniny o 4,6 % (z čehož ceny brambor vzrostly o 18,3 %), sýrů a tvarohů o 2,1 %, cukru o 10,1 % a polotučného trvanlivého mléka o 6,0 %. Klesly ceny drůbežího masa o 3,7 %, ovoce o 1,9 % a vajec o 5,4 %. V oddíle bydlení vzrostly ceny zemního plynu o 1,4 %, tepla a teplé vody o 1,1 % a tuhých paliv o 2,5 %. Vývoj cen v oddíle doprava byl ovlivněn růstem cen automobilů o 2,4 % a dopravních služeb o 2,2 %. M</w:t>
      </w:r>
      <w:r w:rsidRPr="00A64F2C">
        <w:rPr>
          <w:rFonts w:eastAsia="Calibri" w:cs="Arial"/>
          <w:szCs w:val="20"/>
        </w:rPr>
        <w:t>eziměsíční pok</w:t>
      </w:r>
      <w:r>
        <w:rPr>
          <w:rFonts w:eastAsia="Calibri" w:cs="Arial"/>
          <w:szCs w:val="20"/>
        </w:rPr>
        <w:t>les</w:t>
      </w:r>
      <w:r w:rsidRPr="00A64F2C">
        <w:rPr>
          <w:rFonts w:eastAsia="Calibri" w:cs="Arial"/>
          <w:szCs w:val="20"/>
        </w:rPr>
        <w:t xml:space="preserve"> cen v oddíle </w:t>
      </w:r>
      <w:r>
        <w:rPr>
          <w:rFonts w:eastAsia="Calibri" w:cs="Arial"/>
          <w:szCs w:val="20"/>
        </w:rPr>
        <w:t>alkoholické nápoje, tabák byl způsoben poklesem cen vína o 3,6 % a lihovin o 1,4 %.</w:t>
      </w:r>
    </w:p>
    <w:p w:rsidR="00BF4542" w:rsidRPr="009A0A90" w:rsidRDefault="00B32059" w:rsidP="00B32059">
      <w:pPr>
        <w:jc w:val="both"/>
      </w:pPr>
      <w:r w:rsidRPr="00A64F2C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A64F2C">
        <w:rPr>
          <w:rFonts w:cs="Arial"/>
          <w:szCs w:val="20"/>
        </w:rPr>
        <w:t xml:space="preserve"> o 0,4 %</w:t>
      </w:r>
      <w:r>
        <w:rPr>
          <w:rFonts w:cs="Arial"/>
          <w:szCs w:val="20"/>
        </w:rPr>
        <w:t xml:space="preserve"> a </w:t>
      </w:r>
      <w:r w:rsidRPr="00A64F2C">
        <w:rPr>
          <w:rFonts w:cs="Arial"/>
          <w:szCs w:val="20"/>
        </w:rPr>
        <w:t>ceny služeb o 0,</w:t>
      </w:r>
      <w:r>
        <w:rPr>
          <w:rFonts w:cs="Arial"/>
          <w:szCs w:val="20"/>
        </w:rPr>
        <w:t>5</w:t>
      </w:r>
      <w:r w:rsidRPr="00A64F2C">
        <w:rPr>
          <w:rFonts w:cs="Arial"/>
          <w:szCs w:val="20"/>
        </w:rPr>
        <w:t> %.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B32059" w:rsidRPr="00A64F2C" w:rsidRDefault="00B32059" w:rsidP="00B32059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>Meziročně vzrostly spotřebitelské ceny v </w:t>
      </w:r>
      <w:r>
        <w:rPr>
          <w:rFonts w:cs="Arial"/>
          <w:szCs w:val="20"/>
        </w:rPr>
        <w:t>prosinci</w:t>
      </w:r>
      <w:r w:rsidRPr="00A64F2C">
        <w:rPr>
          <w:rFonts w:cs="Arial"/>
          <w:szCs w:val="20"/>
        </w:rPr>
        <w:t xml:space="preserve"> o 6,</w:t>
      </w:r>
      <w:r>
        <w:rPr>
          <w:rFonts w:cs="Arial"/>
          <w:szCs w:val="20"/>
        </w:rPr>
        <w:t>6</w:t>
      </w:r>
      <w:r w:rsidRPr="00A64F2C">
        <w:rPr>
          <w:rFonts w:cs="Arial"/>
          <w:szCs w:val="20"/>
        </w:rPr>
        <w:t> %, což bylo o 0,</w:t>
      </w:r>
      <w:r>
        <w:rPr>
          <w:rFonts w:cs="Arial"/>
          <w:szCs w:val="20"/>
        </w:rPr>
        <w:t>6</w:t>
      </w:r>
      <w:r w:rsidRPr="00A64F2C">
        <w:rPr>
          <w:rFonts w:cs="Arial"/>
          <w:szCs w:val="20"/>
        </w:rPr>
        <w:t> procentního bodu více než v </w:t>
      </w:r>
      <w:r>
        <w:rPr>
          <w:rFonts w:cs="Arial"/>
          <w:szCs w:val="20"/>
        </w:rPr>
        <w:t>listopadu</w:t>
      </w:r>
      <w:r w:rsidRPr="00A64F2C">
        <w:rPr>
          <w:rFonts w:cs="Arial"/>
          <w:szCs w:val="20"/>
        </w:rPr>
        <w:t xml:space="preserve">. </w:t>
      </w:r>
      <w:r w:rsidRPr="00211C86">
        <w:rPr>
          <w:rFonts w:cs="Arial"/>
          <w:b/>
          <w:szCs w:val="20"/>
        </w:rPr>
        <w:t>Z</w:t>
      </w:r>
      <w:r w:rsidRPr="00A64F2C">
        <w:rPr>
          <w:rFonts w:cs="Arial"/>
          <w:b/>
          <w:szCs w:val="20"/>
        </w:rPr>
        <w:t>rychl</w:t>
      </w:r>
      <w:r>
        <w:rPr>
          <w:rFonts w:cs="Arial"/>
          <w:b/>
          <w:szCs w:val="20"/>
        </w:rPr>
        <w:t>ení</w:t>
      </w:r>
      <w:r w:rsidRPr="00A64F2C">
        <w:rPr>
          <w:rStyle w:val="Znakapoznpodarou"/>
          <w:rFonts w:cs="Arial"/>
          <w:szCs w:val="20"/>
        </w:rPr>
        <w:footnoteReference w:id="1"/>
      </w:r>
      <w:r w:rsidRPr="00A64F2C">
        <w:rPr>
          <w:rFonts w:cs="Arial"/>
          <w:szCs w:val="20"/>
          <w:vertAlign w:val="superscript"/>
        </w:rPr>
        <w:t>)</w:t>
      </w:r>
      <w:r w:rsidRPr="00A64F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meziročního cenového růstu nastalo zejména v oddíle</w:t>
      </w:r>
      <w:r w:rsidRPr="00A64F2C">
        <w:rPr>
          <w:rFonts w:cs="Arial"/>
          <w:szCs w:val="20"/>
        </w:rPr>
        <w:t xml:space="preserve"> potraviny a nealkoholické nápoje</w:t>
      </w:r>
      <w:r>
        <w:rPr>
          <w:rFonts w:cs="Arial"/>
          <w:szCs w:val="20"/>
        </w:rPr>
        <w:t xml:space="preserve">, kde vzrostly ceny pekárenských výrobků a obilovin o 6,6 % (v listopadu o 3,9 %), ceny výrobků ve skupině mléko, sýry, vejce o 5,9 % (v listopadu o 2,8 %), cukru o 17,5 % (v listopadu o 5,6 %) a ceny zeleniny přešly z listopadového poklesu o 1,6 % v růst o 13,5 % v prosinci, přičemž ceny brambor zrychlily svůj růst na 18,6 % (v listopadu 5,2 %). </w:t>
      </w:r>
      <w:r w:rsidRPr="00A64F2C">
        <w:rPr>
          <w:rFonts w:cs="Arial"/>
          <w:szCs w:val="20"/>
        </w:rPr>
        <w:t xml:space="preserve">V oddíle doprava </w:t>
      </w:r>
      <w:r>
        <w:rPr>
          <w:rFonts w:cs="Arial"/>
          <w:szCs w:val="20"/>
        </w:rPr>
        <w:t>pokračoval růst cen automobilů, který v prosinci dosáhl 10,0 % (v listopadu 7,4 %).</w:t>
      </w:r>
    </w:p>
    <w:p w:rsidR="00B32059" w:rsidRDefault="00B32059" w:rsidP="00B32059">
      <w:pPr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 xml:space="preserve">Na meziroční </w:t>
      </w:r>
      <w:r w:rsidRPr="00A64F2C">
        <w:rPr>
          <w:rFonts w:cs="Arial"/>
          <w:b/>
          <w:szCs w:val="20"/>
        </w:rPr>
        <w:t>růst cenové hladiny</w:t>
      </w:r>
      <w:r w:rsidRPr="00A64F2C">
        <w:rPr>
          <w:rFonts w:cs="Arial"/>
          <w:szCs w:val="20"/>
        </w:rPr>
        <w:t xml:space="preserve"> měly v</w:t>
      </w:r>
      <w:r>
        <w:rPr>
          <w:rFonts w:cs="Arial"/>
          <w:szCs w:val="20"/>
        </w:rPr>
        <w:t> prosinci nadále</w:t>
      </w:r>
      <w:r w:rsidRPr="00A64F2C">
        <w:rPr>
          <w:rFonts w:cs="Arial"/>
          <w:szCs w:val="20"/>
        </w:rPr>
        <w:t xml:space="preserve"> největší vliv ceny v oddíle doprava</w:t>
      </w:r>
      <w:r>
        <w:rPr>
          <w:rFonts w:cs="Arial"/>
          <w:szCs w:val="20"/>
        </w:rPr>
        <w:t>, kde byly vyšší ceny pohonných hmot a </w:t>
      </w:r>
      <w:r w:rsidRPr="00F07D7E">
        <w:rPr>
          <w:rFonts w:cs="Arial"/>
          <w:szCs w:val="20"/>
        </w:rPr>
        <w:t>olejů o 2</w:t>
      </w:r>
      <w:r>
        <w:rPr>
          <w:rFonts w:cs="Arial"/>
          <w:szCs w:val="20"/>
        </w:rPr>
        <w:t>9</w:t>
      </w:r>
      <w:r w:rsidRPr="00F07D7E">
        <w:rPr>
          <w:rFonts w:cs="Arial"/>
          <w:szCs w:val="20"/>
        </w:rPr>
        <w:t>,2 %. Další v pořadí vlivu byly ceny v oddíle bydlení. Zde kromě nákladů vlastnického bydlení vzrostly ceny nájemného z bytu o 3,9 %,</w:t>
      </w:r>
      <w:r w:rsidRPr="00A64F2C">
        <w:rPr>
          <w:rFonts w:cs="Arial"/>
          <w:szCs w:val="20"/>
        </w:rPr>
        <w:t xml:space="preserve"> výrobků a služeb pro běžnou údržbu a opravy bytu o </w:t>
      </w:r>
      <w:r>
        <w:rPr>
          <w:rFonts w:cs="Arial"/>
          <w:szCs w:val="20"/>
        </w:rPr>
        <w:t>10,3</w:t>
      </w:r>
      <w:r w:rsidRPr="00A64F2C">
        <w:rPr>
          <w:rFonts w:cs="Arial"/>
          <w:szCs w:val="20"/>
        </w:rPr>
        <w:t> %,</w:t>
      </w:r>
      <w:r>
        <w:rPr>
          <w:rFonts w:cs="Arial"/>
          <w:szCs w:val="20"/>
        </w:rPr>
        <w:t xml:space="preserve"> </w:t>
      </w:r>
      <w:r w:rsidRPr="00B32059">
        <w:rPr>
          <w:rFonts w:cs="Arial"/>
          <w:szCs w:val="20"/>
        </w:rPr>
        <w:t>vodného a stočného shodně o 5,5 % a tuhých paliv o 8,9 %. Ceny elektřiny klesly o 15,0 % a zemního plynu o 7,9 %, především</w:t>
      </w:r>
      <w:r w:rsidRPr="00061478">
        <w:rPr>
          <w:rFonts w:cs="Arial"/>
          <w:szCs w:val="20"/>
        </w:rPr>
        <w:t xml:space="preserve"> v důsledku dočasného prominutí DPH na energie.</w:t>
      </w:r>
      <w:r w:rsidRPr="004112E6">
        <w:rPr>
          <w:rFonts w:cs="Arial"/>
          <w:szCs w:val="20"/>
        </w:rPr>
        <w:t xml:space="preserve"> V oddíle potraviny a</w:t>
      </w:r>
      <w:r>
        <w:rPr>
          <w:rFonts w:cs="Arial"/>
          <w:szCs w:val="20"/>
        </w:rPr>
        <w:t> </w:t>
      </w:r>
      <w:r w:rsidRPr="004112E6">
        <w:rPr>
          <w:rFonts w:cs="Arial"/>
          <w:szCs w:val="20"/>
        </w:rPr>
        <w:t xml:space="preserve">nealkoholické nápoje byly </w:t>
      </w:r>
      <w:r>
        <w:rPr>
          <w:rFonts w:cs="Arial"/>
          <w:szCs w:val="20"/>
        </w:rPr>
        <w:t xml:space="preserve">meziročně vyšší ceny olejů a tuků o 24,7 %. </w:t>
      </w:r>
      <w:r w:rsidRPr="00A64F2C">
        <w:rPr>
          <w:rFonts w:cs="Arial"/>
          <w:szCs w:val="20"/>
        </w:rPr>
        <w:t xml:space="preserve">V oddíle alkoholické nápoje, tabák </w:t>
      </w:r>
      <w:r>
        <w:rPr>
          <w:rFonts w:cs="Arial"/>
          <w:szCs w:val="20"/>
        </w:rPr>
        <w:t>se zvýšily</w:t>
      </w:r>
      <w:r w:rsidRPr="00A64F2C">
        <w:rPr>
          <w:rFonts w:cs="Arial"/>
          <w:szCs w:val="20"/>
        </w:rPr>
        <w:t xml:space="preserve"> ceny tabákových výrobků o 1</w:t>
      </w:r>
      <w:r>
        <w:rPr>
          <w:rFonts w:cs="Arial"/>
          <w:szCs w:val="20"/>
        </w:rPr>
        <w:t>0,5</w:t>
      </w:r>
      <w:r w:rsidRPr="00A64F2C">
        <w:rPr>
          <w:rFonts w:cs="Arial"/>
          <w:szCs w:val="20"/>
        </w:rPr>
        <w:t> %. V oddíle odívání a obuv vzrostly ceny oděvů o 1</w:t>
      </w:r>
      <w:r>
        <w:rPr>
          <w:rFonts w:cs="Arial"/>
          <w:szCs w:val="20"/>
        </w:rPr>
        <w:t>6,2</w:t>
      </w:r>
      <w:r w:rsidRPr="00A64F2C">
        <w:rPr>
          <w:rFonts w:cs="Arial"/>
          <w:szCs w:val="20"/>
        </w:rPr>
        <w:t> %.</w:t>
      </w:r>
    </w:p>
    <w:p w:rsidR="00B32059" w:rsidRPr="00A64F2C" w:rsidRDefault="00B32059" w:rsidP="00B3205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A64F2C">
        <w:rPr>
          <w:rFonts w:cs="Arial"/>
          <w:szCs w:val="20"/>
        </w:rPr>
        <w:t>Imputované nájemné (náklady vlastnického bydlení) vzrostlo o 14,</w:t>
      </w:r>
      <w:r>
        <w:rPr>
          <w:rFonts w:cs="Arial"/>
          <w:szCs w:val="20"/>
        </w:rPr>
        <w:t>7</w:t>
      </w:r>
      <w:r w:rsidRPr="00A64F2C">
        <w:rPr>
          <w:rFonts w:cs="Arial"/>
          <w:szCs w:val="20"/>
        </w:rPr>
        <w:t> % (v</w:t>
      </w:r>
      <w:r>
        <w:rPr>
          <w:rFonts w:cs="Arial"/>
          <w:szCs w:val="20"/>
        </w:rPr>
        <w:t> listopadu</w:t>
      </w:r>
      <w:r w:rsidRPr="00A64F2C">
        <w:rPr>
          <w:rFonts w:cs="Arial"/>
          <w:szCs w:val="20"/>
        </w:rPr>
        <w:t xml:space="preserve"> o 1</w:t>
      </w:r>
      <w:r>
        <w:rPr>
          <w:rFonts w:cs="Arial"/>
          <w:szCs w:val="20"/>
        </w:rPr>
        <w:t>4</w:t>
      </w:r>
      <w:r w:rsidRPr="00A64F2C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A64F2C">
        <w:rPr>
          <w:rFonts w:cs="Arial"/>
          <w:szCs w:val="20"/>
        </w:rPr>
        <w:t> %) zejména v důsledku růstu cen stavebních materiálů a cen nových bytů pro vlastní bydlení, v menší míře i růstu cen stavebních prací. Úhrnný index spotřebitelských cen bez započtení imputovaného nájemného byl 105,</w:t>
      </w:r>
      <w:r>
        <w:rPr>
          <w:rFonts w:cs="Arial"/>
          <w:szCs w:val="20"/>
        </w:rPr>
        <w:t>7</w:t>
      </w:r>
      <w:r w:rsidRPr="00A64F2C">
        <w:rPr>
          <w:rFonts w:cs="Arial"/>
          <w:szCs w:val="20"/>
        </w:rPr>
        <w:t xml:space="preserve"> %. (Více informací k indexu imputované nájemné: </w:t>
      </w:r>
      <w:hyperlink r:id="rId8" w:history="1">
        <w:r w:rsidRPr="00A64F2C">
          <w:rPr>
            <w:rStyle w:val="Hypertextovodkaz"/>
            <w:rFonts w:cs="Arial"/>
            <w:szCs w:val="20"/>
          </w:rPr>
          <w:t>Metodická poznámka</w:t>
        </w:r>
      </w:hyperlink>
      <w:r w:rsidRPr="00A64F2C">
        <w:rPr>
          <w:rFonts w:cs="Arial"/>
          <w:szCs w:val="20"/>
        </w:rPr>
        <w:t>.)</w:t>
      </w:r>
    </w:p>
    <w:p w:rsidR="004A05A3" w:rsidRDefault="00B32059" w:rsidP="00B32059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64F2C">
        <w:rPr>
          <w:rFonts w:cs="Arial"/>
          <w:szCs w:val="20"/>
        </w:rPr>
        <w:t>Ceny zboží úhrnem vzrostly o 5,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 a ceny služeb o 7,</w:t>
      </w:r>
      <w:r>
        <w:rPr>
          <w:rFonts w:cs="Arial"/>
          <w:szCs w:val="20"/>
        </w:rPr>
        <w:t>8</w:t>
      </w:r>
      <w:r w:rsidRPr="00A64F2C">
        <w:rPr>
          <w:rFonts w:cs="Arial"/>
          <w:szCs w:val="20"/>
        </w:rPr>
        <w:t> %.</w:t>
      </w:r>
    </w:p>
    <w:p w:rsidR="00AC79FA" w:rsidRPr="002E7BAD" w:rsidRDefault="00AC79FA" w:rsidP="00AC79FA">
      <w:pPr>
        <w:spacing w:after="0"/>
        <w:jc w:val="both"/>
        <w:rPr>
          <w:b/>
        </w:rPr>
      </w:pPr>
      <w:r>
        <w:rPr>
          <w:b/>
        </w:rPr>
        <w:t>Průměrná míra inflace</w:t>
      </w:r>
    </w:p>
    <w:p w:rsidR="00B32059" w:rsidRPr="00702636" w:rsidRDefault="00B32059" w:rsidP="00B32059">
      <w:pPr>
        <w:pStyle w:val="Zkladntext"/>
        <w:spacing w:after="240"/>
        <w:jc w:val="both"/>
        <w:rPr>
          <w:rFonts w:eastAsia="Calibri"/>
          <w:i/>
          <w:iCs/>
          <w:szCs w:val="20"/>
        </w:rPr>
      </w:pPr>
      <w:r w:rsidRPr="00B32059">
        <w:rPr>
          <w:rFonts w:cs="Arial"/>
          <w:bCs/>
          <w:i/>
          <w:szCs w:val="20"/>
        </w:rPr>
        <w:t>„Průměrná míra inflace za</w:t>
      </w:r>
      <w:r w:rsidRPr="00B32059">
        <w:rPr>
          <w:rFonts w:cs="Arial"/>
          <w:i/>
          <w:szCs w:val="20"/>
        </w:rPr>
        <w:t xml:space="preserve"> rok 2021 </w:t>
      </w:r>
      <w:r w:rsidRPr="00B32059">
        <w:rPr>
          <w:rFonts w:eastAsia="Calibri"/>
          <w:i/>
          <w:szCs w:val="22"/>
        </w:rPr>
        <w:t>činila 3,8 %. Bylo to o 0,6 procentního bodu více než v roce 2020. Šlo o nejvyšší průměrnou roční míru inflace od roku 2008. Ceny zboží úhrnem v roce 2021 vzrostly o 3,5 % a ceny služeb o 4,4 </w:t>
      </w:r>
      <w:r w:rsidRPr="00B32059">
        <w:rPr>
          <w:rFonts w:eastAsia="Calibri"/>
          <w:i/>
          <w:szCs w:val="20"/>
        </w:rPr>
        <w:t>%,“</w:t>
      </w:r>
      <w:r w:rsidRPr="00702636">
        <w:rPr>
          <w:rFonts w:eastAsia="Calibri"/>
          <w:szCs w:val="20"/>
        </w:rPr>
        <w:t xml:space="preserve"> </w:t>
      </w:r>
      <w:r w:rsidRPr="00702636">
        <w:rPr>
          <w:rFonts w:cs="Arial"/>
          <w:szCs w:val="20"/>
        </w:rPr>
        <w:t>uvádí Pavla Šedivá, vedoucí oddělení statistiky spotřebitelských cen ČSÚ.</w:t>
      </w:r>
    </w:p>
    <w:p w:rsidR="00AC79FA" w:rsidRDefault="00B32059" w:rsidP="00B32059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C02FC">
        <w:rPr>
          <w:rFonts w:eastAsia="Calibri"/>
          <w:szCs w:val="22"/>
        </w:rPr>
        <w:lastRenderedPageBreak/>
        <w:t>(Shrnutí vývoje indexu spotřebitelských cen v roce 20</w:t>
      </w:r>
      <w:r>
        <w:rPr>
          <w:rFonts w:eastAsia="Calibri"/>
          <w:szCs w:val="22"/>
        </w:rPr>
        <w:t>21</w:t>
      </w:r>
      <w:r w:rsidRPr="007C02FC">
        <w:rPr>
          <w:rFonts w:eastAsia="Calibri"/>
          <w:szCs w:val="22"/>
        </w:rPr>
        <w:t xml:space="preserve"> je součástí souběžně vydávané</w:t>
      </w:r>
      <w:r w:rsidRPr="004D7C35">
        <w:rPr>
          <w:rFonts w:eastAsia="Calibri"/>
          <w:szCs w:val="22"/>
        </w:rPr>
        <w:t xml:space="preserve"> analýzy za 4. čtvrtletí.)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B32059" w:rsidRPr="00B32059" w:rsidRDefault="00B32059" w:rsidP="00B3205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2059">
        <w:rPr>
          <w:rFonts w:cs="Arial"/>
          <w:sz w:val="20"/>
          <w:szCs w:val="20"/>
        </w:rPr>
        <w:t xml:space="preserve">Podle předběžných výpočtů vzrostl </w:t>
      </w:r>
      <w:r w:rsidRPr="00B32059">
        <w:rPr>
          <w:rFonts w:cs="Arial"/>
          <w:b/>
          <w:sz w:val="20"/>
          <w:szCs w:val="20"/>
        </w:rPr>
        <w:t xml:space="preserve">v prosinci </w:t>
      </w:r>
      <w:r w:rsidRPr="00B32059">
        <w:rPr>
          <w:rFonts w:cs="Arial"/>
          <w:sz w:val="20"/>
          <w:szCs w:val="20"/>
        </w:rPr>
        <w:t xml:space="preserve">HICP v Česku </w:t>
      </w:r>
      <w:r w:rsidRPr="00B32059">
        <w:rPr>
          <w:rFonts w:cs="Arial"/>
          <w:b/>
          <w:sz w:val="20"/>
          <w:szCs w:val="20"/>
        </w:rPr>
        <w:t xml:space="preserve">meziměsíčně </w:t>
      </w:r>
      <w:r w:rsidRPr="00B32059">
        <w:rPr>
          <w:rFonts w:cs="Arial"/>
          <w:sz w:val="20"/>
          <w:szCs w:val="20"/>
        </w:rPr>
        <w:t>o 0,3 % a </w:t>
      </w:r>
      <w:r w:rsidRPr="00B32059">
        <w:rPr>
          <w:rFonts w:cs="Arial"/>
          <w:b/>
          <w:sz w:val="20"/>
          <w:szCs w:val="20"/>
        </w:rPr>
        <w:t xml:space="preserve">meziročně </w:t>
      </w:r>
      <w:r w:rsidRPr="00B32059">
        <w:rPr>
          <w:rFonts w:cs="Arial"/>
          <w:sz w:val="20"/>
          <w:szCs w:val="20"/>
        </w:rPr>
        <w:t>o</w:t>
      </w:r>
      <w:r w:rsidRPr="00B32059">
        <w:rPr>
          <w:rFonts w:cs="Arial"/>
          <w:b/>
          <w:sz w:val="20"/>
          <w:szCs w:val="20"/>
        </w:rPr>
        <w:t> </w:t>
      </w:r>
      <w:r w:rsidRPr="00B32059">
        <w:rPr>
          <w:rFonts w:cs="Arial"/>
          <w:sz w:val="20"/>
          <w:szCs w:val="20"/>
        </w:rPr>
        <w:t xml:space="preserve">5,4 %. </w:t>
      </w:r>
      <w:r w:rsidRPr="00B32059">
        <w:rPr>
          <w:rFonts w:cs="Arial"/>
          <w:b/>
          <w:sz w:val="20"/>
          <w:szCs w:val="20"/>
        </w:rPr>
        <w:t>Podle bleskových odhadů</w:t>
      </w:r>
      <w:r w:rsidRPr="00B32059">
        <w:rPr>
          <w:rFonts w:cs="Arial"/>
          <w:sz w:val="20"/>
          <w:szCs w:val="20"/>
        </w:rPr>
        <w:t xml:space="preserve"> </w:t>
      </w:r>
      <w:proofErr w:type="spellStart"/>
      <w:r w:rsidRPr="00B32059">
        <w:rPr>
          <w:rFonts w:cs="Arial"/>
          <w:sz w:val="20"/>
          <w:szCs w:val="20"/>
        </w:rPr>
        <w:t>Eurostatu</w:t>
      </w:r>
      <w:proofErr w:type="spellEnd"/>
      <w:r w:rsidRPr="00B32059">
        <w:rPr>
          <w:rFonts w:cs="Arial"/>
          <w:b/>
          <w:sz w:val="20"/>
          <w:szCs w:val="20"/>
        </w:rPr>
        <w:t xml:space="preserve"> </w:t>
      </w:r>
      <w:r w:rsidRPr="00B32059">
        <w:rPr>
          <w:rFonts w:cs="Arial"/>
          <w:sz w:val="20"/>
          <w:szCs w:val="20"/>
        </w:rPr>
        <w:t>byla</w:t>
      </w:r>
      <w:r w:rsidRPr="00B32059">
        <w:rPr>
          <w:rFonts w:cs="Arial"/>
          <w:b/>
          <w:sz w:val="20"/>
          <w:szCs w:val="20"/>
        </w:rPr>
        <w:t xml:space="preserve"> meziroční</w:t>
      </w:r>
      <w:r w:rsidRPr="00B32059">
        <w:rPr>
          <w:rFonts w:cs="Arial"/>
          <w:sz w:val="20"/>
          <w:szCs w:val="20"/>
        </w:rPr>
        <w:t xml:space="preserve"> změna HICP </w:t>
      </w:r>
      <w:r w:rsidRPr="00B32059">
        <w:rPr>
          <w:rFonts w:cs="Arial"/>
          <w:b/>
          <w:sz w:val="20"/>
          <w:szCs w:val="20"/>
        </w:rPr>
        <w:t>v prosinci</w:t>
      </w:r>
      <w:r w:rsidRPr="00B32059">
        <w:rPr>
          <w:rFonts w:cs="Arial"/>
          <w:b/>
          <w:bCs/>
          <w:sz w:val="20"/>
          <w:szCs w:val="20"/>
        </w:rPr>
        <w:t xml:space="preserve"> 2021 </w:t>
      </w:r>
      <w:r w:rsidRPr="00B32059">
        <w:rPr>
          <w:rFonts w:cs="Arial"/>
          <w:sz w:val="20"/>
          <w:szCs w:val="20"/>
        </w:rPr>
        <w:t>za Eurozónu 5,0 % (v listopadu 4,9 %), na Slovensku 5,1 % a v Německu</w:t>
      </w:r>
      <w:r w:rsidRPr="00B32059">
        <w:rPr>
          <w:rFonts w:cs="Arial"/>
          <w:bCs/>
          <w:sz w:val="20"/>
          <w:szCs w:val="20"/>
        </w:rPr>
        <w:t xml:space="preserve"> 5,7 %. P</w:t>
      </w:r>
      <w:r w:rsidRPr="00B32059">
        <w:rPr>
          <w:rFonts w:cs="Arial"/>
          <w:sz w:val="20"/>
          <w:szCs w:val="20"/>
        </w:rPr>
        <w:t xml:space="preserve">odle předběžných údajů </w:t>
      </w:r>
      <w:proofErr w:type="spellStart"/>
      <w:r w:rsidRPr="00B32059">
        <w:rPr>
          <w:rFonts w:cs="Arial"/>
          <w:sz w:val="20"/>
          <w:szCs w:val="20"/>
        </w:rPr>
        <w:t>Eurostatu</w:t>
      </w:r>
      <w:proofErr w:type="spellEnd"/>
      <w:r w:rsidRPr="00B32059">
        <w:rPr>
          <w:rFonts w:cs="Arial"/>
          <w:sz w:val="20"/>
          <w:szCs w:val="20"/>
        </w:rPr>
        <w:t xml:space="preserve"> byla </w:t>
      </w:r>
      <w:r w:rsidRPr="00B32059">
        <w:rPr>
          <w:rFonts w:cs="Arial"/>
          <w:b/>
          <w:sz w:val="20"/>
          <w:szCs w:val="20"/>
        </w:rPr>
        <w:t>meziroční</w:t>
      </w:r>
      <w:r w:rsidRPr="00B32059">
        <w:rPr>
          <w:rFonts w:cs="Arial"/>
          <w:sz w:val="20"/>
          <w:szCs w:val="20"/>
        </w:rPr>
        <w:t xml:space="preserve"> změna HICP </w:t>
      </w:r>
      <w:r w:rsidRPr="00B32059">
        <w:rPr>
          <w:rFonts w:cs="Arial"/>
          <w:b/>
          <w:bCs/>
          <w:sz w:val="20"/>
          <w:szCs w:val="20"/>
        </w:rPr>
        <w:t xml:space="preserve">27 členských zemí EU </w:t>
      </w:r>
      <w:r w:rsidRPr="00B32059">
        <w:rPr>
          <w:rFonts w:cs="Arial"/>
          <w:b/>
          <w:sz w:val="20"/>
          <w:szCs w:val="20"/>
        </w:rPr>
        <w:t xml:space="preserve">v listopadu </w:t>
      </w:r>
      <w:r w:rsidRPr="00B32059">
        <w:rPr>
          <w:rFonts w:cs="Arial"/>
          <w:sz w:val="20"/>
          <w:szCs w:val="20"/>
        </w:rPr>
        <w:t xml:space="preserve">5,2 %, což bylo o 0,8 procentního bodu více než v říjnu. </w:t>
      </w:r>
      <w:r w:rsidRPr="00B32059">
        <w:rPr>
          <w:rFonts w:cs="Arial"/>
          <w:bCs/>
          <w:sz w:val="20"/>
          <w:szCs w:val="20"/>
        </w:rPr>
        <w:t>Nejvíce ceny v listopadu meziročně vzrostly v Litvě (o 9,3 %) a nejméně na Maltě (o 2,4 %).</w:t>
      </w:r>
    </w:p>
    <w:p w:rsidR="00AC79FA" w:rsidRPr="00B32059" w:rsidRDefault="00B32059" w:rsidP="00B3205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32059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32059">
        <w:rPr>
          <w:rFonts w:cs="Arial"/>
          <w:sz w:val="20"/>
          <w:szCs w:val="20"/>
        </w:rPr>
        <w:t>Eurostatu</w:t>
      </w:r>
      <w:proofErr w:type="spellEnd"/>
      <w:r w:rsidRPr="00B32059">
        <w:rPr>
          <w:rFonts w:cs="Arial"/>
          <w:sz w:val="20"/>
          <w:szCs w:val="20"/>
        </w:rPr>
        <w:t xml:space="preserve">: </w:t>
      </w:r>
      <w:hyperlink r:id="rId9" w:history="1">
        <w:r w:rsidRPr="00B32059">
          <w:rPr>
            <w:rStyle w:val="Hypertextovodkaz"/>
            <w:rFonts w:cs="Arial"/>
            <w:sz w:val="20"/>
            <w:szCs w:val="20"/>
          </w:rPr>
          <w:t>HICP</w:t>
        </w:r>
      </w:hyperlink>
      <w:r w:rsidRPr="00B32059">
        <w:rPr>
          <w:rFonts w:cs="Arial"/>
          <w:sz w:val="20"/>
          <w:szCs w:val="20"/>
        </w:rPr>
        <w:t>.)</w:t>
      </w:r>
    </w:p>
    <w:p w:rsidR="00D031A2" w:rsidRPr="00D031A2" w:rsidRDefault="00D031A2" w:rsidP="00D031A2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D031A2">
        <w:rPr>
          <w:rFonts w:cs="Arial"/>
          <w:szCs w:val="20"/>
        </w:rPr>
        <w:t xml:space="preserve">Celková úroveň spotřebitelských cen </w:t>
      </w:r>
      <w:r w:rsidRPr="00D031A2">
        <w:rPr>
          <w:rFonts w:cs="Arial"/>
          <w:b/>
          <w:bCs/>
          <w:szCs w:val="20"/>
        </w:rPr>
        <w:t>domácností důchodců</w:t>
      </w:r>
      <w:r w:rsidRPr="00D031A2">
        <w:rPr>
          <w:rFonts w:cs="Arial"/>
          <w:szCs w:val="20"/>
        </w:rPr>
        <w:t xml:space="preserve"> v prosinci ve srovnání s předcházejícím měsícem vzrostla o 0,3 %. Největší vliv na tento vývoj mělo zvýšení cen v oddíle potraviny a nealkoholické nápoje o 0,7 %. V tomto oddíle byly vyšší zejména ceny zeleniny (včetně brambor), pekárenských výrobků a obilovin, cukru, sýrů a tvarohů.</w:t>
      </w:r>
      <w:r w:rsidRPr="00D031A2">
        <w:rPr>
          <w:rFonts w:eastAsia="Calibri" w:cs="Arial"/>
          <w:szCs w:val="20"/>
        </w:rPr>
        <w:t xml:space="preserve"> </w:t>
      </w:r>
      <w:r w:rsidRPr="00D031A2">
        <w:rPr>
          <w:rFonts w:cs="Arial"/>
          <w:szCs w:val="20"/>
        </w:rPr>
        <w:t xml:space="preserve">V oddíle doprava došlo ke zvýšení cen automobilů a dopravních služeb. Růst cen v oddíle bytové vybavení, zařízení domácnosti o 0,7 % byl </w:t>
      </w:r>
      <w:r>
        <w:rPr>
          <w:rFonts w:cs="Arial"/>
          <w:szCs w:val="20"/>
        </w:rPr>
        <w:t>způsoben vyššími cenami zboží a </w:t>
      </w:r>
      <w:r w:rsidRPr="00D031A2">
        <w:rPr>
          <w:rFonts w:cs="Arial"/>
          <w:szCs w:val="20"/>
        </w:rPr>
        <w:t>služeb pro běžnou údržbu domácnosti. Op</w:t>
      </w:r>
      <w:r w:rsidRPr="00D031A2">
        <w:rPr>
          <w:rFonts w:eastAsia="Calibri" w:cs="Arial"/>
          <w:szCs w:val="20"/>
        </w:rPr>
        <w:t>ačný vliv na změnu cenové hladiny měl</w:t>
      </w:r>
      <w:r w:rsidRPr="00D031A2">
        <w:rPr>
          <w:rFonts w:cs="Arial"/>
          <w:szCs w:val="20"/>
        </w:rPr>
        <w:t xml:space="preserve"> pokles cen v oddíle alkoholické nápoje, tabák o 0,6 %. V tomto oddíle byly nižší především ceny vína a lihovin.</w:t>
      </w:r>
    </w:p>
    <w:p w:rsidR="00D031A2" w:rsidRPr="00D031A2" w:rsidRDefault="00D031A2" w:rsidP="00D031A2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031A2">
        <w:rPr>
          <w:rFonts w:cs="Arial"/>
          <w:b/>
          <w:bCs/>
          <w:sz w:val="20"/>
          <w:szCs w:val="20"/>
        </w:rPr>
        <w:t>V hlavním městě Praze</w:t>
      </w:r>
      <w:r w:rsidRPr="00D031A2">
        <w:rPr>
          <w:rFonts w:cs="Arial"/>
          <w:sz w:val="20"/>
          <w:szCs w:val="20"/>
        </w:rPr>
        <w:t xml:space="preserve"> spotřebitelské ceny úhrnem ve srovnání s minulým měsícem vzrostly o 0,6 % (v Česku o 0,4 %). V oddíle odívání a obuv byly ceny vyšší o 2,4 % (v Česku o 1,0 %). V tomto oddíle došlo k růstu cen oděvů i obuvi. V oddíle potraviny a nealkoholické nápoje se ceny zvýšily o 0,7 % (v Česku také o 0,7 %) zejména vlivem vyšších cen zeleniny (včetně brambor), pekárenských výrobků a obilovin, sýrů a tvarohů, cukru. Růst cen v oddíle doprava o 0,8 % (v Česku o 0,7 %) byl způsoben především vyššími cenami automobilů a dopravních služeb. Na druhé straně došlo v Praze k poklesu spotřebitelských cen v oddíle alkoholické nápoje, tabák o 0,8 % (v Česku pokles o 0,7 %). V tomto oddíle se snížily ceny vína a lihovin.</w:t>
      </w:r>
    </w:p>
    <w:p w:rsidR="00AC79FA" w:rsidRPr="00AC79FA" w:rsidRDefault="00AC79FA" w:rsidP="00AC79F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C79FA" w:rsidRPr="00AC79FA" w:rsidRDefault="00AC79FA" w:rsidP="00AC79FA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AC79FA">
        <w:rPr>
          <w:rFonts w:cs="Arial"/>
          <w:sz w:val="20"/>
          <w:szCs w:val="20"/>
        </w:rPr>
        <w:t>* * *</w:t>
      </w:r>
    </w:p>
    <w:p w:rsidR="00AB345B" w:rsidRPr="00AC79FA" w:rsidRDefault="00AC79FA" w:rsidP="00AC79F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AC79FA">
        <w:rPr>
          <w:rFonts w:eastAsia="Times New Roman" w:cs="Arial"/>
          <w:iCs/>
          <w:sz w:val="20"/>
          <w:szCs w:val="20"/>
        </w:rPr>
        <w:t>Od ledna 2022 budou indexy spotřebitelských cen počítány na aktualizovaných vahách, které budou vycházet z průměru výdajů domácností v letech 2019 - 2021. Nově vypočítávané indexy budou na všech úrovních spotřebního koše řetězeny k časové řadě indexů o 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AB345B" w:rsidRPr="00AC79FA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EF" w:rsidRDefault="00CD3BEF" w:rsidP="00E71A58">
      <w:r>
        <w:separator/>
      </w:r>
    </w:p>
  </w:endnote>
  <w:endnote w:type="continuationSeparator" w:id="0">
    <w:p w:rsidR="00CD3BEF" w:rsidRDefault="00CD3BE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930ED1">
      <w:rPr>
        <w:szCs w:val="16"/>
      </w:rPr>
      <w:t>prosinec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930ED1">
      <w:rPr>
        <w:rStyle w:val="ZpatChar"/>
        <w:i/>
        <w:szCs w:val="16"/>
      </w:rPr>
      <w:t>Dec</w:t>
    </w:r>
    <w:r w:rsidR="00417272">
      <w:rPr>
        <w:rStyle w:val="ZpatChar"/>
        <w:i/>
        <w:szCs w:val="16"/>
      </w:rPr>
      <w:t>em</w:t>
    </w:r>
    <w:r w:rsidR="00B36E6A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EF" w:rsidRDefault="00CD3BEF" w:rsidP="00E71A58">
      <w:r>
        <w:separator/>
      </w:r>
    </w:p>
  </w:footnote>
  <w:footnote w:type="continuationSeparator" w:id="0">
    <w:p w:rsidR="00CD3BEF" w:rsidRDefault="00CD3BEF" w:rsidP="00E71A58">
      <w:r>
        <w:continuationSeparator/>
      </w:r>
    </w:p>
  </w:footnote>
  <w:footnote w:id="1">
    <w:p w:rsidR="00B32059" w:rsidRPr="00B32059" w:rsidRDefault="00B32059" w:rsidP="00B32059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B32059">
        <w:rPr>
          <w:rStyle w:val="Znakapoznpodarou"/>
          <w:rFonts w:ascii="Arial" w:hAnsi="Arial" w:cs="Arial"/>
          <w:sz w:val="18"/>
          <w:szCs w:val="18"/>
          <w:lang w:val="cs-CZ"/>
        </w:rPr>
        <w:footnoteRef/>
      </w:r>
      <w:r w:rsidRPr="00B32059">
        <w:rPr>
          <w:rFonts w:ascii="Arial" w:hAnsi="Arial" w:cs="Arial"/>
          <w:sz w:val="18"/>
          <w:szCs w:val="18"/>
          <w:vertAlign w:val="superscript"/>
          <w:lang w:val="cs-CZ"/>
        </w:rPr>
        <w:t xml:space="preserve">) </w:t>
      </w:r>
      <w:r w:rsidRPr="00B32059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B32059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 meziměsíčního indexu a zároveň na změně základny – meziměsíčního indexu (růstu/poklesu) ve stejném měsíci loňského roku.</w:t>
      </w:r>
    </w:p>
  </w:footnote>
  <w:footnote w:id="2">
    <w:p w:rsidR="00F071F6" w:rsidRDefault="00F071F6" w:rsidP="006E7114">
      <w:pPr>
        <w:pStyle w:val="Poznamkytexty"/>
        <w:spacing w:line="288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64B76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A7F1A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059"/>
    <w:rsid w:val="00B32DDB"/>
    <w:rsid w:val="00B34528"/>
    <w:rsid w:val="00B35002"/>
    <w:rsid w:val="00B36E6A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D3BEF"/>
    <w:rsid w:val="00CE0758"/>
    <w:rsid w:val="00CE670B"/>
    <w:rsid w:val="00CF031A"/>
    <w:rsid w:val="00CF51EC"/>
    <w:rsid w:val="00CF73AE"/>
    <w:rsid w:val="00D031A2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E469D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a-poznamka-k-indexu-spotrebitelskych-cen-imputovane-najemne-listopad-202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74DA-41F9-4E4F-8AC6-CB7AF82D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352</TotalTime>
  <Pages>2</Pages>
  <Words>904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henkrichova31428</cp:lastModifiedBy>
  <cp:revision>177</cp:revision>
  <cp:lastPrinted>2017-01-18T13:33:00Z</cp:lastPrinted>
  <dcterms:created xsi:type="dcterms:W3CDTF">2017-02-09T16:27:00Z</dcterms:created>
  <dcterms:modified xsi:type="dcterms:W3CDTF">2022-01-13T10:43:00Z</dcterms:modified>
</cp:coreProperties>
</file>