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2195" w14:textId="573B85E6" w:rsidR="007F0076" w:rsidRPr="00995C95" w:rsidRDefault="007F0076" w:rsidP="007F0076">
      <w:pPr>
        <w:pStyle w:val="Nadpis1"/>
        <w:rPr>
          <w:lang w:val="en-GB"/>
        </w:rPr>
      </w:pPr>
      <w:bookmarkStart w:id="0" w:name="_Toc227235019"/>
      <w:r w:rsidRPr="00995C95">
        <w:rPr>
          <w:lang w:val="en-GB"/>
        </w:rPr>
        <w:t>5. </w:t>
      </w:r>
      <w:r w:rsidR="00263FDC" w:rsidRPr="00995C95">
        <w:rPr>
          <w:lang w:val="en-GB"/>
        </w:rPr>
        <w:t>Prices</w:t>
      </w:r>
      <w:bookmarkEnd w:id="0"/>
      <w:r w:rsidRPr="00995C95">
        <w:rPr>
          <w:lang w:val="en-GB"/>
        </w:rPr>
        <w:t xml:space="preserve"> </w:t>
      </w:r>
    </w:p>
    <w:tbl>
      <w:tblPr>
        <w:tblW w:w="9639" w:type="dxa"/>
        <w:tblInd w:w="-15" w:type="dxa"/>
        <w:tblCellMar>
          <w:left w:w="0" w:type="dxa"/>
          <w:right w:w="0" w:type="dxa"/>
        </w:tblCellMar>
        <w:tblLook w:val="00A0" w:firstRow="1" w:lastRow="0" w:firstColumn="1" w:lastColumn="0" w:noHBand="0" w:noVBand="0"/>
      </w:tblPr>
      <w:tblGrid>
        <w:gridCol w:w="1791"/>
        <w:gridCol w:w="223"/>
        <w:gridCol w:w="7625"/>
      </w:tblGrid>
      <w:tr w:rsidR="007F0076" w:rsidRPr="00995C95" w14:paraId="0D8BDA01" w14:textId="77777777" w:rsidTr="00E87182">
        <w:trPr>
          <w:trHeight w:val="145"/>
        </w:trPr>
        <w:tc>
          <w:tcPr>
            <w:tcW w:w="1791" w:type="dxa"/>
            <w:hideMark/>
          </w:tcPr>
          <w:p w14:paraId="6C291037" w14:textId="74B47725" w:rsidR="007F0076" w:rsidRPr="00995C95" w:rsidRDefault="00142940" w:rsidP="00142940">
            <w:pPr>
              <w:pStyle w:val="Marginlie"/>
              <w:rPr>
                <w:spacing w:val="0"/>
                <w:lang w:eastAsia="en-US"/>
              </w:rPr>
            </w:pPr>
            <w:r w:rsidRPr="00995C95">
              <w:rPr>
                <w:spacing w:val="0"/>
                <w:lang w:eastAsia="en-US"/>
              </w:rPr>
              <w:t>The price level increased by 3.4% in 2025.</w:t>
            </w:r>
          </w:p>
        </w:tc>
        <w:tc>
          <w:tcPr>
            <w:tcW w:w="223" w:type="dxa"/>
          </w:tcPr>
          <w:p w14:paraId="7E600BEE" w14:textId="77777777" w:rsidR="007F0076" w:rsidRPr="00995C95" w:rsidRDefault="007F0076" w:rsidP="00E87182">
            <w:pPr>
              <w:pStyle w:val="Textpoznpodarou1"/>
              <w:jc w:val="both"/>
              <w:rPr>
                <w:lang w:eastAsia="en-US"/>
              </w:rPr>
            </w:pPr>
          </w:p>
        </w:tc>
        <w:tc>
          <w:tcPr>
            <w:tcW w:w="7625" w:type="dxa"/>
            <w:hideMark/>
          </w:tcPr>
          <w:p w14:paraId="45B6B6B3" w14:textId="2F9E4DF8" w:rsidR="007F0076" w:rsidRPr="00995C95" w:rsidRDefault="003B6097" w:rsidP="003B6097">
            <w:pPr>
              <w:rPr>
                <w:szCs w:val="20"/>
                <w:lang w:eastAsia="en-US"/>
              </w:rPr>
            </w:pPr>
            <w:r w:rsidRPr="00995C95">
              <w:rPr>
                <w:szCs w:val="20"/>
                <w:lang w:eastAsia="en-US"/>
              </w:rPr>
              <w:t xml:space="preserve">The </w:t>
            </w:r>
            <w:r w:rsidR="004C63B5" w:rsidRPr="00995C95">
              <w:rPr>
                <w:szCs w:val="20"/>
                <w:lang w:eastAsia="en-US"/>
              </w:rPr>
              <w:t xml:space="preserve">total </w:t>
            </w:r>
            <w:r w:rsidRPr="00995C95">
              <w:rPr>
                <w:szCs w:val="20"/>
                <w:lang w:eastAsia="en-US"/>
              </w:rPr>
              <w:t xml:space="preserve">increase </w:t>
            </w:r>
            <w:r w:rsidR="004C63B5" w:rsidRPr="00995C95">
              <w:rPr>
                <w:szCs w:val="20"/>
                <w:lang w:eastAsia="en-US"/>
              </w:rPr>
              <w:t xml:space="preserve">of </w:t>
            </w:r>
            <w:r w:rsidRPr="00995C95">
              <w:rPr>
                <w:szCs w:val="20"/>
                <w:lang w:eastAsia="en-US"/>
              </w:rPr>
              <w:t xml:space="preserve">the price level, as measured by the GDP deflator, was 3.4% in 2025. The price level was higher for consumption (3.2%, </w:t>
            </w:r>
            <w:r w:rsidR="00D276BF" w:rsidRPr="00995C95">
              <w:rPr>
                <w:szCs w:val="20"/>
                <w:lang w:eastAsia="en-US"/>
              </w:rPr>
              <w:t xml:space="preserve">in that </w:t>
            </w:r>
            <w:r w:rsidRPr="00995C95">
              <w:rPr>
                <w:szCs w:val="20"/>
                <w:lang w:eastAsia="en-US"/>
              </w:rPr>
              <w:t xml:space="preserve">household consumption prices increased by 2.9%) and expenditure on gross capital formation (3.1%). The terms of trade in </w:t>
            </w:r>
            <w:r w:rsidR="00FF0650" w:rsidRPr="00995C95">
              <w:rPr>
                <w:szCs w:val="20"/>
                <w:lang w:eastAsia="en-US"/>
              </w:rPr>
              <w:t xml:space="preserve">international </w:t>
            </w:r>
            <w:r w:rsidRPr="00995C95">
              <w:rPr>
                <w:szCs w:val="20"/>
                <w:lang w:eastAsia="en-US"/>
              </w:rPr>
              <w:t xml:space="preserve">trade </w:t>
            </w:r>
            <w:r w:rsidR="00FF0650" w:rsidRPr="00995C95">
              <w:rPr>
                <w:szCs w:val="20"/>
                <w:lang w:eastAsia="en-US"/>
              </w:rPr>
              <w:t xml:space="preserve">with </w:t>
            </w:r>
            <w:r w:rsidRPr="00995C95">
              <w:rPr>
                <w:szCs w:val="20"/>
                <w:lang w:eastAsia="en-US"/>
              </w:rPr>
              <w:t xml:space="preserve">goods and services were positive (100.7%). The </w:t>
            </w:r>
            <w:r w:rsidR="00FF0650" w:rsidRPr="00995C95">
              <w:rPr>
                <w:szCs w:val="20"/>
                <w:lang w:eastAsia="en-US"/>
              </w:rPr>
              <w:t xml:space="preserve">total </w:t>
            </w:r>
            <w:r w:rsidRPr="00995C95">
              <w:rPr>
                <w:szCs w:val="20"/>
                <w:lang w:eastAsia="en-US"/>
              </w:rPr>
              <w:t xml:space="preserve">year-on-year growth </w:t>
            </w:r>
            <w:r w:rsidR="00FF0650" w:rsidRPr="00995C95">
              <w:rPr>
                <w:szCs w:val="20"/>
                <w:lang w:eastAsia="en-US"/>
              </w:rPr>
              <w:t xml:space="preserve">of </w:t>
            </w:r>
            <w:r w:rsidRPr="00995C95">
              <w:rPr>
                <w:szCs w:val="20"/>
                <w:lang w:eastAsia="en-US"/>
              </w:rPr>
              <w:t>the price level strengthened to 3.9% in Q4 last year. This was mainly influenced by the development of the price level of capital expenditure (5.4%), especially the valuation of inventories. The price level of expenditure on fixed capital formation rose only slightly (2.1%). Consumer prices were 3.2% higher</w:t>
            </w:r>
            <w:r w:rsidR="000A01AA" w:rsidRPr="00995C95">
              <w:rPr>
                <w:szCs w:val="20"/>
                <w:lang w:eastAsia="en-US"/>
              </w:rPr>
              <w:t>,</w:t>
            </w:r>
            <w:r w:rsidRPr="00995C95">
              <w:rPr>
                <w:szCs w:val="20"/>
                <w:lang w:eastAsia="en-US"/>
              </w:rPr>
              <w:t xml:space="preserve"> year-on-year, </w:t>
            </w:r>
            <w:r w:rsidR="00A91AAB" w:rsidRPr="00995C95">
              <w:rPr>
                <w:szCs w:val="20"/>
                <w:lang w:eastAsia="en-US"/>
              </w:rPr>
              <w:t xml:space="preserve">of which </w:t>
            </w:r>
            <w:r w:rsidR="000A01AA" w:rsidRPr="00995C95">
              <w:rPr>
                <w:szCs w:val="20"/>
                <w:lang w:eastAsia="en-US"/>
              </w:rPr>
              <w:t>prices</w:t>
            </w:r>
            <w:r w:rsidRPr="00995C95">
              <w:rPr>
                <w:szCs w:val="20"/>
                <w:lang w:eastAsia="en-US"/>
              </w:rPr>
              <w:t xml:space="preserve"> for households increased by 2.5%. </w:t>
            </w:r>
            <w:r w:rsidR="0068672C" w:rsidRPr="00995C95">
              <w:rPr>
                <w:szCs w:val="20"/>
                <w:lang w:eastAsia="en-US"/>
              </w:rPr>
              <w:t xml:space="preserve">Year-on-year </w:t>
            </w:r>
            <w:r w:rsidRPr="00995C95">
              <w:rPr>
                <w:szCs w:val="20"/>
                <w:lang w:eastAsia="en-US"/>
              </w:rPr>
              <w:t xml:space="preserve">terms of </w:t>
            </w:r>
            <w:r w:rsidR="00A06374" w:rsidRPr="00995C95">
              <w:rPr>
                <w:szCs w:val="20"/>
                <w:lang w:eastAsia="en-US"/>
              </w:rPr>
              <w:t xml:space="preserve">international </w:t>
            </w:r>
            <w:r w:rsidRPr="00995C95">
              <w:rPr>
                <w:szCs w:val="20"/>
                <w:lang w:eastAsia="en-US"/>
              </w:rPr>
              <w:t xml:space="preserve">trade reached 100.9%. Quarter-on-quarter, the total price level increased by 1.0% in Q4. The increase strengthened, and this was due not only to stronger growth </w:t>
            </w:r>
            <w:r w:rsidR="00B06251" w:rsidRPr="00995C95">
              <w:rPr>
                <w:szCs w:val="20"/>
                <w:lang w:eastAsia="en-US"/>
              </w:rPr>
              <w:t>of</w:t>
            </w:r>
            <w:r w:rsidRPr="00995C95">
              <w:rPr>
                <w:szCs w:val="20"/>
                <w:lang w:eastAsia="en-US"/>
              </w:rPr>
              <w:t xml:space="preserve"> consumption prices (0.8%), but also to positive quarter-on-quarter terms of </w:t>
            </w:r>
            <w:r w:rsidR="00B06251" w:rsidRPr="00995C95">
              <w:rPr>
                <w:szCs w:val="20"/>
                <w:lang w:eastAsia="en-US"/>
              </w:rPr>
              <w:t>international t</w:t>
            </w:r>
            <w:r w:rsidRPr="00995C95">
              <w:rPr>
                <w:szCs w:val="20"/>
                <w:lang w:eastAsia="en-US"/>
              </w:rPr>
              <w:t xml:space="preserve">rade (100.5%). Quarter-on-quarter growth </w:t>
            </w:r>
            <w:r w:rsidR="00B06251" w:rsidRPr="00995C95">
              <w:rPr>
                <w:szCs w:val="20"/>
                <w:lang w:eastAsia="en-US"/>
              </w:rPr>
              <w:t xml:space="preserve">of </w:t>
            </w:r>
            <w:r w:rsidRPr="00995C95">
              <w:rPr>
                <w:szCs w:val="20"/>
                <w:lang w:eastAsia="en-US"/>
              </w:rPr>
              <w:t>gross capital expenditure prices weakened to 0.5%.</w:t>
            </w:r>
            <w:r w:rsidR="000A01AA" w:rsidRPr="00995C95">
              <w:rPr>
                <w:szCs w:val="20"/>
                <w:lang w:eastAsia="en-US"/>
              </w:rPr>
              <w:t xml:space="preserve"> </w:t>
            </w:r>
          </w:p>
        </w:tc>
      </w:tr>
      <w:tr w:rsidR="007F0076" w:rsidRPr="00995C95" w14:paraId="43BE307A" w14:textId="77777777" w:rsidTr="00E87182">
        <w:trPr>
          <w:trHeight w:val="145"/>
        </w:trPr>
        <w:tc>
          <w:tcPr>
            <w:tcW w:w="1791" w:type="dxa"/>
          </w:tcPr>
          <w:p w14:paraId="49371E32" w14:textId="716F1942" w:rsidR="007F0076" w:rsidRPr="00995C95" w:rsidRDefault="00C1648C" w:rsidP="00C1648C">
            <w:pPr>
              <w:pStyle w:val="Marginlie"/>
              <w:rPr>
                <w:spacing w:val="0"/>
                <w:lang w:eastAsia="en-US"/>
              </w:rPr>
            </w:pPr>
            <w:r w:rsidRPr="00995C95">
              <w:rPr>
                <w:spacing w:val="0"/>
                <w:lang w:eastAsia="en-US"/>
              </w:rPr>
              <w:t xml:space="preserve">Year-on-year growth </w:t>
            </w:r>
            <w:r w:rsidR="00923FAC" w:rsidRPr="00995C95">
              <w:rPr>
                <w:spacing w:val="0"/>
                <w:lang w:eastAsia="en-US"/>
              </w:rPr>
              <w:t xml:space="preserve">of </w:t>
            </w:r>
            <w:r w:rsidRPr="00995C95">
              <w:rPr>
                <w:spacing w:val="0"/>
                <w:lang w:eastAsia="en-US"/>
              </w:rPr>
              <w:t>consumer prices did not differ much from 2024.</w:t>
            </w:r>
          </w:p>
        </w:tc>
        <w:tc>
          <w:tcPr>
            <w:tcW w:w="223" w:type="dxa"/>
          </w:tcPr>
          <w:p w14:paraId="628E4917" w14:textId="77777777" w:rsidR="007F0076" w:rsidRPr="00995C95" w:rsidRDefault="007F0076" w:rsidP="00E87182">
            <w:pPr>
              <w:pStyle w:val="Textpoznpodarou1"/>
              <w:jc w:val="both"/>
              <w:rPr>
                <w:lang w:eastAsia="en-US"/>
              </w:rPr>
            </w:pPr>
          </w:p>
        </w:tc>
        <w:tc>
          <w:tcPr>
            <w:tcW w:w="7625" w:type="dxa"/>
          </w:tcPr>
          <w:p w14:paraId="0796EAE6" w14:textId="51A668CA" w:rsidR="007F0076" w:rsidRPr="00995C95" w:rsidRDefault="00923FAC" w:rsidP="0088317A">
            <w:pPr>
              <w:rPr>
                <w:lang w:eastAsia="en-US"/>
              </w:rPr>
            </w:pPr>
            <w:r w:rsidRPr="00995C95">
              <w:rPr>
                <w:lang w:eastAsia="en-US"/>
              </w:rPr>
              <w:t xml:space="preserve">In total, </w:t>
            </w:r>
            <w:r w:rsidR="0088317A" w:rsidRPr="00995C95">
              <w:rPr>
                <w:lang w:eastAsia="en-US"/>
              </w:rPr>
              <w:t xml:space="preserve">consumer prices increased by 2.5% in 2025. The increase </w:t>
            </w:r>
            <w:r w:rsidR="007F6DCB" w:rsidRPr="00995C95">
              <w:rPr>
                <w:lang w:eastAsia="en-US"/>
              </w:rPr>
              <w:t xml:space="preserve">went up </w:t>
            </w:r>
            <w:r w:rsidR="0088317A" w:rsidRPr="00995C95">
              <w:rPr>
                <w:lang w:eastAsia="en-US"/>
              </w:rPr>
              <w:t xml:space="preserve">only slightly compared to the previous year (2.4%). </w:t>
            </w:r>
            <w:r w:rsidR="007F6DCB" w:rsidRPr="00995C95">
              <w:rPr>
                <w:lang w:eastAsia="en-US"/>
              </w:rPr>
              <w:t>T</w:t>
            </w:r>
            <w:r w:rsidR="0088317A" w:rsidRPr="00995C95">
              <w:rPr>
                <w:lang w:eastAsia="en-US"/>
              </w:rPr>
              <w:t xml:space="preserve">he prices of food and non-alcoholic beverages contributed the most to the </w:t>
            </w:r>
            <w:r w:rsidR="007F6DCB" w:rsidRPr="00995C95">
              <w:rPr>
                <w:lang w:eastAsia="en-US"/>
              </w:rPr>
              <w:t xml:space="preserve">total </w:t>
            </w:r>
            <w:r w:rsidR="0088317A" w:rsidRPr="00995C95">
              <w:rPr>
                <w:lang w:eastAsia="en-US"/>
              </w:rPr>
              <w:t xml:space="preserve">increase </w:t>
            </w:r>
            <w:r w:rsidR="007F6DCB" w:rsidRPr="00995C95">
              <w:rPr>
                <w:lang w:eastAsia="en-US"/>
              </w:rPr>
              <w:t xml:space="preserve">of </w:t>
            </w:r>
            <w:r w:rsidR="0088317A" w:rsidRPr="00995C95">
              <w:rPr>
                <w:lang w:eastAsia="en-US"/>
              </w:rPr>
              <w:t>consumer prices</w:t>
            </w:r>
            <w:r w:rsidR="007F6DCB" w:rsidRPr="00995C95">
              <w:rPr>
                <w:lang w:eastAsia="en-US"/>
              </w:rPr>
              <w:t xml:space="preserve"> last year</w:t>
            </w:r>
            <w:r w:rsidR="0088317A" w:rsidRPr="00995C95">
              <w:rPr>
                <w:lang w:eastAsia="en-US"/>
              </w:rPr>
              <w:t xml:space="preserve">, followed by the </w:t>
            </w:r>
            <w:r w:rsidR="001400C5" w:rsidRPr="00995C95">
              <w:rPr>
                <w:lang w:eastAsia="en-US"/>
              </w:rPr>
              <w:t xml:space="preserve">division </w:t>
            </w:r>
            <w:r w:rsidR="0088317A" w:rsidRPr="00995C95">
              <w:rPr>
                <w:lang w:eastAsia="en-US"/>
              </w:rPr>
              <w:t xml:space="preserve">housing, water, energy and fuels. Above average dynamics and a significant impact on consumer price developments continued to be maintained last year by two divisions comprising services – food </w:t>
            </w:r>
            <w:r w:rsidR="001400C5" w:rsidRPr="00995C95">
              <w:rPr>
                <w:lang w:eastAsia="en-US"/>
              </w:rPr>
              <w:t xml:space="preserve">service </w:t>
            </w:r>
            <w:r w:rsidR="0088317A" w:rsidRPr="00995C95">
              <w:rPr>
                <w:lang w:eastAsia="en-US"/>
              </w:rPr>
              <w:t xml:space="preserve">and accommodation and recreation and culture. </w:t>
            </w:r>
            <w:r w:rsidR="00885509" w:rsidRPr="00995C95">
              <w:rPr>
                <w:lang w:eastAsia="en-US"/>
              </w:rPr>
              <w:t>O</w:t>
            </w:r>
            <w:r w:rsidR="0088317A" w:rsidRPr="00995C95">
              <w:rPr>
                <w:lang w:eastAsia="en-US"/>
              </w:rPr>
              <w:t xml:space="preserve">nly developments </w:t>
            </w:r>
            <w:r w:rsidR="00885509" w:rsidRPr="00995C95">
              <w:rPr>
                <w:lang w:eastAsia="en-US"/>
              </w:rPr>
              <w:t xml:space="preserve">of </w:t>
            </w:r>
            <w:r w:rsidR="0088317A" w:rsidRPr="00995C95">
              <w:rPr>
                <w:lang w:eastAsia="en-US"/>
              </w:rPr>
              <w:t>clothing and footwear and transport</w:t>
            </w:r>
            <w:r w:rsidR="00885509" w:rsidRPr="00995C95">
              <w:rPr>
                <w:lang w:eastAsia="en-US"/>
              </w:rPr>
              <w:t>ation</w:t>
            </w:r>
            <w:r w:rsidR="0088317A" w:rsidRPr="00995C95">
              <w:rPr>
                <w:lang w:eastAsia="en-US"/>
              </w:rPr>
              <w:t xml:space="preserve"> were in the direction of the consumer price</w:t>
            </w:r>
            <w:r w:rsidR="00885509" w:rsidRPr="00995C95">
              <w:rPr>
                <w:lang w:eastAsia="en-US"/>
              </w:rPr>
              <w:t xml:space="preserve"> drops last year</w:t>
            </w:r>
            <w:r w:rsidR="0088317A" w:rsidRPr="00995C95">
              <w:rPr>
                <w:lang w:eastAsia="en-US"/>
              </w:rPr>
              <w:t>.</w:t>
            </w:r>
            <w:r w:rsidR="00A6051A" w:rsidRPr="00995C95">
              <w:rPr>
                <w:lang w:eastAsia="en-US"/>
              </w:rPr>
              <w:t xml:space="preserve"> </w:t>
            </w:r>
          </w:p>
        </w:tc>
      </w:tr>
      <w:tr w:rsidR="007F0076" w:rsidRPr="00995C95" w14:paraId="089EDD27" w14:textId="77777777" w:rsidTr="00E87182">
        <w:trPr>
          <w:trHeight w:val="145"/>
        </w:trPr>
        <w:tc>
          <w:tcPr>
            <w:tcW w:w="1791" w:type="dxa"/>
          </w:tcPr>
          <w:p w14:paraId="725697A0" w14:textId="77777777" w:rsidR="007F0076" w:rsidRPr="00995C95" w:rsidRDefault="007F0076" w:rsidP="00E87182">
            <w:pPr>
              <w:pStyle w:val="Marginlie"/>
              <w:rPr>
                <w:spacing w:val="0"/>
                <w:lang w:eastAsia="en-US"/>
              </w:rPr>
            </w:pPr>
          </w:p>
        </w:tc>
        <w:tc>
          <w:tcPr>
            <w:tcW w:w="223" w:type="dxa"/>
          </w:tcPr>
          <w:p w14:paraId="7F03D71F" w14:textId="77777777" w:rsidR="007F0076" w:rsidRPr="00995C95" w:rsidRDefault="007F0076" w:rsidP="00E87182">
            <w:pPr>
              <w:pStyle w:val="Textpoznpodarou1"/>
              <w:jc w:val="both"/>
              <w:rPr>
                <w:lang w:eastAsia="en-US"/>
              </w:rPr>
            </w:pPr>
          </w:p>
        </w:tc>
        <w:tc>
          <w:tcPr>
            <w:tcW w:w="7625" w:type="dxa"/>
            <w:hideMark/>
          </w:tcPr>
          <w:p w14:paraId="5160C628" w14:textId="139951F1" w:rsidR="007F0076" w:rsidRPr="00995C95" w:rsidRDefault="0071517E" w:rsidP="00E87182">
            <w:pPr>
              <w:spacing w:after="0"/>
              <w:rPr>
                <w:lang w:eastAsia="en-US"/>
              </w:rPr>
            </w:pPr>
            <w:r w:rsidRPr="00995C95">
              <w:rPr>
                <w:rFonts w:cs="Arial"/>
                <w:b/>
                <w:bCs/>
                <w:color w:val="000000"/>
                <w:sz w:val="18"/>
                <w:szCs w:val="18"/>
                <w:lang w:eastAsia="en-US"/>
              </w:rPr>
              <w:t xml:space="preserve">Chart </w:t>
            </w:r>
            <w:r w:rsidR="007F0076" w:rsidRPr="00995C95">
              <w:rPr>
                <w:rFonts w:cs="Arial"/>
                <w:b/>
                <w:bCs/>
                <w:color w:val="000000"/>
                <w:sz w:val="18"/>
                <w:szCs w:val="18"/>
                <w:lang w:eastAsia="en-US"/>
              </w:rPr>
              <w:t>1</w:t>
            </w:r>
            <w:r w:rsidR="00281666" w:rsidRPr="00995C95">
              <w:rPr>
                <w:rFonts w:cs="Arial"/>
                <w:b/>
                <w:bCs/>
                <w:color w:val="000000"/>
                <w:sz w:val="18"/>
                <w:szCs w:val="18"/>
                <w:lang w:eastAsia="en-US"/>
              </w:rPr>
              <w:t>1</w:t>
            </w:r>
            <w:r w:rsidR="007F0076" w:rsidRPr="00995C95">
              <w:rPr>
                <w:rFonts w:cs="Arial"/>
                <w:b/>
                <w:bCs/>
                <w:color w:val="000000"/>
                <w:sz w:val="18"/>
                <w:szCs w:val="18"/>
                <w:lang w:eastAsia="en-US"/>
              </w:rPr>
              <w:t xml:space="preserve"> </w:t>
            </w:r>
            <w:r w:rsidR="007C7252" w:rsidRPr="00995C95">
              <w:rPr>
                <w:rFonts w:cs="Arial"/>
                <w:b/>
                <w:bCs/>
                <w:color w:val="000000"/>
                <w:sz w:val="18"/>
                <w:szCs w:val="18"/>
              </w:rPr>
              <w:t xml:space="preserve">Prices in the selected divisions of the consumer price index </w:t>
            </w:r>
            <w:r w:rsidR="007C7252" w:rsidRPr="00995C95">
              <w:rPr>
                <w:rFonts w:cs="Arial"/>
                <w:color w:val="000000"/>
                <w:sz w:val="18"/>
                <w:szCs w:val="18"/>
              </w:rPr>
              <w:t>(year-on-year in %)</w:t>
            </w:r>
          </w:p>
        </w:tc>
      </w:tr>
      <w:tr w:rsidR="007F0076" w:rsidRPr="00995C95" w14:paraId="4E243B6E" w14:textId="77777777" w:rsidTr="0071371F">
        <w:tblPrEx>
          <w:tblCellMar>
            <w:left w:w="70" w:type="dxa"/>
            <w:right w:w="70" w:type="dxa"/>
          </w:tblCellMar>
        </w:tblPrEx>
        <w:trPr>
          <w:trHeight w:val="145"/>
        </w:trPr>
        <w:tc>
          <w:tcPr>
            <w:tcW w:w="1791" w:type="dxa"/>
          </w:tcPr>
          <w:p w14:paraId="5196D4DE" w14:textId="77777777" w:rsidR="007F0076" w:rsidRPr="00995C95" w:rsidRDefault="007F0076" w:rsidP="00E87182">
            <w:pPr>
              <w:pStyle w:val="Marginlie"/>
              <w:rPr>
                <w:spacing w:val="0"/>
                <w:lang w:eastAsia="en-US"/>
              </w:rPr>
            </w:pPr>
          </w:p>
        </w:tc>
        <w:tc>
          <w:tcPr>
            <w:tcW w:w="223" w:type="dxa"/>
          </w:tcPr>
          <w:p w14:paraId="22712F3A" w14:textId="77777777" w:rsidR="007F0076" w:rsidRPr="00995C95" w:rsidRDefault="007F0076" w:rsidP="00E87182">
            <w:pPr>
              <w:pStyle w:val="Textpoznpodarou1"/>
              <w:jc w:val="both"/>
              <w:rPr>
                <w:lang w:eastAsia="en-US"/>
              </w:rPr>
            </w:pPr>
          </w:p>
        </w:tc>
        <w:tc>
          <w:tcPr>
            <w:tcW w:w="7625" w:type="dxa"/>
            <w:hideMark/>
          </w:tcPr>
          <w:p w14:paraId="6B2D9118" w14:textId="47B8B256" w:rsidR="007F0076" w:rsidRPr="00995C95" w:rsidRDefault="0071371F" w:rsidP="00E87182">
            <w:pPr>
              <w:spacing w:after="0"/>
              <w:jc w:val="center"/>
              <w:rPr>
                <w:lang w:eastAsia="en-US"/>
              </w:rPr>
            </w:pPr>
            <w:r>
              <w:rPr>
                <w:noProof/>
              </w:rPr>
              <w:drawing>
                <wp:inline distT="0" distB="0" distL="0" distR="0" wp14:anchorId="139E722C" wp14:editId="408ECF29">
                  <wp:extent cx="4737600" cy="3556375"/>
                  <wp:effectExtent l="0" t="0" r="6350" b="6350"/>
                  <wp:docPr id="1826650510" name="Graf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7F0076" w:rsidRPr="00995C95" w14:paraId="3AE9E0FD" w14:textId="77777777" w:rsidTr="00E87182">
        <w:trPr>
          <w:trHeight w:val="145"/>
        </w:trPr>
        <w:tc>
          <w:tcPr>
            <w:tcW w:w="1791" w:type="dxa"/>
          </w:tcPr>
          <w:p w14:paraId="5F08D296" w14:textId="77777777" w:rsidR="007F0076" w:rsidRPr="00995C95" w:rsidRDefault="007F0076" w:rsidP="00E87182">
            <w:pPr>
              <w:pStyle w:val="Marginlie"/>
              <w:rPr>
                <w:spacing w:val="0"/>
                <w:lang w:eastAsia="en-US"/>
              </w:rPr>
            </w:pPr>
          </w:p>
        </w:tc>
        <w:tc>
          <w:tcPr>
            <w:tcW w:w="223" w:type="dxa"/>
          </w:tcPr>
          <w:p w14:paraId="7083A659" w14:textId="77777777" w:rsidR="007F0076" w:rsidRPr="00995C95" w:rsidRDefault="007F0076" w:rsidP="00E87182">
            <w:pPr>
              <w:pStyle w:val="Textpoznpodarou1"/>
              <w:jc w:val="both"/>
              <w:rPr>
                <w:lang w:eastAsia="en-US"/>
              </w:rPr>
            </w:pPr>
          </w:p>
        </w:tc>
        <w:tc>
          <w:tcPr>
            <w:tcW w:w="7625" w:type="dxa"/>
            <w:hideMark/>
          </w:tcPr>
          <w:p w14:paraId="059186B7" w14:textId="4AF66B22" w:rsidR="00586C79" w:rsidRPr="00995C95" w:rsidRDefault="00995C95" w:rsidP="0071371F">
            <w:pPr>
              <w:jc w:val="left"/>
              <w:rPr>
                <w:sz w:val="16"/>
                <w:szCs w:val="16"/>
                <w:lang w:eastAsia="en-US"/>
              </w:rPr>
            </w:pPr>
            <w:r w:rsidRPr="00995C95">
              <w:rPr>
                <w:sz w:val="16"/>
                <w:szCs w:val="16"/>
                <w:lang w:eastAsia="en-US"/>
              </w:rPr>
              <w:t>Source</w:t>
            </w:r>
            <w:r w:rsidR="007F0076" w:rsidRPr="00995C95">
              <w:rPr>
                <w:sz w:val="16"/>
                <w:szCs w:val="16"/>
                <w:lang w:eastAsia="en-US"/>
              </w:rPr>
              <w:t xml:space="preserve">: </w:t>
            </w:r>
            <w:r w:rsidR="00586C79" w:rsidRPr="00995C95">
              <w:rPr>
                <w:sz w:val="16"/>
                <w:szCs w:val="16"/>
                <w:lang w:eastAsia="en-US"/>
              </w:rPr>
              <w:t>CZSO</w:t>
            </w:r>
          </w:p>
        </w:tc>
      </w:tr>
      <w:tr w:rsidR="007F0076" w:rsidRPr="00995C95" w14:paraId="0FC8B672" w14:textId="77777777" w:rsidTr="00E87182">
        <w:trPr>
          <w:trHeight w:val="145"/>
        </w:trPr>
        <w:tc>
          <w:tcPr>
            <w:tcW w:w="1791" w:type="dxa"/>
          </w:tcPr>
          <w:p w14:paraId="396920D4" w14:textId="6520CEEE" w:rsidR="007F0076" w:rsidRPr="00995C95" w:rsidRDefault="005C45E1" w:rsidP="005C45E1">
            <w:pPr>
              <w:pStyle w:val="Marginlie"/>
              <w:rPr>
                <w:spacing w:val="0"/>
                <w:lang w:eastAsia="en-US"/>
              </w:rPr>
            </w:pPr>
            <w:r w:rsidRPr="00995C95">
              <w:rPr>
                <w:spacing w:val="0"/>
                <w:lang w:eastAsia="en-US"/>
              </w:rPr>
              <w:t>Year-on-year growth</w:t>
            </w:r>
            <w:r w:rsidR="005A2052" w:rsidRPr="00995C95">
              <w:rPr>
                <w:spacing w:val="0"/>
                <w:lang w:eastAsia="en-US"/>
              </w:rPr>
              <w:t xml:space="preserve"> of</w:t>
            </w:r>
            <w:r w:rsidRPr="00995C95">
              <w:rPr>
                <w:spacing w:val="0"/>
                <w:lang w:eastAsia="en-US"/>
              </w:rPr>
              <w:t xml:space="preserve"> consumer prices slowed down at the end of the year.</w:t>
            </w:r>
          </w:p>
        </w:tc>
        <w:tc>
          <w:tcPr>
            <w:tcW w:w="223" w:type="dxa"/>
          </w:tcPr>
          <w:p w14:paraId="111D3378" w14:textId="77777777" w:rsidR="007F0076" w:rsidRPr="00995C95" w:rsidRDefault="007F0076" w:rsidP="00E87182">
            <w:pPr>
              <w:pStyle w:val="Textpoznpodarou1"/>
              <w:jc w:val="both"/>
              <w:rPr>
                <w:lang w:eastAsia="en-US"/>
              </w:rPr>
            </w:pPr>
          </w:p>
        </w:tc>
        <w:tc>
          <w:tcPr>
            <w:tcW w:w="7625" w:type="dxa"/>
          </w:tcPr>
          <w:p w14:paraId="284C3CE4" w14:textId="72EEE553" w:rsidR="007F0076" w:rsidRPr="00995C95" w:rsidRDefault="00FF61F3" w:rsidP="00FF61F3">
            <w:pPr>
              <w:rPr>
                <w:lang w:eastAsia="en-US"/>
              </w:rPr>
            </w:pPr>
            <w:r w:rsidRPr="00995C95">
              <w:rPr>
                <w:lang w:eastAsia="en-US"/>
              </w:rPr>
              <w:t xml:space="preserve">The year-on-year dynamics of the consumer price index weakened towards the end of 2025, and prices were thus higher by 2.2% in Q4. The slowdown was mainly due to a </w:t>
            </w:r>
            <w:r w:rsidR="00C718F3" w:rsidRPr="00995C95">
              <w:rPr>
                <w:lang w:eastAsia="en-US"/>
              </w:rPr>
              <w:t>drop of f</w:t>
            </w:r>
            <w:r w:rsidRPr="00995C95">
              <w:rPr>
                <w:lang w:eastAsia="en-US"/>
              </w:rPr>
              <w:t>ood and non-alcoholic beverage price</w:t>
            </w:r>
            <w:r w:rsidR="00C718F3" w:rsidRPr="00995C95">
              <w:rPr>
                <w:lang w:eastAsia="en-US"/>
              </w:rPr>
              <w:t>s</w:t>
            </w:r>
            <w:r w:rsidRPr="00995C95">
              <w:rPr>
                <w:lang w:eastAsia="en-US"/>
              </w:rPr>
              <w:t xml:space="preserve">. The position of the division with the strongest contribution to the </w:t>
            </w:r>
            <w:r w:rsidR="00D24011" w:rsidRPr="00995C95">
              <w:rPr>
                <w:lang w:eastAsia="en-US"/>
              </w:rPr>
              <w:t xml:space="preserve">total </w:t>
            </w:r>
            <w:r w:rsidRPr="00995C95">
              <w:rPr>
                <w:lang w:eastAsia="en-US"/>
              </w:rPr>
              <w:t xml:space="preserve">year-on-year growth </w:t>
            </w:r>
            <w:r w:rsidR="00D24011" w:rsidRPr="00995C95">
              <w:rPr>
                <w:lang w:eastAsia="en-US"/>
              </w:rPr>
              <w:t xml:space="preserve">of </w:t>
            </w:r>
            <w:r w:rsidRPr="00995C95">
              <w:rPr>
                <w:lang w:eastAsia="en-US"/>
              </w:rPr>
              <w:t xml:space="preserve">consumer prices was thus </w:t>
            </w:r>
            <w:r w:rsidRPr="00995C95">
              <w:rPr>
                <w:lang w:eastAsia="en-US"/>
              </w:rPr>
              <w:lastRenderedPageBreak/>
              <w:t xml:space="preserve">again taken over by housing and energy in </w:t>
            </w:r>
            <w:r w:rsidR="00D24011" w:rsidRPr="00995C95">
              <w:rPr>
                <w:lang w:eastAsia="en-US"/>
              </w:rPr>
              <w:t>Q</w:t>
            </w:r>
            <w:r w:rsidRPr="00995C95">
              <w:rPr>
                <w:lang w:eastAsia="en-US"/>
              </w:rPr>
              <w:t xml:space="preserve">4. Alcoholic beverages and tobacco, recreation and culture, and food and accommodation also contributed significantly to the year-on-year growth </w:t>
            </w:r>
            <w:r w:rsidR="00981177" w:rsidRPr="00995C95">
              <w:rPr>
                <w:lang w:eastAsia="en-US"/>
              </w:rPr>
              <w:t xml:space="preserve">of </w:t>
            </w:r>
            <w:r w:rsidRPr="00995C95">
              <w:rPr>
                <w:lang w:eastAsia="en-US"/>
              </w:rPr>
              <w:t xml:space="preserve">consumer prices in Q4. On a quarter-on-quarter basis, consumer prices decreased by 0.2% in Q4 2025 (the first decline since Q4 2023), mainly due to developments </w:t>
            </w:r>
            <w:r w:rsidR="00A53458" w:rsidRPr="00995C95">
              <w:rPr>
                <w:lang w:eastAsia="en-US"/>
              </w:rPr>
              <w:t xml:space="preserve">of </w:t>
            </w:r>
            <w:r w:rsidRPr="00995C95">
              <w:rPr>
                <w:lang w:eastAsia="en-US"/>
              </w:rPr>
              <w:t xml:space="preserve">food and non-alcoholic beverages, recreation and culture </w:t>
            </w:r>
            <w:r w:rsidR="00A53458" w:rsidRPr="00995C95">
              <w:rPr>
                <w:lang w:eastAsia="en-US"/>
              </w:rPr>
              <w:t xml:space="preserve">and transportation </w:t>
            </w:r>
            <w:r w:rsidRPr="00995C95">
              <w:rPr>
                <w:lang w:eastAsia="en-US"/>
              </w:rPr>
              <w:t>prices</w:t>
            </w:r>
            <w:r w:rsidR="00A53458" w:rsidRPr="00995C95">
              <w:rPr>
                <w:lang w:eastAsia="en-US"/>
              </w:rPr>
              <w:t xml:space="preserve">. </w:t>
            </w:r>
            <w:r w:rsidR="007F0076" w:rsidRPr="00995C95">
              <w:rPr>
                <w:lang w:eastAsia="en-US"/>
              </w:rPr>
              <w:t xml:space="preserve">      </w:t>
            </w:r>
          </w:p>
        </w:tc>
      </w:tr>
      <w:tr w:rsidR="007F0076" w:rsidRPr="00995C95" w14:paraId="32350428" w14:textId="77777777" w:rsidTr="00E87182">
        <w:trPr>
          <w:trHeight w:val="145"/>
        </w:trPr>
        <w:tc>
          <w:tcPr>
            <w:tcW w:w="1791" w:type="dxa"/>
          </w:tcPr>
          <w:p w14:paraId="220BEF0F" w14:textId="3282A71E" w:rsidR="007F0076" w:rsidRPr="00995C95" w:rsidRDefault="00EE0AE7" w:rsidP="00EE0AE7">
            <w:pPr>
              <w:pStyle w:val="Marginlie"/>
              <w:rPr>
                <w:spacing w:val="0"/>
                <w:lang w:eastAsia="en-US"/>
              </w:rPr>
            </w:pPr>
            <w:r w:rsidRPr="00995C95">
              <w:rPr>
                <w:spacing w:val="0"/>
                <w:lang w:eastAsia="en-US"/>
              </w:rPr>
              <w:lastRenderedPageBreak/>
              <w:t xml:space="preserve">Food prices contributed the most to the increase </w:t>
            </w:r>
            <w:r w:rsidR="00235BFD" w:rsidRPr="00995C95">
              <w:rPr>
                <w:spacing w:val="0"/>
                <w:lang w:eastAsia="en-US"/>
              </w:rPr>
              <w:t>of</w:t>
            </w:r>
            <w:r w:rsidRPr="00995C95">
              <w:rPr>
                <w:spacing w:val="0"/>
                <w:lang w:eastAsia="en-US"/>
              </w:rPr>
              <w:t xml:space="preserve"> the price level.</w:t>
            </w:r>
            <w:r w:rsidR="00235BFD" w:rsidRPr="00995C95">
              <w:rPr>
                <w:spacing w:val="0"/>
                <w:lang w:eastAsia="en-US"/>
              </w:rPr>
              <w:t xml:space="preserve"> </w:t>
            </w:r>
          </w:p>
        </w:tc>
        <w:tc>
          <w:tcPr>
            <w:tcW w:w="223" w:type="dxa"/>
          </w:tcPr>
          <w:p w14:paraId="3EDEDC67" w14:textId="77777777" w:rsidR="007F0076" w:rsidRPr="00995C95" w:rsidRDefault="007F0076" w:rsidP="00E87182">
            <w:pPr>
              <w:pStyle w:val="Textpoznpodarou1"/>
              <w:jc w:val="both"/>
              <w:rPr>
                <w:lang w:eastAsia="en-US"/>
              </w:rPr>
            </w:pPr>
          </w:p>
        </w:tc>
        <w:tc>
          <w:tcPr>
            <w:tcW w:w="7625" w:type="dxa"/>
          </w:tcPr>
          <w:p w14:paraId="06BA3FFA" w14:textId="75DDE028" w:rsidR="007F0076" w:rsidRPr="00995C95" w:rsidRDefault="00A527E8" w:rsidP="00A527E8">
            <w:pPr>
              <w:rPr>
                <w:lang w:eastAsia="en-US"/>
              </w:rPr>
            </w:pPr>
            <w:r w:rsidRPr="00995C95">
              <w:rPr>
                <w:lang w:eastAsia="en-US"/>
              </w:rPr>
              <w:t>Prices of food and non-alcoholic beverages rose significantly</w:t>
            </w:r>
            <w:r w:rsidR="00235BFD" w:rsidRPr="00995C95">
              <w:rPr>
                <w:lang w:eastAsia="en-US"/>
              </w:rPr>
              <w:t>,</w:t>
            </w:r>
            <w:r w:rsidRPr="00995C95">
              <w:rPr>
                <w:lang w:eastAsia="en-US"/>
              </w:rPr>
              <w:t xml:space="preserve"> year-on-year</w:t>
            </w:r>
            <w:r w:rsidR="00235BFD" w:rsidRPr="00995C95">
              <w:rPr>
                <w:lang w:eastAsia="en-US"/>
              </w:rPr>
              <w:t>,</w:t>
            </w:r>
            <w:r w:rsidRPr="00995C95">
              <w:rPr>
                <w:lang w:eastAsia="en-US"/>
              </w:rPr>
              <w:t xml:space="preserve"> for most of last year (over 5% in</w:t>
            </w:r>
            <w:r w:rsidR="00235BFD" w:rsidRPr="00995C95">
              <w:rPr>
                <w:lang w:eastAsia="en-US"/>
              </w:rPr>
              <w:t xml:space="preserve"> H1</w:t>
            </w:r>
            <w:r w:rsidRPr="00995C95">
              <w:rPr>
                <w:lang w:eastAsia="en-US"/>
              </w:rPr>
              <w:t xml:space="preserve">, 4.2% in </w:t>
            </w:r>
            <w:r w:rsidR="004E285C" w:rsidRPr="00995C95">
              <w:rPr>
                <w:lang w:eastAsia="en-US"/>
              </w:rPr>
              <w:t>Q</w:t>
            </w:r>
            <w:r w:rsidRPr="00995C95">
              <w:rPr>
                <w:lang w:eastAsia="en-US"/>
              </w:rPr>
              <w:t xml:space="preserve">3) and increased by </w:t>
            </w:r>
            <w:r w:rsidR="004E285C" w:rsidRPr="00995C95">
              <w:rPr>
                <w:lang w:eastAsia="en-US"/>
              </w:rPr>
              <w:t xml:space="preserve">total </w:t>
            </w:r>
            <w:r w:rsidRPr="00995C95">
              <w:rPr>
                <w:lang w:eastAsia="en-US"/>
              </w:rPr>
              <w:t xml:space="preserve">4.2%. In 2025, the prices of milk, cheese and eggs (8.2%), sugar, confectionery and related products (6.4%) and non-alcoholic beverages (6.2%) increased the most. There was also a significant increase </w:t>
            </w:r>
            <w:r w:rsidR="003B00FF" w:rsidRPr="00995C95">
              <w:rPr>
                <w:lang w:eastAsia="en-US"/>
              </w:rPr>
              <w:t xml:space="preserve">of </w:t>
            </w:r>
            <w:r w:rsidRPr="00995C95">
              <w:rPr>
                <w:lang w:eastAsia="en-US"/>
              </w:rPr>
              <w:t xml:space="preserve">the prices of oils and fats (5.6%), fruit (5.3%) and meat (4.3%). Prices of </w:t>
            </w:r>
            <w:r w:rsidR="00331C10">
              <w:rPr>
                <w:lang w:eastAsia="en-US"/>
              </w:rPr>
              <w:t xml:space="preserve">bread and </w:t>
            </w:r>
            <w:r w:rsidR="00774C0A">
              <w:rPr>
                <w:lang w:eastAsia="en-US"/>
              </w:rPr>
              <w:t>cereals</w:t>
            </w:r>
            <w:r w:rsidRPr="00995C95">
              <w:rPr>
                <w:lang w:eastAsia="en-US"/>
              </w:rPr>
              <w:t xml:space="preserve"> maintained a moderate growth rate throughout the year</w:t>
            </w:r>
            <w:r w:rsidR="00015B45" w:rsidRPr="00995C95">
              <w:rPr>
                <w:lang w:eastAsia="en-US"/>
              </w:rPr>
              <w:t xml:space="preserve"> and </w:t>
            </w:r>
            <w:r w:rsidRPr="00995C95">
              <w:rPr>
                <w:lang w:eastAsia="en-US"/>
              </w:rPr>
              <w:t>increas</w:t>
            </w:r>
            <w:r w:rsidR="00015B45" w:rsidRPr="00995C95">
              <w:rPr>
                <w:lang w:eastAsia="en-US"/>
              </w:rPr>
              <w:t xml:space="preserve">ed </w:t>
            </w:r>
            <w:r w:rsidRPr="00995C95">
              <w:rPr>
                <w:lang w:eastAsia="en-US"/>
              </w:rPr>
              <w:t xml:space="preserve">by </w:t>
            </w:r>
            <w:r w:rsidR="00015B45" w:rsidRPr="00995C95">
              <w:rPr>
                <w:lang w:eastAsia="en-US"/>
              </w:rPr>
              <w:t xml:space="preserve">total </w:t>
            </w:r>
            <w:r w:rsidRPr="00995C95">
              <w:rPr>
                <w:lang w:eastAsia="en-US"/>
              </w:rPr>
              <w:t xml:space="preserve">2.2%. Only vegetable prices fell (−2.2%). The </w:t>
            </w:r>
            <w:r w:rsidR="007F74C4" w:rsidRPr="00995C95">
              <w:rPr>
                <w:lang w:eastAsia="en-US"/>
              </w:rPr>
              <w:t>Q</w:t>
            </w:r>
            <w:r w:rsidRPr="00995C95">
              <w:rPr>
                <w:lang w:eastAsia="en-US"/>
              </w:rPr>
              <w:t>4 itself brought a significant slowdown</w:t>
            </w:r>
            <w:r w:rsidR="005C63DE" w:rsidRPr="00995C95">
              <w:rPr>
                <w:lang w:eastAsia="en-US"/>
              </w:rPr>
              <w:t xml:space="preserve"> of </w:t>
            </w:r>
            <w:r w:rsidRPr="00995C95">
              <w:rPr>
                <w:lang w:eastAsia="en-US"/>
              </w:rPr>
              <w:t xml:space="preserve">year-on-year growth </w:t>
            </w:r>
            <w:r w:rsidR="005C63DE" w:rsidRPr="00995C95">
              <w:rPr>
                <w:lang w:eastAsia="en-US"/>
              </w:rPr>
              <w:t xml:space="preserve">of </w:t>
            </w:r>
            <w:r w:rsidRPr="00995C95">
              <w:rPr>
                <w:lang w:eastAsia="en-US"/>
              </w:rPr>
              <w:t xml:space="preserve">food and non-alcoholic beverages prices to 2.5%, which also corresponded to a quarter-on-quarter decline of 0.7%. The slowdown was mainly due to a year-on-year fall </w:t>
            </w:r>
            <w:r w:rsidR="00773598" w:rsidRPr="00995C95">
              <w:rPr>
                <w:lang w:eastAsia="en-US"/>
              </w:rPr>
              <w:t xml:space="preserve">of </w:t>
            </w:r>
            <w:r w:rsidRPr="00995C95">
              <w:rPr>
                <w:lang w:eastAsia="en-US"/>
              </w:rPr>
              <w:t xml:space="preserve">prices of oils and fats by 10.6% and also a decrease </w:t>
            </w:r>
            <w:r w:rsidR="00C132F3" w:rsidRPr="00995C95">
              <w:rPr>
                <w:lang w:eastAsia="en-US"/>
              </w:rPr>
              <w:t xml:space="preserve">of </w:t>
            </w:r>
            <w:r w:rsidRPr="00995C95">
              <w:rPr>
                <w:lang w:eastAsia="en-US"/>
              </w:rPr>
              <w:t xml:space="preserve">fruit prices by 4.9%. In the rest of the </w:t>
            </w:r>
            <w:r w:rsidR="005B650E" w:rsidRPr="00995C95">
              <w:rPr>
                <w:lang w:eastAsia="en-US"/>
              </w:rPr>
              <w:t>division</w:t>
            </w:r>
            <w:r w:rsidRPr="00995C95">
              <w:rPr>
                <w:lang w:eastAsia="en-US"/>
              </w:rPr>
              <w:t xml:space="preserve">, price dynamics remained broadly stable. Strong year-on-year growth was maintained mainly by the prices of sugar and confectionery </w:t>
            </w:r>
            <w:r w:rsidR="005B650E" w:rsidRPr="00995C95">
              <w:rPr>
                <w:lang w:eastAsia="en-US"/>
              </w:rPr>
              <w:t xml:space="preserve">products </w:t>
            </w:r>
            <w:r w:rsidRPr="00995C95">
              <w:rPr>
                <w:lang w:eastAsia="en-US"/>
              </w:rPr>
              <w:t>(6.0%), milk, cheese and eggs and meat (both 5.3%) and non-alcoholic beverages (5.1%). Prices of alcoholic beverages and tobacco also contributed significantly to consumer price growth last year, although their increase of 4.0% was the lowest since 2019.</w:t>
            </w:r>
            <w:r w:rsidR="00666DCD" w:rsidRPr="00995C95">
              <w:rPr>
                <w:lang w:eastAsia="en-US"/>
              </w:rPr>
              <w:t xml:space="preserve"> A</w:t>
            </w:r>
            <w:r w:rsidRPr="00995C95">
              <w:rPr>
                <w:lang w:eastAsia="en-US"/>
              </w:rPr>
              <w:t>lcohol and tobacco prices increased by 4.1%</w:t>
            </w:r>
            <w:r w:rsidR="00666DCD" w:rsidRPr="00995C95">
              <w:rPr>
                <w:lang w:eastAsia="en-US"/>
              </w:rPr>
              <w:t>,</w:t>
            </w:r>
            <w:r w:rsidRPr="00995C95">
              <w:rPr>
                <w:lang w:eastAsia="en-US"/>
              </w:rPr>
              <w:t xml:space="preserve"> year-on-year</w:t>
            </w:r>
            <w:r w:rsidR="00666DCD" w:rsidRPr="00995C95">
              <w:rPr>
                <w:lang w:eastAsia="en-US"/>
              </w:rPr>
              <w:t>,</w:t>
            </w:r>
            <w:r w:rsidRPr="00995C95">
              <w:rPr>
                <w:lang w:eastAsia="en-US"/>
              </w:rPr>
              <w:t xml:space="preserve"> and by 0.6%</w:t>
            </w:r>
            <w:r w:rsidR="00666DCD" w:rsidRPr="00995C95">
              <w:rPr>
                <w:lang w:eastAsia="en-US"/>
              </w:rPr>
              <w:t>,</w:t>
            </w:r>
            <w:r w:rsidRPr="00995C95">
              <w:rPr>
                <w:lang w:eastAsia="en-US"/>
              </w:rPr>
              <w:t xml:space="preserve"> quarter-on-quarter</w:t>
            </w:r>
            <w:r w:rsidR="00666DCD" w:rsidRPr="00995C95">
              <w:rPr>
                <w:lang w:eastAsia="en-US"/>
              </w:rPr>
              <w:t xml:space="preserve">, </w:t>
            </w:r>
            <w:r w:rsidR="00E96CF8">
              <w:rPr>
                <w:lang w:eastAsia="en-US"/>
              </w:rPr>
              <w:t xml:space="preserve">in </w:t>
            </w:r>
            <w:r w:rsidR="00666DCD" w:rsidRPr="00995C95">
              <w:rPr>
                <w:lang w:eastAsia="en-US"/>
              </w:rPr>
              <w:t xml:space="preserve">Q4 alone. </w:t>
            </w:r>
          </w:p>
        </w:tc>
      </w:tr>
      <w:tr w:rsidR="007F0076" w:rsidRPr="00995C95" w14:paraId="3CD71ABA" w14:textId="77777777" w:rsidTr="00E87182">
        <w:trPr>
          <w:trHeight w:val="145"/>
        </w:trPr>
        <w:tc>
          <w:tcPr>
            <w:tcW w:w="1791" w:type="dxa"/>
          </w:tcPr>
          <w:p w14:paraId="36ED3E0F" w14:textId="463D080D" w:rsidR="007F0076" w:rsidRPr="00995C95" w:rsidRDefault="00B53A26" w:rsidP="00B53A26">
            <w:pPr>
              <w:pStyle w:val="Marginlie"/>
              <w:rPr>
                <w:spacing w:val="0"/>
                <w:lang w:eastAsia="en-US"/>
              </w:rPr>
            </w:pPr>
            <w:r w:rsidRPr="00995C95">
              <w:rPr>
                <w:spacing w:val="0"/>
                <w:lang w:eastAsia="en-US"/>
              </w:rPr>
              <w:t>Housing and energy prices maintained a stable role in consumer prices</w:t>
            </w:r>
            <w:r w:rsidR="00740CF5" w:rsidRPr="00995C95">
              <w:rPr>
                <w:spacing w:val="0"/>
                <w:lang w:eastAsia="en-US"/>
              </w:rPr>
              <w:t xml:space="preserve"> development</w:t>
            </w:r>
            <w:r w:rsidRPr="00995C95">
              <w:rPr>
                <w:spacing w:val="0"/>
                <w:lang w:eastAsia="en-US"/>
              </w:rPr>
              <w:t>.</w:t>
            </w:r>
          </w:p>
        </w:tc>
        <w:tc>
          <w:tcPr>
            <w:tcW w:w="223" w:type="dxa"/>
          </w:tcPr>
          <w:p w14:paraId="4672A2E2" w14:textId="77777777" w:rsidR="007F0076" w:rsidRPr="00995C95" w:rsidRDefault="007F0076" w:rsidP="00E87182">
            <w:pPr>
              <w:pStyle w:val="Textpoznpodarou1"/>
              <w:jc w:val="both"/>
              <w:rPr>
                <w:lang w:eastAsia="en-US"/>
              </w:rPr>
            </w:pPr>
          </w:p>
        </w:tc>
        <w:tc>
          <w:tcPr>
            <w:tcW w:w="7625" w:type="dxa"/>
          </w:tcPr>
          <w:p w14:paraId="36DFA559" w14:textId="1AB01709" w:rsidR="007F0076" w:rsidRPr="00995C95" w:rsidRDefault="007755ED" w:rsidP="007755ED">
            <w:pPr>
              <w:rPr>
                <w:lang w:eastAsia="en-US"/>
              </w:rPr>
            </w:pPr>
            <w:r w:rsidRPr="00995C95">
              <w:rPr>
                <w:lang w:eastAsia="en-US"/>
              </w:rPr>
              <w:t>Housing and energy prices rose by 1.8% last year, which was the lowest increase since 2017. However, given the weight of this consumer basket</w:t>
            </w:r>
            <w:r w:rsidR="00707CCC" w:rsidRPr="00995C95">
              <w:rPr>
                <w:lang w:eastAsia="en-US"/>
              </w:rPr>
              <w:t xml:space="preserve"> division</w:t>
            </w:r>
            <w:r w:rsidRPr="00995C95">
              <w:rPr>
                <w:lang w:eastAsia="en-US"/>
              </w:rPr>
              <w:t xml:space="preserve">, housing and energy still contributed significantly to </w:t>
            </w:r>
            <w:r w:rsidR="007B4498" w:rsidRPr="00995C95">
              <w:rPr>
                <w:lang w:eastAsia="en-US"/>
              </w:rPr>
              <w:t xml:space="preserve">the total </w:t>
            </w:r>
            <w:r w:rsidRPr="00995C95">
              <w:rPr>
                <w:lang w:eastAsia="en-US"/>
              </w:rPr>
              <w:t xml:space="preserve">consumer price growth despite the slowdown. </w:t>
            </w:r>
            <w:r w:rsidR="00FC0CF0" w:rsidRPr="00995C95">
              <w:rPr>
                <w:lang w:eastAsia="en-US"/>
              </w:rPr>
              <w:t>T</w:t>
            </w:r>
            <w:r w:rsidRPr="00995C95">
              <w:rPr>
                <w:lang w:eastAsia="en-US"/>
              </w:rPr>
              <w:t xml:space="preserve">he </w:t>
            </w:r>
            <w:r w:rsidR="0034571B" w:rsidRPr="00995C95">
              <w:rPr>
                <w:lang w:eastAsia="en-US"/>
              </w:rPr>
              <w:t xml:space="preserve">reduction of </w:t>
            </w:r>
            <w:r w:rsidRPr="00995C95">
              <w:rPr>
                <w:lang w:eastAsia="en-US"/>
              </w:rPr>
              <w:t>housing and energy prices was driven solely by the prices of electricity, heat, gas and other fuels, which were lower by 3.4%</w:t>
            </w:r>
            <w:r w:rsidR="0034571B" w:rsidRPr="00995C95">
              <w:rPr>
                <w:lang w:eastAsia="en-US"/>
              </w:rPr>
              <w:t xml:space="preserve"> last year</w:t>
            </w:r>
            <w:r w:rsidRPr="00995C95">
              <w:rPr>
                <w:lang w:eastAsia="en-US"/>
              </w:rPr>
              <w:t xml:space="preserve">. On the </w:t>
            </w:r>
            <w:r w:rsidR="0034571B" w:rsidRPr="00995C95">
              <w:rPr>
                <w:lang w:eastAsia="en-US"/>
              </w:rPr>
              <w:t>contrary</w:t>
            </w:r>
            <w:r w:rsidRPr="00995C95">
              <w:rPr>
                <w:lang w:eastAsia="en-US"/>
              </w:rPr>
              <w:t>, rent</w:t>
            </w:r>
            <w:r w:rsidR="00435656" w:rsidRPr="00995C95">
              <w:rPr>
                <w:lang w:eastAsia="en-US"/>
              </w:rPr>
              <w:t xml:space="preserve">als for housing </w:t>
            </w:r>
            <w:r w:rsidRPr="00995C95">
              <w:rPr>
                <w:lang w:eastAsia="en-US"/>
              </w:rPr>
              <w:t>(6.1%) a</w:t>
            </w:r>
            <w:r w:rsidR="00435656" w:rsidRPr="00995C95">
              <w:rPr>
                <w:lang w:eastAsia="en-US"/>
              </w:rPr>
              <w:t xml:space="preserve">s well as </w:t>
            </w:r>
            <w:r w:rsidRPr="00995C95">
              <w:rPr>
                <w:lang w:eastAsia="en-US"/>
              </w:rPr>
              <w:t>imputed rent</w:t>
            </w:r>
            <w:r w:rsidR="00A22C64">
              <w:rPr>
                <w:lang w:eastAsia="en-US"/>
              </w:rPr>
              <w:t>al</w:t>
            </w:r>
            <w:r w:rsidRPr="00995C95">
              <w:rPr>
                <w:lang w:eastAsia="en-US"/>
              </w:rPr>
              <w:t>s</w:t>
            </w:r>
            <w:r w:rsidR="00292B59" w:rsidRPr="00995C95">
              <w:rPr>
                <w:rStyle w:val="Znakapoznpodarou"/>
                <w:lang w:eastAsia="en-US"/>
              </w:rPr>
              <w:footnoteReference w:id="1"/>
            </w:r>
            <w:r w:rsidRPr="00995C95">
              <w:rPr>
                <w:lang w:eastAsia="en-US"/>
              </w:rPr>
              <w:t xml:space="preserve"> (4.4%) grew significantly, and other housing-related services (3.9%) and routine maintenance and minor repairs</w:t>
            </w:r>
            <w:r w:rsidR="009A1DEB" w:rsidRPr="00995C95">
              <w:rPr>
                <w:lang w:eastAsia="en-US"/>
              </w:rPr>
              <w:t xml:space="preserve"> of dwellings</w:t>
            </w:r>
            <w:r w:rsidRPr="00995C95">
              <w:rPr>
                <w:lang w:eastAsia="en-US"/>
              </w:rPr>
              <w:t xml:space="preserve"> (3.4%) continued to have </w:t>
            </w:r>
            <w:r w:rsidR="00634F8F" w:rsidRPr="00995C95">
              <w:rPr>
                <w:lang w:eastAsia="en-US"/>
              </w:rPr>
              <w:t xml:space="preserve">considerable </w:t>
            </w:r>
            <w:r w:rsidRPr="00995C95">
              <w:rPr>
                <w:lang w:eastAsia="en-US"/>
              </w:rPr>
              <w:t xml:space="preserve">price dynamics. </w:t>
            </w:r>
            <w:r w:rsidR="009A1DEB" w:rsidRPr="00995C95">
              <w:rPr>
                <w:lang w:eastAsia="en-US"/>
              </w:rPr>
              <w:t>H</w:t>
            </w:r>
            <w:r w:rsidRPr="00995C95">
              <w:rPr>
                <w:lang w:eastAsia="en-US"/>
              </w:rPr>
              <w:t>ousing and energy prices increased by 1.9%</w:t>
            </w:r>
            <w:r w:rsidR="009A1DEB" w:rsidRPr="00995C95">
              <w:rPr>
                <w:lang w:eastAsia="en-US"/>
              </w:rPr>
              <w:t>,</w:t>
            </w:r>
            <w:r w:rsidRPr="00995C95">
              <w:rPr>
                <w:lang w:eastAsia="en-US"/>
              </w:rPr>
              <w:t xml:space="preserve"> year-on-year</w:t>
            </w:r>
            <w:r w:rsidR="009A1DEB" w:rsidRPr="00995C95">
              <w:rPr>
                <w:lang w:eastAsia="en-US"/>
              </w:rPr>
              <w:t>, in Q4 alone</w:t>
            </w:r>
            <w:r w:rsidRPr="00995C95">
              <w:rPr>
                <w:lang w:eastAsia="en-US"/>
              </w:rPr>
              <w:t xml:space="preserve"> and by 0.5%</w:t>
            </w:r>
            <w:r w:rsidR="009A1DEB" w:rsidRPr="00995C95">
              <w:rPr>
                <w:lang w:eastAsia="en-US"/>
              </w:rPr>
              <w:t>,</w:t>
            </w:r>
            <w:r w:rsidRPr="00995C95">
              <w:rPr>
                <w:lang w:eastAsia="en-US"/>
              </w:rPr>
              <w:t xml:space="preserve"> quarter-on-quarter. The prices of rent</w:t>
            </w:r>
            <w:r w:rsidR="00756EAB" w:rsidRPr="00995C95">
              <w:rPr>
                <w:lang w:eastAsia="en-US"/>
              </w:rPr>
              <w:t xml:space="preserve">als for housing </w:t>
            </w:r>
            <w:r w:rsidRPr="00995C95">
              <w:rPr>
                <w:lang w:eastAsia="en-US"/>
              </w:rPr>
              <w:t>(6.1%) and imputed rent</w:t>
            </w:r>
            <w:r w:rsidR="009B7C76">
              <w:rPr>
                <w:lang w:eastAsia="en-US"/>
              </w:rPr>
              <w:t>al</w:t>
            </w:r>
            <w:r w:rsidRPr="00995C95">
              <w:rPr>
                <w:lang w:eastAsia="en-US"/>
              </w:rPr>
              <w:t>s (4.8%) increased the most, y</w:t>
            </w:r>
            <w:r w:rsidR="00756EAB" w:rsidRPr="00995C95">
              <w:rPr>
                <w:lang w:eastAsia="en-US"/>
              </w:rPr>
              <w:t>ear</w:t>
            </w:r>
            <w:r w:rsidRPr="00995C95">
              <w:rPr>
                <w:lang w:eastAsia="en-US"/>
              </w:rPr>
              <w:t>-o</w:t>
            </w:r>
            <w:r w:rsidR="00756EAB" w:rsidRPr="00995C95">
              <w:rPr>
                <w:lang w:eastAsia="en-US"/>
              </w:rPr>
              <w:t>n</w:t>
            </w:r>
            <w:r w:rsidRPr="00995C95">
              <w:rPr>
                <w:lang w:eastAsia="en-US"/>
              </w:rPr>
              <w:t>-y</w:t>
            </w:r>
            <w:r w:rsidR="00756EAB" w:rsidRPr="00995C95">
              <w:rPr>
                <w:lang w:eastAsia="en-US"/>
              </w:rPr>
              <w:t>ear</w:t>
            </w:r>
            <w:r w:rsidRPr="00995C95">
              <w:rPr>
                <w:lang w:eastAsia="en-US"/>
              </w:rPr>
              <w:t>. Prices of other housing-related services (3.9%) and routine maintenance and minor repairs (3.4%) maintained a significant pace. Prices of electricity, heat, gas and other fuels were the only ones to fall</w:t>
            </w:r>
            <w:r w:rsidR="00213515" w:rsidRPr="00995C95">
              <w:rPr>
                <w:lang w:eastAsia="en-US"/>
              </w:rPr>
              <w:t>,</w:t>
            </w:r>
            <w:r w:rsidRPr="00995C95">
              <w:rPr>
                <w:lang w:eastAsia="en-US"/>
              </w:rPr>
              <w:t xml:space="preserve"> year-on-year (−3.9%).</w:t>
            </w:r>
            <w:r w:rsidR="007F0076" w:rsidRPr="00995C95">
              <w:rPr>
                <w:lang w:eastAsia="en-US"/>
              </w:rPr>
              <w:t xml:space="preserve"> </w:t>
            </w:r>
          </w:p>
        </w:tc>
      </w:tr>
      <w:tr w:rsidR="007F0076" w:rsidRPr="00995C95" w14:paraId="7BC6BE08" w14:textId="77777777" w:rsidTr="00E87182">
        <w:trPr>
          <w:trHeight w:val="145"/>
        </w:trPr>
        <w:tc>
          <w:tcPr>
            <w:tcW w:w="1791" w:type="dxa"/>
          </w:tcPr>
          <w:p w14:paraId="232931C8" w14:textId="35A72ED5" w:rsidR="007F0076" w:rsidRPr="00995C95" w:rsidRDefault="002B62BB" w:rsidP="002B62BB">
            <w:pPr>
              <w:pStyle w:val="Marginlie"/>
              <w:rPr>
                <w:spacing w:val="0"/>
                <w:lang w:eastAsia="en-US"/>
              </w:rPr>
            </w:pPr>
            <w:r w:rsidRPr="00995C95">
              <w:rPr>
                <w:spacing w:val="0"/>
                <w:lang w:eastAsia="en-US"/>
              </w:rPr>
              <w:t>Prices of services increased significantly last year.</w:t>
            </w:r>
          </w:p>
        </w:tc>
        <w:tc>
          <w:tcPr>
            <w:tcW w:w="223" w:type="dxa"/>
          </w:tcPr>
          <w:p w14:paraId="7E6781D2" w14:textId="77777777" w:rsidR="007F0076" w:rsidRPr="00995C95" w:rsidRDefault="007F0076" w:rsidP="00E87182">
            <w:pPr>
              <w:pStyle w:val="Textpoznpodarou1"/>
              <w:jc w:val="both"/>
              <w:rPr>
                <w:lang w:eastAsia="en-US"/>
              </w:rPr>
            </w:pPr>
          </w:p>
        </w:tc>
        <w:tc>
          <w:tcPr>
            <w:tcW w:w="7625" w:type="dxa"/>
          </w:tcPr>
          <w:p w14:paraId="6636F64B" w14:textId="5CAF15E6" w:rsidR="007F0076" w:rsidRPr="00995C95" w:rsidRDefault="00310A58" w:rsidP="00310A58">
            <w:pPr>
              <w:spacing w:after="0"/>
              <w:rPr>
                <w:lang w:eastAsia="en-US"/>
              </w:rPr>
            </w:pPr>
            <w:r w:rsidRPr="00995C95">
              <w:rPr>
                <w:lang w:eastAsia="en-US"/>
              </w:rPr>
              <w:t xml:space="preserve">A characteristic feature of price growth in 2025 was the </w:t>
            </w:r>
            <w:r w:rsidR="00806CCE" w:rsidRPr="00995C95">
              <w:rPr>
                <w:lang w:eastAsia="en-US"/>
              </w:rPr>
              <w:t xml:space="preserve">ongoing </w:t>
            </w:r>
            <w:r w:rsidRPr="00995C95">
              <w:rPr>
                <w:lang w:eastAsia="en-US"/>
              </w:rPr>
              <w:t xml:space="preserve">strong dynamics of services prices. This was reflected in particular in the development </w:t>
            </w:r>
            <w:r w:rsidR="0089151D" w:rsidRPr="00995C95">
              <w:rPr>
                <w:lang w:eastAsia="en-US"/>
              </w:rPr>
              <w:t xml:space="preserve">of </w:t>
            </w:r>
            <w:r w:rsidRPr="00995C95">
              <w:rPr>
                <w:lang w:eastAsia="en-US"/>
              </w:rPr>
              <w:t xml:space="preserve">the food and accommodation </w:t>
            </w:r>
            <w:r w:rsidR="0089151D" w:rsidRPr="00995C95">
              <w:rPr>
                <w:lang w:eastAsia="en-US"/>
              </w:rPr>
              <w:t>division</w:t>
            </w:r>
            <w:r w:rsidRPr="00995C95">
              <w:rPr>
                <w:lang w:eastAsia="en-US"/>
              </w:rPr>
              <w:t xml:space="preserve">, where prices increased by 4.9% last year. Prices of accommodation services (7.4%) rose more significantly than prices of </w:t>
            </w:r>
            <w:r w:rsidR="00ED049D" w:rsidRPr="00995C95">
              <w:rPr>
                <w:lang w:eastAsia="en-US"/>
              </w:rPr>
              <w:t xml:space="preserve">food service </w:t>
            </w:r>
            <w:r w:rsidRPr="00995C95">
              <w:rPr>
                <w:lang w:eastAsia="en-US"/>
              </w:rPr>
              <w:t>(4.6%). Stable strong year-on-year price dynamics was maintained throughout the year</w:t>
            </w:r>
            <w:r w:rsidR="00764344" w:rsidRPr="00995C95">
              <w:rPr>
                <w:lang w:eastAsia="en-US"/>
              </w:rPr>
              <w:t xml:space="preserve"> in this division</w:t>
            </w:r>
            <w:r w:rsidRPr="00995C95">
              <w:rPr>
                <w:lang w:eastAsia="en-US"/>
              </w:rPr>
              <w:t>, and prices of food and accommodation increased by 4.7%</w:t>
            </w:r>
            <w:r w:rsidR="00764344" w:rsidRPr="00995C95">
              <w:rPr>
                <w:lang w:eastAsia="en-US"/>
              </w:rPr>
              <w:t>,</w:t>
            </w:r>
            <w:r w:rsidRPr="00995C95">
              <w:rPr>
                <w:lang w:eastAsia="en-US"/>
              </w:rPr>
              <w:t xml:space="preserve"> year-on-year</w:t>
            </w:r>
            <w:r w:rsidR="00764344" w:rsidRPr="00995C95">
              <w:rPr>
                <w:lang w:eastAsia="en-US"/>
              </w:rPr>
              <w:t>, in Q4</w:t>
            </w:r>
            <w:r w:rsidRPr="00995C95">
              <w:rPr>
                <w:lang w:eastAsia="en-US"/>
              </w:rPr>
              <w:t xml:space="preserve"> and by 0.9%</w:t>
            </w:r>
            <w:r w:rsidR="00764344" w:rsidRPr="00995C95">
              <w:rPr>
                <w:lang w:eastAsia="en-US"/>
              </w:rPr>
              <w:t>,</w:t>
            </w:r>
            <w:r w:rsidRPr="00995C95">
              <w:rPr>
                <w:lang w:eastAsia="en-US"/>
              </w:rPr>
              <w:t xml:space="preserve"> quarter-on-quarter. Prices of recreation and culture also increased at an above-average pace, rising by 3.7% for the whole of 2025. The increase was mainly driven by prices of recreational and cultural services (5.8%) and </w:t>
            </w:r>
            <w:r w:rsidR="008B4FCF" w:rsidRPr="00995C95">
              <w:rPr>
                <w:lang w:eastAsia="en-US"/>
              </w:rPr>
              <w:t xml:space="preserve">package </w:t>
            </w:r>
            <w:r w:rsidRPr="00995C95">
              <w:rPr>
                <w:lang w:eastAsia="en-US"/>
              </w:rPr>
              <w:t xml:space="preserve">holidays (4.3%). Prices of newspapers, books and stationery also rose strongly (3.9%). </w:t>
            </w:r>
            <w:r w:rsidR="00D133BB" w:rsidRPr="00995C95">
              <w:rPr>
                <w:lang w:eastAsia="en-US"/>
              </w:rPr>
              <w:t xml:space="preserve">The </w:t>
            </w:r>
            <w:r w:rsidRPr="00995C95">
              <w:rPr>
                <w:lang w:eastAsia="en-US"/>
              </w:rPr>
              <w:t xml:space="preserve">year-on-year increase </w:t>
            </w:r>
            <w:r w:rsidR="00D133BB" w:rsidRPr="00995C95">
              <w:rPr>
                <w:lang w:eastAsia="en-US"/>
              </w:rPr>
              <w:t xml:space="preserve">of </w:t>
            </w:r>
            <w:r w:rsidRPr="00995C95">
              <w:rPr>
                <w:lang w:eastAsia="en-US"/>
              </w:rPr>
              <w:t>prices of recreation and culture weakened to 3.8%</w:t>
            </w:r>
            <w:r w:rsidR="00D133BB" w:rsidRPr="00995C95">
              <w:rPr>
                <w:lang w:eastAsia="en-US"/>
              </w:rPr>
              <w:t xml:space="preserve"> in Q4 alone</w:t>
            </w:r>
            <w:r w:rsidRPr="00995C95">
              <w:rPr>
                <w:lang w:eastAsia="en-US"/>
              </w:rPr>
              <w:t xml:space="preserve">, reflecting the usual seasonal quarter-on-quarter decrease </w:t>
            </w:r>
            <w:r w:rsidR="00D133BB" w:rsidRPr="00995C95">
              <w:rPr>
                <w:lang w:eastAsia="en-US"/>
              </w:rPr>
              <w:t>of</w:t>
            </w:r>
            <w:r w:rsidRPr="00995C95">
              <w:rPr>
                <w:lang w:eastAsia="en-US"/>
              </w:rPr>
              <w:t xml:space="preserve"> prices (−3.7%, </w:t>
            </w:r>
            <w:r w:rsidRPr="00995C95">
              <w:rPr>
                <w:lang w:eastAsia="en-US"/>
              </w:rPr>
              <w:lastRenderedPageBreak/>
              <w:t xml:space="preserve">mainly </w:t>
            </w:r>
            <w:r w:rsidR="00D133BB" w:rsidRPr="00995C95">
              <w:rPr>
                <w:lang w:eastAsia="en-US"/>
              </w:rPr>
              <w:t xml:space="preserve">package </w:t>
            </w:r>
            <w:r w:rsidRPr="00995C95">
              <w:rPr>
                <w:lang w:eastAsia="en-US"/>
              </w:rPr>
              <w:t>holidays). Prices of other goods and services increased by 3.2% last year</w:t>
            </w:r>
            <w:r w:rsidR="00EC6FA8" w:rsidRPr="00995C95">
              <w:rPr>
                <w:rStyle w:val="Znakapoznpodarou"/>
                <w:lang w:eastAsia="en-US"/>
              </w:rPr>
              <w:footnoteReference w:id="2"/>
            </w:r>
            <w:r w:rsidRPr="00995C95">
              <w:rPr>
                <w:lang w:eastAsia="en-US"/>
              </w:rPr>
              <w:t xml:space="preserve">. </w:t>
            </w:r>
            <w:r w:rsidR="00EC6FA8" w:rsidRPr="00995C95">
              <w:rPr>
                <w:lang w:eastAsia="en-US"/>
              </w:rPr>
              <w:t>P</w:t>
            </w:r>
            <w:r w:rsidRPr="00995C95">
              <w:rPr>
                <w:lang w:eastAsia="en-US"/>
              </w:rPr>
              <w:t xml:space="preserve">rices </w:t>
            </w:r>
            <w:r w:rsidR="00EC6FA8" w:rsidRPr="00995C95">
              <w:rPr>
                <w:lang w:eastAsia="en-US"/>
              </w:rPr>
              <w:t>of</w:t>
            </w:r>
            <w:r w:rsidRPr="00995C95">
              <w:rPr>
                <w:lang w:eastAsia="en-US"/>
              </w:rPr>
              <w:t xml:space="preserve"> education increased significantly (8.7%)</w:t>
            </w:r>
            <w:r w:rsidR="00EC6FA8" w:rsidRPr="00995C95">
              <w:rPr>
                <w:lang w:eastAsia="en-US"/>
              </w:rPr>
              <w:t xml:space="preserve"> last year</w:t>
            </w:r>
            <w:r w:rsidRPr="00995C95">
              <w:rPr>
                <w:lang w:eastAsia="en-US"/>
              </w:rPr>
              <w:t xml:space="preserve"> – an exceptionally strong quarter-on-quarter increase of 6.9% at the end of 2024 was still visible. The high comparative bas</w:t>
            </w:r>
            <w:r w:rsidR="007653FB" w:rsidRPr="00995C95">
              <w:rPr>
                <w:lang w:eastAsia="en-US"/>
              </w:rPr>
              <w:t xml:space="preserve">is </w:t>
            </w:r>
            <w:r w:rsidRPr="00995C95">
              <w:rPr>
                <w:lang w:eastAsia="en-US"/>
              </w:rPr>
              <w:t xml:space="preserve">was also evident in the weakening of the year-on-year growth rate of education prices to 4.1% in </w:t>
            </w:r>
            <w:r w:rsidR="007653FB" w:rsidRPr="00995C95">
              <w:rPr>
                <w:lang w:eastAsia="en-US"/>
              </w:rPr>
              <w:t>Q4 2025</w:t>
            </w:r>
            <w:r w:rsidRPr="00995C95">
              <w:rPr>
                <w:lang w:eastAsia="en-US"/>
              </w:rPr>
              <w:t xml:space="preserve">. The quarter-on-quarter increase reached 2.3%. </w:t>
            </w:r>
            <w:r w:rsidR="00FB52BA" w:rsidRPr="00995C95">
              <w:rPr>
                <w:lang w:eastAsia="en-US"/>
              </w:rPr>
              <w:t>Prices in the area of h</w:t>
            </w:r>
            <w:r w:rsidRPr="00995C95">
              <w:rPr>
                <w:lang w:eastAsia="en-US"/>
              </w:rPr>
              <w:t>ealth were 3.4% higher last year and increased by 3.1%</w:t>
            </w:r>
            <w:r w:rsidR="00FB52BA" w:rsidRPr="00995C95">
              <w:rPr>
                <w:lang w:eastAsia="en-US"/>
              </w:rPr>
              <w:t>,</w:t>
            </w:r>
            <w:r w:rsidRPr="00995C95">
              <w:rPr>
                <w:lang w:eastAsia="en-US"/>
              </w:rPr>
              <w:t xml:space="preserve"> year-on-year</w:t>
            </w:r>
            <w:r w:rsidR="00FB52BA" w:rsidRPr="00995C95">
              <w:rPr>
                <w:lang w:eastAsia="en-US"/>
              </w:rPr>
              <w:t>,</w:t>
            </w:r>
            <w:r w:rsidRPr="00995C95">
              <w:rPr>
                <w:lang w:eastAsia="en-US"/>
              </w:rPr>
              <w:t xml:space="preserve"> in Q4 alone.</w:t>
            </w:r>
            <w:r w:rsidR="00B90BAE" w:rsidRPr="00995C95">
              <w:rPr>
                <w:lang w:eastAsia="en-US"/>
              </w:rPr>
              <w:t xml:space="preserve"> </w:t>
            </w:r>
          </w:p>
          <w:p w14:paraId="63EC5005" w14:textId="759E90BB" w:rsidR="007E7DD7" w:rsidRPr="00995C95" w:rsidRDefault="007E7DD7" w:rsidP="00310A58">
            <w:pPr>
              <w:spacing w:after="0"/>
              <w:rPr>
                <w:lang w:eastAsia="en-US"/>
              </w:rPr>
            </w:pPr>
          </w:p>
        </w:tc>
      </w:tr>
      <w:tr w:rsidR="007F0076" w:rsidRPr="00995C95" w14:paraId="4C391100" w14:textId="77777777" w:rsidTr="00E87182">
        <w:trPr>
          <w:trHeight w:val="145"/>
        </w:trPr>
        <w:tc>
          <w:tcPr>
            <w:tcW w:w="1791" w:type="dxa"/>
          </w:tcPr>
          <w:p w14:paraId="12754088" w14:textId="2418CA77" w:rsidR="007F0076" w:rsidRPr="00995C95" w:rsidRDefault="007C4955" w:rsidP="007C4955">
            <w:pPr>
              <w:pStyle w:val="Marginlie"/>
              <w:rPr>
                <w:spacing w:val="0"/>
                <w:lang w:eastAsia="en-US"/>
              </w:rPr>
            </w:pPr>
            <w:r w:rsidRPr="00995C95">
              <w:rPr>
                <w:spacing w:val="0"/>
                <w:lang w:eastAsia="en-US"/>
              </w:rPr>
              <w:lastRenderedPageBreak/>
              <w:t>A slight increase was recorded</w:t>
            </w:r>
            <w:r w:rsidR="00361951" w:rsidRPr="00995C95">
              <w:rPr>
                <w:spacing w:val="0"/>
                <w:lang w:eastAsia="en-US"/>
              </w:rPr>
              <w:t xml:space="preserve"> for </w:t>
            </w:r>
            <w:r w:rsidRPr="00995C95">
              <w:rPr>
                <w:spacing w:val="0"/>
                <w:lang w:eastAsia="en-US"/>
              </w:rPr>
              <w:t>the prices of home furnishings</w:t>
            </w:r>
            <w:r w:rsidR="00361951" w:rsidRPr="00995C95">
              <w:rPr>
                <w:spacing w:val="0"/>
                <w:lang w:eastAsia="en-US"/>
              </w:rPr>
              <w:t xml:space="preserve"> last year</w:t>
            </w:r>
            <w:r w:rsidRPr="00995C95">
              <w:rPr>
                <w:spacing w:val="0"/>
                <w:lang w:eastAsia="en-US"/>
              </w:rPr>
              <w:t>.</w:t>
            </w:r>
          </w:p>
        </w:tc>
        <w:tc>
          <w:tcPr>
            <w:tcW w:w="223" w:type="dxa"/>
          </w:tcPr>
          <w:p w14:paraId="37394C31" w14:textId="77777777" w:rsidR="007F0076" w:rsidRPr="00995C95" w:rsidRDefault="007F0076" w:rsidP="00E87182">
            <w:pPr>
              <w:pStyle w:val="Textpoznpodarou1"/>
              <w:jc w:val="both"/>
              <w:rPr>
                <w:lang w:eastAsia="en-US"/>
              </w:rPr>
            </w:pPr>
          </w:p>
        </w:tc>
        <w:tc>
          <w:tcPr>
            <w:tcW w:w="7625" w:type="dxa"/>
          </w:tcPr>
          <w:p w14:paraId="2C2CC2C7" w14:textId="1B22C273" w:rsidR="007F0076" w:rsidRPr="00995C95" w:rsidRDefault="008D5398" w:rsidP="008D5398">
            <w:pPr>
              <w:rPr>
                <w:lang w:eastAsia="en-US"/>
              </w:rPr>
            </w:pPr>
            <w:r w:rsidRPr="00995C95">
              <w:rPr>
                <w:lang w:eastAsia="en-US"/>
              </w:rPr>
              <w:t xml:space="preserve">Within the consumer basket, prices of </w:t>
            </w:r>
            <w:r w:rsidR="0051484B" w:rsidRPr="00995C95">
              <w:rPr>
                <w:lang w:eastAsia="en-US"/>
              </w:rPr>
              <w:t xml:space="preserve">home </w:t>
            </w:r>
            <w:r w:rsidRPr="00995C95">
              <w:rPr>
                <w:lang w:eastAsia="en-US"/>
              </w:rPr>
              <w:t xml:space="preserve">furnishings, household </w:t>
            </w:r>
            <w:r w:rsidR="0051484B" w:rsidRPr="00995C95">
              <w:rPr>
                <w:lang w:eastAsia="en-US"/>
              </w:rPr>
              <w:t xml:space="preserve">equipment </w:t>
            </w:r>
            <w:r w:rsidRPr="00995C95">
              <w:rPr>
                <w:lang w:eastAsia="en-US"/>
              </w:rPr>
              <w:t xml:space="preserve">and repairs rose only slightly last year (1.4%). Household textiles recorded a relatively high price increase (6.8%) and furniture, furnishings and floor coverings also increased in price (2.6%). However, prices in the rest of the division rather stagnated or decreased in the case of goods and services for routine household maintenance (−1.7%). The </w:t>
            </w:r>
            <w:r w:rsidR="00410C52" w:rsidRPr="00995C95">
              <w:rPr>
                <w:lang w:eastAsia="en-US"/>
              </w:rPr>
              <w:t xml:space="preserve">division </w:t>
            </w:r>
            <w:r w:rsidRPr="00995C95">
              <w:rPr>
                <w:lang w:eastAsia="en-US"/>
              </w:rPr>
              <w:t xml:space="preserve">maintained a stable growth rate throughout the </w:t>
            </w:r>
            <w:r w:rsidR="00F6657C" w:rsidRPr="00995C95">
              <w:rPr>
                <w:lang w:eastAsia="en-US"/>
              </w:rPr>
              <w:t>year,</w:t>
            </w:r>
            <w:r w:rsidRPr="00995C95">
              <w:rPr>
                <w:lang w:eastAsia="en-US"/>
              </w:rPr>
              <w:t xml:space="preserve"> and the year-on-year increase </w:t>
            </w:r>
            <w:r w:rsidR="00F6657C" w:rsidRPr="00995C95">
              <w:rPr>
                <w:lang w:eastAsia="en-US"/>
              </w:rPr>
              <w:t xml:space="preserve">of </w:t>
            </w:r>
            <w:r w:rsidRPr="00995C95">
              <w:rPr>
                <w:lang w:eastAsia="en-US"/>
              </w:rPr>
              <w:t>prices of furnishings, equipment and repairs reached 1.3%</w:t>
            </w:r>
            <w:r w:rsidR="00410C52" w:rsidRPr="00995C95">
              <w:rPr>
                <w:lang w:eastAsia="en-US"/>
              </w:rPr>
              <w:t xml:space="preserve"> in Q4 alone</w:t>
            </w:r>
            <w:r w:rsidRPr="00995C95">
              <w:rPr>
                <w:lang w:eastAsia="en-US"/>
              </w:rPr>
              <w:t>. Quarter-on-quarter, prices increased by 0.1%</w:t>
            </w:r>
            <w:r w:rsidR="00A044C1" w:rsidRPr="00995C95">
              <w:rPr>
                <w:lang w:eastAsia="en-US"/>
              </w:rPr>
              <w:t xml:space="preserve"> here</w:t>
            </w:r>
            <w:r w:rsidRPr="00995C95">
              <w:rPr>
                <w:lang w:eastAsia="en-US"/>
              </w:rPr>
              <w:t>. Prices of post offices and telecommunications increased by 0.4% last year, were higher by 0.5%</w:t>
            </w:r>
            <w:r w:rsidR="00A044C1" w:rsidRPr="00995C95">
              <w:rPr>
                <w:lang w:eastAsia="en-US"/>
              </w:rPr>
              <w:t>,</w:t>
            </w:r>
            <w:r w:rsidRPr="00995C95">
              <w:rPr>
                <w:lang w:eastAsia="en-US"/>
              </w:rPr>
              <w:t xml:space="preserve"> year-on-year</w:t>
            </w:r>
            <w:r w:rsidR="00A044C1" w:rsidRPr="00995C95">
              <w:rPr>
                <w:lang w:eastAsia="en-US"/>
              </w:rPr>
              <w:t>,</w:t>
            </w:r>
            <w:r w:rsidRPr="00995C95">
              <w:rPr>
                <w:lang w:eastAsia="en-US"/>
              </w:rPr>
              <w:t xml:space="preserve"> in </w:t>
            </w:r>
            <w:r w:rsidR="00A044C1" w:rsidRPr="00995C95">
              <w:rPr>
                <w:lang w:eastAsia="en-US"/>
              </w:rPr>
              <w:t>Q</w:t>
            </w:r>
            <w:r w:rsidRPr="00995C95">
              <w:rPr>
                <w:lang w:eastAsia="en-US"/>
              </w:rPr>
              <w:t>4</w:t>
            </w:r>
            <w:r w:rsidR="00A044C1" w:rsidRPr="00995C95">
              <w:rPr>
                <w:lang w:eastAsia="en-US"/>
              </w:rPr>
              <w:t xml:space="preserve"> </w:t>
            </w:r>
            <w:r w:rsidRPr="00995C95">
              <w:rPr>
                <w:lang w:eastAsia="en-US"/>
              </w:rPr>
              <w:t>alone and remained unchanged</w:t>
            </w:r>
            <w:r w:rsidR="00A044C1" w:rsidRPr="00995C95">
              <w:rPr>
                <w:lang w:eastAsia="en-US"/>
              </w:rPr>
              <w:t>,</w:t>
            </w:r>
            <w:r w:rsidRPr="00995C95">
              <w:rPr>
                <w:lang w:eastAsia="en-US"/>
              </w:rPr>
              <w:t xml:space="preserve"> quarter-on-quarter.</w:t>
            </w:r>
            <w:r w:rsidR="007F0076" w:rsidRPr="00995C95">
              <w:rPr>
                <w:lang w:eastAsia="en-US"/>
              </w:rPr>
              <w:t xml:space="preserve"> </w:t>
            </w:r>
          </w:p>
        </w:tc>
      </w:tr>
      <w:tr w:rsidR="007F0076" w:rsidRPr="00995C95" w14:paraId="1166E067" w14:textId="77777777" w:rsidTr="00E87182">
        <w:trPr>
          <w:trHeight w:val="145"/>
        </w:trPr>
        <w:tc>
          <w:tcPr>
            <w:tcW w:w="1791" w:type="dxa"/>
          </w:tcPr>
          <w:p w14:paraId="444E1C7E" w14:textId="183E4419" w:rsidR="007F0076" w:rsidRPr="00995C95" w:rsidRDefault="00216255" w:rsidP="00216255">
            <w:pPr>
              <w:pStyle w:val="Marginlie"/>
              <w:rPr>
                <w:spacing w:val="0"/>
                <w:lang w:eastAsia="en-US"/>
              </w:rPr>
            </w:pPr>
            <w:r w:rsidRPr="00995C95">
              <w:rPr>
                <w:spacing w:val="0"/>
                <w:lang w:eastAsia="en-US"/>
              </w:rPr>
              <w:t xml:space="preserve">A decline was recorded last year </w:t>
            </w:r>
            <w:r w:rsidR="006234F7" w:rsidRPr="00995C95">
              <w:rPr>
                <w:spacing w:val="0"/>
                <w:lang w:eastAsia="en-US"/>
              </w:rPr>
              <w:t xml:space="preserve">for </w:t>
            </w:r>
            <w:r w:rsidRPr="00995C95">
              <w:rPr>
                <w:spacing w:val="0"/>
                <w:lang w:eastAsia="en-US"/>
              </w:rPr>
              <w:t>the prices of clothing and footwear and transport</w:t>
            </w:r>
            <w:r w:rsidR="006234F7" w:rsidRPr="00995C95">
              <w:rPr>
                <w:spacing w:val="0"/>
                <w:lang w:eastAsia="en-US"/>
              </w:rPr>
              <w:t>ation</w:t>
            </w:r>
            <w:r w:rsidRPr="00995C95">
              <w:rPr>
                <w:spacing w:val="0"/>
                <w:lang w:eastAsia="en-US"/>
              </w:rPr>
              <w:t>.</w:t>
            </w:r>
          </w:p>
        </w:tc>
        <w:tc>
          <w:tcPr>
            <w:tcW w:w="223" w:type="dxa"/>
          </w:tcPr>
          <w:p w14:paraId="03A7F268" w14:textId="77777777" w:rsidR="007F0076" w:rsidRPr="00995C95" w:rsidRDefault="007F0076" w:rsidP="00E87182">
            <w:pPr>
              <w:pStyle w:val="Textpoznpodarou1"/>
              <w:jc w:val="both"/>
              <w:rPr>
                <w:lang w:eastAsia="en-US"/>
              </w:rPr>
            </w:pPr>
          </w:p>
        </w:tc>
        <w:tc>
          <w:tcPr>
            <w:tcW w:w="7625" w:type="dxa"/>
          </w:tcPr>
          <w:p w14:paraId="5D0B3115" w14:textId="7F302B4E" w:rsidR="007F0076" w:rsidRPr="00995C95" w:rsidRDefault="006234F7" w:rsidP="00C21721">
            <w:pPr>
              <w:rPr>
                <w:lang w:eastAsia="en-US"/>
              </w:rPr>
            </w:pPr>
            <w:r w:rsidRPr="00995C95">
              <w:rPr>
                <w:lang w:eastAsia="en-US"/>
              </w:rPr>
              <w:t>P</w:t>
            </w:r>
            <w:r w:rsidR="00C21721" w:rsidRPr="00995C95">
              <w:rPr>
                <w:lang w:eastAsia="en-US"/>
              </w:rPr>
              <w:t xml:space="preserve">rices fell </w:t>
            </w:r>
            <w:r w:rsidR="00376778" w:rsidRPr="00995C95">
              <w:rPr>
                <w:lang w:eastAsia="en-US"/>
              </w:rPr>
              <w:t xml:space="preserve">in </w:t>
            </w:r>
            <w:r w:rsidR="00C21721" w:rsidRPr="00995C95">
              <w:rPr>
                <w:lang w:eastAsia="en-US"/>
              </w:rPr>
              <w:t xml:space="preserve">only two </w:t>
            </w:r>
            <w:r w:rsidRPr="00995C95">
              <w:rPr>
                <w:lang w:eastAsia="en-US"/>
              </w:rPr>
              <w:t>divisions, last year.</w:t>
            </w:r>
            <w:r w:rsidR="00C21721" w:rsidRPr="00995C95">
              <w:rPr>
                <w:lang w:eastAsia="en-US"/>
              </w:rPr>
              <w:t xml:space="preserve"> The first was clothing and footwear (−1.9%), where the year-on-year decline was maintained throughout the year.</w:t>
            </w:r>
            <w:r w:rsidR="00376778" w:rsidRPr="00995C95">
              <w:rPr>
                <w:lang w:eastAsia="en-US"/>
              </w:rPr>
              <w:t xml:space="preserve"> T</w:t>
            </w:r>
            <w:r w:rsidR="00C21721" w:rsidRPr="00995C95">
              <w:rPr>
                <w:lang w:eastAsia="en-US"/>
              </w:rPr>
              <w:t xml:space="preserve">he year-on-year decrease </w:t>
            </w:r>
            <w:r w:rsidR="00376778" w:rsidRPr="00995C95">
              <w:rPr>
                <w:lang w:eastAsia="en-US"/>
              </w:rPr>
              <w:t xml:space="preserve">of </w:t>
            </w:r>
            <w:r w:rsidR="00C21721" w:rsidRPr="00995C95">
              <w:rPr>
                <w:lang w:eastAsia="en-US"/>
              </w:rPr>
              <w:t>prices reached 2.0%</w:t>
            </w:r>
            <w:r w:rsidR="00376778" w:rsidRPr="00995C95">
              <w:rPr>
                <w:lang w:eastAsia="en-US"/>
              </w:rPr>
              <w:t xml:space="preserve"> in Q4</w:t>
            </w:r>
            <w:r w:rsidR="00C21721" w:rsidRPr="00995C95">
              <w:rPr>
                <w:lang w:eastAsia="en-US"/>
              </w:rPr>
              <w:t>, but there was a significant increase of 1.2%</w:t>
            </w:r>
            <w:r w:rsidR="00376778" w:rsidRPr="00995C95">
              <w:rPr>
                <w:lang w:eastAsia="en-US"/>
              </w:rPr>
              <w:t>,</w:t>
            </w:r>
            <w:r w:rsidR="00C21721" w:rsidRPr="00995C95">
              <w:rPr>
                <w:lang w:eastAsia="en-US"/>
              </w:rPr>
              <w:t xml:space="preserve"> quarter-on-quarter. The second </w:t>
            </w:r>
            <w:r w:rsidR="00376778" w:rsidRPr="00995C95">
              <w:rPr>
                <w:lang w:eastAsia="en-US"/>
              </w:rPr>
              <w:t xml:space="preserve">division, </w:t>
            </w:r>
            <w:r w:rsidR="00C21721" w:rsidRPr="00995C95">
              <w:rPr>
                <w:lang w:eastAsia="en-US"/>
              </w:rPr>
              <w:t xml:space="preserve">where </w:t>
            </w:r>
            <w:r w:rsidR="00B13EF3" w:rsidRPr="00995C95">
              <w:rPr>
                <w:lang w:eastAsia="en-US"/>
              </w:rPr>
              <w:t xml:space="preserve">total </w:t>
            </w:r>
            <w:r w:rsidR="00C21721" w:rsidRPr="00995C95">
              <w:rPr>
                <w:lang w:eastAsia="en-US"/>
              </w:rPr>
              <w:t>prices decreased was transport</w:t>
            </w:r>
            <w:r w:rsidR="00AA58D7" w:rsidRPr="00995C95">
              <w:rPr>
                <w:lang w:eastAsia="en-US"/>
              </w:rPr>
              <w:t>ation</w:t>
            </w:r>
            <w:r w:rsidR="00C21721" w:rsidRPr="00995C95">
              <w:rPr>
                <w:lang w:eastAsia="en-US"/>
              </w:rPr>
              <w:t xml:space="preserve"> (−0.8%), which was mainly affected by a </w:t>
            </w:r>
            <w:r w:rsidR="00B13EF3" w:rsidRPr="00995C95">
              <w:rPr>
                <w:lang w:eastAsia="en-US"/>
              </w:rPr>
              <w:t xml:space="preserve">reduced cost </w:t>
            </w:r>
            <w:r w:rsidR="00C21721" w:rsidRPr="00995C95">
              <w:rPr>
                <w:lang w:eastAsia="en-US"/>
              </w:rPr>
              <w:t xml:space="preserve">of the operation of personal transport vehicles (−2.5%), especially a decrease </w:t>
            </w:r>
            <w:r w:rsidR="00FB52DF" w:rsidRPr="00995C95">
              <w:rPr>
                <w:lang w:eastAsia="en-US"/>
              </w:rPr>
              <w:t>of</w:t>
            </w:r>
            <w:r w:rsidR="00C21721" w:rsidRPr="00995C95">
              <w:rPr>
                <w:lang w:eastAsia="en-US"/>
              </w:rPr>
              <w:t xml:space="preserve"> fuel prices (−6.8%). </w:t>
            </w:r>
            <w:r w:rsidR="006266AD" w:rsidRPr="00995C95">
              <w:rPr>
                <w:lang w:eastAsia="en-US"/>
              </w:rPr>
              <w:t>Purchase prices of motor vehicles</w:t>
            </w:r>
            <w:r w:rsidR="00C21721" w:rsidRPr="00995C95">
              <w:rPr>
                <w:lang w:eastAsia="en-US"/>
              </w:rPr>
              <w:t>, motorcycles and bicycles were only slightly higher last year (0.6%). Only the costs of transport</w:t>
            </w:r>
            <w:r w:rsidR="008644C3" w:rsidRPr="00995C95">
              <w:rPr>
                <w:lang w:eastAsia="en-US"/>
              </w:rPr>
              <w:t>ation</w:t>
            </w:r>
            <w:r w:rsidR="00C21721" w:rsidRPr="00995C95">
              <w:rPr>
                <w:lang w:eastAsia="en-US"/>
              </w:rPr>
              <w:t xml:space="preserve"> services increased more significantly (3.2%)</w:t>
            </w:r>
            <w:r w:rsidR="008644C3" w:rsidRPr="00995C95">
              <w:rPr>
                <w:lang w:eastAsia="en-US"/>
              </w:rPr>
              <w:t xml:space="preserve"> within the development of </w:t>
            </w:r>
            <w:r w:rsidR="00AF3683" w:rsidRPr="00995C95">
              <w:rPr>
                <w:lang w:eastAsia="en-US"/>
              </w:rPr>
              <w:t>transportation prices</w:t>
            </w:r>
            <w:r w:rsidR="00C21721" w:rsidRPr="00995C95">
              <w:rPr>
                <w:lang w:eastAsia="en-US"/>
              </w:rPr>
              <w:t>. Depending on the development of fuel prices, transport</w:t>
            </w:r>
            <w:r w:rsidR="008C4486" w:rsidRPr="00995C95">
              <w:rPr>
                <w:lang w:eastAsia="en-US"/>
              </w:rPr>
              <w:t>ation</w:t>
            </w:r>
            <w:r w:rsidR="00C21721" w:rsidRPr="00995C95">
              <w:rPr>
                <w:lang w:eastAsia="en-US"/>
              </w:rPr>
              <w:t xml:space="preserve"> prices occasionally went from falling to year-on-year stagnation during the year, which was also the case in </w:t>
            </w:r>
            <w:r w:rsidR="00520D1D" w:rsidRPr="00995C95">
              <w:rPr>
                <w:lang w:eastAsia="en-US"/>
              </w:rPr>
              <w:t>Q</w:t>
            </w:r>
            <w:r w:rsidR="00C21721" w:rsidRPr="00995C95">
              <w:rPr>
                <w:lang w:eastAsia="en-US"/>
              </w:rPr>
              <w:t>4</w:t>
            </w:r>
            <w:r w:rsidR="00520D1D" w:rsidRPr="00995C95">
              <w:rPr>
                <w:lang w:eastAsia="en-US"/>
              </w:rPr>
              <w:t xml:space="preserve"> </w:t>
            </w:r>
            <w:r w:rsidR="00C21721" w:rsidRPr="00995C95">
              <w:rPr>
                <w:lang w:eastAsia="en-US"/>
              </w:rPr>
              <w:t>(growth by 0.1%</w:t>
            </w:r>
            <w:r w:rsidR="00520D1D" w:rsidRPr="00995C95">
              <w:rPr>
                <w:lang w:eastAsia="en-US"/>
              </w:rPr>
              <w:t>,</w:t>
            </w:r>
            <w:r w:rsidR="00C21721" w:rsidRPr="00995C95">
              <w:rPr>
                <w:lang w:eastAsia="en-US"/>
              </w:rPr>
              <w:t xml:space="preserve"> year-on-year, −0.1%</w:t>
            </w:r>
            <w:r w:rsidR="00520D1D" w:rsidRPr="00995C95">
              <w:rPr>
                <w:lang w:eastAsia="en-US"/>
              </w:rPr>
              <w:t>,</w:t>
            </w:r>
            <w:r w:rsidR="00C21721" w:rsidRPr="00995C95">
              <w:rPr>
                <w:lang w:eastAsia="en-US"/>
              </w:rPr>
              <w:t xml:space="preserve"> quarter-on-quarter). Prices of </w:t>
            </w:r>
            <w:r w:rsidR="00406D06" w:rsidRPr="00995C95">
              <w:rPr>
                <w:lang w:eastAsia="en-US"/>
              </w:rPr>
              <w:t xml:space="preserve">operation of personal transport equipment </w:t>
            </w:r>
            <w:r w:rsidR="00C21721" w:rsidRPr="00995C95">
              <w:rPr>
                <w:lang w:eastAsia="en-US"/>
              </w:rPr>
              <w:t>decreased by 0.9%, y</w:t>
            </w:r>
            <w:r w:rsidR="00406D06" w:rsidRPr="00995C95">
              <w:rPr>
                <w:lang w:eastAsia="en-US"/>
              </w:rPr>
              <w:t>ear</w:t>
            </w:r>
            <w:r w:rsidR="00C21721" w:rsidRPr="00995C95">
              <w:rPr>
                <w:lang w:eastAsia="en-US"/>
              </w:rPr>
              <w:t>-o</w:t>
            </w:r>
            <w:r w:rsidR="00406D06" w:rsidRPr="00995C95">
              <w:rPr>
                <w:lang w:eastAsia="en-US"/>
              </w:rPr>
              <w:t>n</w:t>
            </w:r>
            <w:r w:rsidR="00C21721" w:rsidRPr="00995C95">
              <w:rPr>
                <w:lang w:eastAsia="en-US"/>
              </w:rPr>
              <w:t>-y</w:t>
            </w:r>
            <w:r w:rsidR="00406D06" w:rsidRPr="00995C95">
              <w:rPr>
                <w:lang w:eastAsia="en-US"/>
              </w:rPr>
              <w:t>ear</w:t>
            </w:r>
            <w:r w:rsidR="00C21721" w:rsidRPr="00995C95">
              <w:rPr>
                <w:lang w:eastAsia="en-US"/>
              </w:rPr>
              <w:t xml:space="preserve">, in Q4. </w:t>
            </w:r>
            <w:r w:rsidR="00406D06" w:rsidRPr="00995C95">
              <w:rPr>
                <w:lang w:eastAsia="en-US"/>
              </w:rPr>
              <w:t>T</w:t>
            </w:r>
            <w:r w:rsidR="00C21721" w:rsidRPr="00995C95">
              <w:rPr>
                <w:lang w:eastAsia="en-US"/>
              </w:rPr>
              <w:t xml:space="preserve">he year-on-year increase weakened to 1.4% </w:t>
            </w:r>
            <w:r w:rsidR="00406D06" w:rsidRPr="00995C95">
              <w:rPr>
                <w:lang w:eastAsia="en-US"/>
              </w:rPr>
              <w:t>for transportation services</w:t>
            </w:r>
            <w:r w:rsidR="00432D19" w:rsidRPr="00995C95">
              <w:rPr>
                <w:lang w:eastAsia="en-US"/>
              </w:rPr>
              <w:t xml:space="preserve"> </w:t>
            </w:r>
            <w:r w:rsidR="00C21721" w:rsidRPr="00995C95">
              <w:rPr>
                <w:lang w:eastAsia="en-US"/>
              </w:rPr>
              <w:t xml:space="preserve">and the purchase prices of </w:t>
            </w:r>
            <w:r w:rsidR="00432D19" w:rsidRPr="00995C95">
              <w:rPr>
                <w:lang w:eastAsia="en-US"/>
              </w:rPr>
              <w:t>motor vehicles</w:t>
            </w:r>
            <w:r w:rsidR="00C21721" w:rsidRPr="00995C95">
              <w:rPr>
                <w:lang w:eastAsia="en-US"/>
              </w:rPr>
              <w:t>, motorcycles and bicycles were higher by 1.2%.</w:t>
            </w:r>
            <w:r w:rsidRPr="00995C95">
              <w:rPr>
                <w:lang w:eastAsia="en-US"/>
              </w:rPr>
              <w:t xml:space="preserve"> </w:t>
            </w:r>
          </w:p>
        </w:tc>
      </w:tr>
      <w:tr w:rsidR="007F0076" w:rsidRPr="00995C95" w14:paraId="1FA54CD2" w14:textId="77777777" w:rsidTr="00E87182">
        <w:trPr>
          <w:trHeight w:val="145"/>
        </w:trPr>
        <w:tc>
          <w:tcPr>
            <w:tcW w:w="1791" w:type="dxa"/>
            <w:hideMark/>
          </w:tcPr>
          <w:p w14:paraId="32BB86DE" w14:textId="7926F689" w:rsidR="007F0076" w:rsidRPr="00995C95" w:rsidRDefault="00223BF5" w:rsidP="00223BF5">
            <w:pPr>
              <w:pStyle w:val="Marginlie"/>
              <w:rPr>
                <w:spacing w:val="0"/>
                <w:lang w:eastAsia="en-US"/>
              </w:rPr>
            </w:pPr>
            <w:r w:rsidRPr="00995C95">
              <w:rPr>
                <w:spacing w:val="0"/>
                <w:lang w:eastAsia="en-US"/>
              </w:rPr>
              <w:t xml:space="preserve">Consumer prices increased by 2.5% in the EU in 2025. </w:t>
            </w:r>
          </w:p>
        </w:tc>
        <w:tc>
          <w:tcPr>
            <w:tcW w:w="223" w:type="dxa"/>
          </w:tcPr>
          <w:p w14:paraId="5F31B602" w14:textId="77777777" w:rsidR="007F0076" w:rsidRPr="00995C95" w:rsidRDefault="007F0076" w:rsidP="00E87182">
            <w:pPr>
              <w:pStyle w:val="Textpoznpodarou1"/>
              <w:jc w:val="both"/>
              <w:rPr>
                <w:lang w:eastAsia="en-US"/>
              </w:rPr>
            </w:pPr>
          </w:p>
        </w:tc>
        <w:tc>
          <w:tcPr>
            <w:tcW w:w="7625" w:type="dxa"/>
            <w:hideMark/>
          </w:tcPr>
          <w:p w14:paraId="11204FE2" w14:textId="58D2A15D" w:rsidR="007F0076" w:rsidRPr="00995C95" w:rsidRDefault="00E472EB" w:rsidP="00E472EB">
            <w:pPr>
              <w:rPr>
                <w:lang w:eastAsia="en-US"/>
              </w:rPr>
            </w:pPr>
            <w:r w:rsidRPr="00995C95">
              <w:rPr>
                <w:bCs/>
              </w:rPr>
              <w:t>The Harmonised Index of Consumer Prices (HICP)</w:t>
            </w:r>
            <w:r w:rsidR="008E72A6" w:rsidRPr="00995C95">
              <w:rPr>
                <w:rStyle w:val="Znakapoznpodarou"/>
                <w:lang w:eastAsia="en-US"/>
              </w:rPr>
              <w:footnoteReference w:id="3"/>
            </w:r>
            <w:r w:rsidRPr="00995C95">
              <w:rPr>
                <w:bCs/>
              </w:rPr>
              <w:t xml:space="preserve"> in the European Union increased by 2.5% in 2025. The pace slowed slightly compared to the previous year (2.6%) and the structure of price growth also changed. </w:t>
            </w:r>
            <w:r w:rsidR="00554DC2" w:rsidRPr="00995C95">
              <w:rPr>
                <w:bCs/>
              </w:rPr>
              <w:t>T</w:t>
            </w:r>
            <w:r w:rsidRPr="00995C95">
              <w:rPr>
                <w:bCs/>
              </w:rPr>
              <w:t xml:space="preserve">he increase </w:t>
            </w:r>
            <w:r w:rsidR="00554DC2" w:rsidRPr="00995C95">
              <w:rPr>
                <w:bCs/>
              </w:rPr>
              <w:t>of</w:t>
            </w:r>
            <w:r w:rsidRPr="00995C95">
              <w:rPr>
                <w:bCs/>
              </w:rPr>
              <w:t xml:space="preserve"> food and non-alcoholic beverages prices (3.3%) and housing and energy</w:t>
            </w:r>
            <w:r w:rsidR="00BE19ED" w:rsidRPr="00995C95">
              <w:rPr>
                <w:bCs/>
              </w:rPr>
              <w:t xml:space="preserve"> prices</w:t>
            </w:r>
            <w:r w:rsidRPr="00995C95">
              <w:rPr>
                <w:bCs/>
              </w:rPr>
              <w:t xml:space="preserve"> (2.8%) strengthened in the EU. On the </w:t>
            </w:r>
            <w:r w:rsidR="00BE19ED" w:rsidRPr="00995C95">
              <w:rPr>
                <w:bCs/>
              </w:rPr>
              <w:t>contrary</w:t>
            </w:r>
            <w:r w:rsidRPr="00995C95">
              <w:rPr>
                <w:bCs/>
              </w:rPr>
              <w:t xml:space="preserve">, the prices of alcohol and tobacco (4.4%), accommodation and food </w:t>
            </w:r>
            <w:r w:rsidR="00BE19ED" w:rsidRPr="00995C95">
              <w:rPr>
                <w:bCs/>
              </w:rPr>
              <w:t xml:space="preserve">service </w:t>
            </w:r>
            <w:r w:rsidRPr="00995C95">
              <w:rPr>
                <w:bCs/>
              </w:rPr>
              <w:t xml:space="preserve">(4.0%), recreation and culture (1.9%) increased more moderately, and the growth of prices of clothing and footwear (0.4%) almost </w:t>
            </w:r>
            <w:r w:rsidR="00547D28" w:rsidRPr="00995C95">
              <w:rPr>
                <w:bCs/>
              </w:rPr>
              <w:t>ceased</w:t>
            </w:r>
            <w:r w:rsidRPr="00995C95">
              <w:rPr>
                <w:bCs/>
              </w:rPr>
              <w:t>. In 2025, only telecom</w:t>
            </w:r>
            <w:r w:rsidR="00547D28" w:rsidRPr="00995C95">
              <w:rPr>
                <w:bCs/>
              </w:rPr>
              <w:t xml:space="preserve">munications </w:t>
            </w:r>
            <w:r w:rsidRPr="00995C95">
              <w:rPr>
                <w:bCs/>
              </w:rPr>
              <w:t>prices fell in the EU (-1.5%). Consumer prices rose in all EU countries last year. Price increases in Cyprus (0.8%) and France (0.9%) fell below 1%. By contrast,</w:t>
            </w:r>
            <w:r w:rsidR="00860454" w:rsidRPr="00995C95">
              <w:rPr>
                <w:bCs/>
              </w:rPr>
              <w:t xml:space="preserve"> </w:t>
            </w:r>
            <w:r w:rsidR="00A17A35" w:rsidRPr="00995C95">
              <w:rPr>
                <w:bCs/>
              </w:rPr>
              <w:t xml:space="preserve">HICP </w:t>
            </w:r>
            <w:r w:rsidRPr="00995C95">
              <w:rPr>
                <w:bCs/>
              </w:rPr>
              <w:t>grew the most by a significant margin</w:t>
            </w:r>
            <w:r w:rsidR="00860454" w:rsidRPr="00995C95">
              <w:rPr>
                <w:bCs/>
              </w:rPr>
              <w:t xml:space="preserve"> in Romania (6.8%)</w:t>
            </w:r>
            <w:r w:rsidRPr="00995C95">
              <w:rPr>
                <w:bCs/>
              </w:rPr>
              <w:t xml:space="preserve">, followed by Estonia (4.8%), Croatia and Hungary (both 4.4%). In Czechia, HICP growth moderated to 2.3%. In </w:t>
            </w:r>
            <w:r w:rsidR="00117E12" w:rsidRPr="00995C95">
              <w:rPr>
                <w:bCs/>
              </w:rPr>
              <w:t>Q</w:t>
            </w:r>
            <w:r w:rsidRPr="00995C95">
              <w:rPr>
                <w:bCs/>
              </w:rPr>
              <w:t>4</w:t>
            </w:r>
            <w:r w:rsidR="00117E12" w:rsidRPr="00995C95">
              <w:rPr>
                <w:bCs/>
              </w:rPr>
              <w:t xml:space="preserve"> </w:t>
            </w:r>
            <w:r w:rsidRPr="00995C95">
              <w:rPr>
                <w:bCs/>
              </w:rPr>
              <w:t xml:space="preserve">alone, the HICP grew by 2.4% </w:t>
            </w:r>
            <w:r w:rsidR="007A72C3" w:rsidRPr="00995C95">
              <w:rPr>
                <w:bCs/>
              </w:rPr>
              <w:t xml:space="preserve">in the EU, </w:t>
            </w:r>
            <w:r w:rsidRPr="00995C95">
              <w:rPr>
                <w:bCs/>
              </w:rPr>
              <w:t>year-on-year</w:t>
            </w:r>
            <w:r w:rsidR="007A72C3" w:rsidRPr="00995C95">
              <w:rPr>
                <w:bCs/>
              </w:rPr>
              <w:t>,</w:t>
            </w:r>
            <w:r w:rsidRPr="00995C95">
              <w:rPr>
                <w:bCs/>
              </w:rPr>
              <w:t xml:space="preserve"> and by 0.3%</w:t>
            </w:r>
            <w:r w:rsidR="007A72C3" w:rsidRPr="00995C95">
              <w:rPr>
                <w:bCs/>
              </w:rPr>
              <w:t>,</w:t>
            </w:r>
            <w:r w:rsidRPr="00995C95">
              <w:rPr>
                <w:bCs/>
              </w:rPr>
              <w:t xml:space="preserve"> quarter-on-quarter. The slight slowdown </w:t>
            </w:r>
            <w:r w:rsidR="007A72C3" w:rsidRPr="00995C95">
              <w:rPr>
                <w:bCs/>
              </w:rPr>
              <w:t xml:space="preserve">of </w:t>
            </w:r>
            <w:r w:rsidR="00227DA6" w:rsidRPr="00995C95">
              <w:rPr>
                <w:bCs/>
              </w:rPr>
              <w:t xml:space="preserve">the year-on-year pace </w:t>
            </w:r>
            <w:r w:rsidRPr="00995C95">
              <w:rPr>
                <w:bCs/>
              </w:rPr>
              <w:t xml:space="preserve">of the HICP was mainly due to the development of food and non-alcoholic beverages prices (a moderation of the increase to 2.9%). Prices of accommodation and </w:t>
            </w:r>
            <w:r w:rsidR="008D38B6" w:rsidRPr="00995C95">
              <w:rPr>
                <w:bCs/>
              </w:rPr>
              <w:t xml:space="preserve">food service </w:t>
            </w:r>
            <w:r w:rsidRPr="00995C95">
              <w:rPr>
                <w:bCs/>
              </w:rPr>
              <w:t>and other services continued to rise strongly. Only telecommunications prices decreased</w:t>
            </w:r>
            <w:r w:rsidR="008D38B6" w:rsidRPr="00995C95">
              <w:rPr>
                <w:bCs/>
              </w:rPr>
              <w:t>,</w:t>
            </w:r>
            <w:r w:rsidRPr="00995C95">
              <w:rPr>
                <w:bCs/>
              </w:rPr>
              <w:t xml:space="preserve"> </w:t>
            </w:r>
            <w:r w:rsidRPr="00995C95">
              <w:rPr>
                <w:bCs/>
              </w:rPr>
              <w:lastRenderedPageBreak/>
              <w:t xml:space="preserve">year-on-year (−0.6%). </w:t>
            </w:r>
            <w:r w:rsidR="00DE3DE3" w:rsidRPr="00995C95">
              <w:rPr>
                <w:bCs/>
              </w:rPr>
              <w:t xml:space="preserve">Prices were raised the most, </w:t>
            </w:r>
            <w:r w:rsidRPr="00995C95">
              <w:rPr>
                <w:bCs/>
              </w:rPr>
              <w:t>year-on-year</w:t>
            </w:r>
            <w:r w:rsidR="00DE3DE3" w:rsidRPr="00995C95">
              <w:rPr>
                <w:bCs/>
              </w:rPr>
              <w:t xml:space="preserve">, </w:t>
            </w:r>
            <w:r w:rsidRPr="00995C95">
              <w:rPr>
                <w:bCs/>
              </w:rPr>
              <w:t>in Romania (8.6%), Estonia (4.4%) and Croatia (4.0%)</w:t>
            </w:r>
            <w:r w:rsidR="00B96FAD" w:rsidRPr="00995C95">
              <w:rPr>
                <w:bCs/>
              </w:rPr>
              <w:t xml:space="preserve"> in Q4</w:t>
            </w:r>
            <w:r w:rsidRPr="00995C95">
              <w:rPr>
                <w:bCs/>
              </w:rPr>
              <w:t>. Prices in Cyprus (0.1%) practically stagnated, and prices in France (0.8%) and Italy (1.2%) increased only slightly</w:t>
            </w:r>
            <w:r w:rsidR="005B720C" w:rsidRPr="00995C95">
              <w:rPr>
                <w:bCs/>
              </w:rPr>
              <w:t>,</w:t>
            </w:r>
            <w:r w:rsidRPr="00995C95">
              <w:rPr>
                <w:bCs/>
              </w:rPr>
              <w:t xml:space="preserve"> year-on-year.</w:t>
            </w:r>
            <w:r w:rsidR="008D38B6" w:rsidRPr="00995C95">
              <w:rPr>
                <w:bCs/>
              </w:rPr>
              <w:t xml:space="preserve"> </w:t>
            </w:r>
          </w:p>
        </w:tc>
      </w:tr>
      <w:tr w:rsidR="007F0076" w:rsidRPr="00995C95" w14:paraId="0A75621E" w14:textId="77777777" w:rsidTr="00E87182">
        <w:trPr>
          <w:trHeight w:val="145"/>
        </w:trPr>
        <w:tc>
          <w:tcPr>
            <w:tcW w:w="1791" w:type="dxa"/>
          </w:tcPr>
          <w:p w14:paraId="2380E537" w14:textId="58731078" w:rsidR="007F0076" w:rsidRPr="00995C95" w:rsidRDefault="00F472FC" w:rsidP="00F472FC">
            <w:pPr>
              <w:pStyle w:val="Marginlie"/>
              <w:rPr>
                <w:spacing w:val="0"/>
                <w:lang w:eastAsia="en-US"/>
              </w:rPr>
            </w:pPr>
            <w:r w:rsidRPr="00995C95">
              <w:rPr>
                <w:spacing w:val="0"/>
                <w:lang w:eastAsia="en-US"/>
              </w:rPr>
              <w:lastRenderedPageBreak/>
              <w:t xml:space="preserve">Year-on-year growth </w:t>
            </w:r>
            <w:r w:rsidR="0023038D" w:rsidRPr="00995C95">
              <w:rPr>
                <w:spacing w:val="0"/>
                <w:lang w:eastAsia="en-US"/>
              </w:rPr>
              <w:t xml:space="preserve">of catalogue prices of dwellings </w:t>
            </w:r>
            <w:r w:rsidRPr="00995C95">
              <w:rPr>
                <w:spacing w:val="0"/>
                <w:lang w:eastAsia="en-US"/>
              </w:rPr>
              <w:t xml:space="preserve">peaked in </w:t>
            </w:r>
            <w:r w:rsidR="0023038D" w:rsidRPr="00995C95">
              <w:rPr>
                <w:spacing w:val="0"/>
                <w:lang w:eastAsia="en-US"/>
              </w:rPr>
              <w:t xml:space="preserve">H2. </w:t>
            </w:r>
          </w:p>
        </w:tc>
        <w:tc>
          <w:tcPr>
            <w:tcW w:w="223" w:type="dxa"/>
          </w:tcPr>
          <w:p w14:paraId="22E6290D" w14:textId="77777777" w:rsidR="007F0076" w:rsidRPr="00995C95" w:rsidRDefault="007F0076" w:rsidP="00E87182">
            <w:pPr>
              <w:pStyle w:val="Textpoznpodarou1"/>
              <w:jc w:val="both"/>
              <w:rPr>
                <w:lang w:eastAsia="en-US"/>
              </w:rPr>
            </w:pPr>
          </w:p>
        </w:tc>
        <w:tc>
          <w:tcPr>
            <w:tcW w:w="7625" w:type="dxa"/>
          </w:tcPr>
          <w:p w14:paraId="72C1A8CB" w14:textId="2B223EDB" w:rsidR="007F0076" w:rsidRPr="00995C95" w:rsidRDefault="0023038D" w:rsidP="0010109F">
            <w:pPr>
              <w:rPr>
                <w:lang w:eastAsia="en-US"/>
              </w:rPr>
            </w:pPr>
            <w:r w:rsidRPr="00995C95">
              <w:rPr>
                <w:lang w:eastAsia="en-US"/>
              </w:rPr>
              <w:t xml:space="preserve">Catalogue prices of dwellings </w:t>
            </w:r>
            <w:r w:rsidR="0010109F" w:rsidRPr="00995C95">
              <w:rPr>
                <w:lang w:eastAsia="en-US"/>
              </w:rPr>
              <w:t>in the Czech Republic increased by 16.8%</w:t>
            </w:r>
            <w:r w:rsidRPr="00995C95">
              <w:rPr>
                <w:lang w:eastAsia="en-US"/>
              </w:rPr>
              <w:t xml:space="preserve">, </w:t>
            </w:r>
            <w:r w:rsidR="0010109F" w:rsidRPr="00995C95">
              <w:rPr>
                <w:lang w:eastAsia="en-US"/>
              </w:rPr>
              <w:t>year-on-year</w:t>
            </w:r>
            <w:r w:rsidRPr="00995C95">
              <w:rPr>
                <w:lang w:eastAsia="en-US"/>
              </w:rPr>
              <w:t>, in 2025</w:t>
            </w:r>
            <w:r w:rsidR="0010109F" w:rsidRPr="00995C95">
              <w:rPr>
                <w:lang w:eastAsia="en-US"/>
              </w:rPr>
              <w:t xml:space="preserve">. Compared to the previous year, there was a sharp acceleration </w:t>
            </w:r>
            <w:r w:rsidRPr="00995C95">
              <w:rPr>
                <w:lang w:eastAsia="en-US"/>
              </w:rPr>
              <w:t xml:space="preserve">of </w:t>
            </w:r>
            <w:r w:rsidR="0010109F" w:rsidRPr="00995C95">
              <w:rPr>
                <w:lang w:eastAsia="en-US"/>
              </w:rPr>
              <w:t xml:space="preserve">price dynamics, both </w:t>
            </w:r>
            <w:r w:rsidR="00E476F4" w:rsidRPr="00995C95">
              <w:rPr>
                <w:lang w:eastAsia="en-US"/>
              </w:rPr>
              <w:t xml:space="preserve">regarding the </w:t>
            </w:r>
            <w:r w:rsidR="0010109F" w:rsidRPr="00995C95">
              <w:rPr>
                <w:lang w:eastAsia="en-US"/>
              </w:rPr>
              <w:t xml:space="preserve">prices of </w:t>
            </w:r>
            <w:r w:rsidR="00E476F4" w:rsidRPr="00995C95">
              <w:rPr>
                <w:lang w:eastAsia="en-US"/>
              </w:rPr>
              <w:t>dwellings i</w:t>
            </w:r>
            <w:r w:rsidR="0010109F" w:rsidRPr="00995C95">
              <w:rPr>
                <w:lang w:eastAsia="en-US"/>
              </w:rPr>
              <w:t xml:space="preserve">n Prague (15.8%) and outside Prague (17.9%). The acceleration </w:t>
            </w:r>
            <w:r w:rsidR="00E62BB4" w:rsidRPr="00995C95">
              <w:rPr>
                <w:lang w:eastAsia="en-US"/>
              </w:rPr>
              <w:t xml:space="preserve">of </w:t>
            </w:r>
            <w:r w:rsidR="0010109F" w:rsidRPr="00995C95">
              <w:rPr>
                <w:lang w:eastAsia="en-US"/>
              </w:rPr>
              <w:t xml:space="preserve">the year-on-year growth rate of </w:t>
            </w:r>
            <w:r w:rsidR="00E62BB4" w:rsidRPr="00995C95">
              <w:rPr>
                <w:lang w:eastAsia="en-US"/>
              </w:rPr>
              <w:t xml:space="preserve">catalogue </w:t>
            </w:r>
            <w:r w:rsidR="0010109F" w:rsidRPr="00995C95">
              <w:rPr>
                <w:lang w:eastAsia="en-US"/>
              </w:rPr>
              <w:t xml:space="preserve">prices of </w:t>
            </w:r>
            <w:r w:rsidR="00E62BB4" w:rsidRPr="00995C95">
              <w:rPr>
                <w:lang w:eastAsia="en-US"/>
              </w:rPr>
              <w:t xml:space="preserve">dwellings </w:t>
            </w:r>
            <w:r w:rsidR="0010109F" w:rsidRPr="00995C95">
              <w:rPr>
                <w:lang w:eastAsia="en-US"/>
              </w:rPr>
              <w:t>in the Czech Republic peaked in</w:t>
            </w:r>
            <w:r w:rsidR="00E62BB4" w:rsidRPr="00995C95">
              <w:rPr>
                <w:lang w:eastAsia="en-US"/>
              </w:rPr>
              <w:t xml:space="preserve"> H2</w:t>
            </w:r>
            <w:r w:rsidR="0010109F" w:rsidRPr="00995C95">
              <w:rPr>
                <w:lang w:eastAsia="en-US"/>
              </w:rPr>
              <w:t>, and the increase slowed slightly to 16.9%</w:t>
            </w:r>
            <w:r w:rsidR="002A53C9" w:rsidRPr="00995C95">
              <w:rPr>
                <w:lang w:eastAsia="en-US"/>
              </w:rPr>
              <w:t xml:space="preserve"> in Q4</w:t>
            </w:r>
            <w:r w:rsidR="0010109F" w:rsidRPr="00995C95">
              <w:rPr>
                <w:lang w:eastAsia="en-US"/>
              </w:rPr>
              <w:t xml:space="preserve">. The quarter-on-quarter increase was also milder (2.4%). The slowdown </w:t>
            </w:r>
            <w:r w:rsidR="002A53C9" w:rsidRPr="00995C95">
              <w:rPr>
                <w:lang w:eastAsia="en-US"/>
              </w:rPr>
              <w:t>of</w:t>
            </w:r>
            <w:r w:rsidR="0010109F" w:rsidRPr="00995C95">
              <w:rPr>
                <w:lang w:eastAsia="en-US"/>
              </w:rPr>
              <w:t xml:space="preserve"> the year-on-year pace was mainly due to the </w:t>
            </w:r>
            <w:r w:rsidR="00832736" w:rsidRPr="00995C95">
              <w:rPr>
                <w:lang w:eastAsia="en-US"/>
              </w:rPr>
              <w:t xml:space="preserve">catalogue prices of dwellings </w:t>
            </w:r>
            <w:r w:rsidR="0010109F" w:rsidRPr="00995C95">
              <w:rPr>
                <w:lang w:eastAsia="en-US"/>
              </w:rPr>
              <w:t xml:space="preserve">in Prague (14.8% in Q4, 16.1% in Q3), while the price increase for </w:t>
            </w:r>
            <w:r w:rsidR="00832736" w:rsidRPr="00995C95">
              <w:rPr>
                <w:lang w:eastAsia="en-US"/>
              </w:rPr>
              <w:t xml:space="preserve">dwellings </w:t>
            </w:r>
            <w:r w:rsidR="0010109F" w:rsidRPr="00995C95">
              <w:rPr>
                <w:lang w:eastAsia="en-US"/>
              </w:rPr>
              <w:t xml:space="preserve">outside Prague fell from 19.5% in Q3 to 19.2% in Q4. The year-on-year and quarter-on-quarter dynamics of realized prices of older </w:t>
            </w:r>
            <w:r w:rsidR="00F72904" w:rsidRPr="00995C95">
              <w:rPr>
                <w:lang w:eastAsia="en-US"/>
              </w:rPr>
              <w:t xml:space="preserve">dwellings </w:t>
            </w:r>
            <w:r w:rsidR="0010109F" w:rsidRPr="00995C95">
              <w:rPr>
                <w:lang w:eastAsia="en-US"/>
              </w:rPr>
              <w:t>in the Czech Republic have been stable for several quarters. In Q4 2025, they increased by 16.0%</w:t>
            </w:r>
            <w:r w:rsidR="00F72904" w:rsidRPr="00995C95">
              <w:rPr>
                <w:lang w:eastAsia="en-US"/>
              </w:rPr>
              <w:t>,</w:t>
            </w:r>
            <w:r w:rsidR="0010109F" w:rsidRPr="00995C95">
              <w:rPr>
                <w:lang w:eastAsia="en-US"/>
              </w:rPr>
              <w:t xml:space="preserve"> year-on-year, with a quarter-on-quarter increase of 3.7%. </w:t>
            </w:r>
            <w:r w:rsidR="00F42CA5" w:rsidRPr="00995C95">
              <w:rPr>
                <w:lang w:eastAsia="en-US"/>
              </w:rPr>
              <w:t>R</w:t>
            </w:r>
            <w:r w:rsidR="0010109F" w:rsidRPr="00995C95">
              <w:rPr>
                <w:lang w:eastAsia="en-US"/>
              </w:rPr>
              <w:t xml:space="preserve">ealized prices of older </w:t>
            </w:r>
            <w:r w:rsidR="00F42CA5" w:rsidRPr="00995C95">
              <w:rPr>
                <w:lang w:eastAsia="en-US"/>
              </w:rPr>
              <w:t xml:space="preserve">dwellings </w:t>
            </w:r>
            <w:r w:rsidR="0010109F" w:rsidRPr="00995C95">
              <w:rPr>
                <w:lang w:eastAsia="en-US"/>
              </w:rPr>
              <w:t>increased by 13.7%, y</w:t>
            </w:r>
            <w:r w:rsidR="00F42CA5" w:rsidRPr="00995C95">
              <w:rPr>
                <w:lang w:eastAsia="en-US"/>
              </w:rPr>
              <w:t>ear</w:t>
            </w:r>
            <w:r w:rsidR="0010109F" w:rsidRPr="00995C95">
              <w:rPr>
                <w:lang w:eastAsia="en-US"/>
              </w:rPr>
              <w:t>-o</w:t>
            </w:r>
            <w:r w:rsidR="00F42CA5" w:rsidRPr="00995C95">
              <w:rPr>
                <w:lang w:eastAsia="en-US"/>
              </w:rPr>
              <w:t>n</w:t>
            </w:r>
            <w:r w:rsidR="0010109F" w:rsidRPr="00995C95">
              <w:rPr>
                <w:lang w:eastAsia="en-US"/>
              </w:rPr>
              <w:t>-y</w:t>
            </w:r>
            <w:r w:rsidR="00F42CA5" w:rsidRPr="00995C95">
              <w:rPr>
                <w:lang w:eastAsia="en-US"/>
              </w:rPr>
              <w:t>ear</w:t>
            </w:r>
            <w:r w:rsidR="0010109F" w:rsidRPr="00995C95">
              <w:rPr>
                <w:lang w:eastAsia="en-US"/>
              </w:rPr>
              <w:t>,</w:t>
            </w:r>
            <w:r w:rsidR="00F42CA5" w:rsidRPr="00995C95">
              <w:rPr>
                <w:lang w:eastAsia="en-US"/>
              </w:rPr>
              <w:t xml:space="preserve"> in Prague alone</w:t>
            </w:r>
            <w:r w:rsidR="0010109F" w:rsidRPr="00995C95">
              <w:rPr>
                <w:lang w:eastAsia="en-US"/>
              </w:rPr>
              <w:t xml:space="preserve"> and </w:t>
            </w:r>
            <w:r w:rsidR="00F42CA5" w:rsidRPr="00995C95">
              <w:rPr>
                <w:lang w:eastAsia="en-US"/>
              </w:rPr>
              <w:t xml:space="preserve">by 16.6% </w:t>
            </w:r>
            <w:r w:rsidR="0010109F" w:rsidRPr="00995C95">
              <w:rPr>
                <w:lang w:eastAsia="en-US"/>
              </w:rPr>
              <w:t>outside Prague</w:t>
            </w:r>
            <w:r w:rsidR="00F42CA5" w:rsidRPr="00995C95">
              <w:rPr>
                <w:lang w:eastAsia="en-US"/>
              </w:rPr>
              <w:t>.</w:t>
            </w:r>
            <w:r w:rsidR="0010109F" w:rsidRPr="00995C95">
              <w:rPr>
                <w:lang w:eastAsia="en-US"/>
              </w:rPr>
              <w:t xml:space="preserve"> Prices of new </w:t>
            </w:r>
            <w:r w:rsidR="00323353" w:rsidRPr="00995C95">
              <w:rPr>
                <w:lang w:eastAsia="en-US"/>
              </w:rPr>
              <w:t>dwellings</w:t>
            </w:r>
            <w:r w:rsidR="0010109F" w:rsidRPr="00995C95">
              <w:rPr>
                <w:lang w:eastAsia="en-US"/>
              </w:rPr>
              <w:t xml:space="preserve">, which are only available for Prague, showed a noticeable </w:t>
            </w:r>
            <w:r w:rsidR="00323353" w:rsidRPr="00995C95">
              <w:rPr>
                <w:lang w:eastAsia="en-US"/>
              </w:rPr>
              <w:t xml:space="preserve">growth </w:t>
            </w:r>
            <w:r w:rsidR="0010109F" w:rsidRPr="00995C95">
              <w:rPr>
                <w:lang w:eastAsia="en-US"/>
              </w:rPr>
              <w:t>slowdown in Q4 2025 – prices increased by 13.3%</w:t>
            </w:r>
            <w:r w:rsidR="00323353" w:rsidRPr="00995C95">
              <w:rPr>
                <w:lang w:eastAsia="en-US"/>
              </w:rPr>
              <w:t>,</w:t>
            </w:r>
            <w:r w:rsidR="0010109F" w:rsidRPr="00995C95">
              <w:rPr>
                <w:lang w:eastAsia="en-US"/>
              </w:rPr>
              <w:t xml:space="preserve"> year-on-year</w:t>
            </w:r>
            <w:r w:rsidR="00323353" w:rsidRPr="00995C95">
              <w:rPr>
                <w:lang w:eastAsia="en-US"/>
              </w:rPr>
              <w:t>,</w:t>
            </w:r>
            <w:r w:rsidR="0010109F" w:rsidRPr="00995C95">
              <w:rPr>
                <w:lang w:eastAsia="en-US"/>
              </w:rPr>
              <w:t xml:space="preserve"> and by 0.9%</w:t>
            </w:r>
            <w:r w:rsidR="00323353" w:rsidRPr="00995C95">
              <w:rPr>
                <w:lang w:eastAsia="en-US"/>
              </w:rPr>
              <w:t>,</w:t>
            </w:r>
            <w:r w:rsidR="0010109F" w:rsidRPr="00995C95">
              <w:rPr>
                <w:lang w:eastAsia="en-US"/>
              </w:rPr>
              <w:t xml:space="preserve"> quarter-on-quarter, which was the lowest since Q3 2024.</w:t>
            </w:r>
            <w:r w:rsidR="007F0076" w:rsidRPr="00995C95">
              <w:rPr>
                <w:lang w:eastAsia="en-US"/>
              </w:rPr>
              <w:t xml:space="preserve"> </w:t>
            </w:r>
          </w:p>
        </w:tc>
      </w:tr>
      <w:tr w:rsidR="007F0076" w:rsidRPr="00995C95" w14:paraId="0582D38C" w14:textId="77777777" w:rsidTr="00E87182">
        <w:trPr>
          <w:trHeight w:val="145"/>
        </w:trPr>
        <w:tc>
          <w:tcPr>
            <w:tcW w:w="1791" w:type="dxa"/>
          </w:tcPr>
          <w:p w14:paraId="5441E1CE" w14:textId="77777777" w:rsidR="007F0076" w:rsidRPr="00995C95" w:rsidRDefault="007F0076" w:rsidP="00E87182">
            <w:pPr>
              <w:pStyle w:val="Marginlie"/>
              <w:rPr>
                <w:spacing w:val="0"/>
                <w:lang w:eastAsia="en-US"/>
              </w:rPr>
            </w:pPr>
          </w:p>
        </w:tc>
        <w:tc>
          <w:tcPr>
            <w:tcW w:w="223" w:type="dxa"/>
          </w:tcPr>
          <w:p w14:paraId="7E806B8E" w14:textId="77777777" w:rsidR="007F0076" w:rsidRPr="00995C95" w:rsidRDefault="007F0076" w:rsidP="00E87182">
            <w:pPr>
              <w:pStyle w:val="Textpoznpodarou1"/>
              <w:jc w:val="both"/>
              <w:rPr>
                <w:lang w:eastAsia="en-US"/>
              </w:rPr>
            </w:pPr>
          </w:p>
        </w:tc>
        <w:tc>
          <w:tcPr>
            <w:tcW w:w="7625" w:type="dxa"/>
            <w:hideMark/>
          </w:tcPr>
          <w:p w14:paraId="1FAB30FB" w14:textId="3B77B17B" w:rsidR="007F0076" w:rsidRPr="00995C95" w:rsidRDefault="00E476F4" w:rsidP="00E87182">
            <w:pPr>
              <w:spacing w:after="0"/>
              <w:rPr>
                <w:rStyle w:val="Znakapoznpodarou"/>
              </w:rPr>
            </w:pPr>
            <w:r w:rsidRPr="00995C95">
              <w:rPr>
                <w:b/>
                <w:sz w:val="18"/>
                <w:szCs w:val="18"/>
                <w:lang w:eastAsia="en-US"/>
              </w:rPr>
              <w:t xml:space="preserve">Chart </w:t>
            </w:r>
            <w:r w:rsidR="007F0076" w:rsidRPr="00995C95">
              <w:rPr>
                <w:b/>
                <w:sz w:val="18"/>
                <w:szCs w:val="18"/>
                <w:lang w:eastAsia="en-US"/>
              </w:rPr>
              <w:t>1</w:t>
            </w:r>
            <w:r w:rsidR="00281666" w:rsidRPr="00995C95">
              <w:rPr>
                <w:b/>
                <w:sz w:val="18"/>
                <w:szCs w:val="18"/>
                <w:lang w:eastAsia="en-US"/>
              </w:rPr>
              <w:t>2</w:t>
            </w:r>
            <w:r w:rsidR="007F0076" w:rsidRPr="00995C95">
              <w:rPr>
                <w:b/>
                <w:sz w:val="18"/>
                <w:szCs w:val="18"/>
                <w:lang w:eastAsia="en-US"/>
              </w:rPr>
              <w:t xml:space="preserve"> </w:t>
            </w:r>
            <w:r w:rsidR="00C354A2" w:rsidRPr="00995C95">
              <w:rPr>
                <w:b/>
                <w:sz w:val="18"/>
                <w:szCs w:val="18"/>
                <w:lang w:eastAsia="en-US"/>
              </w:rPr>
              <w:t xml:space="preserve">Real estate prices </w:t>
            </w:r>
            <w:r w:rsidR="00C354A2" w:rsidRPr="00995C95">
              <w:rPr>
                <w:sz w:val="18"/>
                <w:szCs w:val="18"/>
                <w:lang w:eastAsia="en-US"/>
              </w:rPr>
              <w:t>(year-on-year change, in %)</w:t>
            </w:r>
          </w:p>
        </w:tc>
      </w:tr>
      <w:tr w:rsidR="007F0076" w:rsidRPr="00995C95" w14:paraId="038B98A9" w14:textId="77777777" w:rsidTr="00F923AC">
        <w:tblPrEx>
          <w:tblCellMar>
            <w:left w:w="70" w:type="dxa"/>
            <w:right w:w="70" w:type="dxa"/>
          </w:tblCellMar>
        </w:tblPrEx>
        <w:trPr>
          <w:trHeight w:val="145"/>
        </w:trPr>
        <w:tc>
          <w:tcPr>
            <w:tcW w:w="1791" w:type="dxa"/>
          </w:tcPr>
          <w:p w14:paraId="06FA447B" w14:textId="77777777" w:rsidR="007F0076" w:rsidRPr="00995C95" w:rsidRDefault="007F0076" w:rsidP="00E87182">
            <w:pPr>
              <w:pStyle w:val="Marginlie"/>
              <w:rPr>
                <w:spacing w:val="0"/>
              </w:rPr>
            </w:pPr>
          </w:p>
        </w:tc>
        <w:tc>
          <w:tcPr>
            <w:tcW w:w="223" w:type="dxa"/>
          </w:tcPr>
          <w:p w14:paraId="4A21D303" w14:textId="77777777" w:rsidR="007F0076" w:rsidRPr="00995C95" w:rsidRDefault="007F0076" w:rsidP="00E87182">
            <w:pPr>
              <w:pStyle w:val="Textpoznpodarou1"/>
              <w:jc w:val="both"/>
              <w:rPr>
                <w:lang w:eastAsia="en-US"/>
              </w:rPr>
            </w:pPr>
          </w:p>
        </w:tc>
        <w:tc>
          <w:tcPr>
            <w:tcW w:w="7625" w:type="dxa"/>
            <w:hideMark/>
          </w:tcPr>
          <w:p w14:paraId="0EA8FA00" w14:textId="17DA0AA3" w:rsidR="007F0076" w:rsidRPr="00995C95" w:rsidRDefault="00F923AC" w:rsidP="00E87182">
            <w:pPr>
              <w:spacing w:after="0"/>
              <w:rPr>
                <w:rStyle w:val="Znakapoznpodarou"/>
              </w:rPr>
            </w:pPr>
            <w:r>
              <w:rPr>
                <w:noProof/>
              </w:rPr>
              <w:drawing>
                <wp:inline distT="0" distB="0" distL="0" distR="0" wp14:anchorId="22D6CE9B" wp14:editId="25C0DD69">
                  <wp:extent cx="4737600" cy="3553200"/>
                  <wp:effectExtent l="0" t="0" r="6350" b="0"/>
                  <wp:docPr id="1836118406" name="Graf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7F0076" w:rsidRPr="00995C95" w14:paraId="2507BBC4" w14:textId="77777777" w:rsidTr="00E87182">
        <w:trPr>
          <w:trHeight w:val="145"/>
        </w:trPr>
        <w:tc>
          <w:tcPr>
            <w:tcW w:w="1791" w:type="dxa"/>
          </w:tcPr>
          <w:p w14:paraId="1D6C49E3" w14:textId="77777777" w:rsidR="007F0076" w:rsidRPr="00995C95" w:rsidRDefault="007F0076" w:rsidP="00E87182">
            <w:pPr>
              <w:pStyle w:val="Marginlie"/>
              <w:rPr>
                <w:spacing w:val="0"/>
              </w:rPr>
            </w:pPr>
          </w:p>
        </w:tc>
        <w:tc>
          <w:tcPr>
            <w:tcW w:w="223" w:type="dxa"/>
          </w:tcPr>
          <w:p w14:paraId="5E5B4FAC" w14:textId="77777777" w:rsidR="007F0076" w:rsidRPr="00995C95" w:rsidRDefault="007F0076" w:rsidP="00E87182">
            <w:pPr>
              <w:pStyle w:val="Textpoznpodarou1"/>
              <w:jc w:val="both"/>
              <w:rPr>
                <w:lang w:eastAsia="en-US"/>
              </w:rPr>
            </w:pPr>
          </w:p>
        </w:tc>
        <w:tc>
          <w:tcPr>
            <w:tcW w:w="7625" w:type="dxa"/>
            <w:hideMark/>
          </w:tcPr>
          <w:p w14:paraId="700C5AE3" w14:textId="562355BE" w:rsidR="00753EB4" w:rsidRPr="00995C95" w:rsidRDefault="00753EB4" w:rsidP="00F923AC">
            <w:pPr>
              <w:spacing w:after="120"/>
              <w:jc w:val="left"/>
              <w:rPr>
                <w:rStyle w:val="Znakapoznpodarou"/>
                <w:sz w:val="16"/>
                <w:szCs w:val="16"/>
              </w:rPr>
            </w:pPr>
            <w:r w:rsidRPr="00995C95">
              <w:rPr>
                <w:sz w:val="16"/>
                <w:szCs w:val="16"/>
                <w:lang w:eastAsia="en-US"/>
              </w:rPr>
              <w:t>Source</w:t>
            </w:r>
            <w:r w:rsidR="007F0076" w:rsidRPr="00995C95">
              <w:rPr>
                <w:sz w:val="16"/>
                <w:szCs w:val="16"/>
                <w:lang w:eastAsia="en-US"/>
              </w:rPr>
              <w:t xml:space="preserve">: </w:t>
            </w:r>
            <w:r w:rsidRPr="00995C95">
              <w:rPr>
                <w:sz w:val="16"/>
                <w:szCs w:val="16"/>
                <w:lang w:eastAsia="en-US"/>
              </w:rPr>
              <w:t>CZSO</w:t>
            </w:r>
          </w:p>
        </w:tc>
      </w:tr>
      <w:tr w:rsidR="007F0076" w:rsidRPr="00995C95" w14:paraId="6F04C298" w14:textId="77777777" w:rsidTr="00E87182">
        <w:trPr>
          <w:trHeight w:val="145"/>
        </w:trPr>
        <w:tc>
          <w:tcPr>
            <w:tcW w:w="1791" w:type="dxa"/>
          </w:tcPr>
          <w:p w14:paraId="34BB0713" w14:textId="5FA48523" w:rsidR="007F0076" w:rsidRPr="00995C95" w:rsidRDefault="00DD0A61" w:rsidP="00DD0A61">
            <w:pPr>
              <w:pStyle w:val="Marginlie"/>
              <w:rPr>
                <w:spacing w:val="0"/>
                <w:lang w:eastAsia="en-US"/>
              </w:rPr>
            </w:pPr>
            <w:r w:rsidRPr="00995C95">
              <w:rPr>
                <w:spacing w:val="0"/>
                <w:lang w:eastAsia="en-US"/>
              </w:rPr>
              <w:t xml:space="preserve">Industrial producer prices fell </w:t>
            </w:r>
            <w:r w:rsidR="0089588A" w:rsidRPr="00995C95">
              <w:rPr>
                <w:spacing w:val="0"/>
                <w:lang w:eastAsia="en-US"/>
              </w:rPr>
              <w:t xml:space="preserve">in total </w:t>
            </w:r>
            <w:r w:rsidRPr="00995C95">
              <w:rPr>
                <w:spacing w:val="0"/>
                <w:lang w:eastAsia="en-US"/>
              </w:rPr>
              <w:t>last year.</w:t>
            </w:r>
          </w:p>
        </w:tc>
        <w:tc>
          <w:tcPr>
            <w:tcW w:w="223" w:type="dxa"/>
          </w:tcPr>
          <w:p w14:paraId="060B3893" w14:textId="77777777" w:rsidR="007F0076" w:rsidRPr="00995C95" w:rsidRDefault="007F0076" w:rsidP="00E87182">
            <w:pPr>
              <w:pStyle w:val="Textpoznpodarou1"/>
              <w:jc w:val="both"/>
              <w:rPr>
                <w:lang w:eastAsia="en-US"/>
              </w:rPr>
            </w:pPr>
          </w:p>
        </w:tc>
        <w:tc>
          <w:tcPr>
            <w:tcW w:w="7625" w:type="dxa"/>
          </w:tcPr>
          <w:p w14:paraId="77861C9E" w14:textId="4F7F9352" w:rsidR="007F0076" w:rsidRPr="00995C95" w:rsidRDefault="0089588A" w:rsidP="00F26464">
            <w:pPr>
              <w:rPr>
                <w:lang w:eastAsia="en-US"/>
              </w:rPr>
            </w:pPr>
            <w:r w:rsidRPr="00995C95">
              <w:rPr>
                <w:lang w:eastAsia="en-US"/>
              </w:rPr>
              <w:t>In total</w:t>
            </w:r>
            <w:r w:rsidR="00F26464" w:rsidRPr="00995C95">
              <w:rPr>
                <w:lang w:eastAsia="en-US"/>
              </w:rPr>
              <w:t>, industrial producer prices fell by 0.8% in 2025, the first decrease since 2016. Only prices of water supply and related services were higher</w:t>
            </w:r>
            <w:r w:rsidR="00192938" w:rsidRPr="00995C95">
              <w:rPr>
                <w:lang w:eastAsia="en-US"/>
              </w:rPr>
              <w:t>,</w:t>
            </w:r>
            <w:r w:rsidR="00F26464" w:rsidRPr="00995C95">
              <w:rPr>
                <w:lang w:eastAsia="en-US"/>
              </w:rPr>
              <w:t xml:space="preserve"> year-on-year (4.1%). Mining and quarrying prices fell the most (−3.8%). </w:t>
            </w:r>
            <w:r w:rsidR="0005414D" w:rsidRPr="00995C95">
              <w:rPr>
                <w:lang w:eastAsia="en-US"/>
              </w:rPr>
              <w:t xml:space="preserve">Among </w:t>
            </w:r>
            <w:r w:rsidR="00F26464" w:rsidRPr="00995C95">
              <w:rPr>
                <w:lang w:eastAsia="en-US"/>
              </w:rPr>
              <w:t xml:space="preserve">these, the prices of coal and lignite mining fell by 9.6% and </w:t>
            </w:r>
            <w:r w:rsidR="00643D6B" w:rsidRPr="00995C95">
              <w:rPr>
                <w:lang w:eastAsia="en-US"/>
              </w:rPr>
              <w:t xml:space="preserve">crude </w:t>
            </w:r>
            <w:r w:rsidR="00F26464" w:rsidRPr="00995C95">
              <w:rPr>
                <w:lang w:eastAsia="en-US"/>
              </w:rPr>
              <w:t xml:space="preserve">oil and natural gas by 15.5%. On the </w:t>
            </w:r>
            <w:r w:rsidR="0005414D" w:rsidRPr="00995C95">
              <w:rPr>
                <w:lang w:eastAsia="en-US"/>
              </w:rPr>
              <w:t>contrary</w:t>
            </w:r>
            <w:r w:rsidR="00F26464" w:rsidRPr="00995C95">
              <w:rPr>
                <w:lang w:eastAsia="en-US"/>
              </w:rPr>
              <w:t>, prices of other mining, especially construction materials, rose (5.8%). Prices for electricity, gas, steam and air-condition</w:t>
            </w:r>
            <w:r w:rsidR="00F503E4" w:rsidRPr="00995C95">
              <w:rPr>
                <w:lang w:eastAsia="en-US"/>
              </w:rPr>
              <w:t xml:space="preserve">ing </w:t>
            </w:r>
            <w:r w:rsidR="00F26464" w:rsidRPr="00995C95">
              <w:rPr>
                <w:lang w:eastAsia="en-US"/>
              </w:rPr>
              <w:t xml:space="preserve">were 2.9% lower in 2025. The year-on-year development of prices of products and services in manufacturing was around the stagnation threshold for most of the year, and </w:t>
            </w:r>
            <w:r w:rsidR="0067086B" w:rsidRPr="00995C95">
              <w:rPr>
                <w:lang w:eastAsia="en-US"/>
              </w:rPr>
              <w:t xml:space="preserve">total </w:t>
            </w:r>
            <w:r w:rsidR="00F26464" w:rsidRPr="00995C95">
              <w:rPr>
                <w:lang w:eastAsia="en-US"/>
              </w:rPr>
              <w:t xml:space="preserve">prices in this </w:t>
            </w:r>
            <w:r w:rsidR="0067086B" w:rsidRPr="00995C95">
              <w:rPr>
                <w:lang w:eastAsia="en-US"/>
              </w:rPr>
              <w:t xml:space="preserve">division </w:t>
            </w:r>
            <w:r w:rsidR="00F26464" w:rsidRPr="00995C95">
              <w:rPr>
                <w:lang w:eastAsia="en-US"/>
              </w:rPr>
              <w:t xml:space="preserve">fell by 0.2% last year. </w:t>
            </w:r>
            <w:r w:rsidR="00113951" w:rsidRPr="00995C95">
              <w:rPr>
                <w:lang w:eastAsia="en-US"/>
              </w:rPr>
              <w:t>P</w:t>
            </w:r>
            <w:r w:rsidR="00F26464" w:rsidRPr="00995C95">
              <w:rPr>
                <w:lang w:eastAsia="en-US"/>
              </w:rPr>
              <w:t xml:space="preserve">rices of chemicals and </w:t>
            </w:r>
            <w:r w:rsidR="000968F4" w:rsidRPr="00995C95">
              <w:rPr>
                <w:lang w:eastAsia="en-US"/>
              </w:rPr>
              <w:t xml:space="preserve">chemical products </w:t>
            </w:r>
            <w:r w:rsidR="00F26464" w:rsidRPr="00995C95">
              <w:rPr>
                <w:lang w:eastAsia="en-US"/>
              </w:rPr>
              <w:t xml:space="preserve">(−5.6%), basic metals (−2.6%), </w:t>
            </w:r>
            <w:r w:rsidR="00F26464" w:rsidRPr="00995C95">
              <w:rPr>
                <w:lang w:eastAsia="en-US"/>
              </w:rPr>
              <w:lastRenderedPageBreak/>
              <w:t>electrical equipment (−1.3%), metal</w:t>
            </w:r>
            <w:r w:rsidR="000968F4" w:rsidRPr="00995C95">
              <w:rPr>
                <w:lang w:eastAsia="en-US"/>
              </w:rPr>
              <w:t>working</w:t>
            </w:r>
            <w:r w:rsidR="00F26464" w:rsidRPr="00995C95">
              <w:rPr>
                <w:lang w:eastAsia="en-US"/>
              </w:rPr>
              <w:t xml:space="preserve"> products (−0.5%) </w:t>
            </w:r>
            <w:r w:rsidR="000968F4" w:rsidRPr="00995C95">
              <w:rPr>
                <w:lang w:eastAsia="en-US"/>
              </w:rPr>
              <w:t xml:space="preserve">or </w:t>
            </w:r>
            <w:r w:rsidR="00F26464" w:rsidRPr="00995C95">
              <w:rPr>
                <w:lang w:eastAsia="en-US"/>
              </w:rPr>
              <w:t>motor vehicles (−0.2%) were lower</w:t>
            </w:r>
            <w:r w:rsidR="000968F4" w:rsidRPr="00995C95">
              <w:rPr>
                <w:lang w:eastAsia="en-US"/>
              </w:rPr>
              <w:t xml:space="preserve"> last year</w:t>
            </w:r>
            <w:r w:rsidR="00F26464" w:rsidRPr="00995C95">
              <w:rPr>
                <w:lang w:eastAsia="en-US"/>
              </w:rPr>
              <w:t xml:space="preserve">. </w:t>
            </w:r>
            <w:r w:rsidR="000968F4" w:rsidRPr="00995C95">
              <w:rPr>
                <w:lang w:eastAsia="en-US"/>
              </w:rPr>
              <w:t>In contrast</w:t>
            </w:r>
            <w:r w:rsidR="00F26464" w:rsidRPr="00995C95">
              <w:rPr>
                <w:lang w:eastAsia="en-US"/>
              </w:rPr>
              <w:t>, prices of wood and wooden products (4.8%), clothing (4.4%), repairs, maintenance and installation of machinery and equipment (4.1%), other</w:t>
            </w:r>
            <w:r w:rsidR="00CA6C88" w:rsidRPr="00995C95">
              <w:rPr>
                <w:lang w:eastAsia="en-US"/>
              </w:rPr>
              <w:t xml:space="preserve"> </w:t>
            </w:r>
            <w:r w:rsidR="00F26464" w:rsidRPr="00995C95">
              <w:rPr>
                <w:lang w:eastAsia="en-US"/>
              </w:rPr>
              <w:t>transport</w:t>
            </w:r>
            <w:r w:rsidR="00CA6C88" w:rsidRPr="00995C95">
              <w:rPr>
                <w:lang w:eastAsia="en-US"/>
              </w:rPr>
              <w:t xml:space="preserve"> equipment</w:t>
            </w:r>
            <w:r w:rsidR="00F26464" w:rsidRPr="00995C95">
              <w:rPr>
                <w:lang w:eastAsia="en-US"/>
              </w:rPr>
              <w:t xml:space="preserve"> (3.9%) and basic pharmaceutical products and preparations (3.1%) increased significantly.</w:t>
            </w:r>
            <w:r w:rsidR="007F0076" w:rsidRPr="00995C95">
              <w:rPr>
                <w:lang w:eastAsia="en-US"/>
              </w:rPr>
              <w:t xml:space="preserve"> </w:t>
            </w:r>
          </w:p>
        </w:tc>
      </w:tr>
      <w:tr w:rsidR="007F0076" w:rsidRPr="00995C95" w14:paraId="227B0F09" w14:textId="77777777" w:rsidTr="00E87182">
        <w:trPr>
          <w:trHeight w:val="145"/>
        </w:trPr>
        <w:tc>
          <w:tcPr>
            <w:tcW w:w="1791" w:type="dxa"/>
          </w:tcPr>
          <w:p w14:paraId="24AA4252" w14:textId="2435ECB9" w:rsidR="007F0076" w:rsidRPr="00995C95" w:rsidRDefault="004D797A" w:rsidP="004D4C36">
            <w:pPr>
              <w:pStyle w:val="Marginlie"/>
              <w:rPr>
                <w:spacing w:val="0"/>
                <w:lang w:eastAsia="en-US"/>
              </w:rPr>
            </w:pPr>
            <w:r w:rsidRPr="00995C95">
              <w:rPr>
                <w:lang w:eastAsia="en-US"/>
              </w:rPr>
              <w:lastRenderedPageBreak/>
              <w:t>The year-on-year dec</w:t>
            </w:r>
            <w:r w:rsidR="004D4C36" w:rsidRPr="00995C95">
              <w:rPr>
                <w:lang w:eastAsia="en-US"/>
              </w:rPr>
              <w:t xml:space="preserve">rease of </w:t>
            </w:r>
            <w:r w:rsidRPr="00995C95">
              <w:rPr>
                <w:lang w:eastAsia="en-US"/>
              </w:rPr>
              <w:t>industrial producer prices deepened during the year.</w:t>
            </w:r>
          </w:p>
        </w:tc>
        <w:tc>
          <w:tcPr>
            <w:tcW w:w="223" w:type="dxa"/>
          </w:tcPr>
          <w:p w14:paraId="32BF1C6E" w14:textId="77777777" w:rsidR="007F0076" w:rsidRPr="00995C95" w:rsidRDefault="007F0076" w:rsidP="00E87182">
            <w:pPr>
              <w:pStyle w:val="Textpoznpodarou1"/>
              <w:jc w:val="both"/>
              <w:rPr>
                <w:lang w:eastAsia="en-US"/>
              </w:rPr>
            </w:pPr>
          </w:p>
        </w:tc>
        <w:tc>
          <w:tcPr>
            <w:tcW w:w="7625" w:type="dxa"/>
            <w:hideMark/>
          </w:tcPr>
          <w:p w14:paraId="68B27D3A" w14:textId="29991DF6" w:rsidR="007F0076" w:rsidRPr="00995C95" w:rsidRDefault="00E94D5E" w:rsidP="002C3E22">
            <w:pPr>
              <w:rPr>
                <w:lang w:eastAsia="en-US"/>
              </w:rPr>
            </w:pPr>
            <w:r w:rsidRPr="00995C95">
              <w:rPr>
                <w:lang w:eastAsia="en-US"/>
              </w:rPr>
              <w:t xml:space="preserve">In the course of the year, </w:t>
            </w:r>
            <w:r w:rsidR="00B74326" w:rsidRPr="00995C95">
              <w:rPr>
                <w:lang w:eastAsia="en-US"/>
              </w:rPr>
              <w:t>t</w:t>
            </w:r>
            <w:r w:rsidR="002C3E22" w:rsidRPr="00995C95">
              <w:rPr>
                <w:lang w:eastAsia="en-US"/>
              </w:rPr>
              <w:t>he d</w:t>
            </w:r>
            <w:r w:rsidRPr="00995C95">
              <w:rPr>
                <w:lang w:eastAsia="en-US"/>
              </w:rPr>
              <w:t xml:space="preserve">rop of </w:t>
            </w:r>
            <w:r w:rsidR="002C3E22" w:rsidRPr="00995C95">
              <w:rPr>
                <w:lang w:eastAsia="en-US"/>
              </w:rPr>
              <w:t xml:space="preserve">industrial producer prices gradually deepened </w:t>
            </w:r>
            <w:r w:rsidRPr="00995C95">
              <w:rPr>
                <w:lang w:eastAsia="en-US"/>
              </w:rPr>
              <w:t xml:space="preserve">down </w:t>
            </w:r>
            <w:r w:rsidR="002C3E22" w:rsidRPr="00995C95">
              <w:rPr>
                <w:lang w:eastAsia="en-US"/>
              </w:rPr>
              <w:t>to -1.5% in Q4. Industrial producer prices decreased by 0.2%, quarter-on-quarter. Mining and quarrying prices maintained a similar year-on-year decline as in the previous quarter (-4.2%) and fell by 0.4%</w:t>
            </w:r>
            <w:r w:rsidR="00804BA6" w:rsidRPr="00995C95">
              <w:rPr>
                <w:lang w:eastAsia="en-US"/>
              </w:rPr>
              <w:t>,</w:t>
            </w:r>
            <w:r w:rsidR="002C3E22" w:rsidRPr="00995C95">
              <w:rPr>
                <w:lang w:eastAsia="en-US"/>
              </w:rPr>
              <w:t xml:space="preserve"> quarter-on-quarter. The development within the </w:t>
            </w:r>
            <w:r w:rsidR="00804BA6" w:rsidRPr="00995C95">
              <w:rPr>
                <w:lang w:eastAsia="en-US"/>
              </w:rPr>
              <w:t xml:space="preserve">division </w:t>
            </w:r>
            <w:r w:rsidR="002C3E22" w:rsidRPr="00995C95">
              <w:rPr>
                <w:lang w:eastAsia="en-US"/>
              </w:rPr>
              <w:t xml:space="preserve">did not differ from the rest of the year. The prices of coal and lignite mining (−10.0%) and </w:t>
            </w:r>
            <w:r w:rsidR="00343FA5" w:rsidRPr="00995C95">
              <w:rPr>
                <w:lang w:eastAsia="en-US"/>
              </w:rPr>
              <w:t xml:space="preserve">crude </w:t>
            </w:r>
            <w:r w:rsidR="002C3E22" w:rsidRPr="00995C95">
              <w:rPr>
                <w:lang w:eastAsia="en-US"/>
              </w:rPr>
              <w:t>oil and gas (−15.0%) decreased the most, y</w:t>
            </w:r>
            <w:r w:rsidR="003619E4" w:rsidRPr="00995C95">
              <w:rPr>
                <w:lang w:eastAsia="en-US"/>
              </w:rPr>
              <w:t>ear</w:t>
            </w:r>
            <w:r w:rsidR="002C3E22" w:rsidRPr="00995C95">
              <w:rPr>
                <w:lang w:eastAsia="en-US"/>
              </w:rPr>
              <w:t>-o</w:t>
            </w:r>
            <w:r w:rsidR="003619E4" w:rsidRPr="00995C95">
              <w:rPr>
                <w:lang w:eastAsia="en-US"/>
              </w:rPr>
              <w:t>n</w:t>
            </w:r>
            <w:r w:rsidR="002C3E22" w:rsidRPr="00995C95">
              <w:rPr>
                <w:lang w:eastAsia="en-US"/>
              </w:rPr>
              <w:t>-y</w:t>
            </w:r>
            <w:r w:rsidR="003619E4" w:rsidRPr="00995C95">
              <w:rPr>
                <w:lang w:eastAsia="en-US"/>
              </w:rPr>
              <w:t>ear</w:t>
            </w:r>
            <w:r w:rsidR="002C3E22" w:rsidRPr="00995C95">
              <w:rPr>
                <w:lang w:eastAsia="en-US"/>
              </w:rPr>
              <w:t xml:space="preserve">. On the </w:t>
            </w:r>
            <w:r w:rsidR="003619E4" w:rsidRPr="00995C95">
              <w:rPr>
                <w:lang w:eastAsia="en-US"/>
              </w:rPr>
              <w:t>contrary</w:t>
            </w:r>
            <w:r w:rsidR="002C3E22" w:rsidRPr="00995C95">
              <w:rPr>
                <w:lang w:eastAsia="en-US"/>
              </w:rPr>
              <w:t xml:space="preserve">, prices of other mining rose (5.2%). The year-on-year </w:t>
            </w:r>
            <w:r w:rsidR="003619E4" w:rsidRPr="00995C95">
              <w:rPr>
                <w:lang w:eastAsia="en-US"/>
              </w:rPr>
              <w:t xml:space="preserve">fall of </w:t>
            </w:r>
            <w:r w:rsidR="002C3E22" w:rsidRPr="00995C95">
              <w:rPr>
                <w:lang w:eastAsia="en-US"/>
              </w:rPr>
              <w:t>electricity, gas, steam and air-condition</w:t>
            </w:r>
            <w:r w:rsidR="00C2750F" w:rsidRPr="00995C95">
              <w:rPr>
                <w:lang w:eastAsia="en-US"/>
              </w:rPr>
              <w:t xml:space="preserve">ing </w:t>
            </w:r>
            <w:r w:rsidR="002C3E22" w:rsidRPr="00995C95">
              <w:rPr>
                <w:lang w:eastAsia="en-US"/>
              </w:rPr>
              <w:t>prices deepened to -3.8% in Q4 and prices were 1.2% higher</w:t>
            </w:r>
            <w:r w:rsidR="00C2750F" w:rsidRPr="00995C95">
              <w:rPr>
                <w:lang w:eastAsia="en-US"/>
              </w:rPr>
              <w:t>,</w:t>
            </w:r>
            <w:r w:rsidR="002C3E22" w:rsidRPr="00995C95">
              <w:rPr>
                <w:lang w:eastAsia="en-US"/>
              </w:rPr>
              <w:t xml:space="preserve"> quarter-on-quarter. The year-on-year dec</w:t>
            </w:r>
            <w:r w:rsidR="0046530C" w:rsidRPr="00995C95">
              <w:rPr>
                <w:lang w:eastAsia="en-US"/>
              </w:rPr>
              <w:t xml:space="preserve">rease of prices of </w:t>
            </w:r>
            <w:r w:rsidR="002C3E22" w:rsidRPr="00995C95">
              <w:rPr>
                <w:lang w:eastAsia="en-US"/>
              </w:rPr>
              <w:t xml:space="preserve">manufacturing products and services deepened to -0.9% in Q4 and prices fell by 0.6%, quarter-on-quarter. </w:t>
            </w:r>
            <w:r w:rsidR="00442D09" w:rsidRPr="00995C95">
              <w:rPr>
                <w:lang w:eastAsia="en-US"/>
              </w:rPr>
              <w:t>Especially p</w:t>
            </w:r>
            <w:r w:rsidR="002C3E22" w:rsidRPr="00995C95">
              <w:rPr>
                <w:lang w:eastAsia="en-US"/>
              </w:rPr>
              <w:t xml:space="preserve">rices of chemicals and </w:t>
            </w:r>
            <w:r w:rsidR="00442D09" w:rsidRPr="00995C95">
              <w:rPr>
                <w:lang w:eastAsia="en-US"/>
              </w:rPr>
              <w:t xml:space="preserve">chemical products slumped, </w:t>
            </w:r>
            <w:r w:rsidR="002C3E22" w:rsidRPr="00995C95">
              <w:rPr>
                <w:lang w:eastAsia="en-US"/>
              </w:rPr>
              <w:t xml:space="preserve">year-on-year (−8.1%), while the decline deepened </w:t>
            </w:r>
            <w:r w:rsidR="00442D09" w:rsidRPr="00995C95">
              <w:rPr>
                <w:lang w:eastAsia="en-US"/>
              </w:rPr>
              <w:t xml:space="preserve">for </w:t>
            </w:r>
            <w:r w:rsidR="002C3E22" w:rsidRPr="00995C95">
              <w:rPr>
                <w:lang w:eastAsia="en-US"/>
              </w:rPr>
              <w:t>paper and paper products (−3.7%), and prices of basic metals (−2.7%), motor vehicles (−2.0%), electrical equipment (−2.0%) and metal</w:t>
            </w:r>
            <w:r w:rsidR="00D7385F" w:rsidRPr="00995C95">
              <w:rPr>
                <w:lang w:eastAsia="en-US"/>
              </w:rPr>
              <w:t>working</w:t>
            </w:r>
            <w:r w:rsidR="002C3E22" w:rsidRPr="00995C95">
              <w:rPr>
                <w:lang w:eastAsia="en-US"/>
              </w:rPr>
              <w:t xml:space="preserve"> products (−0.9%) were also lower. At the end of the year, prices of computers, electronic and optical </w:t>
            </w:r>
            <w:r w:rsidR="0063327C" w:rsidRPr="00995C95">
              <w:rPr>
                <w:lang w:eastAsia="en-US"/>
              </w:rPr>
              <w:t xml:space="preserve">appliances </w:t>
            </w:r>
            <w:r w:rsidR="002C3E22" w:rsidRPr="00995C95">
              <w:rPr>
                <w:lang w:eastAsia="en-US"/>
              </w:rPr>
              <w:t>and equipment (−1.7%) and rubber and plastic products (−1.3%) fell</w:t>
            </w:r>
            <w:r w:rsidR="0063327C" w:rsidRPr="00995C95">
              <w:rPr>
                <w:lang w:eastAsia="en-US"/>
              </w:rPr>
              <w:t>,</w:t>
            </w:r>
            <w:r w:rsidR="002C3E22" w:rsidRPr="00995C95">
              <w:rPr>
                <w:lang w:eastAsia="en-US"/>
              </w:rPr>
              <w:t xml:space="preserve"> year-on-year. On the </w:t>
            </w:r>
            <w:r w:rsidR="0063327C" w:rsidRPr="00995C95">
              <w:rPr>
                <w:lang w:eastAsia="en-US"/>
              </w:rPr>
              <w:t>contrary</w:t>
            </w:r>
            <w:r w:rsidR="002C3E22" w:rsidRPr="00995C95">
              <w:rPr>
                <w:lang w:eastAsia="en-US"/>
              </w:rPr>
              <w:t xml:space="preserve">, the year-on-year increase </w:t>
            </w:r>
            <w:r w:rsidR="0063327C" w:rsidRPr="00995C95">
              <w:rPr>
                <w:lang w:eastAsia="en-US"/>
              </w:rPr>
              <w:t>of</w:t>
            </w:r>
            <w:r w:rsidR="002C3E22" w:rsidRPr="00995C95">
              <w:rPr>
                <w:lang w:eastAsia="en-US"/>
              </w:rPr>
              <w:t xml:space="preserve"> prices of wood and wood products accelerated significantly (7.5%), while prices of other transport</w:t>
            </w:r>
            <w:r w:rsidR="007E6A6D" w:rsidRPr="00995C95">
              <w:rPr>
                <w:lang w:eastAsia="en-US"/>
              </w:rPr>
              <w:t xml:space="preserve"> equipment</w:t>
            </w:r>
            <w:r w:rsidR="002C3E22" w:rsidRPr="00995C95">
              <w:rPr>
                <w:lang w:eastAsia="en-US"/>
              </w:rPr>
              <w:t xml:space="preserve"> (4.2%), repairs, maintenance and installation of machinery and equipment (3.9%), clothing (3.6%), furniture (3.2%) and basic pharmaceutical products and preparations (3.1%) were also higher.</w:t>
            </w:r>
            <w:r w:rsidR="0004072B" w:rsidRPr="00995C95">
              <w:rPr>
                <w:lang w:eastAsia="en-US"/>
              </w:rPr>
              <w:t xml:space="preserve"> </w:t>
            </w:r>
          </w:p>
        </w:tc>
      </w:tr>
      <w:tr w:rsidR="007F0076" w:rsidRPr="00995C95" w14:paraId="67E8BA7F" w14:textId="77777777" w:rsidTr="00E87182">
        <w:trPr>
          <w:trHeight w:val="145"/>
        </w:trPr>
        <w:tc>
          <w:tcPr>
            <w:tcW w:w="1791" w:type="dxa"/>
          </w:tcPr>
          <w:p w14:paraId="65FC9480" w14:textId="77777777" w:rsidR="007F0076" w:rsidRPr="00995C95" w:rsidRDefault="007F0076" w:rsidP="00E87182">
            <w:pPr>
              <w:pStyle w:val="Marginlie"/>
              <w:rPr>
                <w:spacing w:val="0"/>
                <w:lang w:eastAsia="en-US"/>
              </w:rPr>
            </w:pPr>
          </w:p>
        </w:tc>
        <w:tc>
          <w:tcPr>
            <w:tcW w:w="223" w:type="dxa"/>
          </w:tcPr>
          <w:p w14:paraId="25D9D03D" w14:textId="77777777" w:rsidR="007F0076" w:rsidRPr="00995C95" w:rsidRDefault="007F0076" w:rsidP="00E87182">
            <w:pPr>
              <w:pStyle w:val="Textpoznpodarou1"/>
              <w:jc w:val="both"/>
              <w:rPr>
                <w:lang w:eastAsia="en-US"/>
              </w:rPr>
            </w:pPr>
          </w:p>
        </w:tc>
        <w:tc>
          <w:tcPr>
            <w:tcW w:w="7625" w:type="dxa"/>
            <w:hideMark/>
          </w:tcPr>
          <w:p w14:paraId="3016708E" w14:textId="2D93AC29" w:rsidR="007F0076" w:rsidRPr="00995C95" w:rsidRDefault="00CA6C88" w:rsidP="00E87182">
            <w:pPr>
              <w:spacing w:after="0"/>
              <w:rPr>
                <w:lang w:eastAsia="en-US"/>
              </w:rPr>
            </w:pPr>
            <w:r w:rsidRPr="00995C95">
              <w:rPr>
                <w:b/>
                <w:sz w:val="18"/>
                <w:szCs w:val="18"/>
                <w:lang w:eastAsia="en-US"/>
              </w:rPr>
              <w:t xml:space="preserve">Chart </w:t>
            </w:r>
            <w:r w:rsidR="007F0076" w:rsidRPr="00995C95">
              <w:rPr>
                <w:b/>
                <w:sz w:val="18"/>
                <w:szCs w:val="18"/>
                <w:lang w:eastAsia="en-US"/>
              </w:rPr>
              <w:t>1</w:t>
            </w:r>
            <w:r w:rsidR="00281666" w:rsidRPr="00995C95">
              <w:rPr>
                <w:b/>
                <w:sz w:val="18"/>
                <w:szCs w:val="18"/>
                <w:lang w:eastAsia="en-US"/>
              </w:rPr>
              <w:t>3</w:t>
            </w:r>
            <w:r w:rsidR="007F0076" w:rsidRPr="00995C95">
              <w:rPr>
                <w:b/>
                <w:sz w:val="18"/>
                <w:szCs w:val="18"/>
                <w:lang w:eastAsia="en-US"/>
              </w:rPr>
              <w:t xml:space="preserve"> </w:t>
            </w:r>
            <w:r w:rsidR="005938E3" w:rsidRPr="00995C95">
              <w:rPr>
                <w:b/>
                <w:sz w:val="18"/>
                <w:szCs w:val="18"/>
                <w:lang w:eastAsia="en-US"/>
              </w:rPr>
              <w:t xml:space="preserve">Prices of main groups of industrial producers </w:t>
            </w:r>
            <w:r w:rsidR="005938E3" w:rsidRPr="00995C95">
              <w:rPr>
                <w:bCs/>
                <w:sz w:val="18"/>
                <w:szCs w:val="18"/>
                <w:lang w:eastAsia="en-US"/>
              </w:rPr>
              <w:t>(year-on-year change, in %, based on CPA classification)</w:t>
            </w:r>
            <w:r w:rsidR="005938E3" w:rsidRPr="00995C95">
              <w:rPr>
                <w:b/>
                <w:sz w:val="18"/>
                <w:szCs w:val="18"/>
                <w:lang w:eastAsia="en-US"/>
              </w:rPr>
              <w:t xml:space="preserve">  </w:t>
            </w:r>
          </w:p>
        </w:tc>
      </w:tr>
      <w:tr w:rsidR="007F0076" w:rsidRPr="00995C95" w14:paraId="5188B4C6" w14:textId="77777777" w:rsidTr="00F923AC">
        <w:tblPrEx>
          <w:tblCellMar>
            <w:left w:w="70" w:type="dxa"/>
            <w:right w:w="70" w:type="dxa"/>
          </w:tblCellMar>
        </w:tblPrEx>
        <w:trPr>
          <w:trHeight w:val="145"/>
        </w:trPr>
        <w:tc>
          <w:tcPr>
            <w:tcW w:w="1791" w:type="dxa"/>
          </w:tcPr>
          <w:p w14:paraId="66477BD7" w14:textId="77777777" w:rsidR="007F0076" w:rsidRPr="00995C95" w:rsidRDefault="007F0076" w:rsidP="00E87182">
            <w:pPr>
              <w:pStyle w:val="Marginlie"/>
              <w:rPr>
                <w:spacing w:val="0"/>
                <w:lang w:eastAsia="en-US"/>
              </w:rPr>
            </w:pPr>
          </w:p>
        </w:tc>
        <w:tc>
          <w:tcPr>
            <w:tcW w:w="223" w:type="dxa"/>
          </w:tcPr>
          <w:p w14:paraId="5F66E1E9" w14:textId="77777777" w:rsidR="007F0076" w:rsidRPr="00995C95" w:rsidRDefault="007F0076" w:rsidP="00E87182">
            <w:pPr>
              <w:pStyle w:val="Textpoznpodarou1"/>
              <w:jc w:val="both"/>
              <w:rPr>
                <w:lang w:eastAsia="en-US"/>
              </w:rPr>
            </w:pPr>
          </w:p>
        </w:tc>
        <w:tc>
          <w:tcPr>
            <w:tcW w:w="7625" w:type="dxa"/>
            <w:hideMark/>
          </w:tcPr>
          <w:p w14:paraId="08F59CB0" w14:textId="0E0A2300" w:rsidR="007F0076" w:rsidRPr="00995C95" w:rsidRDefault="00F923AC" w:rsidP="00E87182">
            <w:pPr>
              <w:spacing w:after="0"/>
              <w:jc w:val="center"/>
              <w:rPr>
                <w:lang w:eastAsia="en-US"/>
              </w:rPr>
            </w:pPr>
            <w:r>
              <w:rPr>
                <w:noProof/>
              </w:rPr>
              <w:drawing>
                <wp:inline distT="0" distB="0" distL="0" distR="0" wp14:anchorId="35ED76EA" wp14:editId="71F7C685">
                  <wp:extent cx="4722350" cy="3564975"/>
                  <wp:effectExtent l="0" t="0" r="2540" b="0"/>
                  <wp:docPr id="1995851112" name="Graf 1">
                    <a:extLst xmlns:a="http://schemas.openxmlformats.org/drawingml/2006/main">
                      <a:ext uri="{FF2B5EF4-FFF2-40B4-BE49-F238E27FC236}">
                        <a16:creationId xmlns:a16="http://schemas.microsoft.com/office/drawing/2014/main" id="{A96326AA-2E19-A591-4C15-9F538FA2AF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7F0076" w:rsidRPr="00995C95" w14:paraId="1B04C3D8" w14:textId="77777777" w:rsidTr="00E87182">
        <w:trPr>
          <w:trHeight w:val="145"/>
        </w:trPr>
        <w:tc>
          <w:tcPr>
            <w:tcW w:w="1791" w:type="dxa"/>
          </w:tcPr>
          <w:p w14:paraId="048BE98C" w14:textId="77777777" w:rsidR="007F0076" w:rsidRPr="00995C95" w:rsidRDefault="007F0076" w:rsidP="00E87182">
            <w:pPr>
              <w:pStyle w:val="Marginlie"/>
              <w:rPr>
                <w:spacing w:val="0"/>
                <w:lang w:eastAsia="en-US"/>
              </w:rPr>
            </w:pPr>
          </w:p>
        </w:tc>
        <w:tc>
          <w:tcPr>
            <w:tcW w:w="223" w:type="dxa"/>
          </w:tcPr>
          <w:p w14:paraId="068B5CA1" w14:textId="77777777" w:rsidR="007F0076" w:rsidRPr="00995C95" w:rsidRDefault="007F0076" w:rsidP="00E87182">
            <w:pPr>
              <w:pStyle w:val="Textpoznpodarou1"/>
              <w:jc w:val="both"/>
              <w:rPr>
                <w:lang w:eastAsia="en-US"/>
              </w:rPr>
            </w:pPr>
          </w:p>
        </w:tc>
        <w:tc>
          <w:tcPr>
            <w:tcW w:w="7625" w:type="dxa"/>
            <w:hideMark/>
          </w:tcPr>
          <w:p w14:paraId="2B6D4BE1" w14:textId="6EF34D25" w:rsidR="00A24A80" w:rsidRPr="00995C95" w:rsidRDefault="007E6A6D" w:rsidP="00F923AC">
            <w:pPr>
              <w:jc w:val="left"/>
              <w:rPr>
                <w:b/>
                <w:bCs/>
                <w:sz w:val="16"/>
                <w:szCs w:val="16"/>
                <w:lang w:eastAsia="en-US"/>
              </w:rPr>
            </w:pPr>
            <w:r w:rsidRPr="00995C95">
              <w:rPr>
                <w:sz w:val="16"/>
                <w:szCs w:val="16"/>
                <w:lang w:eastAsia="en-US"/>
              </w:rPr>
              <w:t>Source</w:t>
            </w:r>
            <w:r w:rsidR="007F0076" w:rsidRPr="00995C95">
              <w:rPr>
                <w:sz w:val="16"/>
                <w:szCs w:val="16"/>
                <w:lang w:eastAsia="en-US"/>
              </w:rPr>
              <w:t xml:space="preserve">: </w:t>
            </w:r>
            <w:r w:rsidRPr="00995C95">
              <w:rPr>
                <w:sz w:val="16"/>
                <w:szCs w:val="16"/>
                <w:lang w:eastAsia="en-US"/>
              </w:rPr>
              <w:t>CZSO</w:t>
            </w:r>
          </w:p>
        </w:tc>
      </w:tr>
      <w:tr w:rsidR="007F0076" w:rsidRPr="00995C95" w14:paraId="74DF1ECB" w14:textId="77777777" w:rsidTr="00E87182">
        <w:trPr>
          <w:trHeight w:val="145"/>
        </w:trPr>
        <w:tc>
          <w:tcPr>
            <w:tcW w:w="1791" w:type="dxa"/>
            <w:hideMark/>
          </w:tcPr>
          <w:p w14:paraId="20D9E56D" w14:textId="23C499FD" w:rsidR="007F0076" w:rsidRPr="00995C95" w:rsidRDefault="00BA3029" w:rsidP="00BA3029">
            <w:pPr>
              <w:pStyle w:val="Marginlie"/>
              <w:rPr>
                <w:spacing w:val="0"/>
                <w:lang w:eastAsia="en-US"/>
              </w:rPr>
            </w:pPr>
            <w:r w:rsidRPr="00995C95">
              <w:rPr>
                <w:spacing w:val="0"/>
                <w:lang w:eastAsia="en-US"/>
              </w:rPr>
              <w:lastRenderedPageBreak/>
              <w:t>Industrial producer prices in the EU rose slightly last year.</w:t>
            </w:r>
          </w:p>
        </w:tc>
        <w:tc>
          <w:tcPr>
            <w:tcW w:w="223" w:type="dxa"/>
          </w:tcPr>
          <w:p w14:paraId="624343AA" w14:textId="77777777" w:rsidR="007F0076" w:rsidRPr="00995C95" w:rsidRDefault="007F0076" w:rsidP="00E87182">
            <w:pPr>
              <w:pStyle w:val="Textpoznpodarou1"/>
              <w:jc w:val="both"/>
              <w:rPr>
                <w:lang w:eastAsia="en-US"/>
              </w:rPr>
            </w:pPr>
          </w:p>
        </w:tc>
        <w:tc>
          <w:tcPr>
            <w:tcW w:w="7625" w:type="dxa"/>
            <w:hideMark/>
          </w:tcPr>
          <w:p w14:paraId="4987AC05" w14:textId="23DCBAA2" w:rsidR="007F0076" w:rsidRPr="00995C95" w:rsidRDefault="004D40CC" w:rsidP="005F3F91">
            <w:pPr>
              <w:rPr>
                <w:lang w:eastAsia="en-US"/>
              </w:rPr>
            </w:pPr>
            <w:r w:rsidRPr="00995C95">
              <w:rPr>
                <w:lang w:eastAsia="en-US"/>
              </w:rPr>
              <w:t>Total i</w:t>
            </w:r>
            <w:r w:rsidR="005F3F91" w:rsidRPr="00995C95">
              <w:rPr>
                <w:lang w:eastAsia="en-US"/>
              </w:rPr>
              <w:t>ndustrial producer prices in the EU</w:t>
            </w:r>
            <w:r w:rsidRPr="00995C95">
              <w:rPr>
                <w:rStyle w:val="Znakapoznpodarou"/>
                <w:lang w:eastAsia="en-US"/>
              </w:rPr>
              <w:footnoteReference w:id="4"/>
            </w:r>
            <w:r w:rsidRPr="00995C95">
              <w:rPr>
                <w:lang w:eastAsia="en-US"/>
              </w:rPr>
              <w:t xml:space="preserve"> </w:t>
            </w:r>
            <w:r w:rsidR="005F3F91" w:rsidRPr="00995C95">
              <w:rPr>
                <w:lang w:eastAsia="en-US"/>
              </w:rPr>
              <w:t>increased by 0.5% in 2025. Prices of electricity, gas, steam and air conditioning (0.8%), mining and quarrying (0.5%) and manufacturing products and services (0.3%) were slightly higher. Industrial producer prices increased the most in Bulgaria (13.2%), Denmark (3.6%) and Romania (3.1%)</w:t>
            </w:r>
            <w:r w:rsidR="007057B2" w:rsidRPr="00995C95">
              <w:rPr>
                <w:lang w:eastAsia="en-US"/>
              </w:rPr>
              <w:t xml:space="preserve"> last year</w:t>
            </w:r>
            <w:r w:rsidR="005F3F91" w:rsidRPr="00995C95">
              <w:rPr>
                <w:lang w:eastAsia="en-US"/>
              </w:rPr>
              <w:t xml:space="preserve">. By contrast, the most significant decreases were recorded in Luxembourg (−4.2%), Portugal (−2.5%) and Lithuania (−2.1%). Under the influence of the sharp quarter-on-quarter decline </w:t>
            </w:r>
            <w:r w:rsidR="007057B2" w:rsidRPr="00995C95">
              <w:rPr>
                <w:lang w:eastAsia="en-US"/>
              </w:rPr>
              <w:t>of</w:t>
            </w:r>
            <w:r w:rsidR="005F3F91" w:rsidRPr="00995C95">
              <w:rPr>
                <w:lang w:eastAsia="en-US"/>
              </w:rPr>
              <w:t xml:space="preserve"> prices that occurred in Q2, a slowdown </w:t>
            </w:r>
            <w:r w:rsidR="00720155" w:rsidRPr="00995C95">
              <w:rPr>
                <w:lang w:eastAsia="en-US"/>
              </w:rPr>
              <w:t xml:space="preserve">of year-on-year </w:t>
            </w:r>
            <w:r w:rsidR="005F3F91" w:rsidRPr="00995C95">
              <w:rPr>
                <w:lang w:eastAsia="en-US"/>
              </w:rPr>
              <w:t xml:space="preserve">industrial producer price growth to </w:t>
            </w:r>
            <w:r w:rsidR="00C12629">
              <w:rPr>
                <w:lang w:eastAsia="en-US"/>
              </w:rPr>
              <w:t>−</w:t>
            </w:r>
            <w:r w:rsidR="005F3F91" w:rsidRPr="00995C95">
              <w:rPr>
                <w:lang w:eastAsia="en-US"/>
              </w:rPr>
              <w:t>1.0% in Q4 (with a quarter-on-quarter increase of 0.2%) was evident in the course of 2025. Prices of electricity, gas, steam and air-condition</w:t>
            </w:r>
            <w:r w:rsidR="0045677C" w:rsidRPr="00995C95">
              <w:rPr>
                <w:lang w:eastAsia="en-US"/>
              </w:rPr>
              <w:t xml:space="preserve">ing </w:t>
            </w:r>
            <w:r w:rsidR="005F3F91" w:rsidRPr="00995C95">
              <w:rPr>
                <w:lang w:eastAsia="en-US"/>
              </w:rPr>
              <w:t>(−5.2%), which had a key impact on the above-described dynamics, and mining and quarrying prices (−2.7%), declined</w:t>
            </w:r>
            <w:r w:rsidR="00072C02" w:rsidRPr="00995C95">
              <w:rPr>
                <w:lang w:eastAsia="en-US"/>
              </w:rPr>
              <w:t>,</w:t>
            </w:r>
            <w:r w:rsidR="005F3F91" w:rsidRPr="00995C95">
              <w:rPr>
                <w:lang w:eastAsia="en-US"/>
              </w:rPr>
              <w:t xml:space="preserve"> year-on-year.</w:t>
            </w:r>
            <w:r w:rsidR="0029663C" w:rsidRPr="00995C95">
              <w:rPr>
                <w:lang w:eastAsia="en-US"/>
              </w:rPr>
              <w:t xml:space="preserve"> T</w:t>
            </w:r>
            <w:r w:rsidR="005F3F91" w:rsidRPr="00995C95">
              <w:rPr>
                <w:lang w:eastAsia="en-US"/>
              </w:rPr>
              <w:t>he year-on-year price growth was moderate (0.4%)</w:t>
            </w:r>
            <w:r w:rsidR="0029663C" w:rsidRPr="00995C95">
              <w:rPr>
                <w:lang w:eastAsia="en-US"/>
              </w:rPr>
              <w:t xml:space="preserve"> in manufacturing</w:t>
            </w:r>
            <w:r w:rsidR="005F3F91" w:rsidRPr="00995C95">
              <w:rPr>
                <w:lang w:eastAsia="en-US"/>
              </w:rPr>
              <w:t>. Industrial producer prices increased the most in Q4</w:t>
            </w:r>
            <w:r w:rsidR="0029663C" w:rsidRPr="00995C95">
              <w:rPr>
                <w:lang w:eastAsia="en-US"/>
              </w:rPr>
              <w:t>,</w:t>
            </w:r>
            <w:r w:rsidR="005F3F91" w:rsidRPr="00995C95">
              <w:rPr>
                <w:lang w:eastAsia="en-US"/>
              </w:rPr>
              <w:t xml:space="preserve"> year-on-year</w:t>
            </w:r>
            <w:r w:rsidR="0029663C" w:rsidRPr="00995C95">
              <w:rPr>
                <w:lang w:eastAsia="en-US"/>
              </w:rPr>
              <w:t>,</w:t>
            </w:r>
            <w:r w:rsidR="005F3F91" w:rsidRPr="00995C95">
              <w:rPr>
                <w:lang w:eastAsia="en-US"/>
              </w:rPr>
              <w:t xml:space="preserve"> in Bulgaria (13.6%), Romania (6.7%) and Sweden (3.0%). By contrast, Luxembourg (-5.9%), Ireland (-4.0%) and Portugal (-3.3%) saw the most price falls.</w:t>
            </w:r>
            <w:r w:rsidR="00072C02" w:rsidRPr="00995C95">
              <w:rPr>
                <w:lang w:eastAsia="en-US"/>
              </w:rPr>
              <w:t xml:space="preserve"> </w:t>
            </w:r>
          </w:p>
        </w:tc>
      </w:tr>
      <w:tr w:rsidR="007F0076" w:rsidRPr="00995C95" w14:paraId="3DD237DF" w14:textId="77777777" w:rsidTr="00E87182">
        <w:trPr>
          <w:trHeight w:val="145"/>
        </w:trPr>
        <w:tc>
          <w:tcPr>
            <w:tcW w:w="1791" w:type="dxa"/>
            <w:hideMark/>
          </w:tcPr>
          <w:p w14:paraId="2EAD4FED" w14:textId="1157A714" w:rsidR="007F0076" w:rsidRPr="00995C95" w:rsidRDefault="00B333BC" w:rsidP="00B333BC">
            <w:pPr>
              <w:pStyle w:val="Marginlie"/>
              <w:rPr>
                <w:spacing w:val="0"/>
                <w:lang w:eastAsia="en-US"/>
              </w:rPr>
            </w:pPr>
            <w:r w:rsidRPr="00995C95">
              <w:rPr>
                <w:spacing w:val="0"/>
                <w:lang w:eastAsia="en-US"/>
              </w:rPr>
              <w:t>Prices of construction work</w:t>
            </w:r>
            <w:r w:rsidR="0084472B" w:rsidRPr="00995C95">
              <w:rPr>
                <w:spacing w:val="0"/>
                <w:lang w:eastAsia="en-US"/>
              </w:rPr>
              <w:t>s</w:t>
            </w:r>
            <w:r w:rsidRPr="00995C95">
              <w:rPr>
                <w:spacing w:val="0"/>
                <w:lang w:eastAsia="en-US"/>
              </w:rPr>
              <w:t xml:space="preserve"> increased by 3.0% last year.</w:t>
            </w:r>
            <w:r w:rsidR="00264251" w:rsidRPr="00995C95">
              <w:rPr>
                <w:spacing w:val="0"/>
                <w:lang w:eastAsia="en-US"/>
              </w:rPr>
              <w:t xml:space="preserve"> </w:t>
            </w:r>
          </w:p>
        </w:tc>
        <w:tc>
          <w:tcPr>
            <w:tcW w:w="223" w:type="dxa"/>
          </w:tcPr>
          <w:p w14:paraId="49E00C71" w14:textId="77777777" w:rsidR="007F0076" w:rsidRPr="00995C95" w:rsidRDefault="007F0076" w:rsidP="00E87182">
            <w:pPr>
              <w:pStyle w:val="Textpoznpodarou1"/>
              <w:jc w:val="both"/>
              <w:rPr>
                <w:lang w:eastAsia="en-US"/>
              </w:rPr>
            </w:pPr>
          </w:p>
        </w:tc>
        <w:tc>
          <w:tcPr>
            <w:tcW w:w="7625" w:type="dxa"/>
            <w:hideMark/>
          </w:tcPr>
          <w:p w14:paraId="334A209F" w14:textId="6AB15E1D" w:rsidR="007F0076" w:rsidRPr="00995C95" w:rsidRDefault="00DF4A1C" w:rsidP="001D7AC6">
            <w:pPr>
              <w:rPr>
                <w:lang w:eastAsia="en-US"/>
              </w:rPr>
            </w:pPr>
            <w:r w:rsidRPr="00995C95">
              <w:rPr>
                <w:lang w:eastAsia="en-US"/>
              </w:rPr>
              <w:t>According to estimates, the prices of construction work</w:t>
            </w:r>
            <w:r w:rsidR="0084472B" w:rsidRPr="00995C95">
              <w:rPr>
                <w:lang w:eastAsia="en-US"/>
              </w:rPr>
              <w:t>s</w:t>
            </w:r>
            <w:r w:rsidRPr="00995C95">
              <w:rPr>
                <w:lang w:eastAsia="en-US"/>
              </w:rPr>
              <w:t xml:space="preserve"> were on average 3.0% higher for the whole 2025 compared to 2024. This meant a boost </w:t>
            </w:r>
            <w:r w:rsidR="001D7AC6" w:rsidRPr="00995C95">
              <w:rPr>
                <w:lang w:eastAsia="en-US"/>
              </w:rPr>
              <w:t xml:space="preserve">of </w:t>
            </w:r>
            <w:r w:rsidRPr="00995C95">
              <w:rPr>
                <w:lang w:eastAsia="en-US"/>
              </w:rPr>
              <w:t xml:space="preserve">growth (prices rose by 2.0% in 2024). Prices of materials and products consumed in construction increased on average by 1.0% for the whole of 2025 (they were lower by 0.5% in 2024). </w:t>
            </w:r>
            <w:r w:rsidR="00202226" w:rsidRPr="00995C95">
              <w:rPr>
                <w:lang w:eastAsia="en-US"/>
              </w:rPr>
              <w:t>T</w:t>
            </w:r>
            <w:r w:rsidRPr="00995C95">
              <w:rPr>
                <w:lang w:eastAsia="en-US"/>
              </w:rPr>
              <w:t>he year-on-year growth rate of construction prices was stable</w:t>
            </w:r>
            <w:r w:rsidR="00202226" w:rsidRPr="00995C95">
              <w:rPr>
                <w:lang w:eastAsia="en-US"/>
              </w:rPr>
              <w:t xml:space="preserve"> throughout 2025</w:t>
            </w:r>
            <w:r w:rsidRPr="00995C95">
              <w:rPr>
                <w:lang w:eastAsia="en-US"/>
              </w:rPr>
              <w:t>, and prices increased by 3.1%</w:t>
            </w:r>
            <w:r w:rsidR="0099450E" w:rsidRPr="00995C95">
              <w:rPr>
                <w:lang w:eastAsia="en-US"/>
              </w:rPr>
              <w:t>,</w:t>
            </w:r>
            <w:r w:rsidRPr="00995C95">
              <w:rPr>
                <w:lang w:eastAsia="en-US"/>
              </w:rPr>
              <w:t xml:space="preserve"> year-on-year</w:t>
            </w:r>
            <w:r w:rsidR="0099450E" w:rsidRPr="00995C95">
              <w:rPr>
                <w:lang w:eastAsia="en-US"/>
              </w:rPr>
              <w:t>, in Q4 alone</w:t>
            </w:r>
            <w:r w:rsidRPr="00995C95">
              <w:rPr>
                <w:lang w:eastAsia="en-US"/>
              </w:rPr>
              <w:t xml:space="preserve"> and were 0.7% higher</w:t>
            </w:r>
            <w:r w:rsidR="0099450E" w:rsidRPr="00995C95">
              <w:rPr>
                <w:lang w:eastAsia="en-US"/>
              </w:rPr>
              <w:t>,</w:t>
            </w:r>
            <w:r w:rsidRPr="00995C95">
              <w:rPr>
                <w:lang w:eastAsia="en-US"/>
              </w:rPr>
              <w:t xml:space="preserve"> quarter-on-quarter. Prices of materials and products consumed in construction increased by 1.2%</w:t>
            </w:r>
            <w:r w:rsidR="00410EB0" w:rsidRPr="00995C95">
              <w:rPr>
                <w:lang w:eastAsia="en-US"/>
              </w:rPr>
              <w:t>, year-on-year a</w:t>
            </w:r>
            <w:r w:rsidRPr="00995C95">
              <w:rPr>
                <w:lang w:eastAsia="en-US"/>
              </w:rPr>
              <w:t>nd by 0.3%</w:t>
            </w:r>
            <w:r w:rsidR="00410EB0" w:rsidRPr="00995C95">
              <w:rPr>
                <w:lang w:eastAsia="en-US"/>
              </w:rPr>
              <w:t xml:space="preserve">, quarter-on-quarter </w:t>
            </w:r>
            <w:r w:rsidRPr="00995C95">
              <w:rPr>
                <w:lang w:eastAsia="en-US"/>
              </w:rPr>
              <w:t>in Q4.</w:t>
            </w:r>
            <w:r w:rsidR="001D7AC6" w:rsidRPr="00995C95">
              <w:rPr>
                <w:lang w:eastAsia="en-US"/>
              </w:rPr>
              <w:t xml:space="preserve"> </w:t>
            </w:r>
          </w:p>
        </w:tc>
      </w:tr>
      <w:tr w:rsidR="007F0076" w:rsidRPr="00995C95" w14:paraId="244AA66B" w14:textId="77777777" w:rsidTr="00E87182">
        <w:trPr>
          <w:trHeight w:val="145"/>
        </w:trPr>
        <w:tc>
          <w:tcPr>
            <w:tcW w:w="1791" w:type="dxa"/>
            <w:hideMark/>
          </w:tcPr>
          <w:p w14:paraId="44B6441F" w14:textId="16859E88" w:rsidR="007F0076" w:rsidRPr="00995C95" w:rsidRDefault="002F48F7" w:rsidP="002F48F7">
            <w:pPr>
              <w:pStyle w:val="Marginlie"/>
              <w:rPr>
                <w:spacing w:val="0"/>
                <w:lang w:eastAsia="en-US"/>
              </w:rPr>
            </w:pPr>
            <w:r w:rsidRPr="00995C95">
              <w:rPr>
                <w:spacing w:val="0"/>
                <w:lang w:eastAsia="en-US"/>
              </w:rPr>
              <w:t xml:space="preserve">The growth </w:t>
            </w:r>
            <w:r w:rsidR="005A6E72" w:rsidRPr="00995C95">
              <w:rPr>
                <w:spacing w:val="0"/>
                <w:lang w:eastAsia="en-US"/>
              </w:rPr>
              <w:t>of</w:t>
            </w:r>
            <w:r w:rsidRPr="00995C95">
              <w:rPr>
                <w:spacing w:val="0"/>
                <w:lang w:eastAsia="en-US"/>
              </w:rPr>
              <w:t xml:space="preserve"> prices of market services was significantly influenced by the prices of advertising services and market research.</w:t>
            </w:r>
          </w:p>
        </w:tc>
        <w:tc>
          <w:tcPr>
            <w:tcW w:w="223" w:type="dxa"/>
          </w:tcPr>
          <w:p w14:paraId="1F60387F" w14:textId="77777777" w:rsidR="007F0076" w:rsidRPr="00995C95" w:rsidRDefault="007F0076" w:rsidP="00E87182">
            <w:pPr>
              <w:pStyle w:val="Textpoznpodarou1"/>
              <w:jc w:val="both"/>
              <w:rPr>
                <w:lang w:eastAsia="en-US"/>
              </w:rPr>
            </w:pPr>
          </w:p>
        </w:tc>
        <w:tc>
          <w:tcPr>
            <w:tcW w:w="7625" w:type="dxa"/>
            <w:hideMark/>
          </w:tcPr>
          <w:p w14:paraId="496434CE" w14:textId="47E8967E" w:rsidR="007F0076" w:rsidRPr="00995C95" w:rsidRDefault="005A6E72" w:rsidP="005C17A3">
            <w:pPr>
              <w:rPr>
                <w:lang w:eastAsia="en-US"/>
              </w:rPr>
            </w:pPr>
            <w:r w:rsidRPr="00995C95">
              <w:rPr>
                <w:lang w:eastAsia="en-US"/>
              </w:rPr>
              <w:t xml:space="preserve">Prices of market services increased by 4.1% in 2024. Prices of advertising services and market research increased the most (13.9%), followed by security and </w:t>
            </w:r>
            <w:r w:rsidR="008C0B3A" w:rsidRPr="00995C95">
              <w:rPr>
                <w:lang w:eastAsia="en-US"/>
              </w:rPr>
              <w:t xml:space="preserve">investigation activities </w:t>
            </w:r>
            <w:r w:rsidRPr="00995C95">
              <w:rPr>
                <w:lang w:eastAsia="en-US"/>
              </w:rPr>
              <w:t xml:space="preserve">(11.7%) and employment services (9.2%). Prices of warehousing and support </w:t>
            </w:r>
            <w:r w:rsidR="004B1321" w:rsidRPr="00995C95">
              <w:rPr>
                <w:lang w:eastAsia="en-US"/>
              </w:rPr>
              <w:t xml:space="preserve">activities for transportation </w:t>
            </w:r>
            <w:r w:rsidRPr="00995C95">
              <w:rPr>
                <w:lang w:eastAsia="en-US"/>
              </w:rPr>
              <w:t xml:space="preserve">(6.1%), publishing services (5.1%), insurance, reinsurance and pension financing (4.5%), postal and courier services (4.3%), real estate services (3.9%) and </w:t>
            </w:r>
            <w:r w:rsidR="003D6A58" w:rsidRPr="00995C95">
              <w:rPr>
                <w:lang w:eastAsia="en-US"/>
              </w:rPr>
              <w:t xml:space="preserve">computer </w:t>
            </w:r>
            <w:r w:rsidRPr="00995C95">
              <w:rPr>
                <w:lang w:eastAsia="en-US"/>
              </w:rPr>
              <w:t xml:space="preserve">programming and related consulting services (3.7%) also increased significantly. </w:t>
            </w:r>
            <w:r w:rsidR="00D35C3D" w:rsidRPr="00995C95">
              <w:rPr>
                <w:lang w:eastAsia="en-US"/>
              </w:rPr>
              <w:t xml:space="preserve">Only the </w:t>
            </w:r>
            <w:r w:rsidRPr="00995C95">
              <w:rPr>
                <w:lang w:eastAsia="en-US"/>
              </w:rPr>
              <w:t>administrative, office</w:t>
            </w:r>
            <w:r w:rsidR="004C64E7" w:rsidRPr="00995C95">
              <w:rPr>
                <w:lang w:eastAsia="en-US"/>
              </w:rPr>
              <w:t xml:space="preserve"> support</w:t>
            </w:r>
            <w:r w:rsidRPr="00995C95">
              <w:rPr>
                <w:lang w:eastAsia="en-US"/>
              </w:rPr>
              <w:t xml:space="preserve"> and other business support </w:t>
            </w:r>
            <w:r w:rsidR="00AF76EF" w:rsidRPr="00995C95">
              <w:rPr>
                <w:lang w:eastAsia="en-US"/>
              </w:rPr>
              <w:t xml:space="preserve">activities </w:t>
            </w:r>
            <w:r w:rsidRPr="00995C95">
              <w:rPr>
                <w:lang w:eastAsia="en-US"/>
              </w:rPr>
              <w:t xml:space="preserve">recorded a 0.5% decrease </w:t>
            </w:r>
            <w:r w:rsidR="00DE161B" w:rsidRPr="00995C95">
              <w:rPr>
                <w:lang w:eastAsia="en-US"/>
              </w:rPr>
              <w:t xml:space="preserve">of </w:t>
            </w:r>
            <w:r w:rsidRPr="00995C95">
              <w:rPr>
                <w:lang w:eastAsia="en-US"/>
              </w:rPr>
              <w:t xml:space="preserve">prices. In Q4 alone, year-on-year growth </w:t>
            </w:r>
            <w:r w:rsidR="00AF76EF" w:rsidRPr="00995C95">
              <w:rPr>
                <w:lang w:eastAsia="en-US"/>
              </w:rPr>
              <w:t>of</w:t>
            </w:r>
            <w:r w:rsidRPr="00995C95">
              <w:rPr>
                <w:lang w:eastAsia="en-US"/>
              </w:rPr>
              <w:t xml:space="preserve"> prices of market services slowed slightly to 4.2%. </w:t>
            </w:r>
            <w:r w:rsidR="005259A8" w:rsidRPr="00995C95">
              <w:rPr>
                <w:lang w:eastAsia="en-US"/>
              </w:rPr>
              <w:t>P</w:t>
            </w:r>
            <w:r w:rsidRPr="00995C95">
              <w:rPr>
                <w:lang w:eastAsia="en-US"/>
              </w:rPr>
              <w:t>rices increased by 1.4%</w:t>
            </w:r>
            <w:r w:rsidR="005259A8" w:rsidRPr="00995C95">
              <w:rPr>
                <w:lang w:eastAsia="en-US"/>
              </w:rPr>
              <w:t>, quarter-on-quarter</w:t>
            </w:r>
            <w:r w:rsidRPr="00995C95">
              <w:rPr>
                <w:lang w:eastAsia="en-US"/>
              </w:rPr>
              <w:t xml:space="preserve">. </w:t>
            </w:r>
            <w:r w:rsidR="005259A8" w:rsidRPr="00995C95">
              <w:rPr>
                <w:lang w:eastAsia="en-US"/>
              </w:rPr>
              <w:t>T</w:t>
            </w:r>
            <w:r w:rsidRPr="00995C95">
              <w:rPr>
                <w:lang w:eastAsia="en-US"/>
              </w:rPr>
              <w:t xml:space="preserve">he prices of programming and broadcasting (15.2%), advertising services and market research (16.7%), security and </w:t>
            </w:r>
            <w:r w:rsidR="00D445AD" w:rsidRPr="00995C95">
              <w:rPr>
                <w:lang w:eastAsia="en-US"/>
              </w:rPr>
              <w:t xml:space="preserve">investigation activities </w:t>
            </w:r>
            <w:r w:rsidRPr="00995C95">
              <w:rPr>
                <w:lang w:eastAsia="en-US"/>
              </w:rPr>
              <w:t xml:space="preserve">(12.0%) and employment </w:t>
            </w:r>
            <w:r w:rsidR="008147D5" w:rsidRPr="00995C95">
              <w:rPr>
                <w:lang w:eastAsia="en-US"/>
              </w:rPr>
              <w:t xml:space="preserve">activities </w:t>
            </w:r>
            <w:r w:rsidRPr="00995C95">
              <w:rPr>
                <w:lang w:eastAsia="en-US"/>
              </w:rPr>
              <w:t>(8.9%) grew the most</w:t>
            </w:r>
            <w:r w:rsidR="008147D5" w:rsidRPr="00995C95">
              <w:rPr>
                <w:lang w:eastAsia="en-US"/>
              </w:rPr>
              <w:t>,</w:t>
            </w:r>
            <w:r w:rsidRPr="00995C95">
              <w:rPr>
                <w:lang w:eastAsia="en-US"/>
              </w:rPr>
              <w:t xml:space="preserve"> year-on-year</w:t>
            </w:r>
            <w:r w:rsidR="00AC634C" w:rsidRPr="00995C95">
              <w:rPr>
                <w:lang w:eastAsia="en-US"/>
              </w:rPr>
              <w:t>, i</w:t>
            </w:r>
            <w:r w:rsidR="005259A8" w:rsidRPr="00995C95">
              <w:rPr>
                <w:lang w:eastAsia="en-US"/>
              </w:rPr>
              <w:t>n the last quarter of 2025</w:t>
            </w:r>
            <w:r w:rsidRPr="00995C95">
              <w:rPr>
                <w:lang w:eastAsia="en-US"/>
              </w:rPr>
              <w:t xml:space="preserve">. Prices of warehousing </w:t>
            </w:r>
            <w:r w:rsidR="00A91EF3" w:rsidRPr="00995C95">
              <w:rPr>
                <w:lang w:eastAsia="en-US"/>
              </w:rPr>
              <w:t xml:space="preserve">and support activities for transportation </w:t>
            </w:r>
            <w:r w:rsidRPr="00995C95">
              <w:rPr>
                <w:lang w:eastAsia="en-US"/>
              </w:rPr>
              <w:t xml:space="preserve">(6.2%), publishing services (6.2%), </w:t>
            </w:r>
            <w:r w:rsidR="005C17A3" w:rsidRPr="00995C95">
              <w:rPr>
                <w:lang w:eastAsia="en-US"/>
              </w:rPr>
              <w:t xml:space="preserve">motion picture, video and television programme production </w:t>
            </w:r>
            <w:r w:rsidRPr="00995C95">
              <w:rPr>
                <w:lang w:eastAsia="en-US"/>
              </w:rPr>
              <w:t>(5.1%) or insurance, reinsurance and pension financing (5.0%) were also higher. Prices of water transport (−0.4%), rental and operating leasing services (−0.3%), land and pipeline transport (−0.2%) and administrative, office</w:t>
            </w:r>
            <w:r w:rsidR="000E5E94" w:rsidRPr="00995C95">
              <w:rPr>
                <w:lang w:eastAsia="en-US"/>
              </w:rPr>
              <w:t xml:space="preserve"> support</w:t>
            </w:r>
            <w:r w:rsidRPr="00995C95">
              <w:rPr>
                <w:lang w:eastAsia="en-US"/>
              </w:rPr>
              <w:t xml:space="preserve"> and other business support </w:t>
            </w:r>
            <w:r w:rsidR="000E5E94" w:rsidRPr="00995C95">
              <w:rPr>
                <w:lang w:eastAsia="en-US"/>
              </w:rPr>
              <w:t xml:space="preserve">activities </w:t>
            </w:r>
            <w:r w:rsidRPr="00995C95">
              <w:rPr>
                <w:lang w:eastAsia="en-US"/>
              </w:rPr>
              <w:t>(−0.1%) decreased, y</w:t>
            </w:r>
            <w:r w:rsidR="008A473C" w:rsidRPr="00995C95">
              <w:rPr>
                <w:lang w:eastAsia="en-US"/>
              </w:rPr>
              <w:t>ear</w:t>
            </w:r>
            <w:r w:rsidRPr="00995C95">
              <w:rPr>
                <w:lang w:eastAsia="en-US"/>
              </w:rPr>
              <w:t>-o</w:t>
            </w:r>
            <w:r w:rsidR="008A473C" w:rsidRPr="00995C95">
              <w:rPr>
                <w:lang w:eastAsia="en-US"/>
              </w:rPr>
              <w:t>n</w:t>
            </w:r>
            <w:r w:rsidRPr="00995C95">
              <w:rPr>
                <w:lang w:eastAsia="en-US"/>
              </w:rPr>
              <w:t>-y</w:t>
            </w:r>
            <w:r w:rsidR="008A473C" w:rsidRPr="00995C95">
              <w:rPr>
                <w:lang w:eastAsia="en-US"/>
              </w:rPr>
              <w:t>ear</w:t>
            </w:r>
            <w:r w:rsidRPr="00995C95">
              <w:rPr>
                <w:lang w:eastAsia="en-US"/>
              </w:rPr>
              <w:t>.</w:t>
            </w:r>
            <w:r w:rsidR="008C0B3A" w:rsidRPr="00995C95">
              <w:rPr>
                <w:lang w:eastAsia="en-US"/>
              </w:rPr>
              <w:t xml:space="preserve"> </w:t>
            </w:r>
            <w:r w:rsidR="007F0076" w:rsidRPr="00995C95">
              <w:rPr>
                <w:lang w:eastAsia="en-US"/>
              </w:rPr>
              <w:t xml:space="preserve"> </w:t>
            </w:r>
          </w:p>
        </w:tc>
      </w:tr>
      <w:tr w:rsidR="007F0076" w:rsidRPr="00995C95" w14:paraId="481530E8" w14:textId="77777777" w:rsidTr="00E87182">
        <w:trPr>
          <w:trHeight w:val="145"/>
        </w:trPr>
        <w:tc>
          <w:tcPr>
            <w:tcW w:w="1791" w:type="dxa"/>
            <w:hideMark/>
          </w:tcPr>
          <w:p w14:paraId="5EDF19B5" w14:textId="4B6E9EB2" w:rsidR="007F0076" w:rsidRPr="00995C95" w:rsidRDefault="007A7985" w:rsidP="007A7985">
            <w:pPr>
              <w:pStyle w:val="Marginlie"/>
              <w:rPr>
                <w:spacing w:val="0"/>
                <w:lang w:eastAsia="en-US"/>
              </w:rPr>
            </w:pPr>
            <w:r w:rsidRPr="00995C95">
              <w:rPr>
                <w:spacing w:val="0"/>
                <w:lang w:eastAsia="en-US"/>
              </w:rPr>
              <w:t>Last year, the prices of livestock production rose sharply.</w:t>
            </w:r>
          </w:p>
        </w:tc>
        <w:tc>
          <w:tcPr>
            <w:tcW w:w="223" w:type="dxa"/>
          </w:tcPr>
          <w:p w14:paraId="2FEA0F7E" w14:textId="77777777" w:rsidR="007F0076" w:rsidRPr="00995C95" w:rsidRDefault="007F0076" w:rsidP="00E87182">
            <w:pPr>
              <w:pStyle w:val="Textpoznpodarou1"/>
              <w:jc w:val="both"/>
              <w:rPr>
                <w:lang w:eastAsia="en-US"/>
              </w:rPr>
            </w:pPr>
          </w:p>
        </w:tc>
        <w:tc>
          <w:tcPr>
            <w:tcW w:w="7625" w:type="dxa"/>
            <w:hideMark/>
          </w:tcPr>
          <w:p w14:paraId="41612D57" w14:textId="43FD57E4" w:rsidR="007F0076" w:rsidRPr="00995C95" w:rsidRDefault="00AF4D60" w:rsidP="008D2F53">
            <w:pPr>
              <w:rPr>
                <w:lang w:eastAsia="en-US"/>
              </w:rPr>
            </w:pPr>
            <w:r w:rsidRPr="00995C95">
              <w:rPr>
                <w:lang w:eastAsia="en-US"/>
              </w:rPr>
              <w:t xml:space="preserve">Total </w:t>
            </w:r>
            <w:r w:rsidR="008D2F53" w:rsidRPr="00995C95">
              <w:rPr>
                <w:lang w:eastAsia="en-US"/>
              </w:rPr>
              <w:t xml:space="preserve">agricultural production prices (including fish) increased by 7.9% in 2025. The growth was driven mainly by developments in </w:t>
            </w:r>
            <w:r w:rsidR="00D13273" w:rsidRPr="00995C95">
              <w:rPr>
                <w:lang w:eastAsia="en-US"/>
              </w:rPr>
              <w:t xml:space="preserve">animal </w:t>
            </w:r>
            <w:r w:rsidR="008D2F53" w:rsidRPr="00995C95">
              <w:rPr>
                <w:lang w:eastAsia="en-US"/>
              </w:rPr>
              <w:t xml:space="preserve">production, but crop production prices were also higher last year, </w:t>
            </w:r>
            <w:r w:rsidR="00D13273" w:rsidRPr="00995C95">
              <w:rPr>
                <w:lang w:eastAsia="en-US"/>
              </w:rPr>
              <w:t xml:space="preserve">specifically </w:t>
            </w:r>
            <w:r w:rsidR="008D2F53" w:rsidRPr="00995C95">
              <w:rPr>
                <w:lang w:eastAsia="en-US"/>
              </w:rPr>
              <w:t xml:space="preserve">by 3.0%. Prices of </w:t>
            </w:r>
            <w:r w:rsidR="00966E1F">
              <w:rPr>
                <w:lang w:eastAsia="en-US"/>
              </w:rPr>
              <w:t xml:space="preserve">weight-important </w:t>
            </w:r>
            <w:r w:rsidR="008D2F53" w:rsidRPr="00995C95">
              <w:rPr>
                <w:lang w:eastAsia="en-US"/>
              </w:rPr>
              <w:t xml:space="preserve">cereals (5.2%), mainly wheat (6.9%), maize (10.3%) and other cereals (especially triticale, 4.9%) were higher. On the </w:t>
            </w:r>
            <w:r w:rsidR="00F91FCF" w:rsidRPr="00995C95">
              <w:rPr>
                <w:lang w:eastAsia="en-US"/>
              </w:rPr>
              <w:t>contrary</w:t>
            </w:r>
            <w:r w:rsidR="008D2F53" w:rsidRPr="00995C95">
              <w:rPr>
                <w:lang w:eastAsia="en-US"/>
              </w:rPr>
              <w:t xml:space="preserve">, barley prices stagnated (0.3%) and </w:t>
            </w:r>
            <w:r w:rsidR="005005CD" w:rsidRPr="00995C95">
              <w:rPr>
                <w:lang w:eastAsia="en-US"/>
              </w:rPr>
              <w:t xml:space="preserve">prices of </w:t>
            </w:r>
            <w:r w:rsidR="008D2F53" w:rsidRPr="00995C95">
              <w:rPr>
                <w:lang w:eastAsia="en-US"/>
              </w:rPr>
              <w:t xml:space="preserve">rye (−4.3%) and oats (−10.1%) fell. A strong increase was recorded </w:t>
            </w:r>
            <w:r w:rsidR="00F5317B" w:rsidRPr="00995C95">
              <w:rPr>
                <w:lang w:eastAsia="en-US"/>
              </w:rPr>
              <w:t xml:space="preserve">for </w:t>
            </w:r>
            <w:r w:rsidR="008D2F53" w:rsidRPr="00995C95">
              <w:rPr>
                <w:lang w:eastAsia="en-US"/>
              </w:rPr>
              <w:t xml:space="preserve">industrial crops (7.4%, driven mainly by </w:t>
            </w:r>
            <w:r w:rsidR="00F5317B" w:rsidRPr="00995C95">
              <w:rPr>
                <w:lang w:eastAsia="en-US"/>
              </w:rPr>
              <w:t xml:space="preserve">growth of </w:t>
            </w:r>
            <w:r w:rsidR="008D2F53" w:rsidRPr="00995C95">
              <w:rPr>
                <w:lang w:eastAsia="en-US"/>
              </w:rPr>
              <w:t xml:space="preserve">prices of oilseeds by 13.2% and hops by 10.0%, prices of sugar beet fell by 16.8%) and grapes (12.4%). Prices of </w:t>
            </w:r>
            <w:r w:rsidR="003145B3" w:rsidRPr="00995C95">
              <w:rPr>
                <w:lang w:eastAsia="en-US"/>
              </w:rPr>
              <w:t xml:space="preserve">fodder </w:t>
            </w:r>
            <w:r w:rsidR="008D2F53" w:rsidRPr="00995C95">
              <w:rPr>
                <w:lang w:eastAsia="en-US"/>
              </w:rPr>
              <w:t xml:space="preserve">crops (3.1%) </w:t>
            </w:r>
            <w:r w:rsidR="008D2F53" w:rsidRPr="00995C95">
              <w:rPr>
                <w:lang w:eastAsia="en-US"/>
              </w:rPr>
              <w:lastRenderedPageBreak/>
              <w:t xml:space="preserve">and fruit (3.8%) were also higher last year. On the </w:t>
            </w:r>
            <w:r w:rsidR="00706755" w:rsidRPr="00995C95">
              <w:rPr>
                <w:lang w:eastAsia="en-US"/>
              </w:rPr>
              <w:t>contrary</w:t>
            </w:r>
            <w:r w:rsidR="008D2F53" w:rsidRPr="00995C95">
              <w:rPr>
                <w:lang w:eastAsia="en-US"/>
              </w:rPr>
              <w:t>, a strong dec</w:t>
            </w:r>
            <w:r w:rsidR="00706755" w:rsidRPr="00995C95">
              <w:rPr>
                <w:lang w:eastAsia="en-US"/>
              </w:rPr>
              <w:t xml:space="preserve">rease </w:t>
            </w:r>
            <w:r w:rsidR="008D2F53" w:rsidRPr="00995C95">
              <w:rPr>
                <w:lang w:eastAsia="en-US"/>
              </w:rPr>
              <w:t xml:space="preserve">was recorded </w:t>
            </w:r>
            <w:r w:rsidR="00706755" w:rsidRPr="00995C95">
              <w:rPr>
                <w:lang w:eastAsia="en-US"/>
              </w:rPr>
              <w:t xml:space="preserve">for </w:t>
            </w:r>
            <w:r w:rsidR="008D2F53" w:rsidRPr="00995C95">
              <w:rPr>
                <w:lang w:eastAsia="en-US"/>
              </w:rPr>
              <w:t xml:space="preserve">the prices of potatoes (−20.1%) and </w:t>
            </w:r>
            <w:r w:rsidR="00C96F2E" w:rsidRPr="00995C95">
              <w:rPr>
                <w:lang w:eastAsia="en-US"/>
              </w:rPr>
              <w:t xml:space="preserve">further </w:t>
            </w:r>
            <w:r w:rsidR="008D2F53" w:rsidRPr="00995C95">
              <w:rPr>
                <w:lang w:eastAsia="en-US"/>
              </w:rPr>
              <w:t xml:space="preserve">vegetables and horticultural products (−3.4%). Livestock production reported a sharp </w:t>
            </w:r>
            <w:r w:rsidR="003355FA" w:rsidRPr="00995C95">
              <w:rPr>
                <w:lang w:eastAsia="en-US"/>
              </w:rPr>
              <w:t xml:space="preserve">price hike </w:t>
            </w:r>
            <w:r w:rsidR="008D2F53" w:rsidRPr="00995C95">
              <w:rPr>
                <w:lang w:eastAsia="en-US"/>
              </w:rPr>
              <w:t xml:space="preserve">last year (14.7%). </w:t>
            </w:r>
            <w:r w:rsidR="003355FA" w:rsidRPr="00995C95">
              <w:rPr>
                <w:lang w:eastAsia="en-US"/>
              </w:rPr>
              <w:t>Except for</w:t>
            </w:r>
            <w:r w:rsidR="008D2F53" w:rsidRPr="00995C95">
              <w:rPr>
                <w:lang w:eastAsia="en-US"/>
              </w:rPr>
              <w:t xml:space="preserve"> pig prices (−9.8%), prices rose across this </w:t>
            </w:r>
            <w:r w:rsidR="00C60B8B" w:rsidRPr="00995C95">
              <w:rPr>
                <w:lang w:eastAsia="en-US"/>
              </w:rPr>
              <w:t xml:space="preserve">total </w:t>
            </w:r>
            <w:r w:rsidR="008D2F53" w:rsidRPr="00995C95">
              <w:rPr>
                <w:lang w:eastAsia="en-US"/>
              </w:rPr>
              <w:t xml:space="preserve">segment of agricultural production. Prices of cattle increased sharply (32.0%) and poultry prices increased (8.0%). </w:t>
            </w:r>
            <w:r w:rsidR="00A21D25" w:rsidRPr="00995C95">
              <w:rPr>
                <w:lang w:eastAsia="en-US"/>
              </w:rPr>
              <w:t xml:space="preserve">Considerable </w:t>
            </w:r>
            <w:r w:rsidR="008D2F53" w:rsidRPr="00995C95">
              <w:rPr>
                <w:lang w:eastAsia="en-US"/>
              </w:rPr>
              <w:t xml:space="preserve">increase </w:t>
            </w:r>
            <w:r w:rsidR="00A21D25" w:rsidRPr="00995C95">
              <w:rPr>
                <w:lang w:eastAsia="en-US"/>
              </w:rPr>
              <w:t xml:space="preserve">of </w:t>
            </w:r>
            <w:r w:rsidR="008D2F53" w:rsidRPr="00995C95">
              <w:rPr>
                <w:lang w:eastAsia="en-US"/>
              </w:rPr>
              <w:t>the prices of eggs (36.0%) and milk (16.8%)</w:t>
            </w:r>
            <w:r w:rsidR="006B436C" w:rsidRPr="00995C95">
              <w:rPr>
                <w:lang w:eastAsia="en-US"/>
              </w:rPr>
              <w:t xml:space="preserve"> then had significant consequences for final consumers</w:t>
            </w:r>
            <w:r w:rsidR="008D2F53" w:rsidRPr="00995C95">
              <w:rPr>
                <w:lang w:eastAsia="en-US"/>
              </w:rPr>
              <w:t>.</w:t>
            </w:r>
            <w:r w:rsidR="00E26274" w:rsidRPr="00995C95">
              <w:rPr>
                <w:lang w:eastAsia="en-US"/>
              </w:rPr>
              <w:t xml:space="preserve"> </w:t>
            </w:r>
          </w:p>
        </w:tc>
      </w:tr>
      <w:tr w:rsidR="007F0076" w:rsidRPr="00995C95" w14:paraId="7F7DD6CF" w14:textId="77777777" w:rsidTr="00E87182">
        <w:trPr>
          <w:trHeight w:val="145"/>
        </w:trPr>
        <w:tc>
          <w:tcPr>
            <w:tcW w:w="1791" w:type="dxa"/>
          </w:tcPr>
          <w:p w14:paraId="70020700" w14:textId="3838701A" w:rsidR="007F0076" w:rsidRPr="00995C95" w:rsidRDefault="005005CD" w:rsidP="00CE233D">
            <w:pPr>
              <w:pStyle w:val="Marginlie"/>
              <w:rPr>
                <w:spacing w:val="0"/>
                <w:lang w:eastAsia="en-US"/>
              </w:rPr>
            </w:pPr>
            <w:r w:rsidRPr="00995C95">
              <w:rPr>
                <w:spacing w:val="0"/>
                <w:lang w:eastAsia="en-US"/>
              </w:rPr>
              <w:lastRenderedPageBreak/>
              <w:t>P</w:t>
            </w:r>
            <w:r w:rsidR="00CE233D" w:rsidRPr="00995C95">
              <w:rPr>
                <w:spacing w:val="0"/>
                <w:lang w:eastAsia="en-US"/>
              </w:rPr>
              <w:t xml:space="preserve">rices </w:t>
            </w:r>
            <w:r w:rsidRPr="00995C95">
              <w:rPr>
                <w:spacing w:val="0"/>
                <w:lang w:eastAsia="en-US"/>
              </w:rPr>
              <w:t>of</w:t>
            </w:r>
            <w:r w:rsidR="00CE233D" w:rsidRPr="00995C95">
              <w:rPr>
                <w:spacing w:val="0"/>
                <w:lang w:eastAsia="en-US"/>
              </w:rPr>
              <w:t xml:space="preserve"> crop production decreased</w:t>
            </w:r>
            <w:r w:rsidRPr="00995C95">
              <w:rPr>
                <w:spacing w:val="0"/>
                <w:lang w:eastAsia="en-US"/>
              </w:rPr>
              <w:t>,</w:t>
            </w:r>
            <w:r w:rsidR="00CE233D" w:rsidRPr="00995C95">
              <w:rPr>
                <w:spacing w:val="0"/>
                <w:lang w:eastAsia="en-US"/>
              </w:rPr>
              <w:t xml:space="preserve"> year-on-year</w:t>
            </w:r>
            <w:r w:rsidRPr="00995C95">
              <w:rPr>
                <w:spacing w:val="0"/>
                <w:lang w:eastAsia="en-US"/>
              </w:rPr>
              <w:t>, in Q4</w:t>
            </w:r>
            <w:r w:rsidR="00CE233D" w:rsidRPr="00995C95">
              <w:rPr>
                <w:spacing w:val="0"/>
                <w:lang w:eastAsia="en-US"/>
              </w:rPr>
              <w:t>.</w:t>
            </w:r>
          </w:p>
        </w:tc>
        <w:tc>
          <w:tcPr>
            <w:tcW w:w="223" w:type="dxa"/>
          </w:tcPr>
          <w:p w14:paraId="18D37939" w14:textId="77777777" w:rsidR="007F0076" w:rsidRPr="00995C95" w:rsidRDefault="007F0076" w:rsidP="00E87182">
            <w:pPr>
              <w:pStyle w:val="Textpoznpodarou1"/>
              <w:jc w:val="both"/>
              <w:rPr>
                <w:lang w:eastAsia="en-US"/>
              </w:rPr>
            </w:pPr>
          </w:p>
        </w:tc>
        <w:tc>
          <w:tcPr>
            <w:tcW w:w="7625" w:type="dxa"/>
          </w:tcPr>
          <w:p w14:paraId="03DE3AAE" w14:textId="7DEFF5D7" w:rsidR="007F0076" w:rsidRPr="00995C95" w:rsidRDefault="00ED5CBD" w:rsidP="00ED5CBD">
            <w:pPr>
              <w:rPr>
                <w:lang w:eastAsia="en-US"/>
              </w:rPr>
            </w:pPr>
            <w:r w:rsidRPr="00995C95">
              <w:rPr>
                <w:lang w:eastAsia="en-US"/>
              </w:rPr>
              <w:t xml:space="preserve">The current episode of year-on-year growth </w:t>
            </w:r>
            <w:r w:rsidR="00983035" w:rsidRPr="00995C95">
              <w:rPr>
                <w:lang w:eastAsia="en-US"/>
              </w:rPr>
              <w:t xml:space="preserve">of </w:t>
            </w:r>
            <w:r w:rsidRPr="00995C95">
              <w:rPr>
                <w:lang w:eastAsia="en-US"/>
              </w:rPr>
              <w:t>agricultural producer prices began as early as the end of 2024 and this high comparison bas</w:t>
            </w:r>
            <w:r w:rsidR="00B977D1" w:rsidRPr="00995C95">
              <w:rPr>
                <w:lang w:eastAsia="en-US"/>
              </w:rPr>
              <w:t xml:space="preserve">is </w:t>
            </w:r>
            <w:r w:rsidRPr="00995C95">
              <w:rPr>
                <w:lang w:eastAsia="en-US"/>
              </w:rPr>
              <w:t xml:space="preserve">was one of the reasons for the significant slowdown </w:t>
            </w:r>
            <w:r w:rsidR="00B977D1" w:rsidRPr="00995C95">
              <w:rPr>
                <w:lang w:eastAsia="en-US"/>
              </w:rPr>
              <w:t xml:space="preserve">of </w:t>
            </w:r>
            <w:r w:rsidRPr="00995C95">
              <w:rPr>
                <w:lang w:eastAsia="en-US"/>
              </w:rPr>
              <w:t>year-on-year price growth to 0.9% in Q4 2025. Crop production prices fell by 5.9%</w:t>
            </w:r>
            <w:r w:rsidR="00B977D1" w:rsidRPr="00995C95">
              <w:rPr>
                <w:lang w:eastAsia="en-US"/>
              </w:rPr>
              <w:t>,</w:t>
            </w:r>
            <w:r w:rsidRPr="00995C95">
              <w:rPr>
                <w:lang w:eastAsia="en-US"/>
              </w:rPr>
              <w:t xml:space="preserve"> year-on-year</w:t>
            </w:r>
            <w:r w:rsidR="00B977D1" w:rsidRPr="00995C95">
              <w:rPr>
                <w:lang w:eastAsia="en-US"/>
              </w:rPr>
              <w:t>,</w:t>
            </w:r>
            <w:r w:rsidRPr="00995C95">
              <w:rPr>
                <w:lang w:eastAsia="en-US"/>
              </w:rPr>
              <w:t xml:space="preserve"> in Q4. Cereal prices were lower by 7.0%, y</w:t>
            </w:r>
            <w:r w:rsidR="00B977D1" w:rsidRPr="00995C95">
              <w:rPr>
                <w:lang w:eastAsia="en-US"/>
              </w:rPr>
              <w:t>ear</w:t>
            </w:r>
            <w:r w:rsidRPr="00995C95">
              <w:rPr>
                <w:lang w:eastAsia="en-US"/>
              </w:rPr>
              <w:t>-o</w:t>
            </w:r>
            <w:r w:rsidR="00B977D1" w:rsidRPr="00995C95">
              <w:rPr>
                <w:lang w:eastAsia="en-US"/>
              </w:rPr>
              <w:t>n</w:t>
            </w:r>
            <w:r w:rsidRPr="00995C95">
              <w:rPr>
                <w:lang w:eastAsia="en-US"/>
              </w:rPr>
              <w:t>-y</w:t>
            </w:r>
            <w:r w:rsidR="00B977D1" w:rsidRPr="00995C95">
              <w:rPr>
                <w:lang w:eastAsia="en-US"/>
              </w:rPr>
              <w:t>ear</w:t>
            </w:r>
            <w:r w:rsidRPr="00995C95">
              <w:rPr>
                <w:lang w:eastAsia="en-US"/>
              </w:rPr>
              <w:t xml:space="preserve"> (wheat −7.9%, barley −3.5%, maize −10.1%). Fruit fell by 19.3%, potatoes by 18.3%, industrial crops by 7.6% and feed crop prices fell by 1.9%. On the </w:t>
            </w:r>
            <w:r w:rsidR="003F5AD6" w:rsidRPr="00995C95">
              <w:rPr>
                <w:lang w:eastAsia="en-US"/>
              </w:rPr>
              <w:t>contrary</w:t>
            </w:r>
            <w:r w:rsidRPr="00995C95">
              <w:rPr>
                <w:lang w:eastAsia="en-US"/>
              </w:rPr>
              <w:t>, the year-on-year dec</w:t>
            </w:r>
            <w:r w:rsidR="003F5AD6" w:rsidRPr="00995C95">
              <w:rPr>
                <w:lang w:eastAsia="en-US"/>
              </w:rPr>
              <w:t xml:space="preserve">rease of </w:t>
            </w:r>
            <w:r w:rsidRPr="00995C95">
              <w:rPr>
                <w:lang w:eastAsia="en-US"/>
              </w:rPr>
              <w:t xml:space="preserve">prices of vegetables and horticultural products </w:t>
            </w:r>
            <w:r w:rsidR="007B1827" w:rsidRPr="00995C95">
              <w:rPr>
                <w:lang w:eastAsia="en-US"/>
              </w:rPr>
              <w:t xml:space="preserve">halted </w:t>
            </w:r>
            <w:r w:rsidRPr="00995C95">
              <w:rPr>
                <w:lang w:eastAsia="en-US"/>
              </w:rPr>
              <w:t xml:space="preserve">in </w:t>
            </w:r>
            <w:r w:rsidR="007B1827" w:rsidRPr="00995C95">
              <w:rPr>
                <w:lang w:eastAsia="en-US"/>
              </w:rPr>
              <w:t>Q</w:t>
            </w:r>
            <w:r w:rsidRPr="00995C95">
              <w:rPr>
                <w:lang w:eastAsia="en-US"/>
              </w:rPr>
              <w:t>4</w:t>
            </w:r>
            <w:r w:rsidR="007B1827" w:rsidRPr="00995C95">
              <w:rPr>
                <w:lang w:eastAsia="en-US"/>
              </w:rPr>
              <w:t xml:space="preserve"> </w:t>
            </w:r>
            <w:r w:rsidRPr="00995C95">
              <w:rPr>
                <w:lang w:eastAsia="en-US"/>
              </w:rPr>
              <w:t>(prices stagnated). Year-on-year growth</w:t>
            </w:r>
            <w:r w:rsidR="009748DF" w:rsidRPr="00995C95">
              <w:rPr>
                <w:lang w:eastAsia="en-US"/>
              </w:rPr>
              <w:t xml:space="preserve"> of </w:t>
            </w:r>
            <w:r w:rsidRPr="00995C95">
              <w:rPr>
                <w:lang w:eastAsia="en-US"/>
              </w:rPr>
              <w:t xml:space="preserve">livestock prices slowed to 12.7% in </w:t>
            </w:r>
            <w:r w:rsidR="009748DF" w:rsidRPr="00995C95">
              <w:rPr>
                <w:lang w:eastAsia="en-US"/>
              </w:rPr>
              <w:t>Q</w:t>
            </w:r>
            <w:r w:rsidRPr="00995C95">
              <w:rPr>
                <w:lang w:eastAsia="en-US"/>
              </w:rPr>
              <w:t xml:space="preserve">4. The dynamics of cattle prices (year-on-year growth of 39.8%) and poultry (11.9%) remained virtually unchanged, and the slowdown </w:t>
            </w:r>
            <w:r w:rsidR="009714FD" w:rsidRPr="00995C95">
              <w:rPr>
                <w:lang w:eastAsia="en-US"/>
              </w:rPr>
              <w:t xml:space="preserve">of </w:t>
            </w:r>
            <w:r w:rsidRPr="00995C95">
              <w:rPr>
                <w:lang w:eastAsia="en-US"/>
              </w:rPr>
              <w:t xml:space="preserve">egg price growth (35.4%) was only cosmetic. The year-on-year growth </w:t>
            </w:r>
            <w:r w:rsidR="004C1A40" w:rsidRPr="00995C95">
              <w:rPr>
                <w:lang w:eastAsia="en-US"/>
              </w:rPr>
              <w:t>of</w:t>
            </w:r>
            <w:r w:rsidRPr="00995C95">
              <w:rPr>
                <w:lang w:eastAsia="en-US"/>
              </w:rPr>
              <w:t xml:space="preserve"> milk prices decreased by approximately half (10.3%). The decline </w:t>
            </w:r>
            <w:r w:rsidR="004C1A40" w:rsidRPr="00995C95">
              <w:rPr>
                <w:lang w:eastAsia="en-US"/>
              </w:rPr>
              <w:t xml:space="preserve">of </w:t>
            </w:r>
            <w:r w:rsidRPr="00995C95">
              <w:rPr>
                <w:lang w:eastAsia="en-US"/>
              </w:rPr>
              <w:t xml:space="preserve">pig prices deepened to </w:t>
            </w:r>
            <w:r w:rsidR="00A64B59">
              <w:rPr>
                <w:lang w:eastAsia="en-US"/>
              </w:rPr>
              <w:t>−</w:t>
            </w:r>
            <w:r w:rsidRPr="00995C95">
              <w:rPr>
                <w:lang w:eastAsia="en-US"/>
              </w:rPr>
              <w:t>13.1%.</w:t>
            </w:r>
            <w:r w:rsidR="007B1827" w:rsidRPr="00995C95">
              <w:rPr>
                <w:lang w:eastAsia="en-US"/>
              </w:rPr>
              <w:t xml:space="preserve"> </w:t>
            </w:r>
          </w:p>
        </w:tc>
      </w:tr>
      <w:tr w:rsidR="007F0076" w:rsidRPr="00995C95" w14:paraId="0ED2680E" w14:textId="77777777" w:rsidTr="00E87182">
        <w:trPr>
          <w:trHeight w:val="145"/>
        </w:trPr>
        <w:tc>
          <w:tcPr>
            <w:tcW w:w="1791" w:type="dxa"/>
            <w:hideMark/>
          </w:tcPr>
          <w:p w14:paraId="19A6CCD8" w14:textId="3A00C980" w:rsidR="007F0076" w:rsidRPr="00995C95" w:rsidRDefault="00235014" w:rsidP="00235014">
            <w:pPr>
              <w:pStyle w:val="Marginlie"/>
              <w:rPr>
                <w:spacing w:val="0"/>
                <w:lang w:eastAsia="en-US"/>
              </w:rPr>
            </w:pPr>
            <w:r w:rsidRPr="00995C95">
              <w:rPr>
                <w:spacing w:val="0"/>
                <w:lang w:eastAsia="en-US"/>
              </w:rPr>
              <w:t>Export prices fell in 2025.</w:t>
            </w:r>
          </w:p>
        </w:tc>
        <w:tc>
          <w:tcPr>
            <w:tcW w:w="223" w:type="dxa"/>
          </w:tcPr>
          <w:p w14:paraId="2F0D47DF" w14:textId="77777777" w:rsidR="007F0076" w:rsidRPr="00995C95" w:rsidRDefault="007F0076" w:rsidP="00E87182">
            <w:pPr>
              <w:pStyle w:val="Textpoznpodarou1"/>
              <w:jc w:val="both"/>
              <w:rPr>
                <w:lang w:eastAsia="en-US"/>
              </w:rPr>
            </w:pPr>
          </w:p>
        </w:tc>
        <w:tc>
          <w:tcPr>
            <w:tcW w:w="7625" w:type="dxa"/>
            <w:hideMark/>
          </w:tcPr>
          <w:p w14:paraId="2B8B01D7" w14:textId="4C9A47AC" w:rsidR="007F0076" w:rsidRPr="00995C95" w:rsidRDefault="00536EE7" w:rsidP="00536EE7">
            <w:pPr>
              <w:rPr>
                <w:lang w:eastAsia="en-US"/>
              </w:rPr>
            </w:pPr>
            <w:r w:rsidRPr="00995C95">
              <w:rPr>
                <w:lang w:eastAsia="en-US"/>
              </w:rPr>
              <w:t>International trade prices were strongly influenced by the appreciation of the koruna against the euro and the dollar</w:t>
            </w:r>
            <w:r w:rsidR="00E43EC0" w:rsidRPr="00995C95">
              <w:rPr>
                <w:lang w:eastAsia="en-US"/>
              </w:rPr>
              <w:t xml:space="preserve"> throughout 2025</w:t>
            </w:r>
            <w:r w:rsidR="00E43EC0" w:rsidRPr="00995C95">
              <w:rPr>
                <w:rStyle w:val="Znakapoznpodarou"/>
                <w:lang w:eastAsia="en-US"/>
              </w:rPr>
              <w:footnoteReference w:id="5"/>
            </w:r>
            <w:r w:rsidR="00E43EC0" w:rsidRPr="00995C95">
              <w:rPr>
                <w:lang w:eastAsia="en-US"/>
              </w:rPr>
              <w:t>.</w:t>
            </w:r>
            <w:r w:rsidRPr="00995C95">
              <w:rPr>
                <w:lang w:eastAsia="en-US"/>
              </w:rPr>
              <w:t xml:space="preserve"> This had a significant anti-inflationary effect, especially in a year-on-year comparison. </w:t>
            </w:r>
            <w:r w:rsidR="00E43EC0" w:rsidRPr="00995C95">
              <w:rPr>
                <w:lang w:eastAsia="en-US"/>
              </w:rPr>
              <w:t>E</w:t>
            </w:r>
            <w:r w:rsidRPr="00995C95">
              <w:rPr>
                <w:lang w:eastAsia="en-US"/>
              </w:rPr>
              <w:t>xport prices of goods decreased by 1.2%</w:t>
            </w:r>
            <w:r w:rsidR="009D29DB" w:rsidRPr="00995C95">
              <w:rPr>
                <w:lang w:eastAsia="en-US"/>
              </w:rPr>
              <w:t xml:space="preserve"> for total 2025</w:t>
            </w:r>
            <w:r w:rsidRPr="00995C95">
              <w:rPr>
                <w:lang w:eastAsia="en-US"/>
              </w:rPr>
              <w:t>. Only prices of agricultural, forestry and fish</w:t>
            </w:r>
            <w:r w:rsidR="009D29DB" w:rsidRPr="00995C95">
              <w:rPr>
                <w:lang w:eastAsia="en-US"/>
              </w:rPr>
              <w:t>ing p</w:t>
            </w:r>
            <w:r w:rsidRPr="00995C95">
              <w:rPr>
                <w:lang w:eastAsia="en-US"/>
              </w:rPr>
              <w:t>roducts (5.5%) and electricity, gas, steam and air-condition</w:t>
            </w:r>
            <w:r w:rsidR="009D29DB" w:rsidRPr="00995C95">
              <w:rPr>
                <w:lang w:eastAsia="en-US"/>
              </w:rPr>
              <w:t xml:space="preserve">ing </w:t>
            </w:r>
            <w:r w:rsidRPr="00995C95">
              <w:rPr>
                <w:lang w:eastAsia="en-US"/>
              </w:rPr>
              <w:t xml:space="preserve">(2.8%) increased. Deep declines were recorded in mining and quarrying (−12.0%) and </w:t>
            </w:r>
            <w:r w:rsidR="00481CEB" w:rsidRPr="00995C95">
              <w:rPr>
                <w:lang w:eastAsia="en-US"/>
              </w:rPr>
              <w:t xml:space="preserve">water supply and sewerage and waste management and remediation activities </w:t>
            </w:r>
            <w:r w:rsidRPr="00995C95">
              <w:rPr>
                <w:lang w:eastAsia="en-US"/>
              </w:rPr>
              <w:t xml:space="preserve">(−9.5%). Prices of manufacturing products also decreased (−1.3%), especially coke and refined petroleum products (−15.0%), chemicals and </w:t>
            </w:r>
            <w:r w:rsidR="00783F21" w:rsidRPr="00995C95">
              <w:rPr>
                <w:lang w:eastAsia="en-US"/>
              </w:rPr>
              <w:t xml:space="preserve">chemical goods </w:t>
            </w:r>
            <w:r w:rsidRPr="00995C95">
              <w:rPr>
                <w:lang w:eastAsia="en-US"/>
              </w:rPr>
              <w:t xml:space="preserve">(−5.2%), furniture (−4.5%) and basic metals (−3.8%). Export prices also declined </w:t>
            </w:r>
            <w:r w:rsidR="00EF27E6" w:rsidRPr="00995C95">
              <w:rPr>
                <w:lang w:eastAsia="en-US"/>
              </w:rPr>
              <w:t xml:space="preserve">during </w:t>
            </w:r>
            <w:r w:rsidRPr="00995C95">
              <w:rPr>
                <w:lang w:eastAsia="en-US"/>
              </w:rPr>
              <w:t xml:space="preserve">the year in major export </w:t>
            </w:r>
            <w:r w:rsidR="00EF27E6" w:rsidRPr="00995C95">
              <w:rPr>
                <w:lang w:eastAsia="en-US"/>
              </w:rPr>
              <w:t xml:space="preserve">branches </w:t>
            </w:r>
            <w:r w:rsidRPr="00995C95">
              <w:rPr>
                <w:lang w:eastAsia="en-US"/>
              </w:rPr>
              <w:t>such as electrical equipment (</w:t>
            </w:r>
            <w:r w:rsidR="00362328">
              <w:rPr>
                <w:lang w:eastAsia="en-US"/>
              </w:rPr>
              <w:t>−</w:t>
            </w:r>
            <w:r w:rsidRPr="00995C95">
              <w:rPr>
                <w:lang w:eastAsia="en-US"/>
              </w:rPr>
              <w:t xml:space="preserve">2.0% for the full year 2025), computers, electronic and optical </w:t>
            </w:r>
            <w:r w:rsidR="002659AC" w:rsidRPr="00995C95">
              <w:rPr>
                <w:lang w:eastAsia="en-US"/>
              </w:rPr>
              <w:t xml:space="preserve">appliances </w:t>
            </w:r>
            <w:r w:rsidRPr="00995C95">
              <w:rPr>
                <w:lang w:eastAsia="en-US"/>
              </w:rPr>
              <w:t>(</w:t>
            </w:r>
            <w:r w:rsidR="00362328">
              <w:rPr>
                <w:lang w:eastAsia="en-US"/>
              </w:rPr>
              <w:t>−</w:t>
            </w:r>
            <w:r w:rsidRPr="00995C95">
              <w:rPr>
                <w:lang w:eastAsia="en-US"/>
              </w:rPr>
              <w:t>1.7%), machinery and equipment (</w:t>
            </w:r>
            <w:r w:rsidR="00362328">
              <w:rPr>
                <w:lang w:eastAsia="en-US"/>
              </w:rPr>
              <w:t>−</w:t>
            </w:r>
            <w:r w:rsidRPr="00995C95">
              <w:rPr>
                <w:lang w:eastAsia="en-US"/>
              </w:rPr>
              <w:t>0.6%), metal</w:t>
            </w:r>
            <w:r w:rsidR="002659AC" w:rsidRPr="00995C95">
              <w:rPr>
                <w:lang w:eastAsia="en-US"/>
              </w:rPr>
              <w:t>working</w:t>
            </w:r>
            <w:r w:rsidRPr="00995C95">
              <w:rPr>
                <w:lang w:eastAsia="en-US"/>
              </w:rPr>
              <w:t xml:space="preserve"> products (</w:t>
            </w:r>
            <w:r w:rsidR="00362328">
              <w:rPr>
                <w:lang w:eastAsia="en-US"/>
              </w:rPr>
              <w:t>−</w:t>
            </w:r>
            <w:r w:rsidRPr="00995C95">
              <w:rPr>
                <w:lang w:eastAsia="en-US"/>
              </w:rPr>
              <w:t>0.3%) and motor vehicles (</w:t>
            </w:r>
            <w:r w:rsidR="00362328">
              <w:rPr>
                <w:lang w:eastAsia="en-US"/>
              </w:rPr>
              <w:t>−</w:t>
            </w:r>
            <w:r w:rsidRPr="00995C95">
              <w:rPr>
                <w:lang w:eastAsia="en-US"/>
              </w:rPr>
              <w:t xml:space="preserve">0.2%). A more significant increase was recorded only </w:t>
            </w:r>
            <w:r w:rsidR="00215DC5" w:rsidRPr="00995C95">
              <w:rPr>
                <w:lang w:eastAsia="en-US"/>
              </w:rPr>
              <w:t xml:space="preserve">for </w:t>
            </w:r>
            <w:r w:rsidRPr="00995C95">
              <w:rPr>
                <w:lang w:eastAsia="en-US"/>
              </w:rPr>
              <w:t xml:space="preserve">the export prices of wood and wood products except furniture (6.5%). </w:t>
            </w:r>
          </w:p>
        </w:tc>
      </w:tr>
      <w:tr w:rsidR="007F0076" w:rsidRPr="00995C95" w14:paraId="0A36DA53" w14:textId="77777777" w:rsidTr="00E87182">
        <w:trPr>
          <w:trHeight w:val="145"/>
        </w:trPr>
        <w:tc>
          <w:tcPr>
            <w:tcW w:w="1791" w:type="dxa"/>
          </w:tcPr>
          <w:p w14:paraId="38EE977C" w14:textId="3BE07330" w:rsidR="007F0076" w:rsidRPr="00995C95" w:rsidRDefault="008E215D" w:rsidP="008E215D">
            <w:pPr>
              <w:pStyle w:val="Marginlie"/>
              <w:rPr>
                <w:spacing w:val="0"/>
                <w:lang w:eastAsia="en-US"/>
              </w:rPr>
            </w:pPr>
            <w:r w:rsidRPr="00995C95">
              <w:rPr>
                <w:spacing w:val="0"/>
                <w:lang w:eastAsia="en-US"/>
              </w:rPr>
              <w:t xml:space="preserve">The year-on-year decline </w:t>
            </w:r>
            <w:r w:rsidR="007038CD" w:rsidRPr="00995C95">
              <w:rPr>
                <w:spacing w:val="0"/>
                <w:lang w:eastAsia="en-US"/>
              </w:rPr>
              <w:t xml:space="preserve">of </w:t>
            </w:r>
            <w:r w:rsidRPr="00995C95">
              <w:rPr>
                <w:spacing w:val="0"/>
                <w:lang w:eastAsia="en-US"/>
              </w:rPr>
              <w:t>export prices of goods gradually deepened during the year.</w:t>
            </w:r>
            <w:r w:rsidR="00804202" w:rsidRPr="00995C95">
              <w:rPr>
                <w:spacing w:val="0"/>
                <w:lang w:eastAsia="en-US"/>
              </w:rPr>
              <w:t xml:space="preserve"> </w:t>
            </w:r>
          </w:p>
        </w:tc>
        <w:tc>
          <w:tcPr>
            <w:tcW w:w="223" w:type="dxa"/>
          </w:tcPr>
          <w:p w14:paraId="343644F1" w14:textId="77777777" w:rsidR="007F0076" w:rsidRPr="00995C95" w:rsidRDefault="007F0076" w:rsidP="00E87182">
            <w:pPr>
              <w:pStyle w:val="Textpoznpodarou1"/>
              <w:jc w:val="both"/>
              <w:rPr>
                <w:lang w:eastAsia="en-US"/>
              </w:rPr>
            </w:pPr>
          </w:p>
        </w:tc>
        <w:tc>
          <w:tcPr>
            <w:tcW w:w="7625" w:type="dxa"/>
          </w:tcPr>
          <w:p w14:paraId="20FFA3AD" w14:textId="2302E03D" w:rsidR="007F0076" w:rsidRPr="00995C95" w:rsidRDefault="00235CCD" w:rsidP="00235CCD">
            <w:pPr>
              <w:rPr>
                <w:lang w:eastAsia="en-US"/>
              </w:rPr>
            </w:pPr>
            <w:r w:rsidRPr="00995C95">
              <w:rPr>
                <w:lang w:eastAsia="en-US"/>
              </w:rPr>
              <w:t>In the course of 2025, the year-on-year dec</w:t>
            </w:r>
            <w:r w:rsidR="00A178D0" w:rsidRPr="00995C95">
              <w:rPr>
                <w:lang w:eastAsia="en-US"/>
              </w:rPr>
              <w:t>rease of</w:t>
            </w:r>
            <w:r w:rsidRPr="00995C95">
              <w:rPr>
                <w:lang w:eastAsia="en-US"/>
              </w:rPr>
              <w:t xml:space="preserve"> export prices of goods gradually deepened </w:t>
            </w:r>
            <w:r w:rsidR="00A178D0" w:rsidRPr="00995C95">
              <w:rPr>
                <w:lang w:eastAsia="en-US"/>
              </w:rPr>
              <w:t xml:space="preserve">down </w:t>
            </w:r>
            <w:r w:rsidRPr="00995C95">
              <w:rPr>
                <w:lang w:eastAsia="en-US"/>
              </w:rPr>
              <w:t xml:space="preserve">to -4.2% in Q4. </w:t>
            </w:r>
            <w:r w:rsidR="00E47774" w:rsidRPr="00995C95">
              <w:rPr>
                <w:lang w:eastAsia="en-US"/>
              </w:rPr>
              <w:t>P</w:t>
            </w:r>
            <w:r w:rsidRPr="00995C95">
              <w:rPr>
                <w:lang w:eastAsia="en-US"/>
              </w:rPr>
              <w:t>rices of electricity, gas, steam and air-condition</w:t>
            </w:r>
            <w:r w:rsidR="00E47774" w:rsidRPr="00995C95">
              <w:rPr>
                <w:lang w:eastAsia="en-US"/>
              </w:rPr>
              <w:t xml:space="preserve">ing, </w:t>
            </w:r>
            <w:r w:rsidRPr="00995C95">
              <w:rPr>
                <w:lang w:eastAsia="en-US"/>
              </w:rPr>
              <w:t>which gradually reached a year-on-year decline of 16.4%</w:t>
            </w:r>
            <w:r w:rsidR="00F96D69" w:rsidRPr="00995C95">
              <w:rPr>
                <w:lang w:eastAsia="en-US"/>
              </w:rPr>
              <w:t xml:space="preserve"> were t</w:t>
            </w:r>
            <w:r w:rsidR="00E47774" w:rsidRPr="00995C95">
              <w:rPr>
                <w:lang w:eastAsia="en-US"/>
              </w:rPr>
              <w:t xml:space="preserve">he main driver of this development </w:t>
            </w:r>
            <w:r w:rsidR="00F96D69" w:rsidRPr="00995C95">
              <w:rPr>
                <w:lang w:eastAsia="en-US"/>
              </w:rPr>
              <w:t xml:space="preserve">in Q4. </w:t>
            </w:r>
            <w:r w:rsidRPr="00995C95">
              <w:rPr>
                <w:lang w:eastAsia="en-US"/>
              </w:rPr>
              <w:t xml:space="preserve">A deep decline </w:t>
            </w:r>
            <w:r w:rsidR="00AE63ED" w:rsidRPr="00995C95">
              <w:rPr>
                <w:lang w:eastAsia="en-US"/>
              </w:rPr>
              <w:t xml:space="preserve">of </w:t>
            </w:r>
            <w:r w:rsidRPr="00995C95">
              <w:rPr>
                <w:lang w:eastAsia="en-US"/>
              </w:rPr>
              <w:t xml:space="preserve">prices of mining and quarrying (−11.1%) and </w:t>
            </w:r>
            <w:r w:rsidR="00AE63ED" w:rsidRPr="00995C95">
              <w:rPr>
                <w:lang w:eastAsia="en-US"/>
              </w:rPr>
              <w:t xml:space="preserve">water supply and sewerage and waste management </w:t>
            </w:r>
            <w:r w:rsidRPr="00995C95">
              <w:rPr>
                <w:lang w:eastAsia="en-US"/>
              </w:rPr>
              <w:t>activities (−10.0%) also continued. The year-on-year dec</w:t>
            </w:r>
            <w:r w:rsidR="004F1744" w:rsidRPr="00995C95">
              <w:rPr>
                <w:lang w:eastAsia="en-US"/>
              </w:rPr>
              <w:t xml:space="preserve">rease of </w:t>
            </w:r>
            <w:r w:rsidRPr="00995C95">
              <w:rPr>
                <w:lang w:eastAsia="en-US"/>
              </w:rPr>
              <w:t>manufacturing product</w:t>
            </w:r>
            <w:r w:rsidR="004F1744" w:rsidRPr="00995C95">
              <w:rPr>
                <w:lang w:eastAsia="en-US"/>
              </w:rPr>
              <w:t xml:space="preserve"> prices </w:t>
            </w:r>
            <w:r w:rsidRPr="00995C95">
              <w:rPr>
                <w:lang w:eastAsia="en-US"/>
              </w:rPr>
              <w:t>also deepened to 3.9% in Q4. At the end of the year, prices decreased</w:t>
            </w:r>
            <w:r w:rsidR="004F1744" w:rsidRPr="00995C95">
              <w:rPr>
                <w:lang w:eastAsia="en-US"/>
              </w:rPr>
              <w:t>,</w:t>
            </w:r>
            <w:r w:rsidRPr="00995C95">
              <w:rPr>
                <w:lang w:eastAsia="en-US"/>
              </w:rPr>
              <w:t xml:space="preserve"> year-on-year</w:t>
            </w:r>
            <w:r w:rsidR="004F1744" w:rsidRPr="00995C95">
              <w:rPr>
                <w:lang w:eastAsia="en-US"/>
              </w:rPr>
              <w:t>,</w:t>
            </w:r>
            <w:r w:rsidRPr="00995C95">
              <w:rPr>
                <w:lang w:eastAsia="en-US"/>
              </w:rPr>
              <w:t xml:space="preserve"> in most </w:t>
            </w:r>
            <w:r w:rsidR="004F1744" w:rsidRPr="00995C95">
              <w:rPr>
                <w:lang w:eastAsia="en-US"/>
              </w:rPr>
              <w:t>divisions</w:t>
            </w:r>
            <w:r w:rsidRPr="00995C95">
              <w:rPr>
                <w:lang w:eastAsia="en-US"/>
              </w:rPr>
              <w:t xml:space="preserve">, </w:t>
            </w:r>
            <w:r w:rsidR="0024148B" w:rsidRPr="00995C95">
              <w:rPr>
                <w:lang w:eastAsia="en-US"/>
              </w:rPr>
              <w:t>except for</w:t>
            </w:r>
            <w:r w:rsidRPr="00995C95">
              <w:rPr>
                <w:lang w:eastAsia="en-US"/>
              </w:rPr>
              <w:t xml:space="preserve"> prices of wood and wooden products </w:t>
            </w:r>
            <w:r w:rsidR="0024148B" w:rsidRPr="00995C95">
              <w:rPr>
                <w:lang w:eastAsia="en-US"/>
              </w:rPr>
              <w:t xml:space="preserve">apart from furniture </w:t>
            </w:r>
            <w:r w:rsidRPr="00995C95">
              <w:rPr>
                <w:lang w:eastAsia="en-US"/>
              </w:rPr>
              <w:t xml:space="preserve">(5.8%) and beverages (0.4%). The most significant price decreases were recorded for coke and refined petroleum products (−13.5%), chemicals and </w:t>
            </w:r>
            <w:r w:rsidR="00934B5F" w:rsidRPr="00995C95">
              <w:rPr>
                <w:lang w:eastAsia="en-US"/>
              </w:rPr>
              <w:t xml:space="preserve">chemical goods </w:t>
            </w:r>
            <w:r w:rsidRPr="00995C95">
              <w:rPr>
                <w:lang w:eastAsia="en-US"/>
              </w:rPr>
              <w:t>(−9.0%), paper and paper products (−7.4%) and furniture (−6.4%). The only section where prices rose were products of agriculture, forestry and fish</w:t>
            </w:r>
            <w:r w:rsidR="00DE58BE" w:rsidRPr="00995C95">
              <w:rPr>
                <w:lang w:eastAsia="en-US"/>
              </w:rPr>
              <w:t xml:space="preserve">ing </w:t>
            </w:r>
            <w:r w:rsidRPr="00995C95">
              <w:rPr>
                <w:lang w:eastAsia="en-US"/>
              </w:rPr>
              <w:t xml:space="preserve">(2.2%). However, even here, the year-on-year increase weakened during the year. Quarter-on-quarter, export prices fell by 0.7% </w:t>
            </w:r>
            <w:r w:rsidRPr="00995C95">
              <w:rPr>
                <w:lang w:eastAsia="en-US"/>
              </w:rPr>
              <w:lastRenderedPageBreak/>
              <w:t>in Q4, which was a s</w:t>
            </w:r>
            <w:r w:rsidR="003C3BFE" w:rsidRPr="00995C95">
              <w:rPr>
                <w:lang w:eastAsia="en-US"/>
              </w:rPr>
              <w:t xml:space="preserve">maller </w:t>
            </w:r>
            <w:r w:rsidRPr="00995C95">
              <w:rPr>
                <w:lang w:eastAsia="en-US"/>
              </w:rPr>
              <w:t xml:space="preserve">decline </w:t>
            </w:r>
            <w:r w:rsidR="003C3BFE" w:rsidRPr="00995C95">
              <w:rPr>
                <w:lang w:eastAsia="en-US"/>
              </w:rPr>
              <w:t xml:space="preserve">compared to the </w:t>
            </w:r>
            <w:r w:rsidRPr="00995C95">
              <w:rPr>
                <w:lang w:eastAsia="en-US"/>
              </w:rPr>
              <w:t xml:space="preserve">previous two quarters. Export prices in mining and quarrying (−3.5%), manufacturing products (−1.0%) and </w:t>
            </w:r>
            <w:r w:rsidR="00011B41" w:rsidRPr="00995C95">
              <w:rPr>
                <w:lang w:eastAsia="en-US"/>
              </w:rPr>
              <w:t xml:space="preserve">water supply and sewerage and waste management activities </w:t>
            </w:r>
            <w:r w:rsidRPr="00995C95">
              <w:rPr>
                <w:lang w:eastAsia="en-US"/>
              </w:rPr>
              <w:t xml:space="preserve">(−2.8%) were lower. On the </w:t>
            </w:r>
            <w:r w:rsidR="00011B41" w:rsidRPr="00995C95">
              <w:rPr>
                <w:lang w:eastAsia="en-US"/>
              </w:rPr>
              <w:t>contrary</w:t>
            </w:r>
            <w:r w:rsidRPr="00995C95">
              <w:rPr>
                <w:lang w:eastAsia="en-US"/>
              </w:rPr>
              <w:t xml:space="preserve">, there was a significant quarter-on-quarter increase </w:t>
            </w:r>
            <w:r w:rsidR="00011B41" w:rsidRPr="00995C95">
              <w:rPr>
                <w:lang w:eastAsia="en-US"/>
              </w:rPr>
              <w:t xml:space="preserve">of </w:t>
            </w:r>
            <w:r w:rsidRPr="00995C95">
              <w:rPr>
                <w:lang w:eastAsia="en-US"/>
              </w:rPr>
              <w:t>the prices of electricity, gas, steam and air-condition</w:t>
            </w:r>
            <w:r w:rsidR="00E95491" w:rsidRPr="00995C95">
              <w:rPr>
                <w:lang w:eastAsia="en-US"/>
              </w:rPr>
              <w:t xml:space="preserve">ing </w:t>
            </w:r>
            <w:r w:rsidRPr="00995C95">
              <w:rPr>
                <w:lang w:eastAsia="en-US"/>
              </w:rPr>
              <w:t>(7.9%) and prices of agricultural, forestry and fish</w:t>
            </w:r>
            <w:r w:rsidR="005C572E" w:rsidRPr="00995C95">
              <w:rPr>
                <w:lang w:eastAsia="en-US"/>
              </w:rPr>
              <w:t>ing</w:t>
            </w:r>
            <w:r w:rsidRPr="00995C95">
              <w:rPr>
                <w:lang w:eastAsia="en-US"/>
              </w:rPr>
              <w:t xml:space="preserve"> products also increased (2.8%).</w:t>
            </w:r>
            <w:r w:rsidR="003C3BFE" w:rsidRPr="00995C95">
              <w:rPr>
                <w:lang w:eastAsia="en-US"/>
              </w:rPr>
              <w:t xml:space="preserve"> </w:t>
            </w:r>
          </w:p>
        </w:tc>
      </w:tr>
      <w:tr w:rsidR="007F0076" w:rsidRPr="00995C95" w14:paraId="6CC10516" w14:textId="77777777" w:rsidTr="00E87182">
        <w:trPr>
          <w:trHeight w:val="145"/>
        </w:trPr>
        <w:tc>
          <w:tcPr>
            <w:tcW w:w="1791" w:type="dxa"/>
          </w:tcPr>
          <w:p w14:paraId="756257A6" w14:textId="649508FF" w:rsidR="007F0076" w:rsidRPr="00995C95" w:rsidRDefault="00991E07" w:rsidP="00991E07">
            <w:pPr>
              <w:pStyle w:val="Marginlie"/>
              <w:rPr>
                <w:spacing w:val="0"/>
                <w:lang w:eastAsia="en-US"/>
              </w:rPr>
            </w:pPr>
            <w:r w:rsidRPr="00995C95">
              <w:rPr>
                <w:spacing w:val="0"/>
                <w:lang w:eastAsia="en-US"/>
              </w:rPr>
              <w:lastRenderedPageBreak/>
              <w:t>Import prices in mining and quarrying fell sharply.</w:t>
            </w:r>
            <w:r w:rsidR="00E95491" w:rsidRPr="00995C95">
              <w:rPr>
                <w:spacing w:val="0"/>
                <w:lang w:eastAsia="en-US"/>
              </w:rPr>
              <w:t xml:space="preserve"> </w:t>
            </w:r>
          </w:p>
        </w:tc>
        <w:tc>
          <w:tcPr>
            <w:tcW w:w="223" w:type="dxa"/>
          </w:tcPr>
          <w:p w14:paraId="58C96FAB" w14:textId="77777777" w:rsidR="007F0076" w:rsidRPr="00995C95" w:rsidRDefault="007F0076" w:rsidP="00E87182">
            <w:pPr>
              <w:pStyle w:val="Textpoznpodarou1"/>
              <w:jc w:val="both"/>
              <w:rPr>
                <w:lang w:eastAsia="en-US"/>
              </w:rPr>
            </w:pPr>
          </w:p>
        </w:tc>
        <w:tc>
          <w:tcPr>
            <w:tcW w:w="7625" w:type="dxa"/>
            <w:hideMark/>
          </w:tcPr>
          <w:p w14:paraId="42CDD068" w14:textId="6CCAAD51" w:rsidR="007F0076" w:rsidRPr="00995C95" w:rsidRDefault="00996DBD" w:rsidP="00996DBD">
            <w:pPr>
              <w:rPr>
                <w:b/>
                <w:bCs/>
                <w:lang w:eastAsia="en-US"/>
              </w:rPr>
            </w:pPr>
            <w:r w:rsidRPr="00995C95">
              <w:rPr>
                <w:lang w:eastAsia="en-US"/>
              </w:rPr>
              <w:t xml:space="preserve">The dynamics of import prices was similar to that of exports, </w:t>
            </w:r>
            <w:r w:rsidR="00230D06" w:rsidRPr="00995C95">
              <w:rPr>
                <w:lang w:eastAsia="en-US"/>
              </w:rPr>
              <w:t xml:space="preserve">the </w:t>
            </w:r>
            <w:r w:rsidRPr="00995C95">
              <w:rPr>
                <w:lang w:eastAsia="en-US"/>
              </w:rPr>
              <w:t>year-on-year dec</w:t>
            </w:r>
            <w:r w:rsidR="00230D06" w:rsidRPr="00995C95">
              <w:rPr>
                <w:lang w:eastAsia="en-US"/>
              </w:rPr>
              <w:t xml:space="preserve">rease gradually deepened during </w:t>
            </w:r>
            <w:r w:rsidRPr="00995C95">
              <w:rPr>
                <w:lang w:eastAsia="en-US"/>
              </w:rPr>
              <w:t xml:space="preserve">2025 and </w:t>
            </w:r>
            <w:r w:rsidR="00230D06" w:rsidRPr="00995C95">
              <w:rPr>
                <w:lang w:eastAsia="en-US"/>
              </w:rPr>
              <w:t xml:space="preserve">total </w:t>
            </w:r>
            <w:r w:rsidRPr="00995C95">
              <w:rPr>
                <w:lang w:eastAsia="en-US"/>
              </w:rPr>
              <w:t>prices fell by 1.6% last year. Import prices of agricultural, forestry and fish</w:t>
            </w:r>
            <w:r w:rsidR="00230D06" w:rsidRPr="00995C95">
              <w:rPr>
                <w:lang w:eastAsia="en-US"/>
              </w:rPr>
              <w:t xml:space="preserve">ing </w:t>
            </w:r>
            <w:r w:rsidRPr="00995C95">
              <w:rPr>
                <w:lang w:eastAsia="en-US"/>
              </w:rPr>
              <w:t>products were higher by 6.3% and electricity, gas, steam and air-condition</w:t>
            </w:r>
            <w:r w:rsidR="00230D06" w:rsidRPr="00995C95">
              <w:rPr>
                <w:lang w:eastAsia="en-US"/>
              </w:rPr>
              <w:t xml:space="preserve">ing </w:t>
            </w:r>
            <w:r w:rsidRPr="00995C95">
              <w:rPr>
                <w:lang w:eastAsia="en-US"/>
              </w:rPr>
              <w:t xml:space="preserve">by 4.6%, </w:t>
            </w:r>
            <w:r w:rsidR="008B5F6A" w:rsidRPr="00995C95">
              <w:rPr>
                <w:lang w:eastAsia="en-US"/>
              </w:rPr>
              <w:t xml:space="preserve">however </w:t>
            </w:r>
            <w:r w:rsidRPr="00995C95">
              <w:rPr>
                <w:lang w:eastAsia="en-US"/>
              </w:rPr>
              <w:t xml:space="preserve">the resulting </w:t>
            </w:r>
            <w:r w:rsidR="00230D06" w:rsidRPr="00995C95">
              <w:rPr>
                <w:lang w:eastAsia="en-US"/>
              </w:rPr>
              <w:t xml:space="preserve">total </w:t>
            </w:r>
            <w:r w:rsidR="008B5F6A" w:rsidRPr="00995C95">
              <w:rPr>
                <w:lang w:eastAsia="en-US"/>
              </w:rPr>
              <w:t xml:space="preserve">plunge </w:t>
            </w:r>
            <w:r w:rsidR="00230D06" w:rsidRPr="00995C95">
              <w:rPr>
                <w:lang w:eastAsia="en-US"/>
              </w:rPr>
              <w:t xml:space="preserve">of </w:t>
            </w:r>
            <w:r w:rsidRPr="00995C95">
              <w:rPr>
                <w:lang w:eastAsia="en-US"/>
              </w:rPr>
              <w:t xml:space="preserve">prices </w:t>
            </w:r>
            <w:r w:rsidR="008B5F6A" w:rsidRPr="00995C95">
              <w:rPr>
                <w:lang w:eastAsia="en-US"/>
              </w:rPr>
              <w:t>resulted from the f</w:t>
            </w:r>
            <w:r w:rsidRPr="00995C95">
              <w:rPr>
                <w:lang w:eastAsia="en-US"/>
              </w:rPr>
              <w:t xml:space="preserve">all </w:t>
            </w:r>
            <w:r w:rsidR="00230D06" w:rsidRPr="00995C95">
              <w:rPr>
                <w:lang w:eastAsia="en-US"/>
              </w:rPr>
              <w:t xml:space="preserve">of </w:t>
            </w:r>
            <w:r w:rsidRPr="00995C95">
              <w:rPr>
                <w:lang w:eastAsia="en-US"/>
              </w:rPr>
              <w:t xml:space="preserve">import prices of mining and quarrying by 10.7% and of manufacturing products by 1.2%. </w:t>
            </w:r>
            <w:r w:rsidR="008B5F6A" w:rsidRPr="00995C95">
              <w:rPr>
                <w:lang w:eastAsia="en-US"/>
              </w:rPr>
              <w:t>T</w:t>
            </w:r>
            <w:r w:rsidRPr="00995C95">
              <w:rPr>
                <w:lang w:eastAsia="en-US"/>
              </w:rPr>
              <w:t xml:space="preserve">he decline </w:t>
            </w:r>
            <w:r w:rsidR="008B5F6A" w:rsidRPr="00995C95">
              <w:rPr>
                <w:lang w:eastAsia="en-US"/>
              </w:rPr>
              <w:t>of</w:t>
            </w:r>
            <w:r w:rsidRPr="00995C95">
              <w:rPr>
                <w:lang w:eastAsia="en-US"/>
              </w:rPr>
              <w:t xml:space="preserve"> import prices deepened to -5.1%</w:t>
            </w:r>
            <w:r w:rsidR="008B5F6A" w:rsidRPr="00995C95">
              <w:rPr>
                <w:lang w:eastAsia="en-US"/>
              </w:rPr>
              <w:t xml:space="preserve"> in Q4</w:t>
            </w:r>
            <w:r w:rsidRPr="00995C95">
              <w:rPr>
                <w:lang w:eastAsia="en-US"/>
              </w:rPr>
              <w:t>. This was due to an accent</w:t>
            </w:r>
            <w:r w:rsidR="003B224C" w:rsidRPr="00995C95">
              <w:rPr>
                <w:lang w:eastAsia="en-US"/>
              </w:rPr>
              <w:t xml:space="preserve">uated fall of </w:t>
            </w:r>
            <w:r w:rsidRPr="00995C95">
              <w:rPr>
                <w:lang w:eastAsia="en-US"/>
              </w:rPr>
              <w:t>mining and quarrying</w:t>
            </w:r>
            <w:r w:rsidR="003B224C" w:rsidRPr="00995C95">
              <w:rPr>
                <w:lang w:eastAsia="en-US"/>
              </w:rPr>
              <w:t xml:space="preserve"> </w:t>
            </w:r>
            <w:r w:rsidR="005C572E" w:rsidRPr="00995C95">
              <w:rPr>
                <w:lang w:eastAsia="en-US"/>
              </w:rPr>
              <w:t>prices to</w:t>
            </w:r>
            <w:r w:rsidRPr="00995C95">
              <w:rPr>
                <w:lang w:eastAsia="en-US"/>
              </w:rPr>
              <w:t xml:space="preserve"> −23.0%, </w:t>
            </w:r>
            <w:r w:rsidR="003B224C" w:rsidRPr="00995C95">
              <w:rPr>
                <w:lang w:eastAsia="en-US"/>
              </w:rPr>
              <w:t xml:space="preserve">nevertheless </w:t>
            </w:r>
            <w:r w:rsidRPr="00995C95">
              <w:rPr>
                <w:lang w:eastAsia="en-US"/>
              </w:rPr>
              <w:t xml:space="preserve">a more noticeable decline was also recorded </w:t>
            </w:r>
            <w:r w:rsidR="003B224C" w:rsidRPr="00995C95">
              <w:rPr>
                <w:lang w:eastAsia="en-US"/>
              </w:rPr>
              <w:t xml:space="preserve">regarding </w:t>
            </w:r>
            <w:r w:rsidRPr="00995C95">
              <w:rPr>
                <w:lang w:eastAsia="en-US"/>
              </w:rPr>
              <w:t>the prices of imports of electricity, gas, steam and air-condition</w:t>
            </w:r>
            <w:r w:rsidR="003B224C" w:rsidRPr="00995C95">
              <w:rPr>
                <w:lang w:eastAsia="en-US"/>
              </w:rPr>
              <w:t xml:space="preserve">ing </w:t>
            </w:r>
            <w:r w:rsidRPr="00995C95">
              <w:rPr>
                <w:lang w:eastAsia="en-US"/>
              </w:rPr>
              <w:t>(−8.6%) and prices of manufacturing products (−3.9%). Prices of products of agriculture, forestry and fish</w:t>
            </w:r>
            <w:r w:rsidR="00EB5180" w:rsidRPr="00995C95">
              <w:rPr>
                <w:lang w:eastAsia="en-US"/>
              </w:rPr>
              <w:t xml:space="preserve">ing </w:t>
            </w:r>
            <w:r w:rsidRPr="00995C95">
              <w:rPr>
                <w:lang w:eastAsia="en-US"/>
              </w:rPr>
              <w:t>stagnated</w:t>
            </w:r>
            <w:r w:rsidR="00EB5180" w:rsidRPr="00995C95">
              <w:rPr>
                <w:lang w:eastAsia="en-US"/>
              </w:rPr>
              <w:t>,</w:t>
            </w:r>
            <w:r w:rsidRPr="00995C95">
              <w:rPr>
                <w:lang w:eastAsia="en-US"/>
              </w:rPr>
              <w:t xml:space="preserve"> year-on-year. Import prices fell by 1.1%</w:t>
            </w:r>
            <w:r w:rsidR="001B7DE2" w:rsidRPr="00995C95">
              <w:rPr>
                <w:lang w:eastAsia="en-US"/>
              </w:rPr>
              <w:t>,</w:t>
            </w:r>
            <w:r w:rsidRPr="00995C95">
              <w:rPr>
                <w:lang w:eastAsia="en-US"/>
              </w:rPr>
              <w:t xml:space="preserve"> quarter-on-quarter</w:t>
            </w:r>
            <w:r w:rsidR="001B7DE2" w:rsidRPr="00995C95">
              <w:rPr>
                <w:lang w:eastAsia="en-US"/>
              </w:rPr>
              <w:t>,</w:t>
            </w:r>
            <w:r w:rsidRPr="00995C95">
              <w:rPr>
                <w:lang w:eastAsia="en-US"/>
              </w:rPr>
              <w:t xml:space="preserve"> in Q4. Import prices were lower by 6.4%</w:t>
            </w:r>
            <w:r w:rsidR="001B7DE2" w:rsidRPr="00995C95">
              <w:rPr>
                <w:lang w:eastAsia="en-US"/>
              </w:rPr>
              <w:t xml:space="preserve"> in mining and quarrying</w:t>
            </w:r>
            <w:r w:rsidRPr="00995C95">
              <w:rPr>
                <w:lang w:eastAsia="en-US"/>
              </w:rPr>
              <w:t>, quarter-on-quarter, and by 0.9%, y</w:t>
            </w:r>
            <w:r w:rsidR="001B7DE2" w:rsidRPr="00995C95">
              <w:rPr>
                <w:lang w:eastAsia="en-US"/>
              </w:rPr>
              <w:t>ear</w:t>
            </w:r>
            <w:r w:rsidRPr="00995C95">
              <w:rPr>
                <w:lang w:eastAsia="en-US"/>
              </w:rPr>
              <w:t>-o</w:t>
            </w:r>
            <w:r w:rsidR="001B7DE2" w:rsidRPr="00995C95">
              <w:rPr>
                <w:lang w:eastAsia="en-US"/>
              </w:rPr>
              <w:t>n</w:t>
            </w:r>
            <w:r w:rsidRPr="00995C95">
              <w:rPr>
                <w:lang w:eastAsia="en-US"/>
              </w:rPr>
              <w:t>-y</w:t>
            </w:r>
            <w:r w:rsidR="001B7DE2" w:rsidRPr="00995C95">
              <w:rPr>
                <w:lang w:eastAsia="en-US"/>
              </w:rPr>
              <w:t>ear</w:t>
            </w:r>
            <w:r w:rsidRPr="00995C95">
              <w:rPr>
                <w:lang w:eastAsia="en-US"/>
              </w:rPr>
              <w:t xml:space="preserve">. On the </w:t>
            </w:r>
            <w:r w:rsidR="001B7DE2" w:rsidRPr="00995C95">
              <w:rPr>
                <w:lang w:eastAsia="en-US"/>
              </w:rPr>
              <w:t>contrary</w:t>
            </w:r>
            <w:r w:rsidRPr="00995C95">
              <w:rPr>
                <w:lang w:eastAsia="en-US"/>
              </w:rPr>
              <w:t>, the prices of imported electricity, gas, steam and air-condition</w:t>
            </w:r>
            <w:r w:rsidR="001B7DE2" w:rsidRPr="00995C95">
              <w:rPr>
                <w:lang w:eastAsia="en-US"/>
              </w:rPr>
              <w:t xml:space="preserve">ing </w:t>
            </w:r>
            <w:r w:rsidRPr="00995C95">
              <w:rPr>
                <w:lang w:eastAsia="en-US"/>
              </w:rPr>
              <w:t>increased by 11.0% and products of agriculture, forestry and fish</w:t>
            </w:r>
            <w:r w:rsidR="0026031E" w:rsidRPr="00995C95">
              <w:rPr>
                <w:lang w:eastAsia="en-US"/>
              </w:rPr>
              <w:t xml:space="preserve">ing </w:t>
            </w:r>
            <w:r w:rsidRPr="00995C95">
              <w:rPr>
                <w:lang w:eastAsia="en-US"/>
              </w:rPr>
              <w:t>by 2.1%.</w:t>
            </w:r>
            <w:r w:rsidR="00EB5180" w:rsidRPr="00995C95">
              <w:rPr>
                <w:lang w:eastAsia="en-US"/>
              </w:rPr>
              <w:t xml:space="preserve"> </w:t>
            </w:r>
          </w:p>
        </w:tc>
      </w:tr>
      <w:tr w:rsidR="007F0076" w:rsidRPr="00995C95" w14:paraId="0E41CC7D" w14:textId="77777777" w:rsidTr="00E87182">
        <w:trPr>
          <w:trHeight w:val="145"/>
        </w:trPr>
        <w:tc>
          <w:tcPr>
            <w:tcW w:w="1791" w:type="dxa"/>
          </w:tcPr>
          <w:p w14:paraId="43ED1EFE" w14:textId="246F0762" w:rsidR="007F0076" w:rsidRPr="00995C95" w:rsidRDefault="000D3FEF" w:rsidP="00E87182">
            <w:pPr>
              <w:pStyle w:val="Marginlie"/>
              <w:rPr>
                <w:spacing w:val="0"/>
                <w:lang w:eastAsia="en-US"/>
              </w:rPr>
            </w:pPr>
            <w:r w:rsidRPr="00995C95">
              <w:rPr>
                <w:spacing w:val="0"/>
                <w:lang w:eastAsia="en-US"/>
              </w:rPr>
              <w:t xml:space="preserve">Terms of trade were positive in </w:t>
            </w:r>
            <w:r w:rsidR="007F0076" w:rsidRPr="00995C95">
              <w:rPr>
                <w:spacing w:val="0"/>
                <w:lang w:eastAsia="en-US"/>
              </w:rPr>
              <w:t>2025.</w:t>
            </w:r>
          </w:p>
        </w:tc>
        <w:tc>
          <w:tcPr>
            <w:tcW w:w="223" w:type="dxa"/>
          </w:tcPr>
          <w:p w14:paraId="7ACAD5CE" w14:textId="77777777" w:rsidR="007F0076" w:rsidRPr="00995C95" w:rsidRDefault="007F0076" w:rsidP="00E87182">
            <w:pPr>
              <w:pStyle w:val="Textpoznpodarou1"/>
              <w:jc w:val="both"/>
              <w:rPr>
                <w:lang w:eastAsia="en-US"/>
              </w:rPr>
            </w:pPr>
          </w:p>
        </w:tc>
        <w:tc>
          <w:tcPr>
            <w:tcW w:w="7625" w:type="dxa"/>
          </w:tcPr>
          <w:p w14:paraId="52793061" w14:textId="1E6BCC3A" w:rsidR="007F0076" w:rsidRPr="00995C95" w:rsidRDefault="0069608D" w:rsidP="0069608D">
            <w:pPr>
              <w:rPr>
                <w:lang w:eastAsia="en-US"/>
              </w:rPr>
            </w:pPr>
            <w:r w:rsidRPr="00995C95">
              <w:rPr>
                <w:lang w:eastAsia="en-US"/>
              </w:rPr>
              <w:t xml:space="preserve">The terms </w:t>
            </w:r>
            <w:r w:rsidR="00D17BB8" w:rsidRPr="00995C95">
              <w:rPr>
                <w:lang w:eastAsia="en-US"/>
              </w:rPr>
              <w:t xml:space="preserve">of </w:t>
            </w:r>
            <w:r w:rsidR="00230D06" w:rsidRPr="00995C95">
              <w:rPr>
                <w:lang w:eastAsia="en-US"/>
              </w:rPr>
              <w:t xml:space="preserve">trade </w:t>
            </w:r>
            <w:r w:rsidRPr="00995C95">
              <w:rPr>
                <w:lang w:eastAsia="en-US"/>
              </w:rPr>
              <w:t xml:space="preserve">of </w:t>
            </w:r>
            <w:r w:rsidR="00230D06" w:rsidRPr="00995C95">
              <w:rPr>
                <w:lang w:eastAsia="en-US"/>
              </w:rPr>
              <w:t xml:space="preserve">international </w:t>
            </w:r>
            <w:r w:rsidRPr="00995C95">
              <w:rPr>
                <w:lang w:eastAsia="en-US"/>
              </w:rPr>
              <w:t xml:space="preserve">trade </w:t>
            </w:r>
            <w:r w:rsidR="00230D06" w:rsidRPr="00995C95">
              <w:rPr>
                <w:lang w:eastAsia="en-US"/>
              </w:rPr>
              <w:t xml:space="preserve">with </w:t>
            </w:r>
            <w:r w:rsidRPr="00995C95">
              <w:rPr>
                <w:lang w:eastAsia="en-US"/>
              </w:rPr>
              <w:t xml:space="preserve">goods were positive in all quarters of 2025 and reached </w:t>
            </w:r>
            <w:r w:rsidR="00230D06" w:rsidRPr="00995C95">
              <w:rPr>
                <w:lang w:eastAsia="en-US"/>
              </w:rPr>
              <w:t xml:space="preserve">a total of </w:t>
            </w:r>
            <w:r w:rsidRPr="00995C95">
              <w:rPr>
                <w:lang w:eastAsia="en-US"/>
              </w:rPr>
              <w:t xml:space="preserve">100.5%. In Q4 alone, year-on-year </w:t>
            </w:r>
            <w:r w:rsidR="00B2322A" w:rsidRPr="00995C95">
              <w:rPr>
                <w:lang w:eastAsia="en-US"/>
              </w:rPr>
              <w:t xml:space="preserve">terms of trade </w:t>
            </w:r>
            <w:r w:rsidRPr="00995C95">
              <w:rPr>
                <w:lang w:eastAsia="en-US"/>
              </w:rPr>
              <w:t xml:space="preserve">amounted to 100.9%. </w:t>
            </w:r>
            <w:r w:rsidR="00151BE2" w:rsidRPr="00995C95">
              <w:rPr>
                <w:lang w:eastAsia="en-US"/>
              </w:rPr>
              <w:t xml:space="preserve">The terms of trade were considerably </w:t>
            </w:r>
            <w:r w:rsidRPr="00995C95">
              <w:rPr>
                <w:lang w:eastAsia="en-US"/>
              </w:rPr>
              <w:t>positive in mining and quarrying products (115.4%) and products of agriculture, forestry and fish</w:t>
            </w:r>
            <w:r w:rsidR="006C1901" w:rsidRPr="00995C95">
              <w:rPr>
                <w:lang w:eastAsia="en-US"/>
              </w:rPr>
              <w:t xml:space="preserve">ing </w:t>
            </w:r>
            <w:r w:rsidRPr="00995C95">
              <w:rPr>
                <w:lang w:eastAsia="en-US"/>
              </w:rPr>
              <w:t xml:space="preserve">(102.2%). The terms of trade </w:t>
            </w:r>
            <w:r w:rsidR="00DF2C89" w:rsidRPr="00995C95">
              <w:rPr>
                <w:lang w:eastAsia="en-US"/>
              </w:rPr>
              <w:t xml:space="preserve">with manufacturing </w:t>
            </w:r>
            <w:r w:rsidRPr="00995C95">
              <w:rPr>
                <w:lang w:eastAsia="en-US"/>
              </w:rPr>
              <w:t xml:space="preserve">products reached 100.0%. On the </w:t>
            </w:r>
            <w:r w:rsidR="00DF2C89" w:rsidRPr="00995C95">
              <w:rPr>
                <w:lang w:eastAsia="en-US"/>
              </w:rPr>
              <w:t>contrary</w:t>
            </w:r>
            <w:r w:rsidRPr="00995C95">
              <w:rPr>
                <w:lang w:eastAsia="en-US"/>
              </w:rPr>
              <w:t>, the terms of trade in electricity, gas, steam and air-condition</w:t>
            </w:r>
            <w:r w:rsidR="005E57C0" w:rsidRPr="00995C95">
              <w:rPr>
                <w:lang w:eastAsia="en-US"/>
              </w:rPr>
              <w:t xml:space="preserve">ing </w:t>
            </w:r>
            <w:r w:rsidRPr="00995C95">
              <w:rPr>
                <w:lang w:eastAsia="en-US"/>
              </w:rPr>
              <w:t>(91.4%) moved into negative territory in</w:t>
            </w:r>
            <w:r w:rsidR="005E57C0" w:rsidRPr="00995C95">
              <w:rPr>
                <w:lang w:eastAsia="en-US"/>
              </w:rPr>
              <w:t xml:space="preserve"> Q4</w:t>
            </w:r>
            <w:r w:rsidRPr="00995C95">
              <w:rPr>
                <w:lang w:eastAsia="en-US"/>
              </w:rPr>
              <w:t xml:space="preserve">. Quarter-on-quarter terms of </w:t>
            </w:r>
            <w:r w:rsidR="00A220CB" w:rsidRPr="00995C95">
              <w:rPr>
                <w:lang w:eastAsia="en-US"/>
              </w:rPr>
              <w:t xml:space="preserve">international </w:t>
            </w:r>
            <w:r w:rsidRPr="00995C95">
              <w:rPr>
                <w:lang w:eastAsia="en-US"/>
              </w:rPr>
              <w:t xml:space="preserve">trade </w:t>
            </w:r>
            <w:r w:rsidR="00A220CB" w:rsidRPr="00995C95">
              <w:rPr>
                <w:lang w:eastAsia="en-US"/>
              </w:rPr>
              <w:t xml:space="preserve">with </w:t>
            </w:r>
            <w:r w:rsidRPr="00995C95">
              <w:rPr>
                <w:lang w:eastAsia="en-US"/>
              </w:rPr>
              <w:t xml:space="preserve">goods reached 100.4% in </w:t>
            </w:r>
            <w:r w:rsidR="00A220CB" w:rsidRPr="00995C95">
              <w:rPr>
                <w:lang w:eastAsia="en-US"/>
              </w:rPr>
              <w:t>Q</w:t>
            </w:r>
            <w:r w:rsidRPr="00995C95">
              <w:rPr>
                <w:lang w:eastAsia="en-US"/>
              </w:rPr>
              <w:t xml:space="preserve">4. </w:t>
            </w:r>
            <w:r w:rsidR="00B21017" w:rsidRPr="00995C95">
              <w:rPr>
                <w:lang w:eastAsia="en-US"/>
              </w:rPr>
              <w:t xml:space="preserve">Terms </w:t>
            </w:r>
            <w:r w:rsidRPr="00995C95">
              <w:rPr>
                <w:lang w:eastAsia="en-US"/>
              </w:rPr>
              <w:t xml:space="preserve">of trade were </w:t>
            </w:r>
            <w:r w:rsidR="00B21017" w:rsidRPr="00995C95">
              <w:rPr>
                <w:lang w:eastAsia="en-US"/>
              </w:rPr>
              <w:t xml:space="preserve">positive </w:t>
            </w:r>
            <w:r w:rsidRPr="00995C95">
              <w:rPr>
                <w:lang w:eastAsia="en-US"/>
              </w:rPr>
              <w:t>in mining and quarrying (103.0%) and products of agriculture, forestry and fish</w:t>
            </w:r>
            <w:r w:rsidR="00B21017" w:rsidRPr="00995C95">
              <w:rPr>
                <w:lang w:eastAsia="en-US"/>
              </w:rPr>
              <w:t xml:space="preserve">ing </w:t>
            </w:r>
            <w:r w:rsidRPr="00995C95">
              <w:rPr>
                <w:lang w:eastAsia="en-US"/>
              </w:rPr>
              <w:t xml:space="preserve">(100.6%). </w:t>
            </w:r>
            <w:r w:rsidR="00B21017" w:rsidRPr="00995C95">
              <w:rPr>
                <w:lang w:eastAsia="en-US"/>
              </w:rPr>
              <w:t>In contrast</w:t>
            </w:r>
            <w:r w:rsidRPr="00995C95">
              <w:rPr>
                <w:lang w:eastAsia="en-US"/>
              </w:rPr>
              <w:t xml:space="preserve">, quarter-on-quarter terms of trade </w:t>
            </w:r>
            <w:r w:rsidR="00B21017" w:rsidRPr="00995C95">
              <w:rPr>
                <w:lang w:eastAsia="en-US"/>
              </w:rPr>
              <w:t xml:space="preserve">with </w:t>
            </w:r>
            <w:r w:rsidRPr="00995C95">
              <w:rPr>
                <w:lang w:eastAsia="en-US"/>
              </w:rPr>
              <w:t>electricity, gas, steam and air-condition</w:t>
            </w:r>
            <w:r w:rsidR="00B21017" w:rsidRPr="00995C95">
              <w:rPr>
                <w:lang w:eastAsia="en-US"/>
              </w:rPr>
              <w:t xml:space="preserve">ing </w:t>
            </w:r>
            <w:r w:rsidRPr="00995C95">
              <w:rPr>
                <w:lang w:eastAsia="en-US"/>
              </w:rPr>
              <w:t>(97.1%) and manufacturing products (99.9%) were negative.</w:t>
            </w:r>
            <w:r w:rsidR="00230D06" w:rsidRPr="00995C95">
              <w:rPr>
                <w:lang w:eastAsia="en-US"/>
              </w:rPr>
              <w:t xml:space="preserve"> </w:t>
            </w:r>
          </w:p>
        </w:tc>
      </w:tr>
    </w:tbl>
    <w:p w14:paraId="0D4E8352" w14:textId="77777777" w:rsidR="007F0076" w:rsidRPr="00995C95" w:rsidRDefault="007F0076" w:rsidP="007F0076">
      <w:pPr>
        <w:spacing w:after="0"/>
      </w:pPr>
    </w:p>
    <w:p w14:paraId="1810A534" w14:textId="77777777" w:rsidR="007F0076" w:rsidRPr="00995C95" w:rsidRDefault="007F0076" w:rsidP="007F0076">
      <w:pPr>
        <w:spacing w:after="0"/>
        <w:rPr>
          <w:highlight w:val="yellow"/>
        </w:rPr>
      </w:pPr>
    </w:p>
    <w:p w14:paraId="369FDD3D" w14:textId="204755C7" w:rsidR="006A2056" w:rsidRPr="00995C95" w:rsidRDefault="006A2056">
      <w:pPr>
        <w:spacing w:after="0" w:line="240" w:lineRule="auto"/>
        <w:jc w:val="left"/>
        <w:rPr>
          <w:rFonts w:eastAsia="MS Gothic"/>
          <w:b/>
          <w:bCs/>
          <w:color w:val="86BF5E"/>
          <w:sz w:val="32"/>
          <w:szCs w:val="28"/>
          <w:highlight w:val="yellow"/>
        </w:rPr>
      </w:pPr>
    </w:p>
    <w:p w14:paraId="2143296F" w14:textId="24A80B91" w:rsidR="00A50D73" w:rsidRPr="00FC6700" w:rsidRDefault="00A50D73" w:rsidP="0003024B">
      <w:pPr>
        <w:pStyle w:val="Nadpis1"/>
        <w:rPr>
          <w:sz w:val="2"/>
          <w:szCs w:val="2"/>
        </w:rPr>
      </w:pPr>
    </w:p>
    <w:sectPr w:rsidR="00A50D73" w:rsidRPr="00FC6700" w:rsidSect="003E2004">
      <w:headerReference w:type="even" r:id="rId14"/>
      <w:headerReference w:type="default" r:id="rId15"/>
      <w:footerReference w:type="even" r:id="rId16"/>
      <w:footerReference w:type="default" r:id="rId17"/>
      <w:pgSz w:w="11906" w:h="16838" w:code="9"/>
      <w:pgMar w:top="1134" w:right="1134" w:bottom="1418" w:left="1134" w:header="680" w:footer="680"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73503" w14:textId="77777777" w:rsidR="003F6B72" w:rsidRPr="00995C95" w:rsidRDefault="003F6B72" w:rsidP="00E71A58">
      <w:r w:rsidRPr="00995C95">
        <w:separator/>
      </w:r>
    </w:p>
  </w:endnote>
  <w:endnote w:type="continuationSeparator" w:id="0">
    <w:p w14:paraId="51891279" w14:textId="77777777" w:rsidR="003F6B72" w:rsidRPr="00995C95" w:rsidRDefault="003F6B72" w:rsidP="00E71A58">
      <w:r w:rsidRPr="00995C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62E7" w14:textId="0715AFCD" w:rsidR="004C456F" w:rsidRPr="00995C95" w:rsidRDefault="004C456F" w:rsidP="00A418BC">
    <w:pPr>
      <w:pStyle w:val="Zpat"/>
      <w:rPr>
        <w:noProof w:val="0"/>
        <w:szCs w:val="16"/>
        <w:lang w:val="en-GB"/>
      </w:rPr>
    </w:pPr>
    <w:r w:rsidRPr="00995C95">
      <w:rPr>
        <w:szCs w:val="16"/>
        <w:lang w:val="en-GB"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C95">
      <w:rPr>
        <w:noProof w:val="0"/>
        <w:szCs w:val="16"/>
        <w:lang w:val="en-GB"/>
      </w:rPr>
      <w:fldChar w:fldCharType="begin"/>
    </w:r>
    <w:r w:rsidRPr="00995C95">
      <w:rPr>
        <w:noProof w:val="0"/>
        <w:szCs w:val="16"/>
        <w:lang w:val="en-GB"/>
      </w:rPr>
      <w:instrText>PAGE   \* MERGEFORMAT</w:instrText>
    </w:r>
    <w:r w:rsidRPr="00995C95">
      <w:rPr>
        <w:noProof w:val="0"/>
        <w:szCs w:val="16"/>
        <w:lang w:val="en-GB"/>
      </w:rPr>
      <w:fldChar w:fldCharType="separate"/>
    </w:r>
    <w:r w:rsidR="00233D05" w:rsidRPr="00995C95">
      <w:rPr>
        <w:noProof w:val="0"/>
        <w:szCs w:val="16"/>
        <w:lang w:val="en-GB"/>
      </w:rPr>
      <w:t>50</w:t>
    </w:r>
    <w:r w:rsidRPr="00995C95">
      <w:rPr>
        <w:noProof w:val="0"/>
        <w:szCs w:val="16"/>
        <w:lang w:val="en-GB"/>
      </w:rPr>
      <w:fldChar w:fldCharType="end"/>
    </w:r>
    <w:r w:rsidRPr="00995C95">
      <w:rPr>
        <w:noProof w:val="0"/>
        <w:szCs w:val="16"/>
        <w:lang w:val="en-GB"/>
      </w:rPr>
      <w:tab/>
    </w:r>
    <w:r w:rsidR="005A327C" w:rsidRPr="00995C95">
      <w:rPr>
        <w:noProof w:val="0"/>
        <w:szCs w:val="16"/>
        <w:lang w:val="en-GB"/>
      </w:rPr>
      <w:t xml:space="preserve">year </w:t>
    </w:r>
    <w:r w:rsidR="00C5418A" w:rsidRPr="00995C95">
      <w:rPr>
        <w:noProof w:val="0"/>
        <w:szCs w:val="16"/>
        <w:lang w:val="en-GB"/>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360E7FB6" w:rsidR="004C456F" w:rsidRPr="00995C95" w:rsidRDefault="004C456F" w:rsidP="00A418BC">
    <w:pPr>
      <w:pStyle w:val="Zpat"/>
      <w:rPr>
        <w:noProof w:val="0"/>
        <w:szCs w:val="16"/>
        <w:lang w:val="en-GB"/>
      </w:rPr>
    </w:pPr>
    <w:r w:rsidRPr="00995C95">
      <w:rPr>
        <w:szCs w:val="16"/>
        <w:lang w:val="en-GB" w:eastAsia="cs-CZ"/>
      </w:rPr>
      <w:drawing>
        <wp:anchor distT="0" distB="0" distL="114300" distR="114300" simplePos="0" relativeHeight="251658240" behindDoc="0" locked="0" layoutInCell="1" allowOverlap="1" wp14:anchorId="2143298C" wp14:editId="2143298D">
          <wp:simplePos x="0" y="0"/>
          <wp:positionH relativeFrom="column">
            <wp:align>left</wp:align>
          </wp:positionH>
          <wp:positionV relativeFrom="paragraph">
            <wp:posOffset>-122555</wp:posOffset>
          </wp:positionV>
          <wp:extent cx="510540" cy="272415"/>
          <wp:effectExtent l="0" t="0" r="0" b="6985"/>
          <wp:wrapNone/>
          <wp:docPr id="22"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C95">
      <w:rPr>
        <w:noProof w:val="0"/>
        <w:szCs w:val="16"/>
        <w:lang w:val="en-GB"/>
      </w:rPr>
      <w:tab/>
    </w:r>
    <w:r w:rsidR="005370C0" w:rsidRPr="00995C95">
      <w:rPr>
        <w:noProof w:val="0"/>
        <w:szCs w:val="16"/>
        <w:lang w:val="en-GB"/>
      </w:rPr>
      <w:t xml:space="preserve">Year </w:t>
    </w:r>
    <w:r w:rsidRPr="00995C95">
      <w:rPr>
        <w:noProof w:val="0"/>
        <w:szCs w:val="16"/>
        <w:lang w:val="en-GB"/>
      </w:rPr>
      <w:t>2025</w:t>
    </w:r>
    <w:r w:rsidRPr="00995C95">
      <w:rPr>
        <w:noProof w:val="0"/>
        <w:szCs w:val="16"/>
        <w:lang w:val="en-GB"/>
      </w:rPr>
      <w:tab/>
    </w:r>
    <w:r w:rsidRPr="00995C95">
      <w:rPr>
        <w:rStyle w:val="ZpatChar"/>
        <w:noProof w:val="0"/>
        <w:szCs w:val="16"/>
        <w:lang w:val="en-GB"/>
      </w:rPr>
      <w:fldChar w:fldCharType="begin"/>
    </w:r>
    <w:r w:rsidRPr="00995C95">
      <w:rPr>
        <w:rStyle w:val="ZpatChar"/>
        <w:noProof w:val="0"/>
        <w:szCs w:val="16"/>
        <w:lang w:val="en-GB"/>
      </w:rPr>
      <w:instrText>PAGE   \* MERGEFORMAT</w:instrText>
    </w:r>
    <w:r w:rsidRPr="00995C95">
      <w:rPr>
        <w:rStyle w:val="ZpatChar"/>
        <w:noProof w:val="0"/>
        <w:szCs w:val="16"/>
        <w:lang w:val="en-GB"/>
      </w:rPr>
      <w:fldChar w:fldCharType="separate"/>
    </w:r>
    <w:r w:rsidR="00233D05" w:rsidRPr="00995C95">
      <w:rPr>
        <w:rStyle w:val="ZpatChar"/>
        <w:noProof w:val="0"/>
        <w:szCs w:val="16"/>
        <w:lang w:val="en-GB"/>
      </w:rPr>
      <w:t>49</w:t>
    </w:r>
    <w:r w:rsidRPr="00995C95">
      <w:rPr>
        <w:rStyle w:val="ZpatChar"/>
        <w:noProof w:val="0"/>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2D4A6" w14:textId="77777777" w:rsidR="003F6B72" w:rsidRPr="00995C95" w:rsidRDefault="003F6B72" w:rsidP="00EA4302">
      <w:pPr>
        <w:spacing w:after="0"/>
      </w:pPr>
      <w:r w:rsidRPr="00995C95">
        <w:separator/>
      </w:r>
    </w:p>
  </w:footnote>
  <w:footnote w:type="continuationSeparator" w:id="0">
    <w:p w14:paraId="526E7AE9" w14:textId="77777777" w:rsidR="003F6B72" w:rsidRPr="00995C95" w:rsidRDefault="003F6B72" w:rsidP="00E71A58">
      <w:r w:rsidRPr="00995C95">
        <w:continuationSeparator/>
      </w:r>
    </w:p>
  </w:footnote>
  <w:footnote w:id="1">
    <w:p w14:paraId="4839C0B8" w14:textId="77777777" w:rsidR="00292B59" w:rsidRPr="00995C95" w:rsidRDefault="00292B59" w:rsidP="00292B59">
      <w:pPr>
        <w:pStyle w:val="Textpoznpodarou"/>
        <w:rPr>
          <w:sz w:val="16"/>
          <w:szCs w:val="16"/>
        </w:rPr>
      </w:pPr>
      <w:r w:rsidRPr="00995C95">
        <w:rPr>
          <w:rStyle w:val="Znakapoznpodarou"/>
          <w:sz w:val="16"/>
          <w:szCs w:val="16"/>
        </w:rPr>
        <w:footnoteRef/>
      </w:r>
      <w:r w:rsidRPr="00995C95">
        <w:rPr>
          <w:sz w:val="16"/>
          <w:szCs w:val="16"/>
        </w:rPr>
        <w:t xml:space="preserve"> Imputed rent expresses the cost of owner living. Apart from prices of housing themselves, it also contains the cost of construction and renovation and further fees. For more see: </w:t>
      </w:r>
      <w:hyperlink r:id="rId1" w:history="1">
        <w:r w:rsidRPr="00995C95">
          <w:rPr>
            <w:rStyle w:val="Hypertextovodkaz"/>
            <w:sz w:val="16"/>
            <w:szCs w:val="16"/>
          </w:rPr>
          <w:t>https://csu.gov.cz/metodicka-poznamka-k-indexu-spotrebitelskych-cen-imputovane-najemne</w:t>
        </w:r>
      </w:hyperlink>
      <w:r w:rsidRPr="00995C95">
        <w:rPr>
          <w:rStyle w:val="Hypertextovodkaz"/>
          <w:sz w:val="16"/>
          <w:szCs w:val="16"/>
        </w:rPr>
        <w:t>.</w:t>
      </w:r>
    </w:p>
  </w:footnote>
  <w:footnote w:id="2">
    <w:p w14:paraId="096789D1" w14:textId="77777777" w:rsidR="00EC6FA8" w:rsidRPr="00995C95" w:rsidRDefault="00EC6FA8" w:rsidP="00EC6FA8">
      <w:pPr>
        <w:pStyle w:val="Textpoznpodarou"/>
        <w:rPr>
          <w:sz w:val="16"/>
          <w:szCs w:val="16"/>
        </w:rPr>
      </w:pPr>
      <w:r w:rsidRPr="00995C95">
        <w:rPr>
          <w:rStyle w:val="Znakapoznpodarou"/>
          <w:sz w:val="16"/>
          <w:szCs w:val="16"/>
        </w:rPr>
        <w:footnoteRef/>
      </w:r>
      <w:r w:rsidRPr="00995C95">
        <w:rPr>
          <w:sz w:val="16"/>
          <w:szCs w:val="16"/>
        </w:rPr>
        <w:t xml:space="preserve"> Contains services of personal care and personal needs and accessories, social care, insurance and further financial services etc.</w:t>
      </w:r>
    </w:p>
  </w:footnote>
  <w:footnote w:id="3">
    <w:p w14:paraId="07A6AA06" w14:textId="521F9A65" w:rsidR="008E72A6" w:rsidRPr="00995C95" w:rsidRDefault="008E72A6" w:rsidP="008E72A6">
      <w:pPr>
        <w:pStyle w:val="Textpoznpodarou"/>
        <w:rPr>
          <w:sz w:val="16"/>
          <w:szCs w:val="16"/>
        </w:rPr>
      </w:pPr>
      <w:r w:rsidRPr="00995C95">
        <w:rPr>
          <w:rStyle w:val="Znakapoznpodarou"/>
          <w:sz w:val="16"/>
          <w:szCs w:val="16"/>
        </w:rPr>
        <w:footnoteRef/>
      </w:r>
      <w:r w:rsidRPr="00995C95">
        <w:rPr>
          <w:sz w:val="16"/>
          <w:szCs w:val="16"/>
        </w:rPr>
        <w:t xml:space="preserve"> Contrary to the consumer price index, which the CZSO compiles for the Czech economy, HICP does not contain imputed rent, which is the main reason for the difference between the HICP and Consumer price index. </w:t>
      </w:r>
    </w:p>
  </w:footnote>
  <w:footnote w:id="4">
    <w:p w14:paraId="201A7B17" w14:textId="77777777" w:rsidR="004D40CC" w:rsidRPr="00995C95" w:rsidRDefault="004D40CC" w:rsidP="004D40CC">
      <w:pPr>
        <w:pStyle w:val="Textpoznpodarou"/>
        <w:rPr>
          <w:sz w:val="16"/>
          <w:szCs w:val="16"/>
        </w:rPr>
      </w:pPr>
      <w:r w:rsidRPr="00995C95">
        <w:rPr>
          <w:rStyle w:val="Znakapoznpodarou"/>
          <w:sz w:val="16"/>
          <w:szCs w:val="16"/>
        </w:rPr>
        <w:footnoteRef/>
      </w:r>
      <w:r w:rsidRPr="00995C95">
        <w:rPr>
          <w:sz w:val="16"/>
          <w:szCs w:val="16"/>
        </w:rPr>
        <w:t xml:space="preserve"> Without prices of water distribution and services associated with wastewaters. </w:t>
      </w:r>
    </w:p>
  </w:footnote>
  <w:footnote w:id="5">
    <w:p w14:paraId="07FD9EDC" w14:textId="3551ACB3" w:rsidR="00E43EC0" w:rsidRPr="00995C95" w:rsidRDefault="00E43EC0" w:rsidP="003D1A7F">
      <w:pPr>
        <w:pStyle w:val="Textpoznpodarou"/>
        <w:jc w:val="both"/>
        <w:rPr>
          <w:sz w:val="16"/>
          <w:szCs w:val="16"/>
        </w:rPr>
      </w:pPr>
      <w:r w:rsidRPr="00995C95">
        <w:rPr>
          <w:rStyle w:val="Znakapoznpodarou"/>
          <w:sz w:val="16"/>
          <w:szCs w:val="16"/>
        </w:rPr>
        <w:footnoteRef/>
      </w:r>
      <w:r w:rsidRPr="00995C95">
        <w:rPr>
          <w:sz w:val="16"/>
          <w:szCs w:val="16"/>
        </w:rPr>
        <w:t xml:space="preserve"> </w:t>
      </w:r>
      <w:r w:rsidR="005A0DA4" w:rsidRPr="00995C95">
        <w:rPr>
          <w:sz w:val="16"/>
          <w:szCs w:val="16"/>
        </w:rPr>
        <w:t>Based on the CNB data, the average koruna foreign exchange per euro reached 2</w:t>
      </w:r>
      <w:r w:rsidR="0069608D" w:rsidRPr="00995C95">
        <w:rPr>
          <w:sz w:val="16"/>
          <w:szCs w:val="16"/>
        </w:rPr>
        <w:t>4</w:t>
      </w:r>
      <w:r w:rsidR="005A0DA4" w:rsidRPr="00995C95">
        <w:rPr>
          <w:sz w:val="16"/>
          <w:szCs w:val="16"/>
        </w:rPr>
        <w:t>.</w:t>
      </w:r>
      <w:r w:rsidR="0069608D" w:rsidRPr="00995C95">
        <w:rPr>
          <w:sz w:val="16"/>
          <w:szCs w:val="16"/>
        </w:rPr>
        <w:t>693</w:t>
      </w:r>
      <w:r w:rsidR="005A0DA4" w:rsidRPr="00995C95">
        <w:rPr>
          <w:sz w:val="16"/>
          <w:szCs w:val="16"/>
        </w:rPr>
        <w:t xml:space="preserve"> CZK/EUR</w:t>
      </w:r>
      <w:r w:rsidR="00122351" w:rsidRPr="00995C95">
        <w:rPr>
          <w:sz w:val="16"/>
          <w:szCs w:val="16"/>
        </w:rPr>
        <w:t xml:space="preserve"> and per dollar 21.914 CZK/USD </w:t>
      </w:r>
      <w:r w:rsidR="005A0DA4" w:rsidRPr="00995C95">
        <w:rPr>
          <w:sz w:val="16"/>
          <w:szCs w:val="16"/>
        </w:rPr>
        <w:t>in 202</w:t>
      </w:r>
      <w:r w:rsidR="00122351" w:rsidRPr="00995C95">
        <w:rPr>
          <w:sz w:val="16"/>
          <w:szCs w:val="16"/>
        </w:rPr>
        <w:t>5</w:t>
      </w:r>
      <w:r w:rsidR="005A0DA4" w:rsidRPr="00995C95">
        <w:rPr>
          <w:sz w:val="16"/>
          <w:szCs w:val="16"/>
        </w:rPr>
        <w:t xml:space="preserve">. </w:t>
      </w:r>
      <w:r w:rsidR="00C72F3B" w:rsidRPr="00995C95">
        <w:rPr>
          <w:sz w:val="16"/>
          <w:szCs w:val="16"/>
        </w:rPr>
        <w:t xml:space="preserve">The koruna foreign exchange attained on average </w:t>
      </w:r>
      <w:r w:rsidR="005A0DA4" w:rsidRPr="00995C95">
        <w:rPr>
          <w:sz w:val="16"/>
          <w:szCs w:val="16"/>
        </w:rPr>
        <w:t>2</w:t>
      </w:r>
      <w:r w:rsidR="00C72F3B" w:rsidRPr="00995C95">
        <w:rPr>
          <w:sz w:val="16"/>
          <w:szCs w:val="16"/>
        </w:rPr>
        <w:t>5</w:t>
      </w:r>
      <w:r w:rsidR="005A0DA4" w:rsidRPr="00995C95">
        <w:rPr>
          <w:sz w:val="16"/>
          <w:szCs w:val="16"/>
        </w:rPr>
        <w:t>.</w:t>
      </w:r>
      <w:r w:rsidR="00C72F3B" w:rsidRPr="00995C95">
        <w:rPr>
          <w:sz w:val="16"/>
          <w:szCs w:val="16"/>
        </w:rPr>
        <w:t>119</w:t>
      </w:r>
      <w:r w:rsidR="005A0DA4" w:rsidRPr="00995C95">
        <w:rPr>
          <w:sz w:val="16"/>
          <w:szCs w:val="16"/>
        </w:rPr>
        <w:t xml:space="preserve"> CZK/EUR </w:t>
      </w:r>
      <w:r w:rsidR="00C8788E" w:rsidRPr="00995C95">
        <w:rPr>
          <w:sz w:val="16"/>
          <w:szCs w:val="16"/>
        </w:rPr>
        <w:t xml:space="preserve">and 23.202 CZK/USD </w:t>
      </w:r>
      <w:r w:rsidR="005A0DA4" w:rsidRPr="00995C95">
        <w:rPr>
          <w:sz w:val="16"/>
          <w:szCs w:val="16"/>
        </w:rPr>
        <w:t>in 202</w:t>
      </w:r>
      <w:r w:rsidR="00C8788E" w:rsidRPr="00995C95">
        <w:rPr>
          <w:sz w:val="16"/>
          <w:szCs w:val="16"/>
        </w:rPr>
        <w:t>4</w:t>
      </w:r>
      <w:r w:rsidR="005A0DA4" w:rsidRPr="00995C95">
        <w:rPr>
          <w:sz w:val="16"/>
          <w:szCs w:val="16"/>
        </w:rPr>
        <w:t>.</w:t>
      </w:r>
      <w:r w:rsidR="00501E5A" w:rsidRPr="00995C95">
        <w:rPr>
          <w:sz w:val="16"/>
          <w:szCs w:val="16"/>
        </w:rPr>
        <w:t xml:space="preserve"> In Q4 2025, the koruna foreign exchange per euro</w:t>
      </w:r>
      <w:r w:rsidR="004E5681" w:rsidRPr="00995C95">
        <w:rPr>
          <w:sz w:val="16"/>
          <w:szCs w:val="16"/>
        </w:rPr>
        <w:t xml:space="preserve"> r</w:t>
      </w:r>
      <w:r w:rsidR="00501E5A" w:rsidRPr="00995C95">
        <w:rPr>
          <w:sz w:val="16"/>
          <w:szCs w:val="16"/>
        </w:rPr>
        <w:t>eached an average of 24.273</w:t>
      </w:r>
      <w:r w:rsidR="004E5681" w:rsidRPr="00995C95">
        <w:rPr>
          <w:sz w:val="16"/>
          <w:szCs w:val="16"/>
        </w:rPr>
        <w:t xml:space="preserve"> CZK</w:t>
      </w:r>
      <w:r w:rsidR="00501E5A" w:rsidRPr="00995C95">
        <w:rPr>
          <w:sz w:val="16"/>
          <w:szCs w:val="16"/>
        </w:rPr>
        <w:t>/EUR compared to CZK 24.498</w:t>
      </w:r>
      <w:r w:rsidR="004E5681" w:rsidRPr="00995C95">
        <w:rPr>
          <w:sz w:val="16"/>
          <w:szCs w:val="16"/>
        </w:rPr>
        <w:t xml:space="preserve"> CZK</w:t>
      </w:r>
      <w:r w:rsidR="00501E5A" w:rsidRPr="00995C95">
        <w:rPr>
          <w:sz w:val="16"/>
          <w:szCs w:val="16"/>
        </w:rPr>
        <w:t>/EUR in Q3 and 25.249</w:t>
      </w:r>
      <w:r w:rsidR="00E9591B" w:rsidRPr="00995C95">
        <w:rPr>
          <w:sz w:val="16"/>
          <w:szCs w:val="16"/>
        </w:rPr>
        <w:t xml:space="preserve"> CZK</w:t>
      </w:r>
      <w:r w:rsidR="00501E5A" w:rsidRPr="00995C95">
        <w:rPr>
          <w:sz w:val="16"/>
          <w:szCs w:val="16"/>
        </w:rPr>
        <w:t xml:space="preserve">/EUR in Q4 2024. The </w:t>
      </w:r>
      <w:r w:rsidR="00E9591B" w:rsidRPr="00995C95">
        <w:rPr>
          <w:sz w:val="16"/>
          <w:szCs w:val="16"/>
        </w:rPr>
        <w:t xml:space="preserve">koruna foreign </w:t>
      </w:r>
      <w:r w:rsidR="00501E5A" w:rsidRPr="00995C95">
        <w:rPr>
          <w:sz w:val="16"/>
          <w:szCs w:val="16"/>
        </w:rPr>
        <w:t xml:space="preserve">exchange </w:t>
      </w:r>
      <w:r w:rsidR="008F75C5" w:rsidRPr="00995C95">
        <w:rPr>
          <w:sz w:val="16"/>
          <w:szCs w:val="16"/>
        </w:rPr>
        <w:t xml:space="preserve">per </w:t>
      </w:r>
      <w:r w:rsidR="00501E5A" w:rsidRPr="00995C95">
        <w:rPr>
          <w:sz w:val="16"/>
          <w:szCs w:val="16"/>
        </w:rPr>
        <w:t xml:space="preserve">dollar </w:t>
      </w:r>
      <w:r w:rsidR="008F75C5" w:rsidRPr="00995C95">
        <w:rPr>
          <w:sz w:val="16"/>
          <w:szCs w:val="16"/>
        </w:rPr>
        <w:t>averag</w:t>
      </w:r>
      <w:r w:rsidR="00501E5A" w:rsidRPr="00995C95">
        <w:rPr>
          <w:sz w:val="16"/>
          <w:szCs w:val="16"/>
        </w:rPr>
        <w:t>ed 20.866</w:t>
      </w:r>
      <w:r w:rsidR="008F75C5" w:rsidRPr="00995C95">
        <w:rPr>
          <w:sz w:val="16"/>
          <w:szCs w:val="16"/>
        </w:rPr>
        <w:t xml:space="preserve"> CZK</w:t>
      </w:r>
      <w:r w:rsidR="00501E5A" w:rsidRPr="00995C95">
        <w:rPr>
          <w:sz w:val="16"/>
          <w:szCs w:val="16"/>
        </w:rPr>
        <w:t>/USD</w:t>
      </w:r>
      <w:r w:rsidR="008F75C5" w:rsidRPr="00995C95">
        <w:rPr>
          <w:sz w:val="16"/>
          <w:szCs w:val="16"/>
        </w:rPr>
        <w:t xml:space="preserve"> in Q4 2025</w:t>
      </w:r>
      <w:r w:rsidR="00501E5A" w:rsidRPr="00995C95">
        <w:rPr>
          <w:sz w:val="16"/>
          <w:szCs w:val="16"/>
        </w:rPr>
        <w:t xml:space="preserve"> and 20.973</w:t>
      </w:r>
      <w:r w:rsidR="008F75C5" w:rsidRPr="00995C95">
        <w:rPr>
          <w:sz w:val="16"/>
          <w:szCs w:val="16"/>
        </w:rPr>
        <w:t xml:space="preserve"> CZK</w:t>
      </w:r>
      <w:r w:rsidR="00501E5A" w:rsidRPr="00995C95">
        <w:rPr>
          <w:sz w:val="16"/>
          <w:szCs w:val="16"/>
        </w:rPr>
        <w:t>/USD</w:t>
      </w:r>
      <w:r w:rsidR="008F75C5" w:rsidRPr="00995C95">
        <w:rPr>
          <w:sz w:val="16"/>
          <w:szCs w:val="16"/>
        </w:rPr>
        <w:t xml:space="preserve"> in Q3</w:t>
      </w:r>
      <w:r w:rsidR="00501E5A" w:rsidRPr="00995C95">
        <w:rPr>
          <w:sz w:val="16"/>
          <w:szCs w:val="16"/>
        </w:rPr>
        <w:t>. In Q4 2024, it was 23.640 CZK/USD.</w:t>
      </w:r>
      <w:r w:rsidR="005A0DA4" w:rsidRPr="00995C95">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1194052D" w:rsidR="004C456F" w:rsidRPr="00995C95" w:rsidRDefault="004B5D8A" w:rsidP="00C27E4F">
    <w:pPr>
      <w:pStyle w:val="Zhlav"/>
      <w:rPr>
        <w:lang w:val="en-GB"/>
      </w:rPr>
    </w:pPr>
    <w:r w:rsidRPr="00995C95">
      <w:rPr>
        <w:lang w:val="en-GB"/>
      </w:rPr>
      <w:t>The Czech Economy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475889E2" w:rsidR="004C456F" w:rsidRPr="00995C95" w:rsidRDefault="005A327C" w:rsidP="00937AE2">
    <w:pPr>
      <w:pStyle w:val="Zhlav"/>
      <w:rPr>
        <w:lang w:val="en-GB"/>
      </w:rPr>
    </w:pPr>
    <w:r w:rsidRPr="00995C95">
      <w:rPr>
        <w:lang w:val="en-GB"/>
      </w:rP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858498FC"/>
    <w:lvl w:ilvl="0" w:tplc="B4A838D0">
      <w:start w:val="1"/>
      <w:numFmt w:val="bullet"/>
      <w:pStyle w:val="Normalodrka"/>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94960533">
    <w:abstractNumId w:val="31"/>
  </w:num>
  <w:num w:numId="2" w16cid:durableId="997685702">
    <w:abstractNumId w:val="8"/>
  </w:num>
  <w:num w:numId="3" w16cid:durableId="2038313518">
    <w:abstractNumId w:val="3"/>
  </w:num>
  <w:num w:numId="4" w16cid:durableId="331031531">
    <w:abstractNumId w:val="2"/>
  </w:num>
  <w:num w:numId="5" w16cid:durableId="1757743337">
    <w:abstractNumId w:val="1"/>
  </w:num>
  <w:num w:numId="6" w16cid:durableId="409816451">
    <w:abstractNumId w:val="0"/>
  </w:num>
  <w:num w:numId="7" w16cid:durableId="1318534121">
    <w:abstractNumId w:val="9"/>
  </w:num>
  <w:num w:numId="8" w16cid:durableId="262305282">
    <w:abstractNumId w:val="7"/>
  </w:num>
  <w:num w:numId="9" w16cid:durableId="136917715">
    <w:abstractNumId w:val="6"/>
  </w:num>
  <w:num w:numId="10" w16cid:durableId="2045862263">
    <w:abstractNumId w:val="5"/>
  </w:num>
  <w:num w:numId="11" w16cid:durableId="191305307">
    <w:abstractNumId w:val="4"/>
  </w:num>
  <w:num w:numId="12" w16cid:durableId="333654438">
    <w:abstractNumId w:val="18"/>
  </w:num>
  <w:num w:numId="13" w16cid:durableId="969557016">
    <w:abstractNumId w:val="34"/>
  </w:num>
  <w:num w:numId="14" w16cid:durableId="607392429">
    <w:abstractNumId w:val="15"/>
  </w:num>
  <w:num w:numId="15" w16cid:durableId="1953782534">
    <w:abstractNumId w:val="24"/>
  </w:num>
  <w:num w:numId="16" w16cid:durableId="2048219208">
    <w:abstractNumId w:val="19"/>
  </w:num>
  <w:num w:numId="17" w16cid:durableId="684745295">
    <w:abstractNumId w:val="35"/>
  </w:num>
  <w:num w:numId="18" w16cid:durableId="1764376373">
    <w:abstractNumId w:val="25"/>
  </w:num>
  <w:num w:numId="19" w16cid:durableId="807280038">
    <w:abstractNumId w:val="38"/>
  </w:num>
  <w:num w:numId="20" w16cid:durableId="1692685976">
    <w:abstractNumId w:val="43"/>
  </w:num>
  <w:num w:numId="21" w16cid:durableId="1978029892">
    <w:abstractNumId w:val="33"/>
  </w:num>
  <w:num w:numId="22" w16cid:durableId="718896653">
    <w:abstractNumId w:val="23"/>
  </w:num>
  <w:num w:numId="23" w16cid:durableId="159078720">
    <w:abstractNumId w:val="21"/>
  </w:num>
  <w:num w:numId="24" w16cid:durableId="1135441192">
    <w:abstractNumId w:val="22"/>
  </w:num>
  <w:num w:numId="25" w16cid:durableId="1815366340">
    <w:abstractNumId w:val="41"/>
  </w:num>
  <w:num w:numId="26" w16cid:durableId="1577863405">
    <w:abstractNumId w:val="42"/>
  </w:num>
  <w:num w:numId="27" w16cid:durableId="223610688">
    <w:abstractNumId w:val="43"/>
  </w:num>
  <w:num w:numId="28" w16cid:durableId="1207061094">
    <w:abstractNumId w:val="13"/>
  </w:num>
  <w:num w:numId="29" w16cid:durableId="1693920833">
    <w:abstractNumId w:val="27"/>
  </w:num>
  <w:num w:numId="30" w16cid:durableId="1876775477">
    <w:abstractNumId w:val="26"/>
  </w:num>
  <w:num w:numId="31" w16cid:durableId="179972127">
    <w:abstractNumId w:val="10"/>
  </w:num>
  <w:num w:numId="32" w16cid:durableId="970136012">
    <w:abstractNumId w:val="28"/>
  </w:num>
  <w:num w:numId="33" w16cid:durableId="1617836376">
    <w:abstractNumId w:val="12"/>
  </w:num>
  <w:num w:numId="34" w16cid:durableId="357007340">
    <w:abstractNumId w:val="45"/>
  </w:num>
  <w:num w:numId="35" w16cid:durableId="2131776467">
    <w:abstractNumId w:val="11"/>
  </w:num>
  <w:num w:numId="36" w16cid:durableId="1776095800">
    <w:abstractNumId w:val="37"/>
  </w:num>
  <w:num w:numId="37" w16cid:durableId="862209000">
    <w:abstractNumId w:val="30"/>
  </w:num>
  <w:num w:numId="38" w16cid:durableId="322010878">
    <w:abstractNumId w:val="29"/>
  </w:num>
  <w:num w:numId="39" w16cid:durableId="1458373311">
    <w:abstractNumId w:val="39"/>
  </w:num>
  <w:num w:numId="40" w16cid:durableId="288441997">
    <w:abstractNumId w:val="44"/>
  </w:num>
  <w:num w:numId="41" w16cid:durableId="952595072">
    <w:abstractNumId w:val="40"/>
  </w:num>
  <w:num w:numId="42" w16cid:durableId="1427652868">
    <w:abstractNumId w:val="32"/>
  </w:num>
  <w:num w:numId="43" w16cid:durableId="1024401835">
    <w:abstractNumId w:val="20"/>
  </w:num>
  <w:num w:numId="44" w16cid:durableId="428089243">
    <w:abstractNumId w:val="14"/>
  </w:num>
  <w:num w:numId="45" w16cid:durableId="82647767">
    <w:abstractNumId w:val="36"/>
  </w:num>
  <w:num w:numId="46" w16cid:durableId="215163427">
    <w:abstractNumId w:val="16"/>
  </w:num>
  <w:num w:numId="47" w16cid:durableId="222064403">
    <w:abstractNumId w:val="43"/>
  </w:num>
  <w:num w:numId="48" w16cid:durableId="1639922006">
    <w:abstractNumId w:val="43"/>
    <w:lvlOverride w:ilvl="0">
      <w:startOverride w:val="1"/>
    </w:lvlOverride>
  </w:num>
  <w:num w:numId="49" w16cid:durableId="1509101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0EDA"/>
    <w:rsid w:val="00001697"/>
    <w:rsid w:val="0000209D"/>
    <w:rsid w:val="0000213A"/>
    <w:rsid w:val="00003077"/>
    <w:rsid w:val="00003202"/>
    <w:rsid w:val="00003C75"/>
    <w:rsid w:val="00004D5A"/>
    <w:rsid w:val="00004FCC"/>
    <w:rsid w:val="000056D5"/>
    <w:rsid w:val="00006ABD"/>
    <w:rsid w:val="00006D53"/>
    <w:rsid w:val="00006E79"/>
    <w:rsid w:val="0000767A"/>
    <w:rsid w:val="00007880"/>
    <w:rsid w:val="000078DF"/>
    <w:rsid w:val="00007F73"/>
    <w:rsid w:val="00010256"/>
    <w:rsid w:val="000103D1"/>
    <w:rsid w:val="00010702"/>
    <w:rsid w:val="00011031"/>
    <w:rsid w:val="00011912"/>
    <w:rsid w:val="00011959"/>
    <w:rsid w:val="00011B41"/>
    <w:rsid w:val="00011F39"/>
    <w:rsid w:val="00012FA5"/>
    <w:rsid w:val="00014E03"/>
    <w:rsid w:val="00015B3B"/>
    <w:rsid w:val="00015B45"/>
    <w:rsid w:val="000169A6"/>
    <w:rsid w:val="00017058"/>
    <w:rsid w:val="00017134"/>
    <w:rsid w:val="0001750B"/>
    <w:rsid w:val="00020C46"/>
    <w:rsid w:val="0002195D"/>
    <w:rsid w:val="00022C67"/>
    <w:rsid w:val="000234D6"/>
    <w:rsid w:val="00023D29"/>
    <w:rsid w:val="00026006"/>
    <w:rsid w:val="00026389"/>
    <w:rsid w:val="00027613"/>
    <w:rsid w:val="0003024B"/>
    <w:rsid w:val="00031A7B"/>
    <w:rsid w:val="00031AE0"/>
    <w:rsid w:val="00031BBA"/>
    <w:rsid w:val="00031DF3"/>
    <w:rsid w:val="000322EF"/>
    <w:rsid w:val="0003364D"/>
    <w:rsid w:val="00033FCD"/>
    <w:rsid w:val="000347D3"/>
    <w:rsid w:val="00034ACC"/>
    <w:rsid w:val="00034B0E"/>
    <w:rsid w:val="00034EA1"/>
    <w:rsid w:val="000352CE"/>
    <w:rsid w:val="000354CD"/>
    <w:rsid w:val="00035561"/>
    <w:rsid w:val="000358AF"/>
    <w:rsid w:val="000359B2"/>
    <w:rsid w:val="00036A9B"/>
    <w:rsid w:val="00040211"/>
    <w:rsid w:val="0004072B"/>
    <w:rsid w:val="00040D10"/>
    <w:rsid w:val="00041AA3"/>
    <w:rsid w:val="00041CEC"/>
    <w:rsid w:val="00042534"/>
    <w:rsid w:val="000436F5"/>
    <w:rsid w:val="0004427A"/>
    <w:rsid w:val="0004694F"/>
    <w:rsid w:val="00046C77"/>
    <w:rsid w:val="00047175"/>
    <w:rsid w:val="00047A93"/>
    <w:rsid w:val="00050173"/>
    <w:rsid w:val="000501B2"/>
    <w:rsid w:val="0005137A"/>
    <w:rsid w:val="0005142D"/>
    <w:rsid w:val="000522E4"/>
    <w:rsid w:val="0005235B"/>
    <w:rsid w:val="0005414D"/>
    <w:rsid w:val="00054EA4"/>
    <w:rsid w:val="000554BE"/>
    <w:rsid w:val="00055507"/>
    <w:rsid w:val="000572CC"/>
    <w:rsid w:val="000573B7"/>
    <w:rsid w:val="000578C1"/>
    <w:rsid w:val="00057D7B"/>
    <w:rsid w:val="00060AD9"/>
    <w:rsid w:val="00060D9D"/>
    <w:rsid w:val="000610D5"/>
    <w:rsid w:val="000610E1"/>
    <w:rsid w:val="00061107"/>
    <w:rsid w:val="0006166D"/>
    <w:rsid w:val="00062177"/>
    <w:rsid w:val="000626A9"/>
    <w:rsid w:val="00062EC5"/>
    <w:rsid w:val="00062F22"/>
    <w:rsid w:val="00064C17"/>
    <w:rsid w:val="00064C43"/>
    <w:rsid w:val="000673C2"/>
    <w:rsid w:val="000675C7"/>
    <w:rsid w:val="00071146"/>
    <w:rsid w:val="000712B3"/>
    <w:rsid w:val="00071381"/>
    <w:rsid w:val="00072597"/>
    <w:rsid w:val="00072C02"/>
    <w:rsid w:val="00072E8F"/>
    <w:rsid w:val="0007329F"/>
    <w:rsid w:val="00073A4E"/>
    <w:rsid w:val="00073FF8"/>
    <w:rsid w:val="0007457A"/>
    <w:rsid w:val="00074635"/>
    <w:rsid w:val="00074AC2"/>
    <w:rsid w:val="000752CE"/>
    <w:rsid w:val="000816AF"/>
    <w:rsid w:val="0008263E"/>
    <w:rsid w:val="000829B1"/>
    <w:rsid w:val="00082C19"/>
    <w:rsid w:val="00083CB1"/>
    <w:rsid w:val="0008426E"/>
    <w:rsid w:val="00084944"/>
    <w:rsid w:val="00085365"/>
    <w:rsid w:val="00085395"/>
    <w:rsid w:val="00085440"/>
    <w:rsid w:val="000864D8"/>
    <w:rsid w:val="00086848"/>
    <w:rsid w:val="00086C49"/>
    <w:rsid w:val="00087634"/>
    <w:rsid w:val="00087F2B"/>
    <w:rsid w:val="0009044A"/>
    <w:rsid w:val="00090C90"/>
    <w:rsid w:val="000912CC"/>
    <w:rsid w:val="000913C1"/>
    <w:rsid w:val="00092201"/>
    <w:rsid w:val="0009317A"/>
    <w:rsid w:val="0009372A"/>
    <w:rsid w:val="00094112"/>
    <w:rsid w:val="00095135"/>
    <w:rsid w:val="00095C4D"/>
    <w:rsid w:val="000968F4"/>
    <w:rsid w:val="000974D1"/>
    <w:rsid w:val="00097972"/>
    <w:rsid w:val="0009799E"/>
    <w:rsid w:val="000A01AA"/>
    <w:rsid w:val="000A0D06"/>
    <w:rsid w:val="000A1183"/>
    <w:rsid w:val="000A17AA"/>
    <w:rsid w:val="000A1AC6"/>
    <w:rsid w:val="000A256D"/>
    <w:rsid w:val="000A25B3"/>
    <w:rsid w:val="000A25BD"/>
    <w:rsid w:val="000A395A"/>
    <w:rsid w:val="000A3A2C"/>
    <w:rsid w:val="000A3BA8"/>
    <w:rsid w:val="000A3F17"/>
    <w:rsid w:val="000A48F6"/>
    <w:rsid w:val="000A4AFE"/>
    <w:rsid w:val="000A4C10"/>
    <w:rsid w:val="000A5017"/>
    <w:rsid w:val="000A5265"/>
    <w:rsid w:val="000A57D4"/>
    <w:rsid w:val="000A66B9"/>
    <w:rsid w:val="000A7275"/>
    <w:rsid w:val="000A7D27"/>
    <w:rsid w:val="000B1F8C"/>
    <w:rsid w:val="000B2870"/>
    <w:rsid w:val="000B2CB2"/>
    <w:rsid w:val="000B3563"/>
    <w:rsid w:val="000B3CE2"/>
    <w:rsid w:val="000B44D1"/>
    <w:rsid w:val="000B48DB"/>
    <w:rsid w:val="000B772A"/>
    <w:rsid w:val="000B7C8D"/>
    <w:rsid w:val="000C004E"/>
    <w:rsid w:val="000C28DE"/>
    <w:rsid w:val="000C2CF1"/>
    <w:rsid w:val="000C3408"/>
    <w:rsid w:val="000C5923"/>
    <w:rsid w:val="000C6AFD"/>
    <w:rsid w:val="000C7C6F"/>
    <w:rsid w:val="000D0B52"/>
    <w:rsid w:val="000D1B52"/>
    <w:rsid w:val="000D21E0"/>
    <w:rsid w:val="000D248B"/>
    <w:rsid w:val="000D3CE8"/>
    <w:rsid w:val="000D3DFB"/>
    <w:rsid w:val="000D3FEF"/>
    <w:rsid w:val="000D4139"/>
    <w:rsid w:val="000D49C6"/>
    <w:rsid w:val="000D50C8"/>
    <w:rsid w:val="000D5637"/>
    <w:rsid w:val="000E0655"/>
    <w:rsid w:val="000E0B09"/>
    <w:rsid w:val="000E15EA"/>
    <w:rsid w:val="000E1BD5"/>
    <w:rsid w:val="000E22F0"/>
    <w:rsid w:val="000E4A05"/>
    <w:rsid w:val="000E4DFB"/>
    <w:rsid w:val="000E5ADB"/>
    <w:rsid w:val="000E5E94"/>
    <w:rsid w:val="000E6FBD"/>
    <w:rsid w:val="000E722B"/>
    <w:rsid w:val="000F0563"/>
    <w:rsid w:val="000F072B"/>
    <w:rsid w:val="000F17BE"/>
    <w:rsid w:val="000F2DBC"/>
    <w:rsid w:val="000F49A9"/>
    <w:rsid w:val="000F5540"/>
    <w:rsid w:val="000F563A"/>
    <w:rsid w:val="000F63BA"/>
    <w:rsid w:val="000F7A6C"/>
    <w:rsid w:val="00100F5C"/>
    <w:rsid w:val="0010109F"/>
    <w:rsid w:val="001015F8"/>
    <w:rsid w:val="0010181E"/>
    <w:rsid w:val="00101CDA"/>
    <w:rsid w:val="00101E8C"/>
    <w:rsid w:val="00102C41"/>
    <w:rsid w:val="00102C8C"/>
    <w:rsid w:val="00104C4C"/>
    <w:rsid w:val="00105BEE"/>
    <w:rsid w:val="0010768F"/>
    <w:rsid w:val="00107F50"/>
    <w:rsid w:val="00110148"/>
    <w:rsid w:val="001102E1"/>
    <w:rsid w:val="00110840"/>
    <w:rsid w:val="00111F6C"/>
    <w:rsid w:val="00112002"/>
    <w:rsid w:val="0011216E"/>
    <w:rsid w:val="00113333"/>
    <w:rsid w:val="00113951"/>
    <w:rsid w:val="00114E34"/>
    <w:rsid w:val="00115BC3"/>
    <w:rsid w:val="00115FDB"/>
    <w:rsid w:val="001162C6"/>
    <w:rsid w:val="001172EE"/>
    <w:rsid w:val="00117365"/>
    <w:rsid w:val="00117623"/>
    <w:rsid w:val="00117774"/>
    <w:rsid w:val="00117E12"/>
    <w:rsid w:val="0012096D"/>
    <w:rsid w:val="0012192F"/>
    <w:rsid w:val="00122351"/>
    <w:rsid w:val="0012244B"/>
    <w:rsid w:val="001224E5"/>
    <w:rsid w:val="001226D4"/>
    <w:rsid w:val="0012354A"/>
    <w:rsid w:val="00124940"/>
    <w:rsid w:val="0012541F"/>
    <w:rsid w:val="001257AD"/>
    <w:rsid w:val="00125D69"/>
    <w:rsid w:val="00125DCF"/>
    <w:rsid w:val="00125E96"/>
    <w:rsid w:val="0012727F"/>
    <w:rsid w:val="00127CCE"/>
    <w:rsid w:val="00131BA6"/>
    <w:rsid w:val="00132022"/>
    <w:rsid w:val="001321B1"/>
    <w:rsid w:val="00133D19"/>
    <w:rsid w:val="00134AC4"/>
    <w:rsid w:val="001352AD"/>
    <w:rsid w:val="00136221"/>
    <w:rsid w:val="00137BBA"/>
    <w:rsid w:val="001400C5"/>
    <w:rsid w:val="001405FA"/>
    <w:rsid w:val="00141374"/>
    <w:rsid w:val="00142254"/>
    <w:rsid w:val="001425AB"/>
    <w:rsid w:val="001425C3"/>
    <w:rsid w:val="00142940"/>
    <w:rsid w:val="00143E21"/>
    <w:rsid w:val="001448C5"/>
    <w:rsid w:val="0014513A"/>
    <w:rsid w:val="00145BAE"/>
    <w:rsid w:val="001476BD"/>
    <w:rsid w:val="0014793D"/>
    <w:rsid w:val="001501ED"/>
    <w:rsid w:val="00150C2C"/>
    <w:rsid w:val="00151145"/>
    <w:rsid w:val="00151983"/>
    <w:rsid w:val="00151BE2"/>
    <w:rsid w:val="00153A07"/>
    <w:rsid w:val="00153D91"/>
    <w:rsid w:val="00153F2C"/>
    <w:rsid w:val="001543B3"/>
    <w:rsid w:val="00154F9D"/>
    <w:rsid w:val="00156585"/>
    <w:rsid w:val="00161101"/>
    <w:rsid w:val="001612F4"/>
    <w:rsid w:val="00161AB8"/>
    <w:rsid w:val="0016256B"/>
    <w:rsid w:val="001625B5"/>
    <w:rsid w:val="00163793"/>
    <w:rsid w:val="001655A3"/>
    <w:rsid w:val="00165ED3"/>
    <w:rsid w:val="0016649F"/>
    <w:rsid w:val="00170621"/>
    <w:rsid w:val="001706D6"/>
    <w:rsid w:val="001709D9"/>
    <w:rsid w:val="001714F2"/>
    <w:rsid w:val="00172E03"/>
    <w:rsid w:val="00173DC2"/>
    <w:rsid w:val="00174B88"/>
    <w:rsid w:val="00175B9F"/>
    <w:rsid w:val="00175C9E"/>
    <w:rsid w:val="001777BA"/>
    <w:rsid w:val="00180341"/>
    <w:rsid w:val="00180CF9"/>
    <w:rsid w:val="00181BBC"/>
    <w:rsid w:val="00181C33"/>
    <w:rsid w:val="00182925"/>
    <w:rsid w:val="00182C10"/>
    <w:rsid w:val="001837AD"/>
    <w:rsid w:val="0018462C"/>
    <w:rsid w:val="001846F9"/>
    <w:rsid w:val="00184B08"/>
    <w:rsid w:val="00185010"/>
    <w:rsid w:val="001858D3"/>
    <w:rsid w:val="001866B1"/>
    <w:rsid w:val="00187611"/>
    <w:rsid w:val="0019075C"/>
    <w:rsid w:val="00190A93"/>
    <w:rsid w:val="00190F19"/>
    <w:rsid w:val="0019143B"/>
    <w:rsid w:val="00192144"/>
    <w:rsid w:val="00192938"/>
    <w:rsid w:val="0019310E"/>
    <w:rsid w:val="001936A2"/>
    <w:rsid w:val="00193925"/>
    <w:rsid w:val="00193D2D"/>
    <w:rsid w:val="00193E13"/>
    <w:rsid w:val="00195AF7"/>
    <w:rsid w:val="0019688F"/>
    <w:rsid w:val="0019702D"/>
    <w:rsid w:val="001A0044"/>
    <w:rsid w:val="001A0487"/>
    <w:rsid w:val="001A108E"/>
    <w:rsid w:val="001A14D3"/>
    <w:rsid w:val="001A1C28"/>
    <w:rsid w:val="001A2B9D"/>
    <w:rsid w:val="001A2EA4"/>
    <w:rsid w:val="001A451A"/>
    <w:rsid w:val="001A4CA3"/>
    <w:rsid w:val="001A4D40"/>
    <w:rsid w:val="001A4F13"/>
    <w:rsid w:val="001A50CE"/>
    <w:rsid w:val="001A552F"/>
    <w:rsid w:val="001A5661"/>
    <w:rsid w:val="001A5B6F"/>
    <w:rsid w:val="001A6170"/>
    <w:rsid w:val="001A7280"/>
    <w:rsid w:val="001B0A39"/>
    <w:rsid w:val="001B1DB9"/>
    <w:rsid w:val="001B2C41"/>
    <w:rsid w:val="001B2CA9"/>
    <w:rsid w:val="001B3110"/>
    <w:rsid w:val="001B4218"/>
    <w:rsid w:val="001B4729"/>
    <w:rsid w:val="001B478D"/>
    <w:rsid w:val="001B4A9B"/>
    <w:rsid w:val="001B4E69"/>
    <w:rsid w:val="001B6310"/>
    <w:rsid w:val="001B66CB"/>
    <w:rsid w:val="001B6C09"/>
    <w:rsid w:val="001B73E6"/>
    <w:rsid w:val="001B7DE2"/>
    <w:rsid w:val="001C05CD"/>
    <w:rsid w:val="001C3924"/>
    <w:rsid w:val="001C598A"/>
    <w:rsid w:val="001C7433"/>
    <w:rsid w:val="001D01AD"/>
    <w:rsid w:val="001D0236"/>
    <w:rsid w:val="001D0F00"/>
    <w:rsid w:val="001D1815"/>
    <w:rsid w:val="001D1940"/>
    <w:rsid w:val="001D2CEA"/>
    <w:rsid w:val="001D2D03"/>
    <w:rsid w:val="001D40D7"/>
    <w:rsid w:val="001D48D4"/>
    <w:rsid w:val="001D4D6E"/>
    <w:rsid w:val="001D5E6D"/>
    <w:rsid w:val="001D5F9D"/>
    <w:rsid w:val="001D6600"/>
    <w:rsid w:val="001D68B2"/>
    <w:rsid w:val="001D68CA"/>
    <w:rsid w:val="001D7AC6"/>
    <w:rsid w:val="001E15C5"/>
    <w:rsid w:val="001E1BCD"/>
    <w:rsid w:val="001E1C2E"/>
    <w:rsid w:val="001E44B5"/>
    <w:rsid w:val="001E504C"/>
    <w:rsid w:val="001E57ED"/>
    <w:rsid w:val="001E5850"/>
    <w:rsid w:val="001E6062"/>
    <w:rsid w:val="001E6753"/>
    <w:rsid w:val="001E6E34"/>
    <w:rsid w:val="001E709A"/>
    <w:rsid w:val="001E7497"/>
    <w:rsid w:val="001E79C3"/>
    <w:rsid w:val="001F024D"/>
    <w:rsid w:val="001F2170"/>
    <w:rsid w:val="001F2CDE"/>
    <w:rsid w:val="001F32ED"/>
    <w:rsid w:val="001F3BFD"/>
    <w:rsid w:val="001F3E67"/>
    <w:rsid w:val="001F4041"/>
    <w:rsid w:val="001F4597"/>
    <w:rsid w:val="001F591A"/>
    <w:rsid w:val="001F5D9A"/>
    <w:rsid w:val="001F775B"/>
    <w:rsid w:val="00202226"/>
    <w:rsid w:val="00203DA4"/>
    <w:rsid w:val="002047E2"/>
    <w:rsid w:val="00205104"/>
    <w:rsid w:val="002067A6"/>
    <w:rsid w:val="0020733A"/>
    <w:rsid w:val="00207871"/>
    <w:rsid w:val="00210502"/>
    <w:rsid w:val="002118B9"/>
    <w:rsid w:val="00213515"/>
    <w:rsid w:val="002137D3"/>
    <w:rsid w:val="00213E46"/>
    <w:rsid w:val="00214ABA"/>
    <w:rsid w:val="00214CF7"/>
    <w:rsid w:val="00214D9F"/>
    <w:rsid w:val="002152E4"/>
    <w:rsid w:val="00215CD1"/>
    <w:rsid w:val="00215DC5"/>
    <w:rsid w:val="00216255"/>
    <w:rsid w:val="00216286"/>
    <w:rsid w:val="00216A01"/>
    <w:rsid w:val="002175EA"/>
    <w:rsid w:val="00217676"/>
    <w:rsid w:val="002178DF"/>
    <w:rsid w:val="00217C5B"/>
    <w:rsid w:val="00217CF4"/>
    <w:rsid w:val="002208ED"/>
    <w:rsid w:val="0022139E"/>
    <w:rsid w:val="00221F4F"/>
    <w:rsid w:val="00222729"/>
    <w:rsid w:val="00222833"/>
    <w:rsid w:val="00222EF2"/>
    <w:rsid w:val="002232AB"/>
    <w:rsid w:val="002238B5"/>
    <w:rsid w:val="00223BF5"/>
    <w:rsid w:val="00225218"/>
    <w:rsid w:val="002252E0"/>
    <w:rsid w:val="002255F6"/>
    <w:rsid w:val="00226A43"/>
    <w:rsid w:val="00227850"/>
    <w:rsid w:val="00227A53"/>
    <w:rsid w:val="00227DA6"/>
    <w:rsid w:val="0023038D"/>
    <w:rsid w:val="00230682"/>
    <w:rsid w:val="00230A96"/>
    <w:rsid w:val="00230C6E"/>
    <w:rsid w:val="00230D06"/>
    <w:rsid w:val="002317B3"/>
    <w:rsid w:val="00233052"/>
    <w:rsid w:val="00233546"/>
    <w:rsid w:val="00233CD7"/>
    <w:rsid w:val="00233D05"/>
    <w:rsid w:val="002341E2"/>
    <w:rsid w:val="00235014"/>
    <w:rsid w:val="00235BFD"/>
    <w:rsid w:val="00235CCD"/>
    <w:rsid w:val="00236443"/>
    <w:rsid w:val="0023665A"/>
    <w:rsid w:val="00237B95"/>
    <w:rsid w:val="002411EA"/>
    <w:rsid w:val="00241328"/>
    <w:rsid w:val="0024148B"/>
    <w:rsid w:val="00241B06"/>
    <w:rsid w:val="00242119"/>
    <w:rsid w:val="002421C4"/>
    <w:rsid w:val="00242C10"/>
    <w:rsid w:val="00242CF0"/>
    <w:rsid w:val="002436BA"/>
    <w:rsid w:val="00244A15"/>
    <w:rsid w:val="00245617"/>
    <w:rsid w:val="0024611B"/>
    <w:rsid w:val="0024661A"/>
    <w:rsid w:val="00247319"/>
    <w:rsid w:val="0024741D"/>
    <w:rsid w:val="0024799E"/>
    <w:rsid w:val="00247EE7"/>
    <w:rsid w:val="00251928"/>
    <w:rsid w:val="00252475"/>
    <w:rsid w:val="0025270B"/>
    <w:rsid w:val="00252D48"/>
    <w:rsid w:val="00253C0F"/>
    <w:rsid w:val="00254181"/>
    <w:rsid w:val="002543D7"/>
    <w:rsid w:val="002551A3"/>
    <w:rsid w:val="002558C1"/>
    <w:rsid w:val="00255985"/>
    <w:rsid w:val="00255B30"/>
    <w:rsid w:val="0025735B"/>
    <w:rsid w:val="00260149"/>
    <w:rsid w:val="00260303"/>
    <w:rsid w:val="0026031E"/>
    <w:rsid w:val="0026033E"/>
    <w:rsid w:val="002610E9"/>
    <w:rsid w:val="00261A17"/>
    <w:rsid w:val="00263FDC"/>
    <w:rsid w:val="00264251"/>
    <w:rsid w:val="00264E5F"/>
    <w:rsid w:val="00264F47"/>
    <w:rsid w:val="002659AC"/>
    <w:rsid w:val="00265F50"/>
    <w:rsid w:val="00267033"/>
    <w:rsid w:val="00267B71"/>
    <w:rsid w:val="00270752"/>
    <w:rsid w:val="0027099B"/>
    <w:rsid w:val="002710E9"/>
    <w:rsid w:val="00271465"/>
    <w:rsid w:val="00272844"/>
    <w:rsid w:val="0027398A"/>
    <w:rsid w:val="002740D8"/>
    <w:rsid w:val="00275385"/>
    <w:rsid w:val="00275657"/>
    <w:rsid w:val="002763D6"/>
    <w:rsid w:val="0027724A"/>
    <w:rsid w:val="00280386"/>
    <w:rsid w:val="00280B2A"/>
    <w:rsid w:val="00281666"/>
    <w:rsid w:val="00281DE0"/>
    <w:rsid w:val="00281FB2"/>
    <w:rsid w:val="0028207A"/>
    <w:rsid w:val="00282918"/>
    <w:rsid w:val="00283600"/>
    <w:rsid w:val="00283DE9"/>
    <w:rsid w:val="00283DF4"/>
    <w:rsid w:val="00284145"/>
    <w:rsid w:val="00284D28"/>
    <w:rsid w:val="00285412"/>
    <w:rsid w:val="00285868"/>
    <w:rsid w:val="002864B9"/>
    <w:rsid w:val="002866A1"/>
    <w:rsid w:val="002867D8"/>
    <w:rsid w:val="002869B8"/>
    <w:rsid w:val="00290725"/>
    <w:rsid w:val="00291407"/>
    <w:rsid w:val="00291640"/>
    <w:rsid w:val="00292339"/>
    <w:rsid w:val="00292B59"/>
    <w:rsid w:val="00292D62"/>
    <w:rsid w:val="002931F2"/>
    <w:rsid w:val="00293DCB"/>
    <w:rsid w:val="00294BE5"/>
    <w:rsid w:val="0029568F"/>
    <w:rsid w:val="00295A5D"/>
    <w:rsid w:val="0029663C"/>
    <w:rsid w:val="00296B21"/>
    <w:rsid w:val="00297ECA"/>
    <w:rsid w:val="00297F7D"/>
    <w:rsid w:val="002A02D5"/>
    <w:rsid w:val="002A1407"/>
    <w:rsid w:val="002A16D4"/>
    <w:rsid w:val="002A230C"/>
    <w:rsid w:val="002A23FD"/>
    <w:rsid w:val="002A28FC"/>
    <w:rsid w:val="002A3DA7"/>
    <w:rsid w:val="002A5287"/>
    <w:rsid w:val="002A53C9"/>
    <w:rsid w:val="002A56A6"/>
    <w:rsid w:val="002A59D2"/>
    <w:rsid w:val="002A6268"/>
    <w:rsid w:val="002A66B0"/>
    <w:rsid w:val="002A73AC"/>
    <w:rsid w:val="002B14BE"/>
    <w:rsid w:val="002B2299"/>
    <w:rsid w:val="002B333E"/>
    <w:rsid w:val="002B478A"/>
    <w:rsid w:val="002B4845"/>
    <w:rsid w:val="002B48B4"/>
    <w:rsid w:val="002B518C"/>
    <w:rsid w:val="002B5326"/>
    <w:rsid w:val="002B62BB"/>
    <w:rsid w:val="002B7440"/>
    <w:rsid w:val="002C1025"/>
    <w:rsid w:val="002C2029"/>
    <w:rsid w:val="002C2899"/>
    <w:rsid w:val="002C2FE9"/>
    <w:rsid w:val="002C3E22"/>
    <w:rsid w:val="002C43BD"/>
    <w:rsid w:val="002C4587"/>
    <w:rsid w:val="002C4700"/>
    <w:rsid w:val="002C4B4F"/>
    <w:rsid w:val="002C4DD7"/>
    <w:rsid w:val="002C5568"/>
    <w:rsid w:val="002C55E4"/>
    <w:rsid w:val="002C59FD"/>
    <w:rsid w:val="002C5B9A"/>
    <w:rsid w:val="002C6E0A"/>
    <w:rsid w:val="002D0E59"/>
    <w:rsid w:val="002E02A1"/>
    <w:rsid w:val="002E273D"/>
    <w:rsid w:val="002E30BE"/>
    <w:rsid w:val="002E3BE7"/>
    <w:rsid w:val="002E42AC"/>
    <w:rsid w:val="002E4E4C"/>
    <w:rsid w:val="002E5FE3"/>
    <w:rsid w:val="002E6A7F"/>
    <w:rsid w:val="002F0BC1"/>
    <w:rsid w:val="002F1ABE"/>
    <w:rsid w:val="002F1BA0"/>
    <w:rsid w:val="002F266A"/>
    <w:rsid w:val="002F3A5E"/>
    <w:rsid w:val="002F3E4F"/>
    <w:rsid w:val="002F47DD"/>
    <w:rsid w:val="002F48F7"/>
    <w:rsid w:val="002F564C"/>
    <w:rsid w:val="002F5C7F"/>
    <w:rsid w:val="002F6A3C"/>
    <w:rsid w:val="002F6BE3"/>
    <w:rsid w:val="002F787D"/>
    <w:rsid w:val="003000D7"/>
    <w:rsid w:val="00300927"/>
    <w:rsid w:val="00300F53"/>
    <w:rsid w:val="00302ADD"/>
    <w:rsid w:val="00304771"/>
    <w:rsid w:val="0030495D"/>
    <w:rsid w:val="003052D4"/>
    <w:rsid w:val="00306C5B"/>
    <w:rsid w:val="00307B34"/>
    <w:rsid w:val="003103E0"/>
    <w:rsid w:val="003107EA"/>
    <w:rsid w:val="00310A58"/>
    <w:rsid w:val="003113A6"/>
    <w:rsid w:val="0031173F"/>
    <w:rsid w:val="0031233C"/>
    <w:rsid w:val="0031241D"/>
    <w:rsid w:val="00313263"/>
    <w:rsid w:val="003145B3"/>
    <w:rsid w:val="00314BBE"/>
    <w:rsid w:val="00314F9F"/>
    <w:rsid w:val="00315C01"/>
    <w:rsid w:val="00315E9B"/>
    <w:rsid w:val="003162C5"/>
    <w:rsid w:val="00316DC1"/>
    <w:rsid w:val="0031748E"/>
    <w:rsid w:val="0032050F"/>
    <w:rsid w:val="003209D6"/>
    <w:rsid w:val="00320A06"/>
    <w:rsid w:val="00321205"/>
    <w:rsid w:val="00321924"/>
    <w:rsid w:val="00322F9E"/>
    <w:rsid w:val="00323353"/>
    <w:rsid w:val="00324442"/>
    <w:rsid w:val="0032656E"/>
    <w:rsid w:val="00327467"/>
    <w:rsid w:val="00327D4E"/>
    <w:rsid w:val="00331BDC"/>
    <w:rsid w:val="00331C10"/>
    <w:rsid w:val="00332190"/>
    <w:rsid w:val="003321C3"/>
    <w:rsid w:val="00332D84"/>
    <w:rsid w:val="00333289"/>
    <w:rsid w:val="00333A75"/>
    <w:rsid w:val="00334A3A"/>
    <w:rsid w:val="00334E68"/>
    <w:rsid w:val="003352EB"/>
    <w:rsid w:val="003355FA"/>
    <w:rsid w:val="00336EF5"/>
    <w:rsid w:val="00336FC2"/>
    <w:rsid w:val="00340188"/>
    <w:rsid w:val="00340586"/>
    <w:rsid w:val="00341625"/>
    <w:rsid w:val="00341824"/>
    <w:rsid w:val="003421E1"/>
    <w:rsid w:val="0034226A"/>
    <w:rsid w:val="00343182"/>
    <w:rsid w:val="0034335E"/>
    <w:rsid w:val="00343FA5"/>
    <w:rsid w:val="00344092"/>
    <w:rsid w:val="00344668"/>
    <w:rsid w:val="0034540D"/>
    <w:rsid w:val="0034571B"/>
    <w:rsid w:val="003462D9"/>
    <w:rsid w:val="0034749A"/>
    <w:rsid w:val="00347B3C"/>
    <w:rsid w:val="00347F45"/>
    <w:rsid w:val="00350895"/>
    <w:rsid w:val="00350FEA"/>
    <w:rsid w:val="0035253A"/>
    <w:rsid w:val="00352FFD"/>
    <w:rsid w:val="00353044"/>
    <w:rsid w:val="00354DEC"/>
    <w:rsid w:val="00355256"/>
    <w:rsid w:val="00356287"/>
    <w:rsid w:val="00356723"/>
    <w:rsid w:val="00360C86"/>
    <w:rsid w:val="00360FBC"/>
    <w:rsid w:val="00361951"/>
    <w:rsid w:val="003619E4"/>
    <w:rsid w:val="00362133"/>
    <w:rsid w:val="00362328"/>
    <w:rsid w:val="00362DEB"/>
    <w:rsid w:val="00362E90"/>
    <w:rsid w:val="0036408E"/>
    <w:rsid w:val="003646EA"/>
    <w:rsid w:val="00364728"/>
    <w:rsid w:val="00364875"/>
    <w:rsid w:val="00364FA0"/>
    <w:rsid w:val="00365420"/>
    <w:rsid w:val="003656AF"/>
    <w:rsid w:val="003657F3"/>
    <w:rsid w:val="0036587E"/>
    <w:rsid w:val="00366248"/>
    <w:rsid w:val="00366591"/>
    <w:rsid w:val="00366EA0"/>
    <w:rsid w:val="00370268"/>
    <w:rsid w:val="00370EDF"/>
    <w:rsid w:val="00371826"/>
    <w:rsid w:val="00373504"/>
    <w:rsid w:val="003738E1"/>
    <w:rsid w:val="00373E47"/>
    <w:rsid w:val="003740E7"/>
    <w:rsid w:val="00374FEF"/>
    <w:rsid w:val="003751D1"/>
    <w:rsid w:val="003766F8"/>
    <w:rsid w:val="00376778"/>
    <w:rsid w:val="00377162"/>
    <w:rsid w:val="00377C0F"/>
    <w:rsid w:val="0038123E"/>
    <w:rsid w:val="003818DC"/>
    <w:rsid w:val="00382C5B"/>
    <w:rsid w:val="00383708"/>
    <w:rsid w:val="00384327"/>
    <w:rsid w:val="0038561B"/>
    <w:rsid w:val="00385D98"/>
    <w:rsid w:val="003873D1"/>
    <w:rsid w:val="003877E5"/>
    <w:rsid w:val="00390517"/>
    <w:rsid w:val="00390833"/>
    <w:rsid w:val="00391ACF"/>
    <w:rsid w:val="00391B12"/>
    <w:rsid w:val="00392FB5"/>
    <w:rsid w:val="0039595A"/>
    <w:rsid w:val="003A0393"/>
    <w:rsid w:val="003A1A03"/>
    <w:rsid w:val="003A1F60"/>
    <w:rsid w:val="003A2B4D"/>
    <w:rsid w:val="003A2B5E"/>
    <w:rsid w:val="003A2D12"/>
    <w:rsid w:val="003A478C"/>
    <w:rsid w:val="003A5525"/>
    <w:rsid w:val="003A5529"/>
    <w:rsid w:val="003A6626"/>
    <w:rsid w:val="003A6B38"/>
    <w:rsid w:val="003A7362"/>
    <w:rsid w:val="003A7C49"/>
    <w:rsid w:val="003B00FF"/>
    <w:rsid w:val="003B07B3"/>
    <w:rsid w:val="003B0A0F"/>
    <w:rsid w:val="003B1C54"/>
    <w:rsid w:val="003B224C"/>
    <w:rsid w:val="003B3AFF"/>
    <w:rsid w:val="003B461F"/>
    <w:rsid w:val="003B54A6"/>
    <w:rsid w:val="003B5A32"/>
    <w:rsid w:val="003B5F52"/>
    <w:rsid w:val="003B6097"/>
    <w:rsid w:val="003B6309"/>
    <w:rsid w:val="003B6B31"/>
    <w:rsid w:val="003B7AFA"/>
    <w:rsid w:val="003C0365"/>
    <w:rsid w:val="003C0458"/>
    <w:rsid w:val="003C1099"/>
    <w:rsid w:val="003C2324"/>
    <w:rsid w:val="003C2ADC"/>
    <w:rsid w:val="003C3281"/>
    <w:rsid w:val="003C3490"/>
    <w:rsid w:val="003C3BFE"/>
    <w:rsid w:val="003C49B9"/>
    <w:rsid w:val="003C631A"/>
    <w:rsid w:val="003C6550"/>
    <w:rsid w:val="003C68ED"/>
    <w:rsid w:val="003C7549"/>
    <w:rsid w:val="003C7792"/>
    <w:rsid w:val="003C7E62"/>
    <w:rsid w:val="003D1A7F"/>
    <w:rsid w:val="003D5946"/>
    <w:rsid w:val="003D5A56"/>
    <w:rsid w:val="003D5B4E"/>
    <w:rsid w:val="003D60FE"/>
    <w:rsid w:val="003D6920"/>
    <w:rsid w:val="003D6A58"/>
    <w:rsid w:val="003D74CF"/>
    <w:rsid w:val="003D7B09"/>
    <w:rsid w:val="003E0C17"/>
    <w:rsid w:val="003E10D3"/>
    <w:rsid w:val="003E1252"/>
    <w:rsid w:val="003E1419"/>
    <w:rsid w:val="003E1D28"/>
    <w:rsid w:val="003E2004"/>
    <w:rsid w:val="003E2301"/>
    <w:rsid w:val="003E3F1E"/>
    <w:rsid w:val="003E48F2"/>
    <w:rsid w:val="003E4C91"/>
    <w:rsid w:val="003E5DB7"/>
    <w:rsid w:val="003E62A5"/>
    <w:rsid w:val="003F0011"/>
    <w:rsid w:val="003F10C7"/>
    <w:rsid w:val="003F13A5"/>
    <w:rsid w:val="003F313C"/>
    <w:rsid w:val="003F346D"/>
    <w:rsid w:val="003F37FC"/>
    <w:rsid w:val="003F4B2C"/>
    <w:rsid w:val="003F551C"/>
    <w:rsid w:val="003F5AD6"/>
    <w:rsid w:val="003F62B0"/>
    <w:rsid w:val="003F6448"/>
    <w:rsid w:val="003F68C1"/>
    <w:rsid w:val="003F6B72"/>
    <w:rsid w:val="003F72ED"/>
    <w:rsid w:val="003F73E4"/>
    <w:rsid w:val="003F7D23"/>
    <w:rsid w:val="004005A2"/>
    <w:rsid w:val="00400A0E"/>
    <w:rsid w:val="00400DF4"/>
    <w:rsid w:val="00402489"/>
    <w:rsid w:val="00402612"/>
    <w:rsid w:val="00403226"/>
    <w:rsid w:val="00403D59"/>
    <w:rsid w:val="004043F2"/>
    <w:rsid w:val="0040550D"/>
    <w:rsid w:val="004069FF"/>
    <w:rsid w:val="00406A16"/>
    <w:rsid w:val="00406D06"/>
    <w:rsid w:val="00406F34"/>
    <w:rsid w:val="00407510"/>
    <w:rsid w:val="00407526"/>
    <w:rsid w:val="004076D8"/>
    <w:rsid w:val="00407C13"/>
    <w:rsid w:val="0041041D"/>
    <w:rsid w:val="00410638"/>
    <w:rsid w:val="00410694"/>
    <w:rsid w:val="00410C52"/>
    <w:rsid w:val="00410D1C"/>
    <w:rsid w:val="00410EB0"/>
    <w:rsid w:val="004111A5"/>
    <w:rsid w:val="0041172B"/>
    <w:rsid w:val="0041368A"/>
    <w:rsid w:val="00413788"/>
    <w:rsid w:val="0041501E"/>
    <w:rsid w:val="004159C3"/>
    <w:rsid w:val="00416EB7"/>
    <w:rsid w:val="00417505"/>
    <w:rsid w:val="00420136"/>
    <w:rsid w:val="004206B6"/>
    <w:rsid w:val="00420CFF"/>
    <w:rsid w:val="00420DC0"/>
    <w:rsid w:val="0042359B"/>
    <w:rsid w:val="00423AE9"/>
    <w:rsid w:val="00424375"/>
    <w:rsid w:val="00426C41"/>
    <w:rsid w:val="004304E9"/>
    <w:rsid w:val="004307FC"/>
    <w:rsid w:val="00432A58"/>
    <w:rsid w:val="00432D19"/>
    <w:rsid w:val="00433C0A"/>
    <w:rsid w:val="00433D92"/>
    <w:rsid w:val="00434395"/>
    <w:rsid w:val="004345F4"/>
    <w:rsid w:val="00434617"/>
    <w:rsid w:val="004349BF"/>
    <w:rsid w:val="00435361"/>
    <w:rsid w:val="00435656"/>
    <w:rsid w:val="00436477"/>
    <w:rsid w:val="00436DCF"/>
    <w:rsid w:val="00437A54"/>
    <w:rsid w:val="00437FD1"/>
    <w:rsid w:val="00440900"/>
    <w:rsid w:val="00441A23"/>
    <w:rsid w:val="00441BF6"/>
    <w:rsid w:val="00442D09"/>
    <w:rsid w:val="00442E6B"/>
    <w:rsid w:val="00443556"/>
    <w:rsid w:val="004437FE"/>
    <w:rsid w:val="004441A0"/>
    <w:rsid w:val="00444B1D"/>
    <w:rsid w:val="004455BA"/>
    <w:rsid w:val="00446D0C"/>
    <w:rsid w:val="00446D77"/>
    <w:rsid w:val="00447037"/>
    <w:rsid w:val="004501F9"/>
    <w:rsid w:val="0045021C"/>
    <w:rsid w:val="0045078A"/>
    <w:rsid w:val="0045086D"/>
    <w:rsid w:val="00450A94"/>
    <w:rsid w:val="00451305"/>
    <w:rsid w:val="00451504"/>
    <w:rsid w:val="00451878"/>
    <w:rsid w:val="00451FEF"/>
    <w:rsid w:val="00453626"/>
    <w:rsid w:val="00453F52"/>
    <w:rsid w:val="004554AD"/>
    <w:rsid w:val="004557A9"/>
    <w:rsid w:val="00456339"/>
    <w:rsid w:val="0045677C"/>
    <w:rsid w:val="004607BF"/>
    <w:rsid w:val="004609D9"/>
    <w:rsid w:val="00460FB3"/>
    <w:rsid w:val="0046255F"/>
    <w:rsid w:val="00463329"/>
    <w:rsid w:val="00463B19"/>
    <w:rsid w:val="004644C4"/>
    <w:rsid w:val="0046474F"/>
    <w:rsid w:val="0046530C"/>
    <w:rsid w:val="00465F26"/>
    <w:rsid w:val="0046627E"/>
    <w:rsid w:val="00467406"/>
    <w:rsid w:val="00467A03"/>
    <w:rsid w:val="004717BF"/>
    <w:rsid w:val="004749E3"/>
    <w:rsid w:val="00475C63"/>
    <w:rsid w:val="00475F3F"/>
    <w:rsid w:val="00476240"/>
    <w:rsid w:val="00476439"/>
    <w:rsid w:val="0047735C"/>
    <w:rsid w:val="004776BC"/>
    <w:rsid w:val="0048139F"/>
    <w:rsid w:val="00481CEB"/>
    <w:rsid w:val="00481E40"/>
    <w:rsid w:val="00481F58"/>
    <w:rsid w:val="00483465"/>
    <w:rsid w:val="004834E5"/>
    <w:rsid w:val="00483BED"/>
    <w:rsid w:val="0048429C"/>
    <w:rsid w:val="004842DB"/>
    <w:rsid w:val="00484319"/>
    <w:rsid w:val="00484915"/>
    <w:rsid w:val="00484D49"/>
    <w:rsid w:val="00484ECE"/>
    <w:rsid w:val="00484FF1"/>
    <w:rsid w:val="00485567"/>
    <w:rsid w:val="00485B0F"/>
    <w:rsid w:val="00485B76"/>
    <w:rsid w:val="00485E39"/>
    <w:rsid w:val="00487E9D"/>
    <w:rsid w:val="00490F35"/>
    <w:rsid w:val="004915CB"/>
    <w:rsid w:val="00492327"/>
    <w:rsid w:val="004924DC"/>
    <w:rsid w:val="004925F0"/>
    <w:rsid w:val="00493AE0"/>
    <w:rsid w:val="00494CB8"/>
    <w:rsid w:val="00495663"/>
    <w:rsid w:val="004962DC"/>
    <w:rsid w:val="004963C7"/>
    <w:rsid w:val="00496E81"/>
    <w:rsid w:val="004976EF"/>
    <w:rsid w:val="004A14E4"/>
    <w:rsid w:val="004A21DE"/>
    <w:rsid w:val="004A3212"/>
    <w:rsid w:val="004A3A0F"/>
    <w:rsid w:val="004A3D00"/>
    <w:rsid w:val="004A46B3"/>
    <w:rsid w:val="004A5494"/>
    <w:rsid w:val="004A6198"/>
    <w:rsid w:val="004A61C5"/>
    <w:rsid w:val="004A767E"/>
    <w:rsid w:val="004A77DF"/>
    <w:rsid w:val="004B1321"/>
    <w:rsid w:val="004B1417"/>
    <w:rsid w:val="004B3545"/>
    <w:rsid w:val="004B55B7"/>
    <w:rsid w:val="004B57B8"/>
    <w:rsid w:val="004B5893"/>
    <w:rsid w:val="004B5A60"/>
    <w:rsid w:val="004B5D8A"/>
    <w:rsid w:val="004B6468"/>
    <w:rsid w:val="004B672F"/>
    <w:rsid w:val="004B6A60"/>
    <w:rsid w:val="004B7125"/>
    <w:rsid w:val="004B7985"/>
    <w:rsid w:val="004B7D56"/>
    <w:rsid w:val="004C123D"/>
    <w:rsid w:val="004C180F"/>
    <w:rsid w:val="004C1A40"/>
    <w:rsid w:val="004C2A08"/>
    <w:rsid w:val="004C2DE9"/>
    <w:rsid w:val="004C384C"/>
    <w:rsid w:val="004C3867"/>
    <w:rsid w:val="004C456F"/>
    <w:rsid w:val="004C4CD0"/>
    <w:rsid w:val="004C5B81"/>
    <w:rsid w:val="004C5E2B"/>
    <w:rsid w:val="004C6092"/>
    <w:rsid w:val="004C63B5"/>
    <w:rsid w:val="004C64E7"/>
    <w:rsid w:val="004C68CC"/>
    <w:rsid w:val="004C70DC"/>
    <w:rsid w:val="004D0211"/>
    <w:rsid w:val="004D0794"/>
    <w:rsid w:val="004D0974"/>
    <w:rsid w:val="004D1C4E"/>
    <w:rsid w:val="004D40CC"/>
    <w:rsid w:val="004D43B0"/>
    <w:rsid w:val="004D4C36"/>
    <w:rsid w:val="004D54EE"/>
    <w:rsid w:val="004D5C93"/>
    <w:rsid w:val="004D797A"/>
    <w:rsid w:val="004D7F47"/>
    <w:rsid w:val="004E1288"/>
    <w:rsid w:val="004E1CDC"/>
    <w:rsid w:val="004E285C"/>
    <w:rsid w:val="004E32F5"/>
    <w:rsid w:val="004E350A"/>
    <w:rsid w:val="004E418F"/>
    <w:rsid w:val="004E53BA"/>
    <w:rsid w:val="004E5681"/>
    <w:rsid w:val="004E5A45"/>
    <w:rsid w:val="004E5A64"/>
    <w:rsid w:val="004E70E9"/>
    <w:rsid w:val="004E75B6"/>
    <w:rsid w:val="004E7646"/>
    <w:rsid w:val="004E7C6B"/>
    <w:rsid w:val="004F06F5"/>
    <w:rsid w:val="004F1254"/>
    <w:rsid w:val="004F16B2"/>
    <w:rsid w:val="004F16E1"/>
    <w:rsid w:val="004F1744"/>
    <w:rsid w:val="004F19AD"/>
    <w:rsid w:val="004F2652"/>
    <w:rsid w:val="004F2C1B"/>
    <w:rsid w:val="004F33A0"/>
    <w:rsid w:val="004F3A59"/>
    <w:rsid w:val="004F3A84"/>
    <w:rsid w:val="004F5E61"/>
    <w:rsid w:val="004F6154"/>
    <w:rsid w:val="005005CD"/>
    <w:rsid w:val="00500CEE"/>
    <w:rsid w:val="005015F6"/>
    <w:rsid w:val="005019AE"/>
    <w:rsid w:val="00501E5A"/>
    <w:rsid w:val="0050385E"/>
    <w:rsid w:val="00503A6E"/>
    <w:rsid w:val="00503B80"/>
    <w:rsid w:val="005040A8"/>
    <w:rsid w:val="005042BB"/>
    <w:rsid w:val="00504EE1"/>
    <w:rsid w:val="0050689D"/>
    <w:rsid w:val="0050736A"/>
    <w:rsid w:val="005075D4"/>
    <w:rsid w:val="005076A1"/>
    <w:rsid w:val="00510205"/>
    <w:rsid w:val="005108C0"/>
    <w:rsid w:val="00510A58"/>
    <w:rsid w:val="00511873"/>
    <w:rsid w:val="00511DE3"/>
    <w:rsid w:val="005124B6"/>
    <w:rsid w:val="00512A2F"/>
    <w:rsid w:val="00512F82"/>
    <w:rsid w:val="00513B7E"/>
    <w:rsid w:val="00513EE1"/>
    <w:rsid w:val="00513F7F"/>
    <w:rsid w:val="0051484B"/>
    <w:rsid w:val="00514AE7"/>
    <w:rsid w:val="00515684"/>
    <w:rsid w:val="00515737"/>
    <w:rsid w:val="00515C74"/>
    <w:rsid w:val="00515D55"/>
    <w:rsid w:val="00516086"/>
    <w:rsid w:val="00516E42"/>
    <w:rsid w:val="0051713B"/>
    <w:rsid w:val="0052007E"/>
    <w:rsid w:val="00520D1D"/>
    <w:rsid w:val="00521344"/>
    <w:rsid w:val="0052164F"/>
    <w:rsid w:val="005217F8"/>
    <w:rsid w:val="00521B64"/>
    <w:rsid w:val="00522317"/>
    <w:rsid w:val="005223DB"/>
    <w:rsid w:val="0052337A"/>
    <w:rsid w:val="005235E2"/>
    <w:rsid w:val="00523720"/>
    <w:rsid w:val="005243E8"/>
    <w:rsid w:val="00525137"/>
    <w:rsid w:val="005251DD"/>
    <w:rsid w:val="00525933"/>
    <w:rsid w:val="005259A8"/>
    <w:rsid w:val="00526DF6"/>
    <w:rsid w:val="00526FCE"/>
    <w:rsid w:val="00530D0C"/>
    <w:rsid w:val="005325DB"/>
    <w:rsid w:val="0053263A"/>
    <w:rsid w:val="00532CE7"/>
    <w:rsid w:val="00532E62"/>
    <w:rsid w:val="00532F43"/>
    <w:rsid w:val="0053324C"/>
    <w:rsid w:val="00533323"/>
    <w:rsid w:val="00533DAC"/>
    <w:rsid w:val="00533E77"/>
    <w:rsid w:val="00534644"/>
    <w:rsid w:val="00534A28"/>
    <w:rsid w:val="00534D01"/>
    <w:rsid w:val="00535403"/>
    <w:rsid w:val="00535514"/>
    <w:rsid w:val="00536E13"/>
    <w:rsid w:val="00536EE7"/>
    <w:rsid w:val="005370C0"/>
    <w:rsid w:val="00537F1F"/>
    <w:rsid w:val="00541508"/>
    <w:rsid w:val="00542F0D"/>
    <w:rsid w:val="00543409"/>
    <w:rsid w:val="00543498"/>
    <w:rsid w:val="00544315"/>
    <w:rsid w:val="00545290"/>
    <w:rsid w:val="00545512"/>
    <w:rsid w:val="00545834"/>
    <w:rsid w:val="005467BD"/>
    <w:rsid w:val="00547D28"/>
    <w:rsid w:val="005502CF"/>
    <w:rsid w:val="00550D51"/>
    <w:rsid w:val="005515C5"/>
    <w:rsid w:val="00552952"/>
    <w:rsid w:val="0055298F"/>
    <w:rsid w:val="00552F16"/>
    <w:rsid w:val="00553016"/>
    <w:rsid w:val="00554DC2"/>
    <w:rsid w:val="005552D3"/>
    <w:rsid w:val="00555943"/>
    <w:rsid w:val="0055599F"/>
    <w:rsid w:val="00556995"/>
    <w:rsid w:val="00556D68"/>
    <w:rsid w:val="00557C98"/>
    <w:rsid w:val="00560AAF"/>
    <w:rsid w:val="0056129B"/>
    <w:rsid w:val="005624E3"/>
    <w:rsid w:val="00562CFC"/>
    <w:rsid w:val="0056347F"/>
    <w:rsid w:val="00563EB8"/>
    <w:rsid w:val="005647BF"/>
    <w:rsid w:val="0056486D"/>
    <w:rsid w:val="00564AF1"/>
    <w:rsid w:val="00564F39"/>
    <w:rsid w:val="0056516B"/>
    <w:rsid w:val="0056601A"/>
    <w:rsid w:val="005675BA"/>
    <w:rsid w:val="00570868"/>
    <w:rsid w:val="00571D4F"/>
    <w:rsid w:val="005722EB"/>
    <w:rsid w:val="0057364B"/>
    <w:rsid w:val="00574773"/>
    <w:rsid w:val="005763D0"/>
    <w:rsid w:val="00576DB1"/>
    <w:rsid w:val="00577F85"/>
    <w:rsid w:val="005803F3"/>
    <w:rsid w:val="0058050D"/>
    <w:rsid w:val="005825E4"/>
    <w:rsid w:val="0058308D"/>
    <w:rsid w:val="0058383C"/>
    <w:rsid w:val="00583FFD"/>
    <w:rsid w:val="00584678"/>
    <w:rsid w:val="0058472C"/>
    <w:rsid w:val="00584F6E"/>
    <w:rsid w:val="005853F9"/>
    <w:rsid w:val="00585C37"/>
    <w:rsid w:val="005860A7"/>
    <w:rsid w:val="00586645"/>
    <w:rsid w:val="00586801"/>
    <w:rsid w:val="00586C79"/>
    <w:rsid w:val="00587873"/>
    <w:rsid w:val="00591099"/>
    <w:rsid w:val="005911BE"/>
    <w:rsid w:val="0059174C"/>
    <w:rsid w:val="00592E71"/>
    <w:rsid w:val="00593152"/>
    <w:rsid w:val="00593455"/>
    <w:rsid w:val="00593649"/>
    <w:rsid w:val="005938E3"/>
    <w:rsid w:val="00593B81"/>
    <w:rsid w:val="00593F47"/>
    <w:rsid w:val="00594294"/>
    <w:rsid w:val="00595412"/>
    <w:rsid w:val="00596010"/>
    <w:rsid w:val="005A0C11"/>
    <w:rsid w:val="005A0DA4"/>
    <w:rsid w:val="005A0EF2"/>
    <w:rsid w:val="005A10F2"/>
    <w:rsid w:val="005A117B"/>
    <w:rsid w:val="005A14E8"/>
    <w:rsid w:val="005A2052"/>
    <w:rsid w:val="005A21E0"/>
    <w:rsid w:val="005A28FF"/>
    <w:rsid w:val="005A2F33"/>
    <w:rsid w:val="005A3003"/>
    <w:rsid w:val="005A30C1"/>
    <w:rsid w:val="005A327C"/>
    <w:rsid w:val="005A3DF8"/>
    <w:rsid w:val="005A4270"/>
    <w:rsid w:val="005A5113"/>
    <w:rsid w:val="005A5549"/>
    <w:rsid w:val="005A5960"/>
    <w:rsid w:val="005A609F"/>
    <w:rsid w:val="005A6ADC"/>
    <w:rsid w:val="005A6E72"/>
    <w:rsid w:val="005A7038"/>
    <w:rsid w:val="005A70B0"/>
    <w:rsid w:val="005B0A44"/>
    <w:rsid w:val="005B1010"/>
    <w:rsid w:val="005B121D"/>
    <w:rsid w:val="005B1FC6"/>
    <w:rsid w:val="005B2C13"/>
    <w:rsid w:val="005B2E23"/>
    <w:rsid w:val="005B3361"/>
    <w:rsid w:val="005B3CE6"/>
    <w:rsid w:val="005B4276"/>
    <w:rsid w:val="005B461B"/>
    <w:rsid w:val="005B650E"/>
    <w:rsid w:val="005B684D"/>
    <w:rsid w:val="005B70DB"/>
    <w:rsid w:val="005B720C"/>
    <w:rsid w:val="005C06ED"/>
    <w:rsid w:val="005C0E54"/>
    <w:rsid w:val="005C17A3"/>
    <w:rsid w:val="005C2609"/>
    <w:rsid w:val="005C3800"/>
    <w:rsid w:val="005C415F"/>
    <w:rsid w:val="005C45E1"/>
    <w:rsid w:val="005C4A78"/>
    <w:rsid w:val="005C4E8C"/>
    <w:rsid w:val="005C51EA"/>
    <w:rsid w:val="005C572E"/>
    <w:rsid w:val="005C63DE"/>
    <w:rsid w:val="005C6589"/>
    <w:rsid w:val="005C69C1"/>
    <w:rsid w:val="005C6CF0"/>
    <w:rsid w:val="005D0D46"/>
    <w:rsid w:val="005D1C83"/>
    <w:rsid w:val="005D2579"/>
    <w:rsid w:val="005D2CDA"/>
    <w:rsid w:val="005D4DDB"/>
    <w:rsid w:val="005D5600"/>
    <w:rsid w:val="005D5802"/>
    <w:rsid w:val="005D5B5E"/>
    <w:rsid w:val="005D67FE"/>
    <w:rsid w:val="005D7119"/>
    <w:rsid w:val="005D7241"/>
    <w:rsid w:val="005D7890"/>
    <w:rsid w:val="005D78EA"/>
    <w:rsid w:val="005E1A7A"/>
    <w:rsid w:val="005E1F82"/>
    <w:rsid w:val="005E274A"/>
    <w:rsid w:val="005E57C0"/>
    <w:rsid w:val="005E5E4D"/>
    <w:rsid w:val="005E6221"/>
    <w:rsid w:val="005E705E"/>
    <w:rsid w:val="005E7C78"/>
    <w:rsid w:val="005F0465"/>
    <w:rsid w:val="005F131C"/>
    <w:rsid w:val="005F18C5"/>
    <w:rsid w:val="005F19BD"/>
    <w:rsid w:val="005F19DB"/>
    <w:rsid w:val="005F3033"/>
    <w:rsid w:val="005F3374"/>
    <w:rsid w:val="005F3491"/>
    <w:rsid w:val="005F3EB1"/>
    <w:rsid w:val="005F3F91"/>
    <w:rsid w:val="005F46D8"/>
    <w:rsid w:val="005F5469"/>
    <w:rsid w:val="005F6E1D"/>
    <w:rsid w:val="005F73E7"/>
    <w:rsid w:val="00601755"/>
    <w:rsid w:val="00602444"/>
    <w:rsid w:val="00603FF5"/>
    <w:rsid w:val="00604307"/>
    <w:rsid w:val="00604792"/>
    <w:rsid w:val="0060487F"/>
    <w:rsid w:val="00604A3B"/>
    <w:rsid w:val="00604EAD"/>
    <w:rsid w:val="006057BE"/>
    <w:rsid w:val="00605D96"/>
    <w:rsid w:val="00606957"/>
    <w:rsid w:val="006104FB"/>
    <w:rsid w:val="006105C1"/>
    <w:rsid w:val="0061096C"/>
    <w:rsid w:val="00610A25"/>
    <w:rsid w:val="0061142E"/>
    <w:rsid w:val="00611CC2"/>
    <w:rsid w:val="00612A2F"/>
    <w:rsid w:val="00613469"/>
    <w:rsid w:val="0061390C"/>
    <w:rsid w:val="00615195"/>
    <w:rsid w:val="00615DB6"/>
    <w:rsid w:val="006162DC"/>
    <w:rsid w:val="006165E5"/>
    <w:rsid w:val="006167D7"/>
    <w:rsid w:val="00616997"/>
    <w:rsid w:val="00616E05"/>
    <w:rsid w:val="006206AF"/>
    <w:rsid w:val="00622275"/>
    <w:rsid w:val="00622E4E"/>
    <w:rsid w:val="00623178"/>
    <w:rsid w:val="006234F7"/>
    <w:rsid w:val="00623D49"/>
    <w:rsid w:val="00623DAE"/>
    <w:rsid w:val="00624093"/>
    <w:rsid w:val="00625F8F"/>
    <w:rsid w:val="006266AD"/>
    <w:rsid w:val="00626BF5"/>
    <w:rsid w:val="00626EDC"/>
    <w:rsid w:val="006273B9"/>
    <w:rsid w:val="00631232"/>
    <w:rsid w:val="006313A5"/>
    <w:rsid w:val="006322E1"/>
    <w:rsid w:val="0063327C"/>
    <w:rsid w:val="006340DD"/>
    <w:rsid w:val="00634144"/>
    <w:rsid w:val="00634272"/>
    <w:rsid w:val="00634573"/>
    <w:rsid w:val="00634F8F"/>
    <w:rsid w:val="00634FA8"/>
    <w:rsid w:val="006350D5"/>
    <w:rsid w:val="0063592B"/>
    <w:rsid w:val="006369C4"/>
    <w:rsid w:val="00637719"/>
    <w:rsid w:val="006404A7"/>
    <w:rsid w:val="006413CE"/>
    <w:rsid w:val="00641A8B"/>
    <w:rsid w:val="00642EAC"/>
    <w:rsid w:val="00642FA3"/>
    <w:rsid w:val="00643D6B"/>
    <w:rsid w:val="00643D99"/>
    <w:rsid w:val="006451E4"/>
    <w:rsid w:val="00645392"/>
    <w:rsid w:val="00645B33"/>
    <w:rsid w:val="006463B9"/>
    <w:rsid w:val="00647166"/>
    <w:rsid w:val="006509D3"/>
    <w:rsid w:val="00650DD6"/>
    <w:rsid w:val="006510BC"/>
    <w:rsid w:val="006516CB"/>
    <w:rsid w:val="00652C41"/>
    <w:rsid w:val="00653662"/>
    <w:rsid w:val="006554E9"/>
    <w:rsid w:val="00656FC8"/>
    <w:rsid w:val="00657168"/>
    <w:rsid w:val="006576BA"/>
    <w:rsid w:val="00657E87"/>
    <w:rsid w:val="00660023"/>
    <w:rsid w:val="00660072"/>
    <w:rsid w:val="00661C4F"/>
    <w:rsid w:val="006625C2"/>
    <w:rsid w:val="00662BD4"/>
    <w:rsid w:val="006630A1"/>
    <w:rsid w:val="00664803"/>
    <w:rsid w:val="0066504F"/>
    <w:rsid w:val="006658AB"/>
    <w:rsid w:val="00665BA4"/>
    <w:rsid w:val="00666906"/>
    <w:rsid w:val="00666AE9"/>
    <w:rsid w:val="00666DCD"/>
    <w:rsid w:val="006674B6"/>
    <w:rsid w:val="00667AF2"/>
    <w:rsid w:val="0067086B"/>
    <w:rsid w:val="006710C9"/>
    <w:rsid w:val="006712EC"/>
    <w:rsid w:val="00671407"/>
    <w:rsid w:val="006714DC"/>
    <w:rsid w:val="0067229E"/>
    <w:rsid w:val="00673247"/>
    <w:rsid w:val="006732EA"/>
    <w:rsid w:val="006741AC"/>
    <w:rsid w:val="00674D89"/>
    <w:rsid w:val="00675596"/>
    <w:rsid w:val="0067563A"/>
    <w:rsid w:val="00675E37"/>
    <w:rsid w:val="00676CA2"/>
    <w:rsid w:val="00676F28"/>
    <w:rsid w:val="006812CF"/>
    <w:rsid w:val="0068174E"/>
    <w:rsid w:val="00681C9F"/>
    <w:rsid w:val="00681DCE"/>
    <w:rsid w:val="006825E7"/>
    <w:rsid w:val="0068260E"/>
    <w:rsid w:val="006838AC"/>
    <w:rsid w:val="006840DA"/>
    <w:rsid w:val="006843C9"/>
    <w:rsid w:val="00685695"/>
    <w:rsid w:val="0068672C"/>
    <w:rsid w:val="0068697A"/>
    <w:rsid w:val="00687E97"/>
    <w:rsid w:val="00690FBB"/>
    <w:rsid w:val="00691046"/>
    <w:rsid w:val="00693265"/>
    <w:rsid w:val="00693CAA"/>
    <w:rsid w:val="00693FEC"/>
    <w:rsid w:val="006947DD"/>
    <w:rsid w:val="006947E3"/>
    <w:rsid w:val="0069490A"/>
    <w:rsid w:val="00694CC9"/>
    <w:rsid w:val="00694D9C"/>
    <w:rsid w:val="00695158"/>
    <w:rsid w:val="00695BEF"/>
    <w:rsid w:val="0069608D"/>
    <w:rsid w:val="006969F4"/>
    <w:rsid w:val="006977F6"/>
    <w:rsid w:val="00697A13"/>
    <w:rsid w:val="006A0211"/>
    <w:rsid w:val="006A0658"/>
    <w:rsid w:val="006A109C"/>
    <w:rsid w:val="006A1507"/>
    <w:rsid w:val="006A1528"/>
    <w:rsid w:val="006A15F2"/>
    <w:rsid w:val="006A1E43"/>
    <w:rsid w:val="006A1EB8"/>
    <w:rsid w:val="006A2056"/>
    <w:rsid w:val="006A211B"/>
    <w:rsid w:val="006A31AB"/>
    <w:rsid w:val="006A363D"/>
    <w:rsid w:val="006A3D17"/>
    <w:rsid w:val="006A5477"/>
    <w:rsid w:val="006A55AA"/>
    <w:rsid w:val="006A70B1"/>
    <w:rsid w:val="006B0F92"/>
    <w:rsid w:val="006B173A"/>
    <w:rsid w:val="006B1C9A"/>
    <w:rsid w:val="006B2AFD"/>
    <w:rsid w:val="006B32C8"/>
    <w:rsid w:val="006B344A"/>
    <w:rsid w:val="006B4367"/>
    <w:rsid w:val="006B436C"/>
    <w:rsid w:val="006B6C74"/>
    <w:rsid w:val="006B759B"/>
    <w:rsid w:val="006B78D8"/>
    <w:rsid w:val="006B7F88"/>
    <w:rsid w:val="006C055D"/>
    <w:rsid w:val="006C0BAC"/>
    <w:rsid w:val="006C0BE2"/>
    <w:rsid w:val="006C0E68"/>
    <w:rsid w:val="006C113F"/>
    <w:rsid w:val="006C123E"/>
    <w:rsid w:val="006C1752"/>
    <w:rsid w:val="006C1901"/>
    <w:rsid w:val="006C1957"/>
    <w:rsid w:val="006C398B"/>
    <w:rsid w:val="006C4460"/>
    <w:rsid w:val="006C4C0E"/>
    <w:rsid w:val="006C4ED6"/>
    <w:rsid w:val="006C56D4"/>
    <w:rsid w:val="006C6071"/>
    <w:rsid w:val="006C6924"/>
    <w:rsid w:val="006C70EB"/>
    <w:rsid w:val="006C7CA6"/>
    <w:rsid w:val="006D006E"/>
    <w:rsid w:val="006D0720"/>
    <w:rsid w:val="006D146C"/>
    <w:rsid w:val="006D1917"/>
    <w:rsid w:val="006D2077"/>
    <w:rsid w:val="006D2CB3"/>
    <w:rsid w:val="006D3E8A"/>
    <w:rsid w:val="006D4017"/>
    <w:rsid w:val="006D61F6"/>
    <w:rsid w:val="006D6FE6"/>
    <w:rsid w:val="006E1465"/>
    <w:rsid w:val="006E1709"/>
    <w:rsid w:val="006E279A"/>
    <w:rsid w:val="006E313B"/>
    <w:rsid w:val="006E3ACB"/>
    <w:rsid w:val="006E3C21"/>
    <w:rsid w:val="006E41EC"/>
    <w:rsid w:val="006E4254"/>
    <w:rsid w:val="006E4448"/>
    <w:rsid w:val="006E50F8"/>
    <w:rsid w:val="006E6A58"/>
    <w:rsid w:val="006E7227"/>
    <w:rsid w:val="006E7AAF"/>
    <w:rsid w:val="006F0002"/>
    <w:rsid w:val="006F12E9"/>
    <w:rsid w:val="006F2394"/>
    <w:rsid w:val="006F31C9"/>
    <w:rsid w:val="006F438E"/>
    <w:rsid w:val="006F5416"/>
    <w:rsid w:val="006F67E5"/>
    <w:rsid w:val="006F7076"/>
    <w:rsid w:val="006F71F3"/>
    <w:rsid w:val="00702368"/>
    <w:rsid w:val="00702448"/>
    <w:rsid w:val="007038CD"/>
    <w:rsid w:val="00703F77"/>
    <w:rsid w:val="00705242"/>
    <w:rsid w:val="007057B2"/>
    <w:rsid w:val="00706755"/>
    <w:rsid w:val="00706AD4"/>
    <w:rsid w:val="00707150"/>
    <w:rsid w:val="0070732E"/>
    <w:rsid w:val="00707CCC"/>
    <w:rsid w:val="00710078"/>
    <w:rsid w:val="00710229"/>
    <w:rsid w:val="007119E0"/>
    <w:rsid w:val="0071217E"/>
    <w:rsid w:val="0071371F"/>
    <w:rsid w:val="007140BE"/>
    <w:rsid w:val="007143B4"/>
    <w:rsid w:val="007150C7"/>
    <w:rsid w:val="0071517E"/>
    <w:rsid w:val="00717F5E"/>
    <w:rsid w:val="00720155"/>
    <w:rsid w:val="007204F0"/>
    <w:rsid w:val="00720C33"/>
    <w:rsid w:val="007211F5"/>
    <w:rsid w:val="00721212"/>
    <w:rsid w:val="00721E09"/>
    <w:rsid w:val="0072213B"/>
    <w:rsid w:val="0072313F"/>
    <w:rsid w:val="00723605"/>
    <w:rsid w:val="00723946"/>
    <w:rsid w:val="007240E2"/>
    <w:rsid w:val="00725BB5"/>
    <w:rsid w:val="00730517"/>
    <w:rsid w:val="00730996"/>
    <w:rsid w:val="00730AE8"/>
    <w:rsid w:val="00730F1B"/>
    <w:rsid w:val="00731EEE"/>
    <w:rsid w:val="0073215D"/>
    <w:rsid w:val="00733628"/>
    <w:rsid w:val="007342AC"/>
    <w:rsid w:val="00734E77"/>
    <w:rsid w:val="00735104"/>
    <w:rsid w:val="007357C1"/>
    <w:rsid w:val="007358C3"/>
    <w:rsid w:val="00736B32"/>
    <w:rsid w:val="0074009D"/>
    <w:rsid w:val="00740A88"/>
    <w:rsid w:val="00740BC7"/>
    <w:rsid w:val="00740CF5"/>
    <w:rsid w:val="00741493"/>
    <w:rsid w:val="007435D2"/>
    <w:rsid w:val="00743B7C"/>
    <w:rsid w:val="00743C34"/>
    <w:rsid w:val="00743C7A"/>
    <w:rsid w:val="007457F6"/>
    <w:rsid w:val="00746155"/>
    <w:rsid w:val="0074779B"/>
    <w:rsid w:val="00751A85"/>
    <w:rsid w:val="00752180"/>
    <w:rsid w:val="00752D71"/>
    <w:rsid w:val="00753CAB"/>
    <w:rsid w:val="00753EB4"/>
    <w:rsid w:val="007551EA"/>
    <w:rsid w:val="00755202"/>
    <w:rsid w:val="00755C4F"/>
    <w:rsid w:val="00755D3A"/>
    <w:rsid w:val="00756417"/>
    <w:rsid w:val="00756C54"/>
    <w:rsid w:val="00756EAB"/>
    <w:rsid w:val="00757754"/>
    <w:rsid w:val="007578D3"/>
    <w:rsid w:val="007579AE"/>
    <w:rsid w:val="00757EBE"/>
    <w:rsid w:val="00760522"/>
    <w:rsid w:val="0076097A"/>
    <w:rsid w:val="007609C6"/>
    <w:rsid w:val="00760EA4"/>
    <w:rsid w:val="00761361"/>
    <w:rsid w:val="0076175D"/>
    <w:rsid w:val="00763B85"/>
    <w:rsid w:val="00764344"/>
    <w:rsid w:val="00764744"/>
    <w:rsid w:val="0076521E"/>
    <w:rsid w:val="007653FB"/>
    <w:rsid w:val="00765C12"/>
    <w:rsid w:val="007661E9"/>
    <w:rsid w:val="00766359"/>
    <w:rsid w:val="007679B9"/>
    <w:rsid w:val="00770784"/>
    <w:rsid w:val="00770A8A"/>
    <w:rsid w:val="00770FC8"/>
    <w:rsid w:val="00773220"/>
    <w:rsid w:val="00773598"/>
    <w:rsid w:val="00773692"/>
    <w:rsid w:val="00774215"/>
    <w:rsid w:val="007745D4"/>
    <w:rsid w:val="00774C0A"/>
    <w:rsid w:val="00774D45"/>
    <w:rsid w:val="007755ED"/>
    <w:rsid w:val="00776169"/>
    <w:rsid w:val="00776527"/>
    <w:rsid w:val="00776EAB"/>
    <w:rsid w:val="00777CAB"/>
    <w:rsid w:val="00780903"/>
    <w:rsid w:val="00780EF1"/>
    <w:rsid w:val="00781D13"/>
    <w:rsid w:val="00781F7F"/>
    <w:rsid w:val="00782952"/>
    <w:rsid w:val="00782AD8"/>
    <w:rsid w:val="00783F21"/>
    <w:rsid w:val="00785275"/>
    <w:rsid w:val="00786429"/>
    <w:rsid w:val="0078669A"/>
    <w:rsid w:val="00786880"/>
    <w:rsid w:val="00787D37"/>
    <w:rsid w:val="00787E2A"/>
    <w:rsid w:val="00790711"/>
    <w:rsid w:val="00790764"/>
    <w:rsid w:val="0079124F"/>
    <w:rsid w:val="00791254"/>
    <w:rsid w:val="00791F56"/>
    <w:rsid w:val="007928AB"/>
    <w:rsid w:val="00793DB3"/>
    <w:rsid w:val="0079453C"/>
    <w:rsid w:val="00794677"/>
    <w:rsid w:val="007946E5"/>
    <w:rsid w:val="007956AB"/>
    <w:rsid w:val="00795928"/>
    <w:rsid w:val="00797445"/>
    <w:rsid w:val="007A0265"/>
    <w:rsid w:val="007A3861"/>
    <w:rsid w:val="007A4282"/>
    <w:rsid w:val="007A4577"/>
    <w:rsid w:val="007A4DEE"/>
    <w:rsid w:val="007A516D"/>
    <w:rsid w:val="007A60A6"/>
    <w:rsid w:val="007A72C3"/>
    <w:rsid w:val="007A7985"/>
    <w:rsid w:val="007B14DE"/>
    <w:rsid w:val="007B1827"/>
    <w:rsid w:val="007B23EC"/>
    <w:rsid w:val="007B4498"/>
    <w:rsid w:val="007B5212"/>
    <w:rsid w:val="007B6689"/>
    <w:rsid w:val="007C042D"/>
    <w:rsid w:val="007C17A1"/>
    <w:rsid w:val="007C20B2"/>
    <w:rsid w:val="007C222B"/>
    <w:rsid w:val="007C2D11"/>
    <w:rsid w:val="007C398F"/>
    <w:rsid w:val="007C4222"/>
    <w:rsid w:val="007C42C1"/>
    <w:rsid w:val="007C4955"/>
    <w:rsid w:val="007C6BBD"/>
    <w:rsid w:val="007C7252"/>
    <w:rsid w:val="007C7381"/>
    <w:rsid w:val="007D0B6E"/>
    <w:rsid w:val="007D13C8"/>
    <w:rsid w:val="007D223A"/>
    <w:rsid w:val="007D293C"/>
    <w:rsid w:val="007D318F"/>
    <w:rsid w:val="007D385F"/>
    <w:rsid w:val="007D3C6C"/>
    <w:rsid w:val="007D40DF"/>
    <w:rsid w:val="007D5AE6"/>
    <w:rsid w:val="007D713E"/>
    <w:rsid w:val="007D7DF1"/>
    <w:rsid w:val="007E10B7"/>
    <w:rsid w:val="007E11DF"/>
    <w:rsid w:val="007E1327"/>
    <w:rsid w:val="007E1FE8"/>
    <w:rsid w:val="007E29B4"/>
    <w:rsid w:val="007E2E22"/>
    <w:rsid w:val="007E435A"/>
    <w:rsid w:val="007E5052"/>
    <w:rsid w:val="007E5B38"/>
    <w:rsid w:val="007E5C29"/>
    <w:rsid w:val="007E6A6D"/>
    <w:rsid w:val="007E76C3"/>
    <w:rsid w:val="007E79DF"/>
    <w:rsid w:val="007E7DD7"/>
    <w:rsid w:val="007E7E61"/>
    <w:rsid w:val="007E7FCE"/>
    <w:rsid w:val="007F0076"/>
    <w:rsid w:val="007F02BF"/>
    <w:rsid w:val="007F0845"/>
    <w:rsid w:val="007F1D19"/>
    <w:rsid w:val="007F2276"/>
    <w:rsid w:val="007F2FC9"/>
    <w:rsid w:val="007F3C5C"/>
    <w:rsid w:val="007F4FAD"/>
    <w:rsid w:val="007F6133"/>
    <w:rsid w:val="007F6CA3"/>
    <w:rsid w:val="007F6DCB"/>
    <w:rsid w:val="007F708D"/>
    <w:rsid w:val="007F74C4"/>
    <w:rsid w:val="007F7CA0"/>
    <w:rsid w:val="00800216"/>
    <w:rsid w:val="00800A3B"/>
    <w:rsid w:val="0080170D"/>
    <w:rsid w:val="00801C76"/>
    <w:rsid w:val="00801E13"/>
    <w:rsid w:val="008031D4"/>
    <w:rsid w:val="00804202"/>
    <w:rsid w:val="00804252"/>
    <w:rsid w:val="00804B15"/>
    <w:rsid w:val="00804BA6"/>
    <w:rsid w:val="008068B1"/>
    <w:rsid w:val="00806CCE"/>
    <w:rsid w:val="00807365"/>
    <w:rsid w:val="00807C82"/>
    <w:rsid w:val="00810C82"/>
    <w:rsid w:val="00811E1D"/>
    <w:rsid w:val="00811EC3"/>
    <w:rsid w:val="00812141"/>
    <w:rsid w:val="00813F1A"/>
    <w:rsid w:val="008143E9"/>
    <w:rsid w:val="008145C6"/>
    <w:rsid w:val="008147D5"/>
    <w:rsid w:val="00814B15"/>
    <w:rsid w:val="008161A3"/>
    <w:rsid w:val="00816905"/>
    <w:rsid w:val="00817E55"/>
    <w:rsid w:val="00820D37"/>
    <w:rsid w:val="00820E1C"/>
    <w:rsid w:val="0082132C"/>
    <w:rsid w:val="00821373"/>
    <w:rsid w:val="0082151E"/>
    <w:rsid w:val="0082159F"/>
    <w:rsid w:val="00821777"/>
    <w:rsid w:val="00821C44"/>
    <w:rsid w:val="00821FF6"/>
    <w:rsid w:val="00822574"/>
    <w:rsid w:val="00822BB6"/>
    <w:rsid w:val="00822EE1"/>
    <w:rsid w:val="0082342B"/>
    <w:rsid w:val="0082466B"/>
    <w:rsid w:val="0082526C"/>
    <w:rsid w:val="00825C4D"/>
    <w:rsid w:val="00825CC3"/>
    <w:rsid w:val="00826D39"/>
    <w:rsid w:val="008304D1"/>
    <w:rsid w:val="0083071E"/>
    <w:rsid w:val="0083078E"/>
    <w:rsid w:val="00830824"/>
    <w:rsid w:val="008308D5"/>
    <w:rsid w:val="00830D03"/>
    <w:rsid w:val="0083143E"/>
    <w:rsid w:val="00831631"/>
    <w:rsid w:val="00831CDE"/>
    <w:rsid w:val="00832736"/>
    <w:rsid w:val="00833097"/>
    <w:rsid w:val="00833F17"/>
    <w:rsid w:val="00834304"/>
    <w:rsid w:val="00834FAA"/>
    <w:rsid w:val="0083516C"/>
    <w:rsid w:val="00836086"/>
    <w:rsid w:val="008403BB"/>
    <w:rsid w:val="00840DD4"/>
    <w:rsid w:val="00842B6F"/>
    <w:rsid w:val="008439CC"/>
    <w:rsid w:val="00843A14"/>
    <w:rsid w:val="00843FE9"/>
    <w:rsid w:val="0084472B"/>
    <w:rsid w:val="008456E4"/>
    <w:rsid w:val="00845CD7"/>
    <w:rsid w:val="00846121"/>
    <w:rsid w:val="008462A8"/>
    <w:rsid w:val="008464C4"/>
    <w:rsid w:val="0084708F"/>
    <w:rsid w:val="008477C8"/>
    <w:rsid w:val="00847963"/>
    <w:rsid w:val="00850815"/>
    <w:rsid w:val="0085114D"/>
    <w:rsid w:val="0085194F"/>
    <w:rsid w:val="00852217"/>
    <w:rsid w:val="00852C9C"/>
    <w:rsid w:val="008534B7"/>
    <w:rsid w:val="00853B8D"/>
    <w:rsid w:val="00854B29"/>
    <w:rsid w:val="00854F24"/>
    <w:rsid w:val="00855408"/>
    <w:rsid w:val="00855712"/>
    <w:rsid w:val="00856D65"/>
    <w:rsid w:val="00856FA5"/>
    <w:rsid w:val="008575BE"/>
    <w:rsid w:val="00860454"/>
    <w:rsid w:val="008606F3"/>
    <w:rsid w:val="00860E39"/>
    <w:rsid w:val="0086148F"/>
    <w:rsid w:val="00861B41"/>
    <w:rsid w:val="00861BE3"/>
    <w:rsid w:val="00863434"/>
    <w:rsid w:val="00864382"/>
    <w:rsid w:val="00864386"/>
    <w:rsid w:val="008644C3"/>
    <w:rsid w:val="008649BC"/>
    <w:rsid w:val="00865D45"/>
    <w:rsid w:val="00865E4C"/>
    <w:rsid w:val="00867414"/>
    <w:rsid w:val="008701E4"/>
    <w:rsid w:val="0087052A"/>
    <w:rsid w:val="00871069"/>
    <w:rsid w:val="008715A3"/>
    <w:rsid w:val="00872C9A"/>
    <w:rsid w:val="008734A8"/>
    <w:rsid w:val="008734E6"/>
    <w:rsid w:val="008736BF"/>
    <w:rsid w:val="008738FC"/>
    <w:rsid w:val="00875473"/>
    <w:rsid w:val="00875A32"/>
    <w:rsid w:val="00876086"/>
    <w:rsid w:val="008766AC"/>
    <w:rsid w:val="00876995"/>
    <w:rsid w:val="008774C1"/>
    <w:rsid w:val="00877928"/>
    <w:rsid w:val="00877BEC"/>
    <w:rsid w:val="008809C2"/>
    <w:rsid w:val="008813CE"/>
    <w:rsid w:val="00881EAF"/>
    <w:rsid w:val="008825B0"/>
    <w:rsid w:val="0088317A"/>
    <w:rsid w:val="0088395C"/>
    <w:rsid w:val="00884AD6"/>
    <w:rsid w:val="00884D49"/>
    <w:rsid w:val="00884EC7"/>
    <w:rsid w:val="00884F46"/>
    <w:rsid w:val="00885509"/>
    <w:rsid w:val="008870F7"/>
    <w:rsid w:val="008871FC"/>
    <w:rsid w:val="008873D4"/>
    <w:rsid w:val="0088793E"/>
    <w:rsid w:val="00890D6D"/>
    <w:rsid w:val="0089126C"/>
    <w:rsid w:val="0089151D"/>
    <w:rsid w:val="0089296D"/>
    <w:rsid w:val="00893119"/>
    <w:rsid w:val="00893404"/>
    <w:rsid w:val="00893E85"/>
    <w:rsid w:val="00894031"/>
    <w:rsid w:val="008942C9"/>
    <w:rsid w:val="00895508"/>
    <w:rsid w:val="0089588A"/>
    <w:rsid w:val="00896167"/>
    <w:rsid w:val="008965B7"/>
    <w:rsid w:val="00896807"/>
    <w:rsid w:val="00897F41"/>
    <w:rsid w:val="008A0BBE"/>
    <w:rsid w:val="008A1483"/>
    <w:rsid w:val="008A2099"/>
    <w:rsid w:val="008A28CE"/>
    <w:rsid w:val="008A3594"/>
    <w:rsid w:val="008A3D77"/>
    <w:rsid w:val="008A473C"/>
    <w:rsid w:val="008A6493"/>
    <w:rsid w:val="008A6CB4"/>
    <w:rsid w:val="008B09A7"/>
    <w:rsid w:val="008B13FE"/>
    <w:rsid w:val="008B1FA6"/>
    <w:rsid w:val="008B258B"/>
    <w:rsid w:val="008B2877"/>
    <w:rsid w:val="008B3A79"/>
    <w:rsid w:val="008B4833"/>
    <w:rsid w:val="008B4FCF"/>
    <w:rsid w:val="008B4FD8"/>
    <w:rsid w:val="008B542E"/>
    <w:rsid w:val="008B59B2"/>
    <w:rsid w:val="008B5CF6"/>
    <w:rsid w:val="008B5E01"/>
    <w:rsid w:val="008B5F6A"/>
    <w:rsid w:val="008B7103"/>
    <w:rsid w:val="008B768D"/>
    <w:rsid w:val="008B76AB"/>
    <w:rsid w:val="008B7C02"/>
    <w:rsid w:val="008B7D2B"/>
    <w:rsid w:val="008C0049"/>
    <w:rsid w:val="008C054D"/>
    <w:rsid w:val="008C0A0B"/>
    <w:rsid w:val="008C0B3A"/>
    <w:rsid w:val="008C0E29"/>
    <w:rsid w:val="008C0E88"/>
    <w:rsid w:val="008C1968"/>
    <w:rsid w:val="008C2537"/>
    <w:rsid w:val="008C3953"/>
    <w:rsid w:val="008C3ED5"/>
    <w:rsid w:val="008C4486"/>
    <w:rsid w:val="008C53CB"/>
    <w:rsid w:val="008C6CF4"/>
    <w:rsid w:val="008C6FD4"/>
    <w:rsid w:val="008C713F"/>
    <w:rsid w:val="008C762C"/>
    <w:rsid w:val="008D07B9"/>
    <w:rsid w:val="008D1BA1"/>
    <w:rsid w:val="008D1E6A"/>
    <w:rsid w:val="008D2A16"/>
    <w:rsid w:val="008D2F53"/>
    <w:rsid w:val="008D38B6"/>
    <w:rsid w:val="008D3BDF"/>
    <w:rsid w:val="008D5398"/>
    <w:rsid w:val="008D5792"/>
    <w:rsid w:val="008D60FD"/>
    <w:rsid w:val="008D632C"/>
    <w:rsid w:val="008D6B35"/>
    <w:rsid w:val="008D6C14"/>
    <w:rsid w:val="008D75D9"/>
    <w:rsid w:val="008D792D"/>
    <w:rsid w:val="008E163D"/>
    <w:rsid w:val="008E215D"/>
    <w:rsid w:val="008E2C57"/>
    <w:rsid w:val="008E31FF"/>
    <w:rsid w:val="008E3D12"/>
    <w:rsid w:val="008E3E9D"/>
    <w:rsid w:val="008E4A7C"/>
    <w:rsid w:val="008E582C"/>
    <w:rsid w:val="008E6542"/>
    <w:rsid w:val="008E6F06"/>
    <w:rsid w:val="008E6F24"/>
    <w:rsid w:val="008E6F8B"/>
    <w:rsid w:val="008E72A6"/>
    <w:rsid w:val="008E7336"/>
    <w:rsid w:val="008E77B5"/>
    <w:rsid w:val="008E7FC9"/>
    <w:rsid w:val="008F029B"/>
    <w:rsid w:val="008F100E"/>
    <w:rsid w:val="008F16B9"/>
    <w:rsid w:val="008F1D0A"/>
    <w:rsid w:val="008F3FC9"/>
    <w:rsid w:val="008F4380"/>
    <w:rsid w:val="008F4B7F"/>
    <w:rsid w:val="008F4F78"/>
    <w:rsid w:val="008F585B"/>
    <w:rsid w:val="008F5E37"/>
    <w:rsid w:val="008F5EC9"/>
    <w:rsid w:val="008F63C8"/>
    <w:rsid w:val="008F6CE6"/>
    <w:rsid w:val="008F75BE"/>
    <w:rsid w:val="008F75C5"/>
    <w:rsid w:val="008F7E77"/>
    <w:rsid w:val="009003A8"/>
    <w:rsid w:val="0090149C"/>
    <w:rsid w:val="00901518"/>
    <w:rsid w:val="0090157D"/>
    <w:rsid w:val="00901BCC"/>
    <w:rsid w:val="0090225A"/>
    <w:rsid w:val="00902500"/>
    <w:rsid w:val="009029A4"/>
    <w:rsid w:val="00902EFF"/>
    <w:rsid w:val="00903165"/>
    <w:rsid w:val="00903C11"/>
    <w:rsid w:val="00906401"/>
    <w:rsid w:val="0090651C"/>
    <w:rsid w:val="00907C10"/>
    <w:rsid w:val="0091155E"/>
    <w:rsid w:val="00911F27"/>
    <w:rsid w:val="00912A92"/>
    <w:rsid w:val="00914878"/>
    <w:rsid w:val="00914968"/>
    <w:rsid w:val="00914A3D"/>
    <w:rsid w:val="00916567"/>
    <w:rsid w:val="009165A2"/>
    <w:rsid w:val="00916AF7"/>
    <w:rsid w:val="00916BC1"/>
    <w:rsid w:val="00917170"/>
    <w:rsid w:val="0091728D"/>
    <w:rsid w:val="0092180B"/>
    <w:rsid w:val="00921F14"/>
    <w:rsid w:val="00922EC2"/>
    <w:rsid w:val="009231A3"/>
    <w:rsid w:val="00923FAC"/>
    <w:rsid w:val="00924097"/>
    <w:rsid w:val="009246F6"/>
    <w:rsid w:val="00924751"/>
    <w:rsid w:val="00924AC8"/>
    <w:rsid w:val="0092597A"/>
    <w:rsid w:val="00925E75"/>
    <w:rsid w:val="00927E8F"/>
    <w:rsid w:val="00930992"/>
    <w:rsid w:val="00930FB1"/>
    <w:rsid w:val="0093139F"/>
    <w:rsid w:val="00932443"/>
    <w:rsid w:val="00932AC9"/>
    <w:rsid w:val="009343AD"/>
    <w:rsid w:val="00934464"/>
    <w:rsid w:val="00934B5F"/>
    <w:rsid w:val="00936F50"/>
    <w:rsid w:val="0093790E"/>
    <w:rsid w:val="00937AE2"/>
    <w:rsid w:val="00940484"/>
    <w:rsid w:val="00941E15"/>
    <w:rsid w:val="00942ACC"/>
    <w:rsid w:val="00943853"/>
    <w:rsid w:val="0094427A"/>
    <w:rsid w:val="00944A35"/>
    <w:rsid w:val="00945245"/>
    <w:rsid w:val="009452D0"/>
    <w:rsid w:val="00947CEF"/>
    <w:rsid w:val="00950CC1"/>
    <w:rsid w:val="00951CB1"/>
    <w:rsid w:val="00953E53"/>
    <w:rsid w:val="00954FD6"/>
    <w:rsid w:val="00955E5A"/>
    <w:rsid w:val="00956572"/>
    <w:rsid w:val="00957309"/>
    <w:rsid w:val="0095759C"/>
    <w:rsid w:val="009607C5"/>
    <w:rsid w:val="00961532"/>
    <w:rsid w:val="00961BD9"/>
    <w:rsid w:val="0096307C"/>
    <w:rsid w:val="00963AB3"/>
    <w:rsid w:val="0096593B"/>
    <w:rsid w:val="009659E1"/>
    <w:rsid w:val="00965EEF"/>
    <w:rsid w:val="0096666B"/>
    <w:rsid w:val="00966940"/>
    <w:rsid w:val="00966E1F"/>
    <w:rsid w:val="0096774F"/>
    <w:rsid w:val="00967E1B"/>
    <w:rsid w:val="00967E76"/>
    <w:rsid w:val="00970716"/>
    <w:rsid w:val="00970DF4"/>
    <w:rsid w:val="009714FD"/>
    <w:rsid w:val="00971519"/>
    <w:rsid w:val="00972129"/>
    <w:rsid w:val="009721DB"/>
    <w:rsid w:val="0097239B"/>
    <w:rsid w:val="00973107"/>
    <w:rsid w:val="00974071"/>
    <w:rsid w:val="009748DF"/>
    <w:rsid w:val="00974923"/>
    <w:rsid w:val="00974AEB"/>
    <w:rsid w:val="00975BF2"/>
    <w:rsid w:val="009808F7"/>
    <w:rsid w:val="00980D3D"/>
    <w:rsid w:val="00980F3E"/>
    <w:rsid w:val="00981177"/>
    <w:rsid w:val="00981FFA"/>
    <w:rsid w:val="00983035"/>
    <w:rsid w:val="0098378C"/>
    <w:rsid w:val="00985569"/>
    <w:rsid w:val="009855E1"/>
    <w:rsid w:val="00986D06"/>
    <w:rsid w:val="00987A30"/>
    <w:rsid w:val="00990102"/>
    <w:rsid w:val="00991E07"/>
    <w:rsid w:val="00992CF3"/>
    <w:rsid w:val="00993BEF"/>
    <w:rsid w:val="00993C2A"/>
    <w:rsid w:val="0099450E"/>
    <w:rsid w:val="00994868"/>
    <w:rsid w:val="0099574A"/>
    <w:rsid w:val="00995C6D"/>
    <w:rsid w:val="00995C95"/>
    <w:rsid w:val="00995D56"/>
    <w:rsid w:val="009967F2"/>
    <w:rsid w:val="009968D6"/>
    <w:rsid w:val="00996A53"/>
    <w:rsid w:val="00996DBD"/>
    <w:rsid w:val="00997F37"/>
    <w:rsid w:val="009A0AD3"/>
    <w:rsid w:val="009A1761"/>
    <w:rsid w:val="009A1CAB"/>
    <w:rsid w:val="009A1DEB"/>
    <w:rsid w:val="009A28B2"/>
    <w:rsid w:val="009A2E25"/>
    <w:rsid w:val="009A461A"/>
    <w:rsid w:val="009A4E7B"/>
    <w:rsid w:val="009A60D1"/>
    <w:rsid w:val="009A643E"/>
    <w:rsid w:val="009A795A"/>
    <w:rsid w:val="009B0AC7"/>
    <w:rsid w:val="009B0AFB"/>
    <w:rsid w:val="009B2633"/>
    <w:rsid w:val="009B263B"/>
    <w:rsid w:val="009B2896"/>
    <w:rsid w:val="009B2C7D"/>
    <w:rsid w:val="009B4034"/>
    <w:rsid w:val="009B475E"/>
    <w:rsid w:val="009B48C0"/>
    <w:rsid w:val="009B49B1"/>
    <w:rsid w:val="009B6508"/>
    <w:rsid w:val="009B6F12"/>
    <w:rsid w:val="009B6FD3"/>
    <w:rsid w:val="009B7BED"/>
    <w:rsid w:val="009B7C76"/>
    <w:rsid w:val="009B7E27"/>
    <w:rsid w:val="009C02C3"/>
    <w:rsid w:val="009C0956"/>
    <w:rsid w:val="009C1750"/>
    <w:rsid w:val="009C1C14"/>
    <w:rsid w:val="009C2ACA"/>
    <w:rsid w:val="009C2E29"/>
    <w:rsid w:val="009C3F5D"/>
    <w:rsid w:val="009C3F70"/>
    <w:rsid w:val="009C4883"/>
    <w:rsid w:val="009C4EC5"/>
    <w:rsid w:val="009C554B"/>
    <w:rsid w:val="009C58CC"/>
    <w:rsid w:val="009C59D0"/>
    <w:rsid w:val="009C61F3"/>
    <w:rsid w:val="009C6352"/>
    <w:rsid w:val="009C65DC"/>
    <w:rsid w:val="009C6EF9"/>
    <w:rsid w:val="009C719E"/>
    <w:rsid w:val="009C7240"/>
    <w:rsid w:val="009C7A10"/>
    <w:rsid w:val="009C7E11"/>
    <w:rsid w:val="009D1120"/>
    <w:rsid w:val="009D14F4"/>
    <w:rsid w:val="009D201B"/>
    <w:rsid w:val="009D24D5"/>
    <w:rsid w:val="009D29DB"/>
    <w:rsid w:val="009D3803"/>
    <w:rsid w:val="009D3ACD"/>
    <w:rsid w:val="009D3B3F"/>
    <w:rsid w:val="009D4785"/>
    <w:rsid w:val="009D5649"/>
    <w:rsid w:val="009D7FC6"/>
    <w:rsid w:val="009E0CDF"/>
    <w:rsid w:val="009E16C0"/>
    <w:rsid w:val="009E1988"/>
    <w:rsid w:val="009E33BB"/>
    <w:rsid w:val="009E3AF1"/>
    <w:rsid w:val="009E4927"/>
    <w:rsid w:val="009E5127"/>
    <w:rsid w:val="009E5273"/>
    <w:rsid w:val="009E5685"/>
    <w:rsid w:val="009E5AD5"/>
    <w:rsid w:val="009E5DDB"/>
    <w:rsid w:val="009E7F05"/>
    <w:rsid w:val="009F034E"/>
    <w:rsid w:val="009F46B7"/>
    <w:rsid w:val="009F4CA7"/>
    <w:rsid w:val="009F563F"/>
    <w:rsid w:val="009F7558"/>
    <w:rsid w:val="009F791A"/>
    <w:rsid w:val="00A00CEF"/>
    <w:rsid w:val="00A0156B"/>
    <w:rsid w:val="00A022B7"/>
    <w:rsid w:val="00A03BF3"/>
    <w:rsid w:val="00A0406E"/>
    <w:rsid w:val="00A044C1"/>
    <w:rsid w:val="00A044D8"/>
    <w:rsid w:val="00A04CEF"/>
    <w:rsid w:val="00A06374"/>
    <w:rsid w:val="00A0642E"/>
    <w:rsid w:val="00A077E2"/>
    <w:rsid w:val="00A10BE6"/>
    <w:rsid w:val="00A10D66"/>
    <w:rsid w:val="00A10D89"/>
    <w:rsid w:val="00A12306"/>
    <w:rsid w:val="00A12CAE"/>
    <w:rsid w:val="00A13BDB"/>
    <w:rsid w:val="00A14114"/>
    <w:rsid w:val="00A144BA"/>
    <w:rsid w:val="00A14995"/>
    <w:rsid w:val="00A1537C"/>
    <w:rsid w:val="00A16413"/>
    <w:rsid w:val="00A1684E"/>
    <w:rsid w:val="00A16E1D"/>
    <w:rsid w:val="00A178D0"/>
    <w:rsid w:val="00A17918"/>
    <w:rsid w:val="00A17A35"/>
    <w:rsid w:val="00A17D5B"/>
    <w:rsid w:val="00A17EB2"/>
    <w:rsid w:val="00A206E5"/>
    <w:rsid w:val="00A20CC0"/>
    <w:rsid w:val="00A2141F"/>
    <w:rsid w:val="00A21D25"/>
    <w:rsid w:val="00A220CB"/>
    <w:rsid w:val="00A22C64"/>
    <w:rsid w:val="00A22DA7"/>
    <w:rsid w:val="00A23447"/>
    <w:rsid w:val="00A23E43"/>
    <w:rsid w:val="00A24A80"/>
    <w:rsid w:val="00A25216"/>
    <w:rsid w:val="00A25477"/>
    <w:rsid w:val="00A25DB9"/>
    <w:rsid w:val="00A25DC6"/>
    <w:rsid w:val="00A267EF"/>
    <w:rsid w:val="00A30825"/>
    <w:rsid w:val="00A30D32"/>
    <w:rsid w:val="00A30D6F"/>
    <w:rsid w:val="00A30DE7"/>
    <w:rsid w:val="00A30F65"/>
    <w:rsid w:val="00A318DC"/>
    <w:rsid w:val="00A32BF2"/>
    <w:rsid w:val="00A33549"/>
    <w:rsid w:val="00A33814"/>
    <w:rsid w:val="00A33A89"/>
    <w:rsid w:val="00A33FC9"/>
    <w:rsid w:val="00A349DB"/>
    <w:rsid w:val="00A34D27"/>
    <w:rsid w:val="00A37C50"/>
    <w:rsid w:val="00A40373"/>
    <w:rsid w:val="00A40A0B"/>
    <w:rsid w:val="00A40A92"/>
    <w:rsid w:val="00A40EAC"/>
    <w:rsid w:val="00A40EDD"/>
    <w:rsid w:val="00A418BC"/>
    <w:rsid w:val="00A4206C"/>
    <w:rsid w:val="00A4279D"/>
    <w:rsid w:val="00A4346A"/>
    <w:rsid w:val="00A44D0C"/>
    <w:rsid w:val="00A4632B"/>
    <w:rsid w:val="00A46DE0"/>
    <w:rsid w:val="00A472EB"/>
    <w:rsid w:val="00A47FCA"/>
    <w:rsid w:val="00A50D73"/>
    <w:rsid w:val="00A51070"/>
    <w:rsid w:val="00A527E8"/>
    <w:rsid w:val="00A52CAD"/>
    <w:rsid w:val="00A53458"/>
    <w:rsid w:val="00A53FC7"/>
    <w:rsid w:val="00A5402E"/>
    <w:rsid w:val="00A54275"/>
    <w:rsid w:val="00A55208"/>
    <w:rsid w:val="00A563D1"/>
    <w:rsid w:val="00A57C75"/>
    <w:rsid w:val="00A601C4"/>
    <w:rsid w:val="00A6051A"/>
    <w:rsid w:val="00A60799"/>
    <w:rsid w:val="00A6118B"/>
    <w:rsid w:val="00A61B63"/>
    <w:rsid w:val="00A6238E"/>
    <w:rsid w:val="00A62CE1"/>
    <w:rsid w:val="00A63C9B"/>
    <w:rsid w:val="00A64380"/>
    <w:rsid w:val="00A64B59"/>
    <w:rsid w:val="00A668A3"/>
    <w:rsid w:val="00A66F56"/>
    <w:rsid w:val="00A6741E"/>
    <w:rsid w:val="00A73109"/>
    <w:rsid w:val="00A73C0E"/>
    <w:rsid w:val="00A74EBD"/>
    <w:rsid w:val="00A754EA"/>
    <w:rsid w:val="00A75E40"/>
    <w:rsid w:val="00A765FD"/>
    <w:rsid w:val="00A76AF7"/>
    <w:rsid w:val="00A770F4"/>
    <w:rsid w:val="00A77D1D"/>
    <w:rsid w:val="00A82A8A"/>
    <w:rsid w:val="00A8349D"/>
    <w:rsid w:val="00A83B53"/>
    <w:rsid w:val="00A8449B"/>
    <w:rsid w:val="00A84A6A"/>
    <w:rsid w:val="00A857C0"/>
    <w:rsid w:val="00A85B5F"/>
    <w:rsid w:val="00A87F87"/>
    <w:rsid w:val="00A90FED"/>
    <w:rsid w:val="00A915C7"/>
    <w:rsid w:val="00A91AAB"/>
    <w:rsid w:val="00A91C1B"/>
    <w:rsid w:val="00A91EF3"/>
    <w:rsid w:val="00A94174"/>
    <w:rsid w:val="00A941F8"/>
    <w:rsid w:val="00A94ED2"/>
    <w:rsid w:val="00A95478"/>
    <w:rsid w:val="00A958F0"/>
    <w:rsid w:val="00A96371"/>
    <w:rsid w:val="00A97E48"/>
    <w:rsid w:val="00AA0591"/>
    <w:rsid w:val="00AA0ABE"/>
    <w:rsid w:val="00AA2996"/>
    <w:rsid w:val="00AA2A70"/>
    <w:rsid w:val="00AA2DA1"/>
    <w:rsid w:val="00AA4B30"/>
    <w:rsid w:val="00AA52BF"/>
    <w:rsid w:val="00AA559A"/>
    <w:rsid w:val="00AA58D7"/>
    <w:rsid w:val="00AA6953"/>
    <w:rsid w:val="00AA765D"/>
    <w:rsid w:val="00AB235A"/>
    <w:rsid w:val="00AB2AF1"/>
    <w:rsid w:val="00AB32CC"/>
    <w:rsid w:val="00AB5242"/>
    <w:rsid w:val="00AB535B"/>
    <w:rsid w:val="00AB63D5"/>
    <w:rsid w:val="00AB7936"/>
    <w:rsid w:val="00AB7F52"/>
    <w:rsid w:val="00AB7FE4"/>
    <w:rsid w:val="00AC45BD"/>
    <w:rsid w:val="00AC5791"/>
    <w:rsid w:val="00AC633A"/>
    <w:rsid w:val="00AC634C"/>
    <w:rsid w:val="00AC6D7C"/>
    <w:rsid w:val="00AC6D9A"/>
    <w:rsid w:val="00AC73C6"/>
    <w:rsid w:val="00AD0FBF"/>
    <w:rsid w:val="00AD101F"/>
    <w:rsid w:val="00AD1543"/>
    <w:rsid w:val="00AD15BB"/>
    <w:rsid w:val="00AD168E"/>
    <w:rsid w:val="00AD1DA1"/>
    <w:rsid w:val="00AD1E15"/>
    <w:rsid w:val="00AD2A17"/>
    <w:rsid w:val="00AD2BF6"/>
    <w:rsid w:val="00AD306C"/>
    <w:rsid w:val="00AD3EB3"/>
    <w:rsid w:val="00AD4F16"/>
    <w:rsid w:val="00AD4FC5"/>
    <w:rsid w:val="00AD5152"/>
    <w:rsid w:val="00AD5323"/>
    <w:rsid w:val="00AD5B55"/>
    <w:rsid w:val="00AD5D52"/>
    <w:rsid w:val="00AD5E10"/>
    <w:rsid w:val="00AD68C4"/>
    <w:rsid w:val="00AD7A0A"/>
    <w:rsid w:val="00AE01AE"/>
    <w:rsid w:val="00AE09B3"/>
    <w:rsid w:val="00AE0ED3"/>
    <w:rsid w:val="00AE153F"/>
    <w:rsid w:val="00AE1585"/>
    <w:rsid w:val="00AE1A2E"/>
    <w:rsid w:val="00AE1A83"/>
    <w:rsid w:val="00AE31A7"/>
    <w:rsid w:val="00AE39CE"/>
    <w:rsid w:val="00AE5CB9"/>
    <w:rsid w:val="00AE63ED"/>
    <w:rsid w:val="00AE678D"/>
    <w:rsid w:val="00AF1DE9"/>
    <w:rsid w:val="00AF24F1"/>
    <w:rsid w:val="00AF2CC1"/>
    <w:rsid w:val="00AF3683"/>
    <w:rsid w:val="00AF3D9E"/>
    <w:rsid w:val="00AF4D60"/>
    <w:rsid w:val="00AF5579"/>
    <w:rsid w:val="00AF5911"/>
    <w:rsid w:val="00AF6128"/>
    <w:rsid w:val="00AF76EF"/>
    <w:rsid w:val="00B00913"/>
    <w:rsid w:val="00B01439"/>
    <w:rsid w:val="00B01593"/>
    <w:rsid w:val="00B01CF3"/>
    <w:rsid w:val="00B023F2"/>
    <w:rsid w:val="00B03033"/>
    <w:rsid w:val="00B04705"/>
    <w:rsid w:val="00B04911"/>
    <w:rsid w:val="00B04E70"/>
    <w:rsid w:val="00B04EF7"/>
    <w:rsid w:val="00B05704"/>
    <w:rsid w:val="00B06251"/>
    <w:rsid w:val="00B06547"/>
    <w:rsid w:val="00B07939"/>
    <w:rsid w:val="00B07959"/>
    <w:rsid w:val="00B07BBB"/>
    <w:rsid w:val="00B10325"/>
    <w:rsid w:val="00B104EC"/>
    <w:rsid w:val="00B10A08"/>
    <w:rsid w:val="00B10A4D"/>
    <w:rsid w:val="00B10E75"/>
    <w:rsid w:val="00B123E8"/>
    <w:rsid w:val="00B124EF"/>
    <w:rsid w:val="00B128A6"/>
    <w:rsid w:val="00B13EF3"/>
    <w:rsid w:val="00B14A5D"/>
    <w:rsid w:val="00B14BC1"/>
    <w:rsid w:val="00B15997"/>
    <w:rsid w:val="00B159F7"/>
    <w:rsid w:val="00B15A8D"/>
    <w:rsid w:val="00B175C8"/>
    <w:rsid w:val="00B17E71"/>
    <w:rsid w:val="00B17FDE"/>
    <w:rsid w:val="00B207A7"/>
    <w:rsid w:val="00B21017"/>
    <w:rsid w:val="00B2176C"/>
    <w:rsid w:val="00B21E2C"/>
    <w:rsid w:val="00B21EF9"/>
    <w:rsid w:val="00B2322A"/>
    <w:rsid w:val="00B2327B"/>
    <w:rsid w:val="00B2379C"/>
    <w:rsid w:val="00B24437"/>
    <w:rsid w:val="00B25189"/>
    <w:rsid w:val="00B2687D"/>
    <w:rsid w:val="00B26897"/>
    <w:rsid w:val="00B2724A"/>
    <w:rsid w:val="00B272BD"/>
    <w:rsid w:val="00B27A6B"/>
    <w:rsid w:val="00B30BA8"/>
    <w:rsid w:val="00B329E8"/>
    <w:rsid w:val="00B32DDB"/>
    <w:rsid w:val="00B333BC"/>
    <w:rsid w:val="00B333C7"/>
    <w:rsid w:val="00B34528"/>
    <w:rsid w:val="00B34CC9"/>
    <w:rsid w:val="00B35675"/>
    <w:rsid w:val="00B35763"/>
    <w:rsid w:val="00B35E8D"/>
    <w:rsid w:val="00B35FC1"/>
    <w:rsid w:val="00B379FE"/>
    <w:rsid w:val="00B40069"/>
    <w:rsid w:val="00B402FC"/>
    <w:rsid w:val="00B405BD"/>
    <w:rsid w:val="00B4263C"/>
    <w:rsid w:val="00B42F87"/>
    <w:rsid w:val="00B435B6"/>
    <w:rsid w:val="00B439DA"/>
    <w:rsid w:val="00B46604"/>
    <w:rsid w:val="00B46FA4"/>
    <w:rsid w:val="00B47195"/>
    <w:rsid w:val="00B47732"/>
    <w:rsid w:val="00B47C25"/>
    <w:rsid w:val="00B5060E"/>
    <w:rsid w:val="00B50624"/>
    <w:rsid w:val="00B5237E"/>
    <w:rsid w:val="00B5296C"/>
    <w:rsid w:val="00B530CD"/>
    <w:rsid w:val="00B53A26"/>
    <w:rsid w:val="00B55F5E"/>
    <w:rsid w:val="00B5752E"/>
    <w:rsid w:val="00B60423"/>
    <w:rsid w:val="00B63A11"/>
    <w:rsid w:val="00B63B6A"/>
    <w:rsid w:val="00B64C24"/>
    <w:rsid w:val="00B64CEC"/>
    <w:rsid w:val="00B64D8E"/>
    <w:rsid w:val="00B65139"/>
    <w:rsid w:val="00B6608F"/>
    <w:rsid w:val="00B66354"/>
    <w:rsid w:val="00B67472"/>
    <w:rsid w:val="00B67681"/>
    <w:rsid w:val="00B67768"/>
    <w:rsid w:val="00B679FB"/>
    <w:rsid w:val="00B702E6"/>
    <w:rsid w:val="00B704BC"/>
    <w:rsid w:val="00B71EF7"/>
    <w:rsid w:val="00B7288D"/>
    <w:rsid w:val="00B7289D"/>
    <w:rsid w:val="00B72EB1"/>
    <w:rsid w:val="00B7358C"/>
    <w:rsid w:val="00B74326"/>
    <w:rsid w:val="00B7665A"/>
    <w:rsid w:val="00B76D1E"/>
    <w:rsid w:val="00B77292"/>
    <w:rsid w:val="00B8028A"/>
    <w:rsid w:val="00B80B8B"/>
    <w:rsid w:val="00B80DE0"/>
    <w:rsid w:val="00B80EC6"/>
    <w:rsid w:val="00B82874"/>
    <w:rsid w:val="00B82905"/>
    <w:rsid w:val="00B829DF"/>
    <w:rsid w:val="00B82E21"/>
    <w:rsid w:val="00B83446"/>
    <w:rsid w:val="00B8424C"/>
    <w:rsid w:val="00B84B72"/>
    <w:rsid w:val="00B84B89"/>
    <w:rsid w:val="00B84CF6"/>
    <w:rsid w:val="00B857A1"/>
    <w:rsid w:val="00B85CC7"/>
    <w:rsid w:val="00B86A96"/>
    <w:rsid w:val="00B875A7"/>
    <w:rsid w:val="00B87623"/>
    <w:rsid w:val="00B90BAE"/>
    <w:rsid w:val="00B92D1D"/>
    <w:rsid w:val="00B938C5"/>
    <w:rsid w:val="00B94199"/>
    <w:rsid w:val="00B94C53"/>
    <w:rsid w:val="00B94D8F"/>
    <w:rsid w:val="00B95940"/>
    <w:rsid w:val="00B95957"/>
    <w:rsid w:val="00B96FAD"/>
    <w:rsid w:val="00B977D1"/>
    <w:rsid w:val="00BA2B75"/>
    <w:rsid w:val="00BA3029"/>
    <w:rsid w:val="00BA3793"/>
    <w:rsid w:val="00BA37EA"/>
    <w:rsid w:val="00BA4B77"/>
    <w:rsid w:val="00BA5256"/>
    <w:rsid w:val="00BA6AAF"/>
    <w:rsid w:val="00BA6C2B"/>
    <w:rsid w:val="00BB0637"/>
    <w:rsid w:val="00BB0E67"/>
    <w:rsid w:val="00BB22F6"/>
    <w:rsid w:val="00BB4283"/>
    <w:rsid w:val="00BB46F3"/>
    <w:rsid w:val="00BB4A29"/>
    <w:rsid w:val="00BB4CB1"/>
    <w:rsid w:val="00BB4F98"/>
    <w:rsid w:val="00BB5CCF"/>
    <w:rsid w:val="00BB73ED"/>
    <w:rsid w:val="00BB7875"/>
    <w:rsid w:val="00BC1DD9"/>
    <w:rsid w:val="00BC2788"/>
    <w:rsid w:val="00BC3208"/>
    <w:rsid w:val="00BC4F88"/>
    <w:rsid w:val="00BC5938"/>
    <w:rsid w:val="00BC5C12"/>
    <w:rsid w:val="00BC5E22"/>
    <w:rsid w:val="00BC6007"/>
    <w:rsid w:val="00BC7154"/>
    <w:rsid w:val="00BC731E"/>
    <w:rsid w:val="00BC7396"/>
    <w:rsid w:val="00BC77F6"/>
    <w:rsid w:val="00BD0046"/>
    <w:rsid w:val="00BD15F8"/>
    <w:rsid w:val="00BD1ED8"/>
    <w:rsid w:val="00BD3055"/>
    <w:rsid w:val="00BD366B"/>
    <w:rsid w:val="00BD6D50"/>
    <w:rsid w:val="00BE18B9"/>
    <w:rsid w:val="00BE19ED"/>
    <w:rsid w:val="00BE2495"/>
    <w:rsid w:val="00BE2D3D"/>
    <w:rsid w:val="00BE2D99"/>
    <w:rsid w:val="00BE35EA"/>
    <w:rsid w:val="00BE390E"/>
    <w:rsid w:val="00BE3D06"/>
    <w:rsid w:val="00BE4BED"/>
    <w:rsid w:val="00BE53A6"/>
    <w:rsid w:val="00BE5DAB"/>
    <w:rsid w:val="00BE6572"/>
    <w:rsid w:val="00BE7117"/>
    <w:rsid w:val="00BE7BCD"/>
    <w:rsid w:val="00BE7FCB"/>
    <w:rsid w:val="00BF1578"/>
    <w:rsid w:val="00BF1FA2"/>
    <w:rsid w:val="00BF2223"/>
    <w:rsid w:val="00BF3B1D"/>
    <w:rsid w:val="00BF3D6E"/>
    <w:rsid w:val="00BF4BD4"/>
    <w:rsid w:val="00BF59B6"/>
    <w:rsid w:val="00BF6D32"/>
    <w:rsid w:val="00BF71A0"/>
    <w:rsid w:val="00BF723F"/>
    <w:rsid w:val="00C0100E"/>
    <w:rsid w:val="00C02714"/>
    <w:rsid w:val="00C02943"/>
    <w:rsid w:val="00C03294"/>
    <w:rsid w:val="00C03ACD"/>
    <w:rsid w:val="00C03E33"/>
    <w:rsid w:val="00C04EA2"/>
    <w:rsid w:val="00C05360"/>
    <w:rsid w:val="00C05597"/>
    <w:rsid w:val="00C05B27"/>
    <w:rsid w:val="00C07A3D"/>
    <w:rsid w:val="00C10440"/>
    <w:rsid w:val="00C11B46"/>
    <w:rsid w:val="00C12629"/>
    <w:rsid w:val="00C12B02"/>
    <w:rsid w:val="00C12CFD"/>
    <w:rsid w:val="00C132F3"/>
    <w:rsid w:val="00C13980"/>
    <w:rsid w:val="00C13B37"/>
    <w:rsid w:val="00C144D7"/>
    <w:rsid w:val="00C1648C"/>
    <w:rsid w:val="00C16FB0"/>
    <w:rsid w:val="00C17B96"/>
    <w:rsid w:val="00C20A51"/>
    <w:rsid w:val="00C210CB"/>
    <w:rsid w:val="00C21325"/>
    <w:rsid w:val="00C21442"/>
    <w:rsid w:val="00C21721"/>
    <w:rsid w:val="00C21F94"/>
    <w:rsid w:val="00C22AA6"/>
    <w:rsid w:val="00C2307C"/>
    <w:rsid w:val="00C2330B"/>
    <w:rsid w:val="00C23319"/>
    <w:rsid w:val="00C240F3"/>
    <w:rsid w:val="00C26765"/>
    <w:rsid w:val="00C2750F"/>
    <w:rsid w:val="00C27913"/>
    <w:rsid w:val="00C27E4F"/>
    <w:rsid w:val="00C325AE"/>
    <w:rsid w:val="00C32964"/>
    <w:rsid w:val="00C32B5A"/>
    <w:rsid w:val="00C32BFF"/>
    <w:rsid w:val="00C32E5D"/>
    <w:rsid w:val="00C33B68"/>
    <w:rsid w:val="00C34756"/>
    <w:rsid w:val="00C34B09"/>
    <w:rsid w:val="00C354A2"/>
    <w:rsid w:val="00C36A79"/>
    <w:rsid w:val="00C36BCC"/>
    <w:rsid w:val="00C37C3D"/>
    <w:rsid w:val="00C401D2"/>
    <w:rsid w:val="00C405D4"/>
    <w:rsid w:val="00C4098C"/>
    <w:rsid w:val="00C41650"/>
    <w:rsid w:val="00C41D07"/>
    <w:rsid w:val="00C420B7"/>
    <w:rsid w:val="00C42869"/>
    <w:rsid w:val="00C42C3D"/>
    <w:rsid w:val="00C42CE8"/>
    <w:rsid w:val="00C4431F"/>
    <w:rsid w:val="00C44E9D"/>
    <w:rsid w:val="00C4513B"/>
    <w:rsid w:val="00C4627C"/>
    <w:rsid w:val="00C46423"/>
    <w:rsid w:val="00C473D4"/>
    <w:rsid w:val="00C4763B"/>
    <w:rsid w:val="00C52C3E"/>
    <w:rsid w:val="00C53854"/>
    <w:rsid w:val="00C5390B"/>
    <w:rsid w:val="00C53E5D"/>
    <w:rsid w:val="00C53E65"/>
    <w:rsid w:val="00C54141"/>
    <w:rsid w:val="00C5418A"/>
    <w:rsid w:val="00C54697"/>
    <w:rsid w:val="00C55400"/>
    <w:rsid w:val="00C56A5F"/>
    <w:rsid w:val="00C57BF0"/>
    <w:rsid w:val="00C6007E"/>
    <w:rsid w:val="00C60B8B"/>
    <w:rsid w:val="00C61BEF"/>
    <w:rsid w:val="00C62FEF"/>
    <w:rsid w:val="00C64A15"/>
    <w:rsid w:val="00C65535"/>
    <w:rsid w:val="00C65B6D"/>
    <w:rsid w:val="00C65C22"/>
    <w:rsid w:val="00C65F06"/>
    <w:rsid w:val="00C66222"/>
    <w:rsid w:val="00C66B0D"/>
    <w:rsid w:val="00C67599"/>
    <w:rsid w:val="00C718F3"/>
    <w:rsid w:val="00C71E85"/>
    <w:rsid w:val="00C7209C"/>
    <w:rsid w:val="00C72884"/>
    <w:rsid w:val="00C72CDE"/>
    <w:rsid w:val="00C72F3B"/>
    <w:rsid w:val="00C73885"/>
    <w:rsid w:val="00C73BA9"/>
    <w:rsid w:val="00C7466F"/>
    <w:rsid w:val="00C747B1"/>
    <w:rsid w:val="00C74B82"/>
    <w:rsid w:val="00C74CD8"/>
    <w:rsid w:val="00C7674F"/>
    <w:rsid w:val="00C76D12"/>
    <w:rsid w:val="00C77572"/>
    <w:rsid w:val="00C77AC4"/>
    <w:rsid w:val="00C77E1A"/>
    <w:rsid w:val="00C81BA9"/>
    <w:rsid w:val="00C82191"/>
    <w:rsid w:val="00C83134"/>
    <w:rsid w:val="00C843D9"/>
    <w:rsid w:val="00C845FA"/>
    <w:rsid w:val="00C85545"/>
    <w:rsid w:val="00C85845"/>
    <w:rsid w:val="00C85F8A"/>
    <w:rsid w:val="00C8788E"/>
    <w:rsid w:val="00C9003C"/>
    <w:rsid w:val="00C90847"/>
    <w:rsid w:val="00C90CF4"/>
    <w:rsid w:val="00C9288C"/>
    <w:rsid w:val="00C92EB6"/>
    <w:rsid w:val="00C93229"/>
    <w:rsid w:val="00C93389"/>
    <w:rsid w:val="00C945BC"/>
    <w:rsid w:val="00C949A2"/>
    <w:rsid w:val="00C95DB2"/>
    <w:rsid w:val="00C96040"/>
    <w:rsid w:val="00C96F2E"/>
    <w:rsid w:val="00C96F89"/>
    <w:rsid w:val="00C9769E"/>
    <w:rsid w:val="00CA0914"/>
    <w:rsid w:val="00CA1DC0"/>
    <w:rsid w:val="00CA4B7C"/>
    <w:rsid w:val="00CA591D"/>
    <w:rsid w:val="00CA6AB4"/>
    <w:rsid w:val="00CA6C88"/>
    <w:rsid w:val="00CA76F6"/>
    <w:rsid w:val="00CA78F5"/>
    <w:rsid w:val="00CA7BE7"/>
    <w:rsid w:val="00CB0A22"/>
    <w:rsid w:val="00CB1C2E"/>
    <w:rsid w:val="00CB2D0E"/>
    <w:rsid w:val="00CB2F3F"/>
    <w:rsid w:val="00CB340E"/>
    <w:rsid w:val="00CB4930"/>
    <w:rsid w:val="00CB5441"/>
    <w:rsid w:val="00CB67BF"/>
    <w:rsid w:val="00CB67F0"/>
    <w:rsid w:val="00CB6E6E"/>
    <w:rsid w:val="00CC028E"/>
    <w:rsid w:val="00CC06EE"/>
    <w:rsid w:val="00CC08A4"/>
    <w:rsid w:val="00CC0E87"/>
    <w:rsid w:val="00CC1DC5"/>
    <w:rsid w:val="00CC2E7D"/>
    <w:rsid w:val="00CC445E"/>
    <w:rsid w:val="00CC64C1"/>
    <w:rsid w:val="00CC6B42"/>
    <w:rsid w:val="00CC6BB9"/>
    <w:rsid w:val="00CD03BC"/>
    <w:rsid w:val="00CD085A"/>
    <w:rsid w:val="00CD09AC"/>
    <w:rsid w:val="00CD10A5"/>
    <w:rsid w:val="00CD12C0"/>
    <w:rsid w:val="00CD2076"/>
    <w:rsid w:val="00CD22D2"/>
    <w:rsid w:val="00CD29B5"/>
    <w:rsid w:val="00CD4DE9"/>
    <w:rsid w:val="00CD5A9D"/>
    <w:rsid w:val="00CD5D9F"/>
    <w:rsid w:val="00CD5E63"/>
    <w:rsid w:val="00CD6331"/>
    <w:rsid w:val="00CD6C83"/>
    <w:rsid w:val="00CD7494"/>
    <w:rsid w:val="00CD7704"/>
    <w:rsid w:val="00CD7AC0"/>
    <w:rsid w:val="00CD7AFB"/>
    <w:rsid w:val="00CE10DA"/>
    <w:rsid w:val="00CE173A"/>
    <w:rsid w:val="00CE233D"/>
    <w:rsid w:val="00CE27B2"/>
    <w:rsid w:val="00CE3932"/>
    <w:rsid w:val="00CE3E57"/>
    <w:rsid w:val="00CE51C5"/>
    <w:rsid w:val="00CE5794"/>
    <w:rsid w:val="00CE670B"/>
    <w:rsid w:val="00CE74E1"/>
    <w:rsid w:val="00CF11A4"/>
    <w:rsid w:val="00CF19CB"/>
    <w:rsid w:val="00CF2371"/>
    <w:rsid w:val="00CF262D"/>
    <w:rsid w:val="00CF322D"/>
    <w:rsid w:val="00CF39C9"/>
    <w:rsid w:val="00CF4908"/>
    <w:rsid w:val="00CF51EC"/>
    <w:rsid w:val="00CF59E5"/>
    <w:rsid w:val="00CF5CEA"/>
    <w:rsid w:val="00CF6459"/>
    <w:rsid w:val="00CF719E"/>
    <w:rsid w:val="00CF73AE"/>
    <w:rsid w:val="00CF7E85"/>
    <w:rsid w:val="00D00C24"/>
    <w:rsid w:val="00D0105D"/>
    <w:rsid w:val="00D012DB"/>
    <w:rsid w:val="00D0381E"/>
    <w:rsid w:val="00D040DD"/>
    <w:rsid w:val="00D043A0"/>
    <w:rsid w:val="00D04C1F"/>
    <w:rsid w:val="00D06B25"/>
    <w:rsid w:val="00D075BE"/>
    <w:rsid w:val="00D075CF"/>
    <w:rsid w:val="00D07D61"/>
    <w:rsid w:val="00D10999"/>
    <w:rsid w:val="00D11A3A"/>
    <w:rsid w:val="00D12B5B"/>
    <w:rsid w:val="00D13273"/>
    <w:rsid w:val="00D133BB"/>
    <w:rsid w:val="00D13986"/>
    <w:rsid w:val="00D147FE"/>
    <w:rsid w:val="00D15524"/>
    <w:rsid w:val="00D167DC"/>
    <w:rsid w:val="00D168EE"/>
    <w:rsid w:val="00D1753E"/>
    <w:rsid w:val="00D17AA6"/>
    <w:rsid w:val="00D17BB8"/>
    <w:rsid w:val="00D21687"/>
    <w:rsid w:val="00D21D83"/>
    <w:rsid w:val="00D2218D"/>
    <w:rsid w:val="00D2231E"/>
    <w:rsid w:val="00D2296F"/>
    <w:rsid w:val="00D22A86"/>
    <w:rsid w:val="00D235B7"/>
    <w:rsid w:val="00D237A7"/>
    <w:rsid w:val="00D23C02"/>
    <w:rsid w:val="00D23F97"/>
    <w:rsid w:val="00D23F99"/>
    <w:rsid w:val="00D24011"/>
    <w:rsid w:val="00D25F28"/>
    <w:rsid w:val="00D25FD1"/>
    <w:rsid w:val="00D26071"/>
    <w:rsid w:val="00D268CA"/>
    <w:rsid w:val="00D2738E"/>
    <w:rsid w:val="00D2760C"/>
    <w:rsid w:val="00D276BF"/>
    <w:rsid w:val="00D27973"/>
    <w:rsid w:val="00D3074E"/>
    <w:rsid w:val="00D30B3A"/>
    <w:rsid w:val="00D30D0F"/>
    <w:rsid w:val="00D31188"/>
    <w:rsid w:val="00D32468"/>
    <w:rsid w:val="00D35C3D"/>
    <w:rsid w:val="00D35E1A"/>
    <w:rsid w:val="00D36119"/>
    <w:rsid w:val="00D37C1E"/>
    <w:rsid w:val="00D40B2B"/>
    <w:rsid w:val="00D40F7C"/>
    <w:rsid w:val="00D41384"/>
    <w:rsid w:val="00D417B7"/>
    <w:rsid w:val="00D4182F"/>
    <w:rsid w:val="00D42211"/>
    <w:rsid w:val="00D42756"/>
    <w:rsid w:val="00D43F40"/>
    <w:rsid w:val="00D4446D"/>
    <w:rsid w:val="00D445AD"/>
    <w:rsid w:val="00D44F50"/>
    <w:rsid w:val="00D4551E"/>
    <w:rsid w:val="00D45569"/>
    <w:rsid w:val="00D455F5"/>
    <w:rsid w:val="00D458AD"/>
    <w:rsid w:val="00D46FF9"/>
    <w:rsid w:val="00D4758C"/>
    <w:rsid w:val="00D50F46"/>
    <w:rsid w:val="00D51744"/>
    <w:rsid w:val="00D54688"/>
    <w:rsid w:val="00D55033"/>
    <w:rsid w:val="00D567C6"/>
    <w:rsid w:val="00D575B0"/>
    <w:rsid w:val="00D57677"/>
    <w:rsid w:val="00D60773"/>
    <w:rsid w:val="00D60B90"/>
    <w:rsid w:val="00D6190C"/>
    <w:rsid w:val="00D619A8"/>
    <w:rsid w:val="00D61DF8"/>
    <w:rsid w:val="00D61FB9"/>
    <w:rsid w:val="00D62E64"/>
    <w:rsid w:val="00D6320C"/>
    <w:rsid w:val="00D638C8"/>
    <w:rsid w:val="00D6496E"/>
    <w:rsid w:val="00D650C7"/>
    <w:rsid w:val="00D65174"/>
    <w:rsid w:val="00D65537"/>
    <w:rsid w:val="00D658DF"/>
    <w:rsid w:val="00D65B26"/>
    <w:rsid w:val="00D66223"/>
    <w:rsid w:val="00D674D7"/>
    <w:rsid w:val="00D71625"/>
    <w:rsid w:val="00D71B65"/>
    <w:rsid w:val="00D71E43"/>
    <w:rsid w:val="00D7385F"/>
    <w:rsid w:val="00D751DA"/>
    <w:rsid w:val="00D756D2"/>
    <w:rsid w:val="00D76EC6"/>
    <w:rsid w:val="00D76FC3"/>
    <w:rsid w:val="00D7778F"/>
    <w:rsid w:val="00D8084C"/>
    <w:rsid w:val="00D8454D"/>
    <w:rsid w:val="00D865FF"/>
    <w:rsid w:val="00D900EA"/>
    <w:rsid w:val="00D901F4"/>
    <w:rsid w:val="00D915EA"/>
    <w:rsid w:val="00D92636"/>
    <w:rsid w:val="00D92EDA"/>
    <w:rsid w:val="00D9454B"/>
    <w:rsid w:val="00D94BF8"/>
    <w:rsid w:val="00D95195"/>
    <w:rsid w:val="00D95B04"/>
    <w:rsid w:val="00D95B68"/>
    <w:rsid w:val="00D96855"/>
    <w:rsid w:val="00D9785D"/>
    <w:rsid w:val="00DA2756"/>
    <w:rsid w:val="00DA3745"/>
    <w:rsid w:val="00DA3F50"/>
    <w:rsid w:val="00DA44DC"/>
    <w:rsid w:val="00DA47A8"/>
    <w:rsid w:val="00DA48C1"/>
    <w:rsid w:val="00DA724F"/>
    <w:rsid w:val="00DA7C0C"/>
    <w:rsid w:val="00DA7CDD"/>
    <w:rsid w:val="00DB08A9"/>
    <w:rsid w:val="00DB0DA5"/>
    <w:rsid w:val="00DB1019"/>
    <w:rsid w:val="00DB2EC8"/>
    <w:rsid w:val="00DB4AEF"/>
    <w:rsid w:val="00DB4E31"/>
    <w:rsid w:val="00DB5AF8"/>
    <w:rsid w:val="00DB5FC0"/>
    <w:rsid w:val="00DB6035"/>
    <w:rsid w:val="00DB6566"/>
    <w:rsid w:val="00DB77BB"/>
    <w:rsid w:val="00DC048E"/>
    <w:rsid w:val="00DC0DBD"/>
    <w:rsid w:val="00DC1B9B"/>
    <w:rsid w:val="00DC1E84"/>
    <w:rsid w:val="00DC36AA"/>
    <w:rsid w:val="00DC40D2"/>
    <w:rsid w:val="00DC48F1"/>
    <w:rsid w:val="00DC4DB8"/>
    <w:rsid w:val="00DC4EDE"/>
    <w:rsid w:val="00DC53F3"/>
    <w:rsid w:val="00DC5B3B"/>
    <w:rsid w:val="00DC6594"/>
    <w:rsid w:val="00DC788B"/>
    <w:rsid w:val="00DD0A61"/>
    <w:rsid w:val="00DD129F"/>
    <w:rsid w:val="00DD340B"/>
    <w:rsid w:val="00DD3E0E"/>
    <w:rsid w:val="00DD492B"/>
    <w:rsid w:val="00DD4B4B"/>
    <w:rsid w:val="00DD4C01"/>
    <w:rsid w:val="00DD4EFE"/>
    <w:rsid w:val="00DD5B19"/>
    <w:rsid w:val="00DD6243"/>
    <w:rsid w:val="00DD6956"/>
    <w:rsid w:val="00DE020E"/>
    <w:rsid w:val="00DE02BD"/>
    <w:rsid w:val="00DE05F6"/>
    <w:rsid w:val="00DE161B"/>
    <w:rsid w:val="00DE3DE3"/>
    <w:rsid w:val="00DE58BE"/>
    <w:rsid w:val="00DE5DBA"/>
    <w:rsid w:val="00DE7747"/>
    <w:rsid w:val="00DF2766"/>
    <w:rsid w:val="00DF2C89"/>
    <w:rsid w:val="00DF3DF6"/>
    <w:rsid w:val="00DF42FF"/>
    <w:rsid w:val="00DF4A1C"/>
    <w:rsid w:val="00DF5908"/>
    <w:rsid w:val="00DF6241"/>
    <w:rsid w:val="00DF768A"/>
    <w:rsid w:val="00DF7D4E"/>
    <w:rsid w:val="00E00AF8"/>
    <w:rsid w:val="00E01C0E"/>
    <w:rsid w:val="00E01F0A"/>
    <w:rsid w:val="00E0328D"/>
    <w:rsid w:val="00E03F9A"/>
    <w:rsid w:val="00E0465E"/>
    <w:rsid w:val="00E04694"/>
    <w:rsid w:val="00E049AE"/>
    <w:rsid w:val="00E0609D"/>
    <w:rsid w:val="00E06322"/>
    <w:rsid w:val="00E063CE"/>
    <w:rsid w:val="00E06D4B"/>
    <w:rsid w:val="00E0741F"/>
    <w:rsid w:val="00E114D5"/>
    <w:rsid w:val="00E12B1E"/>
    <w:rsid w:val="00E12F7C"/>
    <w:rsid w:val="00E13733"/>
    <w:rsid w:val="00E13784"/>
    <w:rsid w:val="00E13996"/>
    <w:rsid w:val="00E15B76"/>
    <w:rsid w:val="00E15F11"/>
    <w:rsid w:val="00E16208"/>
    <w:rsid w:val="00E16E65"/>
    <w:rsid w:val="00E17262"/>
    <w:rsid w:val="00E17608"/>
    <w:rsid w:val="00E207A9"/>
    <w:rsid w:val="00E20B53"/>
    <w:rsid w:val="00E239CE"/>
    <w:rsid w:val="00E24B6C"/>
    <w:rsid w:val="00E24BFC"/>
    <w:rsid w:val="00E253A2"/>
    <w:rsid w:val="00E25D3B"/>
    <w:rsid w:val="00E26274"/>
    <w:rsid w:val="00E27397"/>
    <w:rsid w:val="00E3030A"/>
    <w:rsid w:val="00E30AD3"/>
    <w:rsid w:val="00E30BB0"/>
    <w:rsid w:val="00E312D1"/>
    <w:rsid w:val="00E314B9"/>
    <w:rsid w:val="00E31932"/>
    <w:rsid w:val="00E31B27"/>
    <w:rsid w:val="00E31BA0"/>
    <w:rsid w:val="00E329EF"/>
    <w:rsid w:val="00E3309D"/>
    <w:rsid w:val="00E3442B"/>
    <w:rsid w:val="00E3680C"/>
    <w:rsid w:val="00E374F4"/>
    <w:rsid w:val="00E409C2"/>
    <w:rsid w:val="00E41A0E"/>
    <w:rsid w:val="00E42316"/>
    <w:rsid w:val="00E430FC"/>
    <w:rsid w:val="00E439D3"/>
    <w:rsid w:val="00E43C1C"/>
    <w:rsid w:val="00E43E9D"/>
    <w:rsid w:val="00E43EC0"/>
    <w:rsid w:val="00E44F51"/>
    <w:rsid w:val="00E45931"/>
    <w:rsid w:val="00E45C44"/>
    <w:rsid w:val="00E45D3D"/>
    <w:rsid w:val="00E4643F"/>
    <w:rsid w:val="00E46F7E"/>
    <w:rsid w:val="00E472EB"/>
    <w:rsid w:val="00E476F4"/>
    <w:rsid w:val="00E47774"/>
    <w:rsid w:val="00E47EBA"/>
    <w:rsid w:val="00E50156"/>
    <w:rsid w:val="00E50469"/>
    <w:rsid w:val="00E5114C"/>
    <w:rsid w:val="00E514E4"/>
    <w:rsid w:val="00E51643"/>
    <w:rsid w:val="00E519FD"/>
    <w:rsid w:val="00E524A3"/>
    <w:rsid w:val="00E53470"/>
    <w:rsid w:val="00E53874"/>
    <w:rsid w:val="00E539F6"/>
    <w:rsid w:val="00E53DAC"/>
    <w:rsid w:val="00E54E39"/>
    <w:rsid w:val="00E55091"/>
    <w:rsid w:val="00E56671"/>
    <w:rsid w:val="00E5780A"/>
    <w:rsid w:val="00E61923"/>
    <w:rsid w:val="00E62BB4"/>
    <w:rsid w:val="00E63040"/>
    <w:rsid w:val="00E64E38"/>
    <w:rsid w:val="00E6519D"/>
    <w:rsid w:val="00E66127"/>
    <w:rsid w:val="00E67696"/>
    <w:rsid w:val="00E67A9F"/>
    <w:rsid w:val="00E7058D"/>
    <w:rsid w:val="00E710BB"/>
    <w:rsid w:val="00E71654"/>
    <w:rsid w:val="00E716AC"/>
    <w:rsid w:val="00E71A58"/>
    <w:rsid w:val="00E72A7A"/>
    <w:rsid w:val="00E7388C"/>
    <w:rsid w:val="00E75C94"/>
    <w:rsid w:val="00E7629E"/>
    <w:rsid w:val="00E7677B"/>
    <w:rsid w:val="00E80858"/>
    <w:rsid w:val="00E80EBB"/>
    <w:rsid w:val="00E81532"/>
    <w:rsid w:val="00E83327"/>
    <w:rsid w:val="00E84024"/>
    <w:rsid w:val="00E849A6"/>
    <w:rsid w:val="00E84B8D"/>
    <w:rsid w:val="00E850DA"/>
    <w:rsid w:val="00E855F6"/>
    <w:rsid w:val="00E85810"/>
    <w:rsid w:val="00E868CA"/>
    <w:rsid w:val="00E87031"/>
    <w:rsid w:val="00E908FB"/>
    <w:rsid w:val="00E90DED"/>
    <w:rsid w:val="00E91024"/>
    <w:rsid w:val="00E920F4"/>
    <w:rsid w:val="00E92EA6"/>
    <w:rsid w:val="00E93125"/>
    <w:rsid w:val="00E93514"/>
    <w:rsid w:val="00E936C9"/>
    <w:rsid w:val="00E93820"/>
    <w:rsid w:val="00E93E62"/>
    <w:rsid w:val="00E944EF"/>
    <w:rsid w:val="00E94A86"/>
    <w:rsid w:val="00E94D5E"/>
    <w:rsid w:val="00E94DB2"/>
    <w:rsid w:val="00E95113"/>
    <w:rsid w:val="00E95491"/>
    <w:rsid w:val="00E9591B"/>
    <w:rsid w:val="00E96143"/>
    <w:rsid w:val="00E967F7"/>
    <w:rsid w:val="00E96CF8"/>
    <w:rsid w:val="00EA0093"/>
    <w:rsid w:val="00EA038B"/>
    <w:rsid w:val="00EA0987"/>
    <w:rsid w:val="00EA0C68"/>
    <w:rsid w:val="00EA22CB"/>
    <w:rsid w:val="00EA2F7F"/>
    <w:rsid w:val="00EA32BC"/>
    <w:rsid w:val="00EA40B7"/>
    <w:rsid w:val="00EA40F6"/>
    <w:rsid w:val="00EA4302"/>
    <w:rsid w:val="00EA4327"/>
    <w:rsid w:val="00EA4391"/>
    <w:rsid w:val="00EA58E5"/>
    <w:rsid w:val="00EA5C8C"/>
    <w:rsid w:val="00EA6058"/>
    <w:rsid w:val="00EA696B"/>
    <w:rsid w:val="00EA6C97"/>
    <w:rsid w:val="00EA7407"/>
    <w:rsid w:val="00EB0418"/>
    <w:rsid w:val="00EB12EE"/>
    <w:rsid w:val="00EB25F1"/>
    <w:rsid w:val="00EB2B67"/>
    <w:rsid w:val="00EB2C86"/>
    <w:rsid w:val="00EB2FA5"/>
    <w:rsid w:val="00EB39C7"/>
    <w:rsid w:val="00EB3D8F"/>
    <w:rsid w:val="00EB4511"/>
    <w:rsid w:val="00EB4A12"/>
    <w:rsid w:val="00EB5180"/>
    <w:rsid w:val="00EB650B"/>
    <w:rsid w:val="00EB7A12"/>
    <w:rsid w:val="00EB7F7C"/>
    <w:rsid w:val="00EC03D7"/>
    <w:rsid w:val="00EC074F"/>
    <w:rsid w:val="00EC0A8B"/>
    <w:rsid w:val="00EC14D7"/>
    <w:rsid w:val="00EC15CC"/>
    <w:rsid w:val="00EC243D"/>
    <w:rsid w:val="00EC2A23"/>
    <w:rsid w:val="00EC313D"/>
    <w:rsid w:val="00EC34CA"/>
    <w:rsid w:val="00EC3C00"/>
    <w:rsid w:val="00EC3C2A"/>
    <w:rsid w:val="00EC6962"/>
    <w:rsid w:val="00EC6FA8"/>
    <w:rsid w:val="00ED049D"/>
    <w:rsid w:val="00ED0692"/>
    <w:rsid w:val="00ED0A16"/>
    <w:rsid w:val="00ED1680"/>
    <w:rsid w:val="00ED27C9"/>
    <w:rsid w:val="00ED40FA"/>
    <w:rsid w:val="00ED5CBD"/>
    <w:rsid w:val="00ED62C6"/>
    <w:rsid w:val="00ED64C1"/>
    <w:rsid w:val="00EE0AE7"/>
    <w:rsid w:val="00EE0E68"/>
    <w:rsid w:val="00EE28A7"/>
    <w:rsid w:val="00EE3374"/>
    <w:rsid w:val="00EE3446"/>
    <w:rsid w:val="00EE3E78"/>
    <w:rsid w:val="00EE4B1B"/>
    <w:rsid w:val="00EE539F"/>
    <w:rsid w:val="00EE7410"/>
    <w:rsid w:val="00EE7684"/>
    <w:rsid w:val="00EE7F19"/>
    <w:rsid w:val="00EF00A4"/>
    <w:rsid w:val="00EF150D"/>
    <w:rsid w:val="00EF1CDA"/>
    <w:rsid w:val="00EF1F5A"/>
    <w:rsid w:val="00EF221F"/>
    <w:rsid w:val="00EF27E6"/>
    <w:rsid w:val="00EF2B3F"/>
    <w:rsid w:val="00EF2CFC"/>
    <w:rsid w:val="00EF3A22"/>
    <w:rsid w:val="00EF47BF"/>
    <w:rsid w:val="00EF64B2"/>
    <w:rsid w:val="00EF6DB3"/>
    <w:rsid w:val="00EF77C4"/>
    <w:rsid w:val="00EF7C70"/>
    <w:rsid w:val="00EF7EA6"/>
    <w:rsid w:val="00F00698"/>
    <w:rsid w:val="00F01008"/>
    <w:rsid w:val="00F02331"/>
    <w:rsid w:val="00F04811"/>
    <w:rsid w:val="00F0488C"/>
    <w:rsid w:val="00F0536E"/>
    <w:rsid w:val="00F05798"/>
    <w:rsid w:val="00F05F7E"/>
    <w:rsid w:val="00F066CF"/>
    <w:rsid w:val="00F06ED4"/>
    <w:rsid w:val="00F07A88"/>
    <w:rsid w:val="00F101CF"/>
    <w:rsid w:val="00F10823"/>
    <w:rsid w:val="00F10941"/>
    <w:rsid w:val="00F10C15"/>
    <w:rsid w:val="00F10F11"/>
    <w:rsid w:val="00F11063"/>
    <w:rsid w:val="00F12D59"/>
    <w:rsid w:val="00F130CC"/>
    <w:rsid w:val="00F132B8"/>
    <w:rsid w:val="00F13B3B"/>
    <w:rsid w:val="00F15AAA"/>
    <w:rsid w:val="00F15BEF"/>
    <w:rsid w:val="00F15D9A"/>
    <w:rsid w:val="00F15FB2"/>
    <w:rsid w:val="00F160D4"/>
    <w:rsid w:val="00F16122"/>
    <w:rsid w:val="00F17E83"/>
    <w:rsid w:val="00F2180B"/>
    <w:rsid w:val="00F21C12"/>
    <w:rsid w:val="00F23D4A"/>
    <w:rsid w:val="00F241FB"/>
    <w:rsid w:val="00F24407"/>
    <w:rsid w:val="00F24931"/>
    <w:rsid w:val="00F24A89"/>
    <w:rsid w:val="00F24FAA"/>
    <w:rsid w:val="00F252A0"/>
    <w:rsid w:val="00F25837"/>
    <w:rsid w:val="00F25B4A"/>
    <w:rsid w:val="00F25DEE"/>
    <w:rsid w:val="00F26464"/>
    <w:rsid w:val="00F27A58"/>
    <w:rsid w:val="00F3012E"/>
    <w:rsid w:val="00F30195"/>
    <w:rsid w:val="00F304B2"/>
    <w:rsid w:val="00F307AF"/>
    <w:rsid w:val="00F319DC"/>
    <w:rsid w:val="00F32A18"/>
    <w:rsid w:val="00F33623"/>
    <w:rsid w:val="00F3364D"/>
    <w:rsid w:val="00F34609"/>
    <w:rsid w:val="00F36977"/>
    <w:rsid w:val="00F41B46"/>
    <w:rsid w:val="00F42B24"/>
    <w:rsid w:val="00F42CA5"/>
    <w:rsid w:val="00F437CC"/>
    <w:rsid w:val="00F43E29"/>
    <w:rsid w:val="00F44537"/>
    <w:rsid w:val="00F44B6A"/>
    <w:rsid w:val="00F4607E"/>
    <w:rsid w:val="00F46325"/>
    <w:rsid w:val="00F468D9"/>
    <w:rsid w:val="00F47067"/>
    <w:rsid w:val="00F472FC"/>
    <w:rsid w:val="00F501F1"/>
    <w:rsid w:val="00F503E4"/>
    <w:rsid w:val="00F50FC3"/>
    <w:rsid w:val="00F51087"/>
    <w:rsid w:val="00F5188A"/>
    <w:rsid w:val="00F52106"/>
    <w:rsid w:val="00F525EB"/>
    <w:rsid w:val="00F52BD7"/>
    <w:rsid w:val="00F5317B"/>
    <w:rsid w:val="00F54D07"/>
    <w:rsid w:val="00F5657D"/>
    <w:rsid w:val="00F61027"/>
    <w:rsid w:val="00F61D00"/>
    <w:rsid w:val="00F624A2"/>
    <w:rsid w:val="00F62AAB"/>
    <w:rsid w:val="00F63A05"/>
    <w:rsid w:val="00F63DDE"/>
    <w:rsid w:val="00F63EF8"/>
    <w:rsid w:val="00F63FB7"/>
    <w:rsid w:val="00F6421B"/>
    <w:rsid w:val="00F643E2"/>
    <w:rsid w:val="00F646E8"/>
    <w:rsid w:val="00F649D2"/>
    <w:rsid w:val="00F65951"/>
    <w:rsid w:val="00F6602B"/>
    <w:rsid w:val="00F6657C"/>
    <w:rsid w:val="00F66643"/>
    <w:rsid w:val="00F66E76"/>
    <w:rsid w:val="00F66FD9"/>
    <w:rsid w:val="00F67C4E"/>
    <w:rsid w:val="00F708C6"/>
    <w:rsid w:val="00F70D20"/>
    <w:rsid w:val="00F71F53"/>
    <w:rsid w:val="00F72275"/>
    <w:rsid w:val="00F72904"/>
    <w:rsid w:val="00F73990"/>
    <w:rsid w:val="00F73A0C"/>
    <w:rsid w:val="00F73F9D"/>
    <w:rsid w:val="00F742A4"/>
    <w:rsid w:val="00F750CF"/>
    <w:rsid w:val="00F756DB"/>
    <w:rsid w:val="00F7728A"/>
    <w:rsid w:val="00F804B9"/>
    <w:rsid w:val="00F8210F"/>
    <w:rsid w:val="00F823E2"/>
    <w:rsid w:val="00F84E7D"/>
    <w:rsid w:val="00F85066"/>
    <w:rsid w:val="00F853CC"/>
    <w:rsid w:val="00F868C6"/>
    <w:rsid w:val="00F87484"/>
    <w:rsid w:val="00F87A4D"/>
    <w:rsid w:val="00F90035"/>
    <w:rsid w:val="00F906CD"/>
    <w:rsid w:val="00F91FCF"/>
    <w:rsid w:val="00F92283"/>
    <w:rsid w:val="00F923AC"/>
    <w:rsid w:val="00F934FE"/>
    <w:rsid w:val="00F93F05"/>
    <w:rsid w:val="00F95FAC"/>
    <w:rsid w:val="00F96D69"/>
    <w:rsid w:val="00F9785E"/>
    <w:rsid w:val="00FA11B5"/>
    <w:rsid w:val="00FA2CD4"/>
    <w:rsid w:val="00FA319D"/>
    <w:rsid w:val="00FA3FF4"/>
    <w:rsid w:val="00FA5D4D"/>
    <w:rsid w:val="00FA60AD"/>
    <w:rsid w:val="00FA6DCA"/>
    <w:rsid w:val="00FA7115"/>
    <w:rsid w:val="00FA76DA"/>
    <w:rsid w:val="00FA7F0A"/>
    <w:rsid w:val="00FA7F4A"/>
    <w:rsid w:val="00FB01E6"/>
    <w:rsid w:val="00FB0EE2"/>
    <w:rsid w:val="00FB18F0"/>
    <w:rsid w:val="00FB28F9"/>
    <w:rsid w:val="00FB2A62"/>
    <w:rsid w:val="00FB4423"/>
    <w:rsid w:val="00FB52BA"/>
    <w:rsid w:val="00FB52DF"/>
    <w:rsid w:val="00FB542E"/>
    <w:rsid w:val="00FB6631"/>
    <w:rsid w:val="00FB6778"/>
    <w:rsid w:val="00FB6BEB"/>
    <w:rsid w:val="00FC08F7"/>
    <w:rsid w:val="00FC0C9E"/>
    <w:rsid w:val="00FC0CF0"/>
    <w:rsid w:val="00FC0D05"/>
    <w:rsid w:val="00FC0E5F"/>
    <w:rsid w:val="00FC1A95"/>
    <w:rsid w:val="00FC227C"/>
    <w:rsid w:val="00FC2455"/>
    <w:rsid w:val="00FC56DE"/>
    <w:rsid w:val="00FC5D41"/>
    <w:rsid w:val="00FC6700"/>
    <w:rsid w:val="00FC684B"/>
    <w:rsid w:val="00FC7F05"/>
    <w:rsid w:val="00FD109B"/>
    <w:rsid w:val="00FD1A5F"/>
    <w:rsid w:val="00FD1BAB"/>
    <w:rsid w:val="00FD1E33"/>
    <w:rsid w:val="00FD1FC5"/>
    <w:rsid w:val="00FD2055"/>
    <w:rsid w:val="00FD3265"/>
    <w:rsid w:val="00FD3B95"/>
    <w:rsid w:val="00FD3F24"/>
    <w:rsid w:val="00FD4A5D"/>
    <w:rsid w:val="00FD4CF6"/>
    <w:rsid w:val="00FD4EAC"/>
    <w:rsid w:val="00FD5F03"/>
    <w:rsid w:val="00FD5F92"/>
    <w:rsid w:val="00FD66F9"/>
    <w:rsid w:val="00FD78F8"/>
    <w:rsid w:val="00FD7E05"/>
    <w:rsid w:val="00FE0953"/>
    <w:rsid w:val="00FE2315"/>
    <w:rsid w:val="00FE2F78"/>
    <w:rsid w:val="00FE470B"/>
    <w:rsid w:val="00FF0650"/>
    <w:rsid w:val="00FF153C"/>
    <w:rsid w:val="00FF17D1"/>
    <w:rsid w:val="00FF1EA9"/>
    <w:rsid w:val="00FF21D9"/>
    <w:rsid w:val="00FF2D5D"/>
    <w:rsid w:val="00FF2E47"/>
    <w:rsid w:val="00FF35C4"/>
    <w:rsid w:val="00FF4082"/>
    <w:rsid w:val="00FF4206"/>
    <w:rsid w:val="00FF5A31"/>
    <w:rsid w:val="00FF61F3"/>
    <w:rsid w:val="00FF6DDE"/>
    <w:rsid w:val="00FF7090"/>
    <w:rsid w:val="00FF78AF"/>
    <w:rsid w:val="00FF7B96"/>
    <w:rsid w:val="010E6CF6"/>
    <w:rsid w:val="0274CEEB"/>
    <w:rsid w:val="11D0C0D9"/>
    <w:rsid w:val="1C7F89FF"/>
    <w:rsid w:val="304DB734"/>
    <w:rsid w:val="30D0B3BE"/>
    <w:rsid w:val="52CC52E2"/>
    <w:rsid w:val="55C2456F"/>
    <w:rsid w:val="614CA75B"/>
    <w:rsid w:val="6B2670A5"/>
    <w:rsid w:val="6E1EAC99"/>
    <w:rsid w:val="7BDB84E4"/>
    <w:rsid w:val="7DB22EB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val="en-GB"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tabs>
        <w:tab w:val="num" w:pos="360"/>
      </w:tabs>
      <w:spacing w:before="200" w:after="0"/>
      <w:ind w:left="0" w:firstLine="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tabs>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tabs>
        <w:tab w:val="num" w:pos="360"/>
      </w:tabs>
      <w:spacing w:before="200" w:after="0"/>
      <w:ind w:left="0" w:firstLine="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tabs>
        <w:tab w:val="num" w:pos="360"/>
      </w:tabs>
      <w:spacing w:before="240" w:after="60"/>
      <w:ind w:left="0" w:firstLine="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link w:val="OdstavecseseznamemChar"/>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styleId="Odkaznakoment">
    <w:name w:val="annotation reference"/>
    <w:basedOn w:val="Standardnpsmoodstavce"/>
    <w:uiPriority w:val="99"/>
    <w:semiHidden/>
    <w:unhideWhenUsed/>
    <w:rsid w:val="00545512"/>
    <w:rPr>
      <w:sz w:val="16"/>
      <w:szCs w:val="16"/>
    </w:rPr>
  </w:style>
  <w:style w:type="paragraph" w:styleId="Textkomente">
    <w:name w:val="annotation text"/>
    <w:basedOn w:val="Normln"/>
    <w:link w:val="TextkomenteChar"/>
    <w:uiPriority w:val="99"/>
    <w:unhideWhenUsed/>
    <w:rsid w:val="00545512"/>
    <w:pPr>
      <w:spacing w:line="240" w:lineRule="auto"/>
    </w:pPr>
    <w:rPr>
      <w:szCs w:val="20"/>
    </w:rPr>
  </w:style>
  <w:style w:type="character" w:customStyle="1" w:styleId="TextkomenteChar">
    <w:name w:val="Text komentáře Char"/>
    <w:basedOn w:val="Standardnpsmoodstavce"/>
    <w:link w:val="Textkomente"/>
    <w:uiPriority w:val="99"/>
    <w:rsid w:val="00545512"/>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545512"/>
    <w:rPr>
      <w:b/>
      <w:bCs/>
    </w:rPr>
  </w:style>
  <w:style w:type="character" w:customStyle="1" w:styleId="PedmtkomenteChar">
    <w:name w:val="Předmět komentáře Char"/>
    <w:basedOn w:val="TextkomenteChar"/>
    <w:link w:val="Pedmtkomente"/>
    <w:uiPriority w:val="99"/>
    <w:semiHidden/>
    <w:rsid w:val="00545512"/>
    <w:rPr>
      <w:rFonts w:ascii="Arial" w:eastAsia="Times New Roman" w:hAnsi="Arial"/>
      <w:b/>
      <w:bCs/>
      <w:lang w:eastAsia="cs-CZ"/>
    </w:rPr>
  </w:style>
  <w:style w:type="paragraph" w:styleId="Rozloendokumentu">
    <w:name w:val="Document Map"/>
    <w:basedOn w:val="Normln"/>
    <w:link w:val="RozloendokumentuChar"/>
    <w:uiPriority w:val="99"/>
    <w:semiHidden/>
    <w:rsid w:val="0054551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545512"/>
    <w:rPr>
      <w:rFonts w:ascii="Tahoma" w:hAnsi="Tahoma" w:cs="Tahoma"/>
      <w:sz w:val="16"/>
      <w:szCs w:val="16"/>
      <w:lang w:eastAsia="cs-CZ"/>
    </w:rPr>
  </w:style>
  <w:style w:type="paragraph" w:customStyle="1" w:styleId="Nadpis12">
    <w:name w:val="Nadpis 12"/>
    <w:basedOn w:val="Normln"/>
    <w:uiPriority w:val="9"/>
    <w:qFormat/>
    <w:rsid w:val="00545512"/>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545512"/>
  </w:style>
  <w:style w:type="paragraph" w:styleId="Revize">
    <w:name w:val="Revision"/>
    <w:hidden/>
    <w:uiPriority w:val="99"/>
    <w:semiHidden/>
    <w:rsid w:val="00545512"/>
    <w:rPr>
      <w:rFonts w:ascii="Arial" w:eastAsia="Times New Roman" w:hAnsi="Arial"/>
      <w:szCs w:val="24"/>
      <w:lang w:eastAsia="cs-CZ"/>
    </w:rPr>
  </w:style>
  <w:style w:type="character" w:customStyle="1" w:styleId="odkaz-style-wrapper">
    <w:name w:val="odkaz-style-wrapper"/>
    <w:basedOn w:val="Standardnpsmoodstavce"/>
    <w:rsid w:val="00545512"/>
  </w:style>
  <w:style w:type="character" w:customStyle="1" w:styleId="tabulka">
    <w:name w:val="tabulka"/>
    <w:basedOn w:val="Standardnpsmoodstavce"/>
    <w:rsid w:val="00545512"/>
  </w:style>
  <w:style w:type="paragraph" w:customStyle="1" w:styleId="Default">
    <w:name w:val="Default"/>
    <w:rsid w:val="00545512"/>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545512"/>
    <w:pPr>
      <w:spacing w:before="100" w:beforeAutospacing="1" w:after="100" w:afterAutospacing="1" w:line="240" w:lineRule="auto"/>
      <w:jc w:val="left"/>
    </w:pPr>
    <w:rPr>
      <w:rFonts w:ascii="Times New Roman" w:hAnsi="Times New Roman"/>
      <w:sz w:val="24"/>
    </w:rPr>
  </w:style>
  <w:style w:type="paragraph" w:styleId="FormtovanvHTML">
    <w:name w:val="HTML Preformatted"/>
    <w:basedOn w:val="Normln"/>
    <w:link w:val="FormtovanvHTMLChar"/>
    <w:uiPriority w:val="99"/>
    <w:semiHidden/>
    <w:unhideWhenUsed/>
    <w:rsid w:val="0054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545512"/>
    <w:rPr>
      <w:rFonts w:ascii="Courier New" w:eastAsia="Times New Roman" w:hAnsi="Courier New" w:cs="Courier New"/>
      <w:lang w:eastAsia="cs-CZ"/>
    </w:rPr>
  </w:style>
  <w:style w:type="paragraph" w:customStyle="1" w:styleId="cay">
    <w:name w:val="c_ay"/>
    <w:basedOn w:val="Normln"/>
    <w:rsid w:val="00545512"/>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545512"/>
  </w:style>
  <w:style w:type="character" w:styleId="Sledovanodkaz">
    <w:name w:val="FollowedHyperlink"/>
    <w:basedOn w:val="Standardnpsmoodstavce"/>
    <w:uiPriority w:val="99"/>
    <w:semiHidden/>
    <w:unhideWhenUsed/>
    <w:rsid w:val="00545512"/>
    <w:rPr>
      <w:color w:val="800080" w:themeColor="followedHyperlink"/>
      <w:u w:val="single"/>
    </w:rPr>
  </w:style>
  <w:style w:type="character" w:customStyle="1" w:styleId="cfu">
    <w:name w:val="c_fu"/>
    <w:basedOn w:val="Standardnpsmoodstavce"/>
    <w:rsid w:val="00BF3B1D"/>
  </w:style>
  <w:style w:type="character" w:customStyle="1" w:styleId="OdstavecseseznamemChar">
    <w:name w:val="Odstavec se seznamem Char"/>
    <w:basedOn w:val="Standardnpsmoodstavce"/>
    <w:link w:val="Odstavecseseznamem"/>
    <w:uiPriority w:val="34"/>
    <w:rsid w:val="00CF59E5"/>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6344914">
      <w:bodyDiv w:val="1"/>
      <w:marLeft w:val="0"/>
      <w:marRight w:val="0"/>
      <w:marTop w:val="0"/>
      <w:marBottom w:val="0"/>
      <w:divBdr>
        <w:top w:val="none" w:sz="0" w:space="0" w:color="auto"/>
        <w:left w:val="none" w:sz="0" w:space="0" w:color="auto"/>
        <w:bottom w:val="none" w:sz="0" w:space="0" w:color="auto"/>
        <w:right w:val="none" w:sz="0" w:space="0" w:color="auto"/>
      </w:divBdr>
    </w:div>
    <w:div w:id="11051791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66721734">
      <w:bodyDiv w:val="1"/>
      <w:marLeft w:val="0"/>
      <w:marRight w:val="0"/>
      <w:marTop w:val="0"/>
      <w:marBottom w:val="0"/>
      <w:divBdr>
        <w:top w:val="none" w:sz="0" w:space="0" w:color="auto"/>
        <w:left w:val="none" w:sz="0" w:space="0" w:color="auto"/>
        <w:bottom w:val="none" w:sz="0" w:space="0" w:color="auto"/>
        <w:right w:val="none" w:sz="0" w:space="0" w:color="auto"/>
      </w:divBdr>
    </w:div>
    <w:div w:id="1639457441">
      <w:bodyDiv w:val="1"/>
      <w:marLeft w:val="0"/>
      <w:marRight w:val="0"/>
      <w:marTop w:val="0"/>
      <w:marBottom w:val="0"/>
      <w:divBdr>
        <w:top w:val="none" w:sz="0" w:space="0" w:color="auto"/>
        <w:left w:val="none" w:sz="0" w:space="0" w:color="auto"/>
        <w:bottom w:val="none" w:sz="0" w:space="0" w:color="auto"/>
        <w:right w:val="none" w:sz="0" w:space="0" w:color="auto"/>
      </w:divBdr>
    </w:div>
    <w:div w:id="1716924412">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0620675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csu.gov.cz/metodicka-poznamka-k-indexu-spotrebitelskych-cen-imputovane-najemn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4/eng/Makroanal&#253;za%20grafy_e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4/eng/Makroanal&#253;za%20grafy_eng.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5Q4/eng/Makroanal&#253;za%20grafy_e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249577845322527E-2"/>
          <c:y val="2.1811335019919161E-2"/>
          <c:w val="0.92237743255066085"/>
          <c:h val="0.73318107621299466"/>
        </c:manualLayout>
      </c:layout>
      <c:barChart>
        <c:barDir val="col"/>
        <c:grouping val="clustered"/>
        <c:varyColors val="0"/>
        <c:ser>
          <c:idx val="0"/>
          <c:order val="0"/>
          <c:tx>
            <c:strRef>
              <c:f>'Ceny 2'!$C$5</c:f>
              <c:strCache>
                <c:ptCount val="1"/>
                <c:pt idx="0">
                  <c:v>Total</c:v>
                </c:pt>
              </c:strCache>
            </c:strRef>
          </c:tx>
          <c:spPr>
            <a:solidFill>
              <a:srgbClr val="85898E"/>
            </a:solidFill>
            <a:ln w="19050">
              <a:noFill/>
            </a:ln>
          </c:spPr>
          <c:invertIfNegative val="0"/>
          <c:cat>
            <c:multiLvlStrRef>
              <c:f>'Ceny 2'!$A$14:$B$37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2'!$C$14:$C$37</c:f>
              <c:numCache>
                <c:formatCode>0.0</c:formatCode>
                <c:ptCount val="24"/>
                <c:pt idx="0">
                  <c:v>3.6</c:v>
                </c:pt>
                <c:pt idx="1">
                  <c:v>3.1</c:v>
                </c:pt>
                <c:pt idx="2">
                  <c:v>3.3</c:v>
                </c:pt>
                <c:pt idx="3">
                  <c:v>2.6</c:v>
                </c:pt>
                <c:pt idx="4">
                  <c:v>2.2000000000000002</c:v>
                </c:pt>
                <c:pt idx="5">
                  <c:v>2.9</c:v>
                </c:pt>
                <c:pt idx="6">
                  <c:v>4.0999999999999996</c:v>
                </c:pt>
                <c:pt idx="7">
                  <c:v>6.1</c:v>
                </c:pt>
                <c:pt idx="8">
                  <c:v>11.2</c:v>
                </c:pt>
                <c:pt idx="9">
                  <c:v>15.8</c:v>
                </c:pt>
                <c:pt idx="10">
                  <c:v>17.600000000000001</c:v>
                </c:pt>
                <c:pt idx="11">
                  <c:v>15.7</c:v>
                </c:pt>
                <c:pt idx="12">
                  <c:v>16.399999999999999</c:v>
                </c:pt>
                <c:pt idx="13">
                  <c:v>11.1</c:v>
                </c:pt>
                <c:pt idx="14">
                  <c:v>8</c:v>
                </c:pt>
                <c:pt idx="15">
                  <c:v>7.6</c:v>
                </c:pt>
                <c:pt idx="16">
                  <c:v>2.1</c:v>
                </c:pt>
                <c:pt idx="17">
                  <c:v>2.5</c:v>
                </c:pt>
                <c:pt idx="18">
                  <c:v>2.2999999999999998</c:v>
                </c:pt>
                <c:pt idx="19">
                  <c:v>2.9</c:v>
                </c:pt>
                <c:pt idx="20">
                  <c:v>2.7</c:v>
                </c:pt>
                <c:pt idx="21">
                  <c:v>2.4</c:v>
                </c:pt>
                <c:pt idx="22">
                  <c:v>2.5</c:v>
                </c:pt>
                <c:pt idx="23">
                  <c:v>2.2000000000000002</c:v>
                </c:pt>
              </c:numCache>
            </c:numRef>
          </c:val>
          <c:extLst>
            <c:ext xmlns:c16="http://schemas.microsoft.com/office/drawing/2014/chart" uri="{C3380CC4-5D6E-409C-BE32-E72D297353CC}">
              <c16:uniqueId val="{00000000-AB23-43CE-85B4-44275915D8AC}"/>
            </c:ext>
          </c:extLst>
        </c:ser>
        <c:dLbls>
          <c:showLegendKey val="0"/>
          <c:showVal val="0"/>
          <c:showCatName val="0"/>
          <c:showSerName val="0"/>
          <c:showPercent val="0"/>
          <c:showBubbleSize val="0"/>
        </c:dLbls>
        <c:gapWidth val="95"/>
        <c:axId val="130513536"/>
        <c:axId val="130531712"/>
      </c:barChart>
      <c:lineChart>
        <c:grouping val="standard"/>
        <c:varyColors val="0"/>
        <c:ser>
          <c:idx val="1"/>
          <c:order val="1"/>
          <c:tx>
            <c:strRef>
              <c:f>'Ceny 2'!$D$5</c:f>
              <c:strCache>
                <c:ptCount val="1"/>
                <c:pt idx="0">
                  <c:v>Food</c:v>
                </c:pt>
              </c:strCache>
            </c:strRef>
          </c:tx>
          <c:spPr>
            <a:ln w="19050">
              <a:solidFill>
                <a:srgbClr val="009CB5"/>
              </a:solidFill>
            </a:ln>
          </c:spPr>
          <c:marker>
            <c:symbol val="none"/>
          </c:marker>
          <c:cat>
            <c:multiLvlStrRef>
              <c:f>'Ceny 2'!$A$14:$B$37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2'!$D$14:$D$37</c:f>
              <c:numCache>
                <c:formatCode>0.0</c:formatCode>
                <c:ptCount val="24"/>
                <c:pt idx="0">
                  <c:v>6.1</c:v>
                </c:pt>
                <c:pt idx="1">
                  <c:v>6.5</c:v>
                </c:pt>
                <c:pt idx="2">
                  <c:v>4</c:v>
                </c:pt>
                <c:pt idx="3">
                  <c:v>1.7</c:v>
                </c:pt>
                <c:pt idx="4">
                  <c:v>0.3</c:v>
                </c:pt>
                <c:pt idx="5">
                  <c:v>-0.8</c:v>
                </c:pt>
                <c:pt idx="6">
                  <c:v>1.4</c:v>
                </c:pt>
                <c:pt idx="7">
                  <c:v>2.2999999999999998</c:v>
                </c:pt>
                <c:pt idx="8">
                  <c:v>6.7</c:v>
                </c:pt>
                <c:pt idx="9">
                  <c:v>14.6</c:v>
                </c:pt>
                <c:pt idx="10">
                  <c:v>20</c:v>
                </c:pt>
                <c:pt idx="11">
                  <c:v>25.5</c:v>
                </c:pt>
                <c:pt idx="12">
                  <c:v>24.1</c:v>
                </c:pt>
                <c:pt idx="13">
                  <c:v>14.6</c:v>
                </c:pt>
                <c:pt idx="14">
                  <c:v>7.8</c:v>
                </c:pt>
                <c:pt idx="15">
                  <c:v>1.6</c:v>
                </c:pt>
                <c:pt idx="16">
                  <c:v>-4.9000000000000004</c:v>
                </c:pt>
                <c:pt idx="17">
                  <c:v>-3.6</c:v>
                </c:pt>
                <c:pt idx="18">
                  <c:v>-1.4</c:v>
                </c:pt>
                <c:pt idx="19">
                  <c:v>0.9</c:v>
                </c:pt>
                <c:pt idx="20">
                  <c:v>5.0999999999999996</c:v>
                </c:pt>
                <c:pt idx="21">
                  <c:v>5.2</c:v>
                </c:pt>
                <c:pt idx="22">
                  <c:v>4.2</c:v>
                </c:pt>
                <c:pt idx="23">
                  <c:v>2.5</c:v>
                </c:pt>
              </c:numCache>
            </c:numRef>
          </c:val>
          <c:smooth val="0"/>
          <c:extLst>
            <c:ext xmlns:c16="http://schemas.microsoft.com/office/drawing/2014/chart" uri="{C3380CC4-5D6E-409C-BE32-E72D297353CC}">
              <c16:uniqueId val="{00000001-AB23-43CE-85B4-44275915D8AC}"/>
            </c:ext>
          </c:extLst>
        </c:ser>
        <c:ser>
          <c:idx val="3"/>
          <c:order val="2"/>
          <c:tx>
            <c:strRef>
              <c:f>'Ceny 2'!$F$5</c:f>
              <c:strCache>
                <c:ptCount val="1"/>
                <c:pt idx="0">
                  <c:v>Housing and energy</c:v>
                </c:pt>
              </c:strCache>
            </c:strRef>
          </c:tx>
          <c:spPr>
            <a:ln w="19050">
              <a:solidFill>
                <a:srgbClr val="BC5B80"/>
              </a:solidFill>
            </a:ln>
          </c:spPr>
          <c:marker>
            <c:symbol val="none"/>
          </c:marker>
          <c:cat>
            <c:multiLvlStrRef>
              <c:f>'Ceny 2'!$A$14:$B$37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2'!$F$14:$F$37</c:f>
              <c:numCache>
                <c:formatCode>0.0</c:formatCode>
                <c:ptCount val="24"/>
                <c:pt idx="0">
                  <c:v>4.2</c:v>
                </c:pt>
                <c:pt idx="1">
                  <c:v>3.2</c:v>
                </c:pt>
                <c:pt idx="2">
                  <c:v>2.7</c:v>
                </c:pt>
                <c:pt idx="3">
                  <c:v>1.4</c:v>
                </c:pt>
                <c:pt idx="4">
                  <c:v>0.6</c:v>
                </c:pt>
                <c:pt idx="5">
                  <c:v>1.3</c:v>
                </c:pt>
                <c:pt idx="6">
                  <c:v>3.6</c:v>
                </c:pt>
                <c:pt idx="7">
                  <c:v>5.6</c:v>
                </c:pt>
                <c:pt idx="8">
                  <c:v>16</c:v>
                </c:pt>
                <c:pt idx="9">
                  <c:v>21.4</c:v>
                </c:pt>
                <c:pt idx="10">
                  <c:v>23.6</c:v>
                </c:pt>
                <c:pt idx="11">
                  <c:v>14.9</c:v>
                </c:pt>
                <c:pt idx="12">
                  <c:v>22.2</c:v>
                </c:pt>
                <c:pt idx="13">
                  <c:v>16</c:v>
                </c:pt>
                <c:pt idx="14">
                  <c:v>11.6</c:v>
                </c:pt>
                <c:pt idx="15">
                  <c:v>17.8</c:v>
                </c:pt>
                <c:pt idx="16">
                  <c:v>3.4</c:v>
                </c:pt>
                <c:pt idx="17">
                  <c:v>3.1</c:v>
                </c:pt>
                <c:pt idx="18">
                  <c:v>3.2</c:v>
                </c:pt>
                <c:pt idx="19">
                  <c:v>4.2</c:v>
                </c:pt>
                <c:pt idx="20">
                  <c:v>1.4</c:v>
                </c:pt>
                <c:pt idx="21">
                  <c:v>1.9</c:v>
                </c:pt>
                <c:pt idx="22">
                  <c:v>2</c:v>
                </c:pt>
                <c:pt idx="23">
                  <c:v>1.9</c:v>
                </c:pt>
              </c:numCache>
            </c:numRef>
          </c:val>
          <c:smooth val="0"/>
          <c:extLst>
            <c:ext xmlns:c16="http://schemas.microsoft.com/office/drawing/2014/chart" uri="{C3380CC4-5D6E-409C-BE32-E72D297353CC}">
              <c16:uniqueId val="{00000002-AB23-43CE-85B4-44275915D8AC}"/>
            </c:ext>
          </c:extLst>
        </c:ser>
        <c:ser>
          <c:idx val="4"/>
          <c:order val="3"/>
          <c:tx>
            <c:strRef>
              <c:f>'Ceny 2'!$G$5</c:f>
              <c:strCache>
                <c:ptCount val="1"/>
                <c:pt idx="0">
                  <c:v>Transportation</c:v>
                </c:pt>
              </c:strCache>
            </c:strRef>
          </c:tx>
          <c:spPr>
            <a:ln w="19050">
              <a:solidFill>
                <a:srgbClr val="174F70"/>
              </a:solidFill>
            </a:ln>
          </c:spPr>
          <c:marker>
            <c:symbol val="none"/>
          </c:marker>
          <c:cat>
            <c:multiLvlStrRef>
              <c:f>'Ceny 2'!$A$14:$B$37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2'!$G$14:$G$37</c:f>
              <c:numCache>
                <c:formatCode>0.0</c:formatCode>
                <c:ptCount val="24"/>
                <c:pt idx="0" formatCode="General">
                  <c:v>1.7</c:v>
                </c:pt>
                <c:pt idx="1">
                  <c:v>-3.4</c:v>
                </c:pt>
                <c:pt idx="2">
                  <c:v>-0.2</c:v>
                </c:pt>
                <c:pt idx="3">
                  <c:v>0.6</c:v>
                </c:pt>
                <c:pt idx="4">
                  <c:v>2.4</c:v>
                </c:pt>
                <c:pt idx="5">
                  <c:v>9.1</c:v>
                </c:pt>
                <c:pt idx="6">
                  <c:v>8.8000000000000007</c:v>
                </c:pt>
                <c:pt idx="7">
                  <c:v>13.1</c:v>
                </c:pt>
                <c:pt idx="8">
                  <c:v>17.2</c:v>
                </c:pt>
                <c:pt idx="9">
                  <c:v>22.7</c:v>
                </c:pt>
                <c:pt idx="10">
                  <c:v>19.7</c:v>
                </c:pt>
                <c:pt idx="11">
                  <c:v>13.1</c:v>
                </c:pt>
                <c:pt idx="12">
                  <c:v>4.5</c:v>
                </c:pt>
                <c:pt idx="13">
                  <c:v>-4</c:v>
                </c:pt>
                <c:pt idx="14">
                  <c:v>-2.4</c:v>
                </c:pt>
                <c:pt idx="15">
                  <c:v>-1.6</c:v>
                </c:pt>
                <c:pt idx="16">
                  <c:v>1.7</c:v>
                </c:pt>
                <c:pt idx="17">
                  <c:v>4.5999999999999996</c:v>
                </c:pt>
                <c:pt idx="18">
                  <c:v>0.9</c:v>
                </c:pt>
                <c:pt idx="19">
                  <c:v>0.1</c:v>
                </c:pt>
                <c:pt idx="20">
                  <c:v>0.3</c:v>
                </c:pt>
                <c:pt idx="21">
                  <c:v>-2.7</c:v>
                </c:pt>
                <c:pt idx="22">
                  <c:v>-0.9</c:v>
                </c:pt>
                <c:pt idx="23">
                  <c:v>0.1</c:v>
                </c:pt>
              </c:numCache>
            </c:numRef>
          </c:val>
          <c:smooth val="0"/>
          <c:extLst>
            <c:ext xmlns:c16="http://schemas.microsoft.com/office/drawing/2014/chart" uri="{C3380CC4-5D6E-409C-BE32-E72D297353CC}">
              <c16:uniqueId val="{00000003-AB23-43CE-85B4-44275915D8AC}"/>
            </c:ext>
          </c:extLst>
        </c:ser>
        <c:ser>
          <c:idx val="5"/>
          <c:order val="4"/>
          <c:tx>
            <c:strRef>
              <c:f>'Ceny 2'!$E$5</c:f>
              <c:strCache>
                <c:ptCount val="1"/>
                <c:pt idx="0">
                  <c:v>Alcoholic beverages and tobacco</c:v>
                </c:pt>
              </c:strCache>
              <c:extLst xmlns:c15="http://schemas.microsoft.com/office/drawing/2012/chart"/>
            </c:strRef>
          </c:tx>
          <c:spPr>
            <a:ln w="22225">
              <a:solidFill>
                <a:srgbClr val="CC9610"/>
              </a:solidFill>
            </a:ln>
          </c:spPr>
          <c:marker>
            <c:symbol val="none"/>
          </c:marker>
          <c:cat>
            <c:multiLvlStrRef>
              <c:f>'Ceny 2'!$A$14:$B$37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2'!$E$14:$E$37</c:f>
              <c:numCache>
                <c:formatCode>0.0</c:formatCode>
                <c:ptCount val="24"/>
                <c:pt idx="0" formatCode="General">
                  <c:v>3.5</c:v>
                </c:pt>
                <c:pt idx="1">
                  <c:v>6.6</c:v>
                </c:pt>
                <c:pt idx="2">
                  <c:v>10.3</c:v>
                </c:pt>
                <c:pt idx="3">
                  <c:v>9.9</c:v>
                </c:pt>
                <c:pt idx="4">
                  <c:v>9.9</c:v>
                </c:pt>
                <c:pt idx="5">
                  <c:v>9.8000000000000007</c:v>
                </c:pt>
                <c:pt idx="6">
                  <c:v>6.5</c:v>
                </c:pt>
                <c:pt idx="7">
                  <c:v>7.7</c:v>
                </c:pt>
                <c:pt idx="8">
                  <c:v>7.1</c:v>
                </c:pt>
                <c:pt idx="9">
                  <c:v>5.6</c:v>
                </c:pt>
                <c:pt idx="10">
                  <c:v>6.3</c:v>
                </c:pt>
                <c:pt idx="11">
                  <c:v>6</c:v>
                </c:pt>
                <c:pt idx="12">
                  <c:v>6.8</c:v>
                </c:pt>
                <c:pt idx="13">
                  <c:v>6.5</c:v>
                </c:pt>
                <c:pt idx="14">
                  <c:v>7.2</c:v>
                </c:pt>
                <c:pt idx="15">
                  <c:v>5.9</c:v>
                </c:pt>
                <c:pt idx="16">
                  <c:v>4.7</c:v>
                </c:pt>
                <c:pt idx="17">
                  <c:v>6.2</c:v>
                </c:pt>
                <c:pt idx="18">
                  <c:v>4.5999999999999996</c:v>
                </c:pt>
                <c:pt idx="19">
                  <c:v>4.8</c:v>
                </c:pt>
                <c:pt idx="20">
                  <c:v>5.0999999999999996</c:v>
                </c:pt>
                <c:pt idx="21">
                  <c:v>3.3</c:v>
                </c:pt>
                <c:pt idx="22">
                  <c:v>3.5</c:v>
                </c:pt>
                <c:pt idx="23">
                  <c:v>4.0999999999999996</c:v>
                </c:pt>
              </c:numCache>
            </c:numRef>
          </c:val>
          <c:smooth val="0"/>
          <c:extLst xmlns:c15="http://schemas.microsoft.com/office/drawing/2012/chart">
            <c:ext xmlns:c16="http://schemas.microsoft.com/office/drawing/2014/chart" uri="{C3380CC4-5D6E-409C-BE32-E72D297353CC}">
              <c16:uniqueId val="{00000004-AB23-43CE-85B4-44275915D8AC}"/>
            </c:ext>
          </c:extLst>
        </c:ser>
        <c:ser>
          <c:idx val="2"/>
          <c:order val="5"/>
          <c:tx>
            <c:strRef>
              <c:f>'Ceny 2'!$H$5</c:f>
              <c:strCache>
                <c:ptCount val="1"/>
                <c:pt idx="0">
                  <c:v>Restaurants and hotels</c:v>
                </c:pt>
              </c:strCache>
              <c:extLst xmlns:c15="http://schemas.microsoft.com/office/drawing/2012/chart"/>
            </c:strRef>
          </c:tx>
          <c:spPr>
            <a:ln w="19050">
              <a:solidFill>
                <a:srgbClr val="86BF5E"/>
              </a:solidFill>
            </a:ln>
          </c:spPr>
          <c:marker>
            <c:symbol val="none"/>
          </c:marker>
          <c:cat>
            <c:multiLvlStrRef>
              <c:f>'Ceny 2'!$A$14:$B$37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2'!$H$14:$H$37</c:f>
              <c:numCache>
                <c:formatCode>0.0</c:formatCode>
                <c:ptCount val="24"/>
                <c:pt idx="0">
                  <c:v>5.5</c:v>
                </c:pt>
                <c:pt idx="1">
                  <c:v>5.0999999999999996</c:v>
                </c:pt>
                <c:pt idx="2">
                  <c:v>4.9000000000000004</c:v>
                </c:pt>
                <c:pt idx="3">
                  <c:v>4.3</c:v>
                </c:pt>
                <c:pt idx="4">
                  <c:v>3</c:v>
                </c:pt>
                <c:pt idx="5">
                  <c:v>2.9</c:v>
                </c:pt>
                <c:pt idx="6">
                  <c:v>4.5999999999999996</c:v>
                </c:pt>
                <c:pt idx="7">
                  <c:v>6.8</c:v>
                </c:pt>
                <c:pt idx="8">
                  <c:v>12.3</c:v>
                </c:pt>
                <c:pt idx="9">
                  <c:v>21.4</c:v>
                </c:pt>
                <c:pt idx="10">
                  <c:v>24.3</c:v>
                </c:pt>
                <c:pt idx="11">
                  <c:v>25.6</c:v>
                </c:pt>
                <c:pt idx="12">
                  <c:v>22.4</c:v>
                </c:pt>
                <c:pt idx="13">
                  <c:v>15.4</c:v>
                </c:pt>
                <c:pt idx="14">
                  <c:v>11.6</c:v>
                </c:pt>
                <c:pt idx="15">
                  <c:v>8.8000000000000007</c:v>
                </c:pt>
                <c:pt idx="16">
                  <c:v>8.6</c:v>
                </c:pt>
                <c:pt idx="17">
                  <c:v>7.8</c:v>
                </c:pt>
                <c:pt idx="18">
                  <c:v>7.2</c:v>
                </c:pt>
                <c:pt idx="19">
                  <c:v>7</c:v>
                </c:pt>
                <c:pt idx="20">
                  <c:v>5.3</c:v>
                </c:pt>
                <c:pt idx="21">
                  <c:v>4.9000000000000004</c:v>
                </c:pt>
                <c:pt idx="22">
                  <c:v>4.8</c:v>
                </c:pt>
                <c:pt idx="23">
                  <c:v>4.7</c:v>
                </c:pt>
              </c:numCache>
            </c:numRef>
          </c:val>
          <c:smooth val="0"/>
          <c:extLst xmlns:c15="http://schemas.microsoft.com/office/drawing/2012/chart">
            <c:ext xmlns:c16="http://schemas.microsoft.com/office/drawing/2014/chart" uri="{C3380CC4-5D6E-409C-BE32-E72D297353CC}">
              <c16:uniqueId val="{00000005-AB23-43CE-85B4-44275915D8AC}"/>
            </c:ext>
          </c:extLst>
        </c:ser>
        <c:dLbls>
          <c:showLegendKey val="0"/>
          <c:showVal val="0"/>
          <c:showCatName val="0"/>
          <c:showSerName val="0"/>
          <c:showPercent val="0"/>
          <c:showBubbleSize val="0"/>
        </c:dLbls>
        <c:marker val="1"/>
        <c:smooth val="0"/>
        <c:axId val="130513536"/>
        <c:axId val="130531712"/>
        <c:extLst/>
      </c:lineChart>
      <c:catAx>
        <c:axId val="130513536"/>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130531712"/>
        <c:crosses val="autoZero"/>
        <c:auto val="1"/>
        <c:lblAlgn val="ctr"/>
        <c:lblOffset val="100"/>
        <c:noMultiLvlLbl val="0"/>
      </c:catAx>
      <c:valAx>
        <c:axId val="130531712"/>
        <c:scaling>
          <c:orientation val="minMax"/>
          <c:max val="27"/>
          <c:min val="-6"/>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30513536"/>
        <c:crosses val="autoZero"/>
        <c:crossBetween val="between"/>
        <c:majorUnit val="3"/>
      </c:valAx>
      <c:spPr>
        <a:ln>
          <a:solidFill>
            <a:schemeClr val="tx1"/>
          </a:solidFill>
        </a:ln>
      </c:spPr>
    </c:plotArea>
    <c:legend>
      <c:legendPos val="b"/>
      <c:layout>
        <c:manualLayout>
          <c:xMode val="edge"/>
          <c:yMode val="edge"/>
          <c:x val="5.6562816616008108E-2"/>
          <c:y val="0.87970674321738151"/>
          <c:w val="0.9271700861195542"/>
          <c:h val="0.10577132432771774"/>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258203189717562E-2"/>
          <c:y val="2.9569886214146503E-2"/>
          <c:w val="0.92637856314472322"/>
          <c:h val="0.73556653157716956"/>
        </c:manualLayout>
      </c:layout>
      <c:barChart>
        <c:barDir val="col"/>
        <c:grouping val="clustered"/>
        <c:varyColors val="0"/>
        <c:ser>
          <c:idx val="0"/>
          <c:order val="0"/>
          <c:tx>
            <c:strRef>
              <c:f>'Ceny 1'!$C$5</c:f>
              <c:strCache>
                <c:ptCount val="1"/>
                <c:pt idx="0">
                  <c:v>Realised prices of older flats, the CR</c:v>
                </c:pt>
              </c:strCache>
            </c:strRef>
          </c:tx>
          <c:spPr>
            <a:solidFill>
              <a:srgbClr val="B8BBC0"/>
            </a:solidFill>
            <a:ln w="19050">
              <a:noFill/>
            </a:ln>
          </c:spPr>
          <c:invertIfNegative val="0"/>
          <c:cat>
            <c:multiLvlStrRef>
              <c:f>'Ceny 1'!$A$14:$B$37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1'!$C$14:$C$37</c:f>
              <c:numCache>
                <c:formatCode>0.0</c:formatCode>
                <c:ptCount val="24"/>
                <c:pt idx="0">
                  <c:v>10.599999999999994</c:v>
                </c:pt>
                <c:pt idx="1">
                  <c:v>10.200000000000003</c:v>
                </c:pt>
                <c:pt idx="2">
                  <c:v>11.200000000000003</c:v>
                </c:pt>
                <c:pt idx="3">
                  <c:v>13.299999999999997</c:v>
                </c:pt>
                <c:pt idx="4">
                  <c:v>15.200000000000003</c:v>
                </c:pt>
                <c:pt idx="5">
                  <c:v>17.900000000000006</c:v>
                </c:pt>
                <c:pt idx="6">
                  <c:v>21.299999999999997</c:v>
                </c:pt>
                <c:pt idx="7">
                  <c:v>25.200000000000003</c:v>
                </c:pt>
                <c:pt idx="8">
                  <c:v>27.299999999999997</c:v>
                </c:pt>
                <c:pt idx="9">
                  <c:v>27.599999999999994</c:v>
                </c:pt>
                <c:pt idx="10">
                  <c:v>23.400000000000006</c:v>
                </c:pt>
                <c:pt idx="11">
                  <c:v>13.799999999999997</c:v>
                </c:pt>
                <c:pt idx="12">
                  <c:v>3.7000000000000028</c:v>
                </c:pt>
                <c:pt idx="13">
                  <c:v>-4.0999999999999943</c:v>
                </c:pt>
                <c:pt idx="14">
                  <c:v>-7</c:v>
                </c:pt>
                <c:pt idx="15">
                  <c:v>-5.5</c:v>
                </c:pt>
                <c:pt idx="16">
                  <c:v>9.9999999999994316E-2</c:v>
                </c:pt>
                <c:pt idx="17">
                  <c:v>6.0999999999999943</c:v>
                </c:pt>
                <c:pt idx="18">
                  <c:v>10.700000000000003</c:v>
                </c:pt>
                <c:pt idx="19">
                  <c:v>14.200000000000003</c:v>
                </c:pt>
                <c:pt idx="20">
                  <c:v>15.799999999999997</c:v>
                </c:pt>
                <c:pt idx="21">
                  <c:v>16.299999999999997</c:v>
                </c:pt>
                <c:pt idx="22">
                  <c:v>15.900000000000006</c:v>
                </c:pt>
                <c:pt idx="23">
                  <c:v>16</c:v>
                </c:pt>
              </c:numCache>
            </c:numRef>
          </c:val>
          <c:extLst>
            <c:ext xmlns:c16="http://schemas.microsoft.com/office/drawing/2014/chart" uri="{C3380CC4-5D6E-409C-BE32-E72D297353CC}">
              <c16:uniqueId val="{00000000-C161-4ED4-B60B-525FC79D9940}"/>
            </c:ext>
          </c:extLst>
        </c:ser>
        <c:ser>
          <c:idx val="1"/>
          <c:order val="1"/>
          <c:tx>
            <c:strRef>
              <c:f>'Ceny 1'!$D$5</c:f>
              <c:strCache>
                <c:ptCount val="1"/>
                <c:pt idx="0">
                  <c:v>Realised prices of older flats, Prague</c:v>
                </c:pt>
              </c:strCache>
            </c:strRef>
          </c:tx>
          <c:spPr>
            <a:solidFill>
              <a:srgbClr val="85898E"/>
            </a:solidFill>
            <a:ln w="19050">
              <a:noFill/>
            </a:ln>
          </c:spPr>
          <c:invertIfNegative val="0"/>
          <c:cat>
            <c:multiLvlStrRef>
              <c:f>'Ceny 1'!$A$14:$B$37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1'!$D$14:$D$37</c:f>
              <c:numCache>
                <c:formatCode>0.0</c:formatCode>
                <c:ptCount val="24"/>
                <c:pt idx="0">
                  <c:v>6.2000000000000028</c:v>
                </c:pt>
                <c:pt idx="1">
                  <c:v>8</c:v>
                </c:pt>
                <c:pt idx="2">
                  <c:v>9.4000000000000057</c:v>
                </c:pt>
                <c:pt idx="3">
                  <c:v>10.599999999999994</c:v>
                </c:pt>
                <c:pt idx="4">
                  <c:v>14.299999999999997</c:v>
                </c:pt>
                <c:pt idx="5">
                  <c:v>15.799999999999997</c:v>
                </c:pt>
                <c:pt idx="6">
                  <c:v>16.599999999999994</c:v>
                </c:pt>
                <c:pt idx="7">
                  <c:v>20</c:v>
                </c:pt>
                <c:pt idx="8">
                  <c:v>19</c:v>
                </c:pt>
                <c:pt idx="9">
                  <c:v>16.700000000000003</c:v>
                </c:pt>
                <c:pt idx="10">
                  <c:v>15.599999999999994</c:v>
                </c:pt>
                <c:pt idx="11">
                  <c:v>8.4000000000000057</c:v>
                </c:pt>
                <c:pt idx="12">
                  <c:v>1.2000000000000028</c:v>
                </c:pt>
                <c:pt idx="13">
                  <c:v>-3.5999999999999943</c:v>
                </c:pt>
                <c:pt idx="14">
                  <c:v>-5.2999999999999972</c:v>
                </c:pt>
                <c:pt idx="15">
                  <c:v>-2.5999999999999943</c:v>
                </c:pt>
                <c:pt idx="16">
                  <c:v>1</c:v>
                </c:pt>
                <c:pt idx="17">
                  <c:v>8.5999999999999943</c:v>
                </c:pt>
                <c:pt idx="18">
                  <c:v>11.799999999999997</c:v>
                </c:pt>
                <c:pt idx="19">
                  <c:v>12.099999999999994</c:v>
                </c:pt>
                <c:pt idx="20">
                  <c:v>15.799999999999997</c:v>
                </c:pt>
                <c:pt idx="21">
                  <c:v>13.599999999999994</c:v>
                </c:pt>
                <c:pt idx="22">
                  <c:v>13.400000000000006</c:v>
                </c:pt>
                <c:pt idx="23">
                  <c:v>13.700000000000003</c:v>
                </c:pt>
              </c:numCache>
            </c:numRef>
          </c:val>
          <c:extLst>
            <c:ext xmlns:c16="http://schemas.microsoft.com/office/drawing/2014/chart" uri="{C3380CC4-5D6E-409C-BE32-E72D297353CC}">
              <c16:uniqueId val="{00000001-C161-4ED4-B60B-525FC79D9940}"/>
            </c:ext>
          </c:extLst>
        </c:ser>
        <c:dLbls>
          <c:showLegendKey val="0"/>
          <c:showVal val="0"/>
          <c:showCatName val="0"/>
          <c:showSerName val="0"/>
          <c:showPercent val="0"/>
          <c:showBubbleSize val="0"/>
        </c:dLbls>
        <c:gapWidth val="95"/>
        <c:axId val="130418560"/>
        <c:axId val="130420096"/>
      </c:barChart>
      <c:lineChart>
        <c:grouping val="standard"/>
        <c:varyColors val="0"/>
        <c:ser>
          <c:idx val="2"/>
          <c:order val="2"/>
          <c:tx>
            <c:strRef>
              <c:f>'Ceny 1'!$E$5</c:f>
              <c:strCache>
                <c:ptCount val="1"/>
                <c:pt idx="0">
                  <c:v>Catalogue prices of flats, the CR</c:v>
                </c:pt>
              </c:strCache>
            </c:strRef>
          </c:tx>
          <c:spPr>
            <a:ln w="19050">
              <a:solidFill>
                <a:srgbClr val="BC5B80"/>
              </a:solidFill>
            </a:ln>
          </c:spPr>
          <c:marker>
            <c:symbol val="none"/>
          </c:marker>
          <c:cat>
            <c:multiLvlStrRef>
              <c:f>'Ceny 1'!$A$14:$B$37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1'!$E$14:$E$37</c:f>
              <c:numCache>
                <c:formatCode>0.0</c:formatCode>
                <c:ptCount val="24"/>
                <c:pt idx="0">
                  <c:v>6.0465116279069662</c:v>
                </c:pt>
                <c:pt idx="1">
                  <c:v>7.1334214002641829</c:v>
                </c:pt>
                <c:pt idx="2">
                  <c:v>7.9870129870129887</c:v>
                </c:pt>
                <c:pt idx="3">
                  <c:v>7.6481835564053569</c:v>
                </c:pt>
                <c:pt idx="4">
                  <c:v>7.6441102756892292</c:v>
                </c:pt>
                <c:pt idx="5">
                  <c:v>7.9531442663378584</c:v>
                </c:pt>
                <c:pt idx="6">
                  <c:v>9.3205051112447421</c:v>
                </c:pt>
                <c:pt idx="7">
                  <c:v>12.433392539964473</c:v>
                </c:pt>
                <c:pt idx="8">
                  <c:v>16.880093131548307</c:v>
                </c:pt>
                <c:pt idx="9">
                  <c:v>24.671616219303274</c:v>
                </c:pt>
                <c:pt idx="10">
                  <c:v>22.937293729372925</c:v>
                </c:pt>
                <c:pt idx="11">
                  <c:v>18.325434439178508</c:v>
                </c:pt>
                <c:pt idx="12">
                  <c:v>9.8107569721115624</c:v>
                </c:pt>
                <c:pt idx="13">
                  <c:v>-0.73293632615667548</c:v>
                </c:pt>
                <c:pt idx="14">
                  <c:v>-3.3109619686800897</c:v>
                </c:pt>
                <c:pt idx="15">
                  <c:v>-4.1833555852247315</c:v>
                </c:pt>
                <c:pt idx="16">
                  <c:v>-0.68027210884353906</c:v>
                </c:pt>
                <c:pt idx="17">
                  <c:v>3.3687125057683573</c:v>
                </c:pt>
                <c:pt idx="18">
                  <c:v>6.9412309116150084</c:v>
                </c:pt>
                <c:pt idx="19">
                  <c:v>10.682768230376212</c:v>
                </c:pt>
                <c:pt idx="20">
                  <c:v>15.662100456621019</c:v>
                </c:pt>
                <c:pt idx="21">
                  <c:v>17.008928571428569</c:v>
                </c:pt>
                <c:pt idx="22">
                  <c:v>17.654694937256593</c:v>
                </c:pt>
                <c:pt idx="23">
                  <c:v>16.869492236676436</c:v>
                </c:pt>
              </c:numCache>
            </c:numRef>
          </c:val>
          <c:smooth val="0"/>
          <c:extLst>
            <c:ext xmlns:c16="http://schemas.microsoft.com/office/drawing/2014/chart" uri="{C3380CC4-5D6E-409C-BE32-E72D297353CC}">
              <c16:uniqueId val="{00000002-C161-4ED4-B60B-525FC79D9940}"/>
            </c:ext>
          </c:extLst>
        </c:ser>
        <c:ser>
          <c:idx val="3"/>
          <c:order val="3"/>
          <c:tx>
            <c:strRef>
              <c:f>'Ceny 1'!$F$5</c:f>
              <c:strCache>
                <c:ptCount val="1"/>
                <c:pt idx="0">
                  <c:v>Catalogue prices of flats, Prague</c:v>
                </c:pt>
              </c:strCache>
            </c:strRef>
          </c:tx>
          <c:spPr>
            <a:ln>
              <a:solidFill>
                <a:srgbClr val="009CB5"/>
              </a:solidFill>
            </a:ln>
          </c:spPr>
          <c:marker>
            <c:symbol val="none"/>
          </c:marker>
          <c:cat>
            <c:multiLvlStrRef>
              <c:f>'Ceny 1'!$A$14:$B$37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1'!$F$14:$F$37</c:f>
              <c:numCache>
                <c:formatCode>0.0</c:formatCode>
                <c:ptCount val="24"/>
                <c:pt idx="0">
                  <c:v>3.5530085959885298</c:v>
                </c:pt>
                <c:pt idx="1">
                  <c:v>5.2812858783008068</c:v>
                </c:pt>
                <c:pt idx="2">
                  <c:v>6.2356979405034281</c:v>
                </c:pt>
                <c:pt idx="3">
                  <c:v>5.1743532058492718</c:v>
                </c:pt>
                <c:pt idx="4">
                  <c:v>4.759269507470961</c:v>
                </c:pt>
                <c:pt idx="5">
                  <c:v>4.5256270447110012</c:v>
                </c:pt>
                <c:pt idx="6">
                  <c:v>6.2466343564889826</c:v>
                </c:pt>
                <c:pt idx="7">
                  <c:v>9.1443850267379503</c:v>
                </c:pt>
                <c:pt idx="8">
                  <c:v>12.255678816693077</c:v>
                </c:pt>
                <c:pt idx="9">
                  <c:v>19.718309859154942</c:v>
                </c:pt>
                <c:pt idx="10">
                  <c:v>18.499746578813998</c:v>
                </c:pt>
                <c:pt idx="11">
                  <c:v>16.903478686918177</c:v>
                </c:pt>
                <c:pt idx="12">
                  <c:v>10.305882352941182</c:v>
                </c:pt>
                <c:pt idx="13">
                  <c:v>0.30501089324617681</c:v>
                </c:pt>
                <c:pt idx="14">
                  <c:v>-1.5825491873396089</c:v>
                </c:pt>
                <c:pt idx="15">
                  <c:v>-3.5624476110645418</c:v>
                </c:pt>
                <c:pt idx="16">
                  <c:v>0.3412969283276226</c:v>
                </c:pt>
                <c:pt idx="17">
                  <c:v>3.9965247610773247</c:v>
                </c:pt>
                <c:pt idx="18">
                  <c:v>6.7796610169491629</c:v>
                </c:pt>
                <c:pt idx="19">
                  <c:v>10.386788352890036</c:v>
                </c:pt>
                <c:pt idx="20">
                  <c:v>16.496598639455783</c:v>
                </c:pt>
                <c:pt idx="21">
                  <c:v>16.207184628237243</c:v>
                </c:pt>
                <c:pt idx="22">
                  <c:v>16.076516076516072</c:v>
                </c:pt>
                <c:pt idx="23">
                  <c:v>14.763779527559052</c:v>
                </c:pt>
              </c:numCache>
            </c:numRef>
          </c:val>
          <c:smooth val="0"/>
          <c:extLst>
            <c:ext xmlns:c16="http://schemas.microsoft.com/office/drawing/2014/chart" uri="{C3380CC4-5D6E-409C-BE32-E72D297353CC}">
              <c16:uniqueId val="{00000003-C161-4ED4-B60B-525FC79D9940}"/>
            </c:ext>
          </c:extLst>
        </c:ser>
        <c:dLbls>
          <c:showLegendKey val="0"/>
          <c:showVal val="0"/>
          <c:showCatName val="0"/>
          <c:showSerName val="0"/>
          <c:showPercent val="0"/>
          <c:showBubbleSize val="0"/>
        </c:dLbls>
        <c:marker val="1"/>
        <c:smooth val="0"/>
        <c:axId val="130418560"/>
        <c:axId val="130420096"/>
      </c:lineChart>
      <c:catAx>
        <c:axId val="130418560"/>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130420096"/>
        <c:crosses val="autoZero"/>
        <c:auto val="1"/>
        <c:lblAlgn val="ctr"/>
        <c:lblOffset val="100"/>
        <c:noMultiLvlLbl val="0"/>
      </c:catAx>
      <c:valAx>
        <c:axId val="130420096"/>
        <c:scaling>
          <c:orientation val="minMax"/>
          <c:max val="28"/>
          <c:min val="-8"/>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30418560"/>
        <c:crosses val="autoZero"/>
        <c:crossBetween val="between"/>
        <c:majorUnit val="4"/>
      </c:valAx>
      <c:spPr>
        <a:ln>
          <a:solidFill>
            <a:schemeClr val="tx1"/>
          </a:solidFill>
        </a:ln>
      </c:spPr>
    </c:plotArea>
    <c:legend>
      <c:legendPos val="b"/>
      <c:layout>
        <c:manualLayout>
          <c:xMode val="edge"/>
          <c:yMode val="edge"/>
          <c:x val="4.6528021206651497E-2"/>
          <c:y val="0.88817854328492629"/>
          <c:w val="0.9267997314289258"/>
          <c:h val="9.8380614657210319E-2"/>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536533717322946E-2"/>
          <c:y val="2.0784574468085106E-2"/>
          <c:w val="0.93242262856416824"/>
          <c:h val="0.66772044917257678"/>
        </c:manualLayout>
      </c:layout>
      <c:barChart>
        <c:barDir val="col"/>
        <c:grouping val="clustered"/>
        <c:varyColors val="0"/>
        <c:ser>
          <c:idx val="0"/>
          <c:order val="0"/>
          <c:tx>
            <c:strRef>
              <c:f>'Ceny 4'!$C$5</c:f>
              <c:strCache>
                <c:ptCount val="1"/>
                <c:pt idx="0">
                  <c:v>Total</c:v>
                </c:pt>
              </c:strCache>
            </c:strRef>
          </c:tx>
          <c:spPr>
            <a:solidFill>
              <a:srgbClr val="85898E"/>
            </a:solidFill>
            <a:ln>
              <a:noFill/>
            </a:ln>
            <a:effectLst/>
          </c:spPr>
          <c:invertIfNegative val="0"/>
          <c:cat>
            <c:multiLvlStrRef>
              <c:f>'Ceny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4'!$C$14:$C$37</c:f>
              <c:numCache>
                <c:formatCode>General</c:formatCode>
                <c:ptCount val="24"/>
                <c:pt idx="0">
                  <c:v>1.4000000000000057</c:v>
                </c:pt>
                <c:pt idx="1">
                  <c:v>-0.59999999999999432</c:v>
                </c:pt>
                <c:pt idx="2">
                  <c:v>-0.29999999999999716</c:v>
                </c:pt>
                <c:pt idx="3">
                  <c:v>9.9999999999994316E-2</c:v>
                </c:pt>
                <c:pt idx="4">
                  <c:v>1.5</c:v>
                </c:pt>
                <c:pt idx="5">
                  <c:v>5.2999999999999972</c:v>
                </c:pt>
                <c:pt idx="6">
                  <c:v>9</c:v>
                </c:pt>
                <c:pt idx="7">
                  <c:v>12.799999999999997</c:v>
                </c:pt>
                <c:pt idx="8">
                  <c:v>21.799999999999997</c:v>
                </c:pt>
                <c:pt idx="9">
                  <c:v>27.700000000000003</c:v>
                </c:pt>
                <c:pt idx="10">
                  <c:v>25.900000000000006</c:v>
                </c:pt>
                <c:pt idx="11">
                  <c:v>21.799999999999997</c:v>
                </c:pt>
                <c:pt idx="12">
                  <c:v>15</c:v>
                </c:pt>
                <c:pt idx="13">
                  <c:v>3.9000000000000057</c:v>
                </c:pt>
                <c:pt idx="14">
                  <c:v>1.3</c:v>
                </c:pt>
                <c:pt idx="15">
                  <c:v>0.8</c:v>
                </c:pt>
                <c:pt idx="16">
                  <c:v>-0.9</c:v>
                </c:pt>
                <c:pt idx="17">
                  <c:v>1.1000000000000001</c:v>
                </c:pt>
                <c:pt idx="18">
                  <c:v>1.2</c:v>
                </c:pt>
                <c:pt idx="19">
                  <c:v>1.8</c:v>
                </c:pt>
                <c:pt idx="20">
                  <c:v>0</c:v>
                </c:pt>
                <c:pt idx="21">
                  <c:v>-0.9</c:v>
                </c:pt>
                <c:pt idx="22">
                  <c:v>-1</c:v>
                </c:pt>
                <c:pt idx="23">
                  <c:v>-1.5</c:v>
                </c:pt>
              </c:numCache>
            </c:numRef>
          </c:val>
          <c:extLst>
            <c:ext xmlns:c16="http://schemas.microsoft.com/office/drawing/2014/chart" uri="{C3380CC4-5D6E-409C-BE32-E72D297353CC}">
              <c16:uniqueId val="{00000000-7FEB-430A-8969-8A6C7034FCAA}"/>
            </c:ext>
          </c:extLst>
        </c:ser>
        <c:dLbls>
          <c:showLegendKey val="0"/>
          <c:showVal val="0"/>
          <c:showCatName val="0"/>
          <c:showSerName val="0"/>
          <c:showPercent val="0"/>
          <c:showBubbleSize val="0"/>
        </c:dLbls>
        <c:gapWidth val="90"/>
        <c:axId val="1717494240"/>
        <c:axId val="1718275936"/>
      </c:barChart>
      <c:lineChart>
        <c:grouping val="standard"/>
        <c:varyColors val="0"/>
        <c:ser>
          <c:idx val="1"/>
          <c:order val="1"/>
          <c:tx>
            <c:strRef>
              <c:f>'Ceny 4'!$D$5</c:f>
              <c:strCache>
                <c:ptCount val="1"/>
                <c:pt idx="0">
                  <c:v>Mining and quarrying</c:v>
                </c:pt>
              </c:strCache>
            </c:strRef>
          </c:tx>
          <c:spPr>
            <a:ln w="22225" cap="rnd">
              <a:solidFill>
                <a:srgbClr val="86BF5E"/>
              </a:solidFill>
              <a:round/>
            </a:ln>
            <a:effectLst/>
          </c:spPr>
          <c:marker>
            <c:symbol val="none"/>
          </c:marker>
          <c:cat>
            <c:multiLvlStrRef>
              <c:f>'Ceny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4'!$D$14:$D$37</c:f>
              <c:numCache>
                <c:formatCode>General</c:formatCode>
                <c:ptCount val="24"/>
                <c:pt idx="0">
                  <c:v>-2.0999999999999943</c:v>
                </c:pt>
                <c:pt idx="1">
                  <c:v>-3.5</c:v>
                </c:pt>
                <c:pt idx="2">
                  <c:v>-3.5999999999999943</c:v>
                </c:pt>
                <c:pt idx="3">
                  <c:v>-2</c:v>
                </c:pt>
                <c:pt idx="4">
                  <c:v>-0.5</c:v>
                </c:pt>
                <c:pt idx="5">
                  <c:v>0.79999999999999716</c:v>
                </c:pt>
                <c:pt idx="6">
                  <c:v>3.2999999999999972</c:v>
                </c:pt>
                <c:pt idx="7">
                  <c:v>13.799999999999997</c:v>
                </c:pt>
                <c:pt idx="8">
                  <c:v>25.200000000000003</c:v>
                </c:pt>
                <c:pt idx="9">
                  <c:v>31.900000000000006</c:v>
                </c:pt>
                <c:pt idx="10">
                  <c:v>30.199999999999989</c:v>
                </c:pt>
                <c:pt idx="11">
                  <c:v>23.299999999999997</c:v>
                </c:pt>
                <c:pt idx="12">
                  <c:v>54</c:v>
                </c:pt>
                <c:pt idx="13">
                  <c:v>47.599999999999994</c:v>
                </c:pt>
                <c:pt idx="14">
                  <c:v>44.5</c:v>
                </c:pt>
                <c:pt idx="15">
                  <c:v>40.200000000000003</c:v>
                </c:pt>
                <c:pt idx="16">
                  <c:v>-1.2</c:v>
                </c:pt>
                <c:pt idx="17">
                  <c:v>-1.7</c:v>
                </c:pt>
                <c:pt idx="18">
                  <c:v>-0.5</c:v>
                </c:pt>
                <c:pt idx="19">
                  <c:v>-1.8</c:v>
                </c:pt>
                <c:pt idx="20">
                  <c:v>-2.6</c:v>
                </c:pt>
                <c:pt idx="21">
                  <c:v>-4.2</c:v>
                </c:pt>
                <c:pt idx="22">
                  <c:v>-4.3</c:v>
                </c:pt>
                <c:pt idx="23">
                  <c:v>-4.2</c:v>
                </c:pt>
              </c:numCache>
            </c:numRef>
          </c:val>
          <c:smooth val="0"/>
          <c:extLst>
            <c:ext xmlns:c16="http://schemas.microsoft.com/office/drawing/2014/chart" uri="{C3380CC4-5D6E-409C-BE32-E72D297353CC}">
              <c16:uniqueId val="{00000001-7FEB-430A-8969-8A6C7034FCAA}"/>
            </c:ext>
          </c:extLst>
        </c:ser>
        <c:ser>
          <c:idx val="2"/>
          <c:order val="2"/>
          <c:tx>
            <c:strRef>
              <c:f>'Ceny 4'!$E$5</c:f>
              <c:strCache>
                <c:ptCount val="1"/>
                <c:pt idx="0">
                  <c:v>Manufacturing</c:v>
                </c:pt>
              </c:strCache>
            </c:strRef>
          </c:tx>
          <c:spPr>
            <a:ln w="22225" cap="rnd">
              <a:solidFill>
                <a:srgbClr val="BC5B80"/>
              </a:solidFill>
              <a:round/>
            </a:ln>
            <a:effectLst/>
          </c:spPr>
          <c:marker>
            <c:symbol val="none"/>
          </c:marker>
          <c:cat>
            <c:multiLvlStrRef>
              <c:f>'Ceny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4'!$E$14:$E$37</c:f>
              <c:numCache>
                <c:formatCode>General</c:formatCode>
                <c:ptCount val="24"/>
                <c:pt idx="0">
                  <c:v>0</c:v>
                </c:pt>
                <c:pt idx="1">
                  <c:v>-2.2999999999999972</c:v>
                </c:pt>
                <c:pt idx="2">
                  <c:v>-1.7999999999999972</c:v>
                </c:pt>
                <c:pt idx="3">
                  <c:v>-1.2000000000000028</c:v>
                </c:pt>
                <c:pt idx="4">
                  <c:v>1.7999999999999972</c:v>
                </c:pt>
                <c:pt idx="5">
                  <c:v>6.5</c:v>
                </c:pt>
                <c:pt idx="6">
                  <c:v>11</c:v>
                </c:pt>
                <c:pt idx="7">
                  <c:v>14.5</c:v>
                </c:pt>
                <c:pt idx="8">
                  <c:v>17.5</c:v>
                </c:pt>
                <c:pt idx="9">
                  <c:v>24.200000000000003</c:v>
                </c:pt>
                <c:pt idx="10">
                  <c:v>20.5</c:v>
                </c:pt>
                <c:pt idx="11">
                  <c:v>16</c:v>
                </c:pt>
                <c:pt idx="12">
                  <c:v>10.299999999999997</c:v>
                </c:pt>
                <c:pt idx="13">
                  <c:v>-0.90000000000000568</c:v>
                </c:pt>
                <c:pt idx="14">
                  <c:v>-2.4</c:v>
                </c:pt>
                <c:pt idx="15">
                  <c:v>-2.2999999999999998</c:v>
                </c:pt>
                <c:pt idx="16">
                  <c:v>-1.7</c:v>
                </c:pt>
                <c:pt idx="17">
                  <c:v>0.1</c:v>
                </c:pt>
                <c:pt idx="18">
                  <c:v>0.2</c:v>
                </c:pt>
                <c:pt idx="19">
                  <c:v>0.4</c:v>
                </c:pt>
                <c:pt idx="20">
                  <c:v>0.4</c:v>
                </c:pt>
                <c:pt idx="21">
                  <c:v>-0.2</c:v>
                </c:pt>
                <c:pt idx="22">
                  <c:v>-0.3</c:v>
                </c:pt>
                <c:pt idx="23">
                  <c:v>-0.9</c:v>
                </c:pt>
              </c:numCache>
            </c:numRef>
          </c:val>
          <c:smooth val="0"/>
          <c:extLst>
            <c:ext xmlns:c16="http://schemas.microsoft.com/office/drawing/2014/chart" uri="{C3380CC4-5D6E-409C-BE32-E72D297353CC}">
              <c16:uniqueId val="{00000002-7FEB-430A-8969-8A6C7034FCAA}"/>
            </c:ext>
          </c:extLst>
        </c:ser>
        <c:ser>
          <c:idx val="3"/>
          <c:order val="3"/>
          <c:tx>
            <c:strRef>
              <c:f>'Ceny 4'!$F$5</c:f>
              <c:strCache>
                <c:ptCount val="1"/>
                <c:pt idx="0">
                  <c:v>Electricity, gas, steam and air conditioning supply</c:v>
                </c:pt>
              </c:strCache>
            </c:strRef>
          </c:tx>
          <c:spPr>
            <a:ln w="22225" cap="rnd">
              <a:solidFill>
                <a:srgbClr val="CC9610"/>
              </a:solidFill>
              <a:round/>
            </a:ln>
            <a:effectLst/>
          </c:spPr>
          <c:marker>
            <c:symbol val="none"/>
          </c:marker>
          <c:cat>
            <c:multiLvlStrRef>
              <c:f>'Ceny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4'!$F$14:$F$37</c:f>
              <c:numCache>
                <c:formatCode>General</c:formatCode>
                <c:ptCount val="24"/>
                <c:pt idx="0">
                  <c:v>8.9000000000000057</c:v>
                </c:pt>
                <c:pt idx="1">
                  <c:v>8.2000000000000028</c:v>
                </c:pt>
                <c:pt idx="2">
                  <c:v>7.7999999999999972</c:v>
                </c:pt>
                <c:pt idx="3">
                  <c:v>6.0999999999999943</c:v>
                </c:pt>
                <c:pt idx="4">
                  <c:v>0.29999999999999716</c:v>
                </c:pt>
                <c:pt idx="5">
                  <c:v>9.9999999999994316E-2</c:v>
                </c:pt>
                <c:pt idx="6">
                  <c:v>0.79999999999999716</c:v>
                </c:pt>
                <c:pt idx="7">
                  <c:v>5.5</c:v>
                </c:pt>
                <c:pt idx="8">
                  <c:v>45</c:v>
                </c:pt>
                <c:pt idx="9">
                  <c:v>47.199999999999989</c:v>
                </c:pt>
                <c:pt idx="10">
                  <c:v>56</c:v>
                </c:pt>
                <c:pt idx="11">
                  <c:v>54.300000000000011</c:v>
                </c:pt>
                <c:pt idx="12">
                  <c:v>28.400000000000006</c:v>
                </c:pt>
                <c:pt idx="13">
                  <c:v>18.400000000000006</c:v>
                </c:pt>
                <c:pt idx="14">
                  <c:v>10.5</c:v>
                </c:pt>
                <c:pt idx="15">
                  <c:v>7.1</c:v>
                </c:pt>
                <c:pt idx="16">
                  <c:v>0.8</c:v>
                </c:pt>
                <c:pt idx="17">
                  <c:v>4.5</c:v>
                </c:pt>
                <c:pt idx="18">
                  <c:v>4.2</c:v>
                </c:pt>
                <c:pt idx="19">
                  <c:v>6.7</c:v>
                </c:pt>
                <c:pt idx="20">
                  <c:v>-1.2</c:v>
                </c:pt>
                <c:pt idx="21">
                  <c:v>-3.4</c:v>
                </c:pt>
                <c:pt idx="22">
                  <c:v>-3.2</c:v>
                </c:pt>
                <c:pt idx="23">
                  <c:v>-3.8</c:v>
                </c:pt>
              </c:numCache>
            </c:numRef>
          </c:val>
          <c:smooth val="0"/>
          <c:extLst>
            <c:ext xmlns:c16="http://schemas.microsoft.com/office/drawing/2014/chart" uri="{C3380CC4-5D6E-409C-BE32-E72D297353CC}">
              <c16:uniqueId val="{00000003-7FEB-430A-8969-8A6C7034FCAA}"/>
            </c:ext>
          </c:extLst>
        </c:ser>
        <c:ser>
          <c:idx val="4"/>
          <c:order val="4"/>
          <c:tx>
            <c:strRef>
              <c:f>'Ceny 4'!$G$5</c:f>
              <c:strCache>
                <c:ptCount val="1"/>
                <c:pt idx="0">
                  <c:v>Water supply, sewerage</c:v>
                </c:pt>
              </c:strCache>
            </c:strRef>
          </c:tx>
          <c:spPr>
            <a:ln w="22225" cap="rnd">
              <a:solidFill>
                <a:srgbClr val="009CB5"/>
              </a:solidFill>
              <a:round/>
            </a:ln>
            <a:effectLst/>
          </c:spPr>
          <c:marker>
            <c:symbol val="none"/>
          </c:marker>
          <c:cat>
            <c:multiLvlStrRef>
              <c:f>'Ceny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4'!$G$14:$G$37</c:f>
              <c:numCache>
                <c:formatCode>General</c:formatCode>
                <c:ptCount val="24"/>
                <c:pt idx="0">
                  <c:v>5.4000000000000057</c:v>
                </c:pt>
                <c:pt idx="1">
                  <c:v>6.0999999999999943</c:v>
                </c:pt>
                <c:pt idx="2">
                  <c:v>6.4000000000000057</c:v>
                </c:pt>
                <c:pt idx="3">
                  <c:v>6.4000000000000057</c:v>
                </c:pt>
                <c:pt idx="4">
                  <c:v>6.9000000000000057</c:v>
                </c:pt>
                <c:pt idx="5">
                  <c:v>6.2000000000000028</c:v>
                </c:pt>
                <c:pt idx="6">
                  <c:v>5.9000000000000057</c:v>
                </c:pt>
                <c:pt idx="7">
                  <c:v>5.9000000000000057</c:v>
                </c:pt>
                <c:pt idx="8">
                  <c:v>5.2999999999999972</c:v>
                </c:pt>
                <c:pt idx="9">
                  <c:v>5.2999999999999972</c:v>
                </c:pt>
                <c:pt idx="10">
                  <c:v>5.2999999999999972</c:v>
                </c:pt>
                <c:pt idx="11">
                  <c:v>5.2999999999999972</c:v>
                </c:pt>
                <c:pt idx="12">
                  <c:v>16.299999999999997</c:v>
                </c:pt>
                <c:pt idx="13">
                  <c:v>16.299999999999997</c:v>
                </c:pt>
                <c:pt idx="14">
                  <c:v>16.3</c:v>
                </c:pt>
                <c:pt idx="15">
                  <c:v>16.3</c:v>
                </c:pt>
                <c:pt idx="16">
                  <c:v>9.1999999999999993</c:v>
                </c:pt>
                <c:pt idx="17">
                  <c:v>9.1999999999999993</c:v>
                </c:pt>
                <c:pt idx="18">
                  <c:v>9.1999999999999993</c:v>
                </c:pt>
                <c:pt idx="19">
                  <c:v>9.1999999999999993</c:v>
                </c:pt>
                <c:pt idx="20">
                  <c:v>4.0999999999999996</c:v>
                </c:pt>
                <c:pt idx="21">
                  <c:v>4.0999999999999996</c:v>
                </c:pt>
                <c:pt idx="22">
                  <c:v>4.0999999999999996</c:v>
                </c:pt>
                <c:pt idx="23">
                  <c:v>4.0999999999999996</c:v>
                </c:pt>
              </c:numCache>
            </c:numRef>
          </c:val>
          <c:smooth val="0"/>
          <c:extLst>
            <c:ext xmlns:c16="http://schemas.microsoft.com/office/drawing/2014/chart" uri="{C3380CC4-5D6E-409C-BE32-E72D297353CC}">
              <c16:uniqueId val="{00000004-7FEB-430A-8969-8A6C7034FCAA}"/>
            </c:ext>
          </c:extLst>
        </c:ser>
        <c:dLbls>
          <c:showLegendKey val="0"/>
          <c:showVal val="0"/>
          <c:showCatName val="0"/>
          <c:showSerName val="0"/>
          <c:showPercent val="0"/>
          <c:showBubbleSize val="0"/>
        </c:dLbls>
        <c:marker val="1"/>
        <c:smooth val="0"/>
        <c:axId val="1717494240"/>
        <c:axId val="1718275936"/>
      </c:lineChart>
      <c:catAx>
        <c:axId val="1717494240"/>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718275936"/>
        <c:crosses val="autoZero"/>
        <c:auto val="1"/>
        <c:lblAlgn val="ctr"/>
        <c:lblOffset val="100"/>
        <c:noMultiLvlLbl val="0"/>
      </c:catAx>
      <c:valAx>
        <c:axId val="1718275936"/>
        <c:scaling>
          <c:orientation val="minMax"/>
          <c:max val="60"/>
          <c:min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717494240"/>
        <c:crosses val="autoZero"/>
        <c:crossBetween val="between"/>
        <c:majorUnit val="5"/>
      </c:valAx>
      <c:spPr>
        <a:noFill/>
        <a:ln>
          <a:solidFill>
            <a:schemeClr val="tx1"/>
          </a:solidFill>
        </a:ln>
        <a:effectLst/>
      </c:spPr>
    </c:plotArea>
    <c:legend>
      <c:legendPos val="b"/>
      <c:layout>
        <c:manualLayout>
          <c:xMode val="edge"/>
          <c:yMode val="edge"/>
          <c:x val="5.4913125880123238E-2"/>
          <c:y val="0.80408628841607566"/>
          <c:w val="0.93175198788738656"/>
          <c:h val="0.18321187943262413"/>
        </c:manualLayout>
      </c:layout>
      <c:overlay val="0"/>
      <c:spPr>
        <a:noFill/>
        <a:ln>
          <a:solidFill>
            <a:schemeClr val="tx1"/>
          </a:solid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baseline="0">
          <a:solidFill>
            <a:sysClr val="windowText" lastClr="000000"/>
          </a:solidFill>
          <a:latin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3CEA5EB905EA4A80C471566B3EA34E" ma:contentTypeVersion="4" ma:contentTypeDescription="Vytvoří nový dokument" ma:contentTypeScope="" ma:versionID="665595f58a29ebd0fb50f52fd1a3fb16">
  <xsd:schema xmlns:xsd="http://www.w3.org/2001/XMLSchema" xmlns:xs="http://www.w3.org/2001/XMLSchema" xmlns:p="http://schemas.microsoft.com/office/2006/metadata/properties" xmlns:ns2="7af72279-59da-4f02-a702-8316938752d7" targetNamespace="http://schemas.microsoft.com/office/2006/metadata/properties" ma:root="true" ma:fieldsID="8b23c26673a00a9a43ab51476a2e445e" ns2:_="">
    <xsd:import namespace="7af72279-59da-4f02-a702-8316938752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2279-59da-4f02-a702-831693875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C6C72-FE0A-4006-8736-F1547CB67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2279-59da-4f02-a702-831693875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681AD-41B0-431A-9D34-CF6700A12F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4.xml><?xml version="1.0" encoding="utf-8"?>
<ds:datastoreItem xmlns:ds="http://schemas.openxmlformats.org/officeDocument/2006/customXml" ds:itemID="{81508513-78FC-4939-82F8-E0A4971F1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8</Pages>
  <Words>3818</Words>
  <Characters>22529</Characters>
  <Application>Microsoft Office Word</Application>
  <DocSecurity>0</DocSecurity>
  <Lines>187</Lines>
  <Paragraphs>52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CSU</Company>
  <LinksUpToDate>false</LinksUpToDate>
  <CharactersWithSpaces>26295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49</cp:revision>
  <cp:lastPrinted>2014-07-17T14:07:00Z</cp:lastPrinted>
  <dcterms:created xsi:type="dcterms:W3CDTF">2026-04-14T10:07:00Z</dcterms:created>
  <dcterms:modified xsi:type="dcterms:W3CDTF">2026-04-16T10:38:00Z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0x010100A83CEA5EB905EA4A80C471566B3EA34E</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SIP_Label_29db9e61-aac5-4f6e-805d-ceb8cb9983a1_Enabled">
    <vt:lpwstr>true</vt:lpwstr>
  </property>
  <property fmtid="{D5CDD505-2E9C-101B-9397-08002B2CF9AE}" pid="17" name="MSIP_Label_29db9e61-aac5-4f6e-805d-ceb8cb9983a1_SetDate">
    <vt:lpwstr>2026-03-20T16:21:23Z</vt:lpwstr>
  </property>
  <property fmtid="{D5CDD505-2E9C-101B-9397-08002B2CF9AE}" pid="18" name="MSIP_Label_29db9e61-aac5-4f6e-805d-ceb8cb9983a1_Method">
    <vt:lpwstr>Standard</vt:lpwstr>
  </property>
  <property fmtid="{D5CDD505-2E9C-101B-9397-08002B2CF9AE}" pid="19" name="MSIP_Label_29db9e61-aac5-4f6e-805d-ceb8cb9983a1_Name">
    <vt:lpwstr>UniCredit - Internal Use Only - no visual markings</vt:lpwstr>
  </property>
  <property fmtid="{D5CDD505-2E9C-101B-9397-08002B2CF9AE}" pid="20" name="MSIP_Label_29db9e61-aac5-4f6e-805d-ceb8cb9983a1_SiteId">
    <vt:lpwstr>2cc49ce9-66a1-41ac-a96b-bdc54247696a</vt:lpwstr>
  </property>
  <property fmtid="{D5CDD505-2E9C-101B-9397-08002B2CF9AE}" pid="21" name="MSIP_Label_29db9e61-aac5-4f6e-805d-ceb8cb9983a1_ActionId">
    <vt:lpwstr>0aa2fcd6-2b26-4770-b8b2-cc6b4d35ce54</vt:lpwstr>
  </property>
  <property fmtid="{D5CDD505-2E9C-101B-9397-08002B2CF9AE}" pid="22" name="MSIP_Label_29db9e61-aac5-4f6e-805d-ceb8cb9983a1_ContentBits">
    <vt:lpwstr>0</vt:lpwstr>
  </property>
  <property fmtid="{D5CDD505-2E9C-101B-9397-08002B2CF9AE}" pid="23" name="MSIP_Label_29db9e61-aac5-4f6e-805d-ceb8cb9983a1_Tag">
    <vt:lpwstr>10, 3, 0, 1</vt:lpwstr>
  </property>
</Properties>
</file>