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B1932" w14:textId="77777777" w:rsidR="00A75E40" w:rsidRPr="00360DE3" w:rsidRDefault="00A01CA0" w:rsidP="00E67696">
      <w:pPr>
        <w:rPr>
          <w:lang w:eastAsia="ar-SA"/>
        </w:rPr>
        <w:sectPr w:rsidR="00A75E40" w:rsidRPr="00360DE3" w:rsidSect="0085114D">
          <w:pgSz w:w="11906" w:h="16838" w:code="9"/>
          <w:pgMar w:top="1134" w:right="1134" w:bottom="1418" w:left="1134" w:header="709" w:footer="709" w:gutter="0"/>
          <w:pgNumType w:start="1"/>
          <w:cols w:space="708"/>
          <w:docGrid w:linePitch="360"/>
        </w:sectPr>
      </w:pPr>
      <w:bookmarkStart w:id="0" w:name="_GoBack"/>
      <w:bookmarkEnd w:id="0"/>
      <w:r>
        <w:rPr>
          <w:noProof/>
          <w:lang w:val="en-US" w:eastAsia="en-US"/>
        </w:rPr>
        <w:pict w14:anchorId="6B5230BE">
          <v:group id="Group 24" o:spid="_x0000_s1026" style="position:absolute;left:0;text-align:left;margin-left:45pt;margin-top:36.75pt;width:177.15pt;height:43.65pt;z-index:251657728;mso-position-horizontal-relative:page;mso-position-vertical-relative:page" coordorigin="567,851" coordsize="2714,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h5D1ItAABYEQEADgAAAGRycy9lMm9Eb2MueG1s7H1tb2U5jt73APkPhj8G6Kl7Xu+9halZbHdP&#10;DwJMkkHW+QFu21VlxOXr2O6ungT573kokTyS76Ges7ObDBap/tCqqstDiaREUSRF/f4ffvvycPHr&#10;3fPL/enxw2X3u93lxd3jzen2/vHTh8v/dvXTd4fLi5fX68fb64fT492Hy7/evVz+wx/+/b/7/den&#10;93f96fPp4fbu+QJIHl/ef336cPn59fXp/bt3Lzef775cv/zu9HT3iB8/np6/XL/ir8+f3t0+X38F&#10;9i8P7/rdbn739fR8+/R8url7ecG//ph/vPxDwv/x493N63/5+PHl7vXi4cMlxvaa/v+c/v+z/P/d&#10;H35//f7T8/XT5/sbHcb13zCKL9f3j+jUUf14/Xp98cvz/RmqL/c3z6eX08fX392cvrw7ffx4f3OX&#10;aAA13e4NNX96Pv3ylGj59P7rpydnE1j7hk9/M9qb//zrX54v7m8/XE6XF4/XXyCi1OtFPwpvvj59&#10;eg+QPz0//dPTX54zgfjjn083//3l4vH0w+frx093//jyBD5D+vLFu7efyN8/5e8vfv76n0636OL6&#10;l9dTYtdvH5+/CFYw4uK3JJW/ulTufnu9uME/9v14POwwvBv8Nk3jME1ZbDefIVv5bJr3lxf48TCl&#10;IVy/v/n8R/t43435yxlAMr7r97nTNFAdmBCK+feysPjlX8bif/p8/XSXJPci/FMWz8bi/wp+gXMP&#10;dxfHzOUEZSx+Cfm7sPz5+fT18931LcZpbC9wCDUvEBhleNd3YCxYd9wp64zr8x6jFY53U5oJzrfr&#10;90/PL69/ujt9uZA/fLh8BjFJmNe//vnlNbPYQES2L6eH+9uf7h8e0l+eP/38w8Pzxa/XsiB3++77&#10;H1QqFdjDowA/nuSzjDH/C0aHPuQ3GWdaYP/r2PXj7vv++N1P82H/3fhxnL477neH73bd8fvjvBuP&#10;448//W8ZYDe+/3x/e3v3+Of7xztb7N24TdKqdvIyTcv94ivYNvVTor0a/UtN5A7/rRH55f4Vuu/h&#10;/gtmrsCoNhKx/vHxFmRfv3+9vn/If35XDz9NZPDA2sQVTOks9zyffz7d/hVz4PkEIUH3QUvjD59P&#10;z//z8uIrNN6Hy5f/8cv1893lxcN/fMQ8OnbjKCoy/WWc9j3+8lz+8nP5y/XjDVB9uHy9vMh//OE1&#10;q9Vfnp7vP31GT11izOPpH7HYP96niSHjy6NKiiItuf9Haw8aIqu3Ze11ieEyJizRv8PiM7XVdcOb&#10;xdcNUL/fVt+yQ35bfRf/plcfrMCz1Zfm/N9v9XX9AaOSDW6Y3yy/eTfY6hsqm+Hb3rd7923v0w3v&#10;387ed7TV99Pz3Z2cpS66/p9rd/7x9v71L6f7x9d/qcV5nDGctOy6s2UHi0NMzn5Xm+ow6H/JJqfY&#10;RGZm4rB1q8bgp1tVL1fA8PHLA45w/+HdxdTvLr6CVDOsFqiugDqMF58vRpjByeBaYPoCZhr2ASYo&#10;Cu/vcFjHhK3cYaYpGhPscIfqdrt1VLDJHWiaokHB1nGorgvog/JzoGk6BvRBVg4FM2V9VDCkFiic&#10;0AJckPcC1o37AFnF+DFEVnK+mwN+yeHPxz8NEe/lEORg3RzIsau4v5sjMiv276ORVfwfw5GVAuh3&#10;/TrPxFT38cOsDEbWVwI4BiPrKwEcQmS1AI7ByCoBHKNphlPUQkA3RmRWAoiRVQLogknbVwKIySwF&#10;EOmKYRv/YeYvVM7DOseGiv3hxBhK9k8BjUPJ/XGOZuxQcr/fBQpjKLk/QNmt69ah4v44B1SW3B+O&#10;Q4Ss5D5U56qmllOrz/5hjHCNJfe7faB+xpL9fahix5L9XaAwxpL93T5SZWPJ/hBXyf2+i0Q5ltw/&#10;BNNiLJnfQ6uvS3IsmR9tblPJ/H6YAlzwzC0y6qIpNlXM70NkFfPBi9VpAb/V0qXM6nUq4U1cwLou&#10;0GNTxf4pmvxTyf4O3FgfWcX/fcT/qeQ/PHXryOZKAPtoYuCMU5AZbSRzJYB9JIC5FMAhUGRzxf9Q&#10;+cwl/7F1rXJsrtnfB7IUP7Brging/lxxfwhxldyPVM++Yn44x/Yl80MFu6+YH+qxfcn8bgymxb7k&#10;fmgR7EvmR9uueIKdq5Ghsi9Z3w3BMtqXvI8U9b7kfIeJszolDiXru0iKh5LzXbR/H0rOD5GmOJSM&#10;R7gmGNcmxh9KxuO8E+AqOX+MlvahZH1oI4q3w6Uoem5dHR4q5h8C5h8r5oc7yLHifiTJY8n9LmT/&#10;sWR/OMOOJfuPkQI7luzvsNRWp9ixZP8h4tixZH8XmXXHkv37aP84VtwPzw440S6yRI/rouwQ01nA&#10;un1gVXe7kv9TtJI6cYotEyg8JO1KAUClRGOrJDAF86zblSIIjeEODoNlbJGy7nalDHYXs8RcLuZp&#10;gmX75vDf7UpBtEGr0y8BLQVCQEuhENBSMAS0FA4BLQVEQEshEdBSUAR0u7S67dKqjsrtAVTHZQK6&#10;XVr9dmlJEMhXHBnAdmn126XVb5dWdZwmY90urepg3cZaHa4J6HZpVcdsgnW7tKoDN8G6XVrVyZtg&#10;3b62hu3Sqg7i7QFUh3ECul1a1amcYN0urep8TrBul1Z1UidYt0urOrO3sVYndwK6fd+qjvAE63ZN&#10;WJ3lCdbtmrA61BOs2zXhtF1a1Qm/PYDqmE9Am9JCIo/HTa4/54wdBFh+e9RYCv6EABdSzK7EXpKA&#10;y9PpRbKsJLaC4MxVitoACwDl1xL+WMFj3Qq8hVDP4WE5lfixIgU+RWJW8SOAUMJjrQm8xYpW8PcV&#10;POQi8Cnlah3/UMGLYScf5DjV+hdj/YWS3DVozvlCxlMJUKQ+GlTPdR9Kdtege19/oYTDSsq5VCuc&#10;qiUtRpKMChZQ+MUbWSvlsG6iL4C0lJ4YN6mPmHJ0X32hlMMqCfuoJS5GSeojphwDLvsQg0O+yBk5&#10;qzLHwKsvbJo3KK9lLl751EeD8lrm4npPXzQor2U+KOXYvUNe1TKXzVv6wM4cflHLXFzl6YuYcrCz&#10;5JU4xNMXMeVgfPWFUo7dMhoVAibVF0o5dsLwi1rmshHKqHL26KrMIbKyD9nk0hcNymuZywaWvmhQ&#10;XstcNqf0RYPyWuay8aQvGpTXMpdNRb7ICTDrlNcyFwdx+iKmHBOp5JW4gdMXMeWYctUXSrkn7J7r&#10;K0y96gulHKkFkcxhGpZfiONWRgXPbPhFLXPxzqYvGpTXMhcXbPqiQXktc/G0pi9imWMhVHQo5fCZ&#10;hnTUMhe/qfQBz2j4RS1z8Y6mL2LKsYTKUR2Ucng5oz6w2KovlHL4MsMvaplr9tYVHJbhF7XMxWkp&#10;dMArGX5Ry1w8k+mLBuW1zMX9mL5oUF7LXJyM6YsG5bXMxZWYvmhQXssc+ST5E3EJhrTXUk9uQelG&#10;HH/RN1AgpRQR2LN+YvqhbOpvlAHixCv6ydpIjVLJMX97heP58gJXOH6Wb2CjXr+KLWt/lNzslPhz&#10;8fnDpST3yA9fTr/eXZ0SyKsYtGAGLGWQOPiet4A8PK6Cdq6UDMDaJ8WpFgQH1A23c6VlmKw1jHKm&#10;wyg76KzMHwOw1gDlOJEATcgGYK0BSpwsAVpqvwFYa4CqwhAtJ12rjujQtsdoSZe+0K1La61rXUkd&#10;2jZG8ZmDGE3zwrQxTNYqRpucPXzKTYzJTywY3Yw3TNYaRqTRpa7dTjYAax0wr4seBmm7a8kxkq7h&#10;yyGAWYQ9nBPbACdbxTY2a32MihFbPMGoY/S90zBZ6xiVakT9CEblI5sULhk2KUzWg+s7G5u1Osad&#10;zp4BZ93mGHc6Hwec2NqAOsMHNil2umYGOGTbGHUVDn4oMSKsNWJ0XQ8wV9sYVVMMbJrh9kyajwPO&#10;E22Mqs0GP3DY2Ky1Map+XHSuAVhrgGfK2QBuHk4vdxjNuUY/ihMYy2d0acYKXSlbQA29tTYONWBH&#10;354MwFoDlLh16pxxXyKZCZAo9BTWAuCAcGWT+0gOyWJyY8jGZq2OsRN/tmCEFdjGqEe1AWZvG1Dy&#10;ZwQjVRuS6CGAfsyysVlrY/TpbvaNAVhrgFsXUGdLkip0XeQ9TKw21WqD9bB0m4CyKwnVPdu8HZDp&#10;aQdkS7KzMbpPxvhnrfHRqPZVYwDWGqBt3nQ+ujlALBEkxSX2UCOo09nTIcOqyfBO52M3Eq2K2265&#10;6xz9bdgNumY6pqdtFSK5goxRwtWYFLj41QbcqaaQfa9J9U51z2Krm+isVRHuVJstBwEDsNYAzerM&#10;2fMhe0zlyhGjNUSDO9e3sTrfS3qSLB6wIeOO1Dnue76BNHKszWTt1WfVkRl83rPhaYxWEkGSgjOd&#10;EI32AN+tQJ7zwnrJo5VLuVvg9pJNJPOJyGBWjcDgJsma2jC+WRclo2M+ZItx8KvERqe1Kp0zDtrv&#10;MdcHiaMJ100vREwf1fBAFldrnk5YkxU+G4K1eaijpDZJt01k1iexxwa9EtNGdkapjShmjtgsMsre&#10;94qQO6aS3BVo2K1VuuV2ADB2DE7S2BNc234YbUFCL7XEMpo6QiZoE87UP9lvR4w/jQ8utyY+yTwV&#10;OsjBdrRbTe5cMr5Zq/xTxyM7rRq+nmh+JPWn8SEjnNCR6e2JMTAq/3qsliZfVB49Nsc2nB7tyC47&#10;6nxhB99R598yo42/1iqfz2a+/d5YLapGe5d1uFrMtCIn28m2JWxkLS5Nduwns1aqDchs7JGA3cSn&#10;5yDcXyBwOnvgv23ig4Ms9YvV2obT8ZFZMdnsAT1NfHJtQOjN1/NCI2TSgEyPMiFtfKqVyPZv+Dps&#10;XG1827SI0cucghOM1qRtcD5v9mtak8lNUoJEe7mD01aBtXm1TKatyUY1Se6Y4CN+rEkS8hIcmVd6&#10;xu+YfNWv3CEk3+LLCLmmfomLb3SDiew6aoAya3mUCxFCLzHARg01MrhBEu824DM4ZoCZHbAVrid+&#10;hFFS4TE+hm/ScyCDM3ksmtfmZ6yte03PQC5dnhKRsu7k9gUG2546nVQYAhTCrq0ZZg4Uj2zZQK3N&#10;C+pscPZzTI/G5ZapEdGTHQoLnKG2No/A3A7tg6NC+fnKcFir1CTOMBep2s3E7Zm5PJANQr2OCNq2&#10;hZEHxlwmekIgHipYRjIBxBhvdaqqcvCIq/HK2swzSUUUbGQlaV7AgJNPq1O5swRso4firDNrc6e+&#10;LNskqM97ZO4HuRYtvRLtbGuCwumuT+HsWMnG5w7XNrmdhnFH7CItJktgKMkM/GnC6fF9AN4mnKYf&#10;DeTIKbZs6pf4Wnu1DgZi/fVYDwkfWRe9JozgymybDk36YIu2Nw8vUQG9hSnI2abXWb+4f2y2W6vq&#10;yeCINW74mOrssGaFf1vhhJ7WPDB8PQtv4fckNxa0Uutl8MRE44e1mS+dunFoJEru7omuYg5OTYGh&#10;cSiTL7EmxYeQ+nXvhI3fWqXDQgzEiu1Uv7D5LNZw6hce4KbcMP4MR2wCtYoHhk/TKun4NCl0IKct&#10;i4ZuiLkpn9t06KF2wA7XYov6pMX2bIHpIhpwYG+CKY9zRZrwhGdTGXfVmtjUoEGgYgsYWbhnJpnN&#10;S7PiMFxJPElF+DwDBf9YlquJKwN+/2P3vavKCuz/i/KHKG6qVQ6/VTzcVoNSat2u1YldrzYqySm5&#10;6NpS9ilt9P+cmmv/imWf1PWyy4mHuYKn1HdFWSHst7nuky1bqwtbLqTNdZ+6HrUSvl7ASZY0lNx3&#10;sPJQUPx+oc7u4SelWAJhoA7Uyf3zdVwwshxMr5yeoYJycxhE8+U27NqwYGcvYKg1JbeRz3DBOF2A&#10;dqnWwBou7OUOhlJMq6hgbzrMMRUaWMMEqTiUVpg5G5Qcwh3oiOu06wSKn8fBDvki8jmukvGHVJFn&#10;bVgSoHFcKN63TmJV+emIC/bBwCrWa8GU85GVvD+mYlmrIyt5D899MLKS+7AxQ56V/Efcex2b2BTO&#10;DdRWC+iUBBEHQ7Q9QFZK4DjK7fk1OuWkXCDLhRDOmFbdXj324cgqCUSTX0ws7/I4yJX31ZGVEsCC&#10;C8gsJXCcQmSlAHD9f3UpSVRxGRgKTKwPTBzyDqa1dM44Jq6FBWgOcZXsjzSP2K4LLtR7CcZVcj/E&#10;VTJ/PkQTVpzN3iUWyTq/St7PgxRCWBNkdetUi0id8UtyzrzDOaRRzH0Hi1SieNQXICiC9XGJW8fB&#10;IkUmmSUONKE+ToCr5D02mnWGyaHfkc1dxHwJgztYB76ucr+q/DSn4npr3JeD1IIMC2QVmTizHQqb&#10;bUCmxHAcDM7YAFnJ/xm6c51n4tookOWKYGcTo7ouOqGISYCsEsAx4Fl1S3QOVU9V+ilU/tXl0DmV&#10;floTQHUxtEN5tFUBVHdCUfw8IFOO2QvPtFTiGc/EyeNQc6pQsjayqvQTUqKCkZUrIF7l4jDyPkN1&#10;XRV/mkPbTrwOjixkWa1+oh1OovmOCwpvlf0Syncg5MIE7K+KP2nRxTPui2vFcY2pCMsa96vaT1rN&#10;6BxXyfwGrpL5oTFcFX/KxfVWB1YyP0ZWch/uxIhjJfetUt8ZmXI6d5Z1qSTb2sjEc+Bg4cgkUOVQ&#10;4S4u/nWHGoMdTi4/LUDRxis+vAUqUD2SN+VAKOS6rsbEbehQWpfnnFsl6yOFKD4bx4RcwvV5Xxd/&#10;iuy6uvZTH1BY1X4KLR5xOS3j0sqxZyRKGqtDhapVQsQOhbTSgMaS82O0G9Wln1DgcVVPiF9t6THS&#10;0hKUWaAwnVdxiU96AUsFkdYmvQSsFzCrL3bGsbr0Uzjt69JPVmFsBVspAMTqg/maQq0LqShZGJBa&#10;yqCFrpz/VnRxZXSlGFLF0XXOVXLogiOEZCIsDIbhvL40u+rgi4q165SKq8YZEp5HJF14AYu0Pwo+&#10;F1CpHuQqnRLc8z7Dg68kJjlUu+yERMW2gpaiIFhLcbRBq6MwAS2XBwEtZUNAS/kQ0FJIBLQUFAHd&#10;Lq1vpZ0krX/jfK0O020RfCvtVB2328yqDt0EdLu0quM3wbp9bVXncIJ1uyasDuQE63ZNWJ3M21ir&#10;0zkB3a4Jq2M6wbpdE0oceOOKrQ7tZADbpVWd3gnW7dKqjvFtrNVRnoBul1Z1pidYt0urOtwTrNv3&#10;reqUT7ButzKq834ba3XqJ6DbrYzq/E+wNjUhos9by3vBtkvFELaW94KBV8JjfiFp5Mpyh86LtHR1&#10;EQrMHIG3dM0V+LoABeaEwFuWwTk87L1yPJC2wFvu1gr828IT+QPPoln5oi45otf9rzwvbeWLuuSI&#10;ZnJceQbdyhd1yRG9CXAFZucMhpUv6pIjYHMi3G8drnxRS1rzUFrlvWAelrzVWxdXfntkpY9a2lvK&#10;e9Xy1iyaK88rOe8DwZZqVEp5H8sccZfyC70D1irvhSBM9YVN83iew5CsvtCJ7onJK3TUMt9Q3gvI&#10;qj6Ucr9tv9JHLXO9n98q74X4TdmHGGeyoDw7cKWPWuZieKUv4jWOAVd96CJH9CKa7Rh49YVSjhBF&#10;+EUtc825b5X3AqllHxvKe4Ep1Rem3GLKwZzqC6Xcb+iccxelPaovlHK/G7LyRS3zDeW9wPiyD830&#10;vPIM05U+aplvKe9Vy1xvrF158tV5HxBZNSql3DOzV76oZa637FrlvSDksg/NbbyChz2aVzBqqy9U&#10;5n63a2VUtcw3lPeCiVv1oZR7svlKH7XMNWetVd4LU67sQ+9oXHmW8koftcy3lPeqZa4XgK88A/a8&#10;jzelpLTUQKu8F4zhko4N5b0wvasvVMP59YeVUdUy10oJV35/bOWLWuYbynvBUK5GpTL3LPSVPmqZ&#10;J6ewKN7lntLKN7XUt5X3quVuVXXQT6znsEhLalIF/zy2WMdjudbfKAukDH+0GhFWq77R60Co1mo1&#10;J855gEVef6MTYCnEsPJNPQOSezXRU9t0kvXpNXT/lnJlyUmby5Vl6S73fzTNfbJ8aWP+AmGJqQap&#10;1lf7yhNqR2U+kztPvV3PIsVO+rMB2rAsX/a8Yk9vF8B7rP8s6pAqA2WVePpJsp0go82AS+c2YmuV&#10;oZJKKBh9Tdrv1hrj1cxicKOq0M6VriGyVhGO4qfd0LHk5G+BMx6eU9yQER5ISch7vyAQyshAGQN2&#10;4nPYQJfBUVFax5sBe5SeyRPOWG6tsr6XlJots0gqGm0C7PXiECva1g8bp1G/Ec6YswjQaG1IfaeX&#10;15fiM5HUUWkos0o2lRZPO3v8lVx3Q3mWrJl9Z7bxWptlhMyYbEZTOD0kUzh5C0emZQofQqdbf9Zq&#10;vwc1aJYN1wCsNUC9fCrbYJMzB8kfQs8duQiBN6yy3SnVhtoYVSV0fjy2sVlrY1R/QIfZ1MYor+LI&#10;GCEdAojoqACSqh7dXsuodOTqFn6H71cwkjt3AMxdL28IG7XWKtVe4sd9GgZgrQOq9vPDtgFY+xaQ&#10;7KfIaFGMmBxNPvoYSR0CYMw7+UAuoIM9uWtaxnDv93fMbDNqrTWq9c696KwmMQe9xE8LwB0kzg1Z&#10;05JyBy2HMfihzcZmrY7xIOmkgpFc2+4Ofh/XjoGGyVrDKB5jYBzpXT2duGxf6o6qekamAI6qy+g1&#10;WlOOepcg1mZH28DcpDVqrVWqj3p2pzeHjzrN2MV/lMHJE5fx0QEHpkiPMD2SrOF7bc7Ho14LHqD+&#10;2oC2Ztz8MbZYa+zRA/5AiudgG8zKnhbqPOquMJDyOaiSqwog33lpyNouG3PAbNXQGqFHuzhPx6i+&#10;7cE9o8Y/a42POinYTURfM5ThBz2G0yuuB1d7bItTC35wR70RYa1pCpsUfi41AGsdUBnuh2sDsNYA&#10;reYTMbJRvSZbMz0pSgVA3TTJcQT6MU9cZjwDMBtmcie8ubgcEJ6vbYAIxBNAHSO7VuxUUwPJ+EhN&#10;Lol5Ylfome45qIOSWikHLZDJ6oV1B6sACRdVmz1mSWGmtwHNNiPHflxvz7qng+nVxHjUGiu0nPhR&#10;LQApD9rGqCd9PG5JADXyQ4uoH1U/ckDVuBxQvSwds1JsV+jco2wL31rTj3phH+YzodrdDIyPOBjJ&#10;xJVSBS2GYxpmJdWRE5zv18i4Zhh19pxVg4jPphB3XuOuAcOj6ayneIc0XlqrPDU4aqdZ15sBz3pu&#10;0DXZ7PPgSEyY1cRyUKPIWqNMAc/G8QZuUOf2VjhWzKwbtcr4ZkDKUmPPZsDzrhvMH3QX7HxLD5k/&#10;aKmJxdlszLRWmS/WU1pYzGwd1GVLXSiD6kYo3dZK7eQoKD0zV0avkRbmGunVjmEHcPixc79EI8NL&#10;uw1Oq3Wwfa03DygxD3A5PPfb1nRwr6imIzWX8MyI6s4zBfZmLkjR4TQXmHWAzTwDMnvDKrywenyY&#10;0do1s9FlN0tjhJepOb1wLz4DkiJDuNeY5YyXsRlGZTjb9HHXJ3fNDBMH9HCdScRaXaUGyOpHghg1&#10;lNlJ2ajusawJH9VkxPQlgJnqnrmhxBYSETIvMyaFGso4/re71gMwAjwEUI/UogOaGG3N9B7SN4lY&#10;q5LptZJkz2yiXtNV+lxeIj4A9+ri6ZlPrdfUhh6B5TYx5s6jKkpt9J4YT1jO2cdLny+RklIia+oV&#10;kYqOCZCdQhdA4vdzQDbDfYzMK9Kbn4X5B3rlIy181KtkaCUlL0nGntPp1aYZ2Cm0V5+aVO1uzx6d&#10;uBxQLiyIrOkY1ZTg9ajMIcNct3JMTV0zydibE9QhA9dNxshmjxwq88RlukcS9IU9TAGYsh9IkSjo&#10;x7whDcyEgrcjdc2cmHgYIuvwkVmDvaaajshqaM8ezZqkHlnZNoQ91Gts1QM5oDuDieem1+AEH6NO&#10;ipEpqcF85ZiXTfaYscwKZ3aDOTGpWW2rkNnBonPyfCQT184SA4uBDVYHj4WN7CBDAyiD+qsGFtDz&#10;FwpAVJvhtmaYOSMxm7yuiR3ugGzNDNo13a+NGGpTDOZoZVaKVOQUYqjdM+j2IaU323xUWcs2QgDV&#10;ImUbkmwbaYw4T7UxqqaQsqQEUA1NVudxgLWcumYBFHl3KQMytaeHUfpEn51Ge88kMwPTWjM0zWHN&#10;vO+9Hv2pR9byR0TpN/mIHKhENX3q0Gxc5qXrFkCmmjWzh3oSfYzscIZksUwMDpJtqvX8f+6iOZOM&#10;nobpoUJXoRzS2l1r8LbzVGrr0lqbFOZoZcvVTFeOUe1wDii1BaBS5CDZJGYw9wNjj61C6rAeEA9J&#10;XTP3su0zi8PM+Nfwsu00rOBuxtDJZs+zOqRht1alZHDUK2hdbwY86zmm63jmjo3oOpqLhThuDe5s&#10;EDX5e/WGbARjy81yKrbCMV4aX7bCnfcb8xwFrNJE7d0Wi3g+qQm6QBoTrc1zaTanHznKn/dseBqj&#10;VWtieQUrGq29l8V4tleLh8HNakyQKTJpHW0CZo9YsF4nLZ9M4cyshWOmpenmM/5xnsvLmVmL2kEh&#10;4rk/CEVWpcERJpmVsBHsfNYbbXleuu4mozM4xnPjy1a48/HF81yC34nnNIxiXkAaRdFzIU2i1FVO&#10;YyjgooyQGWbqKWTHfz3o0QBK3lVdV5mErdXdTHOEGRhOQ4mEtnVgIb32ylJvI6FTQwhkRuuJkj1E&#10;qdb2kltsXLA2c8OMSRIx0RARS4mF9ypNTPJ6kT7bgNKyTX2kHgN5R7Sltiy5lsVJNJzCrDglgZrh&#10;mVIWIdHQDIuP6DmPHY30EMxiI5lSGhmxcEf7uOrvwbXdCOomYzERjSGyU7cGdVk8RD2SzCtgOVXE&#10;y2BRBhIJwSqWSU7jIJpjR8Mgmm1KvSqakdETy8kei6ExEM2EoCEQXfs0AqInXfpohsOZxWAayVrV&#10;0wbHHNg2Phb90DlFkyPN/8jCgCoPHvpQJzeLKlhSNvMz6TmIhTN0mjIwi2+R0enGzyIeevJiqep2&#10;z45EO9SBwWIdGyeKyRUxmdZ2otEQFuQw33Pb9WT582Tn16XIwhvKDxbc8LBB20ujMT4WNNDENRqt&#10;0AgWhdN4M4XTZ8DY8OyVcRrS0EMQM8jFEBf1TgMa9qYPs3FtgTF7Uw9SA4mam0nPghnijxU6xGnf&#10;mu52mGChDMsTYJEMef829UsCGb0tDRLH6E3NevUV2yaszduFw5EohvXLtlujg8UwejU/WaKFX00k&#10;9qc43JN5QTyiJl9mSUl6aMLHthUcOzJce77gRmCGY8ELDdniqmVz/uGphIyPhS403C/8bs1nuYyX&#10;6AAfm3B6DKRxC11HNHNJvcQsaqFsZjELjdOwiIVu8ixe4WDtaIV5xIlb2sbGjkgaQ6bucD1pn7tA&#10;6hWeSr1Co/E8N3Pss5mSZ/KGSEGaUZLW0JxRlonKgh5qr9B+dcbTAIVdbCWaxVYalYdmCbGQle0c&#10;cXACOWLfXu+SehjV22Mvz59+/uHh+eLX6we8mZv+03lVgX17vevity8Pjy/v8ZrW/5XXu7D6377e&#10;lbaqv+vrXYecjrA83jWLmf6v+HbXPMrLKyjinZRZ+SoXjqle+7MLqqPj1OMwGFmACZx1qOjJG1gl&#10;C0x6DWZtTHDGORQS7tere8Mf40DjIO8BrKHCpuBQ8SsFBdCE/tZRQSKOKqKvKl+ODKQAlYTDFlxB&#10;fXvJVXOgAbJZH5ZYjg4WPekjsQMHghEc4So5H9JYcr5PDwKscV4sLe8STxCsl2iHN9KB+jmcpCXv&#10;8SDLKi4xyTfgknsKDoayEAGykvl9emFujUg59izI8BjX+shK7g/p0bRVZCX3ccINkJXsx/WWQJRy&#10;gFpGFr01JD55h8KbohGykv9d9BaG3AVckO3kNYw1MsUZ7GC4irhOZvVoFxK3I2SVAMKRlQJAjZ4I&#10;WSWAY/CGBeIXy/jxiHKErBRA+FSE+ICcGbhGHSErBYAHtdd5JmVrFmR4W3BdAOI6dbDwFSQJvzkU&#10;MhojZJUAsFBWV4BkFGxBVgkgfG2rFMAwRTyTG4reJ3K3gpHVAog0tmSnLci66LWtSgDpLcm1FSAm&#10;viOLXq8Qt58DIRsp4H9VEjxSjRJxXXB1kSzFWeZg0fNMEmJ0IJQSiMZVcj960U1ybBxXH+MqmR9t&#10;S3KFyHEhdTwYV1XqG4ei9Vkhl6u2ICsnf/RyiNx3WXDtwoGVzA/ml/h4C1SRSSDOTAeLnhiVrBQH&#10;Cpe3+GkcCg/2rK5u8f87UHqRcm3WS1aNQ0UPBMklqwUokKGE7BzoGChD+CkWoEjjS/DdMYWPnkpW&#10;7AIVqVVxDS9Q0cySkIpDhVa5mP8OhUvh63yXOxwOhTW2ru7fvNQVyLB6qasLrU3xEniXXWRWSOaD&#10;Q2H0wcAq5s8RkSXz07s7a5NL/O3eY2ihyJ1ch0rvza7iqpg/B1uaJM84rvSm6xouycp0qC4yzxEl&#10;WKDGSJDig11wRRua5KY4VHgCkbiDQ6EA6foEEw+iQ83RFiQORIc6BqpL3IcOlN7uXGVXyXo8MLmq&#10;burHuuR9w/X5Vb/WdQzkmCq2+sjabwSIt3craCkGgrWUBQEtBUJAS6kQ0FI2BLQUUBu0OgsT0HKV&#10;ENByqRDQ7dKqzscE63ZpyT3AjdOlOi2TAWyXlkRdNw6gOj23B1CdoAnodmlVR2mCdfvaknjjVg5s&#10;l1Z1uCZj3S4tiWFtHGt11G4PoDpuE9Dt0pK0iq1j3S4tySTcinW7tCRCsxXrdmnJda6NWKtzeVsE&#10;1dmcgG6XlsSeto51u7Tk5ttWrNulVR3bCQe2S6s6v7ex/j1e+ULMbOvzQoivlsXWYYUiOnpl4fvz&#10;QuuwWUp4TBqBtzD5CnxdaB/TQeAthLwCX5fZh6AF3rL8VuDrIvsQocBbmukK/NsC+/kDv8u88sWb&#10;8vpKsqcGrHzxpri+Eu0Zt+dfwLgpuao3/lvPC2HA1RdKuCe4rPRRS1pTTlrPC4HEso8NzwvB8Km+&#10;UMqxbeag98qoanlrBnDreSEwp+pDKffygCt91DKX3S5N2niWI5227EPTyK6wTYV01DLXWzVXnpx4&#10;PioIoOpDpzq2l6gPWErVF0q555iu9FHLXHYOoRzbQthHLXO9NdF6XgipteWo9LbXleeCroyqlrkm&#10;YF95DY6VL2qZ64WDK6jhkI5a5hueF0LwoqRD8ySv/EbAyqhqmetFlCv4PaNRYepVfajMkXwRflHL&#10;XFycIkFPDzkf1ZunsbQW0hU8lWEftcy1FFTreSFM75KODc8LYSFUXyjlflNqhY5a5nrt7crz71e+&#10;qGWuecSt54UQLylHpTWZWs8LYbFVX6iG83T/81Fh0VVf2JYWyxzLs/pCZe4ZVSt91Otcq7G0nheC&#10;DVf2seF5ISzs6gulHCl60byCCqi+UMrhXAu/qGW+4XkhKI2yD72DduW1dFd4VctcnGXJZIh1O9RM&#10;1YdS7vdxzvt48zSWps5deUWplS9qmWt63JXf41r5opZ59LwQbEF8++eXVyHhb3nyJjnWWk/eoBBW&#10;5qFfxYqubyJshqMDuE2S6uShAQFjlcwkn1LgfA5asp+1Oa33fID2e3w/0iviLW+whFRZGTmaFm4V&#10;HzYDLp3biK1VyiQFRzgg0s+LygCsNRbodQkOaOV/4ZtvYoT7eVvXO8tBZGM0Pp5THcvpgIRFYYCk&#10;bufhRmIySMYBe3xhKxwTpvW7FY5V7bYCxAwfPNnwg4I1DNCKKbNrd3hPDE6KDZPtqDYH46BxZpGd&#10;TdpY3ntxF8oY4OJsy3tv76CQpxpmy1gmZapmTUZn95ZnvQIIFd5aP7MyCXtDE0xtXXJveRZfF9hC&#10;LojMWnSOgWmBBQamydm+EZr4rM26Z9JN2Xc/+9laBVOrhc2aSa00fnk5awZ2e3nSSz2dn89tXNbq&#10;+OyaM2ZgS2KTnplYuddJRcZuME963RWVmtv96iUXhFEJnPKFpHrb+2ysvPukl7Hw5lG7X4MjM97w&#10;IS+pjU81QU/u4k12+ZjcAZ10bSBxhPSbt1xW4nXSu4JMrVq5bCm13J5XutP5adHmp7U6T/XkSi80&#10;W+VUP1EZHmvrdckuMc2qDcQabNExS3QMqkoqjjbh9HIXu2Q1q6+F3Wme1fsh5cua/aoHg91pnlUf&#10;sDvNsziLQS+70zyrjwK5uWR8io/MZx8fnA6b6HVflcnf2jwPZglRCB3ub7LfrTW4LN8Btn6zX/X1&#10;sUqps+qNAfxu4tNNi8LpJSsGN2lZDja+Se0Cdq15ssuemIctOqzAD7tjPqk1xm42Tzb/yHyZdH0M&#10;TJ9amVlyu9n0+EBeq5jUu8oKuE66LukFZz0SsRvOZkew6q0m3xF6qyk3vZXHLiXPkmKPdUThdH1Q&#10;OF2XbHyzHsPYJedZT1Ts2DBLSpzQgcuhLb7MWrhmcF+G6QtrVW/YeiNW5173GXbJ2ez/wf1m1p+1&#10;ud+9RlvYJWc7eUgZ0Ra9e7uUTOywvV4yZXpyr/afPB7b7NfWkceAjE5rlV7dL9m+tVd8bP81Oph9&#10;sNf5zC45780Oo3zO0QxWpdXky+yrve4fUhG0yWd1kIgvqwU3qz5gFVpnzHdZR+yS82zVVN3TYXK1&#10;VteR6j95QqM5Prl5IP0SvWZnRnbJebb6scRunyWTS/oljzLOus+wW86z1XQkNW1m3ffZPecFrn3+&#10;WOAIn82hRq46z1rrRwqaN+Wm85RddZ61JhC76jxbiSyPENl8slbnleorduV41nnFrjrP6gum+NQu&#10;5nDqjyS1WG1/o3zR9UblYcVi2T5z5rky/sberlH34kXWkXfTIYmT1R6EYF4Wg2NWgPW7FY5V9bGy&#10;31vh2ClyNG1ITpsOR3ZPG5+UMmmtUoNbJGfStjavKuPfOVw8K6zEpumnaE50ekIlB3J7k8nDNzZC&#10;a/NIe9PbTbqtTxgZLfZIgr3sAU2gt3TaeGLO9OZT81eeIt70ulsxb648oScjJc5LewCDuEJF5yRs&#10;bdPBQisMm2pk4lDr1OHCnkFXe4XV71Rznj2BrsEHVu3R4lfESQGbTPjWeeaKzQVr8xz16hntiWWe&#10;UnjAWpNUU6QkGtkC01dA2KPnOuNJlEF9fNiTm13m1UM8MWYft+1ZhYJXvdWj2qhEi+YdmL5vnruk&#10;r5srNlYIVIPPxK1ip6hcGyF8eQoTTCYaO+TJPUkBYzadkkAC1HKnSrARC1ZVEXOAdOZgIFPNqhzR&#10;t8x18TFHhCk3+pK5XEcDuRSfV40jy9Se4SGvR9jmwPhncOyA3GsJWjaPveoZ9ElziSkd7Plrr95G&#10;dKbUfUrTiuzF9jASfb5cawsPrGqXvVdD1JM/8cTwqeOKjk8PFMxx2ukuMXg6p20i1ubNxNYHc7B2&#10;eoBicpOQdZIHU+7myCaBANyzy/gA35pXmks04BzaBNOth7jp9LTDavSbgUeySNSYYDkPWk2KvVNu&#10;YJ6BaQK1NgvWwIijx8ZGpqdR6gnI1pm12mlWej2ikVukQJwyuhXQl8ktJkd8LcgVSVOJlYoTo0+m&#10;MPOh4MavwrVVd6c+QXkitcUVq0dM3yTX7ZvFrO2UQl8kt7JoxCfTWUF1BqcqlPkUTCXz18hz2kcH&#10;X0WLf1bAkZdjy0qAxfKtYCWbB7ZF0ofI9dxG3yE/O9/ZIrMz4bdycQg/SKpnVQfuW7m4X15PH+9f&#10;ZY1IabafT7d//cuz/uXry1P606f3Xz/Jn3B56vn66fP9zY/Xr9fl3xPU+7v+9Pn0cHv3/If/AwAA&#10;//8DAFBLAwQUAAYACAAAACEAQwOc6OAAAAAJAQAADwAAAGRycy9kb3ducmV2LnhtbEyPQUvDQBSE&#10;74L/YXmCN7sbk9YasymlqKdSsBXE22vymoRm34bsNkn/vetJj8MMM99kq8m0YqDeNZY1RDMFgriw&#10;ZcOVhs/D28MShPPIJbaWScOVHKzy25sM09KO/EHD3lcilLBLUUPtfZdK6YqaDLqZ7YiDd7K9QR9k&#10;X8myxzGUm1Y+KrWQBhsOCzV2tKmpOO8vRsP7iOM6jl6H7fm0uX4f5ruvbURa399N6xcQnib/F4Zf&#10;/IAOeWA62guXTrQanlW44jU8xXMQwU+SJAZxDMGFWoLMM/n/Qf4DAAD//wMAUEsBAi0AFAAGAAgA&#10;AAAhAOSZw8D7AAAA4QEAABMAAAAAAAAAAAAAAAAAAAAAAFtDb250ZW50X1R5cGVzXS54bWxQSwEC&#10;LQAUAAYACAAAACEAI7Jq4dcAAACUAQAACwAAAAAAAAAAAAAAAAAsAQAAX3JlbHMvLnJlbHNQSwEC&#10;LQAUAAYACAAAACEAgSh5D1ItAABYEQEADgAAAAAAAAAAAAAAAAAsAgAAZHJzL2Uyb0RvYy54bWxQ&#10;SwECLQAUAAYACAAAACEAQwOc6OAAAAAJAQAADwAAAAAAAAAAAAAAAACqLwAAZHJzL2Rvd25yZXYu&#10;eG1sUEsFBgAAAAAEAAQA8wAAALcwAAAAAA==&#10;">
            <o:lock v:ext="edit" aspectratio="t"/>
            <v:rect id="Rectangle 9" o:spid="_x0000_s1027" style="position:absolute;left:1215;top:901;width:676;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iyUwgAA&#10;ANoAAAAPAAAAZHJzL2Rvd25yZXYueG1sRI9Ba8JAFITvgv9heYXezKY9RImuIkqh0HpoFHJ9Zp/J&#10;YvZtyK5J+u+7hUKPw8x8w2x2k23FQL03jhW8JCkI4sppw7WCy/ltsQLhA7LG1jEp+CYPu+18tsFc&#10;u5G/aChCLSKEfY4KmhC6XEpfNWTRJ64jjt7N9RZDlH0tdY9jhNtWvqZpJi0ajgsNdnRoqLoXD6vA&#10;yM/RFqfy6NJHdzbl8rry4UOp56dpvwYRaAr/4b/2u1aQwe+VeAP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SLJTCAAAA2gAAAA8AAAAAAAAAAAAAAAAAlwIAAGRycy9kb3du&#10;cmV2LnhtbFBLBQYAAAAABAAEAPUAAACGAwAAAAA=&#10;" fillcolor="#0071bc" stroked="f">
              <o:lock v:ext="edit" aspectratio="t"/>
            </v:rect>
            <v:rect id="Rectangle 10" o:spid="_x0000_s1028" style="position:absolute;left:567;top:1131;width:1324;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XokPwQAA&#10;ANoAAAAPAAAAZHJzL2Rvd25yZXYueG1sRI9Bi8IwFITvgv8hPMGbpnpQqUZZVoSFXQ+2gtdn87YN&#10;27yUJtruvzeC4HGYmW+Yza63tbhT641jBbNpAoK4cNpwqeCcHyYrED4ga6wdk4J/8rDbDgcbTLXr&#10;+ET3LJQiQtinqKAKoUml9EVFFv3UNcTR+3WtxRBlW0rdYhfhtpbzJFlIi4bjQoUNfVZU/GU3q8DI&#10;n85mx8veJbcmN5fldeXDt1LjUf+xBhGoD+/wq/2lFSzheSXeALl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l6JD8EAAADaAAAADwAAAAAAAAAAAAAAAACXAgAAZHJzL2Rvd25y&#10;ZXYueG1sUEsFBgAAAAAEAAQA9QAAAIUDAAAAAA==&#10;" fillcolor="#0071bc" stroked="f">
              <o:lock v:ext="edit" aspectratio="t"/>
            </v:rect>
            <v:rect id="Rectangle 11" o:spid="_x0000_s1029" style="position:absolute;left:1288;top:1361;width:603;height:1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wR19vgAA&#10;ANoAAAAPAAAAZHJzL2Rvd25yZXYueG1sRE9Ni8IwEL0v+B/CCN7WVA+uVNMiiiC4HrYKXsdmbIPN&#10;pDTRdv+9OSzs8fG+1/lgG/GizhvHCmbTBARx6bThSsHlvP9cgvABWWPjmBT8koc8G32sMdWu5x96&#10;FaESMYR9igrqENpUSl/WZNFPXUscubvrLIYIu0rqDvsYbhs5T5KFtGg4NtTY0ram8lE8rQIjv3tb&#10;nK47lzzbs7l+3ZY+HJWajIfNCkSgIfyL/9wHrSBujVfiDZDZ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8Edfb4AAADaAAAADwAAAAAAAAAAAAAAAACXAgAAZHJzL2Rvd25yZXYu&#10;eG1sUEsFBgAAAAAEAAQA9QAAAIIDAAAAAA==&#10;" fillcolor="#0071bc" stroked="f">
              <o:lock v:ext="edit" aspectratio="t"/>
            </v:rect>
            <v:shape id="Freeform 12" o:spid="_x0000_s1030" style="position:absolute;left:1969;top:1311;width:600;height:207;visibility:visible;mso-wrap-style:square;v-text-anchor:top" coordsize="1200,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0F73wQAA&#10;ANoAAAAPAAAAZHJzL2Rvd25yZXYueG1sRI9Ba8JAFITvBf/D8oTe6kYPpUbXEIKlDZ6Men9kn9lg&#10;9m3Ibk38926h0OMwM98w22yynbjT4FvHCpaLBARx7XTLjYLz6fPtA4QPyBo7x6TgQR6y3exli6l2&#10;Ix/pXoVGRAj7FBWYEPpUSl8bsugXrieO3tUNFkOUQyP1gGOE206ukuRdWmw5LhjsqTBU36ofq2Cf&#10;k6H83BcVl93l63I7rNryoNTrfMo3IAJN4T/81/7WCtbweyXeALl7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8dBe98EAAADaAAAADwAAAAAAAAAAAAAAAACXAgAAZHJzL2Rvd25y&#10;ZXYueG1sUEsFBgAAAAAEAAQA9QAAAIUD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75a+xAAA&#10;ANsAAAAPAAAAZHJzL2Rvd25yZXYueG1sRE9Na8JAEL0X+h+WKfQidVMFKdFNKJaCaAU1evA2ZKdJ&#10;aHY27G5N/PddQehtHu9zFvlgWnEh5xvLCl7HCQji0uqGKwXH4vPlDYQPyBpby6TgSh7y7PFhgam2&#10;Pe/pcgiViCHsU1RQh9ClUvqyJoN+bDviyH1bZzBE6CqpHfYx3LRykiQzabDh2FBjR8uayp/Dr1Gw&#10;LNqTm371m70bfazW520li+1Oqeen4X0OItAQ/sV390rH+RO4/RIPkN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u+WvsQAAADbAAAADwAAAAAAAAAAAAAAAACXAgAAZHJzL2Rv&#10;d25yZXYueG1sUEsFBgAAAAAEAAQA9QAAAIg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H/+kwgAA&#10;ANsAAAAPAAAAZHJzL2Rvd25yZXYueG1sRE9Na8JAEL0X/A/LCF5EN1qQEl2lKlFvpSqex+yYhGZn&#10;4+5q0n/fLRR6m8f7nMWqM7V4kvOVZQWTcQKCOLe64kLB+ZSN3kD4gKyxtkwKvsnDatl7WWCqbcuf&#10;9DyGQsQQ9ikqKENoUil9XpJBP7YNceRu1hkMEbpCaodtDDe1nCbJTBqsODaU2NCmpPzr+DAKprPL&#10;dZ8divVHvbsPnb5ts2G7VWrQ797nIAJ14V/85z7oOP8Vfn+JB8jl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gf/6TCAAAA2wAAAA8AAAAAAAAAAAAAAAAAlwIAAGRycy9kb3du&#10;cmV2LnhtbFBLBQYAAAAABAAEAPUAAACGAw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w:r>
      <w:r>
        <w:rPr>
          <w:noProof/>
          <w:lang w:val="en-US" w:eastAsia="en-US"/>
        </w:rPr>
        <w:pict w14:anchorId="4B24EA20">
          <v:shapetype id="_x0000_t202" coordsize="21600,21600" o:spt="202" path="m,l,21600r21600,l21600,xe">
            <v:stroke joinstyle="miter"/>
            <v:path gradientshapeok="t" o:connecttype="rect"/>
          </v:shapetype>
          <v:shape id="Textové pole 2" o:spid="_x0000_s1040" type="#_x0000_t202" style="position:absolute;left:0;text-align:left;margin-left:134.3pt;margin-top:643.55pt;width:403.95pt;height:72.85pt;z-index:251656704;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VAbYCAACuBQAADgAAAGRycy9lMm9Eb2MueG1srFRbbtswEPwv0DsQ/Ff0iORYQuQgsa2iQPoA&#10;kh6AFimLqESqJG0pLXqgnqMX65KyHCdBgaKtPogVuZzd2R3u5dXQNmjPlOZS5Dg8CzBiopSUi22O&#10;P90X3hwjbYigpJGC5fiBaXy1eP3qsu8yFslaNpQpBCBCZ32X49qYLvN9XdasJfpMdkzAYSVVSwz8&#10;qq1PFekBvW38KAhmfi8V7ZQsmdawuxoP8cLhVxUrzYeq0sygJseQm3GrcuvGrv7ikmRbRbqal4c0&#10;yF9k0RIuIOgRakUMQTvFX0C1vFRSy8qclbL1ZVXxkjkOwCYMnrG5q0nHHBcoju6OZdL/D7Z8v/+o&#10;EKc5jjESpIUW3bPByP3PH6iTDUORLVHf6Qw87zrwNcONHKDVjq7ubmX5WSMhlzURW3atlOxrRiik&#10;GNqb/snVEUdbkE3/TlKIRXZGOqChUq2tH1QEATq06uHYHsgHlbCZhOdBOEswKuEsjZIwTVwIkk23&#10;O6XNGyZbZI0cK2i/Qyf7W21sNiSbXGwwIQveNE4CjXiyAY7jDsSGq/bMZuE6+i0N0vV8PY+9OJqt&#10;vTig1LsulrE3K8KLZHW+Wi5X4XcbN4yzmlPKhA0zqSuM/6x7B52PujjqS8uGUwtnU9Jqu1k2Cu0J&#10;qLtw36EgJ27+0zRcEYDLM0phFAc3UeoVs/mFF1dx4qUXwdwLwvQmnQVxGq+Kp5RuuWD/Tgn10Mkk&#10;SkYx/ZZb4L6X3EjWcgPzo+FtjudHJ5JZCa4Fda01hDejfVIKm/5jKaDdU6OdYK1GR7WaYTMAilXx&#10;RtIHkK6SoCzQJww9MGqpvmLUwwDJsf6yI4ph1LwVIH87bSZDTcZmMogo4WqODUajuTTjVNp1im9r&#10;QB4fmJDX8EQq7tT7mMXhYcFQcCQOA8xOndN/5/U4Zhe/AAAA//8DAFBLAwQUAAYACAAAACEAVPeu&#10;aeIAAAAOAQAADwAAAGRycy9kb3ducmV2LnhtbEyPwU7DMAyG70i8Q2QkbixZga6UptOE4ISE6MqB&#10;Y9pkbbTGKU22lbfHO42brf/T78/FenYDO5opWI8SlgsBzGDrtcVOwlf9dpcBC1GhVoNHI+HXBFiX&#10;11eFyrU/YWWO29gxKsGQKwl9jGPOeWh741RY+NEgZTs/ORVpnTquJ3WicjfwRIiUO2WRLvRqNC+9&#10;affbg5Ow+cbq1f58NJ/VrrJ1/STwPd1LeXszb56BRTPHCwxnfVKHkpwaf0Ad2CAhSbOUUAqSbLUE&#10;dkbEKn0E1tD0cJ9kwMuC/3+j/AMAAP//AwBQSwECLQAUAAYACAAAACEA5JnDwPsAAADhAQAAEwAA&#10;AAAAAAAAAAAAAAAAAAAAW0NvbnRlbnRfVHlwZXNdLnhtbFBLAQItABQABgAIAAAAIQAjsmrh1wAA&#10;AJQBAAALAAAAAAAAAAAAAAAAACwBAABfcmVscy8ucmVsc1BLAQItABQABgAIAAAAIQBsn9UBtgIA&#10;AK4FAAAOAAAAAAAAAAAAAAAAACwCAABkcnMvZTJvRG9jLnhtbFBLAQItABQABgAIAAAAIQBU965p&#10;4gAAAA4BAAAPAAAAAAAAAAAAAAAAAA4FAABkcnMvZG93bnJldi54bWxQSwUGAAAAAAQABADzAAAA&#10;HQYAAAAA&#10;" filled="f" stroked="f">
            <v:textbox inset="0,0,0,0">
              <w:txbxContent>
                <w:p w14:paraId="36231C7D" w14:textId="77777777" w:rsidR="00AD7D0B" w:rsidRDefault="00AD7D0B" w:rsidP="004924DC">
                  <w:r>
                    <w:t>Zpracoval: o</w:t>
                  </w:r>
                  <w:r w:rsidRPr="006C5577">
                    <w:t>dbor</w:t>
                  </w:r>
                  <w:r>
                    <w:t xml:space="preserve"> Kancelář předsedy, oddělení svodných analýz</w:t>
                  </w:r>
                </w:p>
                <w:p w14:paraId="7C08C691" w14:textId="77777777" w:rsidR="00AD7D0B" w:rsidRPr="006C5577" w:rsidRDefault="00AD7D0B" w:rsidP="004924DC">
                  <w:r w:rsidRPr="006C5577">
                    <w:t xml:space="preserve">Ředitel odboru: </w:t>
                  </w:r>
                  <w:r>
                    <w:t>Egor Sidorov, Ph.D.</w:t>
                  </w:r>
                </w:p>
                <w:p w14:paraId="77B69CBD" w14:textId="77777777" w:rsidR="00AD7D0B" w:rsidRPr="006C5577" w:rsidRDefault="00AD7D0B" w:rsidP="004924DC">
                  <w:r w:rsidRPr="006C5577">
                    <w:t xml:space="preserve">Kontaktní osoba: </w:t>
                  </w:r>
                  <w:r>
                    <w:t>Karolína Zábojníková</w:t>
                  </w:r>
                  <w:r w:rsidRPr="006C5577">
                    <w:t>,</w:t>
                  </w:r>
                  <w:r>
                    <w:t xml:space="preserve"> e-mail: karolina.zabojnikova@czso.cz</w:t>
                  </w:r>
                </w:p>
              </w:txbxContent>
            </v:textbox>
            <w10:wrap anchorx="page" anchory="page"/>
            <w10:anchorlock/>
          </v:shape>
        </w:pict>
      </w:r>
      <w:r>
        <w:rPr>
          <w:noProof/>
          <w:lang w:val="en-US" w:eastAsia="en-US"/>
        </w:rPr>
        <w:pict w14:anchorId="6236A643">
          <v:shape id="_x0000_s1039" type="#_x0000_t202" style="position:absolute;left:0;text-align:left;margin-left:134.65pt;margin-top:368.55pt;width:403.9pt;height:132.8pt;z-index:251655680;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qU2LoCAAC3BQAADgAAAGRycy9lMm9Eb2MueG1srFRLbtswEN0X6B0I7hV9IiuSEDlIbKsokH6A&#10;pAegRcoiKpEqSVtOgx6o5+jFOqQsO59N0VYLYkQO37yZeZzLq33Xoh1TmktR4PAswIiJSlIuNgX+&#10;cl96KUbaEEFJKwUr8APT+Gr+9s3l0Ocsko1sKVMIQITOh77AjTF97vu6alhH9JnsmYDDWqqOGPhV&#10;G58qMgB61/pRECT+IBXtlayY1rC7HA/x3OHXNavMp7rWzKC2wMDNuFW5dW1Xf35J8o0ifcOrAw3y&#10;Fyw6wgUEPUItiSFoq/grqI5XSmpZm7NKdr6sa14xlwNkEwYvsrlrSM9cLlAc3R/LpP8fbPVx91kh&#10;Tgt8DuURpIMe3bO9kbtfP1EvW4YiW6Oh1zm43vXgbPY3cg+9dvnq/lZWXzUSctEQsWHXSsmhYYQC&#10;x9De9J9cHXG0BVkPHySFWGRrpAPa16qzBYSSIEAHMg/H/gAfVMHmLIyymeVZwVmYpMkscR30ST5d&#10;75U275jskDUKrEAADp7sbrWxdEg+udhoQpa8bZ0IWvFsAxzHHQgOV+2ZpeF6+pgF2SpdpbEXR8nK&#10;iwNKvetyEXtJGV7MlufLxWIZ/rBxwzhvOKVM2DCTvsL4z/p3UPqojKPCtGw5tXCWklab9aJVaEdA&#10;36X7XNHh5OTmP6fhigC5vEgpjOLgJsq8MkkvvLiOZ152EaReEGY3WRLEWbwsn6d0ywX795TQUOBs&#10;Fs1GNZ1Iv8gtcN/r3EjecQMTpOVdgdOjE8mtBleCutYawtvRflIKS/9UCmj31GinWCvSUa5mv967&#10;B+LkbNW8lvQBJKwkCAzECNMPjEaq7xgNMEkKrL9tiWIYte8FPANwMZOhJmM9GURUcLXABqPRXJhx&#10;PG17xTcNIE8P7RqeSsmdiE8sDg8MpoPL5TDJ7Ph5+u+8TvN2/hsAAP//AwBQSwMEFAAGAAgAAAAh&#10;AOihwvreAAAADQEAAA8AAABkcnMvZG93bnJldi54bWxMj7FOwzAQhnck3sE6JBZEbadSQkOcCiFY&#10;2GhZ2Nz4SCLscxS7SejT40yw/af79N931X5xlk04ht6TArkRwJAab3pqFXwcX+8fgIWoyWjrCRX8&#10;YIB9fX1V6dL4md5xOsSWpRIKpVbQxTiUnIemQ6fDxg9IafflR6djGseWm1HPqdxZngmRc6d7Shc6&#10;PeBzh8334ewU5MvLcPe2w2y+NHaiz4uUEaVStzfL0yOwiEv8g2HVT+pQJ6eTP5MJzCrI8t02oQqK&#10;bSGBrYQo1nRak8gK4HXF/39R/wIAAP//AwBQSwECLQAUAAYACAAAACEA5JnDwPsAAADhAQAAEwAA&#10;AAAAAAAAAAAAAAAAAAAAW0NvbnRlbnRfVHlwZXNdLnhtbFBLAQItABQABgAIAAAAIQAjsmrh1wAA&#10;AJQBAAALAAAAAAAAAAAAAAAAACwBAABfcmVscy8ucmVsc1BLAQItABQABgAIAAAAIQAtepTYugIA&#10;ALcFAAAOAAAAAAAAAAAAAAAAACwCAABkcnMvZTJvRG9jLnhtbFBLAQItABQABgAIAAAAIQDoocL6&#10;3gAAAA0BAAAPAAAAAAAAAAAAAAAAABIFAABkcnMvZG93bnJldi54bWxQSwUGAAAAAAQABADzAAAA&#10;HQYAAAAA&#10;" filled="f" stroked="f">
            <v:textbox style="mso-fit-shape-to-text:t" inset="0,0,0,0">
              <w:txbxContent>
                <w:p w14:paraId="4B402031" w14:textId="77777777" w:rsidR="00AD7D0B" w:rsidRPr="004924DC" w:rsidRDefault="00AD7D0B" w:rsidP="004924DC">
                  <w:pPr>
                    <w:pStyle w:val="TLIdentifikace-sted"/>
                  </w:pPr>
                  <w:r>
                    <w:t>Souhrnná data o České republice</w:t>
                  </w:r>
                </w:p>
                <w:p w14:paraId="761FD8E8" w14:textId="77777777" w:rsidR="00AD7D0B" w:rsidRPr="004924DC" w:rsidRDefault="00AD7D0B" w:rsidP="004924DC">
                  <w:pPr>
                    <w:pStyle w:val="TLIdentifikace-sted"/>
                  </w:pPr>
                  <w:r>
                    <w:t>Praha, 16. 8. 2019</w:t>
                  </w:r>
                </w:p>
                <w:p w14:paraId="3ED125B5" w14:textId="77777777" w:rsidR="00AD7D0B" w:rsidRPr="004924DC" w:rsidRDefault="00AD7D0B" w:rsidP="004924DC">
                  <w:pPr>
                    <w:pStyle w:val="TLIdentifikace-sted"/>
                  </w:pPr>
                  <w:r w:rsidRPr="004924DC">
                    <w:t xml:space="preserve">Kód publikace: </w:t>
                  </w:r>
                  <w:r w:rsidRPr="003C4BE8">
                    <w:rPr>
                      <w:rStyle w:val="content"/>
                      <w:rFonts w:eastAsia="MS Gothic" w:cs="Arial"/>
                    </w:rPr>
                    <w:t>320305-1</w:t>
                  </w:r>
                  <w:r>
                    <w:rPr>
                      <w:rStyle w:val="content"/>
                      <w:rFonts w:eastAsia="MS Gothic" w:cs="Arial"/>
                    </w:rPr>
                    <w:t>9</w:t>
                  </w:r>
                </w:p>
                <w:p w14:paraId="78A05A1B" w14:textId="30BE9A48" w:rsidR="00AD7D0B" w:rsidRPr="004924DC" w:rsidRDefault="00AD7D0B" w:rsidP="004924DC">
                  <w:pPr>
                    <w:pStyle w:val="TLIdentifikace-sted"/>
                  </w:pPr>
                  <w:r>
                    <w:t xml:space="preserve">Č. j.: </w:t>
                  </w:r>
                  <w:r w:rsidR="00BA76E6">
                    <w:t>03026/2019</w:t>
                  </w:r>
                </w:p>
                <w:p w14:paraId="3AADB758" w14:textId="77777777" w:rsidR="00AD7D0B" w:rsidRPr="004924DC" w:rsidRDefault="00AD7D0B" w:rsidP="004924DC">
                  <w:pPr>
                    <w:pStyle w:val="TLIdentifikace-sted"/>
                  </w:pPr>
                  <w:r w:rsidRPr="004924DC">
                    <w:t xml:space="preserve">Pořadové číslo v roce: </w:t>
                  </w:r>
                  <w:r>
                    <w:t>1</w:t>
                  </w:r>
                </w:p>
              </w:txbxContent>
            </v:textbox>
            <w10:wrap anchorx="page" anchory="page"/>
            <w10:anchorlock/>
          </v:shape>
        </w:pict>
      </w:r>
      <w:r>
        <w:rPr>
          <w:noProof/>
          <w:lang w:val="en-US" w:eastAsia="en-US"/>
        </w:rPr>
        <w:pict w14:anchorId="659553F8">
          <v:shape id="_x0000_s1038" type="#_x0000_t202" style="position:absolute;left:0;text-align:left;margin-left:134.65pt;margin-top:116.25pt;width:403.9pt;height:173.85pt;z-index:251654656;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Vfk7kCAAC3BQAADgAAAGRycy9lMm9Eb2MueG1srFRbbtswEPwv0DsQ/Ff0iGxLQuQgsa2iQPoA&#10;kh6AFimLqESqJG05LXqgnqMX65KybCdBgaKtPogVuZzd2R3u1fW+bdCOKc2lyHF4EWDERCkpF5sc&#10;f3oovAQjbYigpJGC5fiRaXw9f/3qqu8yFslaNpQpBCBCZ32X49qYLvN9XdasJfpCdkzAYSVVSwz8&#10;qo1PFekBvW38KAimfi8V7ZQsmdawuxwO8dzhVxUrzYeq0sygJseQm3Grcuvarv78imQbRbqal4c0&#10;yF9k0RIuIOgRakkMQVvFX0C1vFRSy8pclLL1ZVXxkjkOwCYMnrG5r0nHHBcoju6OZdL/D7Z8v/uo&#10;EKc5jlKMBGmhRw9sb+Tu5w/UyYahyNao73QGrvcdOJv9rdxDrx1f3d3J8rNGQi5qIjbsRinZ14xQ&#10;yDG0N/2zqwOOtiDr/p2kEItsjXRA+0q1toBQEgTo0KvHY38gH1TC5iSM0sklHJVwFkXBLEknLgbJ&#10;xuud0uYNky2yRo4VCMDBk92dNjYdko0uNpqQBW8aJ4JGPNkAx2EHgsNVe2bTcD39lgbpKlklsRdH&#10;05UXB5R6N8Ui9qZFOJssL5eLxTL8buOGcVZzSpmwYUZ9hfGf9e+g9EEZR4Vp2XBq4WxKWm3Wi0ah&#10;HQF9F+47FOTMzX+ahisCcHlGKYzi4DZKvWKazLy4iideOgsSLwjT23QaxGm8LJ5SuuOC/Tsl1Oc4&#10;nUSTQU2/5Ra47yU3krXcwARpeJvj5OhEMqvBlaCutYbwZrDPSmHTP5UC2j022inWinSQq9mv98MD&#10;sdGtmteSPoKElQSBgRhh+oFRS/UVox4mSY71ly1RDKPmrYBnYMfOaKjRWI8GESVczbHBaDAXZhhP&#10;207xTQ3I40O7gadScCfiUxaHBwbTwXE5TDI7fs7/nddp3s5/AQAA//8DAFBLAwQUAAYACAAAACEA&#10;e+6Tt+AAAAAMAQAADwAAAGRycy9kb3ducmV2LnhtbEyPsU7DMBCGdyTewTokFtTacdW0DXEqhGBh&#10;o7CwufE1ibDPUewmoU+PO8F2p/v03/eX+9lZNuIQOk8KsqUAhlR701Gj4PPjdbEFFqImo60nVPCD&#10;AfbV7U2pC+MnesfxEBuWQigUWkEbY19wHuoWnQ5L3yOl28kPTse0Dg03g55SuLNcCpFzpztKH1rd&#10;43OL9ffh7BTk80v/8LZDOV1qO9LXJcsiZkrd381Pj8AizvEPhqt+UocqOR39mUxgVoHMd6uEpmEl&#10;18CuhNhsMmBHBeutkMCrkv8vUf0CAAD//wMAUEsBAi0AFAAGAAgAAAAhAOSZw8D7AAAA4QEAABMA&#10;AAAAAAAAAAAAAAAAAAAAAFtDb250ZW50X1R5cGVzXS54bWxQSwECLQAUAAYACAAAACEAI7Jq4dcA&#10;AACUAQAACwAAAAAAAAAAAAAAAAAsAQAAX3JlbHMvLnJlbHNQSwECLQAUAAYACAAAACEAY0Vfk7kC&#10;AAC3BQAADgAAAAAAAAAAAAAAAAAsAgAAZHJzL2Uyb0RvYy54bWxQSwECLQAUAAYACAAAACEAe+6T&#10;t+AAAAAMAQAADwAAAAAAAAAAAAAAAAARBQAAZHJzL2Rvd25yZXYueG1sUEsFBgAAAAAEAAQA8wAA&#10;AB4GAAAAAA==&#10;" filled="f" stroked="f">
            <v:textbox style="mso-fit-shape-to-text:t" inset="0,0,0,0">
              <w:txbxContent>
                <w:p w14:paraId="68BD2E56" w14:textId="77777777" w:rsidR="00745BC3" w:rsidRDefault="00AD7D0B" w:rsidP="000E6FBD">
                  <w:pPr>
                    <w:pStyle w:val="Nzev"/>
                  </w:pPr>
                  <w:r>
                    <w:t xml:space="preserve">Analýza ekonomického vývoje </w:t>
                  </w:r>
                </w:p>
                <w:p w14:paraId="2A4EE3B4" w14:textId="5A46C9EB" w:rsidR="00AD7D0B" w:rsidRPr="00745BC3" w:rsidRDefault="00AD7D0B" w:rsidP="000E6FBD">
                  <w:pPr>
                    <w:pStyle w:val="Nzev"/>
                    <w:rPr>
                      <w:sz w:val="32"/>
                    </w:rPr>
                  </w:pPr>
                  <w:r w:rsidRPr="00745BC3">
                    <w:rPr>
                      <w:sz w:val="32"/>
                    </w:rPr>
                    <w:t>v roce 2018</w:t>
                  </w:r>
                </w:p>
                <w:p w14:paraId="2F823B65" w14:textId="77777777" w:rsidR="00AD7D0B" w:rsidRPr="0012192F" w:rsidRDefault="00AD7D0B" w:rsidP="0012192F">
                  <w:pPr>
                    <w:pStyle w:val="Podnadpis"/>
                  </w:pPr>
                </w:p>
              </w:txbxContent>
            </v:textbox>
            <w10:wrap anchorx="page" anchory="page"/>
            <w10:anchorlock/>
          </v:shape>
        </w:pict>
      </w:r>
      <w:r>
        <w:rPr>
          <w:noProof/>
          <w:lang w:val="en-US" w:eastAsia="en-US"/>
        </w:rPr>
        <w:pict w14:anchorId="2CC3460F">
          <v:shape id="_x0000_s1037" type="#_x0000_t202" style="position:absolute;left:0;text-align:left;margin-left:134.65pt;margin-top:759.8pt;width:403.95pt;height:14.15pt;z-index:251658752;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SNY7kCAAC1BQAADgAAAGRycy9lMm9Eb2MueG1srFRbbtswEPwv0DsQ/Ff0iGRbQuQgsa2iQPoA&#10;kh6AFimLqESqJG05LXqgnqMX65KybCdBgaKtPogVuZzd2R3u1fW+bdCOKc2lyHF4EWDERCkpF5sc&#10;f3oovBlG2hBBSSMFy/Ej0/h6/vrVVd9lLJK1bChTCECEzvoux7UxXeb7uqxZS/SF7JiAw0qqlhj4&#10;VRufKtIDetv4URBM/F4q2ilZMq1hdzkc4rnDrypWmg9VpZlBTY4hN+NW5da1Xf35Fck2inQ1Lw9p&#10;kL/IoiVcQNAj1JIYgraKv4BqeamklpW5KGXry6riJXMcgE0YPGNzX5OOOS5QHN0dy6T/H2z5fvdR&#10;IU5zfImRIC206IHtjdz9/IE62TAU2RL1nc7A874DX7O/lXtotaOruztZftZIyEVNxIbdKCX7mhEK&#10;KYb2pn92dcDRFmTdv5MUYpGtkQ5oX6nW1g8qggAdWvV4bA/kg0rYTMLLIJwkGJVwFk7TaZC4ECQb&#10;b3dKmzdMtsgaOVbQfodOdnfa2GxINrrYYEIWvGmcBBrxZAMchx2IDVftmc3CdfRbGqSr2WoWe3E0&#10;WXlxQKl3Uyxib1KE02R5uVwsluF3GzeMs5pTyoQNM6orjP+sewedD7o46kvLhlMLZ1PSarNeNArt&#10;CKi7cN+hIGdu/tM0XBGAyzNKYRQHt1HqFZPZ1IurOPGgvDMvCNPbdBLEabwsnlK644L9OyXU5zhN&#10;omQQ02+5Be57yY1kLTcwPxre5nh2dCKZleBKUNdaQ3gz2GelsOmfSgHtHhvtBGs1OqjV7Nf7w/MA&#10;MCvmtaSPoGAlQWAgU5h9YNRSfcWohzmSY/1lSxTDqHkr4BXYoTMaajTWo0FECVdzbDAazIUZhtO2&#10;U3xTA/LwzoS8gZdScSfiUxaH9wWzwXE5zDE7fM7/nddp2s5/AQ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DkmcPA+wAAAOEBAAAT&#10;AAAAAAAAAAAAAAAAAAAAAABbQ29udGVudF9UeXBlc10ueG1sUEsBAi0AFAAGAAgAAAAhACOyauHX&#10;AAAAlAEAAAsAAAAAAAAAAAAAAAAALAEAAF9yZWxzLy5yZWxzUEsBAi0AFAAGAAgAAAAhAK3UjWO5&#10;AgAAtQUAAA4AAAAAAAAAAAAAAAAALAIAAGRycy9lMm9Eb2MueG1sUEsBAi0AFAAGAAgAAAAhAAdl&#10;cHfhAAAADgEAAA8AAAAAAAAAAAAAAAAAEQUAAGRycy9kb3ducmV2LnhtbFBLBQYAAAAABAAEAPMA&#10;AAAfBgAAAAA=&#10;" filled="f" stroked="f">
            <v:textbox inset="0,0,0,0">
              <w:txbxContent>
                <w:p w14:paraId="127D7DDA" w14:textId="77777777" w:rsidR="00AD7D0B" w:rsidRPr="004924DC" w:rsidRDefault="00AD7D0B" w:rsidP="004924DC">
                  <w:r w:rsidRPr="004924DC">
                    <w:t xml:space="preserve">© Český statistický úřad, </w:t>
                  </w:r>
                  <w:r>
                    <w:t>Praha</w:t>
                  </w:r>
                  <w:r w:rsidRPr="004924DC">
                    <w:t xml:space="preserve">, </w:t>
                  </w:r>
                  <w:r>
                    <w:t>2019</w:t>
                  </w:r>
                </w:p>
                <w:p w14:paraId="7351BE9A" w14:textId="77777777" w:rsidR="00AD7D0B" w:rsidRPr="005251DD" w:rsidRDefault="00AD7D0B" w:rsidP="00665BA4"/>
                <w:p w14:paraId="220A12CF" w14:textId="77777777" w:rsidR="00AD7D0B" w:rsidRPr="005251DD" w:rsidRDefault="00AD7D0B" w:rsidP="00FC684B"/>
                <w:p w14:paraId="77804239" w14:textId="77777777" w:rsidR="00AD7D0B" w:rsidRDefault="00AD7D0B"/>
                <w:p w14:paraId="0E79794C" w14:textId="77777777" w:rsidR="00AD7D0B" w:rsidRPr="00097407" w:rsidRDefault="00AD7D0B"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14:paraId="652F245C" w14:textId="77777777" w:rsidR="00AD7D0B" w:rsidRPr="005251DD" w:rsidRDefault="00AD7D0B" w:rsidP="00665BA4"/>
                <w:p w14:paraId="5C92CFC3" w14:textId="77777777" w:rsidR="00AD7D0B" w:rsidRPr="005251DD" w:rsidRDefault="00AD7D0B" w:rsidP="00FC684B"/>
              </w:txbxContent>
            </v:textbox>
            <w10:wrap anchorx="page" anchory="page"/>
            <w10:anchorlock/>
          </v:shape>
        </w:pict>
      </w:r>
      <w:r>
        <w:rPr>
          <w:noProof/>
          <w:lang w:val="en-US" w:eastAsia="en-US"/>
        </w:rPr>
        <w:pict w14:anchorId="5A6375AE">
          <v:line id="Přímá spojnice 33" o:spid="_x0000_s1036" style="position:absolute;left:0;text-align:left;z-index:251653632;visibility:visible;mso-wrap-distance-top:-6e-5mm;mso-wrap-distance-bottom:-6e-5mm;mso-position-horizontal-relative:page;mso-position-vertical-relative:page;mso-width-relative:margin;mso-height-relative:margin" from="134.65pt,737.1pt" to="538.6pt,7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yJQdwBAACPAwAADgAAAGRycy9lMm9Eb2MueG1srFNLbtswEN0X6B0I7mvJNpIWguUsYqSboDWQ&#10;9AATipTY8gcOa8lH6bIH6CmC3qtD+tOk2QXVgiD5Zh7fvBmtriZr2E5G1N61fD6rOZNO+E67vuVf&#10;7m/efeAME7gOjHey5XuJ/Gr99s1qDI1c+MGbTkZGJA6bMbR8SCk0VYVikBZw5oN0BCofLSQ6xr7q&#10;IozEbk21qOvLavSxC9ELiUi3mwPI14VfKSnSZ6VQJmZaTtpSWWNZH/JarVfQ9BHCoMVRBrxChQXt&#10;6NEz1QYSsO9Rv6CyWkSPXqWZ8LbySmkhSw1Uzbz+p5q7AYIstZA5GM424f+jFZ9228h01/LlkjMH&#10;lnq0/f3j8Zd9/Mkw+K+OBDLCyKgxYEPx124bc6licnfh1otvSFj1DMwHDIewSUWbw6lWNhXj92fj&#10;5ZSYoMuL+bKeX15wJk5YBc0pMURMH6W3LG9abrTLnkADu1tM+WloTiH52vkbbUzpq3FspKFcvK+p&#10;9QJovJSBRFsbqGB0PWdgeppbkWKhRG90l9MzEe7x2kS2AxodmrjOj/eklzMDmAigIsqXnSEJz1Kz&#10;ng3gcEgu0DHMuEwty2Qe5f81K+8efLffxpOj1PXCfpzQPFZPz7R/+h+t/wAAAP//AwBQSwMEFAAG&#10;AAgAAAAhAI+EdkziAAAADgEAAA8AAABkcnMvZG93bnJldi54bWxMj81Lw0AQxe+C/8MyghdpN11L&#10;Y2M2RSJCwIPYKnicZtd8uB8hu23jf+/0IHqbmfd483v5ZrKGHfUYOu8kLOYJMO1qrzrXSHjbPc3u&#10;gIWITqHxTkv41gE2xeVFjpnyJ/eqj9vYMApxIUMJbYxDxnmoW20xzP2gHWmffrQYaR0brkY8Ubg1&#10;XCTJilvsHH1ocdBlq+uv7cFKqJ4X6/KmFL7q+/7jEV/exVgZKa+vpod7YFFP8c8MZ3xCh4KY9v7g&#10;VGBGglitb8lKwjJdCmBnS5KmNO1/b7zI+f8axQ8AAAD//wMAUEsBAi0AFAAGAAgAAAAhAOSZw8D7&#10;AAAA4QEAABMAAAAAAAAAAAAAAAAAAAAAAFtDb250ZW50X1R5cGVzXS54bWxQSwECLQAUAAYACAAA&#10;ACEAI7Jq4dcAAACUAQAACwAAAAAAAAAAAAAAAAAsAQAAX3JlbHMvLnJlbHNQSwECLQAUAAYACAAA&#10;ACEAv9yJQdwBAACPAwAADgAAAAAAAAAAAAAAAAAsAgAAZHJzL2Uyb0RvYy54bWxQSwECLQAUAAYA&#10;CAAAACEAj4R2TOIAAAAOAQAADwAAAAAAAAAAAAAAAAA0BAAAZHJzL2Rvd25yZXYueG1sUEsFBgAA&#10;AAAEAAQA8wAAAEMFAAAAAA==&#10;" o:allowincell="f" strokecolor="windowText" strokeweight="1pt">
            <o:lock v:ext="edit" shapetype="f"/>
            <w10:wrap anchorx="page" anchory="page"/>
            <w10:anchorlock/>
          </v:line>
        </w:pict>
      </w:r>
      <w:r w:rsidR="00F63FB7" w:rsidRPr="00360DE3">
        <w:br w:type="page"/>
      </w:r>
      <w:r w:rsidR="00D57677" w:rsidRPr="00360DE3">
        <w:lastRenderedPageBreak/>
        <w:br w:type="page"/>
      </w:r>
      <w:r>
        <w:rPr>
          <w:noProof/>
          <w:lang w:val="en-US" w:eastAsia="en-US"/>
        </w:rPr>
        <w:pict w14:anchorId="34A671F2">
          <v:shape id="_x0000_s1035" type="#_x0000_t202" style="position:absolute;left:0;text-align:left;margin-left:57pt;margin-top:113.4pt;width:481.85pt;height:604.2pt;z-index:251659776;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a8LwCAAC2BQAADgAAAGRycy9lMm9Eb2MueG1srFTbjpswEH2v1H+w/M5yWUICWlLtJqGqtL1I&#10;u/0AB5tgFWxqO4Ft1Q/qd/THOjYh2ctL1ZYHa7DHx3NmzszVm6Ft0IEpzaXIcXgRYMREKSkXuxx/&#10;vi+8BUbaEEFJIwXL8QPT+M3y9aurvstYJGvZUKYQgAid9V2Oa2O6zPd1WbOW6AvZMQGHlVQtMfCr&#10;dj5VpAf0tvGjIEj8XiraKVkyrWF3PR7ipcOvKlaaj1WlmUFNjiE241bl1q1d/eUVyXaKdDUvj2GQ&#10;v4iiJVzAoyeoNTEE7RV/AdXyUkktK3NRytaXVcVL5jgAmzB4xuauJh1zXCA5ujulSf8/2PLD4ZNC&#10;nOY4wkiQFkp0zwYjD79+ok42DEU2RX2nM/C868DXDDdygFI7urq7leUXjYRc1UTs2LVSsq8ZoRBi&#10;aG/6j66OONqCbPv3ksJbZG+kAxoq1dr8QUYQoEOpHk7lgXhQCZtJGKZxOsOohLN5Mr+8jF0BfZJN&#10;1zulzVsmW2SNHCuov4Mnh1ttbDgkm1zsa0IWvGmcBhrxZAMcxx14HK7aMxuGK+n3NEg3i80i9uIo&#10;2XhxQKl3XaxiLynC+Wx9uV6t1uEP+24YZzWnlAn7zCSvMP6z8h2FPgrjJDAtG04tnA1Jq9121Sh0&#10;ICDvwn0u6XBydvOfhuGSAFyeUQqjOLiJUq9IFnMvruKZl86DhReE6U2aBHEar4unlG65YP9OCfU5&#10;TmfRbFTTOehn3AL3veRGspYbGCANb3O8ODmRzGpwI6grrSG8Ge1HqbDhn1MB5Z4K7RRrRTrK1Qzb&#10;wfVHPDXCVtIHkLCSIDDQKQw/MGqpvmHUwyDJsf66J4ph1LwT0AZ26kyGmoztZBBRwtUcG4xGc2XG&#10;6bTvFN/VgDw12jW0SsGdiG1PjVEcGwyGg+NyHGR2+jz+d17ncbv8DQAA//8DAFBLAwQUAAYACAAA&#10;ACEArRpGXOAAAAANAQAADwAAAGRycy9kb3ducmV2LnhtbEyPwU7DMBBE70j8g7VIXFDrOJQEQpwK&#10;Ibhwo3DpzU2WJMJeR7GbhH492xPcdrSjmXnldnFWTDiG3pMGtU5AINW+6anV8PnxuroHEaKhxlhP&#10;qOEHA2yry4vSFI2f6R2nXWwFh1AojIYuxqGQMtQdOhPWfkDi35cfnYksx1Y2o5k53FmZJkkmnemJ&#10;Gzoz4HOH9ffu6DRky8tw8/aA6Xyq7UT7k1IRldbXV8vTI4iIS/wzw3k+T4eKNx38kZogLGu1YZao&#10;IU0zZjg7kjzPQRz42tzepSCrUv6nqH4BAAD//wMAUEsBAi0AFAAGAAgAAAAhAOSZw8D7AAAA4QEA&#10;ABMAAAAAAAAAAAAAAAAAAAAAAFtDb250ZW50X1R5cGVzXS54bWxQSwECLQAUAAYACAAAACEAI7Jq&#10;4dcAAACUAQAACwAAAAAAAAAAAAAAAAAsAQAAX3JlbHMvLnJlbHNQSwECLQAUAAYACAAAACEADx/a&#10;8LwCAAC2BQAADgAAAAAAAAAAAAAAAAAsAgAAZHJzL2Uyb0RvYy54bWxQSwECLQAUAAYACAAAACEA&#10;rRpGXOAAAAANAQAADwAAAAAAAAAAAAAAAAAUBQAAZHJzL2Rvd25yZXYueG1sUEsFBgAAAAAEAAQA&#10;8wAAACEGAAAAAA==&#10;" filled="f" stroked="f">
            <v:textbox style="mso-fit-shape-to-text:t" inset="0,0,0,0">
              <w:txbxContent>
                <w:p w14:paraId="3C4129BA" w14:textId="77777777" w:rsidR="00AD7D0B" w:rsidRPr="006F5416" w:rsidRDefault="00AD7D0B" w:rsidP="006F5416">
                  <w:pPr>
                    <w:pStyle w:val="TLKontaktyerven"/>
                  </w:pPr>
                  <w:r w:rsidRPr="006F5416">
                    <w:t>KONTAKTY V ÚSTŘEDÍ</w:t>
                  </w:r>
                </w:p>
                <w:p w14:paraId="2AEA9A37" w14:textId="77777777" w:rsidR="00AD7D0B" w:rsidRPr="007D40DF" w:rsidRDefault="00AD7D0B"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052AFB10" w14:textId="77777777" w:rsidR="00AD7D0B" w:rsidRPr="00D235B7" w:rsidRDefault="00AD7D0B"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274 052 304, 274 052 451 | e-mail: infoservis@czso.cz</w:t>
                  </w:r>
                </w:p>
                <w:p w14:paraId="5CEE4870" w14:textId="77777777" w:rsidR="00AD7D0B" w:rsidRPr="00D235B7" w:rsidRDefault="00AD7D0B"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274 052 361 | e-mail: prodejna@czso.cz</w:t>
                  </w:r>
                </w:p>
                <w:p w14:paraId="3C5DD04C" w14:textId="77777777" w:rsidR="00AD7D0B" w:rsidRPr="00D235B7" w:rsidRDefault="00AD7D0B"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274 052 347 | e-mail: esds@czso.cz</w:t>
                  </w:r>
                </w:p>
                <w:p w14:paraId="760CC4C1" w14:textId="77777777" w:rsidR="00AD7D0B" w:rsidRPr="00D235B7" w:rsidRDefault="00AD7D0B"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274 052 361 | e-mail: knihovna@czso.cz</w:t>
                  </w:r>
                </w:p>
                <w:p w14:paraId="62E51573" w14:textId="77777777" w:rsidR="00AD7D0B" w:rsidRPr="004A61C5" w:rsidRDefault="00AD7D0B" w:rsidP="00825C4D">
                  <w:pPr>
                    <w:pStyle w:val="TLKontakty"/>
                    <w:spacing w:after="80" w:line="240" w:lineRule="auto"/>
                    <w:contextualSpacing w:val="0"/>
                    <w:rPr>
                      <w:color w:val="auto"/>
                    </w:rPr>
                  </w:pPr>
                </w:p>
                <w:p w14:paraId="0974C801" w14:textId="77777777" w:rsidR="00AD7D0B" w:rsidRPr="00D66223" w:rsidRDefault="00AD7D0B" w:rsidP="00D66223">
                  <w:pPr>
                    <w:pStyle w:val="TLKontaktyerven"/>
                  </w:pPr>
                  <w:r w:rsidRPr="00D66223">
                    <w:t>INFORMAČNÍ SLUŽBY V REGIONECH</w:t>
                  </w:r>
                </w:p>
                <w:p w14:paraId="60297F11" w14:textId="77777777" w:rsidR="00AD7D0B" w:rsidRPr="00992CF3" w:rsidRDefault="00AD7D0B"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274 054 223</w:t>
                  </w:r>
                </w:p>
                <w:p w14:paraId="32FC8B90" w14:textId="77777777" w:rsidR="00AD7D0B" w:rsidRPr="00992CF3" w:rsidRDefault="00AD7D0B"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1D82EBBB" w14:textId="77777777" w:rsidR="00AD7D0B" w:rsidRPr="004A61C5" w:rsidRDefault="00AD7D0B" w:rsidP="00825C4D">
                  <w:pPr>
                    <w:pStyle w:val="TLKontakty"/>
                    <w:spacing w:after="80" w:line="240" w:lineRule="auto"/>
                    <w:rPr>
                      <w:color w:val="auto"/>
                    </w:rPr>
                  </w:pPr>
                </w:p>
                <w:p w14:paraId="429A254C" w14:textId="77777777" w:rsidR="00AD7D0B" w:rsidRPr="00992CF3" w:rsidRDefault="00AD7D0B" w:rsidP="00825C4D">
                  <w:pPr>
                    <w:pStyle w:val="TLKontakty"/>
                    <w:spacing w:after="80" w:line="240" w:lineRule="auto"/>
                    <w:rPr>
                      <w:b w:val="0"/>
                      <w:color w:val="auto"/>
                    </w:rPr>
                  </w:pPr>
                  <w:r w:rsidRPr="00D66223">
                    <w:t>Středočeský kraj</w:t>
                  </w:r>
                  <w:r w:rsidRPr="00992CF3">
                    <w:rPr>
                      <w:b w:val="0"/>
                      <w:color w:val="auto"/>
                    </w:rPr>
                    <w:t xml:space="preserve"> | Na padesátém 81, 100 82 Praha 10, tel.</w:t>
                  </w:r>
                  <w:r>
                    <w:rPr>
                      <w:b w:val="0"/>
                      <w:color w:val="auto"/>
                    </w:rPr>
                    <w:t xml:space="preserve">: </w:t>
                  </w:r>
                  <w:r w:rsidRPr="00992CF3">
                    <w:rPr>
                      <w:b w:val="0"/>
                      <w:color w:val="auto"/>
                    </w:rPr>
                    <w:t>274 054 175</w:t>
                  </w:r>
                </w:p>
                <w:p w14:paraId="2E95AF93" w14:textId="77777777" w:rsidR="00AD7D0B" w:rsidRPr="00992CF3" w:rsidRDefault="00AD7D0B"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F7D6182" w14:textId="77777777" w:rsidR="00AD7D0B" w:rsidRPr="004A61C5" w:rsidRDefault="00AD7D0B" w:rsidP="00825C4D">
                  <w:pPr>
                    <w:pStyle w:val="TLKontakty"/>
                    <w:spacing w:after="80" w:line="240" w:lineRule="auto"/>
                    <w:rPr>
                      <w:color w:val="auto"/>
                    </w:rPr>
                  </w:pPr>
                </w:p>
                <w:p w14:paraId="4812A087" w14:textId="77777777" w:rsidR="00AD7D0B" w:rsidRPr="00992CF3" w:rsidRDefault="00AD7D0B" w:rsidP="00825C4D">
                  <w:pPr>
                    <w:pStyle w:val="TLKontakty"/>
                    <w:spacing w:after="80" w:line="240" w:lineRule="auto"/>
                    <w:rPr>
                      <w:b w:val="0"/>
                      <w:color w:val="auto"/>
                    </w:rPr>
                  </w:pPr>
                  <w:r w:rsidRPr="00D66223">
                    <w:t>České Budějovice</w:t>
                  </w:r>
                  <w:r w:rsidRPr="00992CF3">
                    <w:rPr>
                      <w:b w:val="0"/>
                      <w:color w:val="auto"/>
                    </w:rPr>
                    <w:t xml:space="preserve"> | Žižkova 1, 370 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386 718 440</w:t>
                  </w:r>
                </w:p>
                <w:p w14:paraId="0DA52EE4" w14:textId="77777777" w:rsidR="00AD7D0B" w:rsidRPr="00992CF3" w:rsidRDefault="00AD7D0B"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15049E1F" w14:textId="77777777" w:rsidR="00AD7D0B" w:rsidRPr="004A61C5" w:rsidRDefault="00AD7D0B" w:rsidP="00825C4D">
                  <w:pPr>
                    <w:pStyle w:val="TLKontakty"/>
                    <w:spacing w:after="80" w:line="240" w:lineRule="auto"/>
                    <w:rPr>
                      <w:color w:val="auto"/>
                    </w:rPr>
                  </w:pPr>
                </w:p>
                <w:p w14:paraId="6D32D510" w14:textId="77777777" w:rsidR="00AD7D0B" w:rsidRPr="00BC731E" w:rsidRDefault="00AD7D0B" w:rsidP="00825C4D">
                  <w:pPr>
                    <w:pStyle w:val="TLKontakty"/>
                    <w:spacing w:after="80" w:line="240" w:lineRule="auto"/>
                    <w:rPr>
                      <w:b w:val="0"/>
                      <w:color w:val="auto"/>
                    </w:rPr>
                  </w:pPr>
                  <w:r w:rsidRPr="00D66223">
                    <w:t>Plzeň</w:t>
                  </w:r>
                  <w:r w:rsidRPr="004A61C5">
                    <w:rPr>
                      <w:b w:val="0"/>
                      <w:color w:val="auto"/>
                    </w:rPr>
                    <w:t xml:space="preserve"> | 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377 612 108</w:t>
                  </w:r>
                  <w:r w:rsidRPr="00BC731E">
                    <w:rPr>
                      <w:b w:val="0"/>
                      <w:color w:val="auto"/>
                    </w:rPr>
                    <w:t>, 377 612 145</w:t>
                  </w:r>
                </w:p>
                <w:p w14:paraId="5224C3CB" w14:textId="77777777" w:rsidR="00AD7D0B" w:rsidRPr="004A61C5" w:rsidRDefault="00AD7D0B"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67781BAF" w14:textId="77777777" w:rsidR="00AD7D0B" w:rsidRPr="004A61C5" w:rsidRDefault="00AD7D0B" w:rsidP="00825C4D">
                  <w:pPr>
                    <w:pStyle w:val="TLKontakty"/>
                    <w:spacing w:after="80" w:line="240" w:lineRule="auto"/>
                    <w:rPr>
                      <w:color w:val="auto"/>
                    </w:rPr>
                  </w:pPr>
                </w:p>
                <w:p w14:paraId="05CAF9B8" w14:textId="77777777" w:rsidR="00AD7D0B" w:rsidRPr="004A61C5" w:rsidRDefault="00AD7D0B"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 360/94, 360 06 Karlovy Vary</w:t>
                  </w:r>
                  <w:r w:rsidRPr="004A61C5">
                    <w:rPr>
                      <w:b w:val="0"/>
                      <w:color w:val="auto"/>
                    </w:rPr>
                    <w:t>, tel.</w:t>
                  </w:r>
                  <w:r>
                    <w:rPr>
                      <w:b w:val="0"/>
                      <w:color w:val="auto"/>
                    </w:rPr>
                    <w:t xml:space="preserve">: </w:t>
                  </w:r>
                  <w:r w:rsidRPr="004A61C5">
                    <w:rPr>
                      <w:b w:val="0"/>
                      <w:color w:val="auto"/>
                    </w:rPr>
                    <w:t>353 114 529, 353 114 525</w:t>
                  </w:r>
                </w:p>
                <w:p w14:paraId="56DAC5F5" w14:textId="77777777" w:rsidR="00AD7D0B" w:rsidRPr="004A61C5" w:rsidRDefault="00AD7D0B"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21E93819" w14:textId="77777777" w:rsidR="00AD7D0B" w:rsidRPr="004A61C5" w:rsidRDefault="00AD7D0B" w:rsidP="00825C4D">
                  <w:pPr>
                    <w:pStyle w:val="TLKontakty"/>
                    <w:spacing w:after="80" w:line="240" w:lineRule="auto"/>
                    <w:rPr>
                      <w:color w:val="auto"/>
                    </w:rPr>
                  </w:pPr>
                </w:p>
                <w:p w14:paraId="0B19E6BC" w14:textId="77777777" w:rsidR="00AD7D0B" w:rsidRPr="004A61C5" w:rsidRDefault="00AD7D0B" w:rsidP="00825C4D">
                  <w:pPr>
                    <w:pStyle w:val="TLKontakty"/>
                    <w:spacing w:after="80" w:line="240" w:lineRule="auto"/>
                    <w:rPr>
                      <w:b w:val="0"/>
                      <w:color w:val="auto"/>
                    </w:rPr>
                  </w:pPr>
                  <w:r w:rsidRPr="00D66223">
                    <w:t>Ústí nad Labem</w:t>
                  </w:r>
                  <w:r w:rsidRPr="004A61C5">
                    <w:rPr>
                      <w:b w:val="0"/>
                      <w:color w:val="auto"/>
                    </w:rPr>
                    <w:t xml:space="preserve"> | Špálova 2684, 400 11 Ústí nad Labem</w:t>
                  </w:r>
                  <w:r>
                    <w:rPr>
                      <w:b w:val="0"/>
                      <w:color w:val="auto"/>
                    </w:rPr>
                    <w:t xml:space="preserve">, </w:t>
                  </w:r>
                  <w:r w:rsidRPr="004A61C5">
                    <w:rPr>
                      <w:b w:val="0"/>
                      <w:color w:val="auto"/>
                    </w:rPr>
                    <w:t>tel.</w:t>
                  </w:r>
                  <w:r>
                    <w:rPr>
                      <w:b w:val="0"/>
                      <w:color w:val="auto"/>
                    </w:rPr>
                    <w:t xml:space="preserve">: </w:t>
                  </w:r>
                  <w:r w:rsidRPr="004A61C5">
                    <w:rPr>
                      <w:b w:val="0"/>
                      <w:color w:val="auto"/>
                    </w:rPr>
                    <w:t>472 706 176,</w:t>
                  </w:r>
                  <w:r>
                    <w:rPr>
                      <w:b w:val="0"/>
                      <w:color w:val="auto"/>
                    </w:rPr>
                    <w:t xml:space="preserve"> </w:t>
                  </w:r>
                  <w:r w:rsidRPr="004A61C5">
                    <w:rPr>
                      <w:b w:val="0"/>
                      <w:color w:val="auto"/>
                    </w:rPr>
                    <w:t>472 706 121</w:t>
                  </w:r>
                </w:p>
                <w:p w14:paraId="7BB570FE" w14:textId="77777777" w:rsidR="00AD7D0B" w:rsidRPr="004A61C5" w:rsidRDefault="00AD7D0B"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7ABCB10A" w14:textId="77777777" w:rsidR="00AD7D0B" w:rsidRPr="004A61C5" w:rsidRDefault="00AD7D0B" w:rsidP="00825C4D">
                  <w:pPr>
                    <w:pStyle w:val="TLKontakty"/>
                    <w:spacing w:after="80" w:line="240" w:lineRule="auto"/>
                    <w:rPr>
                      <w:color w:val="auto"/>
                    </w:rPr>
                  </w:pPr>
                </w:p>
                <w:p w14:paraId="33E0B4B6" w14:textId="3527CCA9" w:rsidR="00AD7D0B" w:rsidRPr="004A61C5" w:rsidRDefault="00AD7D0B"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 Edvarda Beneše 585/26, 460 01 Liberec 1, tel.</w:t>
                  </w:r>
                  <w:r>
                    <w:rPr>
                      <w:b w:val="0"/>
                      <w:color w:val="auto"/>
                    </w:rPr>
                    <w:t xml:space="preserve">: </w:t>
                  </w:r>
                  <w:r w:rsidRPr="004A61C5">
                    <w:rPr>
                      <w:b w:val="0"/>
                      <w:color w:val="auto"/>
                    </w:rPr>
                    <w:t>485 238 811</w:t>
                  </w:r>
                </w:p>
                <w:p w14:paraId="4E816922" w14:textId="77777777" w:rsidR="00AD7D0B" w:rsidRPr="004A61C5" w:rsidRDefault="00AD7D0B"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55AB0DF9" w14:textId="77777777" w:rsidR="00AD7D0B" w:rsidRPr="004A61C5" w:rsidRDefault="00AD7D0B" w:rsidP="00825C4D">
                  <w:pPr>
                    <w:pStyle w:val="TLKontakty"/>
                    <w:spacing w:after="80" w:line="240" w:lineRule="auto"/>
                    <w:rPr>
                      <w:b w:val="0"/>
                      <w:color w:val="auto"/>
                    </w:rPr>
                  </w:pPr>
                </w:p>
                <w:p w14:paraId="1E43F462" w14:textId="77777777" w:rsidR="00AD7D0B" w:rsidRPr="004A61C5" w:rsidRDefault="00AD7D0B" w:rsidP="00825C4D">
                  <w:pPr>
                    <w:pStyle w:val="TLKontakty"/>
                    <w:spacing w:after="80" w:line="240" w:lineRule="auto"/>
                    <w:rPr>
                      <w:b w:val="0"/>
                      <w:color w:val="auto"/>
                    </w:rPr>
                  </w:pPr>
                  <w:r w:rsidRPr="00D66223">
                    <w:t>Hradec Králové</w:t>
                  </w:r>
                  <w:r w:rsidRPr="004A61C5">
                    <w:rPr>
                      <w:b w:val="0"/>
                      <w:color w:val="auto"/>
                    </w:rPr>
                    <w:t xml:space="preserve"> | Myslivečkova 914, 500 03 Hradec Králové 3, </w:t>
                  </w:r>
                  <w:r>
                    <w:rPr>
                      <w:b w:val="0"/>
                      <w:color w:val="auto"/>
                    </w:rPr>
                    <w:t>tel.</w:t>
                  </w:r>
                  <w:r w:rsidRPr="007D40DF">
                    <w:rPr>
                      <w:b w:val="0"/>
                      <w:color w:val="auto"/>
                    </w:rPr>
                    <w:t>:</w:t>
                  </w:r>
                  <w:r>
                    <w:rPr>
                      <w:b w:val="0"/>
                      <w:color w:val="auto"/>
                    </w:rPr>
                    <w:t xml:space="preserve"> </w:t>
                  </w:r>
                  <w:r w:rsidRPr="004A61C5">
                    <w:rPr>
                      <w:b w:val="0"/>
                      <w:color w:val="auto"/>
                    </w:rPr>
                    <w:t>495 762 322,</w:t>
                  </w:r>
                  <w:r>
                    <w:rPr>
                      <w:b w:val="0"/>
                      <w:color w:val="auto"/>
                    </w:rPr>
                    <w:t xml:space="preserve"> </w:t>
                  </w:r>
                  <w:r w:rsidRPr="004A61C5">
                    <w:rPr>
                      <w:b w:val="0"/>
                      <w:color w:val="auto"/>
                    </w:rPr>
                    <w:t>495 762 317</w:t>
                  </w:r>
                </w:p>
                <w:p w14:paraId="30030ECC" w14:textId="77777777" w:rsidR="00AD7D0B" w:rsidRPr="004A61C5" w:rsidRDefault="00AD7D0B"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005B6E9F" w14:textId="77777777" w:rsidR="00AD7D0B" w:rsidRPr="004A61C5" w:rsidRDefault="00AD7D0B" w:rsidP="00825C4D">
                  <w:pPr>
                    <w:pStyle w:val="TLKontakty"/>
                    <w:spacing w:after="80" w:line="240" w:lineRule="auto"/>
                    <w:rPr>
                      <w:color w:val="auto"/>
                    </w:rPr>
                  </w:pPr>
                </w:p>
                <w:p w14:paraId="4EAF7A51" w14:textId="77777777" w:rsidR="00AD7D0B" w:rsidRPr="004A61C5" w:rsidRDefault="00AD7D0B" w:rsidP="00825C4D">
                  <w:pPr>
                    <w:pStyle w:val="TLKontakty"/>
                    <w:spacing w:after="80" w:line="240" w:lineRule="auto"/>
                    <w:rPr>
                      <w:b w:val="0"/>
                      <w:color w:val="auto"/>
                    </w:rPr>
                  </w:pPr>
                  <w:r w:rsidRPr="00D66223">
                    <w:t>Pardubice</w:t>
                  </w:r>
                  <w:r w:rsidRPr="004A61C5">
                    <w:rPr>
                      <w:b w:val="0"/>
                      <w:color w:val="auto"/>
                    </w:rPr>
                    <w:t xml:space="preserve"> | V Ráji 872, 531 53 Pardubice</w:t>
                  </w:r>
                  <w:r>
                    <w:rPr>
                      <w:b w:val="0"/>
                      <w:color w:val="auto"/>
                    </w:rPr>
                    <w:t xml:space="preserve">, </w:t>
                  </w:r>
                  <w:r w:rsidRPr="004A61C5">
                    <w:rPr>
                      <w:b w:val="0"/>
                      <w:color w:val="auto"/>
                    </w:rPr>
                    <w:t>tel.</w:t>
                  </w:r>
                  <w:r>
                    <w:rPr>
                      <w:b w:val="0"/>
                      <w:color w:val="auto"/>
                    </w:rPr>
                    <w:t>:</w:t>
                  </w:r>
                  <w:r w:rsidRPr="004A61C5">
                    <w:rPr>
                      <w:b w:val="0"/>
                      <w:color w:val="auto"/>
                    </w:rPr>
                    <w:t xml:space="preserve"> 466 743 480, 466 743 418</w:t>
                  </w:r>
                </w:p>
                <w:p w14:paraId="3CF443E1" w14:textId="77777777" w:rsidR="00AD7D0B" w:rsidRPr="004A61C5" w:rsidRDefault="00AD7D0B"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01DCD76C" w14:textId="77777777" w:rsidR="00AD7D0B" w:rsidRPr="004A61C5" w:rsidRDefault="00AD7D0B" w:rsidP="00825C4D">
                  <w:pPr>
                    <w:pStyle w:val="TLKontakty"/>
                    <w:spacing w:after="80" w:line="240" w:lineRule="auto"/>
                    <w:rPr>
                      <w:b w:val="0"/>
                      <w:color w:val="auto"/>
                    </w:rPr>
                  </w:pPr>
                </w:p>
                <w:p w14:paraId="1041050E" w14:textId="77777777" w:rsidR="00AD7D0B" w:rsidRPr="004A61C5" w:rsidRDefault="00AD7D0B" w:rsidP="00825C4D">
                  <w:pPr>
                    <w:pStyle w:val="TLKontakty"/>
                    <w:spacing w:after="80" w:line="240" w:lineRule="auto"/>
                    <w:rPr>
                      <w:b w:val="0"/>
                      <w:color w:val="auto"/>
                    </w:rPr>
                  </w:pPr>
                  <w:r w:rsidRPr="00D66223">
                    <w:t>Jihlava</w:t>
                  </w:r>
                  <w:r w:rsidRPr="004A61C5">
                    <w:rPr>
                      <w:b w:val="0"/>
                      <w:color w:val="auto"/>
                    </w:rPr>
                    <w:t xml:space="preserve"> | Ke Skalce 30,</w:t>
                  </w:r>
                  <w:r>
                    <w:rPr>
                      <w:b w:val="0"/>
                      <w:color w:val="auto"/>
                    </w:rPr>
                    <w:t xml:space="preserve"> 586 01 Jihlava, tel.: </w:t>
                  </w:r>
                  <w:r w:rsidRPr="004A61C5">
                    <w:rPr>
                      <w:b w:val="0"/>
                      <w:color w:val="auto"/>
                    </w:rPr>
                    <w:t xml:space="preserve">567 109 </w:t>
                  </w:r>
                  <w:r w:rsidRPr="00BC731E">
                    <w:rPr>
                      <w:b w:val="0"/>
                      <w:color w:val="auto"/>
                    </w:rPr>
                    <w:t>062, 567 109 073</w:t>
                  </w:r>
                </w:p>
                <w:p w14:paraId="296BB41E" w14:textId="77777777" w:rsidR="00AD7D0B" w:rsidRPr="004A61C5" w:rsidRDefault="00AD7D0B"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23E9BF10" w14:textId="77777777" w:rsidR="00AD7D0B" w:rsidRDefault="00AD7D0B" w:rsidP="00825C4D">
                  <w:pPr>
                    <w:pStyle w:val="TLKontakty"/>
                    <w:spacing w:after="80" w:line="240" w:lineRule="auto"/>
                  </w:pPr>
                </w:p>
                <w:p w14:paraId="59538C52" w14:textId="77777777" w:rsidR="00AD7D0B" w:rsidRPr="00BC731E" w:rsidRDefault="00AD7D0B" w:rsidP="00825C4D">
                  <w:pPr>
                    <w:pStyle w:val="TLKontakty"/>
                    <w:spacing w:after="80" w:line="240" w:lineRule="auto"/>
                    <w:rPr>
                      <w:b w:val="0"/>
                      <w:color w:val="auto"/>
                    </w:rPr>
                  </w:pPr>
                  <w:r w:rsidRPr="00D66223">
                    <w:t>Brno</w:t>
                  </w:r>
                  <w:r w:rsidRPr="004A61C5">
                    <w:rPr>
                      <w:b w:val="0"/>
                      <w:color w:val="auto"/>
                    </w:rPr>
                    <w:t xml:space="preserve"> | Jezuitská 2, 601 59 Brno, </w:t>
                  </w:r>
                  <w:r>
                    <w:rPr>
                      <w:b w:val="0"/>
                      <w:color w:val="auto"/>
                    </w:rPr>
                    <w:t xml:space="preserve">tel: </w:t>
                  </w:r>
                  <w:r w:rsidRPr="004A61C5">
                    <w:rPr>
                      <w:b w:val="0"/>
                      <w:color w:val="auto"/>
                    </w:rPr>
                    <w:t xml:space="preserve">542 528 </w:t>
                  </w:r>
                  <w:r w:rsidRPr="00BC731E">
                    <w:rPr>
                      <w:b w:val="0"/>
                      <w:color w:val="auto"/>
                    </w:rPr>
                    <w:t>115, 542 528 200</w:t>
                  </w:r>
                </w:p>
                <w:p w14:paraId="753B18E0" w14:textId="77777777" w:rsidR="00AD7D0B" w:rsidRPr="004A61C5" w:rsidRDefault="00AD7D0B"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7364993" w14:textId="77777777" w:rsidR="00AD7D0B" w:rsidRPr="004A61C5" w:rsidRDefault="00AD7D0B" w:rsidP="00825C4D">
                  <w:pPr>
                    <w:pStyle w:val="TLKontakty"/>
                    <w:spacing w:after="80" w:line="240" w:lineRule="auto"/>
                    <w:rPr>
                      <w:b w:val="0"/>
                      <w:color w:val="auto"/>
                    </w:rPr>
                  </w:pPr>
                </w:p>
                <w:p w14:paraId="78B18482" w14:textId="77777777" w:rsidR="00AD7D0B" w:rsidRPr="005E7C78" w:rsidRDefault="00AD7D0B" w:rsidP="00825C4D">
                  <w:pPr>
                    <w:pStyle w:val="TLKontakty"/>
                    <w:spacing w:after="80" w:line="240" w:lineRule="auto"/>
                    <w:rPr>
                      <w:b w:val="0"/>
                      <w:color w:val="auto"/>
                    </w:rPr>
                  </w:pPr>
                  <w:r w:rsidRPr="00D66223">
                    <w:t>Olomouc</w:t>
                  </w:r>
                  <w:r w:rsidRPr="005E7C78">
                    <w:rPr>
                      <w:b w:val="0"/>
                      <w:color w:val="auto"/>
                    </w:rPr>
                    <w:t xml:space="preserve"> | Jeremenkova 1142/42, 772 11 Olomouc, </w:t>
                  </w:r>
                  <w:r>
                    <w:rPr>
                      <w:b w:val="0"/>
                      <w:color w:val="auto"/>
                    </w:rPr>
                    <w:t xml:space="preserve">tel.: </w:t>
                  </w:r>
                  <w:r w:rsidRPr="005E7C78">
                    <w:rPr>
                      <w:b w:val="0"/>
                      <w:color w:val="auto"/>
                    </w:rPr>
                    <w:t xml:space="preserve">585 731 </w:t>
                  </w:r>
                  <w:r w:rsidRPr="00BC731E">
                    <w:rPr>
                      <w:b w:val="0"/>
                      <w:color w:val="auto"/>
                    </w:rPr>
                    <w:t>516, 585 731 511</w:t>
                  </w:r>
                </w:p>
                <w:p w14:paraId="4D357606" w14:textId="77777777" w:rsidR="00AD7D0B" w:rsidRPr="005E7C78" w:rsidRDefault="00AD7D0B"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16FD9554" w14:textId="77777777" w:rsidR="00AD7D0B" w:rsidRPr="005E7C78" w:rsidRDefault="00AD7D0B" w:rsidP="00825C4D">
                  <w:pPr>
                    <w:pStyle w:val="TLKontakty"/>
                    <w:spacing w:after="80" w:line="240" w:lineRule="auto"/>
                    <w:rPr>
                      <w:b w:val="0"/>
                      <w:color w:val="auto"/>
                    </w:rPr>
                  </w:pPr>
                </w:p>
                <w:p w14:paraId="1956867E" w14:textId="77777777" w:rsidR="00AD7D0B" w:rsidRPr="005E7C78" w:rsidRDefault="00AD7D0B" w:rsidP="00825C4D">
                  <w:pPr>
                    <w:pStyle w:val="TLKontakty"/>
                    <w:spacing w:after="80" w:line="240" w:lineRule="auto"/>
                    <w:rPr>
                      <w:b w:val="0"/>
                      <w:color w:val="auto"/>
                    </w:rPr>
                  </w:pPr>
                  <w:r w:rsidRPr="00D66223">
                    <w:t>Zlín</w:t>
                  </w:r>
                  <w:r w:rsidRPr="005E7C78">
                    <w:rPr>
                      <w:b w:val="0"/>
                      <w:color w:val="auto"/>
                    </w:rPr>
                    <w:t xml:space="preserve"> | tř. Tomáše Bati 1565, 761 76 Zlín, </w:t>
                  </w:r>
                  <w:r w:rsidRPr="00BC731E">
                    <w:rPr>
                      <w:b w:val="0"/>
                      <w:color w:val="auto"/>
                    </w:rPr>
                    <w:t>tel.: 577 004 932, 5</w:t>
                  </w:r>
                  <w:r w:rsidRPr="005E7C78">
                    <w:rPr>
                      <w:b w:val="0"/>
                      <w:color w:val="auto"/>
                    </w:rPr>
                    <w:t>77 004 935</w:t>
                  </w:r>
                </w:p>
                <w:p w14:paraId="2772547C" w14:textId="77777777" w:rsidR="00AD7D0B" w:rsidRDefault="00AD7D0B"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681FE22D" w14:textId="77777777" w:rsidR="00AD7D0B" w:rsidRPr="005E7C78" w:rsidRDefault="00AD7D0B" w:rsidP="00095135">
                  <w:pPr>
                    <w:pStyle w:val="TLKontakty"/>
                    <w:spacing w:after="80" w:line="240" w:lineRule="auto"/>
                    <w:rPr>
                      <w:b w:val="0"/>
                      <w:color w:val="auto"/>
                    </w:rPr>
                  </w:pPr>
                </w:p>
                <w:p w14:paraId="2A34BCFA" w14:textId="77777777" w:rsidR="00AD7D0B" w:rsidRPr="005E7C78" w:rsidRDefault="00AD7D0B" w:rsidP="00095135">
                  <w:pPr>
                    <w:pStyle w:val="TLKontakty"/>
                    <w:spacing w:after="80" w:line="240" w:lineRule="auto"/>
                    <w:rPr>
                      <w:b w:val="0"/>
                      <w:color w:val="auto"/>
                    </w:rPr>
                  </w:pPr>
                  <w:r w:rsidRPr="00D66223">
                    <w:t>Ostrava</w:t>
                  </w:r>
                  <w:r w:rsidRPr="005E7C78">
                    <w:rPr>
                      <w:b w:val="0"/>
                      <w:color w:val="auto"/>
                    </w:rPr>
                    <w:t xml:space="preserve"> | Repinova 17, 702 03 Ostrava,</w:t>
                  </w:r>
                  <w:r>
                    <w:rPr>
                      <w:b w:val="0"/>
                      <w:color w:val="auto"/>
                    </w:rPr>
                    <w:t xml:space="preserve"> tel.: </w:t>
                  </w:r>
                  <w:r w:rsidRPr="005E7C78">
                    <w:rPr>
                      <w:b w:val="0"/>
                      <w:color w:val="auto"/>
                    </w:rPr>
                    <w:t>595 131 230, 595 131 232</w:t>
                  </w:r>
                </w:p>
                <w:p w14:paraId="44429A7D" w14:textId="77777777" w:rsidR="00AD7D0B" w:rsidRPr="00095135" w:rsidRDefault="00AD7D0B"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w:r>
      <w:r>
        <w:rPr>
          <w:noProof/>
          <w:lang w:val="en-US" w:eastAsia="en-US"/>
        </w:rPr>
        <w:pict w14:anchorId="706E33AB">
          <v:shape id="_x0000_s1034" type="#_x0000_t202" style="position:absolute;left:0;text-align:left;margin-left:56.7pt;margin-top:747pt;width:481.9pt;height:28.35pt;z-index:251661824;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2SJLkCAAC2BQAADgAAAGRycy9lMm9Eb2MueG1srFRbbtswEPwv0DsQ/Ff0sKxYQuQgsa2iQPoA&#10;kh6AFimLqESqJG05LXqgnqMX65KybCdBgaKtPogVuZzd2R3u1fW+bdCOKc2lyHF4EWDERCkpF5sc&#10;f3oovBlG2hBBSSMFy/Ej0/h6/vrVVd9lLJK1bChTCECEzvoux7UxXeb7uqxZS/SF7JiAw0qqlhj4&#10;VRufKtIDetv4URAkfi8V7ZQsmdawuxwO8dzhVxUrzYeq0sygJseQm3Grcuvarv78imQbRbqal4c0&#10;yF9k0RIuIOgRakkMQVvFX0C1vFRSy8pclLL1ZVXxkjkOwCYMnrG5r0nHHBcoju6OZdL/D7Z8v/uo&#10;EKc5jiYYCdJCjx7Y3sjdzx+okw1Dka1R3+kMXO87cDb7W7mHXju+uruT5WeNhFzURGzYjVKyrxmh&#10;kGNob/pnVwccbUHW/TtJIRbZGumA9pVqbQGhJAjQoVePx/5APqiEzSSEIk3gqISzSRIE8dSFINl4&#10;u1PavGGyRdbIsYL+O3Syu9PGZkOy0cUGE7LgTeM00IgnG+A47EBsuGrPbBaupd/SIF3NVrPYi6Nk&#10;5cUBpd5NsYi9pAgvp8vJcrFYht9t3DDOak4pEzbMKK8w/rP2HYQ+COMoMC0bTi2cTUmrzXrRKLQj&#10;IO/CfYeCnLn5T9NwRQAuzyiFURzcRqlXJLNLL67iqZdeBjMvCNPbNAniNF4WTyndccH+nRLqc5xO&#10;o+kgpt9yC9z3khvJWm5ggDS8zfHs6EQyK8GVoK61hvBmsM9KYdM/lQLaPTbaCdZqdFCr2a/37n04&#10;qVkxryV9BAUrCQIDLcLwA6OW6itGPQySHOsvW6IYRs1bAa/ATp3RUKOxHg0iSriaY4PRYC7MMJ22&#10;neKbGpCHdybkDbyUijsRn7I4vC8YDo7LYZDZ6XP+77xO43b+CwAA//8DAFBLAwQUAAYACAAAACEA&#10;1duK+uIAAAAOAQAADwAAAGRycy9kb3ducmV2LnhtbEyPwU7DMBBE70j8g7VI3KjdkjY0xKkqBCck&#10;RBoOHJ3YTazG6xC7bfh7tqdym9E+zc7km8n17GTGYD1KmM8EMION1xZbCV/V28MTsBAVatV7NBJ+&#10;TYBNcXuTq0z7M5bmtIstoxAMmZLQxThknIemM06FmR8M0m3vR6ci2bHlelRnCnc9Xwix4k5ZpA+d&#10;GsxLZ5rD7ugkbL+xfLU/H/VnuS9tVa0Fvq8OUt7fTdtnYNFM8QrDpT5Vh4I61f6IOrCe/PwxIZRE&#10;sk5o1QURaboAVpNaLkUKvMj5/xnFHwAAAP//AwBQSwECLQAUAAYACAAAACEA5JnDwPsAAADhAQAA&#10;EwAAAAAAAAAAAAAAAAAAAAAAW0NvbnRlbnRfVHlwZXNdLnhtbFBLAQItABQABgAIAAAAIQAjsmrh&#10;1wAAAJQBAAALAAAAAAAAAAAAAAAAACwBAABfcmVscy8ucmVsc1BLAQItABQABgAIAAAAIQBS3ZIk&#10;uQIAALYFAAAOAAAAAAAAAAAAAAAAACwCAABkcnMvZTJvRG9jLnhtbFBLAQItABQABgAIAAAAIQDV&#10;24r64gAAAA4BAAAPAAAAAAAAAAAAAAAAABEFAABkcnMvZG93bnJldi54bWxQSwUGAAAAAAQABADz&#10;AAAAIAYAAAAA&#10;" filled="f" stroked="f">
            <v:textbox inset="0,0,0,0">
              <w:txbxContent>
                <w:p w14:paraId="4CE753BC" w14:textId="361FBE70" w:rsidR="00AD7D0B" w:rsidRPr="00321924" w:rsidRDefault="00AD7D0B" w:rsidP="00A16E1D">
                  <w:pPr>
                    <w:jc w:val="left"/>
                  </w:pPr>
                  <w:r w:rsidRPr="00321924">
                    <w:rPr>
                      <w:szCs w:val="26"/>
                    </w:rPr>
                    <w:t xml:space="preserve">ISBN </w:t>
                  </w:r>
                  <w:r w:rsidR="00A1260E">
                    <w:rPr>
                      <w:szCs w:val="26"/>
                    </w:rPr>
                    <w:t>978-80-250-2950-3</w:t>
                  </w:r>
                  <w:r w:rsidRPr="00321924">
                    <w:br/>
                    <w:t xml:space="preserve">© Český statistický úřad, </w:t>
                  </w:r>
                  <w:r>
                    <w:t>Praha, 2019</w:t>
                  </w:r>
                </w:p>
                <w:p w14:paraId="61843D05" w14:textId="77777777" w:rsidR="00AD7D0B" w:rsidRDefault="00AD7D0B"/>
                <w:p w14:paraId="2925CDF9" w14:textId="77777777" w:rsidR="00AD7D0B" w:rsidRPr="00841D9F" w:rsidRDefault="00AD7D0B" w:rsidP="000A3A2C">
                  <w:r w:rsidRPr="00841D9F">
                    <w:rPr>
                      <w:szCs w:val="26"/>
                    </w:rPr>
                    <w:t xml:space="preserve">ISBN XX-XXXX-XXX-X  </w:t>
                  </w:r>
                  <w:r w:rsidRPr="00841D9F">
                    <w:t>(pouze u nepravidelných a ročních publikací)</w:t>
                  </w:r>
                </w:p>
                <w:p w14:paraId="2A5B852D" w14:textId="77777777" w:rsidR="00AD7D0B" w:rsidRPr="00AF2852" w:rsidRDefault="00AD7D0B"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v:textbox>
            <w10:wrap anchorx="page" anchory="page"/>
            <w10:anchorlock/>
          </v:shape>
        </w:pict>
      </w:r>
      <w:r>
        <w:rPr>
          <w:noProof/>
          <w:lang w:val="en-US" w:eastAsia="en-US"/>
        </w:rPr>
        <w:pict w14:anchorId="4EC11065">
          <v:shape id="_x0000_s1033" type="#_x0000_t202" style="position:absolute;left:0;text-align:left;margin-left:56.95pt;margin-top:56.95pt;width:481.85pt;height:43.75pt;z-index:251660800;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mcnrcCAAC1BQAADgAAAGRycy9lMm9Eb2MueG1srFRbbtswEPwv0DsQ/Ff0qKRYQuQgsa2iQPoA&#10;kh6AFimLqESqJG05DXqgnqMX65KyHCdBgaKtPogVuZzd2R3uxeW+a9GOKc2lKHB4FmDERCUpF5sC&#10;f74rvRlG2hBBSSsFK/A90/hy/vrVxdDnLJKNbClTCECEzoe+wI0xfe77umpYR/SZ7JmAw1qqjhj4&#10;VRufKjIAetf6URCk/iAV7ZWsmNawuxwP8dzh1zWrzMe61sygtsCQm3Grcuvarv78guQbRfqGV4c0&#10;yF9k0REuIOgRakkMQVvFX0B1vFJSy9qcVbLzZV3zijkOwCYMnrG5bUjPHBcoju6PZdL/D7b6sPuk&#10;EKfQO4wE6aBFd2xv5O7nD9TLlqHIlmjodQ6etz34mv213Ft3S1f3N7L6opGQi4aIDbtSSg4NIxRS&#10;DO1N/+TqiKMtyHp4LynEIlsjHdC+Vp0FhIogQIdW3R/bA/mgCjbTMMziLMGogrMkSdIocSFIPt3u&#10;lTZvmeyQNQqsoP0OnexutLHZkHxyscGELHnbOgm04skGOI47EBuu2jObhevoQxZkq9lqFntxlK68&#10;OKDUuyoXsZeW4XmyfLNcLJbhdxs3jPOGU8qEDTOpK4z/rHsHnY+6OOpLy5ZTC2dT0mqzXrQK7Qio&#10;u3TfoSAnbv7TNFwRgMszSmEUB9dR5pXp7NyL6zjxsvNg5gVhdp2lQZzFy/IppRsu2L9TQkOBswT6&#10;6Oj8llvgvpfcSN5xA/Oj5V2BZ0cnklsJrgR1rTWEt6N9Ugqb/mMpoN1To51grUZHtZr9eu+eR2qj&#10;WzGvJb0HBSsJAgOZwuwDo5HqG0YDzJEC669bohhG7TsBr8AOnclQk7GeDCIquFpgg9FoLsw4nLa9&#10;4psGkKd3dgUvpeROxI9ZHN4XzAbH5TDH7PA5/Xdej9N2/gsAAP//AwBQSwMEFAAGAAgAAAAhAIKW&#10;7uDdAAAADAEAAA8AAABkcnMvZG93bnJldi54bWxMj7FOwzAQhvdKvIN1lVgqajuglIY4FUKwsFFY&#10;2Nz4SKLa5yh2k9Cnxx0QbPfrPv33XbmbnWUjDqHzpECuBTCk2puOGgUf7y8398BC1GS09YQKvjHA&#10;rrpalLowfqI3HPexYamEQqEVtDH2BeehbtHpsPY9Utp9+cHpmOLQcDPoKZU7yzMhcu50R+lCq3t8&#10;arE+7k9OQT4/96vXLWbTubYjfZ6ljCiVul7Ojw/AIs7xD4aLflKHKjkd/IlMYDZlebtN6O9wIcRm&#10;kwM7KMiEvANelfz/E9UPAAAA//8DAFBLAQItABQABgAIAAAAIQDkmcPA+wAAAOEBAAATAAAAAAAA&#10;AAAAAAAAAAAAAABbQ29udGVudF9UeXBlc10ueG1sUEsBAi0AFAAGAAgAAAAhACOyauHXAAAAlAEA&#10;AAsAAAAAAAAAAAAAAAAALAEAAF9yZWxzLy5yZWxzUEsBAi0AFAAGAAgAAAAhABLJnJ63AgAAtQUA&#10;AA4AAAAAAAAAAAAAAAAALAIAAGRycy9lMm9Eb2MueG1sUEsBAi0AFAAGAAgAAAAhAIKW7uDdAAAA&#10;DAEAAA8AAAAAAAAAAAAAAAAADwUAAGRycy9kb3ducmV2LnhtbFBLBQYAAAAABAAEAPMAAAAZBgAA&#10;AAA=&#10;" filled="f" stroked="f">
            <v:textbox style="mso-fit-shape-to-text:t" inset="0,0,0,0">
              <w:txbxContent>
                <w:p w14:paraId="6678977F" w14:textId="78FD00A8" w:rsidR="00AD7D0B" w:rsidRPr="009A1902" w:rsidRDefault="00AD7D0B" w:rsidP="000A3A2C">
                  <w:pPr>
                    <w:rPr>
                      <w:b/>
                      <w:bCs/>
                      <w:i/>
                      <w:sz w:val="24"/>
                    </w:rPr>
                  </w:pPr>
                  <w:r w:rsidRPr="00B95F50">
                    <w:rPr>
                      <w:b/>
                      <w:color w:val="0071BC"/>
                      <w:sz w:val="24"/>
                    </w:rPr>
                    <w:t xml:space="preserve">Zajímají </w:t>
                  </w:r>
                  <w:r>
                    <w:rPr>
                      <w:b/>
                      <w:color w:val="0071BC"/>
                      <w:sz w:val="24"/>
                    </w:rPr>
                    <w:t>v</w:t>
                  </w:r>
                  <w:r w:rsidRPr="00B95F50">
                    <w:rPr>
                      <w:b/>
                      <w:color w:val="0071BC"/>
                      <w:sz w:val="24"/>
                    </w:rPr>
                    <w:t xml:space="preserve">ás nejnovější údaje o inflaci, HDP, obyvatelstvu, průměrných mzdách </w:t>
                  </w:r>
                  <w:r>
                    <w:rPr>
                      <w:b/>
                      <w:color w:val="0071BC"/>
                      <w:sz w:val="24"/>
                    </w:rPr>
                    <w:br/>
                  </w:r>
                  <w:r w:rsidRPr="00B95F50">
                    <w:rPr>
                      <w:b/>
                      <w:color w:val="0071BC"/>
                      <w:sz w:val="24"/>
                    </w:rPr>
                    <w:t xml:space="preserve">a mnohé další? Najdete je na stránkách ČSÚ na internetu: </w:t>
                  </w:r>
                  <w:r>
                    <w:rPr>
                      <w:b/>
                      <w:bCs/>
                      <w:sz w:val="24"/>
                    </w:rPr>
                    <w:t>www.czso.cz.</w:t>
                  </w:r>
                </w:p>
              </w:txbxContent>
            </v:textbox>
            <w10:wrap anchorx="page" anchory="page"/>
            <w10:anchorlock/>
          </v:shape>
        </w:pict>
      </w:r>
    </w:p>
    <w:sdt>
      <w:sdtPr>
        <w:rPr>
          <w:b w:val="0"/>
          <w:color w:val="auto"/>
          <w:sz w:val="20"/>
        </w:rPr>
        <w:id w:val="5357999"/>
        <w:docPartObj>
          <w:docPartGallery w:val="Table of Contents"/>
          <w:docPartUnique/>
        </w:docPartObj>
      </w:sdtPr>
      <w:sdtEndPr/>
      <w:sdtContent>
        <w:p w14:paraId="2C9237F5" w14:textId="77777777" w:rsidR="00F46502" w:rsidRPr="00360DE3" w:rsidRDefault="00F46502" w:rsidP="00F46502">
          <w:pPr>
            <w:pStyle w:val="Obsah"/>
          </w:pPr>
          <w:r w:rsidRPr="00360DE3">
            <w:t>Obsah</w:t>
          </w:r>
        </w:p>
        <w:p w14:paraId="00796C9A" w14:textId="77777777" w:rsidR="00EA0840" w:rsidRDefault="00EA0840" w:rsidP="00EA0840">
          <w:pPr>
            <w:pStyle w:val="Obsah1"/>
          </w:pPr>
        </w:p>
        <w:p w14:paraId="54DA5E7E" w14:textId="3514A17B" w:rsidR="00C90F53" w:rsidRDefault="00A20028">
          <w:pPr>
            <w:pStyle w:val="Obsah1"/>
            <w:rPr>
              <w:rFonts w:asciiTheme="minorHAnsi" w:eastAsiaTheme="minorEastAsia" w:hAnsiTheme="minorHAnsi" w:cstheme="minorBidi"/>
              <w:sz w:val="22"/>
              <w:szCs w:val="22"/>
              <w:lang w:eastAsia="cs-CZ"/>
            </w:rPr>
          </w:pPr>
          <w:r w:rsidRPr="00360DE3">
            <w:fldChar w:fldCharType="begin"/>
          </w:r>
          <w:r w:rsidR="00F46502" w:rsidRPr="00360DE3">
            <w:instrText xml:space="preserve"> TOC \o "1-3" \h \z \u </w:instrText>
          </w:r>
          <w:r w:rsidRPr="00360DE3">
            <w:fldChar w:fldCharType="separate"/>
          </w:r>
          <w:hyperlink w:anchor="_Toc16586008" w:history="1">
            <w:r w:rsidR="00C90F53" w:rsidRPr="008B3FBD">
              <w:rPr>
                <w:rStyle w:val="Hypertextovodkaz"/>
              </w:rPr>
              <w:t>1. Shrnutí</w:t>
            </w:r>
            <w:r w:rsidR="00C90F53">
              <w:rPr>
                <w:webHidden/>
              </w:rPr>
              <w:tab/>
            </w:r>
            <w:r w:rsidR="00C90F53">
              <w:rPr>
                <w:webHidden/>
              </w:rPr>
              <w:fldChar w:fldCharType="begin"/>
            </w:r>
            <w:r w:rsidR="00C90F53">
              <w:rPr>
                <w:webHidden/>
              </w:rPr>
              <w:instrText xml:space="preserve"> PAGEREF _Toc16586008 \h </w:instrText>
            </w:r>
            <w:r w:rsidR="00C90F53">
              <w:rPr>
                <w:webHidden/>
              </w:rPr>
            </w:r>
            <w:r w:rsidR="00C90F53">
              <w:rPr>
                <w:webHidden/>
              </w:rPr>
              <w:fldChar w:fldCharType="separate"/>
            </w:r>
            <w:r w:rsidR="00C90F53">
              <w:rPr>
                <w:webHidden/>
              </w:rPr>
              <w:t>4</w:t>
            </w:r>
            <w:r w:rsidR="00C90F53">
              <w:rPr>
                <w:webHidden/>
              </w:rPr>
              <w:fldChar w:fldCharType="end"/>
            </w:r>
          </w:hyperlink>
        </w:p>
        <w:p w14:paraId="5867F1CC" w14:textId="7028C455" w:rsidR="00C90F53" w:rsidRDefault="00A01CA0">
          <w:pPr>
            <w:pStyle w:val="Obsah1"/>
            <w:rPr>
              <w:rFonts w:asciiTheme="minorHAnsi" w:eastAsiaTheme="minorEastAsia" w:hAnsiTheme="minorHAnsi" w:cstheme="minorBidi"/>
              <w:sz w:val="22"/>
              <w:szCs w:val="22"/>
              <w:lang w:eastAsia="cs-CZ"/>
            </w:rPr>
          </w:pPr>
          <w:hyperlink w:anchor="_Toc16586009" w:history="1">
            <w:r w:rsidR="00C90F53" w:rsidRPr="008B3FBD">
              <w:rPr>
                <w:rStyle w:val="Hypertextovodkaz"/>
              </w:rPr>
              <w:t>Souhrnná výkonnost ekonomiky</w:t>
            </w:r>
            <w:r w:rsidR="00C90F53">
              <w:rPr>
                <w:webHidden/>
              </w:rPr>
              <w:tab/>
            </w:r>
            <w:r w:rsidR="00C90F53">
              <w:rPr>
                <w:webHidden/>
              </w:rPr>
              <w:fldChar w:fldCharType="begin"/>
            </w:r>
            <w:r w:rsidR="00C90F53">
              <w:rPr>
                <w:webHidden/>
              </w:rPr>
              <w:instrText xml:space="preserve"> PAGEREF _Toc16586009 \h </w:instrText>
            </w:r>
            <w:r w:rsidR="00C90F53">
              <w:rPr>
                <w:webHidden/>
              </w:rPr>
            </w:r>
            <w:r w:rsidR="00C90F53">
              <w:rPr>
                <w:webHidden/>
              </w:rPr>
              <w:fldChar w:fldCharType="separate"/>
            </w:r>
            <w:r w:rsidR="00C90F53">
              <w:rPr>
                <w:webHidden/>
              </w:rPr>
              <w:t>5</w:t>
            </w:r>
            <w:r w:rsidR="00C90F53">
              <w:rPr>
                <w:webHidden/>
              </w:rPr>
              <w:fldChar w:fldCharType="end"/>
            </w:r>
          </w:hyperlink>
        </w:p>
        <w:p w14:paraId="26B3F9C6" w14:textId="6CE316D7" w:rsidR="00C90F53" w:rsidRDefault="00A01CA0">
          <w:pPr>
            <w:pStyle w:val="Obsah1"/>
            <w:rPr>
              <w:rFonts w:asciiTheme="minorHAnsi" w:eastAsiaTheme="minorEastAsia" w:hAnsiTheme="minorHAnsi" w:cstheme="minorBidi"/>
              <w:sz w:val="22"/>
              <w:szCs w:val="22"/>
              <w:lang w:eastAsia="cs-CZ"/>
            </w:rPr>
          </w:pPr>
          <w:hyperlink w:anchor="_Toc16586010" w:history="1">
            <w:r w:rsidR="00C90F53" w:rsidRPr="008B3FBD">
              <w:rPr>
                <w:rStyle w:val="Hypertextovodkaz"/>
              </w:rPr>
              <w:t>2. Hrubý domácí produkt</w:t>
            </w:r>
            <w:r w:rsidR="00C90F53">
              <w:rPr>
                <w:webHidden/>
              </w:rPr>
              <w:tab/>
            </w:r>
            <w:r w:rsidR="00C90F53">
              <w:rPr>
                <w:webHidden/>
              </w:rPr>
              <w:fldChar w:fldCharType="begin"/>
            </w:r>
            <w:r w:rsidR="00C90F53">
              <w:rPr>
                <w:webHidden/>
              </w:rPr>
              <w:instrText xml:space="preserve"> PAGEREF _Toc16586010 \h </w:instrText>
            </w:r>
            <w:r w:rsidR="00C90F53">
              <w:rPr>
                <w:webHidden/>
              </w:rPr>
            </w:r>
            <w:r w:rsidR="00C90F53">
              <w:rPr>
                <w:webHidden/>
              </w:rPr>
              <w:fldChar w:fldCharType="separate"/>
            </w:r>
            <w:r w:rsidR="00C90F53">
              <w:rPr>
                <w:webHidden/>
              </w:rPr>
              <w:t>5</w:t>
            </w:r>
            <w:r w:rsidR="00C90F53">
              <w:rPr>
                <w:webHidden/>
              </w:rPr>
              <w:fldChar w:fldCharType="end"/>
            </w:r>
          </w:hyperlink>
        </w:p>
        <w:p w14:paraId="6181F286" w14:textId="440AEF41" w:rsidR="00C90F53" w:rsidRDefault="00A01CA0">
          <w:pPr>
            <w:pStyle w:val="Obsah1"/>
            <w:rPr>
              <w:rFonts w:asciiTheme="minorHAnsi" w:eastAsiaTheme="minorEastAsia" w:hAnsiTheme="minorHAnsi" w:cstheme="minorBidi"/>
              <w:sz w:val="22"/>
              <w:szCs w:val="22"/>
              <w:lang w:eastAsia="cs-CZ"/>
            </w:rPr>
          </w:pPr>
          <w:hyperlink w:anchor="_Toc16586011" w:history="1">
            <w:r w:rsidR="00C90F53" w:rsidRPr="008B3FBD">
              <w:rPr>
                <w:rStyle w:val="Hypertextovodkaz"/>
              </w:rPr>
              <w:t>3. Vnější ekonomické vztahy</w:t>
            </w:r>
            <w:r w:rsidR="00C90F53">
              <w:rPr>
                <w:webHidden/>
              </w:rPr>
              <w:tab/>
            </w:r>
            <w:r w:rsidR="00C90F53">
              <w:rPr>
                <w:webHidden/>
              </w:rPr>
              <w:fldChar w:fldCharType="begin"/>
            </w:r>
            <w:r w:rsidR="00C90F53">
              <w:rPr>
                <w:webHidden/>
              </w:rPr>
              <w:instrText xml:space="preserve"> PAGEREF _Toc16586011 \h </w:instrText>
            </w:r>
            <w:r w:rsidR="00C90F53">
              <w:rPr>
                <w:webHidden/>
              </w:rPr>
            </w:r>
            <w:r w:rsidR="00C90F53">
              <w:rPr>
                <w:webHidden/>
              </w:rPr>
              <w:fldChar w:fldCharType="separate"/>
            </w:r>
            <w:r w:rsidR="00C90F53">
              <w:rPr>
                <w:webHidden/>
              </w:rPr>
              <w:t>7</w:t>
            </w:r>
            <w:r w:rsidR="00C90F53">
              <w:rPr>
                <w:webHidden/>
              </w:rPr>
              <w:fldChar w:fldCharType="end"/>
            </w:r>
          </w:hyperlink>
        </w:p>
        <w:p w14:paraId="5141F777" w14:textId="22D1A63E" w:rsidR="00C90F53" w:rsidRDefault="00A01CA0">
          <w:pPr>
            <w:pStyle w:val="Obsah1"/>
            <w:rPr>
              <w:rFonts w:asciiTheme="minorHAnsi" w:eastAsiaTheme="minorEastAsia" w:hAnsiTheme="minorHAnsi" w:cstheme="minorBidi"/>
              <w:sz w:val="22"/>
              <w:szCs w:val="22"/>
              <w:lang w:eastAsia="cs-CZ"/>
            </w:rPr>
          </w:pPr>
          <w:hyperlink w:anchor="_Toc16586012" w:history="1">
            <w:r w:rsidR="00C90F53" w:rsidRPr="008B3FBD">
              <w:rPr>
                <w:rStyle w:val="Hypertextovodkaz"/>
              </w:rPr>
              <w:t>4. Investice</w:t>
            </w:r>
            <w:r w:rsidR="00C90F53">
              <w:rPr>
                <w:webHidden/>
              </w:rPr>
              <w:tab/>
            </w:r>
            <w:r w:rsidR="00C90F53">
              <w:rPr>
                <w:webHidden/>
              </w:rPr>
              <w:fldChar w:fldCharType="begin"/>
            </w:r>
            <w:r w:rsidR="00C90F53">
              <w:rPr>
                <w:webHidden/>
              </w:rPr>
              <w:instrText xml:space="preserve"> PAGEREF _Toc16586012 \h </w:instrText>
            </w:r>
            <w:r w:rsidR="00C90F53">
              <w:rPr>
                <w:webHidden/>
              </w:rPr>
            </w:r>
            <w:r w:rsidR="00C90F53">
              <w:rPr>
                <w:webHidden/>
              </w:rPr>
              <w:fldChar w:fldCharType="separate"/>
            </w:r>
            <w:r w:rsidR="00C90F53">
              <w:rPr>
                <w:webHidden/>
              </w:rPr>
              <w:t>8</w:t>
            </w:r>
            <w:r w:rsidR="00C90F53">
              <w:rPr>
                <w:webHidden/>
              </w:rPr>
              <w:fldChar w:fldCharType="end"/>
            </w:r>
          </w:hyperlink>
        </w:p>
        <w:p w14:paraId="6ABF6293" w14:textId="5F6AF590" w:rsidR="00C90F53" w:rsidRDefault="00A01CA0">
          <w:pPr>
            <w:pStyle w:val="Obsah1"/>
            <w:rPr>
              <w:rFonts w:asciiTheme="minorHAnsi" w:eastAsiaTheme="minorEastAsia" w:hAnsiTheme="minorHAnsi" w:cstheme="minorBidi"/>
              <w:sz w:val="22"/>
              <w:szCs w:val="22"/>
              <w:lang w:eastAsia="cs-CZ"/>
            </w:rPr>
          </w:pPr>
          <w:hyperlink w:anchor="_Toc16586013" w:history="1">
            <w:r w:rsidR="00C90F53" w:rsidRPr="008B3FBD">
              <w:rPr>
                <w:rStyle w:val="Hypertextovodkaz"/>
              </w:rPr>
              <w:t>Institucionální sektory</w:t>
            </w:r>
            <w:r w:rsidR="00C90F53">
              <w:rPr>
                <w:webHidden/>
              </w:rPr>
              <w:tab/>
            </w:r>
            <w:r w:rsidR="00C90F53">
              <w:rPr>
                <w:webHidden/>
              </w:rPr>
              <w:fldChar w:fldCharType="begin"/>
            </w:r>
            <w:r w:rsidR="00C90F53">
              <w:rPr>
                <w:webHidden/>
              </w:rPr>
              <w:instrText xml:space="preserve"> PAGEREF _Toc16586013 \h </w:instrText>
            </w:r>
            <w:r w:rsidR="00C90F53">
              <w:rPr>
                <w:webHidden/>
              </w:rPr>
            </w:r>
            <w:r w:rsidR="00C90F53">
              <w:rPr>
                <w:webHidden/>
              </w:rPr>
              <w:fldChar w:fldCharType="separate"/>
            </w:r>
            <w:r w:rsidR="00C90F53">
              <w:rPr>
                <w:webHidden/>
              </w:rPr>
              <w:t>12</w:t>
            </w:r>
            <w:r w:rsidR="00C90F53">
              <w:rPr>
                <w:webHidden/>
              </w:rPr>
              <w:fldChar w:fldCharType="end"/>
            </w:r>
          </w:hyperlink>
        </w:p>
        <w:p w14:paraId="4B359325" w14:textId="17E92DB3" w:rsidR="00C90F53" w:rsidRDefault="00A01CA0">
          <w:pPr>
            <w:pStyle w:val="Obsah1"/>
            <w:rPr>
              <w:rFonts w:asciiTheme="minorHAnsi" w:eastAsiaTheme="minorEastAsia" w:hAnsiTheme="minorHAnsi" w:cstheme="minorBidi"/>
              <w:sz w:val="22"/>
              <w:szCs w:val="22"/>
              <w:lang w:eastAsia="cs-CZ"/>
            </w:rPr>
          </w:pPr>
          <w:hyperlink w:anchor="_Toc16586014" w:history="1">
            <w:r w:rsidR="00C90F53" w:rsidRPr="008B3FBD">
              <w:rPr>
                <w:rStyle w:val="Hypertextovodkaz"/>
              </w:rPr>
              <w:t>5. Nefinanční podniky</w:t>
            </w:r>
            <w:r w:rsidR="00C90F53">
              <w:rPr>
                <w:webHidden/>
              </w:rPr>
              <w:tab/>
            </w:r>
            <w:r w:rsidR="00C90F53">
              <w:rPr>
                <w:webHidden/>
              </w:rPr>
              <w:fldChar w:fldCharType="begin"/>
            </w:r>
            <w:r w:rsidR="00C90F53">
              <w:rPr>
                <w:webHidden/>
              </w:rPr>
              <w:instrText xml:space="preserve"> PAGEREF _Toc16586014 \h </w:instrText>
            </w:r>
            <w:r w:rsidR="00C90F53">
              <w:rPr>
                <w:webHidden/>
              </w:rPr>
            </w:r>
            <w:r w:rsidR="00C90F53">
              <w:rPr>
                <w:webHidden/>
              </w:rPr>
              <w:fldChar w:fldCharType="separate"/>
            </w:r>
            <w:r w:rsidR="00C90F53">
              <w:rPr>
                <w:webHidden/>
              </w:rPr>
              <w:t>12</w:t>
            </w:r>
            <w:r w:rsidR="00C90F53">
              <w:rPr>
                <w:webHidden/>
              </w:rPr>
              <w:fldChar w:fldCharType="end"/>
            </w:r>
          </w:hyperlink>
        </w:p>
        <w:p w14:paraId="615AC1F0" w14:textId="38817E25" w:rsidR="00C90F53" w:rsidRDefault="00A01CA0">
          <w:pPr>
            <w:pStyle w:val="Obsah1"/>
            <w:rPr>
              <w:rFonts w:asciiTheme="minorHAnsi" w:eastAsiaTheme="minorEastAsia" w:hAnsiTheme="minorHAnsi" w:cstheme="minorBidi"/>
              <w:sz w:val="22"/>
              <w:szCs w:val="22"/>
              <w:lang w:eastAsia="cs-CZ"/>
            </w:rPr>
          </w:pPr>
          <w:hyperlink w:anchor="_Toc16586015" w:history="1">
            <w:r w:rsidR="00C90F53" w:rsidRPr="008B3FBD">
              <w:rPr>
                <w:rStyle w:val="Hypertextovodkaz"/>
              </w:rPr>
              <w:t>6. Finanční instituce</w:t>
            </w:r>
            <w:r w:rsidR="00C90F53">
              <w:rPr>
                <w:webHidden/>
              </w:rPr>
              <w:tab/>
            </w:r>
            <w:r w:rsidR="00C90F53">
              <w:rPr>
                <w:webHidden/>
              </w:rPr>
              <w:fldChar w:fldCharType="begin"/>
            </w:r>
            <w:r w:rsidR="00C90F53">
              <w:rPr>
                <w:webHidden/>
              </w:rPr>
              <w:instrText xml:space="preserve"> PAGEREF _Toc16586015 \h </w:instrText>
            </w:r>
            <w:r w:rsidR="00C90F53">
              <w:rPr>
                <w:webHidden/>
              </w:rPr>
            </w:r>
            <w:r w:rsidR="00C90F53">
              <w:rPr>
                <w:webHidden/>
              </w:rPr>
              <w:fldChar w:fldCharType="separate"/>
            </w:r>
            <w:r w:rsidR="00C90F53">
              <w:rPr>
                <w:webHidden/>
              </w:rPr>
              <w:t>14</w:t>
            </w:r>
            <w:r w:rsidR="00C90F53">
              <w:rPr>
                <w:webHidden/>
              </w:rPr>
              <w:fldChar w:fldCharType="end"/>
            </w:r>
          </w:hyperlink>
        </w:p>
        <w:p w14:paraId="71CF09AC" w14:textId="15AF2B23" w:rsidR="00C90F53" w:rsidRDefault="00A01CA0">
          <w:pPr>
            <w:pStyle w:val="Obsah1"/>
            <w:rPr>
              <w:rFonts w:asciiTheme="minorHAnsi" w:eastAsiaTheme="minorEastAsia" w:hAnsiTheme="minorHAnsi" w:cstheme="minorBidi"/>
              <w:sz w:val="22"/>
              <w:szCs w:val="22"/>
              <w:lang w:eastAsia="cs-CZ"/>
            </w:rPr>
          </w:pPr>
          <w:hyperlink w:anchor="_Toc16586016" w:history="1">
            <w:r w:rsidR="00C90F53" w:rsidRPr="008B3FBD">
              <w:rPr>
                <w:rStyle w:val="Hypertextovodkaz"/>
              </w:rPr>
              <w:t>7. Hospodaření vládních institucí</w:t>
            </w:r>
            <w:r w:rsidR="00C90F53">
              <w:rPr>
                <w:webHidden/>
              </w:rPr>
              <w:tab/>
            </w:r>
            <w:r w:rsidR="00C90F53">
              <w:rPr>
                <w:webHidden/>
              </w:rPr>
              <w:fldChar w:fldCharType="begin"/>
            </w:r>
            <w:r w:rsidR="00C90F53">
              <w:rPr>
                <w:webHidden/>
              </w:rPr>
              <w:instrText xml:space="preserve"> PAGEREF _Toc16586016 \h </w:instrText>
            </w:r>
            <w:r w:rsidR="00C90F53">
              <w:rPr>
                <w:webHidden/>
              </w:rPr>
            </w:r>
            <w:r w:rsidR="00C90F53">
              <w:rPr>
                <w:webHidden/>
              </w:rPr>
              <w:fldChar w:fldCharType="separate"/>
            </w:r>
            <w:r w:rsidR="00C90F53">
              <w:rPr>
                <w:webHidden/>
              </w:rPr>
              <w:t>16</w:t>
            </w:r>
            <w:r w:rsidR="00C90F53">
              <w:rPr>
                <w:webHidden/>
              </w:rPr>
              <w:fldChar w:fldCharType="end"/>
            </w:r>
          </w:hyperlink>
        </w:p>
        <w:p w14:paraId="2EB3047F" w14:textId="07D992E5" w:rsidR="00C90F53" w:rsidRDefault="00A01CA0">
          <w:pPr>
            <w:pStyle w:val="Obsah1"/>
            <w:rPr>
              <w:rFonts w:asciiTheme="minorHAnsi" w:eastAsiaTheme="minorEastAsia" w:hAnsiTheme="minorHAnsi" w:cstheme="minorBidi"/>
              <w:sz w:val="22"/>
              <w:szCs w:val="22"/>
              <w:lang w:eastAsia="cs-CZ"/>
            </w:rPr>
          </w:pPr>
          <w:hyperlink w:anchor="_Toc16586017" w:history="1">
            <w:r w:rsidR="00C90F53" w:rsidRPr="008B3FBD">
              <w:rPr>
                <w:rStyle w:val="Hypertextovodkaz"/>
              </w:rPr>
              <w:t>8. Domácnosti</w:t>
            </w:r>
            <w:r w:rsidR="00C90F53">
              <w:rPr>
                <w:webHidden/>
              </w:rPr>
              <w:tab/>
            </w:r>
            <w:r w:rsidR="00C90F53">
              <w:rPr>
                <w:webHidden/>
              </w:rPr>
              <w:fldChar w:fldCharType="begin"/>
            </w:r>
            <w:r w:rsidR="00C90F53">
              <w:rPr>
                <w:webHidden/>
              </w:rPr>
              <w:instrText xml:space="preserve"> PAGEREF _Toc16586017 \h </w:instrText>
            </w:r>
            <w:r w:rsidR="00C90F53">
              <w:rPr>
                <w:webHidden/>
              </w:rPr>
            </w:r>
            <w:r w:rsidR="00C90F53">
              <w:rPr>
                <w:webHidden/>
              </w:rPr>
              <w:fldChar w:fldCharType="separate"/>
            </w:r>
            <w:r w:rsidR="00C90F53">
              <w:rPr>
                <w:webHidden/>
              </w:rPr>
              <w:t>20</w:t>
            </w:r>
            <w:r w:rsidR="00C90F53">
              <w:rPr>
                <w:webHidden/>
              </w:rPr>
              <w:fldChar w:fldCharType="end"/>
            </w:r>
          </w:hyperlink>
        </w:p>
        <w:p w14:paraId="24C03D1A" w14:textId="77FDAC1B" w:rsidR="00C90F53" w:rsidRDefault="00A01CA0">
          <w:pPr>
            <w:pStyle w:val="Obsah2"/>
            <w:rPr>
              <w:rFonts w:asciiTheme="minorHAnsi" w:eastAsiaTheme="minorEastAsia" w:hAnsiTheme="minorHAnsi" w:cstheme="minorBidi"/>
              <w:noProof/>
              <w:sz w:val="22"/>
              <w:szCs w:val="22"/>
            </w:rPr>
          </w:pPr>
          <w:hyperlink w:anchor="_Toc16586018" w:history="1">
            <w:r w:rsidR="00C90F53" w:rsidRPr="008B3FBD">
              <w:rPr>
                <w:rStyle w:val="Hypertextovodkaz"/>
                <w:noProof/>
              </w:rPr>
              <w:t>8.1 Příjmy domácností</w:t>
            </w:r>
            <w:r w:rsidR="00C90F53">
              <w:rPr>
                <w:noProof/>
                <w:webHidden/>
              </w:rPr>
              <w:tab/>
            </w:r>
            <w:r w:rsidR="00C90F53">
              <w:rPr>
                <w:noProof/>
                <w:webHidden/>
              </w:rPr>
              <w:fldChar w:fldCharType="begin"/>
            </w:r>
            <w:r w:rsidR="00C90F53">
              <w:rPr>
                <w:noProof/>
                <w:webHidden/>
              </w:rPr>
              <w:instrText xml:space="preserve"> PAGEREF _Toc16586018 \h </w:instrText>
            </w:r>
            <w:r w:rsidR="00C90F53">
              <w:rPr>
                <w:noProof/>
                <w:webHidden/>
              </w:rPr>
            </w:r>
            <w:r w:rsidR="00C90F53">
              <w:rPr>
                <w:noProof/>
                <w:webHidden/>
              </w:rPr>
              <w:fldChar w:fldCharType="separate"/>
            </w:r>
            <w:r w:rsidR="00C90F53">
              <w:rPr>
                <w:noProof/>
                <w:webHidden/>
              </w:rPr>
              <w:t>20</w:t>
            </w:r>
            <w:r w:rsidR="00C90F53">
              <w:rPr>
                <w:noProof/>
                <w:webHidden/>
              </w:rPr>
              <w:fldChar w:fldCharType="end"/>
            </w:r>
          </w:hyperlink>
        </w:p>
        <w:p w14:paraId="7DF4D46D" w14:textId="59764DB9" w:rsidR="00C90F53" w:rsidRDefault="00A01CA0">
          <w:pPr>
            <w:pStyle w:val="Obsah2"/>
            <w:rPr>
              <w:rFonts w:asciiTheme="minorHAnsi" w:eastAsiaTheme="minorEastAsia" w:hAnsiTheme="minorHAnsi" w:cstheme="minorBidi"/>
              <w:noProof/>
              <w:sz w:val="22"/>
              <w:szCs w:val="22"/>
            </w:rPr>
          </w:pPr>
          <w:hyperlink w:anchor="_Toc16586019" w:history="1">
            <w:r w:rsidR="00C90F53" w:rsidRPr="008B3FBD">
              <w:rPr>
                <w:rStyle w:val="Hypertextovodkaz"/>
                <w:noProof/>
              </w:rPr>
              <w:t>8.2 Výdaje domácností</w:t>
            </w:r>
            <w:r w:rsidR="00C90F53">
              <w:rPr>
                <w:noProof/>
                <w:webHidden/>
              </w:rPr>
              <w:tab/>
            </w:r>
            <w:r w:rsidR="00C90F53">
              <w:rPr>
                <w:noProof/>
                <w:webHidden/>
              </w:rPr>
              <w:fldChar w:fldCharType="begin"/>
            </w:r>
            <w:r w:rsidR="00C90F53">
              <w:rPr>
                <w:noProof/>
                <w:webHidden/>
              </w:rPr>
              <w:instrText xml:space="preserve"> PAGEREF _Toc16586019 \h </w:instrText>
            </w:r>
            <w:r w:rsidR="00C90F53">
              <w:rPr>
                <w:noProof/>
                <w:webHidden/>
              </w:rPr>
            </w:r>
            <w:r w:rsidR="00C90F53">
              <w:rPr>
                <w:noProof/>
                <w:webHidden/>
              </w:rPr>
              <w:fldChar w:fldCharType="separate"/>
            </w:r>
            <w:r w:rsidR="00C90F53">
              <w:rPr>
                <w:noProof/>
                <w:webHidden/>
              </w:rPr>
              <w:t>22</w:t>
            </w:r>
            <w:r w:rsidR="00C90F53">
              <w:rPr>
                <w:noProof/>
                <w:webHidden/>
              </w:rPr>
              <w:fldChar w:fldCharType="end"/>
            </w:r>
          </w:hyperlink>
        </w:p>
        <w:p w14:paraId="5778653F" w14:textId="1D39FE38" w:rsidR="00F46502" w:rsidRPr="00360DE3" w:rsidRDefault="00A20028" w:rsidP="00F46502">
          <w:r w:rsidRPr="00360DE3">
            <w:fldChar w:fldCharType="end"/>
          </w:r>
        </w:p>
      </w:sdtContent>
    </w:sdt>
    <w:p w14:paraId="40D10A0A" w14:textId="77777777" w:rsidR="00F46502" w:rsidRPr="00360DE3" w:rsidRDefault="00F46502" w:rsidP="00F46502">
      <w:pPr>
        <w:pStyle w:val="Textpoznpodarou"/>
        <w:jc w:val="both"/>
        <w:rPr>
          <w:rFonts w:cs="Arial"/>
          <w:color w:val="000000"/>
        </w:rPr>
      </w:pPr>
    </w:p>
    <w:p w14:paraId="2E7AE78B" w14:textId="77777777" w:rsidR="00F46502" w:rsidRPr="00360DE3" w:rsidRDefault="00F46502" w:rsidP="00F46502">
      <w:pPr>
        <w:pStyle w:val="Textpoznpodarou"/>
        <w:jc w:val="both"/>
        <w:rPr>
          <w:rFonts w:cs="Arial"/>
          <w:color w:val="000000"/>
        </w:rPr>
      </w:pPr>
    </w:p>
    <w:p w14:paraId="3C118508" w14:textId="77777777" w:rsidR="00F46502" w:rsidRPr="00360DE3" w:rsidRDefault="00F46502" w:rsidP="00F46502">
      <w:pPr>
        <w:pStyle w:val="Textpoznpodarou"/>
        <w:jc w:val="both"/>
        <w:rPr>
          <w:rFonts w:cs="Arial"/>
          <w:color w:val="000000"/>
        </w:rPr>
      </w:pPr>
    </w:p>
    <w:p w14:paraId="07294CF7" w14:textId="77777777" w:rsidR="00F46502" w:rsidRPr="00360DE3" w:rsidRDefault="00F46502" w:rsidP="00F46502">
      <w:pPr>
        <w:pStyle w:val="Textpoznpodarou"/>
        <w:jc w:val="both"/>
        <w:rPr>
          <w:rFonts w:cs="Arial"/>
          <w:color w:val="000000"/>
        </w:rPr>
      </w:pPr>
    </w:p>
    <w:p w14:paraId="567A5707" w14:textId="77777777" w:rsidR="00F46502" w:rsidRPr="00360DE3" w:rsidRDefault="00F46502" w:rsidP="00F46502">
      <w:pPr>
        <w:pStyle w:val="Textpoznpodarou"/>
        <w:jc w:val="both"/>
        <w:rPr>
          <w:rFonts w:cs="Arial"/>
          <w:color w:val="000000"/>
        </w:rPr>
      </w:pPr>
    </w:p>
    <w:p w14:paraId="2E698355" w14:textId="77777777" w:rsidR="00F46502" w:rsidRPr="00360DE3" w:rsidRDefault="00F46502" w:rsidP="00F46502">
      <w:pPr>
        <w:pStyle w:val="Textpoznpodarou"/>
        <w:jc w:val="both"/>
        <w:rPr>
          <w:rFonts w:cs="Arial"/>
          <w:color w:val="000000"/>
        </w:rPr>
      </w:pPr>
    </w:p>
    <w:p w14:paraId="20E01AEA" w14:textId="40FAF42C" w:rsidR="00F46502" w:rsidRPr="00360DE3" w:rsidRDefault="00241035" w:rsidP="00F46502">
      <w:pPr>
        <w:pStyle w:val="Textpoznpodarou"/>
        <w:jc w:val="both"/>
        <w:rPr>
          <w:rFonts w:cs="Arial"/>
          <w:color w:val="000000"/>
        </w:rPr>
      </w:pPr>
      <w:r>
        <w:rPr>
          <w:rFonts w:cs="Arial"/>
          <w:color w:val="000000"/>
        </w:rPr>
        <w:t>Zdroje dat v celé analýze: ČSÚ,</w:t>
      </w:r>
      <w:r w:rsidR="00F46502" w:rsidRPr="00360DE3">
        <w:rPr>
          <w:rFonts w:cs="Arial"/>
          <w:color w:val="000000"/>
        </w:rPr>
        <w:t xml:space="preserve"> Eurostat, propočty ČSÚ.</w:t>
      </w:r>
    </w:p>
    <w:p w14:paraId="50753DFA" w14:textId="77777777" w:rsidR="00F46502" w:rsidRPr="00360DE3" w:rsidRDefault="00F46502" w:rsidP="00F46502">
      <w:pPr>
        <w:pStyle w:val="Textpoznpodarou"/>
        <w:jc w:val="both"/>
        <w:rPr>
          <w:rFonts w:cs="Arial"/>
          <w:color w:val="000000"/>
        </w:rPr>
      </w:pPr>
      <w:r w:rsidRPr="00360DE3">
        <w:rPr>
          <w:rFonts w:cs="Arial"/>
          <w:color w:val="000000"/>
        </w:rPr>
        <w:t xml:space="preserve">Poslední informace uváděné v této publikaci pocházejí </w:t>
      </w:r>
      <w:r w:rsidR="00BC0E31">
        <w:rPr>
          <w:rFonts w:cs="Arial"/>
          <w:color w:val="000000"/>
        </w:rPr>
        <w:t>z</w:t>
      </w:r>
      <w:r w:rsidR="00B97434">
        <w:rPr>
          <w:rFonts w:cs="Arial"/>
          <w:color w:val="000000"/>
        </w:rPr>
        <w:t> 1.</w:t>
      </w:r>
      <w:r w:rsidR="00833BF2" w:rsidRPr="00833BF2">
        <w:rPr>
          <w:rFonts w:cs="Arial"/>
          <w:color w:val="000000"/>
        </w:rPr>
        <w:t> </w:t>
      </w:r>
      <w:r w:rsidR="00B97434">
        <w:rPr>
          <w:rFonts w:cs="Arial"/>
          <w:color w:val="000000"/>
        </w:rPr>
        <w:t>července</w:t>
      </w:r>
      <w:r w:rsidRPr="00833BF2">
        <w:rPr>
          <w:rFonts w:cs="Arial"/>
          <w:color w:val="000000"/>
        </w:rPr>
        <w:t xml:space="preserve"> 201</w:t>
      </w:r>
      <w:r w:rsidR="00B97434">
        <w:rPr>
          <w:rFonts w:cs="Arial"/>
          <w:color w:val="000000"/>
        </w:rPr>
        <w:t>9</w:t>
      </w:r>
      <w:r w:rsidRPr="00833BF2">
        <w:rPr>
          <w:rFonts w:cs="Arial"/>
          <w:color w:val="000000"/>
        </w:rPr>
        <w:t>.</w:t>
      </w:r>
    </w:p>
    <w:p w14:paraId="3CD777C9" w14:textId="4F678C63" w:rsidR="00EE4B1B" w:rsidRPr="00360DE3" w:rsidRDefault="00F46502" w:rsidP="00F46502">
      <w:pPr>
        <w:pStyle w:val="Nadpis11"/>
      </w:pPr>
      <w:r w:rsidRPr="00360DE3">
        <w:br w:type="page"/>
      </w:r>
      <w:bookmarkStart w:id="1" w:name="_Toc16586008"/>
      <w:r w:rsidR="003852A9">
        <w:lastRenderedPageBreak/>
        <w:t xml:space="preserve">1. </w:t>
      </w:r>
      <w:r w:rsidRPr="00360DE3">
        <w:t>Shrnutí</w:t>
      </w:r>
      <w:bookmarkEnd w:id="1"/>
    </w:p>
    <w:p w14:paraId="311B3D4D" w14:textId="77777777" w:rsidR="00953F28" w:rsidRDefault="00953F28" w:rsidP="00067A82">
      <w:pPr>
        <w:pStyle w:val="Normalodrka"/>
        <w:spacing w:after="160"/>
        <w:rPr>
          <w:spacing w:val="-4"/>
        </w:rPr>
      </w:pPr>
      <w:r>
        <w:rPr>
          <w:spacing w:val="-4"/>
        </w:rPr>
        <w:t>V roce 2018 reálně vzrostl hrubý domácí produkt (HDP) o 3,0</w:t>
      </w:r>
      <w:r w:rsidR="001D51EB">
        <w:rPr>
          <w:spacing w:val="-4"/>
        </w:rPr>
        <w:t> %</w:t>
      </w:r>
      <w:r>
        <w:rPr>
          <w:spacing w:val="-4"/>
        </w:rPr>
        <w:t>. Ekonomiku poháněla především domácí poptávka. Slab</w:t>
      </w:r>
      <w:r w:rsidR="000500AB">
        <w:rPr>
          <w:spacing w:val="-4"/>
        </w:rPr>
        <w:t>š</w:t>
      </w:r>
      <w:r>
        <w:rPr>
          <w:spacing w:val="-4"/>
        </w:rPr>
        <w:t xml:space="preserve">í vliv na růst v porovnání s předchozími lety měla bilance zahraničního obchodu. Hospodářské zpomalení v některých významných ekonomikách Evropské unie se totiž negativně projevovalo na </w:t>
      </w:r>
      <w:r w:rsidR="006254CB">
        <w:rPr>
          <w:spacing w:val="-4"/>
        </w:rPr>
        <w:t>části domácího</w:t>
      </w:r>
      <w:r>
        <w:rPr>
          <w:spacing w:val="-4"/>
        </w:rPr>
        <w:t xml:space="preserve"> vývozu. Zároveň byl silný růst domácí spotřební i investiční poptávky zčásti saturován dovozem, což dále zhoršovalo bilanci. </w:t>
      </w:r>
    </w:p>
    <w:p w14:paraId="7D0B804C" w14:textId="77777777" w:rsidR="00953F28" w:rsidRDefault="001A5387" w:rsidP="00067A82">
      <w:pPr>
        <w:pStyle w:val="Normalodrka"/>
        <w:spacing w:after="160"/>
        <w:rPr>
          <w:spacing w:val="-4"/>
        </w:rPr>
      </w:pPr>
      <w:r>
        <w:rPr>
          <w:spacing w:val="-4"/>
        </w:rPr>
        <w:t>Ačkoli hodnota vývozu zboží a služeb loni vzrostla o 153,0</w:t>
      </w:r>
      <w:r w:rsidR="001F138C">
        <w:rPr>
          <w:spacing w:val="-4"/>
        </w:rPr>
        <w:t> mld.</w:t>
      </w:r>
      <w:r>
        <w:rPr>
          <w:spacing w:val="-4"/>
        </w:rPr>
        <w:t xml:space="preserve"> korun, výsledná bilance zahraničního obchodu se zhoršila. Přebytek dosáhl 340,1</w:t>
      </w:r>
      <w:r w:rsidR="001F138C">
        <w:rPr>
          <w:spacing w:val="-4"/>
        </w:rPr>
        <w:t> mld.</w:t>
      </w:r>
      <w:r>
        <w:rPr>
          <w:spacing w:val="-4"/>
        </w:rPr>
        <w:t xml:space="preserve"> korun, což je o 39,6</w:t>
      </w:r>
      <w:r w:rsidR="001F138C">
        <w:rPr>
          <w:spacing w:val="-4"/>
        </w:rPr>
        <w:t> mld.</w:t>
      </w:r>
      <w:r>
        <w:rPr>
          <w:spacing w:val="-4"/>
        </w:rPr>
        <w:t xml:space="preserve"> méně než v předchozím roce.</w:t>
      </w:r>
      <w:r w:rsidR="00A27C85">
        <w:rPr>
          <w:spacing w:val="-4"/>
        </w:rPr>
        <w:t xml:space="preserve"> Zmírnilo se však záporné saldo prvotních důchodů. </w:t>
      </w:r>
      <w:r w:rsidR="00C8418E">
        <w:rPr>
          <w:spacing w:val="-4"/>
        </w:rPr>
        <w:t>Snížil</w:t>
      </w:r>
      <w:r w:rsidR="00A27C85">
        <w:rPr>
          <w:spacing w:val="-4"/>
        </w:rPr>
        <w:t xml:space="preserve"> se totiž čistý odliv</w:t>
      </w:r>
      <w:r w:rsidR="007F661C">
        <w:rPr>
          <w:spacing w:val="-4"/>
        </w:rPr>
        <w:t xml:space="preserve"> důchodů z vlastnictví do zahraničí. </w:t>
      </w:r>
      <w:r w:rsidR="00C8418E">
        <w:rPr>
          <w:spacing w:val="-4"/>
        </w:rPr>
        <w:t>Čistý příliv kapitálových transferů se zvýšil na 58,8</w:t>
      </w:r>
      <w:r w:rsidR="001F138C">
        <w:rPr>
          <w:spacing w:val="-4"/>
        </w:rPr>
        <w:t> mld.</w:t>
      </w:r>
      <w:r w:rsidR="00C8418E">
        <w:rPr>
          <w:spacing w:val="-4"/>
        </w:rPr>
        <w:t xml:space="preserve"> korun. Silný byl příliv investičních dotací (61,4</w:t>
      </w:r>
      <w:r w:rsidR="001F138C">
        <w:rPr>
          <w:spacing w:val="-4"/>
        </w:rPr>
        <w:t> mld.</w:t>
      </w:r>
      <w:r w:rsidR="00C8418E">
        <w:rPr>
          <w:spacing w:val="-4"/>
        </w:rPr>
        <w:t xml:space="preserve"> korun).</w:t>
      </w:r>
    </w:p>
    <w:p w14:paraId="3D45CED5" w14:textId="57183B29" w:rsidR="00953F28" w:rsidRDefault="00C8418E" w:rsidP="00067A82">
      <w:pPr>
        <w:pStyle w:val="Normalodrka"/>
        <w:spacing w:after="160"/>
        <w:rPr>
          <w:spacing w:val="-4"/>
        </w:rPr>
      </w:pPr>
      <w:r>
        <w:rPr>
          <w:spacing w:val="-4"/>
        </w:rPr>
        <w:t xml:space="preserve">Investiční aktivita loni </w:t>
      </w:r>
      <w:r w:rsidR="00BC7075">
        <w:rPr>
          <w:spacing w:val="-4"/>
        </w:rPr>
        <w:t xml:space="preserve">přispívala </w:t>
      </w:r>
      <w:r>
        <w:rPr>
          <w:spacing w:val="-4"/>
        </w:rPr>
        <w:t xml:space="preserve">k růstu HDP. Výdaje na tvorbu hrubého fixního kapitálu </w:t>
      </w:r>
      <w:r w:rsidR="006863B2">
        <w:rPr>
          <w:spacing w:val="-4"/>
        </w:rPr>
        <w:t>se meziročně zvýšily o</w:t>
      </w:r>
      <w:r w:rsidR="00347604">
        <w:rPr>
          <w:spacing w:val="-4"/>
        </w:rPr>
        <w:t> </w:t>
      </w:r>
      <w:r w:rsidR="006863B2">
        <w:rPr>
          <w:spacing w:val="-4"/>
        </w:rPr>
        <w:t>108,1</w:t>
      </w:r>
      <w:r w:rsidR="001F138C">
        <w:rPr>
          <w:spacing w:val="-4"/>
        </w:rPr>
        <w:t> mld.</w:t>
      </w:r>
      <w:r w:rsidR="006863B2">
        <w:rPr>
          <w:spacing w:val="-4"/>
        </w:rPr>
        <w:t xml:space="preserve"> korun a</w:t>
      </w:r>
      <w:r w:rsidR="00347604">
        <w:rPr>
          <w:spacing w:val="-4"/>
        </w:rPr>
        <w:t> </w:t>
      </w:r>
      <w:r w:rsidR="006863B2">
        <w:rPr>
          <w:spacing w:val="-4"/>
        </w:rPr>
        <w:t xml:space="preserve">s výjimkou finančních institucí rostly napříč všemi sektory. Nejvíce ale loňský nárůst poháněly nefinanční podniky a sektor vládních institucí. To se projevovalo i na věcné struktuře investic. </w:t>
      </w:r>
      <w:r w:rsidR="001B28D3">
        <w:rPr>
          <w:spacing w:val="-4"/>
        </w:rPr>
        <w:t>N</w:t>
      </w:r>
      <w:r w:rsidR="006863B2">
        <w:rPr>
          <w:spacing w:val="-4"/>
        </w:rPr>
        <w:t xml:space="preserve">arůstaly </w:t>
      </w:r>
      <w:r w:rsidR="001B28D3">
        <w:rPr>
          <w:spacing w:val="-4"/>
        </w:rPr>
        <w:t xml:space="preserve">především </w:t>
      </w:r>
      <w:r w:rsidR="006863B2">
        <w:rPr>
          <w:spacing w:val="-4"/>
        </w:rPr>
        <w:t>výdaje na stroje a zařízení a na ostatní budovy a stavby.</w:t>
      </w:r>
    </w:p>
    <w:p w14:paraId="3A1C9885" w14:textId="20308261" w:rsidR="00D92FD1" w:rsidRDefault="001671FF" w:rsidP="00A54250">
      <w:pPr>
        <w:pStyle w:val="Normalodrka"/>
        <w:spacing w:after="160"/>
        <w:rPr>
          <w:spacing w:val="-4"/>
        </w:rPr>
      </w:pPr>
      <w:r w:rsidRPr="00D92FD1">
        <w:rPr>
          <w:spacing w:val="-4"/>
        </w:rPr>
        <w:t>Růst hrubé přidané hodnoty (HPH) nefinančních podniků loni oslabil v porovnání s předchozím rokem. Důvodem byl zejména slabší výkon průmyslových odvětví závislých na exportu. Pokles HPH zaznamenala například výroba motorových vozidel. Naproti tomu pr</w:t>
      </w:r>
      <w:r w:rsidR="00596F92">
        <w:rPr>
          <w:spacing w:val="-4"/>
        </w:rPr>
        <w:t>osperovala odvětví služeb, které</w:t>
      </w:r>
      <w:r w:rsidRPr="00D92FD1">
        <w:rPr>
          <w:spacing w:val="-4"/>
        </w:rPr>
        <w:t xml:space="preserve"> podpořila rostoucí domácí poptávka.</w:t>
      </w:r>
      <w:r w:rsidR="00D92FD1" w:rsidRPr="00D92FD1">
        <w:rPr>
          <w:spacing w:val="-4"/>
        </w:rPr>
        <w:t xml:space="preserve"> </w:t>
      </w:r>
      <w:r w:rsidR="00596F92">
        <w:rPr>
          <w:spacing w:val="-4"/>
        </w:rPr>
        <w:t xml:space="preserve">Stavebnictví </w:t>
      </w:r>
      <w:r w:rsidR="006254CB">
        <w:rPr>
          <w:spacing w:val="-4"/>
        </w:rPr>
        <w:t xml:space="preserve">se </w:t>
      </w:r>
      <w:r w:rsidR="00596F92">
        <w:rPr>
          <w:spacing w:val="-4"/>
        </w:rPr>
        <w:t>díky s</w:t>
      </w:r>
      <w:r w:rsidR="00D92FD1" w:rsidRPr="00D92FD1">
        <w:rPr>
          <w:spacing w:val="-4"/>
        </w:rPr>
        <w:t>ilnější investiční aktivit</w:t>
      </w:r>
      <w:r w:rsidR="00596F92">
        <w:rPr>
          <w:spacing w:val="-4"/>
        </w:rPr>
        <w:t>ě</w:t>
      </w:r>
      <w:r w:rsidR="00D92FD1" w:rsidRPr="00D92FD1">
        <w:rPr>
          <w:spacing w:val="-4"/>
        </w:rPr>
        <w:t xml:space="preserve"> v ekonomice </w:t>
      </w:r>
      <w:r w:rsidR="00596F92">
        <w:rPr>
          <w:spacing w:val="-4"/>
        </w:rPr>
        <w:t>dočkalo oživení.</w:t>
      </w:r>
      <w:r w:rsidR="005C35A1">
        <w:rPr>
          <w:spacing w:val="-4"/>
        </w:rPr>
        <w:t xml:space="preserve"> Vzhledem k výrazné investiční aktivitě sektoru, kterou nemohly zcela pokrýt úspory, došlo </w:t>
      </w:r>
      <w:r w:rsidR="006254CB">
        <w:rPr>
          <w:spacing w:val="-4"/>
        </w:rPr>
        <w:t xml:space="preserve">v rozvaze nefinančních institucí </w:t>
      </w:r>
      <w:r w:rsidR="005C35A1">
        <w:rPr>
          <w:spacing w:val="-4"/>
        </w:rPr>
        <w:t>také k nárůstu půjček o 113,0</w:t>
      </w:r>
      <w:r w:rsidR="001F138C">
        <w:rPr>
          <w:spacing w:val="-4"/>
        </w:rPr>
        <w:t> mld.</w:t>
      </w:r>
      <w:r w:rsidR="005C35A1">
        <w:rPr>
          <w:spacing w:val="-4"/>
        </w:rPr>
        <w:t xml:space="preserve"> korun.</w:t>
      </w:r>
    </w:p>
    <w:p w14:paraId="761409AB" w14:textId="537DE467" w:rsidR="00953F28" w:rsidRPr="00D92FD1" w:rsidRDefault="00596F92" w:rsidP="00A54250">
      <w:pPr>
        <w:pStyle w:val="Normalodrka"/>
        <w:spacing w:after="160"/>
        <w:rPr>
          <w:spacing w:val="-4"/>
        </w:rPr>
      </w:pPr>
      <w:r>
        <w:rPr>
          <w:spacing w:val="-4"/>
        </w:rPr>
        <w:t>V sektoru finančních institucí došlo po několika letech stagnace k výraznějšímu nárůstu výdajů na mzdy a</w:t>
      </w:r>
      <w:r w:rsidR="00347604">
        <w:rPr>
          <w:spacing w:val="-4"/>
        </w:rPr>
        <w:t> </w:t>
      </w:r>
      <w:r>
        <w:rPr>
          <w:spacing w:val="-4"/>
        </w:rPr>
        <w:t>platy. Naopak v porovnání s lety 2016 a 2017 se zmírnila investiční aktivita. Na činnosti finančních institucí se projevilo zvýšení úrokových sazeb v ekonomice – narostl objem vyplacených i přijatých úroků</w:t>
      </w:r>
      <w:r w:rsidR="00D22038">
        <w:rPr>
          <w:rStyle w:val="Znakapoznpodarou"/>
          <w:spacing w:val="-4"/>
        </w:rPr>
        <w:footnoteReference w:id="1"/>
      </w:r>
      <w:r>
        <w:rPr>
          <w:spacing w:val="-4"/>
        </w:rPr>
        <w:t>. Rostoucí úroky byly spojeny i</w:t>
      </w:r>
      <w:r w:rsidR="00347604">
        <w:rPr>
          <w:spacing w:val="-4"/>
        </w:rPr>
        <w:t> </w:t>
      </w:r>
      <w:r>
        <w:rPr>
          <w:spacing w:val="-4"/>
        </w:rPr>
        <w:t>s výrazným nárůstem zaplacených běžných daní. Finanční instituce poskytovaly úvěrové financování ostatním sektorům – objem poskytnutých úvěrů se zvýšil o 306,8</w:t>
      </w:r>
      <w:r w:rsidR="001F138C">
        <w:rPr>
          <w:spacing w:val="-4"/>
        </w:rPr>
        <w:t> mld.</w:t>
      </w:r>
      <w:r>
        <w:rPr>
          <w:spacing w:val="-4"/>
        </w:rPr>
        <w:t xml:space="preserve"> korun a dluhových cenných papírů o 178,0</w:t>
      </w:r>
      <w:r w:rsidR="001F138C">
        <w:rPr>
          <w:spacing w:val="-4"/>
        </w:rPr>
        <w:t> mld.</w:t>
      </w:r>
    </w:p>
    <w:p w14:paraId="79C3DFC7" w14:textId="27540A3F" w:rsidR="00953F28" w:rsidRDefault="00C936C3" w:rsidP="00067A82">
      <w:pPr>
        <w:pStyle w:val="Normalodrka"/>
        <w:spacing w:after="160"/>
        <w:rPr>
          <w:spacing w:val="-4"/>
        </w:rPr>
      </w:pPr>
      <w:r>
        <w:rPr>
          <w:spacing w:val="-4"/>
        </w:rPr>
        <w:t>Sektor vládních institucí v roce 2018 hospodařil s přebytkem 47,4</w:t>
      </w:r>
      <w:r w:rsidR="001F138C">
        <w:rPr>
          <w:spacing w:val="-4"/>
        </w:rPr>
        <w:t> mld.</w:t>
      </w:r>
      <w:r>
        <w:rPr>
          <w:spacing w:val="-4"/>
        </w:rPr>
        <w:t xml:space="preserve"> korun (0,9</w:t>
      </w:r>
      <w:r w:rsidR="001D51EB">
        <w:rPr>
          <w:spacing w:val="-4"/>
        </w:rPr>
        <w:t> %</w:t>
      </w:r>
      <w:r>
        <w:rPr>
          <w:spacing w:val="-4"/>
        </w:rPr>
        <w:t xml:space="preserve"> HDP). </w:t>
      </w:r>
      <w:r w:rsidR="0096154D">
        <w:rPr>
          <w:spacing w:val="-4"/>
        </w:rPr>
        <w:t>Ten se meziročně snížil o 31,3</w:t>
      </w:r>
      <w:r w:rsidR="001F138C">
        <w:rPr>
          <w:spacing w:val="-4"/>
        </w:rPr>
        <w:t> mld.</w:t>
      </w:r>
      <w:r w:rsidR="0096154D">
        <w:rPr>
          <w:spacing w:val="-4"/>
        </w:rPr>
        <w:t xml:space="preserve"> </w:t>
      </w:r>
      <w:r>
        <w:rPr>
          <w:spacing w:val="-4"/>
        </w:rPr>
        <w:t>Kladného salda dosáhly všechny subsektory. Na straně příjmů vládní instituce čerpaly z rostoucí ekonomiky, díky které se zvyšoval objem vybraných daní z</w:t>
      </w:r>
      <w:r w:rsidR="00A32759">
        <w:rPr>
          <w:spacing w:val="-4"/>
        </w:rPr>
        <w:t> </w:t>
      </w:r>
      <w:r>
        <w:rPr>
          <w:spacing w:val="-4"/>
        </w:rPr>
        <w:t>výroby</w:t>
      </w:r>
      <w:r w:rsidR="0096154D">
        <w:rPr>
          <w:spacing w:val="-4"/>
        </w:rPr>
        <w:t>, a také z prudkého růstu mezd. Ten navyšoval objem přijatých daní z příjmů i sociálních příspěvků. Na straně výdajů sektor stále více tížily rostoucí náhrady zaměstnancům, ke kterým se loni přidalo i výrazné navýšení investičních výdajů.</w:t>
      </w:r>
      <w:r w:rsidR="00A32759">
        <w:rPr>
          <w:spacing w:val="-4"/>
        </w:rPr>
        <w:t xml:space="preserve"> Na druhé straně nízká nezaměstnanost znamenala také nízké výdaje na podporu v nezaměstnanosti.</w:t>
      </w:r>
      <w:r w:rsidR="0096154D">
        <w:rPr>
          <w:spacing w:val="-4"/>
        </w:rPr>
        <w:t xml:space="preserve"> Celkový dluh sektoru vládních institucí se snížil o 14,5</w:t>
      </w:r>
      <w:r w:rsidR="001F138C">
        <w:rPr>
          <w:spacing w:val="-4"/>
        </w:rPr>
        <w:t> mld.</w:t>
      </w:r>
      <w:r w:rsidR="0096154D">
        <w:rPr>
          <w:spacing w:val="-4"/>
        </w:rPr>
        <w:t xml:space="preserve"> korun a dosáhl 1 735,1</w:t>
      </w:r>
      <w:r w:rsidR="001F138C">
        <w:rPr>
          <w:spacing w:val="-4"/>
        </w:rPr>
        <w:t> mld.</w:t>
      </w:r>
      <w:r w:rsidR="0096154D">
        <w:rPr>
          <w:spacing w:val="-4"/>
        </w:rPr>
        <w:t xml:space="preserve"> (32,7</w:t>
      </w:r>
      <w:r w:rsidR="001D51EB">
        <w:rPr>
          <w:spacing w:val="-4"/>
        </w:rPr>
        <w:t> %</w:t>
      </w:r>
      <w:r w:rsidR="00347604">
        <w:rPr>
          <w:spacing w:val="-4"/>
        </w:rPr>
        <w:t> </w:t>
      </w:r>
      <w:r w:rsidR="0096154D">
        <w:rPr>
          <w:spacing w:val="-4"/>
        </w:rPr>
        <w:t>HDP).</w:t>
      </w:r>
    </w:p>
    <w:p w14:paraId="6A6CBC78" w14:textId="431BD7CD" w:rsidR="00953F28" w:rsidRDefault="00A54250" w:rsidP="00067A82">
      <w:pPr>
        <w:pStyle w:val="Normalodrka"/>
        <w:spacing w:after="160"/>
        <w:rPr>
          <w:spacing w:val="-4"/>
        </w:rPr>
      </w:pPr>
      <w:r>
        <w:rPr>
          <w:spacing w:val="-4"/>
        </w:rPr>
        <w:t>Růst příjmů domácností loni výrazně zrychlil. Hrubý disponibilní důchod se zvýšil o 186,8</w:t>
      </w:r>
      <w:r w:rsidR="001F138C">
        <w:rPr>
          <w:spacing w:val="-4"/>
        </w:rPr>
        <w:t> mld.</w:t>
      </w:r>
      <w:r>
        <w:rPr>
          <w:spacing w:val="-4"/>
        </w:rPr>
        <w:t xml:space="preserve"> korun. Silně rostly zejména mzdy a platy, které jsou hlavním zdrojem pro sektor domácností</w:t>
      </w:r>
      <w:r w:rsidR="006254CB">
        <w:rPr>
          <w:spacing w:val="-4"/>
        </w:rPr>
        <w:t>. Z</w:t>
      </w:r>
      <w:r>
        <w:rPr>
          <w:spacing w:val="-4"/>
        </w:rPr>
        <w:t xml:space="preserve">vyšoval se ale také hrubý smíšený důchod, který v předchozích dvou letech spíše stagnoval. </w:t>
      </w:r>
      <w:r w:rsidR="008856A3">
        <w:rPr>
          <w:spacing w:val="-4"/>
        </w:rPr>
        <w:t>Ve směru poklesu disponibilního důchodu působilo s</w:t>
      </w:r>
      <w:r>
        <w:rPr>
          <w:spacing w:val="-4"/>
        </w:rPr>
        <w:t>aldo druhotného rozdělení</w:t>
      </w:r>
      <w:r w:rsidR="008856A3">
        <w:rPr>
          <w:spacing w:val="-4"/>
        </w:rPr>
        <w:t>, které s</w:t>
      </w:r>
      <w:r>
        <w:rPr>
          <w:spacing w:val="-4"/>
        </w:rPr>
        <w:t>končilo ve výrazném deficitu.</w:t>
      </w:r>
      <w:r w:rsidR="008856A3">
        <w:rPr>
          <w:spacing w:val="-4"/>
        </w:rPr>
        <w:t xml:space="preserve"> Spotřeba domácností loni rostla méně než příjmy – o</w:t>
      </w:r>
      <w:r w:rsidR="00347604">
        <w:rPr>
          <w:spacing w:val="-4"/>
        </w:rPr>
        <w:t> </w:t>
      </w:r>
      <w:r w:rsidR="008856A3">
        <w:rPr>
          <w:spacing w:val="-4"/>
        </w:rPr>
        <w:t>133,7</w:t>
      </w:r>
      <w:r w:rsidR="001F138C">
        <w:rPr>
          <w:spacing w:val="-4"/>
        </w:rPr>
        <w:t> mld.</w:t>
      </w:r>
      <w:r w:rsidR="008856A3">
        <w:rPr>
          <w:spacing w:val="-4"/>
        </w:rPr>
        <w:t xml:space="preserve"> korun. Výsledkem byl nárůst míry úspor na 10,8</w:t>
      </w:r>
      <w:r w:rsidR="001D51EB">
        <w:rPr>
          <w:spacing w:val="-4"/>
        </w:rPr>
        <w:t> %</w:t>
      </w:r>
      <w:r w:rsidR="008856A3">
        <w:rPr>
          <w:spacing w:val="-4"/>
        </w:rPr>
        <w:t xml:space="preserve">. </w:t>
      </w:r>
      <w:r w:rsidR="00596F92">
        <w:rPr>
          <w:spacing w:val="-4"/>
        </w:rPr>
        <w:t xml:space="preserve">Naopak mírnější růst </w:t>
      </w:r>
      <w:r w:rsidR="006254CB">
        <w:rPr>
          <w:spacing w:val="-4"/>
        </w:rPr>
        <w:t>kapitálových výdajů</w:t>
      </w:r>
      <w:r w:rsidR="00596F92">
        <w:rPr>
          <w:spacing w:val="-4"/>
        </w:rPr>
        <w:t xml:space="preserve"> vedl k poklesu míry investic na</w:t>
      </w:r>
      <w:r w:rsidR="00347604">
        <w:rPr>
          <w:spacing w:val="-4"/>
        </w:rPr>
        <w:t> </w:t>
      </w:r>
      <w:r w:rsidR="00596F92">
        <w:rPr>
          <w:spacing w:val="-4"/>
        </w:rPr>
        <w:t>8,8</w:t>
      </w:r>
      <w:r w:rsidR="001D51EB">
        <w:rPr>
          <w:spacing w:val="-4"/>
        </w:rPr>
        <w:t> %</w:t>
      </w:r>
      <w:r w:rsidR="00596F92">
        <w:rPr>
          <w:spacing w:val="-4"/>
        </w:rPr>
        <w:t>.</w:t>
      </w:r>
    </w:p>
    <w:p w14:paraId="1E32BED9" w14:textId="7C6E6E02" w:rsidR="00F231AE" w:rsidRDefault="00F231AE" w:rsidP="00F231AE">
      <w:pPr>
        <w:pStyle w:val="Normalodrka"/>
        <w:numPr>
          <w:ilvl w:val="0"/>
          <w:numId w:val="0"/>
        </w:numPr>
        <w:spacing w:after="160"/>
        <w:ind w:left="357" w:hanging="357"/>
        <w:rPr>
          <w:spacing w:val="-4"/>
        </w:rPr>
      </w:pPr>
    </w:p>
    <w:p w14:paraId="337F2B7A" w14:textId="3708BEBF" w:rsidR="00F231AE" w:rsidRDefault="00F231AE" w:rsidP="00F231AE">
      <w:pPr>
        <w:pStyle w:val="Normalodrka"/>
        <w:numPr>
          <w:ilvl w:val="0"/>
          <w:numId w:val="0"/>
        </w:numPr>
        <w:spacing w:after="160"/>
        <w:ind w:left="357" w:hanging="357"/>
        <w:rPr>
          <w:spacing w:val="-4"/>
        </w:rPr>
      </w:pPr>
    </w:p>
    <w:p w14:paraId="7241F812" w14:textId="6EC59D4B" w:rsidR="00F231AE" w:rsidRDefault="00F231AE" w:rsidP="00F231AE">
      <w:pPr>
        <w:pStyle w:val="Normalodrka"/>
        <w:numPr>
          <w:ilvl w:val="0"/>
          <w:numId w:val="0"/>
        </w:numPr>
        <w:spacing w:after="160"/>
        <w:ind w:left="357" w:hanging="357"/>
        <w:rPr>
          <w:spacing w:val="-4"/>
        </w:rPr>
      </w:pPr>
    </w:p>
    <w:p w14:paraId="68872614" w14:textId="77777777" w:rsidR="00953F28" w:rsidRDefault="00953F28">
      <w:pPr>
        <w:spacing w:after="0" w:line="240" w:lineRule="auto"/>
        <w:jc w:val="left"/>
        <w:rPr>
          <w:rFonts w:eastAsia="MS Gothic"/>
          <w:b/>
          <w:bCs/>
          <w:color w:val="71818C"/>
          <w:sz w:val="32"/>
          <w:szCs w:val="28"/>
        </w:rPr>
      </w:pPr>
      <w:r>
        <w:br w:type="page"/>
      </w:r>
    </w:p>
    <w:p w14:paraId="23CCA8FB" w14:textId="77777777" w:rsidR="00A50D73" w:rsidRPr="00360DE3" w:rsidRDefault="00B97434" w:rsidP="00F46502">
      <w:pPr>
        <w:pStyle w:val="Nadpis1"/>
      </w:pPr>
      <w:bookmarkStart w:id="2" w:name="_Toc16586009"/>
      <w:r>
        <w:lastRenderedPageBreak/>
        <w:t>Souhrnná výkonnost ekonomiky</w:t>
      </w:r>
      <w:bookmarkEnd w:id="2"/>
    </w:p>
    <w:p w14:paraId="7D7B653E" w14:textId="0534C224" w:rsidR="00F46502" w:rsidRPr="00360DE3" w:rsidRDefault="003852A9" w:rsidP="00F46502">
      <w:pPr>
        <w:pStyle w:val="Nadpis11"/>
      </w:pPr>
      <w:bookmarkStart w:id="3" w:name="_Toc16586010"/>
      <w:r>
        <w:t>2</w:t>
      </w:r>
      <w:r w:rsidR="00F46502" w:rsidRPr="00360DE3">
        <w:t>. Hrubý domácí produkt</w:t>
      </w:r>
      <w:bookmarkEnd w:id="3"/>
    </w:p>
    <w:tbl>
      <w:tblPr>
        <w:tblW w:w="9644" w:type="dxa"/>
        <w:tblInd w:w="-15" w:type="dxa"/>
        <w:tblCellMar>
          <w:left w:w="0" w:type="dxa"/>
          <w:right w:w="0" w:type="dxa"/>
        </w:tblCellMar>
        <w:tblLook w:val="00A0" w:firstRow="1" w:lastRow="0" w:firstColumn="1" w:lastColumn="0" w:noHBand="0" w:noVBand="0"/>
      </w:tblPr>
      <w:tblGrid>
        <w:gridCol w:w="1817"/>
        <w:gridCol w:w="232"/>
        <w:gridCol w:w="7595"/>
      </w:tblGrid>
      <w:tr w:rsidR="00B97434" w:rsidRPr="00360DE3" w14:paraId="2A6DF073" w14:textId="77777777" w:rsidTr="00744EE6">
        <w:trPr>
          <w:trHeight w:val="145"/>
        </w:trPr>
        <w:tc>
          <w:tcPr>
            <w:tcW w:w="1909" w:type="dxa"/>
            <w:shd w:val="clear" w:color="auto" w:fill="auto"/>
          </w:tcPr>
          <w:p w14:paraId="01E80758" w14:textId="77777777" w:rsidR="00B97434" w:rsidRDefault="00B97434" w:rsidP="00B97434">
            <w:pPr>
              <w:pStyle w:val="Marginlie"/>
            </w:pPr>
            <w:r>
              <w:t>Růst hrubého domácího produktu loni zpomalil.</w:t>
            </w:r>
          </w:p>
        </w:tc>
        <w:tc>
          <w:tcPr>
            <w:tcW w:w="264" w:type="dxa"/>
            <w:shd w:val="clear" w:color="auto" w:fill="auto"/>
          </w:tcPr>
          <w:p w14:paraId="3D6E6C59" w14:textId="77777777" w:rsidR="00B97434" w:rsidRDefault="00B97434" w:rsidP="00B97434">
            <w:pPr>
              <w:pStyle w:val="Textpoznpodarou1"/>
              <w:jc w:val="both"/>
              <w:rPr>
                <w:spacing w:val="-4"/>
              </w:rPr>
            </w:pPr>
          </w:p>
        </w:tc>
        <w:tc>
          <w:tcPr>
            <w:tcW w:w="7471" w:type="dxa"/>
            <w:shd w:val="clear" w:color="auto" w:fill="auto"/>
          </w:tcPr>
          <w:p w14:paraId="503F60B5" w14:textId="77777777" w:rsidR="00B97434" w:rsidRDefault="00B97434" w:rsidP="00B97434">
            <w:r>
              <w:t>Hrubý domácí produkt (HDP) v roce 2018 dosáhl výše 5 328,7</w:t>
            </w:r>
            <w:r w:rsidR="001F138C">
              <w:t> mld.</w:t>
            </w:r>
            <w:r>
              <w:t xml:space="preserve"> korun (v běžných cenách). Meziročně se reálně zvýšil o 3,0</w:t>
            </w:r>
            <w:r w:rsidR="001D51EB">
              <w:t> %</w:t>
            </w:r>
            <w:r>
              <w:rPr>
                <w:rStyle w:val="Znakapoznpodarou"/>
              </w:rPr>
              <w:footnoteReference w:id="2"/>
            </w:r>
            <w:r>
              <w:t>. Růst HDP tak v porovnání s rokem 2017 zpomalil. Na situaci v české ekonomice pozitivně působil pokračující růst domácí poptávky. Tu stimuloval velmi silný růst příjmů domácností i výrazná investiční aktivita spojená s cyklem evropských dotací. Na druhé straně část výrobců pocítila útlum zahraniční poptávky. Hospodářský růst totiž zpomalil napříč Evropskou unií a zvlášť citelně oslabil výkon německé ekonomiky, která je pro Česko i další evropské exportéry důležitá. Zejména růst průmyslu, který je propojen s vývozem, oslabil výrazněji ve srovnání s odvětvími služeb.</w:t>
            </w:r>
          </w:p>
        </w:tc>
      </w:tr>
      <w:tr w:rsidR="00B97434" w:rsidRPr="00360DE3" w14:paraId="1B2FB36A" w14:textId="77777777" w:rsidTr="00744EE6">
        <w:tc>
          <w:tcPr>
            <w:tcW w:w="1909" w:type="dxa"/>
            <w:vMerge w:val="restart"/>
            <w:shd w:val="clear" w:color="auto" w:fill="auto"/>
          </w:tcPr>
          <w:p w14:paraId="56AE2672" w14:textId="77777777" w:rsidR="00B97434" w:rsidRDefault="00B97434" w:rsidP="00B97434">
            <w:pPr>
              <w:pStyle w:val="Marginlie"/>
            </w:pPr>
          </w:p>
        </w:tc>
        <w:tc>
          <w:tcPr>
            <w:tcW w:w="264" w:type="dxa"/>
            <w:vMerge w:val="restart"/>
            <w:shd w:val="clear" w:color="auto" w:fill="auto"/>
          </w:tcPr>
          <w:p w14:paraId="7205C5DE" w14:textId="77777777" w:rsidR="00B97434" w:rsidRDefault="00B97434" w:rsidP="00B97434">
            <w:pPr>
              <w:pStyle w:val="Textpoznpodarou1"/>
              <w:jc w:val="both"/>
              <w:rPr>
                <w:spacing w:val="-4"/>
              </w:rPr>
            </w:pPr>
          </w:p>
        </w:tc>
        <w:tc>
          <w:tcPr>
            <w:tcW w:w="7471" w:type="dxa"/>
            <w:shd w:val="clear" w:color="auto" w:fill="auto"/>
          </w:tcPr>
          <w:p w14:paraId="6284C969" w14:textId="77777777" w:rsidR="00B97434" w:rsidRDefault="00B97434" w:rsidP="00884A6F">
            <w:pPr>
              <w:spacing w:after="0"/>
              <w:rPr>
                <w:b/>
              </w:rPr>
            </w:pPr>
            <w:r>
              <w:rPr>
                <w:b/>
              </w:rPr>
              <w:t xml:space="preserve">Graf č. </w:t>
            </w:r>
            <w:r w:rsidR="00884A6F">
              <w:rPr>
                <w:b/>
              </w:rPr>
              <w:t>1</w:t>
            </w:r>
            <w:r>
              <w:rPr>
                <w:b/>
              </w:rPr>
              <w:t xml:space="preserve">  Příspěvky jednotlivých složek ke změně HDP* </w:t>
            </w:r>
            <w:r w:rsidRPr="002E4A56">
              <w:t>(</w:t>
            </w:r>
            <w:r>
              <w:t xml:space="preserve">objemové indexy, </w:t>
            </w:r>
            <w:r w:rsidRPr="002E4A56">
              <w:t>v</w:t>
            </w:r>
            <w:r>
              <w:t> </w:t>
            </w:r>
            <w:r w:rsidRPr="002E4A56">
              <w:t>p.</w:t>
            </w:r>
            <w:r>
              <w:t> </w:t>
            </w:r>
            <w:r w:rsidRPr="002E4A56">
              <w:t>b., růst HDP v</w:t>
            </w:r>
            <w:r w:rsidR="001D51EB">
              <w:t> %</w:t>
            </w:r>
            <w:r>
              <w:t>, sezónně očištěno</w:t>
            </w:r>
            <w:r w:rsidRPr="002E4A56">
              <w:t>)</w:t>
            </w:r>
          </w:p>
        </w:tc>
      </w:tr>
      <w:tr w:rsidR="00B97434" w:rsidRPr="00360DE3" w14:paraId="67DF7CB9" w14:textId="77777777" w:rsidTr="00744EE6">
        <w:trPr>
          <w:trHeight w:val="170"/>
        </w:trPr>
        <w:tc>
          <w:tcPr>
            <w:tcW w:w="1909" w:type="dxa"/>
            <w:vMerge/>
            <w:shd w:val="clear" w:color="auto" w:fill="auto"/>
          </w:tcPr>
          <w:p w14:paraId="10029D10" w14:textId="77777777" w:rsidR="00B97434" w:rsidRPr="00360DE3" w:rsidRDefault="00B97434" w:rsidP="00B97434">
            <w:pPr>
              <w:pStyle w:val="Marginlie"/>
              <w:rPr>
                <w:spacing w:val="0"/>
              </w:rPr>
            </w:pPr>
          </w:p>
        </w:tc>
        <w:tc>
          <w:tcPr>
            <w:tcW w:w="264" w:type="dxa"/>
            <w:vMerge/>
            <w:shd w:val="clear" w:color="auto" w:fill="auto"/>
          </w:tcPr>
          <w:p w14:paraId="4F502117" w14:textId="77777777" w:rsidR="00B97434" w:rsidRPr="00360DE3" w:rsidRDefault="00B97434" w:rsidP="00B97434">
            <w:pPr>
              <w:pStyle w:val="Textpoznpodarou1"/>
              <w:jc w:val="both"/>
            </w:pPr>
          </w:p>
        </w:tc>
        <w:tc>
          <w:tcPr>
            <w:tcW w:w="7471" w:type="dxa"/>
            <w:shd w:val="clear" w:color="auto" w:fill="auto"/>
          </w:tcPr>
          <w:p w14:paraId="501244A0" w14:textId="77777777" w:rsidR="00B97434" w:rsidRPr="00360DE3" w:rsidRDefault="00B97434" w:rsidP="00B97434">
            <w:pPr>
              <w:spacing w:after="0"/>
            </w:pPr>
            <w:r>
              <w:rPr>
                <w:noProof/>
              </w:rPr>
              <w:drawing>
                <wp:inline distT="0" distB="0" distL="0" distR="0" wp14:anchorId="5F9ED479" wp14:editId="6B4A015E">
                  <wp:extent cx="4737600" cy="3553200"/>
                  <wp:effectExtent l="0" t="0" r="0" b="0"/>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B97434" w:rsidRPr="00360DE3" w14:paraId="641D04B4" w14:textId="77777777" w:rsidTr="00744EE6">
        <w:trPr>
          <w:trHeight w:val="170"/>
        </w:trPr>
        <w:tc>
          <w:tcPr>
            <w:tcW w:w="1909" w:type="dxa"/>
            <w:vMerge/>
            <w:shd w:val="clear" w:color="auto" w:fill="auto"/>
          </w:tcPr>
          <w:p w14:paraId="03C0B3CE" w14:textId="77777777" w:rsidR="00B97434" w:rsidRPr="00360DE3" w:rsidRDefault="00B97434" w:rsidP="00B97434">
            <w:pPr>
              <w:pStyle w:val="Marginlie"/>
              <w:rPr>
                <w:spacing w:val="0"/>
              </w:rPr>
            </w:pPr>
          </w:p>
        </w:tc>
        <w:tc>
          <w:tcPr>
            <w:tcW w:w="264" w:type="dxa"/>
            <w:vMerge/>
            <w:shd w:val="clear" w:color="auto" w:fill="auto"/>
          </w:tcPr>
          <w:p w14:paraId="12BE9D36" w14:textId="77777777" w:rsidR="00B97434" w:rsidRPr="00360DE3" w:rsidRDefault="00B97434" w:rsidP="00B97434">
            <w:pPr>
              <w:pStyle w:val="Textpoznpodarou1"/>
              <w:jc w:val="both"/>
            </w:pPr>
          </w:p>
        </w:tc>
        <w:tc>
          <w:tcPr>
            <w:tcW w:w="7471" w:type="dxa"/>
            <w:shd w:val="clear" w:color="auto" w:fill="auto"/>
          </w:tcPr>
          <w:p w14:paraId="35A1DD03" w14:textId="77777777" w:rsidR="00B97434" w:rsidRDefault="00B97434" w:rsidP="00B97434">
            <w:pPr>
              <w:spacing w:after="0"/>
              <w:rPr>
                <w:sz w:val="14"/>
                <w:szCs w:val="14"/>
              </w:rPr>
            </w:pPr>
            <w:r>
              <w:rPr>
                <w:sz w:val="14"/>
                <w:szCs w:val="14"/>
              </w:rPr>
              <w:t>Zdroj: ČSÚ</w:t>
            </w:r>
          </w:p>
          <w:p w14:paraId="1DA87F01" w14:textId="77777777" w:rsidR="00B97434" w:rsidRPr="00360DE3" w:rsidRDefault="00B97434" w:rsidP="00B97434">
            <w:pPr>
              <w:rPr>
                <w:sz w:val="14"/>
                <w:szCs w:val="14"/>
              </w:rPr>
            </w:pPr>
            <w:r>
              <w:rPr>
                <w:sz w:val="14"/>
                <w:szCs w:val="14"/>
              </w:rPr>
              <w:t>*Po vyloučení dovozu pro konečné užití</w:t>
            </w:r>
          </w:p>
        </w:tc>
      </w:tr>
      <w:tr w:rsidR="00B97434" w:rsidRPr="00360DE3" w14:paraId="6C1190F8" w14:textId="77777777" w:rsidTr="00744EE6">
        <w:trPr>
          <w:trHeight w:val="145"/>
        </w:trPr>
        <w:tc>
          <w:tcPr>
            <w:tcW w:w="1909" w:type="dxa"/>
            <w:shd w:val="clear" w:color="auto" w:fill="auto"/>
          </w:tcPr>
          <w:p w14:paraId="484A6833" w14:textId="1BAAE851" w:rsidR="00B97434" w:rsidRPr="00D120FA" w:rsidRDefault="00B97434" w:rsidP="00B97434">
            <w:pPr>
              <w:pStyle w:val="Marginlie"/>
              <w:rPr>
                <w:color w:val="000000" w:themeColor="text1"/>
              </w:rPr>
            </w:pPr>
            <w:r w:rsidRPr="00D120FA">
              <w:rPr>
                <w:color w:val="000000" w:themeColor="text1"/>
              </w:rPr>
              <w:t>K růstu přispěla především spotřeba. Investiční aktivita i</w:t>
            </w:r>
            <w:r w:rsidR="00D120FA" w:rsidRPr="00D120FA">
              <w:rPr>
                <w:color w:val="000000" w:themeColor="text1"/>
              </w:rPr>
              <w:t> </w:t>
            </w:r>
            <w:r w:rsidRPr="00D120FA">
              <w:rPr>
                <w:color w:val="000000" w:themeColor="text1"/>
              </w:rPr>
              <w:t>bilance zahraničního obchodu stály v pozadí.</w:t>
            </w:r>
          </w:p>
        </w:tc>
        <w:tc>
          <w:tcPr>
            <w:tcW w:w="264" w:type="dxa"/>
            <w:shd w:val="clear" w:color="auto" w:fill="auto"/>
          </w:tcPr>
          <w:p w14:paraId="698C3B33" w14:textId="77777777" w:rsidR="00B97434" w:rsidRDefault="00B97434" w:rsidP="00B97434">
            <w:pPr>
              <w:pStyle w:val="Textpoznpodarou1"/>
              <w:jc w:val="both"/>
              <w:rPr>
                <w:spacing w:val="-4"/>
              </w:rPr>
            </w:pPr>
          </w:p>
        </w:tc>
        <w:tc>
          <w:tcPr>
            <w:tcW w:w="7471" w:type="dxa"/>
            <w:shd w:val="clear" w:color="auto" w:fill="auto"/>
          </w:tcPr>
          <w:p w14:paraId="43C80917" w14:textId="77777777" w:rsidR="00B97434" w:rsidRDefault="00B97434" w:rsidP="0084727E">
            <w:pPr>
              <w:spacing w:after="0"/>
            </w:pPr>
            <w:r>
              <w:t>Více než z poloviny k loňskému růstu HDP přispěly výdaje na konečnou spotřebu. Ty vzrostly o 3,5</w:t>
            </w:r>
            <w:r w:rsidR="001D51EB">
              <w:t> %</w:t>
            </w:r>
            <w:r>
              <w:t>. V porovnání s rokem 2017 oslabil příspěvek spotřeby domácností, byl však zčásti nahrazen zvýšenou dynamikou spotřeby sektoru vládních institucí. V prvních třech kvartálech roku k růstu HDP přispívala rovněž tvorba hrubého kapitálu. Ačkoli výdaje na fixní investice posílily napříč jednotlivými sektory (celkový přírůstek loni dosáhl 7,2</w:t>
            </w:r>
            <w:r w:rsidR="001D51EB">
              <w:t> %</w:t>
            </w:r>
            <w:r>
              <w:t>, v roce 2017 to bylo 3,7</w:t>
            </w:r>
            <w:r w:rsidR="001D51EB">
              <w:t> %</w:t>
            </w:r>
            <w:r>
              <w:t>), výsledný příspěvek tlumila změna zásob. Až v závěru roku silněji přispěla k růstu HDP bilance zahraničního obchodu. Celkový příspěvek bilance byl nakonec nejslabší za posledních pět let a promítalo se do něj nejen oslabení zahraniční poptávky, ale také dovozní náročnost domácí ekonomiky. Srovnání příspěvků k růstu HDP bez vyloučení a po vyloučení dovozu pro konečné užití také ukazuje, že velká část růstu domácí poptávky byla uspokojena importem, což bilanci dále zhoršovalo.</w:t>
            </w:r>
          </w:p>
        </w:tc>
      </w:tr>
      <w:tr w:rsidR="00B97434" w:rsidRPr="00360DE3" w14:paraId="35BDBA2C" w14:textId="77777777" w:rsidTr="00744EE6">
        <w:trPr>
          <w:trHeight w:val="145"/>
        </w:trPr>
        <w:tc>
          <w:tcPr>
            <w:tcW w:w="1909" w:type="dxa"/>
            <w:shd w:val="clear" w:color="auto" w:fill="auto"/>
          </w:tcPr>
          <w:p w14:paraId="78F35D39" w14:textId="77777777" w:rsidR="00B97434" w:rsidRDefault="00B97434" w:rsidP="00B97434">
            <w:pPr>
              <w:pStyle w:val="Marginlie"/>
            </w:pPr>
            <w:r>
              <w:lastRenderedPageBreak/>
              <w:t>Růst hrubé přidané hodnoty podpořily hlavně služby. Zpracovatelský průmysl rostl pomaleji než v roce 2017.</w:t>
            </w:r>
          </w:p>
        </w:tc>
        <w:tc>
          <w:tcPr>
            <w:tcW w:w="264" w:type="dxa"/>
            <w:shd w:val="clear" w:color="auto" w:fill="auto"/>
          </w:tcPr>
          <w:p w14:paraId="2B4C3989" w14:textId="77777777" w:rsidR="00B97434" w:rsidRDefault="00B97434" w:rsidP="00B97434">
            <w:pPr>
              <w:pStyle w:val="Textpoznpodarou1"/>
              <w:jc w:val="both"/>
              <w:rPr>
                <w:spacing w:val="-4"/>
              </w:rPr>
            </w:pPr>
          </w:p>
        </w:tc>
        <w:tc>
          <w:tcPr>
            <w:tcW w:w="7471" w:type="dxa"/>
            <w:shd w:val="clear" w:color="auto" w:fill="auto"/>
          </w:tcPr>
          <w:p w14:paraId="264810EA" w14:textId="77777777" w:rsidR="00B97434" w:rsidRDefault="00B97434" w:rsidP="00A55593">
            <w:r>
              <w:t>Hrubá přidaná hodnota (HPH) loni vzrostla o 3,1</w:t>
            </w:r>
            <w:r w:rsidR="001D51EB">
              <w:t> %</w:t>
            </w:r>
            <w:r>
              <w:t xml:space="preserve">. Jak již bylo uvedeno, v roce 2018 se rozevíraly nůžky mezi výkonem průmyslu a služeb. Růst HPH zpracovatelského průmyslu, který tvoří </w:t>
            </w:r>
            <w:r w:rsidR="00A55593">
              <w:t>významnou</w:t>
            </w:r>
            <w:r>
              <w:t xml:space="preserve"> část přidané hodnoty české ekonomiky (25,6</w:t>
            </w:r>
            <w:r w:rsidR="001D51EB">
              <w:t> %</w:t>
            </w:r>
            <w:r>
              <w:t>) a také je významným zaměstnavatelem (loni se podílel na celkové zaměstnanosti 26,6</w:t>
            </w:r>
            <w:r w:rsidR="001D51EB">
              <w:t> %</w:t>
            </w:r>
            <w:r>
              <w:t>), zpomalil na 1,6</w:t>
            </w:r>
            <w:r w:rsidR="001D51EB">
              <w:t> %</w:t>
            </w:r>
            <w:r>
              <w:t>. Zčásti se projevila i srovnávací základna roku 2017, kdy HPH zpracovatelského průmyslu vzrostla o 10,5</w:t>
            </w:r>
            <w:r w:rsidR="001D51EB">
              <w:t> %</w:t>
            </w:r>
            <w:r>
              <w:t>. Výrazně k tomu přispělo zpomalení v největších odvětvích. Ve výrobě motorových vozidel tak loni vzrostla HPH o 3,9</w:t>
            </w:r>
            <w:r w:rsidR="001D51EB">
              <w:t> %</w:t>
            </w:r>
            <w:r>
              <w:t xml:space="preserve"> (v předchozím roce to bylo 19,9</w:t>
            </w:r>
            <w:r w:rsidR="001D51EB">
              <w:t> %</w:t>
            </w:r>
            <w:r>
              <w:t>)</w:t>
            </w:r>
            <w:r w:rsidR="00A55593">
              <w:t>. V</w:t>
            </w:r>
            <w:r>
              <w:t>ýroba strojů a zařízení zaznamenala mírný pokles HPH (</w:t>
            </w:r>
            <w:r w:rsidR="001F138C">
              <w:t>–</w:t>
            </w:r>
            <w:r>
              <w:t>0,8</w:t>
            </w:r>
            <w:r w:rsidR="001D51EB">
              <w:t> %</w:t>
            </w:r>
            <w:r>
              <w:t>, v roce 2017 rostla o</w:t>
            </w:r>
            <w:r w:rsidR="00A55593">
              <w:t> </w:t>
            </w:r>
            <w:r>
              <w:t>13,3</w:t>
            </w:r>
            <w:r w:rsidR="00A55593">
              <w:t> </w:t>
            </w:r>
            <w:r>
              <w:t xml:space="preserve">%). </w:t>
            </w:r>
            <w:r w:rsidR="00A55593">
              <w:t xml:space="preserve">Slabší </w:t>
            </w:r>
            <w:r>
              <w:t>růst se týkal také výroby elektrických zařízení, počítačů, elektronických a optických přístrojů a zařízení nebo plastikářství.</w:t>
            </w:r>
          </w:p>
        </w:tc>
      </w:tr>
      <w:tr w:rsidR="00B97434" w:rsidRPr="00360DE3" w14:paraId="3A5F968A" w14:textId="77777777" w:rsidTr="00744EE6">
        <w:trPr>
          <w:trHeight w:val="145"/>
        </w:trPr>
        <w:tc>
          <w:tcPr>
            <w:tcW w:w="1909" w:type="dxa"/>
            <w:shd w:val="clear" w:color="auto" w:fill="auto"/>
          </w:tcPr>
          <w:p w14:paraId="4A9C09AB" w14:textId="5E9210FC" w:rsidR="00B97434" w:rsidRDefault="00B97434" w:rsidP="00B97434">
            <w:pPr>
              <w:pStyle w:val="Marginlie"/>
            </w:pPr>
            <w:r>
              <w:t>Odvětví služeb čerpala ze silné domácí poptávky. Nejrychleji rostla HPH v informačních a</w:t>
            </w:r>
            <w:r w:rsidR="00EE466C">
              <w:t> </w:t>
            </w:r>
            <w:r>
              <w:t>komunikačních službách.</w:t>
            </w:r>
          </w:p>
        </w:tc>
        <w:tc>
          <w:tcPr>
            <w:tcW w:w="264" w:type="dxa"/>
            <w:shd w:val="clear" w:color="auto" w:fill="auto"/>
          </w:tcPr>
          <w:p w14:paraId="5F2BBD3C" w14:textId="77777777" w:rsidR="00B97434" w:rsidRDefault="00B97434" w:rsidP="00B97434">
            <w:pPr>
              <w:pStyle w:val="Textpoznpodarou1"/>
              <w:jc w:val="both"/>
              <w:rPr>
                <w:spacing w:val="-4"/>
              </w:rPr>
            </w:pPr>
          </w:p>
        </w:tc>
        <w:tc>
          <w:tcPr>
            <w:tcW w:w="7471" w:type="dxa"/>
            <w:shd w:val="clear" w:color="auto" w:fill="auto"/>
          </w:tcPr>
          <w:p w14:paraId="2C079804" w14:textId="18ED2D7F" w:rsidR="00B97434" w:rsidRDefault="00B97434" w:rsidP="00A55593">
            <w:r>
              <w:t xml:space="preserve">Odvětví služeb čerpala zejména ze silné domácí poptávky. Jejich příspěvek k růstu HPH v porovnání s rokem 2017 výrazně posílil a tím </w:t>
            </w:r>
            <w:r w:rsidR="00A55593">
              <w:t xml:space="preserve">zčásti </w:t>
            </w:r>
            <w:r>
              <w:t>nahradil zpomalující zpracovatelský průmysl. Nejvíce přispělo k růstu velké uskupení odvětví obchod, doprava, ubytování a pohostinství, kde HPH vzrostla o 5,1</w:t>
            </w:r>
            <w:r w:rsidR="001D51EB">
              <w:t> %</w:t>
            </w:r>
            <w:r>
              <w:t>. Nejsi</w:t>
            </w:r>
            <w:r w:rsidR="00EE466C">
              <w:t>l</w:t>
            </w:r>
            <w:r>
              <w:t>nější růst HPH však zaznamenaly informační a komunikační činnosti (9,9</w:t>
            </w:r>
            <w:r w:rsidR="001D51EB">
              <w:t> %</w:t>
            </w:r>
            <w:r>
              <w:t>). Růst v</w:t>
            </w:r>
            <w:r w:rsidR="00A55593">
              <w:t xml:space="preserve"> tomto </w:t>
            </w:r>
            <w:r>
              <w:t xml:space="preserve">odvětví trvá již od roku 2013 </w:t>
            </w:r>
            <w:r w:rsidR="00EE466C">
              <w:t>a HPH se za tu dobu reálně zvýšila</w:t>
            </w:r>
            <w:r>
              <w:t xml:space="preserve"> o 48,4</w:t>
            </w:r>
            <w:r w:rsidR="001D51EB">
              <w:t> %</w:t>
            </w:r>
            <w:r>
              <w:t>. Poměrně silně rostla HPH peněžnictví a pojišťovnictví (5,3</w:t>
            </w:r>
            <w:r w:rsidR="001D51EB">
              <w:t> %</w:t>
            </w:r>
            <w:r>
              <w:t>) a profesních, vědeckých</w:t>
            </w:r>
            <w:r w:rsidR="00EE466C">
              <w:t>,</w:t>
            </w:r>
            <w:r>
              <w:t xml:space="preserve"> technických a administrativních činností (4,1</w:t>
            </w:r>
            <w:r w:rsidR="001D51EB">
              <w:t> %</w:t>
            </w:r>
            <w:r>
              <w:t>). Po dvou letech poklesů se zvýšila HPH ve stavebnictví (4,2</w:t>
            </w:r>
            <w:r w:rsidR="001D51EB">
              <w:t> %</w:t>
            </w:r>
            <w:r>
              <w:t xml:space="preserve">). </w:t>
            </w:r>
            <w:r w:rsidR="00A55593">
              <w:t>Zmíněnému o</w:t>
            </w:r>
            <w:r>
              <w:t>dvětví pomohly mnohé investiční projekty spojené s čerpáním evropských dotací i růst bytové výstavby. Loňský růst napomohl stavebnictví</w:t>
            </w:r>
            <w:r w:rsidR="00A55593">
              <w:t xml:space="preserve"> i</w:t>
            </w:r>
            <w:r w:rsidR="00EE466C">
              <w:t> </w:t>
            </w:r>
            <w:r>
              <w:t>k překonání nominální úrovně HPH z roku 2010. Reálně se však HPH v odvětví v období 2011–2017 snížila o 9,1</w:t>
            </w:r>
            <w:r w:rsidR="001D51EB">
              <w:t> %</w:t>
            </w:r>
            <w:r w:rsidR="00EE466C">
              <w:t>,</w:t>
            </w:r>
            <w:r w:rsidR="00A55593">
              <w:t xml:space="preserve"> a </w:t>
            </w:r>
            <w:r>
              <w:t xml:space="preserve">stavebnictví </w:t>
            </w:r>
            <w:r w:rsidR="00A55593">
              <w:t xml:space="preserve">tak </w:t>
            </w:r>
            <w:r>
              <w:t>stále zaostává za úrovní minulé konjunktury.</w:t>
            </w:r>
          </w:p>
        </w:tc>
      </w:tr>
      <w:tr w:rsidR="00B97434" w:rsidRPr="00360DE3" w14:paraId="3131591B" w14:textId="77777777" w:rsidTr="00744EE6">
        <w:trPr>
          <w:trHeight w:val="170"/>
        </w:trPr>
        <w:tc>
          <w:tcPr>
            <w:tcW w:w="1909" w:type="dxa"/>
            <w:vMerge w:val="restart"/>
            <w:shd w:val="clear" w:color="auto" w:fill="auto"/>
          </w:tcPr>
          <w:p w14:paraId="001EF1BF" w14:textId="77777777" w:rsidR="00B97434" w:rsidRDefault="00B97434" w:rsidP="00B97434">
            <w:pPr>
              <w:pStyle w:val="Marginlie"/>
              <w:spacing w:after="240"/>
            </w:pPr>
          </w:p>
        </w:tc>
        <w:tc>
          <w:tcPr>
            <w:tcW w:w="264" w:type="dxa"/>
            <w:vMerge w:val="restart"/>
            <w:shd w:val="clear" w:color="auto" w:fill="auto"/>
          </w:tcPr>
          <w:p w14:paraId="3E2CD60C" w14:textId="77777777" w:rsidR="00B97434" w:rsidRDefault="00B97434" w:rsidP="00B97434">
            <w:pPr>
              <w:pStyle w:val="Textpoznpodarou1"/>
              <w:spacing w:after="240"/>
              <w:jc w:val="both"/>
              <w:rPr>
                <w:spacing w:val="-4"/>
              </w:rPr>
            </w:pPr>
          </w:p>
        </w:tc>
        <w:tc>
          <w:tcPr>
            <w:tcW w:w="7471" w:type="dxa"/>
            <w:shd w:val="clear" w:color="auto" w:fill="auto"/>
          </w:tcPr>
          <w:p w14:paraId="591C63E6" w14:textId="6F53FBBD" w:rsidR="00B97434" w:rsidRDefault="00B97434" w:rsidP="00884A6F">
            <w:pPr>
              <w:spacing w:after="0"/>
            </w:pPr>
            <w:r>
              <w:rPr>
                <w:rFonts w:cs="Arial"/>
                <w:b/>
                <w:lang w:eastAsia="en-US"/>
              </w:rPr>
              <w:t xml:space="preserve">Graf č. </w:t>
            </w:r>
            <w:r w:rsidR="00884A6F">
              <w:rPr>
                <w:rFonts w:cs="Arial"/>
                <w:b/>
                <w:lang w:eastAsia="en-US"/>
              </w:rPr>
              <w:t>2</w:t>
            </w:r>
            <w:r>
              <w:rPr>
                <w:rFonts w:cs="Arial"/>
                <w:b/>
                <w:lang w:eastAsia="en-US"/>
              </w:rPr>
              <w:t xml:space="preserve">  </w:t>
            </w:r>
            <w:r w:rsidRPr="00A74192">
              <w:rPr>
                <w:rFonts w:cs="Arial"/>
                <w:b/>
                <w:lang w:eastAsia="en-US"/>
              </w:rPr>
              <w:t>Příspěvky odvětví ke</w:t>
            </w:r>
            <w:r w:rsidR="00EE466C">
              <w:rPr>
                <w:rFonts w:cs="Arial"/>
                <w:b/>
                <w:lang w:eastAsia="en-US"/>
              </w:rPr>
              <w:t xml:space="preserve"> </w:t>
            </w:r>
            <w:r w:rsidRPr="00A74192">
              <w:rPr>
                <w:rFonts w:cs="Arial"/>
                <w:b/>
                <w:lang w:eastAsia="en-US"/>
              </w:rPr>
              <w:t>změně HPH</w:t>
            </w:r>
            <w:r w:rsidRPr="00A74192">
              <w:rPr>
                <w:rFonts w:cs="Arial"/>
                <w:lang w:eastAsia="en-US"/>
              </w:rPr>
              <w:t xml:space="preserve"> (</w:t>
            </w:r>
            <w:r>
              <w:rPr>
                <w:rFonts w:cs="Arial"/>
                <w:lang w:eastAsia="en-US"/>
              </w:rPr>
              <w:t>objemové indexy</w:t>
            </w:r>
            <w:r w:rsidRPr="00A74192">
              <w:rPr>
                <w:rFonts w:cs="Arial"/>
                <w:lang w:eastAsia="en-US"/>
              </w:rPr>
              <w:t>, v p.</w:t>
            </w:r>
            <w:r w:rsidR="00EE466C">
              <w:rPr>
                <w:rFonts w:cs="Arial"/>
                <w:lang w:eastAsia="en-US"/>
              </w:rPr>
              <w:t> </w:t>
            </w:r>
            <w:r w:rsidRPr="00A74192">
              <w:rPr>
                <w:rFonts w:cs="Arial"/>
                <w:lang w:eastAsia="en-US"/>
              </w:rPr>
              <w:t>b., HPH</w:t>
            </w:r>
            <w:r>
              <w:rPr>
                <w:rFonts w:cs="Arial"/>
                <w:lang w:eastAsia="en-US"/>
              </w:rPr>
              <w:t xml:space="preserve"> </w:t>
            </w:r>
            <w:r w:rsidRPr="00A74192">
              <w:rPr>
                <w:rFonts w:cs="Arial"/>
                <w:lang w:eastAsia="en-US"/>
              </w:rPr>
              <w:t>v</w:t>
            </w:r>
            <w:r w:rsidR="001D51EB">
              <w:rPr>
                <w:rFonts w:cs="Arial"/>
                <w:lang w:eastAsia="en-US"/>
              </w:rPr>
              <w:t> %</w:t>
            </w:r>
            <w:r>
              <w:rPr>
                <w:rFonts w:cs="Arial"/>
                <w:lang w:eastAsia="en-US"/>
              </w:rPr>
              <w:t>, sezónně očištěno</w:t>
            </w:r>
            <w:r w:rsidRPr="00A74192">
              <w:rPr>
                <w:rFonts w:cs="Arial"/>
                <w:lang w:eastAsia="en-US"/>
              </w:rPr>
              <w:t>)</w:t>
            </w:r>
          </w:p>
        </w:tc>
      </w:tr>
      <w:tr w:rsidR="00B97434" w:rsidRPr="00360DE3" w14:paraId="1AECA772" w14:textId="77777777" w:rsidTr="00744EE6">
        <w:trPr>
          <w:trHeight w:val="170"/>
        </w:trPr>
        <w:tc>
          <w:tcPr>
            <w:tcW w:w="1909" w:type="dxa"/>
            <w:vMerge/>
            <w:shd w:val="clear" w:color="auto" w:fill="auto"/>
          </w:tcPr>
          <w:p w14:paraId="4D341F86" w14:textId="77777777" w:rsidR="00B97434" w:rsidRPr="00360DE3" w:rsidRDefault="00B97434" w:rsidP="00B97434">
            <w:pPr>
              <w:pStyle w:val="Marginlie"/>
              <w:spacing w:after="240"/>
              <w:rPr>
                <w:spacing w:val="0"/>
              </w:rPr>
            </w:pPr>
          </w:p>
        </w:tc>
        <w:tc>
          <w:tcPr>
            <w:tcW w:w="264" w:type="dxa"/>
            <w:vMerge/>
            <w:shd w:val="clear" w:color="auto" w:fill="auto"/>
          </w:tcPr>
          <w:p w14:paraId="63AA32CA" w14:textId="77777777" w:rsidR="00B97434" w:rsidRPr="00360DE3" w:rsidRDefault="00B97434" w:rsidP="00B97434">
            <w:pPr>
              <w:pStyle w:val="Textpoznpodarou1"/>
              <w:spacing w:after="240"/>
              <w:jc w:val="both"/>
            </w:pPr>
          </w:p>
        </w:tc>
        <w:tc>
          <w:tcPr>
            <w:tcW w:w="7471" w:type="dxa"/>
            <w:shd w:val="clear" w:color="auto" w:fill="auto"/>
          </w:tcPr>
          <w:p w14:paraId="136B6ACB" w14:textId="77777777" w:rsidR="00B97434" w:rsidRPr="00360DE3" w:rsidRDefault="00B97434" w:rsidP="00B97434">
            <w:pPr>
              <w:spacing w:after="0"/>
            </w:pPr>
            <w:r>
              <w:rPr>
                <w:noProof/>
              </w:rPr>
              <w:drawing>
                <wp:inline distT="0" distB="0" distL="0" distR="0" wp14:anchorId="11236412" wp14:editId="15C2AFD4">
                  <wp:extent cx="4737600" cy="355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97434" w:rsidRPr="00360DE3" w14:paraId="1227B0DD" w14:textId="77777777" w:rsidTr="00744EE6">
        <w:trPr>
          <w:trHeight w:val="170"/>
        </w:trPr>
        <w:tc>
          <w:tcPr>
            <w:tcW w:w="1909" w:type="dxa"/>
            <w:vMerge/>
            <w:shd w:val="clear" w:color="auto" w:fill="auto"/>
          </w:tcPr>
          <w:p w14:paraId="03E06EA6" w14:textId="77777777" w:rsidR="00B97434" w:rsidRPr="00360DE3" w:rsidRDefault="00B97434" w:rsidP="00B97434">
            <w:pPr>
              <w:pStyle w:val="Marginlie"/>
              <w:spacing w:after="240"/>
              <w:rPr>
                <w:spacing w:val="0"/>
              </w:rPr>
            </w:pPr>
          </w:p>
        </w:tc>
        <w:tc>
          <w:tcPr>
            <w:tcW w:w="264" w:type="dxa"/>
            <w:vMerge/>
            <w:shd w:val="clear" w:color="auto" w:fill="auto"/>
          </w:tcPr>
          <w:p w14:paraId="54018C8D" w14:textId="77777777" w:rsidR="00B97434" w:rsidRPr="00360DE3" w:rsidRDefault="00B97434" w:rsidP="00B97434">
            <w:pPr>
              <w:pStyle w:val="Textpoznpodarou1"/>
              <w:spacing w:after="240"/>
              <w:jc w:val="both"/>
            </w:pPr>
          </w:p>
        </w:tc>
        <w:tc>
          <w:tcPr>
            <w:tcW w:w="7471" w:type="dxa"/>
            <w:shd w:val="clear" w:color="auto" w:fill="auto"/>
          </w:tcPr>
          <w:p w14:paraId="5A79EA8B" w14:textId="03ED70C8" w:rsidR="00B97434" w:rsidRPr="00360DE3" w:rsidRDefault="00B97434" w:rsidP="00B97434">
            <w:pPr>
              <w:rPr>
                <w:sz w:val="14"/>
                <w:szCs w:val="14"/>
              </w:rPr>
            </w:pPr>
            <w:r w:rsidRPr="0065379C">
              <w:rPr>
                <w:sz w:val="14"/>
                <w:szCs w:val="14"/>
              </w:rPr>
              <w:t>Zdroj:</w:t>
            </w:r>
            <w:r w:rsidR="00EE466C">
              <w:rPr>
                <w:sz w:val="14"/>
                <w:szCs w:val="14"/>
              </w:rPr>
              <w:t xml:space="preserve"> </w:t>
            </w:r>
            <w:r w:rsidRPr="0065379C">
              <w:rPr>
                <w:sz w:val="14"/>
                <w:szCs w:val="14"/>
              </w:rPr>
              <w:t>ČSÚ</w:t>
            </w:r>
          </w:p>
        </w:tc>
      </w:tr>
      <w:tr w:rsidR="00B97434" w:rsidRPr="00360DE3" w14:paraId="5ED3C27D" w14:textId="77777777" w:rsidTr="00744EE6">
        <w:trPr>
          <w:trHeight w:val="212"/>
        </w:trPr>
        <w:tc>
          <w:tcPr>
            <w:tcW w:w="1909" w:type="dxa"/>
            <w:shd w:val="clear" w:color="auto" w:fill="auto"/>
          </w:tcPr>
          <w:p w14:paraId="17B8C403" w14:textId="77777777" w:rsidR="00B97434" w:rsidRDefault="00B97434" w:rsidP="00B97434">
            <w:pPr>
              <w:pStyle w:val="Marginlie"/>
              <w:spacing w:after="240"/>
            </w:pPr>
            <w:r>
              <w:t xml:space="preserve">Ostatní evropské ekonomiky v roce 2018 také zpomalovaly. </w:t>
            </w:r>
          </w:p>
        </w:tc>
        <w:tc>
          <w:tcPr>
            <w:tcW w:w="264" w:type="dxa"/>
            <w:shd w:val="clear" w:color="auto" w:fill="auto"/>
          </w:tcPr>
          <w:p w14:paraId="264463A2" w14:textId="77777777" w:rsidR="00B97434" w:rsidRDefault="00B97434" w:rsidP="00B97434">
            <w:pPr>
              <w:pStyle w:val="Textpoznpodarou1"/>
              <w:spacing w:after="240"/>
              <w:jc w:val="both"/>
              <w:rPr>
                <w:spacing w:val="-4"/>
              </w:rPr>
            </w:pPr>
          </w:p>
        </w:tc>
        <w:tc>
          <w:tcPr>
            <w:tcW w:w="7471" w:type="dxa"/>
            <w:shd w:val="clear" w:color="auto" w:fill="auto"/>
          </w:tcPr>
          <w:p w14:paraId="28AF0EB3" w14:textId="3786EFB4" w:rsidR="00B97434" w:rsidRDefault="00B97434" w:rsidP="00A55593">
            <w:r>
              <w:t xml:space="preserve">Jak již bylo zmíněno, ve většině zemí EU dynamika hospodářského růstu v loňském roce zmírnila. V celé </w:t>
            </w:r>
            <w:r w:rsidR="003268DD">
              <w:t xml:space="preserve">Unii </w:t>
            </w:r>
            <w:r>
              <w:t>vzrostl HDP o 2,0</w:t>
            </w:r>
            <w:r w:rsidR="001D51EB">
              <w:t> %</w:t>
            </w:r>
            <w:r>
              <w:t>, přírůstek tak oslabil o 0,5</w:t>
            </w:r>
            <w:r w:rsidR="001F138C">
              <w:t> p. b.</w:t>
            </w:r>
            <w:r>
              <w:t xml:space="preserve"> v porovnání s rokem 2017. Česko patřilo k</w:t>
            </w:r>
            <w:r w:rsidR="00EE466C">
              <w:t> </w:t>
            </w:r>
            <w:r>
              <w:t>trojici</w:t>
            </w:r>
            <w:r w:rsidR="00EE466C">
              <w:t xml:space="preserve"> </w:t>
            </w:r>
            <w:r>
              <w:t xml:space="preserve">zemí, kde hospodářský růst </w:t>
            </w:r>
            <w:r>
              <w:lastRenderedPageBreak/>
              <w:t>meziročně oslabil nejvíce, spolu s Rumunskem a Finskem. Klíčový</w:t>
            </w:r>
            <w:r w:rsidR="00A55593">
              <w:t>m</w:t>
            </w:r>
            <w:r>
              <w:t xml:space="preserve"> </w:t>
            </w:r>
            <w:r w:rsidR="003268DD">
              <w:t xml:space="preserve">impulzem </w:t>
            </w:r>
            <w:r>
              <w:t xml:space="preserve">pro Evropu však </w:t>
            </w:r>
            <w:r w:rsidR="00A55593">
              <w:t>bylo</w:t>
            </w:r>
            <w:r>
              <w:t xml:space="preserve"> zpomalení německé ekonomiky z 2,2</w:t>
            </w:r>
            <w:r w:rsidR="001D51EB">
              <w:t> %</w:t>
            </w:r>
            <w:r>
              <w:t xml:space="preserve"> v roce 2017 na loňské 1,4 %. Nejsilnější dynamiku vykazovaly ekonomiky Irska (8,2</w:t>
            </w:r>
            <w:r w:rsidR="001D51EB">
              <w:t> %</w:t>
            </w:r>
            <w:r>
              <w:t>), Malty (6,7</w:t>
            </w:r>
            <w:r w:rsidR="001D51EB">
              <w:t> %</w:t>
            </w:r>
            <w:r>
              <w:t>) a</w:t>
            </w:r>
            <w:r w:rsidR="003268DD">
              <w:t> </w:t>
            </w:r>
            <w:r>
              <w:t>Polska (5,1</w:t>
            </w:r>
            <w:r w:rsidR="001D51EB">
              <w:t> %</w:t>
            </w:r>
            <w:r>
              <w:t xml:space="preserve">). </w:t>
            </w:r>
            <w:r w:rsidR="00A55593">
              <w:t>N</w:t>
            </w:r>
            <w:r>
              <w:t xml:space="preserve">a dalších příčkách se umístily země střední a východní Evropy, které přistoupily do Unie po roce 2000. K růstu </w:t>
            </w:r>
            <w:r w:rsidR="00A55593">
              <w:t>zde</w:t>
            </w:r>
            <w:r>
              <w:t xml:space="preserve"> přispěl</w:t>
            </w:r>
            <w:r w:rsidR="00A55593">
              <w:t>a</w:t>
            </w:r>
            <w:r>
              <w:t xml:space="preserve"> siln</w:t>
            </w:r>
            <w:r w:rsidR="00A55593">
              <w:t>á dynamika</w:t>
            </w:r>
            <w:r>
              <w:t xml:space="preserve"> spotřeby kombinovan</w:t>
            </w:r>
            <w:r w:rsidR="00A55593">
              <w:t>á</w:t>
            </w:r>
            <w:r>
              <w:t xml:space="preserve"> s výraznou investiční aktivitou podpořenou evropskými dotacemi. Nejpomaleji rostla ekonomika Itálie (0,9</w:t>
            </w:r>
            <w:r w:rsidR="001D51EB">
              <w:t> %</w:t>
            </w:r>
            <w:r>
              <w:t>) a shodně jen o 1,4</w:t>
            </w:r>
            <w:r w:rsidR="001D51EB">
              <w:t> %</w:t>
            </w:r>
            <w:r>
              <w:t xml:space="preserve"> se zvýšil HDP v Belgii, Velké Británii a Německu.</w:t>
            </w:r>
          </w:p>
        </w:tc>
      </w:tr>
      <w:tr w:rsidR="00B97434" w:rsidRPr="00360DE3" w14:paraId="38398319" w14:textId="77777777" w:rsidTr="00744EE6">
        <w:trPr>
          <w:trHeight w:val="150"/>
        </w:trPr>
        <w:tc>
          <w:tcPr>
            <w:tcW w:w="1909" w:type="dxa"/>
            <w:vMerge w:val="restart"/>
            <w:shd w:val="clear" w:color="auto" w:fill="auto"/>
          </w:tcPr>
          <w:p w14:paraId="7CD930F7" w14:textId="77777777" w:rsidR="00B97434" w:rsidRDefault="00B97434" w:rsidP="00B97434">
            <w:pPr>
              <w:pStyle w:val="Marginlie"/>
              <w:spacing w:after="240"/>
            </w:pPr>
          </w:p>
        </w:tc>
        <w:tc>
          <w:tcPr>
            <w:tcW w:w="264" w:type="dxa"/>
            <w:vMerge w:val="restart"/>
            <w:shd w:val="clear" w:color="auto" w:fill="auto"/>
          </w:tcPr>
          <w:p w14:paraId="333861BA" w14:textId="77777777" w:rsidR="00B97434" w:rsidRDefault="00B97434" w:rsidP="00B97434">
            <w:pPr>
              <w:pStyle w:val="Textpoznpodarou1"/>
              <w:jc w:val="both"/>
              <w:rPr>
                <w:spacing w:val="-4"/>
              </w:rPr>
            </w:pPr>
          </w:p>
        </w:tc>
        <w:tc>
          <w:tcPr>
            <w:tcW w:w="7471" w:type="dxa"/>
            <w:shd w:val="clear" w:color="auto" w:fill="auto"/>
          </w:tcPr>
          <w:p w14:paraId="1509E8ED" w14:textId="77777777" w:rsidR="00B97434" w:rsidRDefault="00B97434" w:rsidP="00884A6F">
            <w:pPr>
              <w:spacing w:after="0"/>
            </w:pPr>
            <w:r w:rsidRPr="00062AB4">
              <w:rPr>
                <w:b/>
              </w:rPr>
              <w:t xml:space="preserve">Graf č. </w:t>
            </w:r>
            <w:r w:rsidR="00884A6F">
              <w:rPr>
                <w:b/>
              </w:rPr>
              <w:t>3</w:t>
            </w:r>
            <w:r w:rsidRPr="00062AB4">
              <w:rPr>
                <w:b/>
              </w:rPr>
              <w:t xml:space="preserve">  Hrubý domácí produkt</w:t>
            </w:r>
            <w:r>
              <w:t xml:space="preserve"> (meziroční přírůstek v</w:t>
            </w:r>
            <w:r w:rsidR="001D51EB">
              <w:t> %</w:t>
            </w:r>
            <w:r>
              <w:t>)</w:t>
            </w:r>
          </w:p>
        </w:tc>
      </w:tr>
      <w:tr w:rsidR="00B97434" w:rsidRPr="00360DE3" w14:paraId="6501250D" w14:textId="77777777" w:rsidTr="00A1260E">
        <w:tblPrEx>
          <w:tblCellMar>
            <w:left w:w="70" w:type="dxa"/>
            <w:right w:w="70" w:type="dxa"/>
          </w:tblCellMar>
        </w:tblPrEx>
        <w:trPr>
          <w:trHeight w:val="150"/>
        </w:trPr>
        <w:tc>
          <w:tcPr>
            <w:tcW w:w="1909" w:type="dxa"/>
            <w:vMerge/>
            <w:shd w:val="clear" w:color="auto" w:fill="auto"/>
          </w:tcPr>
          <w:p w14:paraId="11671600" w14:textId="77777777" w:rsidR="00B97434" w:rsidRPr="00360DE3" w:rsidRDefault="00B97434" w:rsidP="00B97434">
            <w:pPr>
              <w:pStyle w:val="Marginlie"/>
              <w:spacing w:after="240"/>
              <w:rPr>
                <w:spacing w:val="0"/>
              </w:rPr>
            </w:pPr>
          </w:p>
        </w:tc>
        <w:tc>
          <w:tcPr>
            <w:tcW w:w="264" w:type="dxa"/>
            <w:vMerge/>
            <w:shd w:val="clear" w:color="auto" w:fill="auto"/>
          </w:tcPr>
          <w:p w14:paraId="3AC3AF27" w14:textId="77777777" w:rsidR="00B97434" w:rsidRPr="00360DE3" w:rsidRDefault="00B97434" w:rsidP="00B97434">
            <w:pPr>
              <w:pStyle w:val="Textpoznpodarou1"/>
              <w:jc w:val="both"/>
            </w:pPr>
          </w:p>
        </w:tc>
        <w:tc>
          <w:tcPr>
            <w:tcW w:w="7471" w:type="dxa"/>
            <w:shd w:val="clear" w:color="auto" w:fill="auto"/>
          </w:tcPr>
          <w:p w14:paraId="00234B01" w14:textId="3D8B1236" w:rsidR="00B97434" w:rsidRPr="00360DE3" w:rsidRDefault="00A1260E" w:rsidP="00B97434">
            <w:pPr>
              <w:spacing w:after="0"/>
            </w:pPr>
            <w:r>
              <w:rPr>
                <w:noProof/>
              </w:rPr>
              <w:drawing>
                <wp:inline distT="0" distB="0" distL="0" distR="0" wp14:anchorId="1B467DB5" wp14:editId="0F1A2F79">
                  <wp:extent cx="4733925" cy="3552825"/>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B97434" w:rsidRPr="00360DE3" w14:paraId="22D0A362" w14:textId="77777777" w:rsidTr="00744EE6">
        <w:trPr>
          <w:trHeight w:val="150"/>
        </w:trPr>
        <w:tc>
          <w:tcPr>
            <w:tcW w:w="1909" w:type="dxa"/>
            <w:vMerge/>
            <w:shd w:val="clear" w:color="auto" w:fill="auto"/>
          </w:tcPr>
          <w:p w14:paraId="77F74CB2" w14:textId="77777777" w:rsidR="00B97434" w:rsidRPr="00360DE3" w:rsidRDefault="00B97434" w:rsidP="00B97434">
            <w:pPr>
              <w:pStyle w:val="Marginlie"/>
              <w:spacing w:after="240"/>
              <w:rPr>
                <w:spacing w:val="0"/>
              </w:rPr>
            </w:pPr>
          </w:p>
        </w:tc>
        <w:tc>
          <w:tcPr>
            <w:tcW w:w="264" w:type="dxa"/>
            <w:vMerge/>
            <w:shd w:val="clear" w:color="auto" w:fill="auto"/>
          </w:tcPr>
          <w:p w14:paraId="6546433F" w14:textId="77777777" w:rsidR="00B97434" w:rsidRPr="00360DE3" w:rsidRDefault="00B97434" w:rsidP="00B97434">
            <w:pPr>
              <w:pStyle w:val="Textpoznpodarou1"/>
              <w:jc w:val="both"/>
            </w:pPr>
          </w:p>
        </w:tc>
        <w:tc>
          <w:tcPr>
            <w:tcW w:w="7471" w:type="dxa"/>
            <w:shd w:val="clear" w:color="auto" w:fill="auto"/>
          </w:tcPr>
          <w:p w14:paraId="538EA805" w14:textId="77777777" w:rsidR="00B97434" w:rsidRPr="00360DE3" w:rsidRDefault="00B97434" w:rsidP="00B97434">
            <w:pPr>
              <w:rPr>
                <w:sz w:val="14"/>
                <w:szCs w:val="14"/>
              </w:rPr>
            </w:pPr>
            <w:r w:rsidRPr="0065379C">
              <w:rPr>
                <w:sz w:val="14"/>
                <w:szCs w:val="14"/>
              </w:rPr>
              <w:t>Zdroj: Eurostat</w:t>
            </w:r>
          </w:p>
        </w:tc>
      </w:tr>
    </w:tbl>
    <w:p w14:paraId="391898BB" w14:textId="4AC7F402" w:rsidR="00F46502" w:rsidRPr="00360DE3" w:rsidRDefault="003852A9" w:rsidP="00F46502">
      <w:pPr>
        <w:pStyle w:val="Nadpis1"/>
      </w:pPr>
      <w:bookmarkStart w:id="4" w:name="_Toc511215218"/>
      <w:bookmarkStart w:id="5" w:name="_Toc16586011"/>
      <w:r>
        <w:t>3</w:t>
      </w:r>
      <w:r w:rsidR="00F46502" w:rsidRPr="00360DE3">
        <w:t xml:space="preserve">. </w:t>
      </w:r>
      <w:bookmarkEnd w:id="4"/>
      <w:r w:rsidR="00B97434">
        <w:t>Vnější ekonomické vztahy</w:t>
      </w:r>
      <w:bookmarkEnd w:id="5"/>
    </w:p>
    <w:tbl>
      <w:tblPr>
        <w:tblW w:w="9597" w:type="dxa"/>
        <w:tblInd w:w="-15" w:type="dxa"/>
        <w:tblLayout w:type="fixed"/>
        <w:tblCellMar>
          <w:left w:w="0" w:type="dxa"/>
          <w:right w:w="0" w:type="dxa"/>
        </w:tblCellMar>
        <w:tblLook w:val="00A0" w:firstRow="1" w:lastRow="0" w:firstColumn="1" w:lastColumn="0" w:noHBand="0" w:noVBand="0"/>
      </w:tblPr>
      <w:tblGrid>
        <w:gridCol w:w="1966"/>
        <w:gridCol w:w="276"/>
        <w:gridCol w:w="7355"/>
      </w:tblGrid>
      <w:tr w:rsidR="00B97434" w:rsidRPr="00360DE3" w14:paraId="589BE054" w14:textId="77777777" w:rsidTr="00744EE6">
        <w:trPr>
          <w:trHeight w:val="145"/>
        </w:trPr>
        <w:tc>
          <w:tcPr>
            <w:tcW w:w="1966" w:type="dxa"/>
          </w:tcPr>
          <w:p w14:paraId="7FA80543" w14:textId="77777777" w:rsidR="00B97434" w:rsidRPr="001502B1" w:rsidRDefault="00B97434" w:rsidP="00B97434">
            <w:pPr>
              <w:pStyle w:val="Marginlie"/>
            </w:pPr>
            <w:r>
              <w:t>Přebytek obchodu se zbožím a službami se loni snížil.</w:t>
            </w:r>
          </w:p>
        </w:tc>
        <w:tc>
          <w:tcPr>
            <w:tcW w:w="276" w:type="dxa"/>
          </w:tcPr>
          <w:p w14:paraId="6BDED88B" w14:textId="77777777" w:rsidR="00B97434" w:rsidRPr="005E4483" w:rsidRDefault="00B97434" w:rsidP="00B97434">
            <w:pPr>
              <w:pStyle w:val="Textpoznpodarou"/>
              <w:jc w:val="both"/>
              <w:rPr>
                <w:spacing w:val="-4"/>
              </w:rPr>
            </w:pPr>
          </w:p>
        </w:tc>
        <w:tc>
          <w:tcPr>
            <w:tcW w:w="7355" w:type="dxa"/>
          </w:tcPr>
          <w:p w14:paraId="5F263A6A" w14:textId="0A22A426" w:rsidR="00B97434" w:rsidRPr="001502B1" w:rsidRDefault="00B97434" w:rsidP="00A55593">
            <w:r>
              <w:t xml:space="preserve">Hodnota vývozu zboží </w:t>
            </w:r>
            <w:r w:rsidR="00A55593">
              <w:t>i</w:t>
            </w:r>
            <w:r>
              <w:t xml:space="preserve"> služeb v roce 2018 </w:t>
            </w:r>
            <w:r w:rsidR="00A55593">
              <w:t xml:space="preserve">rostla a </w:t>
            </w:r>
            <w:r>
              <w:t>zvýšila</w:t>
            </w:r>
            <w:r w:rsidR="00A55593">
              <w:t xml:space="preserve"> se celkem </w:t>
            </w:r>
            <w:r>
              <w:t>o 153,0</w:t>
            </w:r>
            <w:r w:rsidR="001F138C">
              <w:t> mld.</w:t>
            </w:r>
            <w:r>
              <w:t xml:space="preserve"> korun </w:t>
            </w:r>
            <w:r w:rsidR="00A55593">
              <w:t xml:space="preserve">na </w:t>
            </w:r>
            <w:r>
              <w:t>4 177,0</w:t>
            </w:r>
            <w:r w:rsidR="001F138C">
              <w:t> mld.</w:t>
            </w:r>
            <w:r>
              <w:rPr>
                <w:rStyle w:val="Znakapoznpodarou"/>
              </w:rPr>
              <w:footnoteReference w:id="3"/>
            </w:r>
            <w:r w:rsidR="00A55593">
              <w:t xml:space="preserve"> </w:t>
            </w:r>
            <w:r>
              <w:t>Na druhé straně rostoucí domácí poptávka zvýšila i</w:t>
            </w:r>
            <w:r w:rsidR="00A55593">
              <w:t> </w:t>
            </w:r>
            <w:r>
              <w:t>hodnotu importu o 192,6</w:t>
            </w:r>
            <w:r w:rsidR="001F138C">
              <w:t> mld.</w:t>
            </w:r>
            <w:r>
              <w:t xml:space="preserve"> korun na 3 836,9 mld. Bilance zahraničního obchodu se zbožím a službami tak dosáhla přebytku 340,1</w:t>
            </w:r>
            <w:r w:rsidR="001F138C">
              <w:t> mld.</w:t>
            </w:r>
            <w:r>
              <w:t xml:space="preserve"> korun. Přebytek se však meziročně snížil o 39,6</w:t>
            </w:r>
            <w:r w:rsidR="001F138C">
              <w:t> mld.</w:t>
            </w:r>
            <w:r>
              <w:t xml:space="preserve"> korun. Většinu kladného salda tvořil obchod se zbožím (223,6</w:t>
            </w:r>
            <w:r w:rsidR="001F138C">
              <w:t> mld.</w:t>
            </w:r>
            <w:r>
              <w:t>), i</w:t>
            </w:r>
            <w:r w:rsidR="00314A41">
              <w:t> </w:t>
            </w:r>
            <w:r>
              <w:t>v tomto případě ale došlo k poklesu o 29,6</w:t>
            </w:r>
            <w:r w:rsidR="001F138C">
              <w:t> mld.</w:t>
            </w:r>
            <w:r>
              <w:t xml:space="preserve"> Bilance obchodu se službami skončila v přebytku 116,6</w:t>
            </w:r>
            <w:r w:rsidR="001F138C">
              <w:t> mld.</w:t>
            </w:r>
            <w:r>
              <w:t xml:space="preserve"> korun a snížila se o</w:t>
            </w:r>
            <w:r w:rsidR="00314A41">
              <w:t> </w:t>
            </w:r>
            <w:r>
              <w:t>10,0</w:t>
            </w:r>
            <w:r w:rsidR="001F138C">
              <w:t> mld.</w:t>
            </w:r>
          </w:p>
        </w:tc>
      </w:tr>
      <w:tr w:rsidR="00B97434" w:rsidRPr="00360DE3" w14:paraId="2DFA5CCB" w14:textId="77777777" w:rsidTr="00744EE6">
        <w:trPr>
          <w:trHeight w:val="145"/>
        </w:trPr>
        <w:tc>
          <w:tcPr>
            <w:tcW w:w="1966" w:type="dxa"/>
            <w:shd w:val="clear" w:color="auto" w:fill="auto"/>
          </w:tcPr>
          <w:p w14:paraId="6EF9DEF7" w14:textId="11B47DB1" w:rsidR="00B97434" w:rsidRPr="004A24B0" w:rsidRDefault="00B97434" w:rsidP="00B97434">
            <w:pPr>
              <w:pStyle w:val="Marginlie"/>
            </w:pPr>
            <w:r>
              <w:t>Deficit prvotních důchodů</w:t>
            </w:r>
            <w:r w:rsidR="00314A41">
              <w:br/>
            </w:r>
            <w:r>
              <w:t>se loni zmírnil.</w:t>
            </w:r>
          </w:p>
        </w:tc>
        <w:tc>
          <w:tcPr>
            <w:tcW w:w="276" w:type="dxa"/>
          </w:tcPr>
          <w:p w14:paraId="02EB8B84" w14:textId="77777777" w:rsidR="00B97434" w:rsidRPr="005E4483" w:rsidRDefault="00B97434" w:rsidP="00B97434">
            <w:pPr>
              <w:pStyle w:val="Textpoznpodarou"/>
              <w:jc w:val="both"/>
              <w:rPr>
                <w:spacing w:val="-4"/>
              </w:rPr>
            </w:pPr>
          </w:p>
        </w:tc>
        <w:tc>
          <w:tcPr>
            <w:tcW w:w="7355" w:type="dxa"/>
          </w:tcPr>
          <w:p w14:paraId="2153FC14" w14:textId="661C0CDC" w:rsidR="00B97434" w:rsidRPr="001502B1" w:rsidRDefault="00B97434" w:rsidP="00012408">
            <w:r>
              <w:t>Hodnota náhrad zaměstnancům přijatých ze zahraničí loni dosáhla 66,8</w:t>
            </w:r>
            <w:r w:rsidR="001F138C">
              <w:t> mld.</w:t>
            </w:r>
            <w:r>
              <w:t xml:space="preserve"> korun a</w:t>
            </w:r>
            <w:r w:rsidR="00314A41">
              <w:t> </w:t>
            </w:r>
            <w:r>
              <w:t>meziročně se zvýšila o 2,4</w:t>
            </w:r>
            <w:r w:rsidR="001F138C">
              <w:t> mld.</w:t>
            </w:r>
            <w:r>
              <w:t xml:space="preserve"> (3,7</w:t>
            </w:r>
            <w:r w:rsidR="001D51EB">
              <w:t> %</w:t>
            </w:r>
            <w:r>
              <w:t>). Z toho mzdy a platy tvořily 55,7 mld. Na druhé straně bylo do zahraničí vyplaceno v podobě náhrad 36,1</w:t>
            </w:r>
            <w:r w:rsidR="001F138C">
              <w:t> mld.</w:t>
            </w:r>
            <w:r>
              <w:t xml:space="preserve"> korun, o</w:t>
            </w:r>
            <w:r w:rsidR="00012408">
              <w:t> </w:t>
            </w:r>
            <w:r>
              <w:t>9,4</w:t>
            </w:r>
            <w:r w:rsidR="00012408">
              <w:t> </w:t>
            </w:r>
            <w:r>
              <w:t>mld. (35,2</w:t>
            </w:r>
            <w:r w:rsidR="001D51EB">
              <w:t> %</w:t>
            </w:r>
            <w:r>
              <w:t>) více než v předchozím roce. Mnohem výraznějším příjmem nerezidentů</w:t>
            </w:r>
            <w:r>
              <w:rPr>
                <w:rStyle w:val="Znakapoznpodarou"/>
              </w:rPr>
              <w:footnoteReference w:id="4"/>
            </w:r>
            <w:r>
              <w:t xml:space="preserve"> ve vztahu k domácí ekonomice jsou dlouhodobě důchody z vlastnictví. Ty loni dosáhly 500,5</w:t>
            </w:r>
            <w:r w:rsidR="001F138C">
              <w:t> mld.</w:t>
            </w:r>
            <w:r>
              <w:t xml:space="preserve"> korun, z toho úroky</w:t>
            </w:r>
            <w:r w:rsidR="00B619A9">
              <w:rPr>
                <w:rStyle w:val="Znakapoznpodarou"/>
                <w:spacing w:val="-4"/>
              </w:rPr>
              <w:footnoteReference w:id="5"/>
            </w:r>
            <w:r>
              <w:t xml:space="preserve"> 55,0</w:t>
            </w:r>
            <w:r w:rsidR="001F138C">
              <w:t> mld.</w:t>
            </w:r>
            <w:r>
              <w:t xml:space="preserve"> a zisky </w:t>
            </w:r>
            <w:r>
              <w:lastRenderedPageBreak/>
              <w:t>z přímých investic zahraničních vlastníků 445,1</w:t>
            </w:r>
            <w:r w:rsidR="001F138C">
              <w:t> mld.</w:t>
            </w:r>
            <w:r>
              <w:t xml:space="preserve"> (8,4</w:t>
            </w:r>
            <w:r w:rsidR="001D51EB">
              <w:t> %</w:t>
            </w:r>
            <w:r w:rsidR="00314A41">
              <w:t> </w:t>
            </w:r>
            <w:r>
              <w:t>HDP). Rozdělované důchody společností se loni zvýšily o 29,6</w:t>
            </w:r>
            <w:r w:rsidR="001F138C">
              <w:t> mld.</w:t>
            </w:r>
            <w:r>
              <w:t xml:space="preserve"> korun na 305,5</w:t>
            </w:r>
            <w:r w:rsidR="001F138C">
              <w:t> mld.</w:t>
            </w:r>
            <w:r>
              <w:t xml:space="preserve"> Růst probíhal na úkor reinvestovaných zisků. Ty se snížily o 36,5</w:t>
            </w:r>
            <w:r w:rsidR="001F138C">
              <w:t> mld.</w:t>
            </w:r>
            <w:r>
              <w:t xml:space="preserve"> na 139,6</w:t>
            </w:r>
            <w:r w:rsidR="001F138C">
              <w:t> mld.</w:t>
            </w:r>
            <w:r>
              <w:t xml:space="preserve"> korun a</w:t>
            </w:r>
            <w:r w:rsidR="00314A41">
              <w:t> </w:t>
            </w:r>
            <w:r>
              <w:t>podíl reinvestic na celkových ziscích klesl na 31,4</w:t>
            </w:r>
            <w:r w:rsidR="001D51EB">
              <w:t> %</w:t>
            </w:r>
            <w:r>
              <w:t>. Důchody z vlastnictví v</w:t>
            </w:r>
            <w:r w:rsidR="00314A41">
              <w:t> </w:t>
            </w:r>
            <w:r>
              <w:t>zahraničí, které si připsali domácí vlastníci, se loni zvýšily o 21,4</w:t>
            </w:r>
            <w:r w:rsidR="001F138C">
              <w:t> mld.</w:t>
            </w:r>
            <w:r>
              <w:t xml:space="preserve"> korun na</w:t>
            </w:r>
            <w:r w:rsidR="00314A41">
              <w:t> </w:t>
            </w:r>
            <w:r>
              <w:t>149,1</w:t>
            </w:r>
            <w:r w:rsidR="001F138C">
              <w:t> mld.</w:t>
            </w:r>
            <w:r>
              <w:t xml:space="preserve"> Výsledný čistý odliv důchodů z vlastnictví klesl o 19,8</w:t>
            </w:r>
            <w:r w:rsidR="001F138C">
              <w:t> mld.</w:t>
            </w:r>
            <w:r>
              <w:t xml:space="preserve"> korun na 351,4</w:t>
            </w:r>
            <w:r w:rsidR="001F138C">
              <w:t> mld.</w:t>
            </w:r>
            <w:r>
              <w:t xml:space="preserve"> a představoval 6,6</w:t>
            </w:r>
            <w:r w:rsidR="001D51EB">
              <w:t> %</w:t>
            </w:r>
            <w:r>
              <w:t xml:space="preserve"> HDP. Deficit prvotních důchodů mírnily dotace ve výši 32,5 mld. korun, které obdržela domácí ekonomika ze zahraničí. Saldo prvotních důchodů dosáhlo </w:t>
            </w:r>
            <w:r w:rsidR="001F138C">
              <w:t>–</w:t>
            </w:r>
            <w:r>
              <w:t>296,8</w:t>
            </w:r>
            <w:r w:rsidR="001F138C">
              <w:t> mld.</w:t>
            </w:r>
            <w:r>
              <w:t xml:space="preserve"> korun a meziročně se zmírnilo o</w:t>
            </w:r>
            <w:r w:rsidR="00314A41">
              <w:t> </w:t>
            </w:r>
            <w:r>
              <w:t>13,4 mld.</w:t>
            </w:r>
          </w:p>
        </w:tc>
      </w:tr>
      <w:tr w:rsidR="00B97434" w:rsidRPr="00360DE3" w14:paraId="361862FA" w14:textId="77777777" w:rsidTr="00744EE6">
        <w:trPr>
          <w:trHeight w:val="90"/>
        </w:trPr>
        <w:tc>
          <w:tcPr>
            <w:tcW w:w="1966" w:type="dxa"/>
            <w:shd w:val="clear" w:color="auto" w:fill="auto"/>
          </w:tcPr>
          <w:p w14:paraId="78C693D6" w14:textId="77777777" w:rsidR="00B97434" w:rsidRDefault="00B97434" w:rsidP="00B97434">
            <w:pPr>
              <w:pStyle w:val="Marginlie"/>
            </w:pPr>
            <w:r>
              <w:lastRenderedPageBreak/>
              <w:t>Saldo běžných transakcí rezidentů s nerezidenty loni skončilo v deficitu.</w:t>
            </w:r>
          </w:p>
        </w:tc>
        <w:tc>
          <w:tcPr>
            <w:tcW w:w="276" w:type="dxa"/>
          </w:tcPr>
          <w:p w14:paraId="75226C81" w14:textId="77777777" w:rsidR="00B97434" w:rsidRPr="005E4483" w:rsidRDefault="00B97434" w:rsidP="00B97434">
            <w:pPr>
              <w:pStyle w:val="Textpoznpodarou"/>
              <w:jc w:val="both"/>
              <w:rPr>
                <w:spacing w:val="-4"/>
              </w:rPr>
            </w:pPr>
          </w:p>
        </w:tc>
        <w:tc>
          <w:tcPr>
            <w:tcW w:w="7355" w:type="dxa"/>
          </w:tcPr>
          <w:p w14:paraId="44A98321" w14:textId="220DBBF5" w:rsidR="00B97434" w:rsidRPr="00A1151F" w:rsidRDefault="00B97434" w:rsidP="00B97434">
            <w:r>
              <w:t>Do zahraničí loni odešlo prostřednictvím dalších transferů (běžné daně z důchodů, sociální příspěvky a dávky a ostatní běžné transfery) 132,3</w:t>
            </w:r>
            <w:r w:rsidR="001F138C">
              <w:t> mld.</w:t>
            </w:r>
            <w:r>
              <w:t xml:space="preserve"> korun, což je o</w:t>
            </w:r>
            <w:r w:rsidR="001F52D6">
              <w:t> </w:t>
            </w:r>
            <w:r>
              <w:t>12,8</w:t>
            </w:r>
            <w:r w:rsidR="001F138C">
              <w:t> mld.</w:t>
            </w:r>
            <w:r>
              <w:t xml:space="preserve"> více než v předchozím roce. Růst má původ v ostatních běžných transferech –</w:t>
            </w:r>
            <w:r w:rsidR="00805381">
              <w:t xml:space="preserve"> </w:t>
            </w:r>
            <w:r>
              <w:t>o</w:t>
            </w:r>
            <w:r w:rsidR="001F52D6">
              <w:t> </w:t>
            </w:r>
            <w:r>
              <w:t>7,4</w:t>
            </w:r>
            <w:r w:rsidR="001F138C">
              <w:t> mld.</w:t>
            </w:r>
            <w:r>
              <w:t xml:space="preserve"> na 42,7</w:t>
            </w:r>
            <w:r w:rsidR="001F138C">
              <w:t> mld.</w:t>
            </w:r>
            <w:r>
              <w:t xml:space="preserve"> se navýšily vlastní zdroje EU odvozené z DPH a HND a</w:t>
            </w:r>
            <w:r w:rsidR="001F52D6">
              <w:t> </w:t>
            </w:r>
            <w:r>
              <w:t>o</w:t>
            </w:r>
            <w:r w:rsidR="001F52D6">
              <w:t> </w:t>
            </w:r>
            <w:r>
              <w:t>3,7</w:t>
            </w:r>
            <w:r w:rsidR="001F138C">
              <w:t> mld.</w:t>
            </w:r>
            <w:r>
              <w:t xml:space="preserve"> na 27,5</w:t>
            </w:r>
            <w:r w:rsidR="001F138C">
              <w:t> mld.</w:t>
            </w:r>
            <w:r>
              <w:t xml:space="preserve"> se navýšily jiné běžné transfery. Naopak domácí ekonomika od nerezidentů obdržela prostřednictvím uvedených toků 76,3 mld. korun. Výsledné saldo tedy bylo záporné a čistý odliv druhotných důchodů z domácí ekonomiky činil 56,0</w:t>
            </w:r>
            <w:r w:rsidR="001F138C">
              <w:t> mld.</w:t>
            </w:r>
            <w:r>
              <w:t xml:space="preserve"> Čistý odliv prvotních a druhotných důchodů do zahraničí převýšil přebytek zahraničního obchodu o 12,8</w:t>
            </w:r>
            <w:r w:rsidR="001F138C">
              <w:t> mld.</w:t>
            </w:r>
            <w:r>
              <w:t xml:space="preserve"> korun a</w:t>
            </w:r>
            <w:r w:rsidR="001F52D6">
              <w:t> </w:t>
            </w:r>
            <w:r>
              <w:t xml:space="preserve">po krátkém přebytkovém období let 2016 a 2017 spadlo saldo běžných transakcí rezidentů s nerezidenty opět do deficitu. </w:t>
            </w:r>
          </w:p>
        </w:tc>
      </w:tr>
      <w:tr w:rsidR="00B97434" w:rsidRPr="00360DE3" w14:paraId="4BC1F883" w14:textId="77777777" w:rsidTr="00744EE6">
        <w:trPr>
          <w:trHeight w:val="90"/>
        </w:trPr>
        <w:tc>
          <w:tcPr>
            <w:tcW w:w="1966" w:type="dxa"/>
            <w:shd w:val="clear" w:color="auto" w:fill="auto"/>
          </w:tcPr>
          <w:p w14:paraId="6099F06D" w14:textId="77777777" w:rsidR="00B97434" w:rsidRDefault="00B97434" w:rsidP="00A55593">
            <w:pPr>
              <w:pStyle w:val="Marginlie"/>
            </w:pPr>
            <w:r>
              <w:t xml:space="preserve">Domácí ekonomika přijala výrazný </w:t>
            </w:r>
            <w:r w:rsidR="00A55593">
              <w:t>objem</w:t>
            </w:r>
            <w:r>
              <w:t xml:space="preserve"> kapitálových transferů.</w:t>
            </w:r>
          </w:p>
        </w:tc>
        <w:tc>
          <w:tcPr>
            <w:tcW w:w="276" w:type="dxa"/>
          </w:tcPr>
          <w:p w14:paraId="0CA97D1D" w14:textId="77777777" w:rsidR="00B97434" w:rsidRPr="005E4483" w:rsidRDefault="00B97434" w:rsidP="00B97434">
            <w:pPr>
              <w:pStyle w:val="Textpoznpodarou"/>
              <w:jc w:val="both"/>
              <w:rPr>
                <w:spacing w:val="-4"/>
              </w:rPr>
            </w:pPr>
          </w:p>
        </w:tc>
        <w:tc>
          <w:tcPr>
            <w:tcW w:w="7355" w:type="dxa"/>
          </w:tcPr>
          <w:p w14:paraId="5D316A25" w14:textId="3DCE4C86" w:rsidR="00B97434" w:rsidRDefault="00B97434" w:rsidP="00012408">
            <w:r>
              <w:t>Saldo kapitálových transferů ukázalo na čistý příliv ve výši 58,8</w:t>
            </w:r>
            <w:r w:rsidR="001F138C">
              <w:t> mld.</w:t>
            </w:r>
            <w:r>
              <w:t xml:space="preserve"> korun. Zatímco hodnota odchozích transferů meziročně klesla o 3,1</w:t>
            </w:r>
            <w:r w:rsidR="001F138C">
              <w:t> mld.</w:t>
            </w:r>
            <w:r>
              <w:t xml:space="preserve"> korun na 4,9 mld., ze zahraničí domácí ekonomika přijala meziročně o 24,1</w:t>
            </w:r>
            <w:r w:rsidR="001F138C">
              <w:t> mld.</w:t>
            </w:r>
            <w:r>
              <w:t xml:space="preserve"> více, a to 63,7 mld. Z toho 61,4</w:t>
            </w:r>
            <w:r w:rsidR="001F138C">
              <w:t> mld.</w:t>
            </w:r>
            <w:r>
              <w:t xml:space="preserve"> korun tvořily investiční dotace. Nárůst přijatých kapitálových toků koresponduje i</w:t>
            </w:r>
            <w:r w:rsidR="001F52D6">
              <w:t> s </w:t>
            </w:r>
            <w:r>
              <w:t>výrazným posílením investiční aktivity v domácí ekonomice. Výsledné změny čistého jmění vlivem úspor a kapitálových transferů tak byly pro domácí ekonomiku pozitivní (46,0</w:t>
            </w:r>
            <w:r w:rsidR="001F138C">
              <w:t> mld.</w:t>
            </w:r>
            <w:r>
              <w:t>). Čisté půjčky dosáhly 36,3</w:t>
            </w:r>
            <w:r w:rsidR="00012408">
              <w:t> </w:t>
            </w:r>
            <w:r>
              <w:t>mld. korun a byly kladné šestým rokem v řadě. I tak zůstává národní ekonomika vůči zahraničí v dlužnické pozici. Závazky vůči nerezidentům loni překonaly aktiva o 914,4</w:t>
            </w:r>
            <w:r w:rsidR="001F138C">
              <w:t> mld.</w:t>
            </w:r>
            <w:r>
              <w:t xml:space="preserve"> korun.</w:t>
            </w:r>
          </w:p>
        </w:tc>
      </w:tr>
    </w:tbl>
    <w:p w14:paraId="6B67A915" w14:textId="76CDC430" w:rsidR="00BE6186" w:rsidRPr="00360DE3" w:rsidRDefault="003852A9" w:rsidP="00BE6186">
      <w:pPr>
        <w:pStyle w:val="Nadpis1"/>
      </w:pPr>
      <w:bookmarkStart w:id="6" w:name="_Toc16586012"/>
      <w:r>
        <w:t>4</w:t>
      </w:r>
      <w:r w:rsidR="00BE6186" w:rsidRPr="00360DE3">
        <w:t xml:space="preserve">. </w:t>
      </w:r>
      <w:r w:rsidR="00B97434">
        <w:t>Investice</w:t>
      </w:r>
      <w:bookmarkEnd w:id="6"/>
    </w:p>
    <w:tbl>
      <w:tblPr>
        <w:tblW w:w="9644" w:type="dxa"/>
        <w:tblInd w:w="-15" w:type="dxa"/>
        <w:tblLayout w:type="fixed"/>
        <w:tblCellMar>
          <w:left w:w="0" w:type="dxa"/>
          <w:right w:w="0" w:type="dxa"/>
        </w:tblCellMar>
        <w:tblLook w:val="00A0" w:firstRow="1" w:lastRow="0" w:firstColumn="1" w:lastColumn="0" w:noHBand="0" w:noVBand="0"/>
      </w:tblPr>
      <w:tblGrid>
        <w:gridCol w:w="1976"/>
        <w:gridCol w:w="277"/>
        <w:gridCol w:w="7391"/>
      </w:tblGrid>
      <w:tr w:rsidR="00B97434" w:rsidRPr="00360DE3" w14:paraId="5ACE9009" w14:textId="77777777" w:rsidTr="00744EE6">
        <w:trPr>
          <w:trHeight w:val="145"/>
        </w:trPr>
        <w:tc>
          <w:tcPr>
            <w:tcW w:w="1976" w:type="dxa"/>
          </w:tcPr>
          <w:p w14:paraId="02CE6F43" w14:textId="77777777" w:rsidR="00B97434" w:rsidRDefault="00B97434" w:rsidP="00B97434">
            <w:pPr>
              <w:pStyle w:val="Marginlie"/>
            </w:pPr>
            <w:r>
              <w:t>Investiční aktivita v loňském roce silně rostla.</w:t>
            </w:r>
          </w:p>
        </w:tc>
        <w:tc>
          <w:tcPr>
            <w:tcW w:w="277" w:type="dxa"/>
          </w:tcPr>
          <w:p w14:paraId="448F0EB8" w14:textId="77777777" w:rsidR="00B97434" w:rsidRDefault="00B97434" w:rsidP="00B97434">
            <w:pPr>
              <w:pStyle w:val="Textpoznpodarou1"/>
              <w:jc w:val="both"/>
              <w:rPr>
                <w:spacing w:val="-4"/>
              </w:rPr>
            </w:pPr>
          </w:p>
        </w:tc>
        <w:tc>
          <w:tcPr>
            <w:tcW w:w="7391" w:type="dxa"/>
          </w:tcPr>
          <w:p w14:paraId="3F347739" w14:textId="632BE3DD" w:rsidR="00B97434" w:rsidRDefault="00B97434" w:rsidP="00D22038">
            <w:r>
              <w:t>Výdaje na tvorbu hrubého fixního kapitálu (THFK) v roce 2018 dosáhly 1 358,</w:t>
            </w:r>
            <w:r w:rsidR="00A32759">
              <w:t>4</w:t>
            </w:r>
            <w:r w:rsidR="00012408">
              <w:t> </w:t>
            </w:r>
            <w:r>
              <w:t>mld. korun. Meziročně se zvýšily o 108,1</w:t>
            </w:r>
            <w:r w:rsidR="001F138C">
              <w:t> mld.</w:t>
            </w:r>
            <w:r>
              <w:t xml:space="preserve"> Reálně investiční aktivita vzrostla o 7,2</w:t>
            </w:r>
            <w:r w:rsidR="001D51EB">
              <w:t> %</w:t>
            </w:r>
            <w:r>
              <w:t>. Jedná se o nejvyšší přírůstek od roku 2015</w:t>
            </w:r>
            <w:r>
              <w:rPr>
                <w:rStyle w:val="Znakapoznpodarou"/>
              </w:rPr>
              <w:footnoteReference w:id="6"/>
            </w:r>
            <w:r>
              <w:t>. Silná dynamika vedla také k navýšení podílu výdajů na tvorbu hrubého fixního kapitálu na hrubém domácím produktu (HDP). Ten loni dosáhl 25,5</w:t>
            </w:r>
            <w:r w:rsidR="001D51EB">
              <w:t> %</w:t>
            </w:r>
            <w:r>
              <w:t>, což je o 0,7</w:t>
            </w:r>
            <w:r w:rsidR="001F138C">
              <w:t> p. b.</w:t>
            </w:r>
            <w:r>
              <w:t xml:space="preserve"> více než v roce 2017. Ačkoli podíl investic</w:t>
            </w:r>
            <w:r w:rsidR="00D22038">
              <w:t xml:space="preserve"> do fixního kapitálu</w:t>
            </w:r>
            <w:r>
              <w:t xml:space="preserve"> na HDP v Česku v porovnání s přelomem tisíciletí klesl, v rámci Evropské unie dlouhodobě patří k nejvyšším. Loni se ČR společně s Maďarskem a Švédskem umístila na první příčce. Průměr EU činil 20,5</w:t>
            </w:r>
            <w:r w:rsidR="00012408">
              <w:t> </w:t>
            </w:r>
            <w:r>
              <w:t>%. Navzdory silné dynamice investic, kterou v posledních letech vykazují novější členské země, se však tato skupina ve srovnání se zbytkem EU drží spíše na nižší úrovni podílu investic na HDP. Česko mezi nimi mělo až do loňského roku tento ukazatel výjimečně silný. Nové umístění Maďarska nezvrátilo skutečnost, že investiční aktivita většiny zemí, které vstoupily do Unie po roce 2000, zůstává v pásmu podprůměrného podílu na</w:t>
            </w:r>
            <w:r w:rsidR="00F05E10">
              <w:t> </w:t>
            </w:r>
            <w:r>
              <w:t>HDP.</w:t>
            </w:r>
          </w:p>
        </w:tc>
      </w:tr>
      <w:tr w:rsidR="00B97434" w:rsidRPr="00360DE3" w14:paraId="60A7BE9C" w14:textId="77777777" w:rsidTr="00744EE6">
        <w:trPr>
          <w:trHeight w:val="145"/>
        </w:trPr>
        <w:tc>
          <w:tcPr>
            <w:tcW w:w="1976" w:type="dxa"/>
          </w:tcPr>
          <w:p w14:paraId="41788A4D" w14:textId="7387A023" w:rsidR="00B97434" w:rsidRDefault="00B97434" w:rsidP="00B97434">
            <w:pPr>
              <w:pStyle w:val="Marginlie"/>
            </w:pPr>
            <w:r>
              <w:t>S výjimkou finančních institucí rostly investice</w:t>
            </w:r>
            <w:r w:rsidR="00F05E10">
              <w:br/>
            </w:r>
            <w:r>
              <w:t>ve všech sektorech.</w:t>
            </w:r>
          </w:p>
        </w:tc>
        <w:tc>
          <w:tcPr>
            <w:tcW w:w="277" w:type="dxa"/>
          </w:tcPr>
          <w:p w14:paraId="485E8E6E" w14:textId="77777777" w:rsidR="00B97434" w:rsidRDefault="00B97434" w:rsidP="00B97434">
            <w:pPr>
              <w:pStyle w:val="Textpoznpodarou1"/>
              <w:jc w:val="both"/>
              <w:rPr>
                <w:spacing w:val="-4"/>
              </w:rPr>
            </w:pPr>
          </w:p>
        </w:tc>
        <w:tc>
          <w:tcPr>
            <w:tcW w:w="7391" w:type="dxa"/>
          </w:tcPr>
          <w:p w14:paraId="6E8ADF5C" w14:textId="0EE72118" w:rsidR="00B97434" w:rsidRDefault="00B97434" w:rsidP="00D22038">
            <w:r>
              <w:t>Dominantní váhu v investiční aktivitě v národním hospodářství mají dlouhodobě nefinanční podniky. Loni od nich pocházelo 63,2</w:t>
            </w:r>
            <w:r w:rsidR="001D51EB">
              <w:t> %</w:t>
            </w:r>
            <w:r>
              <w:t xml:space="preserve"> výdajů na THFK. Investiční </w:t>
            </w:r>
            <w:r>
              <w:lastRenderedPageBreak/>
              <w:t>aktivita nefinančních podniků v porovnání s předchozím rokem posílila o 59,2</w:t>
            </w:r>
            <w:r w:rsidR="001F138C">
              <w:t> mld.</w:t>
            </w:r>
            <w:r>
              <w:t xml:space="preserve"> korun. Jde o nejvyšší nominální nárůst od roku 2007. Druhý největší objem prostředků investovaly loni domácnosti a NISD</w:t>
            </w:r>
            <w:r>
              <w:rPr>
                <w:rStyle w:val="Znakapoznpodarou"/>
              </w:rPr>
              <w:footnoteReference w:id="7"/>
            </w:r>
            <w:r>
              <w:t>. Pozici si udržely, ačkoli jejich podíl na investicích loni klesl o 1</w:t>
            </w:r>
            <w:r w:rsidR="001F138C">
              <w:t> p. b.</w:t>
            </w:r>
            <w:r>
              <w:t xml:space="preserve"> na 18,1</w:t>
            </w:r>
            <w:r w:rsidR="001D51EB">
              <w:t> %</w:t>
            </w:r>
            <w:r>
              <w:t>. V jejich případě se objem výdajů meziročně navýšil o 6,6</w:t>
            </w:r>
            <w:r w:rsidR="001F138C">
              <w:t> mld.</w:t>
            </w:r>
            <w:r>
              <w:t xml:space="preserve"> korun. Přírůstek tak výrazně zaostal za předchozími čtyřmi lety, kdy vždy přesáhl hranici 10 mld. Pokles podílu domácností na investicích je především důsledkem prudkého nárůstu investiční aktivity sektoru vládních institucí (o 47,4</w:t>
            </w:r>
            <w:r w:rsidR="001F138C">
              <w:t> mld.</w:t>
            </w:r>
            <w:r>
              <w:t xml:space="preserve"> korun). Jejich podíl na kapitálových výdajích stoupl o</w:t>
            </w:r>
            <w:r w:rsidR="00F05E10">
              <w:t> </w:t>
            </w:r>
            <w:r>
              <w:t>2,4</w:t>
            </w:r>
            <w:r w:rsidR="001F138C">
              <w:t> p. b.</w:t>
            </w:r>
            <w:r>
              <w:t xml:space="preserve"> na 16,1</w:t>
            </w:r>
            <w:r w:rsidR="001D51EB">
              <w:t> %</w:t>
            </w:r>
            <w:r>
              <w:t xml:space="preserve">. Podobně jako v roce 2015 se na aktivitě pozitivně projevil cyklus čerpání prostředků z evropských dotací. Nejmenším investorem </w:t>
            </w:r>
            <w:r w:rsidR="00D22038">
              <w:t>z pohledu výdajů na tvorbu fixního kapitálu</w:t>
            </w:r>
            <w:r>
              <w:t xml:space="preserve"> jsou finanční instituce (2,7</w:t>
            </w:r>
            <w:r w:rsidR="001D51EB">
              <w:t> %</w:t>
            </w:r>
            <w:r>
              <w:t xml:space="preserve"> z</w:t>
            </w:r>
            <w:r w:rsidR="00F05E10">
              <w:t xml:space="preserve"> </w:t>
            </w:r>
            <w:r>
              <w:t>celkových investic v ekonomice). V jejich případě loni došlo k</w:t>
            </w:r>
            <w:r w:rsidR="00F05E10">
              <w:t> </w:t>
            </w:r>
            <w:r>
              <w:t>meziročnímu</w:t>
            </w:r>
            <w:r w:rsidR="00F05E10">
              <w:t xml:space="preserve"> </w:t>
            </w:r>
            <w:r>
              <w:t>poklesu investičních výdajů o</w:t>
            </w:r>
            <w:r w:rsidR="00F05E10">
              <w:t> </w:t>
            </w:r>
            <w:r>
              <w:t>5,0</w:t>
            </w:r>
            <w:r w:rsidR="001F138C">
              <w:t> mld.</w:t>
            </w:r>
            <w:r>
              <w:t xml:space="preserve"> korun. Sektor finančních institucí tak nenavázal na roky 2016 a 2017, kdy zde byly investice neobvykle vysoké.</w:t>
            </w:r>
          </w:p>
        </w:tc>
      </w:tr>
      <w:tr w:rsidR="00744EE6" w:rsidRPr="00360DE3" w14:paraId="19296B53" w14:textId="77777777" w:rsidTr="00744EE6">
        <w:trPr>
          <w:trHeight w:val="160"/>
        </w:trPr>
        <w:tc>
          <w:tcPr>
            <w:tcW w:w="1976" w:type="dxa"/>
            <w:vMerge w:val="restart"/>
          </w:tcPr>
          <w:p w14:paraId="1E485FFC" w14:textId="77777777" w:rsidR="00744EE6" w:rsidRPr="00360DE3" w:rsidRDefault="00744EE6" w:rsidP="00744EE6">
            <w:pPr>
              <w:pStyle w:val="Marginlie"/>
              <w:rPr>
                <w:spacing w:val="0"/>
              </w:rPr>
            </w:pPr>
          </w:p>
        </w:tc>
        <w:tc>
          <w:tcPr>
            <w:tcW w:w="277" w:type="dxa"/>
            <w:vMerge w:val="restart"/>
          </w:tcPr>
          <w:p w14:paraId="5996FCF2" w14:textId="77777777" w:rsidR="00744EE6" w:rsidRPr="00360DE3" w:rsidRDefault="00744EE6" w:rsidP="00744EE6">
            <w:pPr>
              <w:pStyle w:val="Textpoznpodarou"/>
              <w:jc w:val="both"/>
            </w:pPr>
          </w:p>
        </w:tc>
        <w:tc>
          <w:tcPr>
            <w:tcW w:w="7391" w:type="dxa"/>
          </w:tcPr>
          <w:p w14:paraId="1072A4D0" w14:textId="77777777" w:rsidR="00744EE6" w:rsidRDefault="00744EE6" w:rsidP="00884A6F">
            <w:pPr>
              <w:spacing w:after="0"/>
              <w:rPr>
                <w:b/>
              </w:rPr>
            </w:pPr>
            <w:r>
              <w:rPr>
                <w:b/>
              </w:rPr>
              <w:t xml:space="preserve">Graf č. </w:t>
            </w:r>
            <w:r w:rsidR="00884A6F">
              <w:rPr>
                <w:b/>
              </w:rPr>
              <w:t>4</w:t>
            </w:r>
            <w:r>
              <w:rPr>
                <w:b/>
              </w:rPr>
              <w:t xml:space="preserve">  Tvorba hrubého fixního kapitálu, sektorové členění </w:t>
            </w:r>
            <w:r w:rsidRPr="00E03B0C">
              <w:t>(</w:t>
            </w:r>
            <w:r>
              <w:t>běžné ceny, meziroční změna v mld. korun</w:t>
            </w:r>
            <w:r w:rsidRPr="00E03B0C">
              <w:t>)</w:t>
            </w:r>
          </w:p>
        </w:tc>
      </w:tr>
      <w:tr w:rsidR="00744EE6" w:rsidRPr="00360DE3" w14:paraId="03FD98DC" w14:textId="77777777" w:rsidTr="00744EE6">
        <w:trPr>
          <w:trHeight w:val="160"/>
        </w:trPr>
        <w:tc>
          <w:tcPr>
            <w:tcW w:w="1976" w:type="dxa"/>
            <w:vMerge/>
          </w:tcPr>
          <w:p w14:paraId="650705A0" w14:textId="77777777" w:rsidR="00744EE6" w:rsidRPr="00360DE3" w:rsidRDefault="00744EE6" w:rsidP="00744EE6">
            <w:pPr>
              <w:pStyle w:val="Marginlie"/>
              <w:rPr>
                <w:spacing w:val="0"/>
              </w:rPr>
            </w:pPr>
          </w:p>
        </w:tc>
        <w:tc>
          <w:tcPr>
            <w:tcW w:w="277" w:type="dxa"/>
            <w:vMerge/>
          </w:tcPr>
          <w:p w14:paraId="596FA6FC" w14:textId="77777777" w:rsidR="00744EE6" w:rsidRPr="00360DE3" w:rsidRDefault="00744EE6" w:rsidP="00744EE6">
            <w:pPr>
              <w:pStyle w:val="Textpoznpodarou"/>
              <w:jc w:val="both"/>
            </w:pPr>
          </w:p>
        </w:tc>
        <w:tc>
          <w:tcPr>
            <w:tcW w:w="7391" w:type="dxa"/>
          </w:tcPr>
          <w:p w14:paraId="2B6605E9" w14:textId="77777777" w:rsidR="00744EE6" w:rsidRDefault="00744EE6" w:rsidP="00744EE6">
            <w:pPr>
              <w:spacing w:after="0"/>
            </w:pPr>
            <w:r>
              <w:rPr>
                <w:noProof/>
              </w:rPr>
              <w:drawing>
                <wp:inline distT="0" distB="0" distL="0" distR="0" wp14:anchorId="250F621B" wp14:editId="5C12665F">
                  <wp:extent cx="4737600" cy="3553200"/>
                  <wp:effectExtent l="0" t="0" r="6350"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744EE6" w:rsidRPr="00360DE3" w14:paraId="2146188A" w14:textId="77777777" w:rsidTr="00744EE6">
        <w:trPr>
          <w:trHeight w:val="160"/>
        </w:trPr>
        <w:tc>
          <w:tcPr>
            <w:tcW w:w="1976" w:type="dxa"/>
            <w:vMerge/>
          </w:tcPr>
          <w:p w14:paraId="32DDE1E6" w14:textId="77777777" w:rsidR="00744EE6" w:rsidRPr="00360DE3" w:rsidRDefault="00744EE6" w:rsidP="00744EE6">
            <w:pPr>
              <w:pStyle w:val="Marginlie"/>
              <w:rPr>
                <w:spacing w:val="0"/>
              </w:rPr>
            </w:pPr>
          </w:p>
        </w:tc>
        <w:tc>
          <w:tcPr>
            <w:tcW w:w="277" w:type="dxa"/>
            <w:vMerge/>
          </w:tcPr>
          <w:p w14:paraId="05301451" w14:textId="77777777" w:rsidR="00744EE6" w:rsidRPr="00360DE3" w:rsidRDefault="00744EE6" w:rsidP="00744EE6">
            <w:pPr>
              <w:pStyle w:val="Textpoznpodarou"/>
              <w:jc w:val="both"/>
            </w:pPr>
          </w:p>
        </w:tc>
        <w:tc>
          <w:tcPr>
            <w:tcW w:w="7391" w:type="dxa"/>
          </w:tcPr>
          <w:p w14:paraId="20882026" w14:textId="4BC432C0" w:rsidR="00744EE6" w:rsidRDefault="00744EE6" w:rsidP="00744EE6">
            <w:pPr>
              <w:rPr>
                <w:sz w:val="14"/>
                <w:szCs w:val="14"/>
              </w:rPr>
            </w:pPr>
            <w:r>
              <w:rPr>
                <w:sz w:val="14"/>
                <w:szCs w:val="14"/>
              </w:rPr>
              <w:t>Zdroj:</w:t>
            </w:r>
            <w:r w:rsidR="00F05E10">
              <w:rPr>
                <w:sz w:val="14"/>
                <w:szCs w:val="14"/>
              </w:rPr>
              <w:t xml:space="preserve"> </w:t>
            </w:r>
            <w:r>
              <w:rPr>
                <w:sz w:val="14"/>
                <w:szCs w:val="14"/>
              </w:rPr>
              <w:t>ČSÚ</w:t>
            </w:r>
          </w:p>
        </w:tc>
      </w:tr>
      <w:tr w:rsidR="00744EE6" w:rsidRPr="00360DE3" w14:paraId="2B16CC50" w14:textId="77777777" w:rsidTr="00744EE6">
        <w:trPr>
          <w:trHeight w:val="170"/>
        </w:trPr>
        <w:tc>
          <w:tcPr>
            <w:tcW w:w="1976" w:type="dxa"/>
          </w:tcPr>
          <w:p w14:paraId="19282B98" w14:textId="0E8C4A9C" w:rsidR="00744EE6" w:rsidRDefault="00744EE6" w:rsidP="00744EE6">
            <w:pPr>
              <w:pStyle w:val="Marginlie"/>
            </w:pPr>
            <w:r>
              <w:t>Investice do strojů</w:t>
            </w:r>
            <w:r w:rsidR="00976BAF">
              <w:br/>
            </w:r>
            <w:r>
              <w:t>a zařízení reálně vzrostly o 8,5</w:t>
            </w:r>
            <w:r w:rsidR="001D51EB">
              <w:t> %</w:t>
            </w:r>
            <w:r>
              <w:t>.</w:t>
            </w:r>
          </w:p>
        </w:tc>
        <w:tc>
          <w:tcPr>
            <w:tcW w:w="277" w:type="dxa"/>
          </w:tcPr>
          <w:p w14:paraId="351D284E" w14:textId="77777777" w:rsidR="00744EE6" w:rsidRDefault="00744EE6" w:rsidP="00744EE6">
            <w:pPr>
              <w:pStyle w:val="Textpoznpodarou1"/>
              <w:jc w:val="both"/>
              <w:rPr>
                <w:spacing w:val="-4"/>
              </w:rPr>
            </w:pPr>
          </w:p>
        </w:tc>
        <w:tc>
          <w:tcPr>
            <w:tcW w:w="7391" w:type="dxa"/>
          </w:tcPr>
          <w:p w14:paraId="3AA01A1E" w14:textId="17287891" w:rsidR="00744EE6" w:rsidRDefault="00744EE6" w:rsidP="00744EE6">
            <w:r>
              <w:t>Největší porce investičních prostředků každoročně míří do strojů a zařízení. V roce 2018 to bylo celkem 43,5</w:t>
            </w:r>
            <w:r w:rsidR="001D51EB">
              <w:t> %</w:t>
            </w:r>
            <w:r>
              <w:t xml:space="preserve"> z celkového objemu výdajů na THFK (591,3</w:t>
            </w:r>
            <w:r w:rsidR="001F138C">
              <w:t> mld.</w:t>
            </w:r>
            <w:r>
              <w:t xml:space="preserve"> korun). Největším investorem do strojů a zařízení jsou nefinanční podniky. Menší část prostředků investují podnikatelé zařazení do sektoru domácností a vládní instituce. Meziroční nárůst investic do strojů a zařízení činil 38,9 mld. korun a</w:t>
            </w:r>
            <w:r w:rsidR="00ED7B65">
              <w:t> </w:t>
            </w:r>
            <w:r>
              <w:t>v reálném vyjádření to bylo 8,5</w:t>
            </w:r>
            <w:r w:rsidR="001D51EB">
              <w:t> %</w:t>
            </w:r>
            <w:r>
              <w:t>. Jde o nejvyšší reálný nárůst od roku 2015. Podrobnější členění této investiční položky ukazuje, že v loňském roce výrazně narostly výdaje na ostatní stroje a zařízení (o 29,9</w:t>
            </w:r>
            <w:r w:rsidR="001F138C">
              <w:t> mld.</w:t>
            </w:r>
            <w:r>
              <w:t xml:space="preserve"> korun) a dále na dopravní prostředky a z</w:t>
            </w:r>
            <w:r w:rsidR="00ED7B65">
              <w:t>a</w:t>
            </w:r>
            <w:r>
              <w:t>řízení (o 16,0</w:t>
            </w:r>
            <w:r w:rsidR="001F138C">
              <w:t> mld.</w:t>
            </w:r>
            <w:r>
              <w:t xml:space="preserve"> korun). Naopak meziročně poklesly investice do prostředků informačních a komunikačních technologií (o 6,9</w:t>
            </w:r>
            <w:r w:rsidR="001F138C">
              <w:t> mld.</w:t>
            </w:r>
            <w:r>
              <w:t xml:space="preserve"> korun).</w:t>
            </w:r>
          </w:p>
        </w:tc>
      </w:tr>
      <w:tr w:rsidR="00744EE6" w:rsidRPr="00360DE3" w14:paraId="72D388D2" w14:textId="77777777" w:rsidTr="00744EE6">
        <w:trPr>
          <w:trHeight w:val="170"/>
        </w:trPr>
        <w:tc>
          <w:tcPr>
            <w:tcW w:w="1976" w:type="dxa"/>
          </w:tcPr>
          <w:p w14:paraId="24A8E39E" w14:textId="77777777" w:rsidR="00744EE6" w:rsidRDefault="00744EE6" w:rsidP="00744EE6">
            <w:pPr>
              <w:pStyle w:val="Marginlie"/>
            </w:pPr>
            <w:r>
              <w:t xml:space="preserve">Investice do ostatních </w:t>
            </w:r>
            <w:r>
              <w:lastRenderedPageBreak/>
              <w:t>staveb loni rostly mimořádně silně.</w:t>
            </w:r>
          </w:p>
        </w:tc>
        <w:tc>
          <w:tcPr>
            <w:tcW w:w="277" w:type="dxa"/>
          </w:tcPr>
          <w:p w14:paraId="7E30F3F8" w14:textId="77777777" w:rsidR="00744EE6" w:rsidRDefault="00744EE6" w:rsidP="00744EE6">
            <w:pPr>
              <w:pStyle w:val="Textpoznpodarou1"/>
              <w:jc w:val="both"/>
              <w:rPr>
                <w:spacing w:val="-4"/>
              </w:rPr>
            </w:pPr>
          </w:p>
        </w:tc>
        <w:tc>
          <w:tcPr>
            <w:tcW w:w="7391" w:type="dxa"/>
          </w:tcPr>
          <w:p w14:paraId="370C6D8D" w14:textId="06A622B4" w:rsidR="00744EE6" w:rsidRDefault="00744EE6" w:rsidP="00744EE6">
            <w:r>
              <w:t xml:space="preserve">Druhou největší investiční kategorií jsou ostatní budovy a stavby, které loni tvořily </w:t>
            </w:r>
            <w:r>
              <w:lastRenderedPageBreak/>
              <w:t>24,4 % z celkového objemu investic. V kategorii ostatních budov a staveb má silnou úlohu sektor vládních institucí, který provádí investice do infrastruktury. Dynamika investic do ostatních staveb je tak více než jinde ovlivněna cyklem evropských dotací. To se projevilo i na vývoji v loňském roce, kdy se dočerpávala větší část dostupných prostředků. Meziročně se investiční výdaje na ostatní stavby zvýšily o 36,5</w:t>
            </w:r>
            <w:r w:rsidR="001F138C">
              <w:t> mld.</w:t>
            </w:r>
            <w:r>
              <w:t xml:space="preserve"> korun. Reálný přírůstek dosáhl 6,7</w:t>
            </w:r>
            <w:r w:rsidR="001D51EB">
              <w:t> %</w:t>
            </w:r>
            <w:r>
              <w:t>, což je nejvíce od roku 2003. Nominální přírůstek byl nejvyšší v posledních dvaceti letech.</w:t>
            </w:r>
          </w:p>
        </w:tc>
      </w:tr>
      <w:tr w:rsidR="00744EE6" w:rsidRPr="00360DE3" w14:paraId="27646E6A" w14:textId="77777777" w:rsidTr="00744EE6">
        <w:trPr>
          <w:trHeight w:val="160"/>
        </w:trPr>
        <w:tc>
          <w:tcPr>
            <w:tcW w:w="1976" w:type="dxa"/>
            <w:vMerge w:val="restart"/>
          </w:tcPr>
          <w:p w14:paraId="3834CEE2" w14:textId="77777777" w:rsidR="00744EE6" w:rsidRPr="00360DE3" w:rsidRDefault="00744EE6" w:rsidP="00744EE6">
            <w:pPr>
              <w:pStyle w:val="Marginlie"/>
              <w:rPr>
                <w:spacing w:val="0"/>
              </w:rPr>
            </w:pPr>
          </w:p>
        </w:tc>
        <w:tc>
          <w:tcPr>
            <w:tcW w:w="277" w:type="dxa"/>
            <w:vMerge w:val="restart"/>
          </w:tcPr>
          <w:p w14:paraId="5CF191D6" w14:textId="77777777" w:rsidR="00744EE6" w:rsidRPr="00360DE3" w:rsidRDefault="00744EE6" w:rsidP="00744EE6">
            <w:pPr>
              <w:pStyle w:val="Textpoznpodarou"/>
              <w:jc w:val="both"/>
            </w:pPr>
          </w:p>
        </w:tc>
        <w:tc>
          <w:tcPr>
            <w:tcW w:w="7391" w:type="dxa"/>
          </w:tcPr>
          <w:p w14:paraId="3A74A180" w14:textId="77777777" w:rsidR="00744EE6" w:rsidRDefault="00744EE6" w:rsidP="00884A6F">
            <w:pPr>
              <w:spacing w:after="0"/>
            </w:pPr>
            <w:r w:rsidRPr="007F4EFA">
              <w:rPr>
                <w:b/>
              </w:rPr>
              <w:t xml:space="preserve">Graf č. </w:t>
            </w:r>
            <w:r w:rsidR="00884A6F">
              <w:rPr>
                <w:b/>
              </w:rPr>
              <w:t>5</w:t>
            </w:r>
            <w:r>
              <w:rPr>
                <w:b/>
              </w:rPr>
              <w:t xml:space="preserve">  Tvorba hrubého fixního kapitálu a její věcná struktura </w:t>
            </w:r>
            <w:r w:rsidRPr="009313F9">
              <w:t>(</w:t>
            </w:r>
            <w:r>
              <w:t xml:space="preserve">běžné ceny, </w:t>
            </w:r>
            <w:r w:rsidRPr="009313F9">
              <w:t>meziroční změna v mld. korun)</w:t>
            </w:r>
          </w:p>
        </w:tc>
      </w:tr>
      <w:tr w:rsidR="00744EE6" w:rsidRPr="00360DE3" w14:paraId="4D29BCD0" w14:textId="77777777" w:rsidTr="00744EE6">
        <w:trPr>
          <w:trHeight w:val="160"/>
        </w:trPr>
        <w:tc>
          <w:tcPr>
            <w:tcW w:w="1976" w:type="dxa"/>
            <w:vMerge/>
          </w:tcPr>
          <w:p w14:paraId="52EC93DA" w14:textId="77777777" w:rsidR="00744EE6" w:rsidRPr="00360DE3" w:rsidRDefault="00744EE6" w:rsidP="00744EE6">
            <w:pPr>
              <w:pStyle w:val="Marginlie"/>
              <w:rPr>
                <w:spacing w:val="0"/>
              </w:rPr>
            </w:pPr>
          </w:p>
        </w:tc>
        <w:tc>
          <w:tcPr>
            <w:tcW w:w="277" w:type="dxa"/>
            <w:vMerge/>
          </w:tcPr>
          <w:p w14:paraId="58F0E6A3" w14:textId="77777777" w:rsidR="00744EE6" w:rsidRPr="00360DE3" w:rsidRDefault="00744EE6" w:rsidP="00744EE6">
            <w:pPr>
              <w:pStyle w:val="Textpoznpodarou"/>
              <w:jc w:val="both"/>
            </w:pPr>
          </w:p>
        </w:tc>
        <w:tc>
          <w:tcPr>
            <w:tcW w:w="7391" w:type="dxa"/>
          </w:tcPr>
          <w:p w14:paraId="2CCCF041" w14:textId="77777777" w:rsidR="00744EE6" w:rsidRDefault="00744EE6" w:rsidP="00744EE6">
            <w:pPr>
              <w:spacing w:after="0"/>
            </w:pPr>
            <w:r>
              <w:rPr>
                <w:noProof/>
              </w:rPr>
              <w:drawing>
                <wp:inline distT="0" distB="0" distL="0" distR="0" wp14:anchorId="7FA18F6E" wp14:editId="74085DA1">
                  <wp:extent cx="4737600" cy="3553200"/>
                  <wp:effectExtent l="0" t="0" r="6350" b="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744EE6" w:rsidRPr="00360DE3" w14:paraId="49F85A01" w14:textId="77777777" w:rsidTr="00744EE6">
        <w:trPr>
          <w:trHeight w:val="160"/>
        </w:trPr>
        <w:tc>
          <w:tcPr>
            <w:tcW w:w="1976" w:type="dxa"/>
            <w:vMerge/>
          </w:tcPr>
          <w:p w14:paraId="553D512D" w14:textId="77777777" w:rsidR="00744EE6" w:rsidRPr="00360DE3" w:rsidRDefault="00744EE6" w:rsidP="00744EE6">
            <w:pPr>
              <w:pStyle w:val="Marginlie"/>
              <w:rPr>
                <w:spacing w:val="0"/>
              </w:rPr>
            </w:pPr>
          </w:p>
        </w:tc>
        <w:tc>
          <w:tcPr>
            <w:tcW w:w="277" w:type="dxa"/>
            <w:vMerge/>
          </w:tcPr>
          <w:p w14:paraId="2C600E7B" w14:textId="77777777" w:rsidR="00744EE6" w:rsidRPr="00360DE3" w:rsidRDefault="00744EE6" w:rsidP="00744EE6">
            <w:pPr>
              <w:pStyle w:val="Textpoznpodarou"/>
              <w:jc w:val="both"/>
            </w:pPr>
          </w:p>
        </w:tc>
        <w:tc>
          <w:tcPr>
            <w:tcW w:w="7391" w:type="dxa"/>
          </w:tcPr>
          <w:p w14:paraId="7C184412" w14:textId="77777777" w:rsidR="00744EE6" w:rsidRDefault="00744EE6" w:rsidP="00744EE6">
            <w:pPr>
              <w:rPr>
                <w:sz w:val="14"/>
                <w:szCs w:val="14"/>
              </w:rPr>
            </w:pPr>
            <w:r>
              <w:rPr>
                <w:sz w:val="14"/>
                <w:szCs w:val="14"/>
              </w:rPr>
              <w:t>Zdroj: ČSÚ</w:t>
            </w:r>
          </w:p>
        </w:tc>
      </w:tr>
      <w:tr w:rsidR="00744EE6" w:rsidRPr="00360DE3" w14:paraId="18B3ED5E" w14:textId="77777777" w:rsidTr="00744EE6">
        <w:trPr>
          <w:trHeight w:val="170"/>
        </w:trPr>
        <w:tc>
          <w:tcPr>
            <w:tcW w:w="1976" w:type="dxa"/>
          </w:tcPr>
          <w:p w14:paraId="57A1AEC1" w14:textId="77777777" w:rsidR="00744EE6" w:rsidRDefault="00744EE6" w:rsidP="00744EE6">
            <w:pPr>
              <w:pStyle w:val="Marginlie"/>
            </w:pPr>
            <w:r>
              <w:t>Investice do obydlí i díky růstu příjmů domácností stabilně rostly.</w:t>
            </w:r>
          </w:p>
        </w:tc>
        <w:tc>
          <w:tcPr>
            <w:tcW w:w="277" w:type="dxa"/>
          </w:tcPr>
          <w:p w14:paraId="70BA0C82" w14:textId="77777777" w:rsidR="00744EE6" w:rsidRDefault="00744EE6" w:rsidP="00744EE6">
            <w:pPr>
              <w:pStyle w:val="Textpoznpodarou1"/>
              <w:jc w:val="both"/>
              <w:rPr>
                <w:spacing w:val="-4"/>
              </w:rPr>
            </w:pPr>
          </w:p>
        </w:tc>
        <w:tc>
          <w:tcPr>
            <w:tcW w:w="7391" w:type="dxa"/>
          </w:tcPr>
          <w:p w14:paraId="2C7ED4BC" w14:textId="6A49ADB2" w:rsidR="00744EE6" w:rsidRDefault="00744EE6" w:rsidP="00DF317B">
            <w:r>
              <w:t>Investice do obydlí loni tvořily 15,7</w:t>
            </w:r>
            <w:r w:rsidR="001D51EB">
              <w:t> %</w:t>
            </w:r>
            <w:r>
              <w:t xml:space="preserve"> z celkových výdajů na THFK. Je to stejně jako v předchozím roce a nejvíce od raných devadesátých let. Obydlí je hlavní investiční položkou domácností</w:t>
            </w:r>
            <w:r w:rsidR="00DF317B">
              <w:rPr>
                <w:rStyle w:val="Znakapoznpodarou"/>
              </w:rPr>
              <w:footnoteReference w:id="8"/>
            </w:r>
            <w:r>
              <w:t>. I díky solidnímu růstu příjmů domácností v posledních pěti letech je dynamika investic v této kategorii stabilnější než u ostatních položek. Loni vzrostl objem investic do obydlí o 18,1</w:t>
            </w:r>
            <w:r w:rsidR="001F138C">
              <w:t> mld.</w:t>
            </w:r>
            <w:r>
              <w:t xml:space="preserve"> korun. Reálný nárůst činil 6,9 %.</w:t>
            </w:r>
          </w:p>
        </w:tc>
      </w:tr>
      <w:tr w:rsidR="00744EE6" w:rsidRPr="00360DE3" w14:paraId="68019C93" w14:textId="77777777" w:rsidTr="00744EE6">
        <w:trPr>
          <w:trHeight w:val="170"/>
        </w:trPr>
        <w:tc>
          <w:tcPr>
            <w:tcW w:w="1976" w:type="dxa"/>
          </w:tcPr>
          <w:p w14:paraId="49A5E40C" w14:textId="77777777" w:rsidR="00744EE6" w:rsidRDefault="00744EE6" w:rsidP="00744EE6">
            <w:pPr>
              <w:pStyle w:val="Marginlie"/>
            </w:pPr>
            <w:r>
              <w:t>Investice do produktů duševního vlastnictví nabývají na významu.</w:t>
            </w:r>
          </w:p>
        </w:tc>
        <w:tc>
          <w:tcPr>
            <w:tcW w:w="277" w:type="dxa"/>
          </w:tcPr>
          <w:p w14:paraId="7C2A8356" w14:textId="77777777" w:rsidR="00744EE6" w:rsidRDefault="00744EE6" w:rsidP="00744EE6">
            <w:pPr>
              <w:pStyle w:val="Textpoznpodarou1"/>
              <w:jc w:val="both"/>
              <w:rPr>
                <w:spacing w:val="-4"/>
              </w:rPr>
            </w:pPr>
          </w:p>
        </w:tc>
        <w:tc>
          <w:tcPr>
            <w:tcW w:w="7391" w:type="dxa"/>
          </w:tcPr>
          <w:p w14:paraId="05FD786D" w14:textId="30FECC64" w:rsidR="00744EE6" w:rsidRDefault="00744EE6" w:rsidP="00012408">
            <w:r>
              <w:t>Investiční výdaje na produkty duševního vlastnictví tvořily loni 16,1</w:t>
            </w:r>
            <w:r w:rsidR="001D51EB">
              <w:t> %</w:t>
            </w:r>
            <w:r>
              <w:t xml:space="preserve"> z celkových investic v ekonomice. Jejich podíl se v posledních třech letech navýšil, zejména ve formě softwaru a databází. Jde o investiční kategorii, která v současnosti tvoří podstatný díl investic u nefinančních podniků, vládních institucí a finančních institucí. Loni dosáhl nominální přírůstek výdajů v této oblasti 15,4</w:t>
            </w:r>
            <w:r w:rsidR="001F138C">
              <w:t> mld.</w:t>
            </w:r>
            <w:r>
              <w:t xml:space="preserve"> korun, reálně 5,2</w:t>
            </w:r>
            <w:r w:rsidR="001D51EB">
              <w:t> %</w:t>
            </w:r>
            <w:r>
              <w:t>. Rostly výše zmíněné investice do softwaru a databází (reálně o</w:t>
            </w:r>
            <w:r w:rsidR="00F13819">
              <w:t> </w:t>
            </w:r>
            <w:r>
              <w:t>9,6</w:t>
            </w:r>
            <w:r w:rsidR="00012408">
              <w:t> </w:t>
            </w:r>
            <w:r>
              <w:t>%). Naopak výdaje na výzkum a vývoj reálně klesly o</w:t>
            </w:r>
            <w:r w:rsidR="00F13819">
              <w:t> </w:t>
            </w:r>
            <w:r>
              <w:t>1,1</w:t>
            </w:r>
            <w:r w:rsidR="001D51EB">
              <w:t> %</w:t>
            </w:r>
            <w:r>
              <w:t>.</w:t>
            </w:r>
          </w:p>
        </w:tc>
      </w:tr>
      <w:tr w:rsidR="00744EE6" w:rsidRPr="00360DE3" w14:paraId="17A4FA13" w14:textId="77777777" w:rsidTr="00744EE6">
        <w:trPr>
          <w:trHeight w:val="170"/>
        </w:trPr>
        <w:tc>
          <w:tcPr>
            <w:tcW w:w="1976" w:type="dxa"/>
          </w:tcPr>
          <w:p w14:paraId="20E0AF56" w14:textId="77777777" w:rsidR="00744EE6" w:rsidRDefault="00744EE6" w:rsidP="00744EE6">
            <w:pPr>
              <w:pStyle w:val="Marginlie"/>
            </w:pPr>
            <w:r>
              <w:t>Investiční aktivita v EU stabilně rostla.</w:t>
            </w:r>
          </w:p>
        </w:tc>
        <w:tc>
          <w:tcPr>
            <w:tcW w:w="277" w:type="dxa"/>
          </w:tcPr>
          <w:p w14:paraId="66B33A5A" w14:textId="77777777" w:rsidR="00744EE6" w:rsidRDefault="00744EE6" w:rsidP="00744EE6">
            <w:pPr>
              <w:pStyle w:val="Textpoznpodarou1"/>
              <w:jc w:val="both"/>
              <w:rPr>
                <w:spacing w:val="-4"/>
              </w:rPr>
            </w:pPr>
          </w:p>
        </w:tc>
        <w:tc>
          <w:tcPr>
            <w:tcW w:w="7391" w:type="dxa"/>
          </w:tcPr>
          <w:p w14:paraId="04D26CCF" w14:textId="55479C05" w:rsidR="00744EE6" w:rsidRDefault="00744EE6" w:rsidP="00744EE6">
            <w:r>
              <w:t>Dynamika investiční aktivity v celé EU loni dosáhla 3,3</w:t>
            </w:r>
            <w:r w:rsidR="001D51EB">
              <w:t> %</w:t>
            </w:r>
            <w:r>
              <w:t>. Podobně jako v minulém roce nejvíce rostla investiční aktivita novějších členů Unie. Nejsilněji rostly výdaje na</w:t>
            </w:r>
            <w:r w:rsidR="00F13819">
              <w:t> THFK</w:t>
            </w:r>
            <w:r>
              <w:t xml:space="preserve"> v Maďarsku (16,5</w:t>
            </w:r>
            <w:r w:rsidR="001D51EB">
              <w:t> %</w:t>
            </w:r>
            <w:r>
              <w:t>), Lotyšsku (16,4</w:t>
            </w:r>
            <w:r w:rsidR="001D51EB">
              <w:t> %</w:t>
            </w:r>
            <w:r>
              <w:t>) a Slovinsku (10,6</w:t>
            </w:r>
            <w:r w:rsidR="001D51EB">
              <w:t> %</w:t>
            </w:r>
            <w:r>
              <w:t xml:space="preserve">). Česko mělo šestý nejrychlejší růst investic v EU. Zároveň je u některých zemí patrný </w:t>
            </w:r>
            <w:r>
              <w:lastRenderedPageBreak/>
              <w:t>i</w:t>
            </w:r>
            <w:r w:rsidR="00F13819">
              <w:t> </w:t>
            </w:r>
            <w:r>
              <w:t>společný trend dynamiky, tedy prudký pokles či zpomalení v roce 2016, kdy začínalo nové programové období evropských dotací, a zrychlení v dalších dvou letech. Nutné dočerpání části prostředků do konce loňského roku zrychlilo v Česku růst investic v</w:t>
            </w:r>
            <w:r w:rsidR="00F13819">
              <w:t xml:space="preserve"> </w:t>
            </w:r>
            <w:r>
              <w:t>porovnání s</w:t>
            </w:r>
            <w:r w:rsidR="00F13819">
              <w:t xml:space="preserve"> </w:t>
            </w:r>
            <w:r>
              <w:t>rokem 2017. Podobný vývoj můžeme pozorovat i</w:t>
            </w:r>
            <w:r w:rsidR="00F13819">
              <w:t> </w:t>
            </w:r>
            <w:r>
              <w:t>v</w:t>
            </w:r>
            <w:r w:rsidR="00F13819">
              <w:t> </w:t>
            </w:r>
            <w:r>
              <w:t>Polsku, na Slovensku nebo v Bulharsku. Silný propad investičních výdajů loni postihl Řecko (</w:t>
            </w:r>
            <w:r w:rsidR="00F13819">
              <w:t>–</w:t>
            </w:r>
            <w:r>
              <w:t>12,2 %) a Kypr (</w:t>
            </w:r>
            <w:r w:rsidR="001F138C">
              <w:t>–</w:t>
            </w:r>
            <w:r>
              <w:t>7,1</w:t>
            </w:r>
            <w:r w:rsidR="001D51EB">
              <w:t> %</w:t>
            </w:r>
            <w:r>
              <w:t>, zřejmě projev silné srovnávací základny). Výdaje ale klesly i</w:t>
            </w:r>
            <w:r w:rsidR="00D64227">
              <w:t> </w:t>
            </w:r>
            <w:r>
              <w:t>v Rumunsku, Lucembursku, či na</w:t>
            </w:r>
            <w:r w:rsidR="00D64227">
              <w:t> </w:t>
            </w:r>
            <w:r>
              <w:t xml:space="preserve">Maltě. </w:t>
            </w:r>
          </w:p>
        </w:tc>
      </w:tr>
      <w:tr w:rsidR="00744EE6" w:rsidRPr="00360DE3" w14:paraId="4DCE3D81" w14:textId="77777777" w:rsidTr="00744EE6">
        <w:trPr>
          <w:trHeight w:val="160"/>
        </w:trPr>
        <w:tc>
          <w:tcPr>
            <w:tcW w:w="1976" w:type="dxa"/>
            <w:vMerge w:val="restart"/>
          </w:tcPr>
          <w:p w14:paraId="2F1A5936" w14:textId="77777777" w:rsidR="00744EE6" w:rsidRPr="00360DE3" w:rsidRDefault="00744EE6" w:rsidP="00744EE6">
            <w:pPr>
              <w:pStyle w:val="Marginlie"/>
              <w:rPr>
                <w:spacing w:val="0"/>
              </w:rPr>
            </w:pPr>
          </w:p>
        </w:tc>
        <w:tc>
          <w:tcPr>
            <w:tcW w:w="277" w:type="dxa"/>
            <w:vMerge w:val="restart"/>
          </w:tcPr>
          <w:p w14:paraId="20DD29D6" w14:textId="77777777" w:rsidR="00744EE6" w:rsidRPr="00360DE3" w:rsidRDefault="00744EE6" w:rsidP="00744EE6">
            <w:pPr>
              <w:pStyle w:val="Textpoznpodarou"/>
              <w:jc w:val="both"/>
            </w:pPr>
          </w:p>
        </w:tc>
        <w:tc>
          <w:tcPr>
            <w:tcW w:w="7391" w:type="dxa"/>
          </w:tcPr>
          <w:p w14:paraId="5F9AB994" w14:textId="77777777" w:rsidR="00744EE6" w:rsidRDefault="00744EE6" w:rsidP="00884A6F">
            <w:pPr>
              <w:spacing w:after="0"/>
              <w:rPr>
                <w:b/>
              </w:rPr>
            </w:pPr>
            <w:r>
              <w:rPr>
                <w:b/>
              </w:rPr>
              <w:t xml:space="preserve">Graf č. </w:t>
            </w:r>
            <w:r w:rsidR="00884A6F">
              <w:rPr>
                <w:b/>
              </w:rPr>
              <w:t>6</w:t>
            </w:r>
            <w:r>
              <w:rPr>
                <w:b/>
              </w:rPr>
              <w:t xml:space="preserve">  Výdaje na tvorbu hrubého fixního kapitálu </w:t>
            </w:r>
            <w:r w:rsidRPr="00623DBE">
              <w:t>(</w:t>
            </w:r>
            <w:r>
              <w:t xml:space="preserve">objemové indexy, </w:t>
            </w:r>
            <w:r w:rsidRPr="00623DBE">
              <w:t>meziroční změna v</w:t>
            </w:r>
            <w:r w:rsidR="001D51EB">
              <w:t> %</w:t>
            </w:r>
            <w:r w:rsidRPr="00623DBE">
              <w:t>)</w:t>
            </w:r>
          </w:p>
        </w:tc>
      </w:tr>
      <w:tr w:rsidR="00744EE6" w:rsidRPr="00360DE3" w14:paraId="58831E8A" w14:textId="77777777" w:rsidTr="00DF317B">
        <w:tblPrEx>
          <w:tblCellMar>
            <w:left w:w="70" w:type="dxa"/>
            <w:right w:w="70" w:type="dxa"/>
          </w:tblCellMar>
        </w:tblPrEx>
        <w:trPr>
          <w:trHeight w:val="160"/>
        </w:trPr>
        <w:tc>
          <w:tcPr>
            <w:tcW w:w="1976" w:type="dxa"/>
            <w:vMerge/>
          </w:tcPr>
          <w:p w14:paraId="7C1A566D" w14:textId="77777777" w:rsidR="00744EE6" w:rsidRPr="00360DE3" w:rsidRDefault="00744EE6" w:rsidP="00744EE6">
            <w:pPr>
              <w:pStyle w:val="Marginlie"/>
              <w:rPr>
                <w:spacing w:val="0"/>
              </w:rPr>
            </w:pPr>
          </w:p>
        </w:tc>
        <w:tc>
          <w:tcPr>
            <w:tcW w:w="277" w:type="dxa"/>
            <w:vMerge/>
          </w:tcPr>
          <w:p w14:paraId="19728844" w14:textId="77777777" w:rsidR="00744EE6" w:rsidRPr="00360DE3" w:rsidRDefault="00744EE6" w:rsidP="00744EE6">
            <w:pPr>
              <w:pStyle w:val="Textpoznpodarou"/>
              <w:jc w:val="both"/>
            </w:pPr>
          </w:p>
        </w:tc>
        <w:tc>
          <w:tcPr>
            <w:tcW w:w="7391" w:type="dxa"/>
          </w:tcPr>
          <w:p w14:paraId="59E24522" w14:textId="135E0A0D" w:rsidR="00744EE6" w:rsidRDefault="00DF317B" w:rsidP="00744EE6">
            <w:pPr>
              <w:spacing w:after="0"/>
            </w:pPr>
            <w:r>
              <w:rPr>
                <w:noProof/>
              </w:rPr>
              <w:drawing>
                <wp:inline distT="0" distB="0" distL="0" distR="0" wp14:anchorId="19B43EAF" wp14:editId="7989FB96">
                  <wp:extent cx="4693285" cy="351536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744EE6" w:rsidRPr="00360DE3" w14:paraId="2385B263" w14:textId="77777777" w:rsidTr="00744EE6">
        <w:trPr>
          <w:trHeight w:val="160"/>
        </w:trPr>
        <w:tc>
          <w:tcPr>
            <w:tcW w:w="1976" w:type="dxa"/>
            <w:vMerge/>
          </w:tcPr>
          <w:p w14:paraId="39377145" w14:textId="77777777" w:rsidR="00744EE6" w:rsidRPr="00360DE3" w:rsidRDefault="00744EE6" w:rsidP="00744EE6">
            <w:pPr>
              <w:pStyle w:val="Marginlie"/>
              <w:rPr>
                <w:spacing w:val="0"/>
              </w:rPr>
            </w:pPr>
          </w:p>
        </w:tc>
        <w:tc>
          <w:tcPr>
            <w:tcW w:w="277" w:type="dxa"/>
            <w:vMerge/>
          </w:tcPr>
          <w:p w14:paraId="1F013571" w14:textId="77777777" w:rsidR="00744EE6" w:rsidRPr="00360DE3" w:rsidRDefault="00744EE6" w:rsidP="00744EE6">
            <w:pPr>
              <w:pStyle w:val="Textpoznpodarou"/>
              <w:jc w:val="both"/>
            </w:pPr>
          </w:p>
        </w:tc>
        <w:tc>
          <w:tcPr>
            <w:tcW w:w="7391" w:type="dxa"/>
          </w:tcPr>
          <w:p w14:paraId="0C6BED92" w14:textId="77777777" w:rsidR="00744EE6" w:rsidRDefault="00744EE6" w:rsidP="00744EE6">
            <w:pPr>
              <w:rPr>
                <w:sz w:val="14"/>
                <w:szCs w:val="14"/>
              </w:rPr>
            </w:pPr>
            <w:r>
              <w:rPr>
                <w:sz w:val="14"/>
                <w:szCs w:val="14"/>
              </w:rPr>
              <w:t>Zdroj: Eurostat</w:t>
            </w:r>
          </w:p>
        </w:tc>
      </w:tr>
    </w:tbl>
    <w:p w14:paraId="5B194A38" w14:textId="77777777" w:rsidR="00744EE6" w:rsidRDefault="00744EE6" w:rsidP="00744EE6">
      <w:pPr>
        <w:pStyle w:val="Nadpis1"/>
      </w:pPr>
    </w:p>
    <w:p w14:paraId="74412068" w14:textId="77777777" w:rsidR="00744EE6" w:rsidRDefault="00744EE6">
      <w:pPr>
        <w:spacing w:after="0" w:line="240" w:lineRule="auto"/>
        <w:jc w:val="left"/>
        <w:rPr>
          <w:rFonts w:eastAsia="MS Gothic"/>
          <w:b/>
          <w:bCs/>
          <w:color w:val="71818C"/>
          <w:sz w:val="32"/>
          <w:szCs w:val="28"/>
        </w:rPr>
      </w:pPr>
      <w:r>
        <w:br w:type="page"/>
      </w:r>
    </w:p>
    <w:p w14:paraId="01851C5D" w14:textId="77777777" w:rsidR="00744EE6" w:rsidRDefault="00744EE6" w:rsidP="00744EE6">
      <w:pPr>
        <w:pStyle w:val="Nadpis1"/>
      </w:pPr>
      <w:bookmarkStart w:id="7" w:name="_Toc16586013"/>
      <w:r>
        <w:lastRenderedPageBreak/>
        <w:t>Institucionální sektory</w:t>
      </w:r>
      <w:bookmarkEnd w:id="7"/>
    </w:p>
    <w:p w14:paraId="6A9DC285" w14:textId="3D4EB327" w:rsidR="00BE6186" w:rsidRDefault="003852A9" w:rsidP="00BE6186">
      <w:pPr>
        <w:pStyle w:val="Nadpis110"/>
      </w:pPr>
      <w:bookmarkStart w:id="8" w:name="_Toc16586014"/>
      <w:r>
        <w:t>5</w:t>
      </w:r>
      <w:r w:rsidR="00BE6186" w:rsidRPr="00360DE3">
        <w:t xml:space="preserve">. </w:t>
      </w:r>
      <w:r w:rsidR="00744EE6">
        <w:t>Nefinanční podniky</w:t>
      </w:r>
      <w:bookmarkEnd w:id="8"/>
    </w:p>
    <w:tbl>
      <w:tblPr>
        <w:tblW w:w="9644" w:type="dxa"/>
        <w:tblInd w:w="-15" w:type="dxa"/>
        <w:tblCellMar>
          <w:left w:w="0" w:type="dxa"/>
          <w:right w:w="0" w:type="dxa"/>
        </w:tblCellMar>
        <w:tblLook w:val="00A0" w:firstRow="1" w:lastRow="0" w:firstColumn="1" w:lastColumn="0" w:noHBand="0" w:noVBand="0"/>
      </w:tblPr>
      <w:tblGrid>
        <w:gridCol w:w="1813"/>
        <w:gridCol w:w="231"/>
        <w:gridCol w:w="7600"/>
      </w:tblGrid>
      <w:tr w:rsidR="00744EE6" w14:paraId="7CB4BDF0" w14:textId="77777777" w:rsidTr="00A54250">
        <w:trPr>
          <w:trHeight w:val="145"/>
        </w:trPr>
        <w:tc>
          <w:tcPr>
            <w:tcW w:w="1813" w:type="dxa"/>
            <w:shd w:val="clear" w:color="auto" w:fill="auto"/>
          </w:tcPr>
          <w:p w14:paraId="413C6500" w14:textId="77777777" w:rsidR="00744EE6" w:rsidRDefault="00744EE6" w:rsidP="00A54250">
            <w:pPr>
              <w:pStyle w:val="Marginlie"/>
            </w:pPr>
            <w:r>
              <w:t xml:space="preserve">Hrubá přidaná hodnota vytvořená nefinančními podniky loni vzrostla. </w:t>
            </w:r>
          </w:p>
        </w:tc>
        <w:tc>
          <w:tcPr>
            <w:tcW w:w="231" w:type="dxa"/>
            <w:shd w:val="clear" w:color="auto" w:fill="auto"/>
          </w:tcPr>
          <w:p w14:paraId="44FB7988" w14:textId="77777777" w:rsidR="00744EE6" w:rsidRDefault="00744EE6" w:rsidP="00A54250">
            <w:pPr>
              <w:pStyle w:val="Textpoznpodarou1"/>
              <w:jc w:val="both"/>
              <w:rPr>
                <w:spacing w:val="-4"/>
              </w:rPr>
            </w:pPr>
          </w:p>
        </w:tc>
        <w:tc>
          <w:tcPr>
            <w:tcW w:w="7600" w:type="dxa"/>
            <w:shd w:val="clear" w:color="auto" w:fill="auto"/>
          </w:tcPr>
          <w:p w14:paraId="7E7229A6" w14:textId="6FBD4BFD" w:rsidR="00744EE6" w:rsidRDefault="00744EE6" w:rsidP="00012408">
            <w:r>
              <w:t>Sektor nefinančních podniků (NP) tvoří páteř ekonomiky. Hrubá přidaná hodnota (HPH) vytvořená NP v roce 2018 dosáhla 2 955,9</w:t>
            </w:r>
            <w:r w:rsidR="001F138C">
              <w:t> mld.</w:t>
            </w:r>
            <w:r>
              <w:t xml:space="preserve"> korun</w:t>
            </w:r>
            <w:r>
              <w:rPr>
                <w:rStyle w:val="Znakapoznpodarou"/>
              </w:rPr>
              <w:footnoteReference w:id="9"/>
            </w:r>
            <w:r>
              <w:t xml:space="preserve"> a meziročně se zvýšila o</w:t>
            </w:r>
            <w:r w:rsidR="00BD2991">
              <w:t> </w:t>
            </w:r>
            <w:r>
              <w:t>115,7</w:t>
            </w:r>
            <w:r w:rsidR="001F138C">
              <w:t> mld.</w:t>
            </w:r>
            <w:r>
              <w:t xml:space="preserve"> Nefinanční podniky se na celkové HPH v ekonomice podílely 61,7</w:t>
            </w:r>
            <w:r w:rsidR="001D51EB">
              <w:t> %</w:t>
            </w:r>
            <w:r>
              <w:t>. Jsou rovněž nejvýznamnějším zaměstnavatelem. Na celkové zaměstnanosti</w:t>
            </w:r>
            <w:r>
              <w:rPr>
                <w:rStyle w:val="Znakapoznpodarou"/>
              </w:rPr>
              <w:footnoteReference w:id="10"/>
            </w:r>
            <w:r>
              <w:t xml:space="preserve"> se loni podílely 60,9</w:t>
            </w:r>
            <w:r w:rsidR="001D51EB">
              <w:t> %</w:t>
            </w:r>
            <w:r>
              <w:t>. Objem jimi vyplacených náhrad zaměstnancům loni dosáhl 1 597,8</w:t>
            </w:r>
            <w:r w:rsidR="00012408">
              <w:t> </w:t>
            </w:r>
            <w:r>
              <w:t>mld. korun a tvořil 69,7</w:t>
            </w:r>
            <w:r w:rsidR="001D51EB">
              <w:t> %</w:t>
            </w:r>
            <w:r>
              <w:t xml:space="preserve"> celkových náhrad v ekonomice. Objem výdajů na tvorbu hrubého fixního kapitálu v případě NP dosáhl 857,9</w:t>
            </w:r>
            <w:r w:rsidR="001F138C">
              <w:t> mld.</w:t>
            </w:r>
            <w:r>
              <w:t xml:space="preserve"> korun a tvořil 63,2</w:t>
            </w:r>
            <w:r w:rsidR="001D51EB">
              <w:t> %</w:t>
            </w:r>
            <w:r>
              <w:t xml:space="preserve"> celkové investiční aktivity národního hospodářství.</w:t>
            </w:r>
          </w:p>
        </w:tc>
      </w:tr>
      <w:tr w:rsidR="00744EE6" w14:paraId="240AEDDC" w14:textId="77777777" w:rsidTr="00A54250">
        <w:tc>
          <w:tcPr>
            <w:tcW w:w="1813" w:type="dxa"/>
            <w:vMerge w:val="restart"/>
            <w:shd w:val="clear" w:color="auto" w:fill="auto"/>
          </w:tcPr>
          <w:p w14:paraId="3CE78B1C" w14:textId="77777777" w:rsidR="00744EE6" w:rsidRDefault="00744EE6" w:rsidP="00A54250">
            <w:pPr>
              <w:pStyle w:val="Marginlie"/>
            </w:pPr>
          </w:p>
        </w:tc>
        <w:tc>
          <w:tcPr>
            <w:tcW w:w="231" w:type="dxa"/>
            <w:vMerge w:val="restart"/>
            <w:shd w:val="clear" w:color="auto" w:fill="auto"/>
          </w:tcPr>
          <w:p w14:paraId="19D092CE" w14:textId="77777777" w:rsidR="00744EE6" w:rsidRDefault="00744EE6" w:rsidP="00A54250">
            <w:pPr>
              <w:pStyle w:val="Textpoznpodarou1"/>
              <w:jc w:val="both"/>
              <w:rPr>
                <w:spacing w:val="-4"/>
              </w:rPr>
            </w:pPr>
          </w:p>
        </w:tc>
        <w:tc>
          <w:tcPr>
            <w:tcW w:w="7600" w:type="dxa"/>
            <w:shd w:val="clear" w:color="auto" w:fill="auto"/>
          </w:tcPr>
          <w:p w14:paraId="719CB64F" w14:textId="77777777" w:rsidR="00744EE6" w:rsidRDefault="00744EE6" w:rsidP="00884A6F">
            <w:pPr>
              <w:spacing w:after="0"/>
              <w:rPr>
                <w:b/>
              </w:rPr>
            </w:pPr>
            <w:r>
              <w:rPr>
                <w:b/>
              </w:rPr>
              <w:t xml:space="preserve">Graf č. </w:t>
            </w:r>
            <w:r w:rsidR="00884A6F">
              <w:rPr>
                <w:b/>
              </w:rPr>
              <w:t>7</w:t>
            </w:r>
            <w:r>
              <w:rPr>
                <w:b/>
              </w:rPr>
              <w:t xml:space="preserve">  Hrubá přidaná hodnota nefinančních podniků </w:t>
            </w:r>
            <w:r w:rsidRPr="00AA4429">
              <w:t>(meziroční změna v mld. korun)</w:t>
            </w:r>
          </w:p>
        </w:tc>
      </w:tr>
      <w:tr w:rsidR="00744EE6" w14:paraId="426C6BE1" w14:textId="77777777" w:rsidTr="00A54250">
        <w:tblPrEx>
          <w:tblCellMar>
            <w:left w:w="70" w:type="dxa"/>
            <w:right w:w="70" w:type="dxa"/>
          </w:tblCellMar>
        </w:tblPrEx>
        <w:trPr>
          <w:trHeight w:val="170"/>
        </w:trPr>
        <w:tc>
          <w:tcPr>
            <w:tcW w:w="1813" w:type="dxa"/>
            <w:vMerge/>
            <w:shd w:val="clear" w:color="auto" w:fill="auto"/>
          </w:tcPr>
          <w:p w14:paraId="5253DFD2" w14:textId="77777777" w:rsidR="00744EE6" w:rsidRDefault="00744EE6" w:rsidP="00A54250">
            <w:pPr>
              <w:pStyle w:val="Marginlie"/>
            </w:pPr>
          </w:p>
        </w:tc>
        <w:tc>
          <w:tcPr>
            <w:tcW w:w="231" w:type="dxa"/>
            <w:vMerge/>
            <w:shd w:val="clear" w:color="auto" w:fill="auto"/>
          </w:tcPr>
          <w:p w14:paraId="76BE5F64" w14:textId="77777777" w:rsidR="00744EE6" w:rsidRDefault="00744EE6" w:rsidP="00A54250">
            <w:pPr>
              <w:pStyle w:val="Textpoznpodarou1"/>
              <w:jc w:val="both"/>
              <w:rPr>
                <w:spacing w:val="-4"/>
              </w:rPr>
            </w:pPr>
          </w:p>
        </w:tc>
        <w:tc>
          <w:tcPr>
            <w:tcW w:w="7600" w:type="dxa"/>
            <w:shd w:val="clear" w:color="auto" w:fill="auto"/>
          </w:tcPr>
          <w:p w14:paraId="005E72F2" w14:textId="77777777" w:rsidR="00744EE6" w:rsidRDefault="00744EE6" w:rsidP="00A54250">
            <w:pPr>
              <w:spacing w:after="0"/>
            </w:pPr>
            <w:r>
              <w:rPr>
                <w:noProof/>
              </w:rPr>
              <w:drawing>
                <wp:inline distT="0" distB="0" distL="0" distR="0" wp14:anchorId="335631CF" wp14:editId="0CC1B39C">
                  <wp:extent cx="4737600" cy="3553200"/>
                  <wp:effectExtent l="0" t="0" r="0" b="0"/>
                  <wp:docPr id="55" name="Graf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744EE6" w14:paraId="09444002" w14:textId="77777777" w:rsidTr="00A54250">
        <w:trPr>
          <w:trHeight w:val="170"/>
        </w:trPr>
        <w:tc>
          <w:tcPr>
            <w:tcW w:w="1813" w:type="dxa"/>
            <w:vMerge/>
            <w:shd w:val="clear" w:color="auto" w:fill="auto"/>
          </w:tcPr>
          <w:p w14:paraId="547378E5" w14:textId="77777777" w:rsidR="00744EE6" w:rsidRDefault="00744EE6" w:rsidP="00A54250">
            <w:pPr>
              <w:pStyle w:val="Marginlie"/>
            </w:pPr>
          </w:p>
        </w:tc>
        <w:tc>
          <w:tcPr>
            <w:tcW w:w="231" w:type="dxa"/>
            <w:vMerge/>
            <w:shd w:val="clear" w:color="auto" w:fill="auto"/>
          </w:tcPr>
          <w:p w14:paraId="6CF1CF77" w14:textId="77777777" w:rsidR="00744EE6" w:rsidRDefault="00744EE6" w:rsidP="00A54250">
            <w:pPr>
              <w:pStyle w:val="Textpoznpodarou1"/>
              <w:jc w:val="both"/>
              <w:rPr>
                <w:spacing w:val="-4"/>
              </w:rPr>
            </w:pPr>
          </w:p>
        </w:tc>
        <w:tc>
          <w:tcPr>
            <w:tcW w:w="7600" w:type="dxa"/>
            <w:shd w:val="clear" w:color="auto" w:fill="auto"/>
          </w:tcPr>
          <w:p w14:paraId="13B1061D" w14:textId="77777777" w:rsidR="00744EE6" w:rsidRDefault="00744EE6" w:rsidP="00A54250">
            <w:pPr>
              <w:rPr>
                <w:sz w:val="14"/>
                <w:szCs w:val="14"/>
              </w:rPr>
            </w:pPr>
            <w:r>
              <w:rPr>
                <w:sz w:val="14"/>
                <w:szCs w:val="14"/>
              </w:rPr>
              <w:t>Zdroj: ČSÚ</w:t>
            </w:r>
          </w:p>
        </w:tc>
      </w:tr>
      <w:tr w:rsidR="00744EE6" w14:paraId="40822DAB" w14:textId="77777777" w:rsidTr="00A54250">
        <w:trPr>
          <w:trHeight w:val="145"/>
        </w:trPr>
        <w:tc>
          <w:tcPr>
            <w:tcW w:w="1813" w:type="dxa"/>
            <w:shd w:val="clear" w:color="auto" w:fill="auto"/>
          </w:tcPr>
          <w:p w14:paraId="1A584C6B" w14:textId="6B79368D" w:rsidR="00744EE6" w:rsidRDefault="00744EE6" w:rsidP="00A54250">
            <w:pPr>
              <w:pStyle w:val="Marginlie"/>
            </w:pPr>
            <w:r>
              <w:t xml:space="preserve">Růst </w:t>
            </w:r>
            <w:r w:rsidR="00A416D4">
              <w:t xml:space="preserve">poháněla </w:t>
            </w:r>
            <w:r>
              <w:t>zejména odvětví služeb. Příspěvek průmyslu byl slabší než v předchozích letech.</w:t>
            </w:r>
          </w:p>
        </w:tc>
        <w:tc>
          <w:tcPr>
            <w:tcW w:w="231" w:type="dxa"/>
            <w:shd w:val="clear" w:color="auto" w:fill="auto"/>
          </w:tcPr>
          <w:p w14:paraId="4878677B" w14:textId="77777777" w:rsidR="00744EE6" w:rsidRDefault="00744EE6" w:rsidP="00A54250">
            <w:pPr>
              <w:pStyle w:val="Textpoznpodarou1"/>
              <w:jc w:val="both"/>
              <w:rPr>
                <w:spacing w:val="-4"/>
              </w:rPr>
            </w:pPr>
          </w:p>
        </w:tc>
        <w:tc>
          <w:tcPr>
            <w:tcW w:w="7600" w:type="dxa"/>
            <w:shd w:val="clear" w:color="auto" w:fill="auto"/>
          </w:tcPr>
          <w:p w14:paraId="4E26C5E1" w14:textId="27ED71BC" w:rsidR="00744EE6" w:rsidRDefault="00744EE6" w:rsidP="00A32759">
            <w:r>
              <w:t>Největší podíl na HPH nefinančních podniků měla průmyslová odvětví</w:t>
            </w:r>
            <w:r>
              <w:rPr>
                <w:rStyle w:val="Znakapoznpodarou"/>
              </w:rPr>
              <w:footnoteReference w:id="11"/>
            </w:r>
            <w:r>
              <w:t xml:space="preserve">. Celková HPH, kterou </w:t>
            </w:r>
            <w:r w:rsidR="00A416D4">
              <w:t>vyprodukovala</w:t>
            </w:r>
            <w:r>
              <w:t>, dosáhla 1 344,9</w:t>
            </w:r>
            <w:r w:rsidR="001F138C">
              <w:t> mld.</w:t>
            </w:r>
            <w:r>
              <w:t xml:space="preserve"> korun (45,5</w:t>
            </w:r>
            <w:r w:rsidR="001D51EB">
              <w:t> %</w:t>
            </w:r>
            <w:r>
              <w:t xml:space="preserve"> celkové HPH </w:t>
            </w:r>
            <w:r w:rsidR="00A32759">
              <w:t>sektoru NP</w:t>
            </w:r>
            <w:r>
              <w:t>) a meziročně se zvýšila o 6,9</w:t>
            </w:r>
            <w:r w:rsidR="001F138C">
              <w:t> mld.</w:t>
            </w:r>
            <w:r>
              <w:t xml:space="preserve"> Uvedená odvětví byla klíčovým přispěvatelem k růstu HPH v letech 2014–2017. V loňském roce ale jejich dynamika značně polevila a to vedlo k nižšímu růstu celé ekonomiky. Kromě meziročního poklesu HPH v těžbě a dobývání (</w:t>
            </w:r>
            <w:r w:rsidR="001F138C">
              <w:t>–</w:t>
            </w:r>
            <w:r>
              <w:t>0,6</w:t>
            </w:r>
            <w:r w:rsidR="001F138C">
              <w:t> mld.</w:t>
            </w:r>
            <w:r>
              <w:t>) a energetice (</w:t>
            </w:r>
            <w:r w:rsidR="001F138C">
              <w:t>–</w:t>
            </w:r>
            <w:r>
              <w:t>3,3</w:t>
            </w:r>
            <w:r w:rsidR="001F138C">
              <w:t> mld.</w:t>
            </w:r>
            <w:r>
              <w:t>) je hlavním důvodem zmírnění přírůstku ve zpracovatelském průmyslu (z</w:t>
            </w:r>
            <w:r w:rsidR="00A416D4">
              <w:t>e</w:t>
            </w:r>
            <w:r>
              <w:t xml:space="preserve"> 64,0</w:t>
            </w:r>
            <w:r w:rsidR="001F138C">
              <w:t> mld.</w:t>
            </w:r>
            <w:r>
              <w:t xml:space="preserve"> v roce 2017 na loňských 8,4</w:t>
            </w:r>
            <w:r w:rsidR="001F138C">
              <w:t> mld.</w:t>
            </w:r>
            <w:r>
              <w:t>). Zčásti lze toto zpomalení přisoudit slabší zahraniční poptávce, na které je český zpracovatelský průmysl závislý. Pokles HPH nastal ve výrobě motorových vozidel, v</w:t>
            </w:r>
            <w:r w:rsidR="00A416D4">
              <w:t xml:space="preserve"> </w:t>
            </w:r>
            <w:r>
              <w:t xml:space="preserve">plastikářství nebo u výroby chemických látek a přípravků. Stagnoval růst HPH ve výrobě strojů a zařízení. Naopak odvětví služeb prosperovala, zejména díky domácí poptávce ovlivněné růstem příjmů domácností. Hrubá přidaná </w:t>
            </w:r>
            <w:r>
              <w:lastRenderedPageBreak/>
              <w:t>hodnota v obchodě, dopravě, ubytování a pohostinství vzrostla o 46,7</w:t>
            </w:r>
            <w:r w:rsidR="001F138C">
              <w:t> mld.</w:t>
            </w:r>
            <w:r>
              <w:t xml:space="preserve"> korun. V případě informačních a komunikačních činností dosáhl loni nárůst 24,1</w:t>
            </w:r>
            <w:r w:rsidR="001F138C">
              <w:t> mld.</w:t>
            </w:r>
            <w:r>
              <w:t xml:space="preserve"> korun (v roce 2017 to bylo 14,0</w:t>
            </w:r>
            <w:r w:rsidR="001F138C">
              <w:t> mld.</w:t>
            </w:r>
            <w:r>
              <w:t>). Po dlouhém období stagnace a poklesů došlo k oživení ve stavebnictví (nárůst HPH o 16,0</w:t>
            </w:r>
            <w:r w:rsidR="001F138C">
              <w:t> mld.</w:t>
            </w:r>
            <w:r>
              <w:t xml:space="preserve"> korun). Odvětví prospívala zvýšená investiční aktivita v oblasti ostatních staveb i několik let trvající vysoká poptávka po bytech, na kterou stavebnictví se zpožděním reagovalo. Ani silný přírůstek zatím nevymazal ztráty způsobené během deset let trvající krize </w:t>
            </w:r>
            <w:r w:rsidR="005A2A19">
              <w:t xml:space="preserve">tohoto </w:t>
            </w:r>
            <w:r>
              <w:t>odvětví –</w:t>
            </w:r>
            <w:r w:rsidR="00467ABC">
              <w:t> </w:t>
            </w:r>
            <w:r>
              <w:t>HPH loni dosáhla 165,3</w:t>
            </w:r>
            <w:r w:rsidR="001F138C">
              <w:t> mld.</w:t>
            </w:r>
            <w:r>
              <w:t xml:space="preserve"> korun a stále nepřekonala úroveň roku 2009 (170,0</w:t>
            </w:r>
            <w:r w:rsidR="001F138C">
              <w:t> mld.</w:t>
            </w:r>
            <w:r>
              <w:t xml:space="preserve">). </w:t>
            </w:r>
            <w:r w:rsidR="0028587B">
              <w:t>V </w:t>
            </w:r>
            <w:r>
              <w:t>zemědělství, lesnictví a rybářství HPH klesla o 3,7</w:t>
            </w:r>
            <w:r w:rsidR="001F138C">
              <w:t> mld.</w:t>
            </w:r>
            <w:r>
              <w:t xml:space="preserve"> korun.</w:t>
            </w:r>
          </w:p>
        </w:tc>
      </w:tr>
      <w:tr w:rsidR="00744EE6" w14:paraId="77F89823" w14:textId="77777777" w:rsidTr="00A54250">
        <w:trPr>
          <w:trHeight w:val="145"/>
        </w:trPr>
        <w:tc>
          <w:tcPr>
            <w:tcW w:w="1813" w:type="dxa"/>
            <w:shd w:val="clear" w:color="auto" w:fill="auto"/>
          </w:tcPr>
          <w:p w14:paraId="5D1EC64C" w14:textId="77777777" w:rsidR="00744EE6" w:rsidRDefault="00744EE6" w:rsidP="00A54250">
            <w:pPr>
              <w:pStyle w:val="Marginlie"/>
            </w:pPr>
            <w:r>
              <w:lastRenderedPageBreak/>
              <w:t>Rekordně se zvýšil objem vyplacených náhrad zaměstnancům. Snížil se tak hrubý provozní přebytek a míra zisku.</w:t>
            </w:r>
          </w:p>
        </w:tc>
        <w:tc>
          <w:tcPr>
            <w:tcW w:w="231" w:type="dxa"/>
            <w:shd w:val="clear" w:color="auto" w:fill="auto"/>
          </w:tcPr>
          <w:p w14:paraId="00AA2EE6" w14:textId="77777777" w:rsidR="00744EE6" w:rsidRDefault="00744EE6" w:rsidP="00A54250">
            <w:pPr>
              <w:pStyle w:val="Textpoznpodarou1"/>
              <w:jc w:val="both"/>
              <w:rPr>
                <w:spacing w:val="-4"/>
              </w:rPr>
            </w:pPr>
          </w:p>
        </w:tc>
        <w:tc>
          <w:tcPr>
            <w:tcW w:w="7600" w:type="dxa"/>
            <w:shd w:val="clear" w:color="auto" w:fill="auto"/>
          </w:tcPr>
          <w:p w14:paraId="1BD5E681" w14:textId="0CA078E3" w:rsidR="00744EE6" w:rsidRDefault="00744EE6" w:rsidP="005A2A19">
            <w:r>
              <w:t>Objem náhrad, které NP vyplatily zaměstnancům, loni dosáhl 1 597,8 mld. korun a</w:t>
            </w:r>
            <w:r w:rsidR="00467ABC">
              <w:t> </w:t>
            </w:r>
            <w:r>
              <w:t>meziročně se zvýšil o 133,6</w:t>
            </w:r>
            <w:r w:rsidR="001F138C">
              <w:t> mld.</w:t>
            </w:r>
            <w:r>
              <w:t xml:space="preserve"> (9,1</w:t>
            </w:r>
            <w:r w:rsidR="001D51EB">
              <w:t> %</w:t>
            </w:r>
            <w:r>
              <w:t>). Meziroční přírůstek v porovnání s rokem 2017 posílil. Celková zaměstnanost v sektoru loni vzrostla o 1,7 %, stejně jako v předchozím roce. Nefinanční podniky musely reflektovat situaci na trhu práce</w:t>
            </w:r>
            <w:r w:rsidR="00467ABC">
              <w:t>,</w:t>
            </w:r>
            <w:r>
              <w:t xml:space="preserve"> a</w:t>
            </w:r>
            <w:r w:rsidR="00467ABC">
              <w:t> </w:t>
            </w:r>
            <w:r w:rsidR="005A2A19">
              <w:t>nárůst</w:t>
            </w:r>
            <w:r>
              <w:t xml:space="preserve"> mzdových nákladů tak </w:t>
            </w:r>
            <w:r w:rsidR="00467ABC">
              <w:t>růstem předčil</w:t>
            </w:r>
            <w:r>
              <w:t xml:space="preserve"> HPH. To se projevilo meziročním poklesem hrubého provozního přebytku a následně i snížením míry zisku</w:t>
            </w:r>
            <w:r>
              <w:rPr>
                <w:rStyle w:val="Znakapoznpodarou"/>
              </w:rPr>
              <w:footnoteReference w:id="12"/>
            </w:r>
            <w:r>
              <w:t xml:space="preserve"> </w:t>
            </w:r>
            <w:r w:rsidR="00467ABC">
              <w:br/>
            </w:r>
            <w:r>
              <w:t>(</w:t>
            </w:r>
            <w:r w:rsidR="00467ABC">
              <w:t>–</w:t>
            </w:r>
            <w:r>
              <w:t>2,6 p.</w:t>
            </w:r>
            <w:r w:rsidR="00467ABC">
              <w:t> </w:t>
            </w:r>
            <w:r>
              <w:t>b.), která loni dosáhla 46,7</w:t>
            </w:r>
            <w:r w:rsidR="001D51EB">
              <w:t> %</w:t>
            </w:r>
            <w:r>
              <w:t xml:space="preserve">, což je nejméně za dobu </w:t>
            </w:r>
            <w:r w:rsidR="005A2A19">
              <w:t>existence</w:t>
            </w:r>
            <w:r>
              <w:t xml:space="preserve"> samostatné </w:t>
            </w:r>
            <w:r w:rsidR="00467ABC">
              <w:t>České republiky</w:t>
            </w:r>
            <w:r>
              <w:t>. I tak je míra zisku nefinančních podniků v Česku vysoká v porovnání s evropským průměrem. Ten loni dosáhl 39,4</w:t>
            </w:r>
            <w:r w:rsidR="001D51EB">
              <w:t> %</w:t>
            </w:r>
            <w:r>
              <w:t>.</w:t>
            </w:r>
          </w:p>
        </w:tc>
      </w:tr>
      <w:tr w:rsidR="00744EE6" w14:paraId="459D89A7" w14:textId="77777777" w:rsidTr="00A54250">
        <w:trPr>
          <w:trHeight w:val="145"/>
        </w:trPr>
        <w:tc>
          <w:tcPr>
            <w:tcW w:w="1813" w:type="dxa"/>
            <w:shd w:val="clear" w:color="auto" w:fill="auto"/>
          </w:tcPr>
          <w:p w14:paraId="16F161AE" w14:textId="77777777" w:rsidR="00744EE6" w:rsidRDefault="00744EE6" w:rsidP="00A54250">
            <w:pPr>
              <w:pStyle w:val="Marginlie"/>
            </w:pPr>
            <w:r>
              <w:t>Zmírnilo se saldo důchodů z vlastnictví.</w:t>
            </w:r>
          </w:p>
        </w:tc>
        <w:tc>
          <w:tcPr>
            <w:tcW w:w="231" w:type="dxa"/>
            <w:shd w:val="clear" w:color="auto" w:fill="auto"/>
          </w:tcPr>
          <w:p w14:paraId="453CFBBF" w14:textId="77777777" w:rsidR="00744EE6" w:rsidRDefault="00744EE6" w:rsidP="00A54250">
            <w:pPr>
              <w:pStyle w:val="Textpoznpodarou1"/>
              <w:jc w:val="both"/>
              <w:rPr>
                <w:spacing w:val="-4"/>
              </w:rPr>
            </w:pPr>
          </w:p>
        </w:tc>
        <w:tc>
          <w:tcPr>
            <w:tcW w:w="7600" w:type="dxa"/>
            <w:shd w:val="clear" w:color="auto" w:fill="auto"/>
          </w:tcPr>
          <w:p w14:paraId="4F929651" w14:textId="61960CB0" w:rsidR="00744EE6" w:rsidRDefault="00744EE6" w:rsidP="005A2A19">
            <w:r>
              <w:t>Záporné saldo důchodů z vlastnictví, které pravidelně odčerpává významnou část HPH nefinančních podniků</w:t>
            </w:r>
            <w:r w:rsidR="00E333BA">
              <w:t>,</w:t>
            </w:r>
            <w:r>
              <w:t xml:space="preserve"> se loni snížilo o 36,4</w:t>
            </w:r>
            <w:r w:rsidR="001F138C">
              <w:t> mld.</w:t>
            </w:r>
            <w:r>
              <w:t xml:space="preserve"> korun na 472,5</w:t>
            </w:r>
            <w:r w:rsidR="001F138C">
              <w:t> mld.</w:t>
            </w:r>
            <w:r>
              <w:t xml:space="preserve"> Důvodem byl nárůst na straně zdrojů o 39,9</w:t>
            </w:r>
            <w:r w:rsidR="001F138C">
              <w:t> mld.</w:t>
            </w:r>
            <w:r>
              <w:t xml:space="preserve"> Sektor si totiž připsal reinvestované zisky z přímých zahraničních investic ve výši 45,2</w:t>
            </w:r>
            <w:r w:rsidR="001F138C">
              <w:t> mld.</w:t>
            </w:r>
            <w:r>
              <w:t xml:space="preserve"> korun, meziročně o 26,4</w:t>
            </w:r>
            <w:r w:rsidR="001F138C">
              <w:t> mld.</w:t>
            </w:r>
            <w:r>
              <w:t xml:space="preserve"> více. O</w:t>
            </w:r>
            <w:r w:rsidR="00E333BA">
              <w:t> </w:t>
            </w:r>
            <w:r>
              <w:t>5,8</w:t>
            </w:r>
            <w:r w:rsidR="001F138C">
              <w:t> mld.</w:t>
            </w:r>
            <w:r>
              <w:t xml:space="preserve"> narostl objem získaných úroků a o 7,9</w:t>
            </w:r>
            <w:r w:rsidR="001F138C">
              <w:t> mld.</w:t>
            </w:r>
            <w:r>
              <w:t xml:space="preserve"> výše rozdělovaných důchodů společností. Nárůst vyplacených důchodů z vlastnictví byl jen mírný (3,5</w:t>
            </w:r>
            <w:r w:rsidR="001F138C">
              <w:t> mld.</w:t>
            </w:r>
            <w:r>
              <w:t xml:space="preserve"> korun)</w:t>
            </w:r>
            <w:r w:rsidR="00A66A11">
              <w:t>,</w:t>
            </w:r>
            <w:r>
              <w:t xml:space="preserve"> </w:t>
            </w:r>
            <w:r w:rsidR="00A66A11">
              <w:t>d</w:t>
            </w:r>
            <w:r>
              <w:t>ošlo však k pohybům v jejich struktuře. Meziročně o 52,7</w:t>
            </w:r>
            <w:r w:rsidR="001F138C">
              <w:t> mld.</w:t>
            </w:r>
            <w:r>
              <w:t xml:space="preserve"> korun klesl objem reinvestovaných zisků z přímých zahraničních investic a naopak o 45,0</w:t>
            </w:r>
            <w:r w:rsidR="001F138C">
              <w:t> mld.</w:t>
            </w:r>
            <w:r>
              <w:t xml:space="preserve"> narostl</w:t>
            </w:r>
            <w:r w:rsidR="005A2A19">
              <w:t>a položka</w:t>
            </w:r>
            <w:r>
              <w:t xml:space="preserve"> rozdělovan</w:t>
            </w:r>
            <w:r w:rsidR="005A2A19">
              <w:t>ých</w:t>
            </w:r>
            <w:r>
              <w:t xml:space="preserve"> důchod</w:t>
            </w:r>
            <w:r w:rsidR="005A2A19">
              <w:t>ů</w:t>
            </w:r>
            <w:r>
              <w:t xml:space="preserve"> společností.</w:t>
            </w:r>
          </w:p>
        </w:tc>
      </w:tr>
      <w:tr w:rsidR="00744EE6" w14:paraId="359FD410" w14:textId="77777777" w:rsidTr="00A54250">
        <w:trPr>
          <w:trHeight w:val="212"/>
        </w:trPr>
        <w:tc>
          <w:tcPr>
            <w:tcW w:w="1813" w:type="dxa"/>
            <w:shd w:val="clear" w:color="auto" w:fill="auto"/>
          </w:tcPr>
          <w:p w14:paraId="47B6988B" w14:textId="47C18A69" w:rsidR="00744EE6" w:rsidRDefault="00744EE6" w:rsidP="00A54250">
            <w:pPr>
              <w:pStyle w:val="Marginlie"/>
              <w:spacing w:after="240"/>
            </w:pPr>
            <w:r>
              <w:t>Míra úspor nefinančních podniků se snížila. Kapitálové transfery</w:t>
            </w:r>
            <w:r w:rsidR="00E333BA">
              <w:br/>
            </w:r>
            <w:r>
              <w:t>ve formě investičních dotací rostly.</w:t>
            </w:r>
          </w:p>
        </w:tc>
        <w:tc>
          <w:tcPr>
            <w:tcW w:w="231" w:type="dxa"/>
            <w:shd w:val="clear" w:color="auto" w:fill="auto"/>
          </w:tcPr>
          <w:p w14:paraId="4306F446" w14:textId="77777777" w:rsidR="00744EE6" w:rsidRDefault="00744EE6" w:rsidP="00A54250">
            <w:pPr>
              <w:pStyle w:val="Textpoznpodarou1"/>
              <w:spacing w:after="240"/>
              <w:jc w:val="both"/>
              <w:rPr>
                <w:spacing w:val="-4"/>
              </w:rPr>
            </w:pPr>
          </w:p>
        </w:tc>
        <w:tc>
          <w:tcPr>
            <w:tcW w:w="7600" w:type="dxa"/>
            <w:shd w:val="clear" w:color="auto" w:fill="auto"/>
          </w:tcPr>
          <w:p w14:paraId="7CD5EADB" w14:textId="09DBFEED" w:rsidR="00744EE6" w:rsidRDefault="00744EE6" w:rsidP="0084727E">
            <w:r>
              <w:t>Saldo hrubých prvotních důchodů se díky zmírnění záporného salda důchodů z vlastnictví zvýšilo o 15,6</w:t>
            </w:r>
            <w:r w:rsidR="001F138C">
              <w:t> mld.</w:t>
            </w:r>
            <w:r>
              <w:t xml:space="preserve"> korun a dosáhlo 907,0</w:t>
            </w:r>
            <w:r w:rsidR="001F138C">
              <w:t> mld.</w:t>
            </w:r>
            <w:r>
              <w:t xml:space="preserve"> Saldo druhotných </w:t>
            </w:r>
            <w:r w:rsidR="00E333BA">
              <w:t xml:space="preserve">důchodů </w:t>
            </w:r>
            <w:r>
              <w:t>již třetím rokem stagnuje a loni dosáhlo 153,5</w:t>
            </w:r>
            <w:r w:rsidR="001F138C">
              <w:t> mld.</w:t>
            </w:r>
            <w:r>
              <w:t xml:space="preserve"> korun. Na obou stranách bilance rostl objem prostředků ve formě ostatních běžných transferů. O</w:t>
            </w:r>
            <w:r w:rsidR="00E333BA">
              <w:t> </w:t>
            </w:r>
            <w:r>
              <w:t>10,7</w:t>
            </w:r>
            <w:r w:rsidR="001F138C">
              <w:t> mld.</w:t>
            </w:r>
            <w:r>
              <w:t xml:space="preserve"> korun ale klesl objem zaplacených běžných daní z důchodů a jmění. Nefinančním podnikům tak loni zůstaly hrubé úspory ve výši 753,5</w:t>
            </w:r>
            <w:r w:rsidR="001F138C">
              <w:t> mld.</w:t>
            </w:r>
            <w:r>
              <w:t xml:space="preserve"> korun, což je meziročně o</w:t>
            </w:r>
            <w:r w:rsidR="00E333BA">
              <w:t> </w:t>
            </w:r>
            <w:r>
              <w:t>15,7</w:t>
            </w:r>
            <w:r w:rsidR="001F138C">
              <w:t> mld.</w:t>
            </w:r>
            <w:r>
              <w:t xml:space="preserve"> více. Míra úspor</w:t>
            </w:r>
            <w:r>
              <w:rPr>
                <w:rStyle w:val="Znakapoznpodarou"/>
              </w:rPr>
              <w:footnoteReference w:id="13"/>
            </w:r>
            <w:r>
              <w:t xml:space="preserve"> se přesto snížila na 25,5</w:t>
            </w:r>
            <w:r w:rsidR="001D51EB">
              <w:t> %</w:t>
            </w:r>
            <w:r>
              <w:t>. Kladné saldo kapitálových transferů nefinančních podniků loni dosáhlo 32,3</w:t>
            </w:r>
            <w:r w:rsidR="001F138C">
              <w:t> mld.</w:t>
            </w:r>
            <w:r>
              <w:t xml:space="preserve"> korun a meziročně se zvýšilo o</w:t>
            </w:r>
            <w:r w:rsidR="00E333BA">
              <w:t> </w:t>
            </w:r>
            <w:r>
              <w:t>17,4</w:t>
            </w:r>
            <w:r w:rsidR="001F138C">
              <w:t> mld.</w:t>
            </w:r>
            <w:r>
              <w:t xml:space="preserve"> Příjmové transfery měly z většiny formu investičních dotací (30,2</w:t>
            </w:r>
            <w:r w:rsidR="001F138C">
              <w:t> mld.</w:t>
            </w:r>
            <w:r>
              <w:t>).</w:t>
            </w:r>
          </w:p>
        </w:tc>
      </w:tr>
      <w:tr w:rsidR="00744EE6" w14:paraId="75B353A6" w14:textId="77777777" w:rsidTr="00A54250">
        <w:trPr>
          <w:trHeight w:val="212"/>
        </w:trPr>
        <w:tc>
          <w:tcPr>
            <w:tcW w:w="1813" w:type="dxa"/>
            <w:shd w:val="clear" w:color="auto" w:fill="auto"/>
          </w:tcPr>
          <w:p w14:paraId="4F973112" w14:textId="7336ECF9" w:rsidR="00744EE6" w:rsidRDefault="00744EE6" w:rsidP="00A54250">
            <w:pPr>
              <w:pStyle w:val="Marginlie"/>
              <w:spacing w:after="240"/>
            </w:pPr>
            <w:r>
              <w:t>Posílení investiční aktivity nefinančních podniků</w:t>
            </w:r>
            <w:r w:rsidR="00E333BA">
              <w:br/>
            </w:r>
            <w:r>
              <w:t>bylo výraznější než v předchozích letech. Míra investic se tak zvýšila.</w:t>
            </w:r>
          </w:p>
        </w:tc>
        <w:tc>
          <w:tcPr>
            <w:tcW w:w="231" w:type="dxa"/>
            <w:shd w:val="clear" w:color="auto" w:fill="auto"/>
          </w:tcPr>
          <w:p w14:paraId="76424F69" w14:textId="77777777" w:rsidR="00744EE6" w:rsidRDefault="00744EE6" w:rsidP="00A54250">
            <w:pPr>
              <w:pStyle w:val="Textpoznpodarou1"/>
              <w:spacing w:after="240"/>
              <w:jc w:val="both"/>
              <w:rPr>
                <w:spacing w:val="-4"/>
              </w:rPr>
            </w:pPr>
          </w:p>
        </w:tc>
        <w:tc>
          <w:tcPr>
            <w:tcW w:w="7600" w:type="dxa"/>
            <w:shd w:val="clear" w:color="auto" w:fill="auto"/>
          </w:tcPr>
          <w:p w14:paraId="68ED611C" w14:textId="1693CB8E" w:rsidR="00744EE6" w:rsidRDefault="00744EE6" w:rsidP="005A2A19">
            <w:r>
              <w:t>Investiční aktivita nefinančních podniků meziročně posílila. Výdaje na tvorbu hrubého fixního kapitálu se zvýšily o 59,2</w:t>
            </w:r>
            <w:r w:rsidR="001F138C">
              <w:t> mld.</w:t>
            </w:r>
            <w:r>
              <w:t xml:space="preserve"> korun, což je přibližně dvojnásobný přírůstek v porovnání s lety 2016 a 2017. Došlo tedy k nárůstu míry investic</w:t>
            </w:r>
            <w:r>
              <w:rPr>
                <w:rStyle w:val="Znakapoznpodarou"/>
              </w:rPr>
              <w:footnoteReference w:id="14"/>
            </w:r>
            <w:r>
              <w:t xml:space="preserve"> o 0,9</w:t>
            </w:r>
            <w:r w:rsidR="001F138C">
              <w:t> p. b.</w:t>
            </w:r>
            <w:r>
              <w:t xml:space="preserve"> na 29,0 %. Porovnání tvorby hrubého fixního kapitálu s hrubými úsporami ukazuje, že míra samofinancování</w:t>
            </w:r>
            <w:r>
              <w:rPr>
                <w:rStyle w:val="Znakapoznpodarou"/>
              </w:rPr>
              <w:footnoteReference w:id="15"/>
            </w:r>
            <w:r>
              <w:t xml:space="preserve"> sektoru se snížila o 4,5</w:t>
            </w:r>
            <w:r w:rsidR="001F138C">
              <w:t> p. b.</w:t>
            </w:r>
            <w:r>
              <w:t xml:space="preserve"> na 87,8</w:t>
            </w:r>
            <w:r w:rsidR="001D51EB">
              <w:t> %</w:t>
            </w:r>
            <w:r>
              <w:t>. To vedlo k růstu objemu půjček v závazcích o 113,0</w:t>
            </w:r>
            <w:r w:rsidR="001F138C">
              <w:t> mld.</w:t>
            </w:r>
            <w:r>
              <w:t xml:space="preserve"> korun, zejména ve formě dlouhodobých </w:t>
            </w:r>
            <w:r w:rsidR="005A2A19">
              <w:t>úvěrů</w:t>
            </w:r>
            <w:r>
              <w:t>. N</w:t>
            </w:r>
            <w:r w:rsidR="00122BB3">
              <w:t>a</w:t>
            </w:r>
            <w:r>
              <w:t>výšila se také hodnota účastí a podílů v investičních fondech (o 94,7</w:t>
            </w:r>
            <w:r w:rsidR="001F138C">
              <w:t> mld.</w:t>
            </w:r>
            <w:r>
              <w:t xml:space="preserve"> korun), které jinak tvoří většinu závazků českých</w:t>
            </w:r>
            <w:r w:rsidR="00122BB3">
              <w:t> </w:t>
            </w:r>
            <w:r>
              <w:t>NP. O 25,4</w:t>
            </w:r>
            <w:r w:rsidR="001F138C">
              <w:t> mld.</w:t>
            </w:r>
            <w:r>
              <w:t xml:space="preserve"> korun se zvýšila hodnota emitovaných dluhových cenných papírů.</w:t>
            </w:r>
          </w:p>
        </w:tc>
      </w:tr>
    </w:tbl>
    <w:p w14:paraId="7B9CF765" w14:textId="1279A18E" w:rsidR="005152D9" w:rsidRDefault="003852A9" w:rsidP="005152D9">
      <w:pPr>
        <w:pStyle w:val="Nadpis110"/>
      </w:pPr>
      <w:bookmarkStart w:id="9" w:name="_Toc16586015"/>
      <w:r>
        <w:lastRenderedPageBreak/>
        <w:t>6</w:t>
      </w:r>
      <w:r w:rsidR="00141782" w:rsidRPr="00360DE3">
        <w:t xml:space="preserve">. </w:t>
      </w:r>
      <w:r w:rsidR="005152D9">
        <w:t>Finanční instituce</w:t>
      </w:r>
      <w:bookmarkEnd w:id="9"/>
    </w:p>
    <w:tbl>
      <w:tblPr>
        <w:tblW w:w="9644" w:type="dxa"/>
        <w:tblInd w:w="-15" w:type="dxa"/>
        <w:tblCellMar>
          <w:left w:w="0" w:type="dxa"/>
          <w:right w:w="0" w:type="dxa"/>
        </w:tblCellMar>
        <w:tblLook w:val="00A0" w:firstRow="1" w:lastRow="0" w:firstColumn="1" w:lastColumn="0" w:noHBand="0" w:noVBand="0"/>
      </w:tblPr>
      <w:tblGrid>
        <w:gridCol w:w="1909"/>
        <w:gridCol w:w="264"/>
        <w:gridCol w:w="7471"/>
      </w:tblGrid>
      <w:tr w:rsidR="005152D9" w14:paraId="77FE4762" w14:textId="77777777" w:rsidTr="00A54250">
        <w:trPr>
          <w:trHeight w:val="145"/>
        </w:trPr>
        <w:tc>
          <w:tcPr>
            <w:tcW w:w="1909" w:type="dxa"/>
            <w:shd w:val="clear" w:color="auto" w:fill="auto"/>
          </w:tcPr>
          <w:p w14:paraId="4FCBD3B4" w14:textId="77777777" w:rsidR="005152D9" w:rsidRDefault="005152D9" w:rsidP="00A54250">
            <w:pPr>
              <w:pStyle w:val="Marginlie"/>
            </w:pPr>
            <w:r>
              <w:t>Míra zisku finančních institucí loni klesla, zejména kvůli růstu mzdových nákladů.</w:t>
            </w:r>
          </w:p>
        </w:tc>
        <w:tc>
          <w:tcPr>
            <w:tcW w:w="264" w:type="dxa"/>
            <w:shd w:val="clear" w:color="auto" w:fill="auto"/>
          </w:tcPr>
          <w:p w14:paraId="59857D86" w14:textId="77777777" w:rsidR="005152D9" w:rsidRDefault="005152D9" w:rsidP="00A54250">
            <w:pPr>
              <w:pStyle w:val="Textpoznpodarou10"/>
              <w:jc w:val="both"/>
              <w:rPr>
                <w:spacing w:val="-4"/>
              </w:rPr>
            </w:pPr>
          </w:p>
        </w:tc>
        <w:tc>
          <w:tcPr>
            <w:tcW w:w="7471" w:type="dxa"/>
            <w:shd w:val="clear" w:color="auto" w:fill="auto"/>
          </w:tcPr>
          <w:p w14:paraId="712D756A" w14:textId="760F1C48" w:rsidR="005152D9" w:rsidRDefault="005152D9" w:rsidP="009C1EEA">
            <w:r>
              <w:t>Finanční instituce (FI) tvoří z hlediska hrubé přidané hodnoty, zaměstnanosti či investiční aktivity jen</w:t>
            </w:r>
            <w:r w:rsidR="009C1EEA">
              <w:t xml:space="preserve"> relativně</w:t>
            </w:r>
            <w:r>
              <w:t xml:space="preserve"> malou část ekonomiky. V loňském roce se podílely na HPH 3,9 %, na celkové zaměstnanosti (na přepočtené úvazky) pouze 1,4</w:t>
            </w:r>
            <w:r w:rsidR="001D51EB">
              <w:t> %</w:t>
            </w:r>
            <w:r>
              <w:t xml:space="preserve">. Hrubá přidaná hodnota sektoru FI se </w:t>
            </w:r>
            <w:r w:rsidR="009C1EEA">
              <w:t xml:space="preserve">loni </w:t>
            </w:r>
            <w:r>
              <w:t>zvýšila o 10,1</w:t>
            </w:r>
            <w:r w:rsidR="001F138C">
              <w:t> mld.</w:t>
            </w:r>
            <w:r>
              <w:t xml:space="preserve"> korun na 185,3</w:t>
            </w:r>
            <w:r w:rsidR="001F138C">
              <w:t> mld.</w:t>
            </w:r>
            <w:r>
              <w:t xml:space="preserve"> Jde o nejvyšší nárůst od roku 2010. Zároveň však došlo k silnému nárůstu mzdových nákladů – objem vyplacených náhrad zaměstnancům se zvýšil o 5,9</w:t>
            </w:r>
            <w:r w:rsidR="001F138C">
              <w:t> mld.</w:t>
            </w:r>
            <w:r>
              <w:t xml:space="preserve"> (9,5</w:t>
            </w:r>
            <w:r w:rsidR="001D51EB">
              <w:t> %</w:t>
            </w:r>
            <w:r>
              <w:t>). Míra zisku</w:t>
            </w:r>
            <w:r>
              <w:rPr>
                <w:rStyle w:val="Znakapoznpodarou"/>
              </w:rPr>
              <w:footnoteReference w:id="16"/>
            </w:r>
            <w:r>
              <w:t xml:space="preserve"> sektoru tak ve výsledku klesla o 1,2</w:t>
            </w:r>
            <w:r w:rsidR="001F138C">
              <w:t> p. b.</w:t>
            </w:r>
            <w:r>
              <w:t xml:space="preserve"> na 60,2</w:t>
            </w:r>
            <w:r w:rsidR="001D51EB">
              <w:t> %</w:t>
            </w:r>
            <w:r>
              <w:t>. Do výše mzdových nákladů v sektoru se zčásti promítl nárůst celkové zaměstnanosti o 1,7</w:t>
            </w:r>
            <w:r w:rsidR="001D51EB">
              <w:t> %</w:t>
            </w:r>
            <w:r>
              <w:t>. To je stejný růst jako u nefinančních podniků. Zaměstnanost v sektoru FI dosáhla vrcholu v roce 2012 a v dalších letech měla spíš</w:t>
            </w:r>
            <w:r w:rsidR="00AD7D0B">
              <w:t xml:space="preserve"> </w:t>
            </w:r>
            <w:r>
              <w:t>klesající tendenci. Průměrná mzda v peněžnictví a pojišťovnictví, které se z velké části překrývá se sektorem FI</w:t>
            </w:r>
            <w:r>
              <w:rPr>
                <w:rStyle w:val="Znakapoznpodarou"/>
              </w:rPr>
              <w:footnoteReference w:id="17"/>
            </w:r>
            <w:r>
              <w:t>, v roce 2018 vzrostla o 5,3</w:t>
            </w:r>
            <w:r w:rsidR="001D51EB">
              <w:t> %</w:t>
            </w:r>
            <w:r w:rsidR="00012408">
              <w:t xml:space="preserve"> a dosáhla 54</w:t>
            </w:r>
            <w:r w:rsidR="00AD7D0B">
              <w:t> </w:t>
            </w:r>
            <w:r w:rsidR="00012408">
              <w:t>826</w:t>
            </w:r>
            <w:r w:rsidR="00AD7D0B">
              <w:t> </w:t>
            </w:r>
            <w:r w:rsidR="00012408">
              <w:t>korun</w:t>
            </w:r>
            <w:r>
              <w:t>. Průměrná mzda v odvětví zůstává stále nejvyšší v ekonomice.</w:t>
            </w:r>
          </w:p>
        </w:tc>
      </w:tr>
      <w:tr w:rsidR="005152D9" w14:paraId="7AF988D7" w14:textId="77777777" w:rsidTr="00A54250">
        <w:trPr>
          <w:trHeight w:val="145"/>
        </w:trPr>
        <w:tc>
          <w:tcPr>
            <w:tcW w:w="1909" w:type="dxa"/>
            <w:shd w:val="clear" w:color="auto" w:fill="auto"/>
          </w:tcPr>
          <w:p w14:paraId="71057FBF" w14:textId="77777777" w:rsidR="005152D9" w:rsidRDefault="005152D9" w:rsidP="00A54250">
            <w:pPr>
              <w:pStyle w:val="Marginlie"/>
            </w:pPr>
            <w:r>
              <w:t>Růst úrokových sazeb se projevil na výši úroků vyplacených i získaných FI.</w:t>
            </w:r>
          </w:p>
        </w:tc>
        <w:tc>
          <w:tcPr>
            <w:tcW w:w="264" w:type="dxa"/>
            <w:shd w:val="clear" w:color="auto" w:fill="auto"/>
          </w:tcPr>
          <w:p w14:paraId="7B02BA0B" w14:textId="77777777" w:rsidR="005152D9" w:rsidRDefault="005152D9" w:rsidP="00A54250">
            <w:pPr>
              <w:pStyle w:val="Textpoznpodarou10"/>
              <w:jc w:val="both"/>
              <w:rPr>
                <w:spacing w:val="-4"/>
              </w:rPr>
            </w:pPr>
          </w:p>
        </w:tc>
        <w:tc>
          <w:tcPr>
            <w:tcW w:w="7471" w:type="dxa"/>
            <w:shd w:val="clear" w:color="auto" w:fill="auto"/>
          </w:tcPr>
          <w:p w14:paraId="32A83B59" w14:textId="2DE6D559" w:rsidR="005152D9" w:rsidRDefault="005152D9" w:rsidP="009C1EEA">
            <w:r>
              <w:t>Úlohou FI v ekonomice je finanční zprostředkování. Proto o jejich činnosti vypovídají lépe než HPH toky prvotních a druhotných důchodů. Finanční instituce inkasovaly loni 141,0</w:t>
            </w:r>
            <w:r w:rsidR="001F138C">
              <w:t> mld.</w:t>
            </w:r>
            <w:r>
              <w:t xml:space="preserve"> korun a na druhé straně vyplatily 94,0 mld. ve formě úroků</w:t>
            </w:r>
            <w:r w:rsidR="00B619A9">
              <w:rPr>
                <w:rStyle w:val="Znakapoznpodarou"/>
                <w:spacing w:val="-4"/>
              </w:rPr>
              <w:footnoteReference w:id="18"/>
            </w:r>
            <w:r>
              <w:t>. Částky na obou stranách rozvahy se meziročně zvýšily, což odpovídá růstu úrokových sazeb, který bylo možné v loňském roce sledovat. Výsledné saldo se meziročně zmírnilo o 7,2</w:t>
            </w:r>
            <w:r w:rsidR="001F138C">
              <w:t> mld.</w:t>
            </w:r>
            <w:r>
              <w:t xml:space="preserve"> korun, ale zůstalo kladné a dosáhlo 47,1</w:t>
            </w:r>
            <w:r w:rsidR="001F138C">
              <w:t> mld.</w:t>
            </w:r>
            <w:r>
              <w:t xml:space="preserve"> Záporné saldo rozdělovaných důchodů společností se loni také zmírnilo a dosáhlo 10,6</w:t>
            </w:r>
            <w:r w:rsidR="001F138C">
              <w:t> mld.</w:t>
            </w:r>
            <w:r>
              <w:t xml:space="preserve"> Projevil se hlavně pokles vyplacených dividend o 8,7</w:t>
            </w:r>
            <w:r w:rsidR="001F138C">
              <w:t> mld.</w:t>
            </w:r>
            <w:r>
              <w:t xml:space="preserve"> korun. O</w:t>
            </w:r>
            <w:r w:rsidR="00AD7D0B">
              <w:t> </w:t>
            </w:r>
            <w:r>
              <w:t>činnosti jednotlivých subsektorů FI vypovídá výše úroků připsaných pojištěncům v životním a</w:t>
            </w:r>
            <w:r w:rsidR="00AD7D0B">
              <w:t> </w:t>
            </w:r>
            <w:r>
              <w:t>neživotním pojištění, penzijní nároky a důchody z investic přisouzené podílníkům investičních fondů. Tyto důchody shrnuje na straně užití položka ostatních důchodů z investic</w:t>
            </w:r>
            <w:r>
              <w:rPr>
                <w:rStyle w:val="Znakapoznpodarou"/>
              </w:rPr>
              <w:footnoteReference w:id="19"/>
            </w:r>
            <w:r>
              <w:t>. Její výše v loňském roce klesla o 4,0</w:t>
            </w:r>
            <w:r w:rsidR="001F138C">
              <w:t> mld.</w:t>
            </w:r>
            <w:r>
              <w:t xml:space="preserve"> korun a dosáhla 20,7</w:t>
            </w:r>
            <w:r w:rsidR="001F138C">
              <w:t> mld.</w:t>
            </w:r>
            <w:r>
              <w:t xml:space="preserve"> To je nejméně od roku 2008. Celkově se záporné saldo důchodů z vlastnictví FI prohloubilo na 23,0</w:t>
            </w:r>
            <w:r w:rsidR="001F138C">
              <w:t> mld.</w:t>
            </w:r>
            <w:r>
              <w:t xml:space="preserve"> korun, což vedlo i</w:t>
            </w:r>
            <w:r w:rsidR="00AD7D0B">
              <w:t> </w:t>
            </w:r>
            <w:r>
              <w:t>k meziročnímu poklesu salda hrubých prvotních důchodů o 14,2</w:t>
            </w:r>
            <w:r w:rsidR="001F138C">
              <w:t> mld.</w:t>
            </w:r>
            <w:r>
              <w:t xml:space="preserve"> na 88,6</w:t>
            </w:r>
            <w:r w:rsidR="001F138C">
              <w:t> mld.</w:t>
            </w:r>
          </w:p>
        </w:tc>
      </w:tr>
      <w:tr w:rsidR="005152D9" w14:paraId="596F41CF" w14:textId="77777777" w:rsidTr="00A54250">
        <w:trPr>
          <w:trHeight w:val="145"/>
        </w:trPr>
        <w:tc>
          <w:tcPr>
            <w:tcW w:w="1909" w:type="dxa"/>
            <w:shd w:val="clear" w:color="auto" w:fill="auto"/>
          </w:tcPr>
          <w:p w14:paraId="52039332" w14:textId="77777777" w:rsidR="005152D9" w:rsidRDefault="005152D9" w:rsidP="00A54250">
            <w:pPr>
              <w:pStyle w:val="Marginlie"/>
            </w:pPr>
            <w:r>
              <w:t>Sociální příspěvky mimo povinný systém sociálního pojištění, které FI obdržely, se nezvyšovaly tak rychle jako mzdy a platy v ekonomice.</w:t>
            </w:r>
          </w:p>
        </w:tc>
        <w:tc>
          <w:tcPr>
            <w:tcW w:w="264" w:type="dxa"/>
            <w:shd w:val="clear" w:color="auto" w:fill="auto"/>
          </w:tcPr>
          <w:p w14:paraId="6E32BF00" w14:textId="77777777" w:rsidR="005152D9" w:rsidRDefault="005152D9" w:rsidP="00A54250">
            <w:pPr>
              <w:pStyle w:val="Textpoznpodarou10"/>
              <w:jc w:val="both"/>
              <w:rPr>
                <w:spacing w:val="-4"/>
              </w:rPr>
            </w:pPr>
          </w:p>
        </w:tc>
        <w:tc>
          <w:tcPr>
            <w:tcW w:w="7471" w:type="dxa"/>
            <w:shd w:val="clear" w:color="auto" w:fill="auto"/>
          </w:tcPr>
          <w:p w14:paraId="2BD65B09" w14:textId="1E7C2FEB" w:rsidR="005152D9" w:rsidRDefault="005152D9" w:rsidP="00012408">
            <w:r>
              <w:t>Sektor FI obdržel 56,7</w:t>
            </w:r>
            <w:r w:rsidR="001F138C">
              <w:t> mld.</w:t>
            </w:r>
            <w:r>
              <w:t xml:space="preserve"> korun ve formě sociálních příspěvků od zaměstnavatelů a</w:t>
            </w:r>
            <w:r w:rsidR="00AD7D0B">
              <w:t> </w:t>
            </w:r>
            <w:r>
              <w:t>zaměstnanců mimo povinný systém sociálního pojištění. Navzdory prudkému růstu mezd, který se projevil i na výši povinných odvodů, se uvedená suma meziročně zvýšila jen o 1,3</w:t>
            </w:r>
            <w:r w:rsidR="001F138C">
              <w:t> mld.</w:t>
            </w:r>
            <w:r>
              <w:t xml:space="preserve"> korun (2,4</w:t>
            </w:r>
            <w:r w:rsidR="001D51EB">
              <w:t> %</w:t>
            </w:r>
            <w:r>
              <w:t>). Od pojištěnců získal sektor 53,1 mld. jako čisté pojistné na neživotní pojištění (nárůst o 2,0</w:t>
            </w:r>
            <w:r w:rsidR="001F138C">
              <w:t> mld.</w:t>
            </w:r>
            <w:r>
              <w:t xml:space="preserve"> korun). Subjektům FI byly rovněž přiznány náhrady z neživotního pojištění ve výši 19,0</w:t>
            </w:r>
            <w:r w:rsidR="001F138C">
              <w:t> mld.</w:t>
            </w:r>
            <w:r>
              <w:t xml:space="preserve"> korun. Na straně užití se nejspíš pod vlivem rostoucích úroků nejvýrazněji zvýšil objem zaplacených běžných daní (o 6,0 mld. korun na 28,5</w:t>
            </w:r>
            <w:r w:rsidR="001F138C">
              <w:t> mld.</w:t>
            </w:r>
            <w:r>
              <w:t>). V rámci penzijního připojištění bylo vyplaceno 23,1</w:t>
            </w:r>
            <w:r w:rsidR="001F138C">
              <w:t> mld.</w:t>
            </w:r>
            <w:r>
              <w:t xml:space="preserve"> korun ve formě sociálních dávek.</w:t>
            </w:r>
          </w:p>
        </w:tc>
      </w:tr>
      <w:tr w:rsidR="005152D9" w14:paraId="3EBF2E15" w14:textId="77777777" w:rsidTr="00A54250">
        <w:trPr>
          <w:trHeight w:val="145"/>
        </w:trPr>
        <w:tc>
          <w:tcPr>
            <w:tcW w:w="1909" w:type="dxa"/>
            <w:shd w:val="clear" w:color="auto" w:fill="auto"/>
          </w:tcPr>
          <w:p w14:paraId="1C3C7E5D" w14:textId="77777777" w:rsidR="005152D9" w:rsidRDefault="005152D9" w:rsidP="00A54250">
            <w:pPr>
              <w:pStyle w:val="Marginlie"/>
            </w:pPr>
            <w:r>
              <w:t>Hrubé úspory sektoru se meziročně snížily.</w:t>
            </w:r>
          </w:p>
        </w:tc>
        <w:tc>
          <w:tcPr>
            <w:tcW w:w="264" w:type="dxa"/>
            <w:shd w:val="clear" w:color="auto" w:fill="auto"/>
          </w:tcPr>
          <w:p w14:paraId="57C8794B" w14:textId="77777777" w:rsidR="005152D9" w:rsidRDefault="005152D9" w:rsidP="00A54250">
            <w:pPr>
              <w:pStyle w:val="Textpoznpodarou10"/>
              <w:jc w:val="both"/>
              <w:rPr>
                <w:spacing w:val="-4"/>
              </w:rPr>
            </w:pPr>
          </w:p>
        </w:tc>
        <w:tc>
          <w:tcPr>
            <w:tcW w:w="7471" w:type="dxa"/>
            <w:shd w:val="clear" w:color="auto" w:fill="auto"/>
          </w:tcPr>
          <w:p w14:paraId="40E22556" w14:textId="27425E91" w:rsidR="005152D9" w:rsidRDefault="005152D9" w:rsidP="00A54250">
            <w:r>
              <w:t>Výsledný hrubý disponibilní důchod finančních institucí se meziročně snížil o</w:t>
            </w:r>
            <w:r w:rsidR="00EE50DB">
              <w:t> </w:t>
            </w:r>
            <w:r>
              <w:t>18,2 mld. korun na 94,0</w:t>
            </w:r>
            <w:r w:rsidR="001F138C">
              <w:t> mld.</w:t>
            </w:r>
            <w:r>
              <w:t xml:space="preserve"> Po úpravě o změny čistého podílu domácností na rezervách penzijních fondů zůstaly hrubé úspory FI ve výši 60,4</w:t>
            </w:r>
            <w:r w:rsidR="001F138C">
              <w:t> mld.</w:t>
            </w:r>
            <w:r>
              <w:t xml:space="preserve"> korun. To je o</w:t>
            </w:r>
            <w:r w:rsidR="00EE50DB">
              <w:t> </w:t>
            </w:r>
            <w:r>
              <w:t>19,7</w:t>
            </w:r>
            <w:r w:rsidR="001F138C">
              <w:t> mld.</w:t>
            </w:r>
            <w:r>
              <w:t xml:space="preserve"> méně než v roce 2017 a nejméně od roku 2013. Čisté úspory</w:t>
            </w:r>
            <w:r>
              <w:rPr>
                <w:rStyle w:val="Znakapoznpodarou"/>
              </w:rPr>
              <w:footnoteReference w:id="20"/>
            </w:r>
            <w:r>
              <w:t xml:space="preserve"> dosáhly 25,1</w:t>
            </w:r>
            <w:r w:rsidR="001F138C">
              <w:t> mld.</w:t>
            </w:r>
            <w:r>
              <w:t xml:space="preserve"> Výdaje na tvorbu hrubého fixního kapitálu sektoru FI se loni snížily </w:t>
            </w:r>
            <w:r>
              <w:lastRenderedPageBreak/>
              <w:t>o</w:t>
            </w:r>
            <w:r w:rsidR="00EE50DB">
              <w:t> </w:t>
            </w:r>
            <w:r>
              <w:t>5,0 mld. korun na 36,6</w:t>
            </w:r>
            <w:r w:rsidR="001F138C">
              <w:t> mld.</w:t>
            </w:r>
            <w:r>
              <w:t xml:space="preserve"> Míra investic</w:t>
            </w:r>
            <w:r>
              <w:rPr>
                <w:rStyle w:val="Znakapoznpodarou"/>
              </w:rPr>
              <w:footnoteReference w:id="21"/>
            </w:r>
            <w:r>
              <w:t xml:space="preserve"> tak dosáhla 19,7</w:t>
            </w:r>
            <w:r w:rsidR="001D51EB">
              <w:t> %</w:t>
            </w:r>
            <w:r>
              <w:t>. Ačkoli míra investic meziročně poklesla o</w:t>
            </w:r>
            <w:r w:rsidR="00EE50DB">
              <w:t> </w:t>
            </w:r>
            <w:r>
              <w:t>4</w:t>
            </w:r>
            <w:r w:rsidR="001F138C">
              <w:t> p. b.</w:t>
            </w:r>
            <w:r>
              <w:t>, stále zůstala poměrně vysoká ve srovnání s úrovní v období 2009</w:t>
            </w:r>
            <w:r w:rsidR="001F138C">
              <w:t>–</w:t>
            </w:r>
            <w:r>
              <w:t>2015. V letech 2016 a 2017 totiž došlo k prudkému navýšení investic, které jsou spojeny s technologickými změnami v oblasti finančních služeb. Finanční instituce obvykle nemají příliš výrazné investiční výdaje. Ty směřují zejména do počítačového vybavení, softwaru a databází.</w:t>
            </w:r>
          </w:p>
        </w:tc>
      </w:tr>
      <w:tr w:rsidR="005152D9" w14:paraId="0B1360D9" w14:textId="77777777" w:rsidTr="00A54250">
        <w:trPr>
          <w:trHeight w:val="212"/>
        </w:trPr>
        <w:tc>
          <w:tcPr>
            <w:tcW w:w="1909" w:type="dxa"/>
            <w:shd w:val="clear" w:color="auto" w:fill="auto"/>
          </w:tcPr>
          <w:p w14:paraId="4757AD4D" w14:textId="77777777" w:rsidR="005152D9" w:rsidRDefault="005152D9" w:rsidP="00A54250">
            <w:pPr>
              <w:pStyle w:val="Marginlie"/>
              <w:spacing w:after="240"/>
            </w:pPr>
            <w:r>
              <w:lastRenderedPageBreak/>
              <w:t>Silná investiční aktivita vedla k nárůstu poskytnutých půjček.</w:t>
            </w:r>
          </w:p>
        </w:tc>
        <w:tc>
          <w:tcPr>
            <w:tcW w:w="264" w:type="dxa"/>
            <w:shd w:val="clear" w:color="auto" w:fill="auto"/>
          </w:tcPr>
          <w:p w14:paraId="09A03C5E" w14:textId="77777777" w:rsidR="005152D9" w:rsidRDefault="005152D9" w:rsidP="00A54250">
            <w:pPr>
              <w:pStyle w:val="Textpoznpodarou10"/>
              <w:spacing w:after="240"/>
              <w:jc w:val="both"/>
              <w:rPr>
                <w:spacing w:val="-4"/>
              </w:rPr>
            </w:pPr>
          </w:p>
        </w:tc>
        <w:tc>
          <w:tcPr>
            <w:tcW w:w="7471" w:type="dxa"/>
            <w:shd w:val="clear" w:color="auto" w:fill="auto"/>
          </w:tcPr>
          <w:p w14:paraId="63388A02" w14:textId="425937AA" w:rsidR="005152D9" w:rsidRDefault="005152D9" w:rsidP="009C1EEA">
            <w:r>
              <w:t>Čin</w:t>
            </w:r>
            <w:r w:rsidRPr="00561B03">
              <w:t>nost finančních institucí na poli finančního zprostře</w:t>
            </w:r>
            <w:r>
              <w:t xml:space="preserve">dkování </w:t>
            </w:r>
            <w:r w:rsidR="00012408">
              <w:t>se odehrává převážně pohyby na finančním účtu. V roce 2018 se na straně aktiv zvýšil objem dluhových cenných papírů o 178,0</w:t>
            </w:r>
            <w:r w:rsidR="001F138C">
              <w:t> mld.</w:t>
            </w:r>
            <w:r w:rsidR="00012408">
              <w:t xml:space="preserve"> a půjček o 306,8</w:t>
            </w:r>
            <w:r w:rsidR="001F138C">
              <w:t> mld.</w:t>
            </w:r>
            <w:r w:rsidR="00012408">
              <w:t xml:space="preserve"> korun. U</w:t>
            </w:r>
            <w:r w:rsidR="00561B03">
              <w:t> </w:t>
            </w:r>
            <w:r w:rsidR="00012408">
              <w:t>obou produktů rostl objem jejich dlouhodobých alternativ. Zejména nárůst poskytnutých půjček dokládá silnou investiční aktivitu v ekonomice vyžadující úvěrové financování. Výrazně se zvýšily účasti a podíly v investičních fondech (o</w:t>
            </w:r>
            <w:r w:rsidR="00561B03">
              <w:t> </w:t>
            </w:r>
            <w:r w:rsidR="00012408">
              <w:t>110,9</w:t>
            </w:r>
            <w:r w:rsidR="001F138C">
              <w:t> mld.</w:t>
            </w:r>
            <w:r w:rsidR="00012408">
              <w:t xml:space="preserve"> korun), z nichž největší část tvoří nárůst držby nekótovaných akcií. Po poklesu v roce 2017 se loni skokově navýšil objem ostatních pohledávek (o</w:t>
            </w:r>
            <w:r w:rsidR="00561B03">
              <w:t> </w:t>
            </w:r>
            <w:r w:rsidR="00012408">
              <w:t>132,6</w:t>
            </w:r>
            <w:r w:rsidR="001F138C">
              <w:t> mld.</w:t>
            </w:r>
            <w:r w:rsidR="00012408">
              <w:t xml:space="preserve"> korun). Na straně závazků byl nejvýraznější událostí nárůst účastí a</w:t>
            </w:r>
            <w:r w:rsidR="00561B03">
              <w:t> </w:t>
            </w:r>
            <w:r w:rsidR="00012408">
              <w:t>podílů v investičních fondech o 414,0</w:t>
            </w:r>
            <w:r w:rsidR="001F138C">
              <w:t> mld.</w:t>
            </w:r>
            <w:r w:rsidR="00012408">
              <w:t xml:space="preserve"> korun, i</w:t>
            </w:r>
            <w:r w:rsidR="00561B03">
              <w:t> </w:t>
            </w:r>
            <w:r w:rsidR="00012408">
              <w:t>v tomto případě největší podíl připadl na nekótované akcie. Sektor dosáhl kladné bilance. Výsledné čisté půjčky ve výši 20,8 mld. korun byly ale nejnižší od roku</w:t>
            </w:r>
            <w:r w:rsidR="00561B03">
              <w:t> </w:t>
            </w:r>
            <w:r w:rsidR="00012408">
              <w:t>2012.</w:t>
            </w:r>
          </w:p>
        </w:tc>
      </w:tr>
      <w:tr w:rsidR="005152D9" w14:paraId="43758318" w14:textId="77777777" w:rsidTr="00A54250">
        <w:trPr>
          <w:trHeight w:val="145"/>
        </w:trPr>
        <w:tc>
          <w:tcPr>
            <w:tcW w:w="1909" w:type="dxa"/>
            <w:shd w:val="clear" w:color="auto" w:fill="auto"/>
          </w:tcPr>
          <w:p w14:paraId="01770A73" w14:textId="0D644B07" w:rsidR="005152D9" w:rsidRDefault="005152D9" w:rsidP="00A54250">
            <w:pPr>
              <w:pStyle w:val="Marginlie"/>
              <w:spacing w:after="240"/>
            </w:pPr>
            <w:r>
              <w:t>Finanční instituce utrpěly ztrátu z držení aktiv a</w:t>
            </w:r>
            <w:r w:rsidR="00561B03">
              <w:t> </w:t>
            </w:r>
            <w:r>
              <w:t>pasiv v důsledku vývoje cen.</w:t>
            </w:r>
          </w:p>
        </w:tc>
        <w:tc>
          <w:tcPr>
            <w:tcW w:w="264" w:type="dxa"/>
            <w:shd w:val="clear" w:color="auto" w:fill="auto"/>
          </w:tcPr>
          <w:p w14:paraId="4ED8984C" w14:textId="77777777" w:rsidR="005152D9" w:rsidRDefault="005152D9" w:rsidP="00A54250">
            <w:pPr>
              <w:pStyle w:val="Textpoznpodarou10"/>
              <w:jc w:val="both"/>
              <w:rPr>
                <w:spacing w:val="-4"/>
              </w:rPr>
            </w:pPr>
          </w:p>
        </w:tc>
        <w:tc>
          <w:tcPr>
            <w:tcW w:w="7471" w:type="dxa"/>
            <w:shd w:val="clear" w:color="auto" w:fill="auto"/>
          </w:tcPr>
          <w:p w14:paraId="66577021" w14:textId="76E0AE6D" w:rsidR="005152D9" w:rsidRDefault="005152D9" w:rsidP="00B619A9">
            <w:r>
              <w:t>Účet přecenění ukazuje na pokles hodnoty držených finančních aktiv o</w:t>
            </w:r>
            <w:r w:rsidR="00CA6668">
              <w:t> </w:t>
            </w:r>
            <w:r>
              <w:t>45,6</w:t>
            </w:r>
            <w:r w:rsidR="001F138C">
              <w:t> mld.</w:t>
            </w:r>
            <w:r>
              <w:t xml:space="preserve"> korun. Je to méně než v roce 2017 (</w:t>
            </w:r>
            <w:r w:rsidR="001F138C">
              <w:t>–</w:t>
            </w:r>
            <w:r>
              <w:t>175,7</w:t>
            </w:r>
            <w:r w:rsidR="001F138C">
              <w:t> mld.</w:t>
            </w:r>
            <w:r>
              <w:t>). Přispělo k tomu snížení hodnoty držených dluhových cenných papírů o 53,7</w:t>
            </w:r>
            <w:r w:rsidR="001F138C">
              <w:t> mld.</w:t>
            </w:r>
            <w:r>
              <w:t xml:space="preserve"> korun i účastí a podílů v investičních fondech o 22,3</w:t>
            </w:r>
            <w:r w:rsidR="001F138C">
              <w:t> mld.</w:t>
            </w:r>
            <w:r>
              <w:t xml:space="preserve"> Naopak vzrostla hodnota oběživa a vkladů o</w:t>
            </w:r>
            <w:r w:rsidR="00CA6668">
              <w:t> </w:t>
            </w:r>
            <w:r>
              <w:t>11,0 mld. korun a ostatních pohledávek o 18,9</w:t>
            </w:r>
            <w:r w:rsidR="001F138C">
              <w:t> mld.</w:t>
            </w:r>
            <w:r>
              <w:t xml:space="preserve"> Sektor FI prodělal ztrátu z držby v důsledku nárůstu hodnoty pasiv o 112,9</w:t>
            </w:r>
            <w:r w:rsidR="001F138C">
              <w:t> mld.</w:t>
            </w:r>
            <w:r>
              <w:t xml:space="preserve"> korun. Výsledné změny čistého jmění vlivem nominálních zisků či ztrát z držby byly záporné a</w:t>
            </w:r>
            <w:r w:rsidR="00CA6668">
              <w:t> </w:t>
            </w:r>
            <w:r>
              <w:t>dosáhly 150,8 mld. korun. V porovnání s rokem 2017 se ztráta zmírnila o</w:t>
            </w:r>
            <w:r w:rsidR="001C487C">
              <w:t> </w:t>
            </w:r>
            <w:r>
              <w:t>26,2</w:t>
            </w:r>
            <w:r w:rsidR="001F138C">
              <w:t> mld.</w:t>
            </w:r>
            <w:r>
              <w:t xml:space="preserve"> korun.</w:t>
            </w:r>
          </w:p>
        </w:tc>
      </w:tr>
      <w:tr w:rsidR="005152D9" w14:paraId="3F824D92" w14:textId="77777777" w:rsidTr="00A54250">
        <w:trPr>
          <w:trHeight w:val="145"/>
        </w:trPr>
        <w:tc>
          <w:tcPr>
            <w:tcW w:w="1909" w:type="dxa"/>
            <w:shd w:val="clear" w:color="auto" w:fill="auto"/>
          </w:tcPr>
          <w:p w14:paraId="0E331925" w14:textId="4B4898D0" w:rsidR="005152D9" w:rsidRDefault="005152D9" w:rsidP="00A54250">
            <w:pPr>
              <w:pStyle w:val="Marginlie"/>
              <w:spacing w:after="240"/>
            </w:pPr>
            <w:r>
              <w:t>Stejně jako v roce 2017 i</w:t>
            </w:r>
            <w:r w:rsidR="001C487C">
              <w:t> </w:t>
            </w:r>
            <w:r>
              <w:t>loni byla bilance aktiv a</w:t>
            </w:r>
            <w:r w:rsidR="001C487C">
              <w:t> </w:t>
            </w:r>
            <w:r>
              <w:t>pasiv finančních institucí záporná.</w:t>
            </w:r>
          </w:p>
        </w:tc>
        <w:tc>
          <w:tcPr>
            <w:tcW w:w="264" w:type="dxa"/>
            <w:shd w:val="clear" w:color="auto" w:fill="auto"/>
          </w:tcPr>
          <w:p w14:paraId="595869B8" w14:textId="77777777" w:rsidR="005152D9" w:rsidRDefault="005152D9" w:rsidP="00A54250">
            <w:pPr>
              <w:pStyle w:val="Textpoznpodarou10"/>
              <w:jc w:val="both"/>
              <w:rPr>
                <w:spacing w:val="-4"/>
              </w:rPr>
            </w:pPr>
          </w:p>
        </w:tc>
        <w:tc>
          <w:tcPr>
            <w:tcW w:w="7471" w:type="dxa"/>
            <w:shd w:val="clear" w:color="auto" w:fill="auto"/>
          </w:tcPr>
          <w:p w14:paraId="2FDCAA69" w14:textId="13C7785B" w:rsidR="005152D9" w:rsidRDefault="00012408" w:rsidP="00012408">
            <w:r>
              <w:t>Finanční instituce zakončily rok 2018 se stavy</w:t>
            </w:r>
            <w:r w:rsidR="001C487C">
              <w:t xml:space="preserve"> </w:t>
            </w:r>
            <w:r>
              <w:t>nefinančních aktiv v hodnotě 333,8 mld. korun a finančních aktiv ve výši 13 176,4</w:t>
            </w:r>
            <w:r w:rsidR="001F138C">
              <w:t> mld.</w:t>
            </w:r>
            <w:r>
              <w:t xml:space="preserve"> Na druhé straně stav finančních závazků činil 13 886,9</w:t>
            </w:r>
            <w:r w:rsidR="001F138C">
              <w:t> mld.</w:t>
            </w:r>
            <w:r>
              <w:t xml:space="preserve"> korun. Pasiva již druhým rokem převýšila aktiva a čisté jmění sektoru FI dosáhlo </w:t>
            </w:r>
            <w:r w:rsidR="001C487C">
              <w:t>–</w:t>
            </w:r>
            <w:r>
              <w:t>376,7</w:t>
            </w:r>
            <w:r w:rsidR="001F138C">
              <w:t> mld.</w:t>
            </w:r>
            <w:r>
              <w:t xml:space="preserve"> korun. Jedním z důvodů propadu čistého jmění do deficitu byl prudký nárůst oběživa a vkladů na straně závazků, kde se jejich objem zvýšil o 281,8</w:t>
            </w:r>
            <w:r w:rsidR="001F138C">
              <w:t> mld.</w:t>
            </w:r>
            <w:r>
              <w:t xml:space="preserve"> korun. Jde o pozůstatek režimu intervencí. K nejprudšímu navýšení došlo v letech 2016 a 2017 – na straně aktiv o</w:t>
            </w:r>
            <w:r w:rsidR="001C487C">
              <w:t> </w:t>
            </w:r>
            <w:r>
              <w:t>2 697,1</w:t>
            </w:r>
            <w:r w:rsidR="001F138C">
              <w:t> mld.</w:t>
            </w:r>
            <w:r>
              <w:t xml:space="preserve"> korun, u závazků o 3 077,4</w:t>
            </w:r>
            <w:r w:rsidR="001F138C">
              <w:t> mld.</w:t>
            </w:r>
            <w:r>
              <w:t xml:space="preserve"> Rozhodující vliv na výsledky loňského roku však měl nárůst závazků v podobě účastí a podílů v investičních fondech o 563,3</w:t>
            </w:r>
            <w:r w:rsidR="001F138C">
              <w:t> mld.</w:t>
            </w:r>
            <w:r>
              <w:t xml:space="preserve"> Ve směru růstu čistého jmění naopak působily půjčky i</w:t>
            </w:r>
            <w:r w:rsidR="001C487C">
              <w:t> </w:t>
            </w:r>
            <w:r>
              <w:t>dluhové cenné papíry na aktivech. V aktivech finančních institucí loni přibylo půjček za</w:t>
            </w:r>
            <w:r w:rsidR="001C487C">
              <w:t> </w:t>
            </w:r>
            <w:r>
              <w:t>408,0 mld. korun a dluhopisů za</w:t>
            </w:r>
            <w:r w:rsidR="001C487C">
              <w:t> </w:t>
            </w:r>
            <w:r>
              <w:t>124,2</w:t>
            </w:r>
            <w:r w:rsidR="001F138C">
              <w:t> mld.</w:t>
            </w:r>
          </w:p>
        </w:tc>
      </w:tr>
    </w:tbl>
    <w:p w14:paraId="04E6A233" w14:textId="13D1CBEE" w:rsidR="005152D9" w:rsidRDefault="005152D9" w:rsidP="00141782">
      <w:pPr>
        <w:pStyle w:val="Nadpis1"/>
        <w:rPr>
          <w:lang w:eastAsia="en-US"/>
        </w:rPr>
      </w:pPr>
    </w:p>
    <w:p w14:paraId="7289385C" w14:textId="1772D01D" w:rsidR="00B619A9" w:rsidRDefault="00B619A9" w:rsidP="00B619A9">
      <w:pPr>
        <w:rPr>
          <w:lang w:eastAsia="en-US"/>
        </w:rPr>
      </w:pPr>
    </w:p>
    <w:p w14:paraId="0BF13482" w14:textId="32A97EB2" w:rsidR="00B619A9" w:rsidRDefault="00B619A9" w:rsidP="00B619A9">
      <w:pPr>
        <w:rPr>
          <w:lang w:eastAsia="en-US"/>
        </w:rPr>
      </w:pPr>
    </w:p>
    <w:p w14:paraId="188E61C7" w14:textId="3A1EA57F" w:rsidR="00B619A9" w:rsidRPr="00B619A9" w:rsidRDefault="00B619A9" w:rsidP="00B619A9">
      <w:pPr>
        <w:rPr>
          <w:lang w:eastAsia="en-US"/>
        </w:rPr>
      </w:pPr>
    </w:p>
    <w:p w14:paraId="1EE92EEF" w14:textId="77777777" w:rsidR="005152D9" w:rsidRDefault="005152D9">
      <w:pPr>
        <w:spacing w:after="0" w:line="240" w:lineRule="auto"/>
        <w:jc w:val="left"/>
        <w:rPr>
          <w:rFonts w:eastAsia="MS Gothic"/>
          <w:b/>
          <w:bCs/>
          <w:color w:val="71818C"/>
          <w:sz w:val="32"/>
          <w:szCs w:val="28"/>
          <w:lang w:eastAsia="en-US"/>
        </w:rPr>
      </w:pPr>
      <w:r>
        <w:rPr>
          <w:lang w:eastAsia="en-US"/>
        </w:rPr>
        <w:br w:type="page"/>
      </w:r>
    </w:p>
    <w:p w14:paraId="72BA4756" w14:textId="58C52596" w:rsidR="005152D9" w:rsidRDefault="003852A9" w:rsidP="005152D9">
      <w:pPr>
        <w:pStyle w:val="Nadpis1"/>
      </w:pPr>
      <w:bookmarkStart w:id="10" w:name="_Toc16586016"/>
      <w:r>
        <w:rPr>
          <w:lang w:eastAsia="en-US"/>
        </w:rPr>
        <w:lastRenderedPageBreak/>
        <w:t>7</w:t>
      </w:r>
      <w:r w:rsidR="00141782" w:rsidRPr="00360DE3">
        <w:rPr>
          <w:lang w:eastAsia="en-US"/>
        </w:rPr>
        <w:t xml:space="preserve">. </w:t>
      </w:r>
      <w:r w:rsidR="005152D9">
        <w:t>Hospodaření vládních institucí</w:t>
      </w:r>
      <w:bookmarkEnd w:id="10"/>
    </w:p>
    <w:tbl>
      <w:tblPr>
        <w:tblW w:w="9644" w:type="dxa"/>
        <w:tblInd w:w="-15" w:type="dxa"/>
        <w:tblLayout w:type="fixed"/>
        <w:tblCellMar>
          <w:left w:w="0" w:type="dxa"/>
          <w:right w:w="0" w:type="dxa"/>
        </w:tblCellMar>
        <w:tblLook w:val="00A0" w:firstRow="1" w:lastRow="0" w:firstColumn="1" w:lastColumn="0" w:noHBand="0" w:noVBand="0"/>
      </w:tblPr>
      <w:tblGrid>
        <w:gridCol w:w="1976"/>
        <w:gridCol w:w="277"/>
        <w:gridCol w:w="7391"/>
      </w:tblGrid>
      <w:tr w:rsidR="005152D9" w:rsidRPr="00157A87" w14:paraId="614824A3" w14:textId="77777777" w:rsidTr="00A54250">
        <w:trPr>
          <w:trHeight w:val="145"/>
        </w:trPr>
        <w:tc>
          <w:tcPr>
            <w:tcW w:w="1976" w:type="dxa"/>
          </w:tcPr>
          <w:p w14:paraId="6F4F9724" w14:textId="77777777" w:rsidR="005152D9" w:rsidRPr="00157A87" w:rsidRDefault="005152D9" w:rsidP="00A54250">
            <w:pPr>
              <w:pStyle w:val="Marginlie"/>
            </w:pPr>
            <w:r>
              <w:t>Sektor vládních institucí loni hospodařil s přebytkem.</w:t>
            </w:r>
          </w:p>
        </w:tc>
        <w:tc>
          <w:tcPr>
            <w:tcW w:w="277" w:type="dxa"/>
          </w:tcPr>
          <w:p w14:paraId="5B66254E" w14:textId="77777777" w:rsidR="005152D9" w:rsidRPr="00157A87" w:rsidRDefault="005152D9" w:rsidP="00A54250">
            <w:pPr>
              <w:pStyle w:val="Textpoznpodarou"/>
              <w:jc w:val="both"/>
              <w:rPr>
                <w:spacing w:val="-4"/>
              </w:rPr>
            </w:pPr>
          </w:p>
        </w:tc>
        <w:tc>
          <w:tcPr>
            <w:tcW w:w="7391" w:type="dxa"/>
          </w:tcPr>
          <w:p w14:paraId="78B20A75" w14:textId="77777777" w:rsidR="005152D9" w:rsidRPr="00157A87" w:rsidRDefault="005152D9" w:rsidP="00A54250">
            <w:r>
              <w:t>Hospodaření sektoru vládních institucí v roce 2018 skončilo v přebytku 47,4</w:t>
            </w:r>
            <w:r w:rsidR="001F138C">
              <w:t> mld.</w:t>
            </w:r>
            <w:r>
              <w:t xml:space="preserve"> korun. Kladné saldo se meziročně snížilo o 31,3</w:t>
            </w:r>
            <w:r w:rsidR="001F138C">
              <w:t> mld.</w:t>
            </w:r>
            <w:r>
              <w:t xml:space="preserve"> Přebytkového hospodaření dosáhly vládní instituce potřetí v řadě, poprvé od roku 2014 však dynamika výdajů překročila příjmy, což bylo také důvodem poklesu salda. Relativní ukazatel salda vůči HDP loni dosáhl 0,9</w:t>
            </w:r>
            <w:r w:rsidR="001D51EB">
              <w:t> %</w:t>
            </w:r>
            <w:r>
              <w:t xml:space="preserve"> a meziročně se snížil o 0,7</w:t>
            </w:r>
            <w:r w:rsidR="001F138C">
              <w:t> p. b.</w:t>
            </w:r>
            <w:r>
              <w:t xml:space="preserve"> Mezi ostatními zeměmi EU si však Česko z hlediska hospodaření vládního sektoru zatím drží přední pozici. </w:t>
            </w:r>
          </w:p>
        </w:tc>
      </w:tr>
      <w:tr w:rsidR="005152D9" w:rsidRPr="00157A87" w14:paraId="2C427AFD" w14:textId="77777777" w:rsidTr="00A54250">
        <w:trPr>
          <w:trHeight w:val="145"/>
        </w:trPr>
        <w:tc>
          <w:tcPr>
            <w:tcW w:w="1976" w:type="dxa"/>
          </w:tcPr>
          <w:p w14:paraId="27B25E0E" w14:textId="21429A90" w:rsidR="005152D9" w:rsidRDefault="005152D9" w:rsidP="00A54250">
            <w:pPr>
              <w:pStyle w:val="Marginlie"/>
            </w:pPr>
            <w:r>
              <w:t>Přebytku dosáhlo rovněž 13</w:t>
            </w:r>
            <w:r w:rsidR="00B366E5">
              <w:t> </w:t>
            </w:r>
            <w:r>
              <w:t>zemí EU.</w:t>
            </w:r>
          </w:p>
        </w:tc>
        <w:tc>
          <w:tcPr>
            <w:tcW w:w="277" w:type="dxa"/>
          </w:tcPr>
          <w:p w14:paraId="00CEF497" w14:textId="77777777" w:rsidR="005152D9" w:rsidRPr="00157A87" w:rsidRDefault="005152D9" w:rsidP="00A54250">
            <w:pPr>
              <w:pStyle w:val="Textpoznpodarou"/>
              <w:jc w:val="both"/>
              <w:rPr>
                <w:spacing w:val="-4"/>
              </w:rPr>
            </w:pPr>
          </w:p>
        </w:tc>
        <w:tc>
          <w:tcPr>
            <w:tcW w:w="7391" w:type="dxa"/>
          </w:tcPr>
          <w:p w14:paraId="1E89EC7F" w14:textId="3F913A64" w:rsidR="005152D9" w:rsidRPr="00157A87" w:rsidRDefault="005152D9" w:rsidP="00A62B23">
            <w:r>
              <w:t>Celkem 13 států Evropské unie loni dosáhlo přebytku hospodaření vládních institucí a jedna</w:t>
            </w:r>
            <w:r w:rsidR="00A62B23">
              <w:t xml:space="preserve"> země</w:t>
            </w:r>
            <w:r>
              <w:t xml:space="preserve"> měla rozpočet vyrovnaný. Při ohlédnutí zpět se to jeví jako výjimečný výsledek i ve srovnání s obdobím vrcholící konjunktury let 2005 až 2007 nebo </w:t>
            </w:r>
            <w:r w:rsidR="00B366E5">
              <w:t>s </w:t>
            </w:r>
            <w:r>
              <w:t>devadesátými lety, kdy byl</w:t>
            </w:r>
            <w:r w:rsidR="00A62B23">
              <w:t>o</w:t>
            </w:r>
            <w:r>
              <w:t xml:space="preserve"> přebytkové </w:t>
            </w:r>
            <w:r w:rsidR="00A62B23">
              <w:t>hospodaření</w:t>
            </w:r>
            <w:r>
              <w:t xml:space="preserve"> poměrně časté. Například v roce 2007 (vrchol konjunktury před </w:t>
            </w:r>
            <w:r w:rsidR="00D73384">
              <w:t>V</w:t>
            </w:r>
            <w:r w:rsidR="00B366E5">
              <w:t xml:space="preserve">elkou </w:t>
            </w:r>
            <w:r>
              <w:t>recesí) mělo přebytkový rozpočet 11 zemí a šlo o třetí nejlepší výsledek v celé dostupné řadě od roku 1995 (po</w:t>
            </w:r>
            <w:r w:rsidR="00B366E5">
              <w:t> </w:t>
            </w:r>
            <w:r>
              <w:t>letech 2018 a 2017). U většiny zemí také došlo k meziročnímu zlepšení salda hospodaření. Nejvyššího relativního přebytku loni dosáhlo Lucembursko (2,4</w:t>
            </w:r>
            <w:r w:rsidR="001D51EB">
              <w:t> %</w:t>
            </w:r>
            <w:r>
              <w:t xml:space="preserve"> HDP) a shodně 2</w:t>
            </w:r>
            <w:r w:rsidR="001D51EB">
              <w:t> %</w:t>
            </w:r>
            <w:r>
              <w:t xml:space="preserve"> HDP Bulharsko a Malta. Naopak na Kypru došlo k výraznému zhoršení hospodaření a saldo skončilo na </w:t>
            </w:r>
            <w:r w:rsidR="001F138C">
              <w:t>–</w:t>
            </w:r>
            <w:r>
              <w:t>4,8</w:t>
            </w:r>
            <w:r w:rsidR="001D51EB">
              <w:t> %</w:t>
            </w:r>
            <w:r>
              <w:t xml:space="preserve"> HDP. Jde o jedinou zemi, která </w:t>
            </w:r>
            <w:r w:rsidR="00A62B23">
              <w:t>loni</w:t>
            </w:r>
            <w:r>
              <w:t xml:space="preserve"> výrazně nedodržela </w:t>
            </w:r>
            <w:r w:rsidR="00A62B23">
              <w:t xml:space="preserve">maastrichtské </w:t>
            </w:r>
            <w:r>
              <w:t>kritérium maximálně 3%</w:t>
            </w:r>
            <w:r w:rsidR="00B366E5">
              <w:t> </w:t>
            </w:r>
            <w:r>
              <w:t xml:space="preserve">deficitu. Rumunsko se udrželo přesně na této hranici. Shodně 2,5% deficitu vůči HDP </w:t>
            </w:r>
            <w:r w:rsidR="00DD6B52">
              <w:t xml:space="preserve">dosáhly </w:t>
            </w:r>
            <w:r>
              <w:t>Francie a Španělsko.</w:t>
            </w:r>
          </w:p>
        </w:tc>
      </w:tr>
      <w:tr w:rsidR="005152D9" w:rsidRPr="00894C66" w14:paraId="5F6013A4" w14:textId="77777777" w:rsidTr="00A54250">
        <w:tc>
          <w:tcPr>
            <w:tcW w:w="1976" w:type="dxa"/>
            <w:vMerge w:val="restart"/>
          </w:tcPr>
          <w:p w14:paraId="0D74F964" w14:textId="77777777" w:rsidR="005152D9" w:rsidRDefault="005152D9" w:rsidP="00A54250">
            <w:pPr>
              <w:pStyle w:val="Marginlie"/>
            </w:pPr>
          </w:p>
        </w:tc>
        <w:tc>
          <w:tcPr>
            <w:tcW w:w="277" w:type="dxa"/>
            <w:vMerge w:val="restart"/>
          </w:tcPr>
          <w:p w14:paraId="5B90395F" w14:textId="77777777" w:rsidR="005152D9" w:rsidRPr="005E4483" w:rsidRDefault="005152D9" w:rsidP="00A54250">
            <w:pPr>
              <w:pStyle w:val="Textpoznpodarou"/>
              <w:jc w:val="both"/>
              <w:rPr>
                <w:spacing w:val="-4"/>
              </w:rPr>
            </w:pPr>
          </w:p>
        </w:tc>
        <w:tc>
          <w:tcPr>
            <w:tcW w:w="7391" w:type="dxa"/>
          </w:tcPr>
          <w:p w14:paraId="46F5D102" w14:textId="0CF7CD15" w:rsidR="005152D9" w:rsidRPr="004454DC" w:rsidRDefault="005152D9" w:rsidP="00884A6F">
            <w:pPr>
              <w:spacing w:after="0"/>
              <w:rPr>
                <w:b/>
              </w:rPr>
            </w:pPr>
            <w:r>
              <w:rPr>
                <w:b/>
              </w:rPr>
              <w:t xml:space="preserve">Graf č. </w:t>
            </w:r>
            <w:r w:rsidR="00884A6F">
              <w:rPr>
                <w:b/>
              </w:rPr>
              <w:t>8</w:t>
            </w:r>
            <w:r>
              <w:rPr>
                <w:b/>
              </w:rPr>
              <w:t xml:space="preserve">  </w:t>
            </w:r>
            <w:r w:rsidRPr="005263D4">
              <w:rPr>
                <w:b/>
                <w:lang w:eastAsia="en-US"/>
              </w:rPr>
              <w:t xml:space="preserve">Čisté půjčky/výpůjčky </w:t>
            </w:r>
            <w:r>
              <w:rPr>
                <w:b/>
                <w:lang w:eastAsia="en-US"/>
              </w:rPr>
              <w:t xml:space="preserve">sektoru </w:t>
            </w:r>
            <w:r w:rsidRPr="005263D4">
              <w:rPr>
                <w:b/>
                <w:lang w:eastAsia="en-US"/>
              </w:rPr>
              <w:t>vládních institucí</w:t>
            </w:r>
            <w:r w:rsidRPr="00ED61AD">
              <w:rPr>
                <w:lang w:eastAsia="en-US"/>
              </w:rPr>
              <w:t xml:space="preserve"> (v %</w:t>
            </w:r>
            <w:r w:rsidR="00B366E5">
              <w:rPr>
                <w:lang w:eastAsia="en-US"/>
              </w:rPr>
              <w:t> </w:t>
            </w:r>
            <w:r w:rsidRPr="00ED61AD">
              <w:rPr>
                <w:lang w:eastAsia="en-US"/>
              </w:rPr>
              <w:t>HDP, z údajů v běžných cenách)</w:t>
            </w:r>
          </w:p>
        </w:tc>
      </w:tr>
      <w:tr w:rsidR="005152D9" w:rsidRPr="00894C66" w14:paraId="7EE47672" w14:textId="77777777" w:rsidTr="00A54250">
        <w:tblPrEx>
          <w:tblCellMar>
            <w:left w:w="70" w:type="dxa"/>
            <w:right w:w="70" w:type="dxa"/>
          </w:tblCellMar>
        </w:tblPrEx>
        <w:trPr>
          <w:trHeight w:val="170"/>
        </w:trPr>
        <w:tc>
          <w:tcPr>
            <w:tcW w:w="1976" w:type="dxa"/>
            <w:vMerge/>
          </w:tcPr>
          <w:p w14:paraId="03DE5339" w14:textId="77777777" w:rsidR="005152D9" w:rsidRDefault="005152D9" w:rsidP="00A54250">
            <w:pPr>
              <w:pStyle w:val="Marginlie"/>
            </w:pPr>
          </w:p>
        </w:tc>
        <w:tc>
          <w:tcPr>
            <w:tcW w:w="277" w:type="dxa"/>
            <w:vMerge/>
          </w:tcPr>
          <w:p w14:paraId="032B609E" w14:textId="77777777" w:rsidR="005152D9" w:rsidRPr="005E4483" w:rsidRDefault="005152D9" w:rsidP="00A54250">
            <w:pPr>
              <w:pStyle w:val="Textpoznpodarou"/>
              <w:jc w:val="both"/>
              <w:rPr>
                <w:spacing w:val="-4"/>
              </w:rPr>
            </w:pPr>
          </w:p>
        </w:tc>
        <w:tc>
          <w:tcPr>
            <w:tcW w:w="7391" w:type="dxa"/>
          </w:tcPr>
          <w:p w14:paraId="322635A3" w14:textId="77777777" w:rsidR="005152D9" w:rsidRDefault="005152D9" w:rsidP="00A54250">
            <w:pPr>
              <w:spacing w:after="0"/>
            </w:pPr>
            <w:r>
              <w:rPr>
                <w:noProof/>
              </w:rPr>
              <w:drawing>
                <wp:inline distT="0" distB="0" distL="0" distR="0" wp14:anchorId="7E14203D" wp14:editId="6525C9AE">
                  <wp:extent cx="4686935" cy="351536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5152D9" w:rsidRPr="00894C66" w14:paraId="3FD05272" w14:textId="77777777" w:rsidTr="00A54250">
        <w:trPr>
          <w:trHeight w:val="170"/>
        </w:trPr>
        <w:tc>
          <w:tcPr>
            <w:tcW w:w="1976" w:type="dxa"/>
            <w:vMerge/>
          </w:tcPr>
          <w:p w14:paraId="1DA0E828" w14:textId="77777777" w:rsidR="005152D9" w:rsidRDefault="005152D9" w:rsidP="00A54250">
            <w:pPr>
              <w:pStyle w:val="Marginlie"/>
            </w:pPr>
          </w:p>
        </w:tc>
        <w:tc>
          <w:tcPr>
            <w:tcW w:w="277" w:type="dxa"/>
            <w:vMerge/>
          </w:tcPr>
          <w:p w14:paraId="40F6FA02" w14:textId="77777777" w:rsidR="005152D9" w:rsidRPr="005E4483" w:rsidRDefault="005152D9" w:rsidP="00A54250">
            <w:pPr>
              <w:pStyle w:val="Textpoznpodarou"/>
              <w:jc w:val="both"/>
              <w:rPr>
                <w:spacing w:val="-4"/>
              </w:rPr>
            </w:pPr>
          </w:p>
        </w:tc>
        <w:tc>
          <w:tcPr>
            <w:tcW w:w="7391" w:type="dxa"/>
          </w:tcPr>
          <w:p w14:paraId="5DE1F066" w14:textId="77777777" w:rsidR="005152D9" w:rsidRPr="00A1151F" w:rsidRDefault="005152D9" w:rsidP="00A54250">
            <w:pPr>
              <w:rPr>
                <w:sz w:val="14"/>
                <w:szCs w:val="14"/>
              </w:rPr>
            </w:pPr>
            <w:r>
              <w:rPr>
                <w:sz w:val="14"/>
                <w:szCs w:val="14"/>
              </w:rPr>
              <w:t>Zdroj: Eurostat</w:t>
            </w:r>
          </w:p>
        </w:tc>
      </w:tr>
      <w:tr w:rsidR="005152D9" w:rsidRPr="00894C66" w14:paraId="2A1D1298" w14:textId="77777777" w:rsidTr="00A54250">
        <w:trPr>
          <w:trHeight w:val="145"/>
        </w:trPr>
        <w:tc>
          <w:tcPr>
            <w:tcW w:w="1976" w:type="dxa"/>
          </w:tcPr>
          <w:p w14:paraId="35F7ADA4" w14:textId="77777777" w:rsidR="005152D9" w:rsidRDefault="005152D9" w:rsidP="00A54250">
            <w:pPr>
              <w:pStyle w:val="Marginlie"/>
            </w:pPr>
            <w:r>
              <w:t>Příjmy vládních institucí rostly zejména díky daním z příjmů, které odrážely silný růst mezd a platů.</w:t>
            </w:r>
          </w:p>
        </w:tc>
        <w:tc>
          <w:tcPr>
            <w:tcW w:w="277" w:type="dxa"/>
          </w:tcPr>
          <w:p w14:paraId="79CD3854" w14:textId="77777777" w:rsidR="005152D9" w:rsidRPr="005E4483" w:rsidRDefault="005152D9" w:rsidP="00A54250">
            <w:pPr>
              <w:pStyle w:val="Textpoznpodarou"/>
              <w:jc w:val="both"/>
              <w:rPr>
                <w:spacing w:val="-4"/>
              </w:rPr>
            </w:pPr>
          </w:p>
        </w:tc>
        <w:tc>
          <w:tcPr>
            <w:tcW w:w="7391" w:type="dxa"/>
          </w:tcPr>
          <w:p w14:paraId="50F6E0DB" w14:textId="7E347553" w:rsidR="005152D9" w:rsidRPr="007834C9" w:rsidRDefault="005152D9" w:rsidP="00A54250">
            <w:r>
              <w:t>Příjmy sektoru vládních institucí loni dosáhly 2 210,8</w:t>
            </w:r>
            <w:r w:rsidR="001F138C">
              <w:t> mld.</w:t>
            </w:r>
            <w:r>
              <w:t xml:space="preserve"> korun a meziročně narostly o 166,5</w:t>
            </w:r>
            <w:r w:rsidR="001F138C">
              <w:t> mld.</w:t>
            </w:r>
            <w:r>
              <w:t xml:space="preserve"> (8,1</w:t>
            </w:r>
            <w:r w:rsidR="001D51EB">
              <w:t> %</w:t>
            </w:r>
            <w:r>
              <w:t>). To je nejvíce od roku 2015. Vysoký přírůstek souvisí především se zvýšením výnosů daní z příjmů (o 7,0</w:t>
            </w:r>
            <w:r w:rsidR="001D51EB">
              <w:t> %</w:t>
            </w:r>
            <w:r>
              <w:t>) a také čistých sociálních příspěvků (9,8</w:t>
            </w:r>
            <w:r w:rsidR="001D51EB">
              <w:t> %</w:t>
            </w:r>
            <w:r>
              <w:t>). Dynamika obou zdrojů je přímo navázána na růst mezd a platů. Objem přijatých daní z výroby a z dovozu se zvyšoval mírněji (4,8</w:t>
            </w:r>
            <w:r w:rsidR="001D51EB">
              <w:t> %</w:t>
            </w:r>
            <w:r>
              <w:t xml:space="preserve">). Uvedené příjmy jsou klíčovou součástí zdrojů sektoru vládních institucí. V roce 2018 tvořily </w:t>
            </w:r>
            <w:r>
              <w:lastRenderedPageBreak/>
              <w:t>86,4</w:t>
            </w:r>
            <w:r w:rsidR="001D51EB">
              <w:t> %</w:t>
            </w:r>
            <w:r>
              <w:t xml:space="preserve"> z celkových příjmů. Jejich podíl také přímo odráží vývoj hospodářského cyklu. V období 2016</w:t>
            </w:r>
            <w:r w:rsidR="001F138C">
              <w:t>–</w:t>
            </w:r>
            <w:r>
              <w:t>2018 tak překračoval 86</w:t>
            </w:r>
            <w:r w:rsidR="001D51EB">
              <w:t> %</w:t>
            </w:r>
            <w:r>
              <w:t>, zatímco v letech 2009</w:t>
            </w:r>
            <w:r w:rsidR="001F138C">
              <w:t>–</w:t>
            </w:r>
            <w:r>
              <w:t>2014 se pohyboval mezi 82 až 84</w:t>
            </w:r>
            <w:r w:rsidR="001D51EB">
              <w:t> %</w:t>
            </w:r>
            <w:r>
              <w:t>. Dalším zdrojem je hodnota tržní produkce, produkce pro vlastní užití a plateb za ostatní netržní produkci. Ta loni dosáhla 172,6</w:t>
            </w:r>
            <w:r w:rsidR="001F138C">
              <w:t> mld.</w:t>
            </w:r>
            <w:r>
              <w:t xml:space="preserve"> korun a meziročně se zvýšila o 5,7</w:t>
            </w:r>
            <w:r w:rsidR="001D51EB">
              <w:t> %</w:t>
            </w:r>
            <w:r>
              <w:t xml:space="preserve">. </w:t>
            </w:r>
            <w:r w:rsidR="00B366E5">
              <w:t xml:space="preserve">Přijaté </w:t>
            </w:r>
            <w:r>
              <w:t>ostatní běžné transfery loni dosáhly 50,3</w:t>
            </w:r>
            <w:r w:rsidR="001F138C">
              <w:t> mld.</w:t>
            </w:r>
            <w:r>
              <w:t xml:space="preserve"> korun a zvýšily se o 24,8</w:t>
            </w:r>
            <w:r w:rsidR="001D51EB">
              <w:t> %</w:t>
            </w:r>
            <w:r>
              <w:t>. Kapitálové transfery, které mají často kolísavý charakter, protože jejich významnou částí jsou příjmy z evropských fondů, se loni zvýšily o 10,7</w:t>
            </w:r>
            <w:r w:rsidR="001F138C">
              <w:t> mld.</w:t>
            </w:r>
            <w:r>
              <w:t xml:space="preserve"> korun (32,9</w:t>
            </w:r>
            <w:r w:rsidR="001D51EB">
              <w:t> %</w:t>
            </w:r>
            <w:r>
              <w:t>) a dosáhly 43,2</w:t>
            </w:r>
            <w:r w:rsidR="001F138C">
              <w:t> mld.</w:t>
            </w:r>
            <w:r>
              <w:t xml:space="preserve"> Nejmenší součástí příjmů vládních institucí byly důchody z</w:t>
            </w:r>
            <w:r w:rsidR="00A62B23">
              <w:t> </w:t>
            </w:r>
            <w:r>
              <w:t>vlastnictví</w:t>
            </w:r>
            <w:r w:rsidR="00A62B23">
              <w:t xml:space="preserve"> (např.</w:t>
            </w:r>
            <w:r w:rsidR="00B366E5">
              <w:t> </w:t>
            </w:r>
            <w:r w:rsidR="00A62B23">
              <w:t>dividendy)</w:t>
            </w:r>
            <w:r>
              <w:t>. Ty loni činily 35,3</w:t>
            </w:r>
            <w:r w:rsidR="001F138C">
              <w:t> mld.</w:t>
            </w:r>
            <w:r>
              <w:t xml:space="preserve"> korun a meziročně narostly o</w:t>
            </w:r>
            <w:r w:rsidR="00B366E5">
              <w:t> </w:t>
            </w:r>
            <w:r>
              <w:t>15,2</w:t>
            </w:r>
            <w:r w:rsidR="001D51EB">
              <w:t> %</w:t>
            </w:r>
            <w:r>
              <w:t>.</w:t>
            </w:r>
          </w:p>
        </w:tc>
      </w:tr>
      <w:tr w:rsidR="005152D9" w:rsidRPr="00894C66" w14:paraId="5DB16A65" w14:textId="77777777" w:rsidTr="00A54250">
        <w:trPr>
          <w:trHeight w:val="145"/>
        </w:trPr>
        <w:tc>
          <w:tcPr>
            <w:tcW w:w="1976" w:type="dxa"/>
          </w:tcPr>
          <w:p w14:paraId="385F0D50" w14:textId="77777777" w:rsidR="005152D9" w:rsidRDefault="005152D9" w:rsidP="00A54250">
            <w:pPr>
              <w:pStyle w:val="Marginlie"/>
            </w:pPr>
            <w:r>
              <w:lastRenderedPageBreak/>
              <w:t>Mzdové náklady ale tížily výdajovou stránku rozpočtu.</w:t>
            </w:r>
          </w:p>
        </w:tc>
        <w:tc>
          <w:tcPr>
            <w:tcW w:w="277" w:type="dxa"/>
          </w:tcPr>
          <w:p w14:paraId="318E8377" w14:textId="77777777" w:rsidR="005152D9" w:rsidRPr="005E4483" w:rsidRDefault="005152D9" w:rsidP="00A54250">
            <w:pPr>
              <w:pStyle w:val="Textpoznpodarou"/>
              <w:jc w:val="both"/>
              <w:rPr>
                <w:spacing w:val="-4"/>
              </w:rPr>
            </w:pPr>
          </w:p>
        </w:tc>
        <w:tc>
          <w:tcPr>
            <w:tcW w:w="7391" w:type="dxa"/>
          </w:tcPr>
          <w:p w14:paraId="4356380F" w14:textId="21EDF788" w:rsidR="005152D9" w:rsidRPr="007834C9" w:rsidRDefault="005152D9" w:rsidP="00A62B23">
            <w:r>
              <w:t>Důvodem meziročního snížení přebytku hospodaření vládního sektoru byl prudký nárůst výdajů. Ty se zvýšily o 197,8</w:t>
            </w:r>
            <w:r w:rsidR="001F138C">
              <w:t> mld.</w:t>
            </w:r>
            <w:r>
              <w:t xml:space="preserve"> korun (10,1</w:t>
            </w:r>
            <w:r w:rsidR="001D51EB">
              <w:t> %</w:t>
            </w:r>
            <w:r>
              <w:t>, největší přírůstek od roku 2003) na 2 163,4</w:t>
            </w:r>
            <w:r w:rsidR="001F138C">
              <w:t> mld.</w:t>
            </w:r>
            <w:r>
              <w:t xml:space="preserve"> Poprvé tak výdaje překročily 2</w:t>
            </w:r>
            <w:r w:rsidR="0014794C">
              <w:t> </w:t>
            </w:r>
            <w:r>
              <w:t>biliony korun. Největší část tvořily vyplacené sociální dávky a naturální sociální transfery. V roce 2018 to bylo 791,3</w:t>
            </w:r>
            <w:r w:rsidR="001F138C">
              <w:t> mld.</w:t>
            </w:r>
            <w:r>
              <w:t xml:space="preserve"> korun a meziročně se částka zvýšila o 5,5</w:t>
            </w:r>
            <w:r w:rsidR="001D51EB">
              <w:t> %</w:t>
            </w:r>
            <w:r>
              <w:t>. Prudké navýšení celkových výdajů má však původ v náhradách zaměstnancům, které vzrostly o</w:t>
            </w:r>
            <w:r w:rsidR="0014794C">
              <w:t> </w:t>
            </w:r>
            <w:r>
              <w:t>12,7</w:t>
            </w:r>
            <w:r w:rsidR="00A62B23">
              <w:t> </w:t>
            </w:r>
            <w:r>
              <w:t>% na 520,6</w:t>
            </w:r>
            <w:r w:rsidR="001F138C">
              <w:t> mld.</w:t>
            </w:r>
            <w:r>
              <w:t xml:space="preserve"> korun. Více než 10% byl jejich nárůst i v roce 2017, takže celkový objem se za poslední dva roky zvýšil téměř o čtvrtinu. Zvýšil se také jejich podíl na celkových výdajích vládního sektoru. Zatímco v roce 2015 to bylo 20,8</w:t>
            </w:r>
            <w:r w:rsidR="001D51EB">
              <w:t> %</w:t>
            </w:r>
            <w:r>
              <w:t>, loni už činil podíl 24,1</w:t>
            </w:r>
            <w:r w:rsidR="001D51EB">
              <w:t> %</w:t>
            </w:r>
            <w:r>
              <w:t xml:space="preserve">. </w:t>
            </w:r>
            <w:r w:rsidR="00A62B23">
              <w:t>Výrazně se zvýšila také mezispotřeba</w:t>
            </w:r>
            <w:r>
              <w:t xml:space="preserve"> – o</w:t>
            </w:r>
            <w:r w:rsidR="0014794C">
              <w:t> </w:t>
            </w:r>
            <w:r>
              <w:t>9,7</w:t>
            </w:r>
            <w:r w:rsidR="001D51EB">
              <w:t> %</w:t>
            </w:r>
            <w:r>
              <w:t xml:space="preserve"> na 325,0</w:t>
            </w:r>
            <w:r w:rsidR="00A62B23">
              <w:t> </w:t>
            </w:r>
            <w:r>
              <w:t xml:space="preserve">mld. korun. Nejvíce od roku 2011 vzrostl objem vyplacených dotací </w:t>
            </w:r>
            <w:r w:rsidR="0014794C">
              <w:br/>
            </w:r>
            <w:r>
              <w:t>– o</w:t>
            </w:r>
            <w:r w:rsidR="0014794C">
              <w:t> </w:t>
            </w:r>
            <w:r>
              <w:t>10,0</w:t>
            </w:r>
            <w:r w:rsidR="00A62B23">
              <w:t> </w:t>
            </w:r>
            <w:r>
              <w:t>% na 120,7</w:t>
            </w:r>
            <w:r w:rsidR="001F138C">
              <w:t> mld.</w:t>
            </w:r>
            <w:r>
              <w:t xml:space="preserve"> korun. K výše jmenovaným faktorům přispívajícím k růstu výdajů vládních institucí se loni přidala také investiční aktivita – výdaje na tvorbu hrubého fixního kapitálu dosáhly 218,5</w:t>
            </w:r>
            <w:r w:rsidR="001F138C">
              <w:t> mld.</w:t>
            </w:r>
            <w:r>
              <w:t xml:space="preserve"> korun a meziročně se zvýšily o</w:t>
            </w:r>
            <w:r w:rsidR="0014794C">
              <w:t> </w:t>
            </w:r>
            <w:r>
              <w:t>47,4</w:t>
            </w:r>
            <w:r w:rsidR="00A62B23">
              <w:t> </w:t>
            </w:r>
            <w:r>
              <w:t>mld. (27,7</w:t>
            </w:r>
            <w:r w:rsidR="001D51EB">
              <w:t> %</w:t>
            </w:r>
            <w:r>
              <w:t>).</w:t>
            </w:r>
          </w:p>
        </w:tc>
      </w:tr>
      <w:tr w:rsidR="005152D9" w:rsidRPr="00894C66" w14:paraId="5F3C0C09" w14:textId="77777777" w:rsidTr="00A54250">
        <w:trPr>
          <w:trHeight w:val="170"/>
        </w:trPr>
        <w:tc>
          <w:tcPr>
            <w:tcW w:w="1976" w:type="dxa"/>
            <w:vMerge w:val="restart"/>
          </w:tcPr>
          <w:p w14:paraId="7A4B8173" w14:textId="77777777" w:rsidR="005152D9" w:rsidRDefault="005152D9" w:rsidP="00A54250">
            <w:pPr>
              <w:pStyle w:val="Marginlie"/>
            </w:pPr>
          </w:p>
        </w:tc>
        <w:tc>
          <w:tcPr>
            <w:tcW w:w="277" w:type="dxa"/>
            <w:vMerge w:val="restart"/>
          </w:tcPr>
          <w:p w14:paraId="3DB21409" w14:textId="77777777" w:rsidR="005152D9" w:rsidRPr="005E4483" w:rsidRDefault="005152D9" w:rsidP="00A54250">
            <w:pPr>
              <w:pStyle w:val="Textpoznpodarou"/>
              <w:jc w:val="both"/>
              <w:rPr>
                <w:spacing w:val="-4"/>
              </w:rPr>
            </w:pPr>
          </w:p>
        </w:tc>
        <w:tc>
          <w:tcPr>
            <w:tcW w:w="7391" w:type="dxa"/>
          </w:tcPr>
          <w:p w14:paraId="73B76F77" w14:textId="77777777" w:rsidR="005152D9" w:rsidRPr="007834C9" w:rsidRDefault="005152D9" w:rsidP="00884A6F">
            <w:pPr>
              <w:spacing w:after="0"/>
            </w:pPr>
            <w:r w:rsidRPr="002A0077">
              <w:rPr>
                <w:b/>
              </w:rPr>
              <w:t xml:space="preserve">Graf č. </w:t>
            </w:r>
            <w:r w:rsidR="00884A6F">
              <w:rPr>
                <w:b/>
              </w:rPr>
              <w:t>9</w:t>
            </w:r>
            <w:r w:rsidRPr="004F6EDC">
              <w:rPr>
                <w:b/>
                <w:bCs/>
              </w:rPr>
              <w:t xml:space="preserve">  </w:t>
            </w:r>
            <w:r>
              <w:rPr>
                <w:b/>
                <w:lang w:eastAsia="en-US"/>
              </w:rPr>
              <w:t xml:space="preserve">Příjmy, výdaje </w:t>
            </w:r>
            <w:r w:rsidRPr="00E76E49">
              <w:rPr>
                <w:lang w:eastAsia="en-US"/>
              </w:rPr>
              <w:t>(levá osa)</w:t>
            </w:r>
            <w:r>
              <w:rPr>
                <w:b/>
                <w:lang w:eastAsia="en-US"/>
              </w:rPr>
              <w:t xml:space="preserve"> a č</w:t>
            </w:r>
            <w:r w:rsidRPr="005263D4">
              <w:rPr>
                <w:b/>
                <w:lang w:eastAsia="en-US"/>
              </w:rPr>
              <w:t>isté půjčky/výpůjčky</w:t>
            </w:r>
            <w:r>
              <w:rPr>
                <w:b/>
                <w:lang w:eastAsia="en-US"/>
              </w:rPr>
              <w:t xml:space="preserve"> </w:t>
            </w:r>
            <w:r w:rsidRPr="00E76E49">
              <w:rPr>
                <w:lang w:eastAsia="en-US"/>
              </w:rPr>
              <w:t xml:space="preserve">(pravá osa) </w:t>
            </w:r>
            <w:r>
              <w:rPr>
                <w:b/>
                <w:lang w:eastAsia="en-US"/>
              </w:rPr>
              <w:t xml:space="preserve">vládních institucí </w:t>
            </w:r>
            <w:r w:rsidRPr="00E76E49">
              <w:rPr>
                <w:lang w:eastAsia="en-US"/>
              </w:rPr>
              <w:t>(v</w:t>
            </w:r>
            <w:r w:rsidR="001F138C">
              <w:rPr>
                <w:lang w:eastAsia="en-US"/>
              </w:rPr>
              <w:t> mld.</w:t>
            </w:r>
            <w:r w:rsidRPr="00E76E49">
              <w:rPr>
                <w:lang w:eastAsia="en-US"/>
              </w:rPr>
              <w:t xml:space="preserve"> korun</w:t>
            </w:r>
            <w:r>
              <w:rPr>
                <w:spacing w:val="-2"/>
                <w:lang w:eastAsia="en-US"/>
              </w:rPr>
              <w:t>)</w:t>
            </w:r>
          </w:p>
        </w:tc>
      </w:tr>
      <w:tr w:rsidR="005152D9" w:rsidRPr="00894C66" w14:paraId="71F72178" w14:textId="77777777" w:rsidTr="00A54250">
        <w:tblPrEx>
          <w:tblCellMar>
            <w:left w:w="70" w:type="dxa"/>
            <w:right w:w="70" w:type="dxa"/>
          </w:tblCellMar>
        </w:tblPrEx>
        <w:trPr>
          <w:trHeight w:val="170"/>
        </w:trPr>
        <w:tc>
          <w:tcPr>
            <w:tcW w:w="1976" w:type="dxa"/>
            <w:vMerge/>
          </w:tcPr>
          <w:p w14:paraId="1DA68D03" w14:textId="77777777" w:rsidR="005152D9" w:rsidRDefault="005152D9" w:rsidP="00A54250">
            <w:pPr>
              <w:pStyle w:val="Marginlie"/>
            </w:pPr>
          </w:p>
        </w:tc>
        <w:tc>
          <w:tcPr>
            <w:tcW w:w="277" w:type="dxa"/>
            <w:vMerge/>
          </w:tcPr>
          <w:p w14:paraId="197C7A78" w14:textId="77777777" w:rsidR="005152D9" w:rsidRPr="005E4483" w:rsidRDefault="005152D9" w:rsidP="00A54250">
            <w:pPr>
              <w:pStyle w:val="Textpoznpodarou"/>
              <w:jc w:val="both"/>
              <w:rPr>
                <w:spacing w:val="-4"/>
              </w:rPr>
            </w:pPr>
          </w:p>
        </w:tc>
        <w:tc>
          <w:tcPr>
            <w:tcW w:w="7391" w:type="dxa"/>
          </w:tcPr>
          <w:p w14:paraId="577300EB" w14:textId="77777777" w:rsidR="005152D9" w:rsidRPr="007834C9" w:rsidRDefault="005152D9" w:rsidP="00A54250">
            <w:pPr>
              <w:spacing w:after="0"/>
            </w:pPr>
            <w:r>
              <w:rPr>
                <w:noProof/>
              </w:rPr>
              <w:drawing>
                <wp:inline distT="0" distB="0" distL="0" distR="0" wp14:anchorId="75B70C6C" wp14:editId="1A219DFA">
                  <wp:extent cx="4686935" cy="3515360"/>
                  <wp:effectExtent l="0" t="0" r="0" b="0"/>
                  <wp:docPr id="115" name="Graf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5152D9" w:rsidRPr="00894C66" w14:paraId="71530EBE" w14:textId="77777777" w:rsidTr="00A54250">
        <w:trPr>
          <w:trHeight w:val="170"/>
        </w:trPr>
        <w:tc>
          <w:tcPr>
            <w:tcW w:w="1976" w:type="dxa"/>
            <w:vMerge/>
          </w:tcPr>
          <w:p w14:paraId="30CBDA3A" w14:textId="77777777" w:rsidR="005152D9" w:rsidRDefault="005152D9" w:rsidP="00A54250">
            <w:pPr>
              <w:pStyle w:val="Marginlie"/>
            </w:pPr>
          </w:p>
        </w:tc>
        <w:tc>
          <w:tcPr>
            <w:tcW w:w="277" w:type="dxa"/>
            <w:vMerge/>
          </w:tcPr>
          <w:p w14:paraId="177FB0A0" w14:textId="77777777" w:rsidR="005152D9" w:rsidRPr="005E4483" w:rsidRDefault="005152D9" w:rsidP="00A54250">
            <w:pPr>
              <w:pStyle w:val="Textpoznpodarou"/>
              <w:jc w:val="both"/>
              <w:rPr>
                <w:spacing w:val="-4"/>
              </w:rPr>
            </w:pPr>
          </w:p>
        </w:tc>
        <w:tc>
          <w:tcPr>
            <w:tcW w:w="7391" w:type="dxa"/>
          </w:tcPr>
          <w:p w14:paraId="18A79D87" w14:textId="77777777" w:rsidR="005152D9" w:rsidRPr="002A0077" w:rsidRDefault="005152D9" w:rsidP="00A54250">
            <w:pPr>
              <w:rPr>
                <w:sz w:val="14"/>
                <w:szCs w:val="14"/>
              </w:rPr>
            </w:pPr>
            <w:r w:rsidRPr="002A0077">
              <w:rPr>
                <w:sz w:val="14"/>
                <w:szCs w:val="14"/>
              </w:rPr>
              <w:t>Zdroj: ČSÚ</w:t>
            </w:r>
          </w:p>
        </w:tc>
      </w:tr>
      <w:tr w:rsidR="005152D9" w:rsidRPr="00894C66" w14:paraId="388BB1AB" w14:textId="77777777" w:rsidTr="00A54250">
        <w:trPr>
          <w:trHeight w:val="145"/>
        </w:trPr>
        <w:tc>
          <w:tcPr>
            <w:tcW w:w="1976" w:type="dxa"/>
          </w:tcPr>
          <w:p w14:paraId="1A6992E6" w14:textId="77777777" w:rsidR="005152D9" w:rsidRDefault="005152D9" w:rsidP="00A54250">
            <w:pPr>
              <w:pStyle w:val="Marginlie"/>
            </w:pPr>
            <w:r>
              <w:t>Kladného salda hospodaření dosáhly všechny subsektory.</w:t>
            </w:r>
          </w:p>
        </w:tc>
        <w:tc>
          <w:tcPr>
            <w:tcW w:w="277" w:type="dxa"/>
          </w:tcPr>
          <w:p w14:paraId="5F354F67" w14:textId="77777777" w:rsidR="005152D9" w:rsidRPr="005E4483" w:rsidRDefault="005152D9" w:rsidP="00A54250">
            <w:pPr>
              <w:pStyle w:val="Textpoznpodarou"/>
              <w:jc w:val="both"/>
              <w:rPr>
                <w:spacing w:val="-4"/>
              </w:rPr>
            </w:pPr>
          </w:p>
        </w:tc>
        <w:tc>
          <w:tcPr>
            <w:tcW w:w="7391" w:type="dxa"/>
          </w:tcPr>
          <w:p w14:paraId="1B34180F" w14:textId="37B01347" w:rsidR="005152D9" w:rsidRPr="007834C9" w:rsidRDefault="005152D9" w:rsidP="00125A9C">
            <w:r>
              <w:t>Podobně jako v roce 2017 i loni všechny subsektory dosáhly přebytkového hospodaření. Kladné saldo ústředních vládních institucí se zmírnilo o</w:t>
            </w:r>
            <w:r w:rsidR="00B9200E">
              <w:t> </w:t>
            </w:r>
            <w:r>
              <w:t>16,6</w:t>
            </w:r>
            <w:r w:rsidR="001F138C">
              <w:t> mld.</w:t>
            </w:r>
            <w:r>
              <w:t xml:space="preserve"> </w:t>
            </w:r>
            <w:r>
              <w:lastRenderedPageBreak/>
              <w:t>korun a dosáhlo 12,0</w:t>
            </w:r>
            <w:r w:rsidR="001F138C">
              <w:t> mld.</w:t>
            </w:r>
            <w:r>
              <w:t xml:space="preserve"> Zhoršení salda způsobil prudký nárůst celkových výdajů (8,2</w:t>
            </w:r>
            <w:r w:rsidR="001D51EB">
              <w:t> %</w:t>
            </w:r>
            <w:r>
              <w:t>), zejména pod vlivem růstu náhrad zaměstnancům o 11,7</w:t>
            </w:r>
            <w:r w:rsidR="001D51EB">
              <w:t> %</w:t>
            </w:r>
            <w:r>
              <w:t>. Výrazně se zvýšila rovněž investiční aktivita (17,1</w:t>
            </w:r>
            <w:r w:rsidR="001D51EB">
              <w:t> %</w:t>
            </w:r>
            <w:r>
              <w:t>) a prudce se navýšily vyplacené dotace (12,6</w:t>
            </w:r>
            <w:r w:rsidR="001D51EB">
              <w:t> %</w:t>
            </w:r>
            <w:r>
              <w:t>). Na příjmové stránce došlo ke zvýšení o 6,9</w:t>
            </w:r>
            <w:r w:rsidR="001D51EB">
              <w:t> %</w:t>
            </w:r>
            <w:r>
              <w:t>. Subsektor čerpal zejména z růstu mezd a platů</w:t>
            </w:r>
            <w:r w:rsidR="00A62B23">
              <w:t xml:space="preserve"> ve všech sektorech</w:t>
            </w:r>
            <w:r>
              <w:t xml:space="preserve"> (přijaté daně z důchodů vzrostly o</w:t>
            </w:r>
            <w:r w:rsidR="00B9200E">
              <w:t> </w:t>
            </w:r>
            <w:r>
              <w:t>7,0</w:t>
            </w:r>
            <w:r w:rsidR="001D51EB">
              <w:t> %</w:t>
            </w:r>
            <w:r>
              <w:t>, čisté sociální příspěvky o 9,8</w:t>
            </w:r>
            <w:r w:rsidR="001D51EB">
              <w:t> %</w:t>
            </w:r>
            <w:r>
              <w:t xml:space="preserve">). Výběr daní z výroby a dovozu rostl mírněji </w:t>
            </w:r>
            <w:r w:rsidR="00B9200E">
              <w:br/>
            </w:r>
            <w:r>
              <w:t>– o</w:t>
            </w:r>
            <w:r w:rsidR="00B9200E">
              <w:t> </w:t>
            </w:r>
            <w:r>
              <w:t>3,5</w:t>
            </w:r>
            <w:r w:rsidR="00A62B23">
              <w:t> </w:t>
            </w:r>
            <w:r>
              <w:t>%. Rovněž místní vládní instituce zaznamenaly pokles přebytku o</w:t>
            </w:r>
            <w:r w:rsidR="00B9200E">
              <w:t> </w:t>
            </w:r>
            <w:r>
              <w:t>22,9</w:t>
            </w:r>
            <w:r w:rsidR="001F138C">
              <w:t> mld.</w:t>
            </w:r>
            <w:r>
              <w:t xml:space="preserve"> korun na 19,0</w:t>
            </w:r>
            <w:r w:rsidR="001F138C">
              <w:t> mld.</w:t>
            </w:r>
            <w:r>
              <w:t xml:space="preserve"> Jejich výdaje rostly o 15,2</w:t>
            </w:r>
            <w:r w:rsidR="001D51EB">
              <w:t> %</w:t>
            </w:r>
            <w:r>
              <w:t>. Kromě náhrad zaměstnancům (navýšení o 13,9</w:t>
            </w:r>
            <w:r w:rsidR="001D51EB">
              <w:t> %</w:t>
            </w:r>
            <w:r>
              <w:t>) se ve výdajích projevilo posílení tvorby hrubého fixního kapitálu o 39,3</w:t>
            </w:r>
            <w:r w:rsidR="001D51EB">
              <w:t> %</w:t>
            </w:r>
            <w:r>
              <w:t xml:space="preserve">. </w:t>
            </w:r>
            <w:r w:rsidR="00125A9C">
              <w:t>M</w:t>
            </w:r>
            <w:r>
              <w:t>ístn</w:t>
            </w:r>
            <w:r w:rsidR="00125A9C">
              <w:t>í</w:t>
            </w:r>
            <w:r>
              <w:t xml:space="preserve"> vládní</w:t>
            </w:r>
            <w:r w:rsidR="00125A9C">
              <w:t xml:space="preserve"> instituce zaznamenaly také silný růst příjmů</w:t>
            </w:r>
            <w:r>
              <w:t xml:space="preserve"> </w:t>
            </w:r>
            <w:r w:rsidR="00B9200E">
              <w:br/>
            </w:r>
            <w:r>
              <w:t>– o</w:t>
            </w:r>
            <w:r w:rsidR="00B9200E">
              <w:t> </w:t>
            </w:r>
            <w:r>
              <w:t>10,1</w:t>
            </w:r>
            <w:r w:rsidR="001D51EB">
              <w:t> %</w:t>
            </w:r>
            <w:r>
              <w:t>. To lze připsat i vyššímu nárůstu příjmů z daní z výroby a dovozu (o</w:t>
            </w:r>
            <w:r w:rsidR="00B9200E">
              <w:t> </w:t>
            </w:r>
            <w:r>
              <w:t>9,5</w:t>
            </w:r>
            <w:r w:rsidR="001D51EB">
              <w:t> %</w:t>
            </w:r>
            <w:r>
              <w:t>). Fondy sociálního zabezpečení</w:t>
            </w:r>
            <w:r>
              <w:rPr>
                <w:rStyle w:val="Znakapoznpodarou"/>
              </w:rPr>
              <w:footnoteReference w:id="22"/>
            </w:r>
            <w:r>
              <w:t xml:space="preserve"> si přebytek udržely již čtvrtým rokem a</w:t>
            </w:r>
            <w:r w:rsidR="00B9200E">
              <w:t> </w:t>
            </w:r>
            <w:r w:rsidR="00A62B23">
              <w:t xml:space="preserve">navíc </w:t>
            </w:r>
            <w:r>
              <w:t>jej loni zdvojnásobily na 16,4</w:t>
            </w:r>
            <w:r w:rsidR="001F138C">
              <w:t> mld.</w:t>
            </w:r>
            <w:r>
              <w:t xml:space="preserve"> korun. Ačkoli u nich růst výdajů také posílil (6,8</w:t>
            </w:r>
            <w:r w:rsidR="001D51EB">
              <w:t> %</w:t>
            </w:r>
            <w:r>
              <w:t xml:space="preserve">), příjmová stránka zcela </w:t>
            </w:r>
            <w:r w:rsidR="00A62B23">
              <w:t>odrážela</w:t>
            </w:r>
            <w:r>
              <w:t xml:space="preserve"> vývoj v oblasti mezd a platů (nárůst příjmů o 9,5</w:t>
            </w:r>
            <w:r w:rsidR="00125A9C">
              <w:t> </w:t>
            </w:r>
            <w:r>
              <w:t>%). Téměř většinovým zdrojem příjmů subsektoru jsou totiž přijaté čisté sociální příspěvky. Ty se zvýšily o</w:t>
            </w:r>
            <w:r w:rsidR="00B9200E">
              <w:t> </w:t>
            </w:r>
            <w:r>
              <w:t>9,7</w:t>
            </w:r>
            <w:r w:rsidR="001D51EB">
              <w:t> %</w:t>
            </w:r>
            <w:r>
              <w:t>.</w:t>
            </w:r>
          </w:p>
        </w:tc>
      </w:tr>
      <w:tr w:rsidR="005152D9" w:rsidRPr="00894C66" w14:paraId="5CCBEC65" w14:textId="77777777" w:rsidTr="00A54250">
        <w:trPr>
          <w:trHeight w:val="170"/>
        </w:trPr>
        <w:tc>
          <w:tcPr>
            <w:tcW w:w="1976" w:type="dxa"/>
            <w:vMerge w:val="restart"/>
          </w:tcPr>
          <w:p w14:paraId="622BCC21" w14:textId="77777777" w:rsidR="005152D9" w:rsidRDefault="005152D9" w:rsidP="00A54250">
            <w:pPr>
              <w:pStyle w:val="Marginlie"/>
            </w:pPr>
          </w:p>
        </w:tc>
        <w:tc>
          <w:tcPr>
            <w:tcW w:w="277" w:type="dxa"/>
            <w:vMerge w:val="restart"/>
          </w:tcPr>
          <w:p w14:paraId="4542F41E" w14:textId="77777777" w:rsidR="005152D9" w:rsidRPr="005E4483" w:rsidRDefault="005152D9" w:rsidP="00A54250">
            <w:pPr>
              <w:pStyle w:val="Textpoznpodarou"/>
              <w:jc w:val="both"/>
              <w:rPr>
                <w:spacing w:val="-4"/>
              </w:rPr>
            </w:pPr>
          </w:p>
        </w:tc>
        <w:tc>
          <w:tcPr>
            <w:tcW w:w="7391" w:type="dxa"/>
          </w:tcPr>
          <w:p w14:paraId="349BEC7B" w14:textId="021221D9" w:rsidR="005152D9" w:rsidRPr="007834C9" w:rsidRDefault="005152D9" w:rsidP="00884A6F">
            <w:pPr>
              <w:spacing w:after="0"/>
            </w:pPr>
            <w:r w:rsidRPr="002A0077">
              <w:rPr>
                <w:b/>
              </w:rPr>
              <w:t xml:space="preserve">Graf č. </w:t>
            </w:r>
            <w:r w:rsidR="00884A6F">
              <w:rPr>
                <w:b/>
              </w:rPr>
              <w:t>10</w:t>
            </w:r>
            <w:r w:rsidRPr="004F6EDC">
              <w:rPr>
                <w:b/>
                <w:bCs/>
              </w:rPr>
              <w:t xml:space="preserve">  </w:t>
            </w:r>
            <w:r w:rsidRPr="005263D4">
              <w:rPr>
                <w:b/>
                <w:lang w:eastAsia="en-US"/>
              </w:rPr>
              <w:t>Čisté půjčky</w:t>
            </w:r>
            <w:r w:rsidR="00B9200E">
              <w:rPr>
                <w:b/>
                <w:lang w:eastAsia="en-US"/>
              </w:rPr>
              <w:t xml:space="preserve"> </w:t>
            </w:r>
            <w:r>
              <w:rPr>
                <w:b/>
                <w:lang w:eastAsia="en-US"/>
              </w:rPr>
              <w:t>(+)</w:t>
            </w:r>
            <w:r w:rsidR="00B9200E">
              <w:rPr>
                <w:b/>
                <w:lang w:eastAsia="en-US"/>
              </w:rPr>
              <w:t xml:space="preserve"> </w:t>
            </w:r>
            <w:r w:rsidRPr="005263D4">
              <w:rPr>
                <w:b/>
                <w:lang w:eastAsia="en-US"/>
              </w:rPr>
              <w:t>/</w:t>
            </w:r>
            <w:r w:rsidR="00B9200E">
              <w:rPr>
                <w:b/>
                <w:lang w:eastAsia="en-US"/>
              </w:rPr>
              <w:t xml:space="preserve"> </w:t>
            </w:r>
            <w:r w:rsidRPr="005263D4">
              <w:rPr>
                <w:b/>
                <w:lang w:eastAsia="en-US"/>
              </w:rPr>
              <w:t>výpůjčky</w:t>
            </w:r>
            <w:r w:rsidR="00B9200E">
              <w:rPr>
                <w:b/>
                <w:lang w:eastAsia="en-US"/>
              </w:rPr>
              <w:t xml:space="preserve"> </w:t>
            </w:r>
            <w:r>
              <w:rPr>
                <w:b/>
                <w:lang w:eastAsia="en-US"/>
              </w:rPr>
              <w:t>(</w:t>
            </w:r>
            <w:r w:rsidR="001F138C">
              <w:rPr>
                <w:b/>
                <w:lang w:eastAsia="en-US"/>
              </w:rPr>
              <w:t>–</w:t>
            </w:r>
            <w:r>
              <w:rPr>
                <w:b/>
                <w:lang w:eastAsia="en-US"/>
              </w:rPr>
              <w:t>)</w:t>
            </w:r>
            <w:r w:rsidRPr="005263D4">
              <w:rPr>
                <w:b/>
                <w:lang w:eastAsia="en-US"/>
              </w:rPr>
              <w:t xml:space="preserve"> vládních institucí v členění na subsektory </w:t>
            </w:r>
            <w:r w:rsidRPr="00ED61AD">
              <w:rPr>
                <w:lang w:eastAsia="en-US"/>
              </w:rPr>
              <w:t>(</w:t>
            </w:r>
            <w:r w:rsidRPr="005263D4">
              <w:rPr>
                <w:spacing w:val="-2"/>
                <w:lang w:eastAsia="en-US"/>
              </w:rPr>
              <w:t>v</w:t>
            </w:r>
            <w:r w:rsidR="001F138C">
              <w:rPr>
                <w:spacing w:val="-2"/>
                <w:lang w:eastAsia="en-US"/>
              </w:rPr>
              <w:t> mld.</w:t>
            </w:r>
            <w:r w:rsidRPr="005263D4">
              <w:rPr>
                <w:spacing w:val="-2"/>
                <w:lang w:eastAsia="en-US"/>
              </w:rPr>
              <w:t xml:space="preserve"> korun, b</w:t>
            </w:r>
            <w:r>
              <w:rPr>
                <w:spacing w:val="-2"/>
                <w:lang w:eastAsia="en-US"/>
              </w:rPr>
              <w:t>ěžné ceny</w:t>
            </w:r>
            <w:r w:rsidRPr="00ED61AD">
              <w:rPr>
                <w:lang w:eastAsia="en-US"/>
              </w:rPr>
              <w:t>)</w:t>
            </w:r>
          </w:p>
        </w:tc>
      </w:tr>
      <w:tr w:rsidR="005152D9" w:rsidRPr="00894C66" w14:paraId="06270549" w14:textId="77777777" w:rsidTr="00A54250">
        <w:tblPrEx>
          <w:tblCellMar>
            <w:left w:w="70" w:type="dxa"/>
            <w:right w:w="70" w:type="dxa"/>
          </w:tblCellMar>
        </w:tblPrEx>
        <w:trPr>
          <w:trHeight w:val="170"/>
        </w:trPr>
        <w:tc>
          <w:tcPr>
            <w:tcW w:w="1976" w:type="dxa"/>
            <w:vMerge/>
          </w:tcPr>
          <w:p w14:paraId="1638C3FF" w14:textId="77777777" w:rsidR="005152D9" w:rsidRDefault="005152D9" w:rsidP="00A54250">
            <w:pPr>
              <w:pStyle w:val="Marginlie"/>
            </w:pPr>
          </w:p>
        </w:tc>
        <w:tc>
          <w:tcPr>
            <w:tcW w:w="277" w:type="dxa"/>
            <w:vMerge/>
          </w:tcPr>
          <w:p w14:paraId="1AC3D74B" w14:textId="77777777" w:rsidR="005152D9" w:rsidRPr="005E4483" w:rsidRDefault="005152D9" w:rsidP="00A54250">
            <w:pPr>
              <w:pStyle w:val="Textpoznpodarou"/>
              <w:jc w:val="both"/>
              <w:rPr>
                <w:spacing w:val="-4"/>
              </w:rPr>
            </w:pPr>
          </w:p>
        </w:tc>
        <w:tc>
          <w:tcPr>
            <w:tcW w:w="7391" w:type="dxa"/>
          </w:tcPr>
          <w:p w14:paraId="662720ED" w14:textId="77777777" w:rsidR="005152D9" w:rsidRPr="007834C9" w:rsidRDefault="005152D9" w:rsidP="00A54250">
            <w:pPr>
              <w:spacing w:after="0"/>
            </w:pPr>
            <w:r>
              <w:rPr>
                <w:noProof/>
              </w:rPr>
              <w:drawing>
                <wp:inline distT="0" distB="0" distL="0" distR="0" wp14:anchorId="4CB0CBBE" wp14:editId="358524F8">
                  <wp:extent cx="4686935" cy="3515360"/>
                  <wp:effectExtent l="0" t="0" r="0" b="0"/>
                  <wp:docPr id="116" name="Graf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5152D9" w:rsidRPr="00894C66" w14:paraId="15E7A1CD" w14:textId="77777777" w:rsidTr="00A54250">
        <w:trPr>
          <w:trHeight w:val="170"/>
        </w:trPr>
        <w:tc>
          <w:tcPr>
            <w:tcW w:w="1976" w:type="dxa"/>
            <w:vMerge/>
          </w:tcPr>
          <w:p w14:paraId="22026530" w14:textId="77777777" w:rsidR="005152D9" w:rsidRDefault="005152D9" w:rsidP="00A54250">
            <w:pPr>
              <w:pStyle w:val="Marginlie"/>
            </w:pPr>
          </w:p>
        </w:tc>
        <w:tc>
          <w:tcPr>
            <w:tcW w:w="277" w:type="dxa"/>
            <w:vMerge/>
          </w:tcPr>
          <w:p w14:paraId="50F0A798" w14:textId="77777777" w:rsidR="005152D9" w:rsidRPr="005E4483" w:rsidRDefault="005152D9" w:rsidP="00A54250">
            <w:pPr>
              <w:pStyle w:val="Textpoznpodarou"/>
              <w:jc w:val="both"/>
              <w:rPr>
                <w:spacing w:val="-4"/>
              </w:rPr>
            </w:pPr>
          </w:p>
        </w:tc>
        <w:tc>
          <w:tcPr>
            <w:tcW w:w="7391" w:type="dxa"/>
          </w:tcPr>
          <w:p w14:paraId="3B5A6529" w14:textId="77777777" w:rsidR="005152D9" w:rsidRPr="002A0077" w:rsidRDefault="005152D9" w:rsidP="00A54250">
            <w:pPr>
              <w:rPr>
                <w:sz w:val="14"/>
                <w:szCs w:val="14"/>
              </w:rPr>
            </w:pPr>
            <w:r>
              <w:rPr>
                <w:sz w:val="14"/>
                <w:szCs w:val="14"/>
              </w:rPr>
              <w:t>Zdroj: ČSÚ</w:t>
            </w:r>
          </w:p>
        </w:tc>
      </w:tr>
      <w:tr w:rsidR="005152D9" w:rsidRPr="00894C66" w14:paraId="5ED5D06B" w14:textId="77777777" w:rsidTr="00A54250">
        <w:trPr>
          <w:trHeight w:val="145"/>
        </w:trPr>
        <w:tc>
          <w:tcPr>
            <w:tcW w:w="1976" w:type="dxa"/>
          </w:tcPr>
          <w:p w14:paraId="7236E905" w14:textId="151A78E0" w:rsidR="005152D9" w:rsidRDefault="005152D9" w:rsidP="00A54250">
            <w:pPr>
              <w:pStyle w:val="Marginlie"/>
            </w:pPr>
            <w:r>
              <w:t>Celkový dluh vládních institucí klesl.</w:t>
            </w:r>
          </w:p>
        </w:tc>
        <w:tc>
          <w:tcPr>
            <w:tcW w:w="277" w:type="dxa"/>
          </w:tcPr>
          <w:p w14:paraId="3F9663D2" w14:textId="77777777" w:rsidR="005152D9" w:rsidRPr="005E4483" w:rsidRDefault="005152D9" w:rsidP="00A54250">
            <w:pPr>
              <w:pStyle w:val="Textpoznpodarou"/>
              <w:jc w:val="both"/>
              <w:rPr>
                <w:spacing w:val="-4"/>
              </w:rPr>
            </w:pPr>
          </w:p>
        </w:tc>
        <w:tc>
          <w:tcPr>
            <w:tcW w:w="7391" w:type="dxa"/>
          </w:tcPr>
          <w:p w14:paraId="078044A3" w14:textId="1E898D81" w:rsidR="005152D9" w:rsidRPr="007834C9" w:rsidRDefault="005152D9" w:rsidP="00740575">
            <w:r>
              <w:t>Celkový dluh sektoru vládních institucí ke konci roku 2018 činil 1 735,1</w:t>
            </w:r>
            <w:r w:rsidR="001F138C">
              <w:t> mld.</w:t>
            </w:r>
            <w:r>
              <w:t xml:space="preserve"> korun. Meziročně se snížil o 14,5</w:t>
            </w:r>
            <w:r w:rsidR="001F138C">
              <w:t> mld.</w:t>
            </w:r>
            <w:r>
              <w:t xml:space="preserve"> korun a k poklesu došlo potřetí v řadě. Z pohledu struktury nedošlo k fundamentálním změnám. I nadále tvořily naprostou většinu dluhové cenné papíry (89,6</w:t>
            </w:r>
            <w:r w:rsidR="001D51EB">
              <w:t> %</w:t>
            </w:r>
            <w:r>
              <w:t>) následované půjčkami (9,9</w:t>
            </w:r>
            <w:r w:rsidR="001D51EB">
              <w:t> %</w:t>
            </w:r>
            <w:r>
              <w:t>) a vklady (0,5 %). Ve směru poklesu dluhu ke konci roku působily zejména krátkodobé dluhové cenné papíry, kterých ubylo o 39,6</w:t>
            </w:r>
            <w:r w:rsidR="001F138C">
              <w:t> mld.</w:t>
            </w:r>
            <w:r>
              <w:t xml:space="preserve"> korun. Jde však o téměř stejný objem, který v roce 2017 v portfoliu přibyl. Mírně ubylo také dlouhodobých dluhových cenných papírů (o 8,2</w:t>
            </w:r>
            <w:r w:rsidR="001F138C">
              <w:t> mld.</w:t>
            </w:r>
            <w:r>
              <w:t xml:space="preserve"> korun). Pošesté v řadě se snížil objem dlouhodobých půjček (o 11,9</w:t>
            </w:r>
            <w:r w:rsidR="001F138C">
              <w:t> mld.</w:t>
            </w:r>
            <w:r>
              <w:t xml:space="preserve"> korun). Naopak objem krátkodobých půjček byl ke konci roku 2018 meziročně o 42,4</w:t>
            </w:r>
            <w:r w:rsidR="001F138C">
              <w:t> mld.</w:t>
            </w:r>
            <w:r>
              <w:t xml:space="preserve"> vyšší. Krátkodobé půjčky v portfoliu dluhu narostly ve </w:t>
            </w:r>
            <w:r>
              <w:lastRenderedPageBreak/>
              <w:t>2.</w:t>
            </w:r>
            <w:r w:rsidR="00125A9C">
              <w:t> </w:t>
            </w:r>
            <w:r>
              <w:t>čtvrtletí 2018 a ke konci roku objem činil 45,4</w:t>
            </w:r>
            <w:r w:rsidR="001F138C">
              <w:t> mld.</w:t>
            </w:r>
            <w:r>
              <w:t xml:space="preserve"> Naposledy byla hranice 30</w:t>
            </w:r>
            <w:r w:rsidR="001F138C">
              <w:t> mld.</w:t>
            </w:r>
            <w:r>
              <w:t xml:space="preserve"> překonána v roce 2003.</w:t>
            </w:r>
          </w:p>
        </w:tc>
      </w:tr>
      <w:tr w:rsidR="005152D9" w:rsidRPr="00894C66" w14:paraId="224A362C" w14:textId="77777777" w:rsidTr="00A54250">
        <w:trPr>
          <w:trHeight w:val="170"/>
        </w:trPr>
        <w:tc>
          <w:tcPr>
            <w:tcW w:w="1976" w:type="dxa"/>
            <w:vMerge w:val="restart"/>
          </w:tcPr>
          <w:p w14:paraId="4BA98358" w14:textId="77777777" w:rsidR="005152D9" w:rsidRDefault="005152D9" w:rsidP="00A54250">
            <w:pPr>
              <w:pStyle w:val="Marginlie"/>
            </w:pPr>
          </w:p>
        </w:tc>
        <w:tc>
          <w:tcPr>
            <w:tcW w:w="277" w:type="dxa"/>
            <w:vMerge w:val="restart"/>
          </w:tcPr>
          <w:p w14:paraId="4120A514" w14:textId="77777777" w:rsidR="005152D9" w:rsidRPr="005E4483" w:rsidRDefault="005152D9" w:rsidP="00A54250">
            <w:pPr>
              <w:pStyle w:val="Textpoznpodarou"/>
              <w:jc w:val="both"/>
              <w:rPr>
                <w:spacing w:val="-4"/>
              </w:rPr>
            </w:pPr>
          </w:p>
        </w:tc>
        <w:tc>
          <w:tcPr>
            <w:tcW w:w="7391" w:type="dxa"/>
          </w:tcPr>
          <w:p w14:paraId="1C69CF81" w14:textId="77777777" w:rsidR="005152D9" w:rsidRPr="00D25CDB" w:rsidRDefault="005152D9" w:rsidP="00884A6F">
            <w:pPr>
              <w:spacing w:after="0"/>
              <w:rPr>
                <w:b/>
              </w:rPr>
            </w:pPr>
            <w:r>
              <w:rPr>
                <w:b/>
                <w:lang w:eastAsia="en-US"/>
              </w:rPr>
              <w:t xml:space="preserve">Graf č. </w:t>
            </w:r>
            <w:r w:rsidR="00884A6F">
              <w:rPr>
                <w:b/>
                <w:lang w:eastAsia="en-US"/>
              </w:rPr>
              <w:t>11</w:t>
            </w:r>
            <w:r>
              <w:rPr>
                <w:b/>
                <w:lang w:eastAsia="en-US"/>
              </w:rPr>
              <w:t xml:space="preserve">  Meziroční změna h</w:t>
            </w:r>
            <w:r w:rsidRPr="005263D4">
              <w:rPr>
                <w:b/>
                <w:lang w:eastAsia="en-US"/>
              </w:rPr>
              <w:t>rub</w:t>
            </w:r>
            <w:r>
              <w:rPr>
                <w:b/>
                <w:lang w:eastAsia="en-US"/>
              </w:rPr>
              <w:t>ého</w:t>
            </w:r>
            <w:r w:rsidRPr="005263D4">
              <w:rPr>
                <w:b/>
                <w:lang w:eastAsia="en-US"/>
              </w:rPr>
              <w:t xml:space="preserve"> konsolidovan</w:t>
            </w:r>
            <w:r>
              <w:rPr>
                <w:b/>
                <w:lang w:eastAsia="en-US"/>
              </w:rPr>
              <w:t>ého</w:t>
            </w:r>
            <w:r w:rsidRPr="005263D4">
              <w:rPr>
                <w:b/>
                <w:lang w:eastAsia="en-US"/>
              </w:rPr>
              <w:t xml:space="preserve"> dluh</w:t>
            </w:r>
            <w:r>
              <w:rPr>
                <w:b/>
                <w:lang w:eastAsia="en-US"/>
              </w:rPr>
              <w:t>u</w:t>
            </w:r>
            <w:r w:rsidRPr="005263D4">
              <w:rPr>
                <w:b/>
                <w:lang w:eastAsia="en-US"/>
              </w:rPr>
              <w:t xml:space="preserve"> sektoru vládních institucí </w:t>
            </w:r>
            <w:r w:rsidRPr="00ED61AD">
              <w:rPr>
                <w:lang w:eastAsia="en-US"/>
              </w:rPr>
              <w:t>(</w:t>
            </w:r>
            <w:r w:rsidRPr="005263D4">
              <w:rPr>
                <w:spacing w:val="-2"/>
                <w:lang w:eastAsia="en-US"/>
              </w:rPr>
              <w:t>v</w:t>
            </w:r>
            <w:r w:rsidR="001F138C">
              <w:rPr>
                <w:spacing w:val="-2"/>
                <w:lang w:eastAsia="en-US"/>
              </w:rPr>
              <w:t> mld.</w:t>
            </w:r>
            <w:r w:rsidRPr="005263D4">
              <w:rPr>
                <w:spacing w:val="-2"/>
                <w:lang w:eastAsia="en-US"/>
              </w:rPr>
              <w:t xml:space="preserve"> korun, běžné ceny</w:t>
            </w:r>
            <w:r w:rsidRPr="00ED61AD">
              <w:rPr>
                <w:lang w:eastAsia="en-US"/>
              </w:rPr>
              <w:t>)</w:t>
            </w:r>
          </w:p>
        </w:tc>
      </w:tr>
      <w:tr w:rsidR="005152D9" w:rsidRPr="00894C66" w14:paraId="71D4B543" w14:textId="77777777" w:rsidTr="00A54250">
        <w:tblPrEx>
          <w:tblCellMar>
            <w:left w:w="70" w:type="dxa"/>
            <w:right w:w="70" w:type="dxa"/>
          </w:tblCellMar>
        </w:tblPrEx>
        <w:trPr>
          <w:trHeight w:val="170"/>
        </w:trPr>
        <w:tc>
          <w:tcPr>
            <w:tcW w:w="1976" w:type="dxa"/>
            <w:vMerge/>
          </w:tcPr>
          <w:p w14:paraId="140CF334" w14:textId="77777777" w:rsidR="005152D9" w:rsidRDefault="005152D9" w:rsidP="00A54250">
            <w:pPr>
              <w:pStyle w:val="Marginlie"/>
            </w:pPr>
          </w:p>
        </w:tc>
        <w:tc>
          <w:tcPr>
            <w:tcW w:w="277" w:type="dxa"/>
            <w:vMerge/>
          </w:tcPr>
          <w:p w14:paraId="4FDAD4BA" w14:textId="77777777" w:rsidR="005152D9" w:rsidRPr="005E4483" w:rsidRDefault="005152D9" w:rsidP="00A54250">
            <w:pPr>
              <w:pStyle w:val="Textpoznpodarou"/>
              <w:jc w:val="both"/>
              <w:rPr>
                <w:spacing w:val="-4"/>
              </w:rPr>
            </w:pPr>
          </w:p>
        </w:tc>
        <w:tc>
          <w:tcPr>
            <w:tcW w:w="7391" w:type="dxa"/>
          </w:tcPr>
          <w:p w14:paraId="191FBE50" w14:textId="77777777" w:rsidR="005152D9" w:rsidRDefault="005152D9" w:rsidP="00A54250">
            <w:pPr>
              <w:spacing w:after="0"/>
            </w:pPr>
            <w:r>
              <w:rPr>
                <w:noProof/>
              </w:rPr>
              <w:drawing>
                <wp:inline distT="0" distB="0" distL="0" distR="0" wp14:anchorId="4FE81BFA" wp14:editId="16863684">
                  <wp:extent cx="4686935" cy="3515360"/>
                  <wp:effectExtent l="0" t="0" r="0" b="0"/>
                  <wp:docPr id="117" name="Graf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5152D9" w:rsidRPr="00894C66" w14:paraId="2846F7FB" w14:textId="77777777" w:rsidTr="00A54250">
        <w:trPr>
          <w:trHeight w:val="170"/>
        </w:trPr>
        <w:tc>
          <w:tcPr>
            <w:tcW w:w="1976" w:type="dxa"/>
            <w:vMerge/>
          </w:tcPr>
          <w:p w14:paraId="083AC002" w14:textId="77777777" w:rsidR="005152D9" w:rsidRDefault="005152D9" w:rsidP="00A54250">
            <w:pPr>
              <w:pStyle w:val="Marginlie"/>
            </w:pPr>
          </w:p>
        </w:tc>
        <w:tc>
          <w:tcPr>
            <w:tcW w:w="277" w:type="dxa"/>
            <w:vMerge/>
          </w:tcPr>
          <w:p w14:paraId="50E4B929" w14:textId="77777777" w:rsidR="005152D9" w:rsidRPr="005E4483" w:rsidRDefault="005152D9" w:rsidP="00A54250">
            <w:pPr>
              <w:pStyle w:val="Textpoznpodarou"/>
              <w:jc w:val="both"/>
              <w:rPr>
                <w:spacing w:val="-4"/>
              </w:rPr>
            </w:pPr>
          </w:p>
        </w:tc>
        <w:tc>
          <w:tcPr>
            <w:tcW w:w="7391" w:type="dxa"/>
          </w:tcPr>
          <w:p w14:paraId="71A028B7" w14:textId="77777777" w:rsidR="005152D9" w:rsidRPr="00D25CDB" w:rsidRDefault="005152D9" w:rsidP="00A54250">
            <w:pPr>
              <w:rPr>
                <w:sz w:val="14"/>
                <w:szCs w:val="14"/>
              </w:rPr>
            </w:pPr>
            <w:r>
              <w:rPr>
                <w:sz w:val="14"/>
                <w:szCs w:val="14"/>
              </w:rPr>
              <w:t>Zdroj: ČSÚ</w:t>
            </w:r>
          </w:p>
        </w:tc>
      </w:tr>
      <w:tr w:rsidR="005152D9" w:rsidRPr="00894C66" w14:paraId="0B05CF03" w14:textId="77777777" w:rsidTr="00A54250">
        <w:trPr>
          <w:trHeight w:val="170"/>
        </w:trPr>
        <w:tc>
          <w:tcPr>
            <w:tcW w:w="1976" w:type="dxa"/>
          </w:tcPr>
          <w:p w14:paraId="45A429A1" w14:textId="77777777" w:rsidR="005152D9" w:rsidRPr="00557670" w:rsidRDefault="005152D9" w:rsidP="00A54250">
            <w:pPr>
              <w:pStyle w:val="Marginlie"/>
            </w:pPr>
            <w:r>
              <w:t>Relativní dluh se snižoval v Česku i Evropské unii.</w:t>
            </w:r>
          </w:p>
        </w:tc>
        <w:tc>
          <w:tcPr>
            <w:tcW w:w="277" w:type="dxa"/>
          </w:tcPr>
          <w:p w14:paraId="45DDF056" w14:textId="77777777" w:rsidR="005152D9" w:rsidRPr="00557670" w:rsidRDefault="005152D9" w:rsidP="00A54250">
            <w:pPr>
              <w:pStyle w:val="Textpoznpodarou"/>
              <w:jc w:val="both"/>
              <w:rPr>
                <w:spacing w:val="-4"/>
              </w:rPr>
            </w:pPr>
          </w:p>
        </w:tc>
        <w:tc>
          <w:tcPr>
            <w:tcW w:w="7391" w:type="dxa"/>
          </w:tcPr>
          <w:p w14:paraId="6E59EDD4" w14:textId="46B2A816" w:rsidR="005152D9" w:rsidRPr="00557670" w:rsidRDefault="005152D9" w:rsidP="00BF45D9">
            <w:pPr>
              <w:rPr>
                <w:szCs w:val="20"/>
              </w:rPr>
            </w:pPr>
            <w:r>
              <w:t>Podíl dluhu vládních institucí na HDP (relativní dluh) klesl na 32,7</w:t>
            </w:r>
            <w:r w:rsidR="001D51EB">
              <w:t> %</w:t>
            </w:r>
            <w:r>
              <w:t xml:space="preserve"> a byl nejnižší od roku 2008</w:t>
            </w:r>
            <w:r w:rsidR="00A62B23">
              <w:t xml:space="preserve"> (meziročně klesl o</w:t>
            </w:r>
            <w:r w:rsidR="007B0750">
              <w:t> </w:t>
            </w:r>
            <w:r w:rsidR="00A62B23">
              <w:t>2</w:t>
            </w:r>
            <w:r w:rsidR="001F138C">
              <w:t> p. b.</w:t>
            </w:r>
            <w:r w:rsidR="00A62B23">
              <w:t>)</w:t>
            </w:r>
            <w:r>
              <w:t xml:space="preserve">. Relativní dluh poklesl již popáté v řadě, vydatně mu ale pomáhalo několik let příznivého hospodářského růstu. </w:t>
            </w:r>
            <w:r>
              <w:rPr>
                <w:szCs w:val="20"/>
              </w:rPr>
              <w:t>Zadlužení vůči HDP v evropské osmadvacítce loni rovněž kleslo a dosáhlo 80,0</w:t>
            </w:r>
            <w:r w:rsidR="001D51EB">
              <w:rPr>
                <w:szCs w:val="20"/>
              </w:rPr>
              <w:t> %</w:t>
            </w:r>
            <w:r>
              <w:rPr>
                <w:szCs w:val="20"/>
              </w:rPr>
              <w:t>. Ke snížení relativního dluhu došlo u naprosté většiny zemí. Výjimkou bylo Řecko (nárůst o</w:t>
            </w:r>
            <w:r w:rsidR="007B0750">
              <w:rPr>
                <w:szCs w:val="20"/>
              </w:rPr>
              <w:t> </w:t>
            </w:r>
            <w:r>
              <w:rPr>
                <w:szCs w:val="20"/>
              </w:rPr>
              <w:t>4,9</w:t>
            </w:r>
            <w:r w:rsidR="001F138C">
              <w:rPr>
                <w:szCs w:val="20"/>
              </w:rPr>
              <w:t> p. b.</w:t>
            </w:r>
            <w:r>
              <w:rPr>
                <w:szCs w:val="20"/>
              </w:rPr>
              <w:t>), Itálie (+0,8 p.</w:t>
            </w:r>
            <w:r w:rsidR="007B0750">
              <w:rPr>
                <w:szCs w:val="20"/>
              </w:rPr>
              <w:t> </w:t>
            </w:r>
            <w:r>
              <w:rPr>
                <w:szCs w:val="20"/>
              </w:rPr>
              <w:t>b.), Kypr (+6,7</w:t>
            </w:r>
            <w:r w:rsidR="001F138C">
              <w:rPr>
                <w:szCs w:val="20"/>
              </w:rPr>
              <w:t> p. b.</w:t>
            </w:r>
            <w:r>
              <w:rPr>
                <w:szCs w:val="20"/>
              </w:rPr>
              <w:t>) a Francie, u které nedošlo ke změně. Největší pokles relativního dluhu zaznamenaly Litva (</w:t>
            </w:r>
            <w:r w:rsidR="001F138C">
              <w:rPr>
                <w:szCs w:val="20"/>
              </w:rPr>
              <w:t>–</w:t>
            </w:r>
            <w:r>
              <w:rPr>
                <w:szCs w:val="20"/>
              </w:rPr>
              <w:t>5,2</w:t>
            </w:r>
            <w:r w:rsidR="001F138C">
              <w:rPr>
                <w:szCs w:val="20"/>
              </w:rPr>
              <w:t> p. b.</w:t>
            </w:r>
            <w:r>
              <w:rPr>
                <w:szCs w:val="20"/>
              </w:rPr>
              <w:t xml:space="preserve">), </w:t>
            </w:r>
            <w:r w:rsidR="007B0750">
              <w:rPr>
                <w:szCs w:val="20"/>
              </w:rPr>
              <w:t xml:space="preserve">Nizozemsko </w:t>
            </w:r>
            <w:r>
              <w:rPr>
                <w:szCs w:val="20"/>
              </w:rPr>
              <w:t>(</w:t>
            </w:r>
            <w:r w:rsidR="001F138C">
              <w:rPr>
                <w:szCs w:val="20"/>
              </w:rPr>
              <w:t>–</w:t>
            </w:r>
            <w:r>
              <w:rPr>
                <w:szCs w:val="20"/>
              </w:rPr>
              <w:t>4,6</w:t>
            </w:r>
            <w:r w:rsidR="001F138C">
              <w:rPr>
                <w:szCs w:val="20"/>
              </w:rPr>
              <w:t> p. b.</w:t>
            </w:r>
            <w:r>
              <w:rPr>
                <w:szCs w:val="20"/>
              </w:rPr>
              <w:t>) a Rakousko (</w:t>
            </w:r>
            <w:r w:rsidR="001F138C">
              <w:rPr>
                <w:szCs w:val="20"/>
              </w:rPr>
              <w:t>–</w:t>
            </w:r>
            <w:r>
              <w:rPr>
                <w:szCs w:val="20"/>
              </w:rPr>
              <w:t>4,4</w:t>
            </w:r>
            <w:r w:rsidR="001D51EB">
              <w:rPr>
                <w:szCs w:val="20"/>
              </w:rPr>
              <w:t> </w:t>
            </w:r>
            <w:r w:rsidR="00BF45D9">
              <w:rPr>
                <w:szCs w:val="20"/>
              </w:rPr>
              <w:t>p. b.</w:t>
            </w:r>
            <w:r>
              <w:rPr>
                <w:szCs w:val="20"/>
              </w:rPr>
              <w:t>). Hranici 60</w:t>
            </w:r>
            <w:r w:rsidR="001D51EB">
              <w:rPr>
                <w:szCs w:val="20"/>
              </w:rPr>
              <w:t> %</w:t>
            </w:r>
            <w:r>
              <w:rPr>
                <w:szCs w:val="20"/>
              </w:rPr>
              <w:t xml:space="preserve"> dluhu vůči HDP překročilo 14</w:t>
            </w:r>
            <w:r w:rsidR="007B0750">
              <w:rPr>
                <w:szCs w:val="20"/>
              </w:rPr>
              <w:t> </w:t>
            </w:r>
            <w:r>
              <w:rPr>
                <w:szCs w:val="20"/>
              </w:rPr>
              <w:t xml:space="preserve">zemí. Finsku se ale podařilo po čtyřech letech dostat pod ni. Nejvyšší relativní dluh </w:t>
            </w:r>
            <w:r w:rsidR="007B0750">
              <w:rPr>
                <w:szCs w:val="20"/>
              </w:rPr>
              <w:t xml:space="preserve">měly </w:t>
            </w:r>
            <w:r>
              <w:rPr>
                <w:szCs w:val="20"/>
              </w:rPr>
              <w:t>loni Řecko (181,1</w:t>
            </w:r>
            <w:r w:rsidR="001D51EB">
              <w:rPr>
                <w:szCs w:val="20"/>
              </w:rPr>
              <w:t> %</w:t>
            </w:r>
            <w:r>
              <w:rPr>
                <w:szCs w:val="20"/>
              </w:rPr>
              <w:t>), Itálie (132,2</w:t>
            </w:r>
            <w:r w:rsidR="001D51EB">
              <w:rPr>
                <w:szCs w:val="20"/>
              </w:rPr>
              <w:t> %</w:t>
            </w:r>
            <w:r>
              <w:rPr>
                <w:szCs w:val="20"/>
              </w:rPr>
              <w:t>) a Portugalsko (121,5</w:t>
            </w:r>
            <w:r w:rsidR="001D51EB">
              <w:rPr>
                <w:szCs w:val="20"/>
              </w:rPr>
              <w:t> %</w:t>
            </w:r>
            <w:r>
              <w:rPr>
                <w:szCs w:val="20"/>
              </w:rPr>
              <w:t>). Více než 100</w:t>
            </w:r>
            <w:r w:rsidR="001D51EB">
              <w:rPr>
                <w:szCs w:val="20"/>
              </w:rPr>
              <w:t> %</w:t>
            </w:r>
            <w:r>
              <w:rPr>
                <w:szCs w:val="20"/>
              </w:rPr>
              <w:t xml:space="preserve"> měl</w:t>
            </w:r>
            <w:r w:rsidR="007B0750">
              <w:rPr>
                <w:szCs w:val="20"/>
              </w:rPr>
              <w:t>y</w:t>
            </w:r>
            <w:r>
              <w:rPr>
                <w:szCs w:val="20"/>
              </w:rPr>
              <w:t xml:space="preserve"> Kypr (102,5</w:t>
            </w:r>
            <w:r w:rsidR="001D51EB">
              <w:rPr>
                <w:szCs w:val="20"/>
              </w:rPr>
              <w:t> %</w:t>
            </w:r>
            <w:r>
              <w:rPr>
                <w:szCs w:val="20"/>
              </w:rPr>
              <w:t>) a Belgie (102,0</w:t>
            </w:r>
            <w:r w:rsidR="001D51EB">
              <w:rPr>
                <w:szCs w:val="20"/>
              </w:rPr>
              <w:t> %</w:t>
            </w:r>
            <w:r>
              <w:rPr>
                <w:szCs w:val="20"/>
              </w:rPr>
              <w:t>). Nejnižší relativní dluh v EU mělo Estonsko (8,4</w:t>
            </w:r>
            <w:r w:rsidR="001D51EB">
              <w:rPr>
                <w:szCs w:val="20"/>
              </w:rPr>
              <w:t> %</w:t>
            </w:r>
            <w:r>
              <w:rPr>
                <w:szCs w:val="20"/>
              </w:rPr>
              <w:t>), dále Lucembursko (21,4</w:t>
            </w:r>
            <w:r w:rsidR="001D51EB">
              <w:rPr>
                <w:szCs w:val="20"/>
              </w:rPr>
              <w:t> %</w:t>
            </w:r>
            <w:r>
              <w:rPr>
                <w:szCs w:val="20"/>
              </w:rPr>
              <w:t>) a Bulharsko (22,6</w:t>
            </w:r>
            <w:r w:rsidR="001D51EB">
              <w:rPr>
                <w:szCs w:val="20"/>
              </w:rPr>
              <w:t> %</w:t>
            </w:r>
            <w:r>
              <w:rPr>
                <w:szCs w:val="20"/>
              </w:rPr>
              <w:t>). Česko mělo čtvrtý nejnižší relativní dluh v EU.</w:t>
            </w:r>
          </w:p>
        </w:tc>
      </w:tr>
    </w:tbl>
    <w:p w14:paraId="78E35644" w14:textId="77777777" w:rsidR="005152D9" w:rsidRDefault="005152D9" w:rsidP="00C96D08">
      <w:pPr>
        <w:pStyle w:val="Nadpis11"/>
        <w:rPr>
          <w:lang w:eastAsia="en-US"/>
        </w:rPr>
      </w:pPr>
    </w:p>
    <w:p w14:paraId="4471670A" w14:textId="77777777" w:rsidR="005152D9" w:rsidRDefault="005152D9">
      <w:pPr>
        <w:spacing w:after="0" w:line="240" w:lineRule="auto"/>
        <w:jc w:val="left"/>
        <w:rPr>
          <w:rFonts w:eastAsia="MS Gothic"/>
          <w:b/>
          <w:bCs/>
          <w:color w:val="71818C"/>
          <w:sz w:val="32"/>
          <w:szCs w:val="28"/>
          <w:lang w:eastAsia="en-US"/>
        </w:rPr>
      </w:pPr>
      <w:r>
        <w:rPr>
          <w:lang w:eastAsia="en-US"/>
        </w:rPr>
        <w:br w:type="page"/>
      </w:r>
    </w:p>
    <w:p w14:paraId="4D8AB9AF" w14:textId="5AB6B04D" w:rsidR="005152D9" w:rsidRPr="00184E20" w:rsidRDefault="003852A9" w:rsidP="005152D9">
      <w:pPr>
        <w:pStyle w:val="Nadpis1"/>
      </w:pPr>
      <w:bookmarkStart w:id="11" w:name="_Toc16586017"/>
      <w:r>
        <w:rPr>
          <w:lang w:eastAsia="en-US"/>
        </w:rPr>
        <w:lastRenderedPageBreak/>
        <w:t>8</w:t>
      </w:r>
      <w:r w:rsidR="00141782" w:rsidRPr="00360DE3">
        <w:rPr>
          <w:lang w:eastAsia="en-US"/>
        </w:rPr>
        <w:t xml:space="preserve">. </w:t>
      </w:r>
      <w:r w:rsidR="005152D9" w:rsidRPr="00184E20">
        <w:t>Domácnosti</w:t>
      </w:r>
      <w:bookmarkEnd w:id="11"/>
    </w:p>
    <w:p w14:paraId="5E023A40" w14:textId="1B0197F3" w:rsidR="005152D9" w:rsidRDefault="003852A9" w:rsidP="005152D9">
      <w:pPr>
        <w:pStyle w:val="Nadpis2"/>
      </w:pPr>
      <w:bookmarkStart w:id="12" w:name="_Toc16586018"/>
      <w:r>
        <w:t>8</w:t>
      </w:r>
      <w:r w:rsidR="005152D9">
        <w:t>.1 Příjmy domácností</w:t>
      </w:r>
      <w:bookmarkEnd w:id="12"/>
    </w:p>
    <w:tbl>
      <w:tblPr>
        <w:tblW w:w="9644" w:type="dxa"/>
        <w:tblInd w:w="-15" w:type="dxa"/>
        <w:tblLayout w:type="fixed"/>
        <w:tblCellMar>
          <w:left w:w="0" w:type="dxa"/>
          <w:right w:w="0" w:type="dxa"/>
        </w:tblCellMar>
        <w:tblLook w:val="00A0" w:firstRow="1" w:lastRow="0" w:firstColumn="1" w:lastColumn="0" w:noHBand="0" w:noVBand="0"/>
      </w:tblPr>
      <w:tblGrid>
        <w:gridCol w:w="1976"/>
        <w:gridCol w:w="277"/>
        <w:gridCol w:w="7391"/>
      </w:tblGrid>
      <w:tr w:rsidR="005152D9" w:rsidRPr="00157A87" w14:paraId="18D51280" w14:textId="77777777" w:rsidTr="00A54250">
        <w:trPr>
          <w:trHeight w:val="145"/>
        </w:trPr>
        <w:tc>
          <w:tcPr>
            <w:tcW w:w="1976" w:type="dxa"/>
          </w:tcPr>
          <w:p w14:paraId="168194A0" w14:textId="77777777" w:rsidR="005152D9" w:rsidRPr="00157A87" w:rsidRDefault="005152D9" w:rsidP="00A54250">
            <w:pPr>
              <w:pStyle w:val="Marginlie"/>
            </w:pPr>
            <w:r>
              <w:t>Hrubý disponibilní příjem domácností v loňském roce mimořádně silně vzrostl.</w:t>
            </w:r>
          </w:p>
        </w:tc>
        <w:tc>
          <w:tcPr>
            <w:tcW w:w="277" w:type="dxa"/>
          </w:tcPr>
          <w:p w14:paraId="042F7CC5" w14:textId="77777777" w:rsidR="005152D9" w:rsidRPr="00157A87" w:rsidRDefault="005152D9" w:rsidP="00A54250">
            <w:pPr>
              <w:pStyle w:val="Textpoznpodarou"/>
              <w:jc w:val="both"/>
              <w:rPr>
                <w:spacing w:val="-4"/>
              </w:rPr>
            </w:pPr>
          </w:p>
        </w:tc>
        <w:tc>
          <w:tcPr>
            <w:tcW w:w="7391" w:type="dxa"/>
          </w:tcPr>
          <w:p w14:paraId="2CD23F59" w14:textId="27960C49" w:rsidR="005152D9" w:rsidRPr="00157A87" w:rsidRDefault="005152D9" w:rsidP="00A54250">
            <w:r>
              <w:t>Hrubý disponibilní důchod (HDD) domácností v roce 2018 dosáhl 2 762,7</w:t>
            </w:r>
            <w:r w:rsidR="001F138C">
              <w:t> mld.</w:t>
            </w:r>
            <w:r>
              <w:t xml:space="preserve"> korun a meziročně se zvýšil o 186,8 mld</w:t>
            </w:r>
            <w:r>
              <w:rPr>
                <w:rStyle w:val="Znakapoznpodarou"/>
              </w:rPr>
              <w:footnoteReference w:id="23"/>
            </w:r>
            <w:r>
              <w:t>. Reálný přírůstek HDD loni činil 4,9</w:t>
            </w:r>
            <w:r w:rsidR="001D51EB">
              <w:t> %</w:t>
            </w:r>
            <w:r w:rsidRPr="009B00A5">
              <w:rPr>
                <w:rStyle w:val="Znakapoznpodarou"/>
              </w:rPr>
              <w:footnoteReference w:id="24"/>
            </w:r>
            <w:r>
              <w:t xml:space="preserve"> a</w:t>
            </w:r>
            <w:r w:rsidR="00376C3B">
              <w:t> </w:t>
            </w:r>
            <w:r>
              <w:t>byl druhý nejvyšší v časové řadě (překonal jej rok 2006). Rozdíl mezi nominálním a</w:t>
            </w:r>
            <w:r w:rsidR="00376C3B">
              <w:t> </w:t>
            </w:r>
            <w:r>
              <w:t>reálným přírůstkem loni činil 2,4 p.</w:t>
            </w:r>
            <w:r w:rsidR="00376C3B">
              <w:t> </w:t>
            </w:r>
            <w:r>
              <w:t>b. a byl stejný jako v předchozím roce. Struktura HDD ukazuje, že domácnosti čerpaly zejména z pnutí na trhu práce a</w:t>
            </w:r>
            <w:r w:rsidR="00376C3B">
              <w:t> </w:t>
            </w:r>
            <w:r>
              <w:t>souvisejícího</w:t>
            </w:r>
            <w:r w:rsidR="00376C3B">
              <w:t xml:space="preserve"> </w:t>
            </w:r>
            <w:r>
              <w:t>nárůstu mzdových příjmů. Mimořádně silně se zvýšil rovněž hrubý provozní přebytek a hrubý smíšený důchod. Nezanedbatelná byla hodnota zboží a</w:t>
            </w:r>
            <w:r w:rsidR="00376C3B">
              <w:t> </w:t>
            </w:r>
            <w:r>
              <w:t>služeb, které domácnosti obdržely ve formě naturálních sociálních transferů</w:t>
            </w:r>
            <w:r>
              <w:rPr>
                <w:rStyle w:val="Znakapoznpodarou"/>
              </w:rPr>
              <w:footnoteReference w:id="25"/>
            </w:r>
            <w:r>
              <w:t xml:space="preserve"> (599,0</w:t>
            </w:r>
            <w:r w:rsidR="001F138C">
              <w:t> mld.</w:t>
            </w:r>
            <w:r>
              <w:t xml:space="preserve"> korun). Ty tvořily 17,8</w:t>
            </w:r>
            <w:r w:rsidR="001D51EB">
              <w:t> %</w:t>
            </w:r>
            <w:r>
              <w:t xml:space="preserve"> z hrubého upraveného disponibilního důchodu, který vzniká jejich přičtením k HDD a loni dosahoval 3 361,7</w:t>
            </w:r>
            <w:r w:rsidR="001F138C">
              <w:t> mld.</w:t>
            </w:r>
            <w:r>
              <w:t xml:space="preserve"> korun. Meziroční přírůstek naturálních sociálních transferů činil 51,5</w:t>
            </w:r>
            <w:r w:rsidR="001F138C">
              <w:t> mld.</w:t>
            </w:r>
            <w:r>
              <w:t xml:space="preserve"> korun. Dynamika tak i</w:t>
            </w:r>
            <w:r w:rsidR="00376C3B">
              <w:t> </w:t>
            </w:r>
            <w:r>
              <w:t>v porovnání s velmi silným rokem 2017 zrychlila. Zesílil totiž vliv rostoucích mzdových nákladů v odvětvích s dominancí vládního sektoru, který služby obyvatelům poskytuje.</w:t>
            </w:r>
          </w:p>
        </w:tc>
      </w:tr>
      <w:tr w:rsidR="005152D9" w:rsidRPr="00894C66" w14:paraId="00D81761" w14:textId="77777777" w:rsidTr="00A54250">
        <w:tc>
          <w:tcPr>
            <w:tcW w:w="1976" w:type="dxa"/>
            <w:vMerge w:val="restart"/>
          </w:tcPr>
          <w:p w14:paraId="413371D2" w14:textId="77777777" w:rsidR="005152D9" w:rsidRDefault="005152D9" w:rsidP="00A54250">
            <w:pPr>
              <w:pStyle w:val="Marginlie"/>
            </w:pPr>
          </w:p>
        </w:tc>
        <w:tc>
          <w:tcPr>
            <w:tcW w:w="277" w:type="dxa"/>
            <w:vMerge w:val="restart"/>
          </w:tcPr>
          <w:p w14:paraId="6DA25D67" w14:textId="77777777" w:rsidR="005152D9" w:rsidRPr="005E4483" w:rsidRDefault="005152D9" w:rsidP="00A54250">
            <w:pPr>
              <w:pStyle w:val="Textpoznpodarou"/>
              <w:jc w:val="both"/>
              <w:rPr>
                <w:spacing w:val="-4"/>
              </w:rPr>
            </w:pPr>
          </w:p>
        </w:tc>
        <w:tc>
          <w:tcPr>
            <w:tcW w:w="7391" w:type="dxa"/>
          </w:tcPr>
          <w:p w14:paraId="08E629A3" w14:textId="3BC4ED7C" w:rsidR="005152D9" w:rsidRPr="004454DC" w:rsidRDefault="005152D9" w:rsidP="002A7679">
            <w:pPr>
              <w:spacing w:after="0"/>
              <w:rPr>
                <w:b/>
              </w:rPr>
            </w:pPr>
            <w:r>
              <w:rPr>
                <w:b/>
              </w:rPr>
              <w:t xml:space="preserve">Graf č. </w:t>
            </w:r>
            <w:r w:rsidR="00884A6F">
              <w:rPr>
                <w:b/>
              </w:rPr>
              <w:t>1</w:t>
            </w:r>
            <w:r w:rsidR="002A7679">
              <w:rPr>
                <w:b/>
              </w:rPr>
              <w:t>2</w:t>
            </w:r>
            <w:r>
              <w:rPr>
                <w:b/>
              </w:rPr>
              <w:t xml:space="preserve">  Hrubý disponibilní důchod a mzdy a platy </w:t>
            </w:r>
            <w:r w:rsidRPr="002B50CB">
              <w:t>(meziroční růst v</w:t>
            </w:r>
            <w:r w:rsidR="001D51EB">
              <w:t> %</w:t>
            </w:r>
            <w:r w:rsidRPr="002B50CB">
              <w:t>)</w:t>
            </w:r>
          </w:p>
        </w:tc>
      </w:tr>
      <w:tr w:rsidR="005152D9" w:rsidRPr="00894C66" w14:paraId="7F9F423C" w14:textId="77777777" w:rsidTr="00A54250">
        <w:tblPrEx>
          <w:tblCellMar>
            <w:left w:w="70" w:type="dxa"/>
            <w:right w:w="70" w:type="dxa"/>
          </w:tblCellMar>
        </w:tblPrEx>
        <w:trPr>
          <w:trHeight w:val="170"/>
        </w:trPr>
        <w:tc>
          <w:tcPr>
            <w:tcW w:w="1976" w:type="dxa"/>
            <w:vMerge/>
          </w:tcPr>
          <w:p w14:paraId="7D058A73" w14:textId="77777777" w:rsidR="005152D9" w:rsidRDefault="005152D9" w:rsidP="00A54250">
            <w:pPr>
              <w:pStyle w:val="Marginlie"/>
            </w:pPr>
          </w:p>
        </w:tc>
        <w:tc>
          <w:tcPr>
            <w:tcW w:w="277" w:type="dxa"/>
            <w:vMerge/>
          </w:tcPr>
          <w:p w14:paraId="589D500B" w14:textId="77777777" w:rsidR="005152D9" w:rsidRPr="005E4483" w:rsidRDefault="005152D9" w:rsidP="00A54250">
            <w:pPr>
              <w:pStyle w:val="Textpoznpodarou"/>
              <w:jc w:val="both"/>
              <w:rPr>
                <w:spacing w:val="-4"/>
              </w:rPr>
            </w:pPr>
          </w:p>
        </w:tc>
        <w:tc>
          <w:tcPr>
            <w:tcW w:w="7391" w:type="dxa"/>
          </w:tcPr>
          <w:p w14:paraId="26149B87" w14:textId="77777777" w:rsidR="005152D9" w:rsidRDefault="005152D9" w:rsidP="00A54250">
            <w:pPr>
              <w:spacing w:after="0"/>
            </w:pPr>
            <w:r>
              <w:rPr>
                <w:noProof/>
              </w:rPr>
              <w:drawing>
                <wp:inline distT="0" distB="0" distL="0" distR="0" wp14:anchorId="35E6209F" wp14:editId="587E5637">
                  <wp:extent cx="4686935" cy="3514725"/>
                  <wp:effectExtent l="0" t="0" r="0" b="0"/>
                  <wp:docPr id="120" name="Graf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5152D9" w:rsidRPr="00894C66" w14:paraId="5E11756A" w14:textId="77777777" w:rsidTr="00A54250">
        <w:trPr>
          <w:trHeight w:val="170"/>
        </w:trPr>
        <w:tc>
          <w:tcPr>
            <w:tcW w:w="1976" w:type="dxa"/>
            <w:vMerge/>
          </w:tcPr>
          <w:p w14:paraId="1BBD00D8" w14:textId="77777777" w:rsidR="005152D9" w:rsidRDefault="005152D9" w:rsidP="00A54250">
            <w:pPr>
              <w:pStyle w:val="Marginlie"/>
            </w:pPr>
          </w:p>
        </w:tc>
        <w:tc>
          <w:tcPr>
            <w:tcW w:w="277" w:type="dxa"/>
            <w:vMerge/>
          </w:tcPr>
          <w:p w14:paraId="3CD61A7D" w14:textId="77777777" w:rsidR="005152D9" w:rsidRPr="005E4483" w:rsidRDefault="005152D9" w:rsidP="00A54250">
            <w:pPr>
              <w:pStyle w:val="Textpoznpodarou"/>
              <w:jc w:val="both"/>
              <w:rPr>
                <w:spacing w:val="-4"/>
              </w:rPr>
            </w:pPr>
          </w:p>
        </w:tc>
        <w:tc>
          <w:tcPr>
            <w:tcW w:w="7391" w:type="dxa"/>
          </w:tcPr>
          <w:p w14:paraId="7CC2F3D7" w14:textId="485E2080" w:rsidR="005152D9" w:rsidRPr="00A1151F" w:rsidRDefault="005152D9" w:rsidP="00A54250">
            <w:pPr>
              <w:rPr>
                <w:sz w:val="14"/>
                <w:szCs w:val="14"/>
              </w:rPr>
            </w:pPr>
            <w:r>
              <w:rPr>
                <w:sz w:val="14"/>
                <w:szCs w:val="14"/>
              </w:rPr>
              <w:t xml:space="preserve">Zdroj: </w:t>
            </w:r>
            <w:r w:rsidR="00376C3B">
              <w:rPr>
                <w:sz w:val="14"/>
                <w:szCs w:val="14"/>
              </w:rPr>
              <w:t>Č</w:t>
            </w:r>
            <w:r>
              <w:rPr>
                <w:sz w:val="14"/>
                <w:szCs w:val="14"/>
              </w:rPr>
              <w:t>SÚ</w:t>
            </w:r>
          </w:p>
        </w:tc>
      </w:tr>
      <w:tr w:rsidR="005152D9" w:rsidRPr="00894C66" w14:paraId="16A8D122" w14:textId="77777777" w:rsidTr="00A54250">
        <w:trPr>
          <w:trHeight w:val="145"/>
        </w:trPr>
        <w:tc>
          <w:tcPr>
            <w:tcW w:w="1976" w:type="dxa"/>
          </w:tcPr>
          <w:p w14:paraId="5ED25C84" w14:textId="5E11B8E6" w:rsidR="005152D9" w:rsidRDefault="005152D9" w:rsidP="00A54250">
            <w:pPr>
              <w:pStyle w:val="Marginlie"/>
            </w:pPr>
            <w:r>
              <w:t>Hlavní úlohu v tom měly příjmy domácností ze zaměstnání.</w:t>
            </w:r>
          </w:p>
          <w:p w14:paraId="47341B34" w14:textId="77777777" w:rsidR="005152D9" w:rsidRDefault="005152D9" w:rsidP="00A54250">
            <w:pPr>
              <w:pStyle w:val="Marginlie"/>
            </w:pPr>
          </w:p>
          <w:p w14:paraId="35047F45" w14:textId="77777777" w:rsidR="005152D9" w:rsidRDefault="005152D9" w:rsidP="00A54250">
            <w:pPr>
              <w:pStyle w:val="Marginlie"/>
            </w:pPr>
          </w:p>
          <w:p w14:paraId="08934AB1" w14:textId="77777777" w:rsidR="005152D9" w:rsidRDefault="005152D9" w:rsidP="00A54250">
            <w:pPr>
              <w:pStyle w:val="Marginlie"/>
            </w:pPr>
          </w:p>
          <w:p w14:paraId="15A52CDD" w14:textId="77777777" w:rsidR="005152D9" w:rsidRDefault="005152D9" w:rsidP="00A54250">
            <w:pPr>
              <w:pStyle w:val="Marginlie"/>
            </w:pPr>
          </w:p>
          <w:p w14:paraId="7CB6D57A" w14:textId="77777777" w:rsidR="005152D9" w:rsidRDefault="005152D9" w:rsidP="00A54250">
            <w:pPr>
              <w:pStyle w:val="Marginlie"/>
            </w:pPr>
          </w:p>
          <w:p w14:paraId="0D289632" w14:textId="77777777" w:rsidR="005152D9" w:rsidRDefault="005152D9" w:rsidP="00A54250">
            <w:pPr>
              <w:pStyle w:val="Marginlie"/>
            </w:pPr>
          </w:p>
          <w:p w14:paraId="6916ACCA" w14:textId="77777777" w:rsidR="005152D9" w:rsidRDefault="005152D9" w:rsidP="00A54250">
            <w:pPr>
              <w:pStyle w:val="Marginlie"/>
            </w:pPr>
          </w:p>
          <w:p w14:paraId="25EFBD2B" w14:textId="77777777" w:rsidR="005152D9" w:rsidRDefault="005152D9" w:rsidP="00A54250">
            <w:pPr>
              <w:pStyle w:val="Marginlie"/>
            </w:pPr>
          </w:p>
          <w:p w14:paraId="7938D0CB" w14:textId="18942290" w:rsidR="005152D9" w:rsidRDefault="005152D9" w:rsidP="00A54250">
            <w:pPr>
              <w:pStyle w:val="Marginlie"/>
            </w:pPr>
            <w:r>
              <w:t>Výrazně se ale navýšil i</w:t>
            </w:r>
            <w:r w:rsidR="00376C3B">
              <w:t> </w:t>
            </w:r>
            <w:r>
              <w:t>hrubý smíšený důchod.</w:t>
            </w:r>
          </w:p>
        </w:tc>
        <w:tc>
          <w:tcPr>
            <w:tcW w:w="277" w:type="dxa"/>
          </w:tcPr>
          <w:p w14:paraId="13AEE21A" w14:textId="77777777" w:rsidR="005152D9" w:rsidRPr="005E4483" w:rsidRDefault="005152D9" w:rsidP="00A54250">
            <w:pPr>
              <w:pStyle w:val="Textpoznpodarou"/>
              <w:jc w:val="both"/>
              <w:rPr>
                <w:spacing w:val="-4"/>
              </w:rPr>
            </w:pPr>
          </w:p>
        </w:tc>
        <w:tc>
          <w:tcPr>
            <w:tcW w:w="7391" w:type="dxa"/>
          </w:tcPr>
          <w:p w14:paraId="3724B7B8" w14:textId="4A9EEDC8" w:rsidR="005152D9" w:rsidRPr="007834C9" w:rsidRDefault="005152D9" w:rsidP="00A54250">
            <w:r>
              <w:t>Náhrady zaměstnancům jsou největší částí disponibilního důchodu českých domácností a loni vzrostly o 194,7</w:t>
            </w:r>
            <w:r w:rsidR="001F138C">
              <w:t> mld.</w:t>
            </w:r>
            <w:r>
              <w:t xml:space="preserve"> korun a vyšplhaly na 2 321,6</w:t>
            </w:r>
            <w:r w:rsidR="001F138C">
              <w:t> mld.</w:t>
            </w:r>
            <w:r>
              <w:t xml:space="preserve"> Náhrady jsou tvořeny samotnými mzdami a platy a dále sociálními příspěvky zaměstnavatelů. Objem mezd a platů loni dosáhl 1 760,5</w:t>
            </w:r>
            <w:r w:rsidR="001F138C">
              <w:t> mld.</w:t>
            </w:r>
            <w:r>
              <w:t xml:space="preserve"> korun a nominálně se zvýšil o 144,8</w:t>
            </w:r>
            <w:r w:rsidR="001F138C">
              <w:t> mld.</w:t>
            </w:r>
            <w:r>
              <w:t xml:space="preserve"> (9,0</w:t>
            </w:r>
            <w:r w:rsidR="001D51EB">
              <w:t> %</w:t>
            </w:r>
            <w:r>
              <w:t>). Tvoří tak naprostou většinu z celkového nárůstu HDD. Reálně se mzdové příjmy domácností zvýšily o 6,6</w:t>
            </w:r>
            <w:r w:rsidR="001D51EB">
              <w:t> %</w:t>
            </w:r>
            <w:r>
              <w:t xml:space="preserve">. Díky kombinaci výjimečně silného nominálního navýšení, ale rovněž </w:t>
            </w:r>
            <w:r w:rsidR="00260FC5">
              <w:t xml:space="preserve">mírnějšího </w:t>
            </w:r>
            <w:r>
              <w:t xml:space="preserve">růstu cenové </w:t>
            </w:r>
            <w:r>
              <w:lastRenderedPageBreak/>
              <w:t>hladiny než v poslední konjunktuře v období 2007</w:t>
            </w:r>
            <w:r w:rsidR="001F138C">
              <w:t>–</w:t>
            </w:r>
            <w:r>
              <w:t>2008 jde o rekordní nárůst (nejvyšší v dostupné časové řadě). Výraznou část vysokého meziročního nárůstu HDD tvořilo i mimořádné navýšení hrubého smíšeného důchodu</w:t>
            </w:r>
            <w:r>
              <w:rPr>
                <w:rStyle w:val="Znakapoznpodarou"/>
              </w:rPr>
              <w:footnoteReference w:id="26"/>
            </w:r>
            <w:r>
              <w:t>. To dosáhlo 48,2 mld. korun, nejvíce v dostupné řadě. Částečně se na tom projevil i</w:t>
            </w:r>
            <w:r w:rsidR="00376C3B">
              <w:t> </w:t>
            </w:r>
            <w:r>
              <w:t>nárůst počtu osob samostatně výdělečně činných (o</w:t>
            </w:r>
            <w:r w:rsidR="00376C3B">
              <w:t> </w:t>
            </w:r>
            <w:r>
              <w:t>2,5</w:t>
            </w:r>
            <w:r w:rsidR="00376C3B">
              <w:t> </w:t>
            </w:r>
            <w:r>
              <w:t>tisíce). Hrubý provozní přebytek</w:t>
            </w:r>
            <w:r>
              <w:rPr>
                <w:rStyle w:val="Znakapoznpodarou"/>
              </w:rPr>
              <w:footnoteReference w:id="27"/>
            </w:r>
            <w:r>
              <w:t xml:space="preserve"> rovněž narostl nejvíce v dostupné řadě (o</w:t>
            </w:r>
            <w:r w:rsidR="00376C3B">
              <w:t> </w:t>
            </w:r>
            <w:r>
              <w:t>22,3</w:t>
            </w:r>
            <w:r w:rsidR="001F138C">
              <w:t> mld.</w:t>
            </w:r>
            <w:r>
              <w:t xml:space="preserve"> korun).</w:t>
            </w:r>
          </w:p>
        </w:tc>
      </w:tr>
      <w:tr w:rsidR="005152D9" w:rsidRPr="00894C66" w14:paraId="7FB3A393" w14:textId="77777777" w:rsidTr="00A54250">
        <w:trPr>
          <w:trHeight w:val="145"/>
        </w:trPr>
        <w:tc>
          <w:tcPr>
            <w:tcW w:w="1976" w:type="dxa"/>
          </w:tcPr>
          <w:p w14:paraId="656BBD2C" w14:textId="77777777" w:rsidR="005152D9" w:rsidRDefault="00B23055" w:rsidP="00A54250">
            <w:pPr>
              <w:pStyle w:val="Marginlie"/>
            </w:pPr>
            <w:r>
              <w:lastRenderedPageBreak/>
              <w:t>Saldo důchodů z vlastnictví k růstu HDD nepřispělo.</w:t>
            </w:r>
          </w:p>
        </w:tc>
        <w:tc>
          <w:tcPr>
            <w:tcW w:w="277" w:type="dxa"/>
          </w:tcPr>
          <w:p w14:paraId="7145272F" w14:textId="77777777" w:rsidR="005152D9" w:rsidRPr="005E4483" w:rsidRDefault="005152D9" w:rsidP="00A54250">
            <w:pPr>
              <w:pStyle w:val="Textpoznpodarou"/>
              <w:jc w:val="both"/>
              <w:rPr>
                <w:spacing w:val="-4"/>
              </w:rPr>
            </w:pPr>
          </w:p>
        </w:tc>
        <w:tc>
          <w:tcPr>
            <w:tcW w:w="7391" w:type="dxa"/>
          </w:tcPr>
          <w:p w14:paraId="04FD2CFD" w14:textId="77777777" w:rsidR="005152D9" w:rsidRPr="007834C9" w:rsidRDefault="005152D9" w:rsidP="00B23055">
            <w:r>
              <w:t>Saldo důchodů z vlastnictví loni ke změně hrubého disponibilního důchodu domácností téměř nepřispělo. Meziročně se snížilo o 0,5</w:t>
            </w:r>
            <w:r w:rsidR="001F138C">
              <w:t> mld.</w:t>
            </w:r>
            <w:r>
              <w:t xml:space="preserve"> korun a dosáhlo 148,9</w:t>
            </w:r>
            <w:r w:rsidR="001F138C">
              <w:t> mld.</w:t>
            </w:r>
            <w:r>
              <w:t xml:space="preserve"> Důchody z vlastnictví nejsou v českém prostředí významným zdrojem příjmů domácností a v situaci přetrvávajících nízkých úrokových sazeb posledních let se jejich role dále redukovala. Důchody domácností z vlastnictví loni dosáhly 171,5 mld. korun a meziročně se zvýšily o 6,5</w:t>
            </w:r>
            <w:r w:rsidR="001F138C">
              <w:t> mld.</w:t>
            </w:r>
            <w:r>
              <w:t xml:space="preserve"> </w:t>
            </w:r>
            <w:r w:rsidR="00B23055">
              <w:t>U</w:t>
            </w:r>
            <w:r>
              <w:t xml:space="preserve"> pasiv došlo rovněž k výraznému navýšení placených úroků (6,8</w:t>
            </w:r>
            <w:r w:rsidR="001F138C">
              <w:t> mld.</w:t>
            </w:r>
            <w:r>
              <w:t xml:space="preserve"> korun).</w:t>
            </w:r>
          </w:p>
        </w:tc>
      </w:tr>
      <w:tr w:rsidR="005152D9" w:rsidRPr="00894C66" w14:paraId="2C8A9B7D" w14:textId="77777777" w:rsidTr="00A54250">
        <w:trPr>
          <w:trHeight w:val="145"/>
        </w:trPr>
        <w:tc>
          <w:tcPr>
            <w:tcW w:w="1976" w:type="dxa"/>
          </w:tcPr>
          <w:p w14:paraId="29972B0D" w14:textId="54BA0F50" w:rsidR="005152D9" w:rsidRDefault="005152D9" w:rsidP="00A54250">
            <w:pPr>
              <w:pStyle w:val="Marginlie"/>
            </w:pPr>
            <w:r>
              <w:t>Mimořádný růst mezd navýšil výběr daní i</w:t>
            </w:r>
            <w:r w:rsidR="00807674">
              <w:t> </w:t>
            </w:r>
            <w:r>
              <w:t>sociálních příspěvků</w:t>
            </w:r>
            <w:r w:rsidR="00807674">
              <w:t>,</w:t>
            </w:r>
            <w:r>
              <w:t xml:space="preserve"> a</w:t>
            </w:r>
            <w:r w:rsidR="00807674">
              <w:t> </w:t>
            </w:r>
            <w:r>
              <w:t>saldo druhotného rozdělení tak kleslo.</w:t>
            </w:r>
          </w:p>
        </w:tc>
        <w:tc>
          <w:tcPr>
            <w:tcW w:w="277" w:type="dxa"/>
          </w:tcPr>
          <w:p w14:paraId="275B53E3" w14:textId="77777777" w:rsidR="005152D9" w:rsidRPr="005E4483" w:rsidRDefault="005152D9" w:rsidP="00A54250">
            <w:pPr>
              <w:pStyle w:val="Textpoznpodarou"/>
              <w:jc w:val="both"/>
              <w:rPr>
                <w:spacing w:val="-4"/>
              </w:rPr>
            </w:pPr>
          </w:p>
        </w:tc>
        <w:tc>
          <w:tcPr>
            <w:tcW w:w="7391" w:type="dxa"/>
          </w:tcPr>
          <w:p w14:paraId="75ADEDD9" w14:textId="1A9A30D2" w:rsidR="005152D9" w:rsidRPr="007834C9" w:rsidRDefault="005152D9" w:rsidP="00425F45">
            <w:r>
              <w:t xml:space="preserve">Saldo druhotného rozdělení i v roce 2018 zůstalo kladné, ale šest let v řadě klesalo, což vedlo k tomu, že jeho hodnota </w:t>
            </w:r>
            <w:r w:rsidR="00425F45">
              <w:t>46,8</w:t>
            </w:r>
            <w:r w:rsidR="001F138C">
              <w:t> mld.</w:t>
            </w:r>
            <w:r>
              <w:t xml:space="preserve"> korun byla nejnižší od roku 200</w:t>
            </w:r>
            <w:r w:rsidR="00425F45">
              <w:t>5</w:t>
            </w:r>
            <w:r>
              <w:t xml:space="preserve">. </w:t>
            </w:r>
            <w:r w:rsidR="00425F45">
              <w:t>Meziroční pokles loni činil 28,8</w:t>
            </w:r>
            <w:r w:rsidR="001F138C">
              <w:t> mld.</w:t>
            </w:r>
            <w:r>
              <w:t xml:space="preserve"> korun. Na straně zdrojů vzrostl objem vyplacených sociálních příspěvků a dávek o 31,5</w:t>
            </w:r>
            <w:r w:rsidR="001F138C">
              <w:t> mld.</w:t>
            </w:r>
            <w:r>
              <w:t xml:space="preserve"> korun a ostatní běžné transfery o 35,7</w:t>
            </w:r>
            <w:r w:rsidR="001F138C">
              <w:t> mld.</w:t>
            </w:r>
            <w:r>
              <w:t xml:space="preserve"> Pozitivní ekonomický vývoj a prudký růst mezd ale způsobil</w:t>
            </w:r>
            <w:r w:rsidR="00807674">
              <w:t>y</w:t>
            </w:r>
            <w:r>
              <w:t xml:space="preserve"> mnohem větší navýšení objemu prostředků na straně užití. Výše odvedených běžných daní rostla o 32,4</w:t>
            </w:r>
            <w:r w:rsidR="001F138C">
              <w:t> mld.</w:t>
            </w:r>
            <w:r>
              <w:t xml:space="preserve"> korun, odvedené sociální příspěvky a dávky se navýšily o 74,4</w:t>
            </w:r>
            <w:r w:rsidR="001F138C">
              <w:t> mld.</w:t>
            </w:r>
            <w:r>
              <w:t xml:space="preserve"> Ostatní běžné transfery ze strany domácností rostly o</w:t>
            </w:r>
            <w:r w:rsidR="00807674">
              <w:t> </w:t>
            </w:r>
            <w:r>
              <w:t>38,3</w:t>
            </w:r>
            <w:r w:rsidR="00B23055">
              <w:t> </w:t>
            </w:r>
            <w:r>
              <w:t>mld. korun.</w:t>
            </w:r>
          </w:p>
        </w:tc>
      </w:tr>
      <w:tr w:rsidR="005152D9" w:rsidRPr="00894C66" w14:paraId="02A4A8B5" w14:textId="77777777" w:rsidTr="00A54250">
        <w:trPr>
          <w:trHeight w:val="170"/>
        </w:trPr>
        <w:tc>
          <w:tcPr>
            <w:tcW w:w="1976" w:type="dxa"/>
            <w:vMerge w:val="restart"/>
          </w:tcPr>
          <w:p w14:paraId="5C7BD569" w14:textId="77777777" w:rsidR="005152D9" w:rsidRDefault="005152D9" w:rsidP="00A54250">
            <w:pPr>
              <w:pStyle w:val="Marginlie"/>
            </w:pPr>
          </w:p>
        </w:tc>
        <w:tc>
          <w:tcPr>
            <w:tcW w:w="277" w:type="dxa"/>
            <w:vMerge w:val="restart"/>
          </w:tcPr>
          <w:p w14:paraId="15B71688" w14:textId="77777777" w:rsidR="005152D9" w:rsidRPr="005E4483" w:rsidRDefault="005152D9" w:rsidP="00A54250">
            <w:pPr>
              <w:pStyle w:val="Textpoznpodarou"/>
              <w:jc w:val="both"/>
              <w:rPr>
                <w:spacing w:val="-4"/>
              </w:rPr>
            </w:pPr>
          </w:p>
        </w:tc>
        <w:tc>
          <w:tcPr>
            <w:tcW w:w="7391" w:type="dxa"/>
          </w:tcPr>
          <w:p w14:paraId="2BE81CC6" w14:textId="5C5E1D80" w:rsidR="005152D9" w:rsidRPr="00D25CDB" w:rsidRDefault="005152D9" w:rsidP="00884A6F">
            <w:pPr>
              <w:spacing w:after="0"/>
              <w:rPr>
                <w:b/>
              </w:rPr>
            </w:pPr>
            <w:r>
              <w:rPr>
                <w:b/>
              </w:rPr>
              <w:t xml:space="preserve">Graf č. </w:t>
            </w:r>
            <w:r w:rsidR="002A7679">
              <w:rPr>
                <w:b/>
              </w:rPr>
              <w:t>13</w:t>
            </w:r>
            <w:r>
              <w:rPr>
                <w:b/>
              </w:rPr>
              <w:t xml:space="preserve">  </w:t>
            </w:r>
            <w:r w:rsidRPr="009B00A5">
              <w:rPr>
                <w:b/>
              </w:rPr>
              <w:t>Hrubý disponibilní důchod domácností</w:t>
            </w:r>
            <w:r w:rsidRPr="009B00A5">
              <w:t xml:space="preserve"> (meziroční změna v mld. korun)</w:t>
            </w:r>
          </w:p>
        </w:tc>
      </w:tr>
      <w:tr w:rsidR="005152D9" w:rsidRPr="00894C66" w14:paraId="00DC322D" w14:textId="77777777" w:rsidTr="00B23055">
        <w:tblPrEx>
          <w:tblCellMar>
            <w:left w:w="70" w:type="dxa"/>
            <w:right w:w="70" w:type="dxa"/>
          </w:tblCellMar>
        </w:tblPrEx>
        <w:trPr>
          <w:trHeight w:val="170"/>
        </w:trPr>
        <w:tc>
          <w:tcPr>
            <w:tcW w:w="1976" w:type="dxa"/>
            <w:vMerge/>
          </w:tcPr>
          <w:p w14:paraId="01E8D3E4" w14:textId="77777777" w:rsidR="005152D9" w:rsidRDefault="005152D9" w:rsidP="00A54250">
            <w:pPr>
              <w:pStyle w:val="Marginlie"/>
            </w:pPr>
          </w:p>
        </w:tc>
        <w:tc>
          <w:tcPr>
            <w:tcW w:w="277" w:type="dxa"/>
            <w:vMerge/>
          </w:tcPr>
          <w:p w14:paraId="5C1584C8" w14:textId="77777777" w:rsidR="005152D9" w:rsidRPr="005E4483" w:rsidRDefault="005152D9" w:rsidP="00A54250">
            <w:pPr>
              <w:pStyle w:val="Textpoznpodarou"/>
              <w:jc w:val="both"/>
              <w:rPr>
                <w:spacing w:val="-4"/>
              </w:rPr>
            </w:pPr>
          </w:p>
        </w:tc>
        <w:tc>
          <w:tcPr>
            <w:tcW w:w="7391" w:type="dxa"/>
          </w:tcPr>
          <w:p w14:paraId="4093CAE9" w14:textId="77777777" w:rsidR="005152D9" w:rsidRDefault="00B23055" w:rsidP="00A54250">
            <w:pPr>
              <w:spacing w:after="0"/>
            </w:pPr>
            <w:r>
              <w:rPr>
                <w:noProof/>
              </w:rPr>
              <w:drawing>
                <wp:inline distT="0" distB="0" distL="0" distR="0" wp14:anchorId="01BE6FC0" wp14:editId="01D1BE38">
                  <wp:extent cx="4604385" cy="36830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5152D9" w:rsidRPr="00894C66" w14:paraId="20C8179C" w14:textId="77777777" w:rsidTr="00A54250">
        <w:trPr>
          <w:trHeight w:val="170"/>
        </w:trPr>
        <w:tc>
          <w:tcPr>
            <w:tcW w:w="1976" w:type="dxa"/>
            <w:vMerge/>
          </w:tcPr>
          <w:p w14:paraId="1A7DA08C" w14:textId="77777777" w:rsidR="005152D9" w:rsidRDefault="005152D9" w:rsidP="00A54250">
            <w:pPr>
              <w:pStyle w:val="Marginlie"/>
            </w:pPr>
          </w:p>
        </w:tc>
        <w:tc>
          <w:tcPr>
            <w:tcW w:w="277" w:type="dxa"/>
            <w:vMerge/>
          </w:tcPr>
          <w:p w14:paraId="6084D72D" w14:textId="77777777" w:rsidR="005152D9" w:rsidRPr="005E4483" w:rsidRDefault="005152D9" w:rsidP="00A54250">
            <w:pPr>
              <w:pStyle w:val="Textpoznpodarou"/>
              <w:jc w:val="both"/>
              <w:rPr>
                <w:spacing w:val="-4"/>
              </w:rPr>
            </w:pPr>
          </w:p>
        </w:tc>
        <w:tc>
          <w:tcPr>
            <w:tcW w:w="7391" w:type="dxa"/>
          </w:tcPr>
          <w:p w14:paraId="633FC727" w14:textId="77777777" w:rsidR="005152D9" w:rsidRPr="00D25CDB" w:rsidRDefault="005152D9" w:rsidP="00A54250">
            <w:pPr>
              <w:rPr>
                <w:sz w:val="14"/>
                <w:szCs w:val="14"/>
              </w:rPr>
            </w:pPr>
            <w:r>
              <w:rPr>
                <w:sz w:val="14"/>
                <w:szCs w:val="14"/>
              </w:rPr>
              <w:t>Zdroj: ČSÚ</w:t>
            </w:r>
          </w:p>
        </w:tc>
      </w:tr>
    </w:tbl>
    <w:p w14:paraId="373E797D" w14:textId="0FC0942E" w:rsidR="005152D9" w:rsidRDefault="003852A9" w:rsidP="005152D9">
      <w:pPr>
        <w:pStyle w:val="Nadpis2"/>
      </w:pPr>
      <w:bookmarkStart w:id="13" w:name="_Toc16586019"/>
      <w:r>
        <w:lastRenderedPageBreak/>
        <w:t>8</w:t>
      </w:r>
      <w:r w:rsidR="005152D9">
        <w:t>.2 Výdaje domácností</w:t>
      </w:r>
      <w:bookmarkEnd w:id="13"/>
    </w:p>
    <w:tbl>
      <w:tblPr>
        <w:tblW w:w="9644" w:type="dxa"/>
        <w:tblInd w:w="-15" w:type="dxa"/>
        <w:tblLayout w:type="fixed"/>
        <w:tblCellMar>
          <w:left w:w="0" w:type="dxa"/>
          <w:right w:w="0" w:type="dxa"/>
        </w:tblCellMar>
        <w:tblLook w:val="00A0" w:firstRow="1" w:lastRow="0" w:firstColumn="1" w:lastColumn="0" w:noHBand="0" w:noVBand="0"/>
      </w:tblPr>
      <w:tblGrid>
        <w:gridCol w:w="1976"/>
        <w:gridCol w:w="277"/>
        <w:gridCol w:w="7391"/>
      </w:tblGrid>
      <w:tr w:rsidR="005152D9" w:rsidRPr="00157A87" w14:paraId="737C4F96" w14:textId="77777777" w:rsidTr="00884A6F">
        <w:trPr>
          <w:trHeight w:val="145"/>
        </w:trPr>
        <w:tc>
          <w:tcPr>
            <w:tcW w:w="1976" w:type="dxa"/>
          </w:tcPr>
          <w:p w14:paraId="72C784A0" w14:textId="77777777" w:rsidR="005152D9" w:rsidRPr="00157A87" w:rsidRDefault="005152D9" w:rsidP="00A54250">
            <w:pPr>
              <w:pStyle w:val="Marginlie"/>
            </w:pPr>
            <w:r>
              <w:t>Výdaje domácností na konečnou spotřebu se výrazně nominálně zvýšily. Reálný růst mírně zpomalil.</w:t>
            </w:r>
          </w:p>
        </w:tc>
        <w:tc>
          <w:tcPr>
            <w:tcW w:w="277" w:type="dxa"/>
          </w:tcPr>
          <w:p w14:paraId="6B37F49E" w14:textId="77777777" w:rsidR="005152D9" w:rsidRPr="00157A87" w:rsidRDefault="005152D9" w:rsidP="00A54250">
            <w:pPr>
              <w:pStyle w:val="Textpoznpodarou"/>
              <w:jc w:val="both"/>
              <w:rPr>
                <w:spacing w:val="-4"/>
              </w:rPr>
            </w:pPr>
          </w:p>
        </w:tc>
        <w:tc>
          <w:tcPr>
            <w:tcW w:w="7391" w:type="dxa"/>
          </w:tcPr>
          <w:p w14:paraId="5CB05366" w14:textId="7E8EEAC6" w:rsidR="005152D9" w:rsidRPr="00157A87" w:rsidRDefault="005152D9" w:rsidP="00A54250">
            <w:r>
              <w:t>Výdaje na konečnou spotřebu domácností v běžných cenách v roce 2018 dosáhly 2 495,0</w:t>
            </w:r>
            <w:r w:rsidR="001F138C">
              <w:t> mld.</w:t>
            </w:r>
            <w:r>
              <w:t xml:space="preserve"> korun a meziročně se zvýšily o 133,7</w:t>
            </w:r>
            <w:r w:rsidR="001F138C">
              <w:t> mld.</w:t>
            </w:r>
            <w:r>
              <w:t xml:space="preserve"> Meziroční přírůstek byl mírně nižší než v předchozím roce, byl však druhý nejvyšší za posledních 10</w:t>
            </w:r>
            <w:r w:rsidR="005A5D45">
              <w:t> </w:t>
            </w:r>
            <w:r>
              <w:t>let. Reálný nárůst spotřeby domácností loni činil 3,3</w:t>
            </w:r>
            <w:r w:rsidR="001D51EB">
              <w:t> %</w:t>
            </w:r>
            <w:r>
              <w:t>. Kromě statků, na které domácnosti přímo vydávaly peněžní prostředky, loni domácnosti přijaly služby a</w:t>
            </w:r>
            <w:r w:rsidR="005A5D45">
              <w:t> </w:t>
            </w:r>
            <w:r>
              <w:t>zboží v podobě naturálních sociálních transferů ve výši 599,0</w:t>
            </w:r>
            <w:r w:rsidR="001F138C">
              <w:t> mld.</w:t>
            </w:r>
            <w:r>
              <w:t xml:space="preserve"> korun. Tato částka se meziročně zvýšila o 51,5</w:t>
            </w:r>
            <w:r w:rsidR="001F138C">
              <w:t> mld.</w:t>
            </w:r>
            <w:r>
              <w:t>, což je nejvíce v celém období od roku 1999, odkdy jsou dostupné časové řady sektorových účtů. Nárůst byl způsoben mzdovým vývojem, který se promítl do nárůstu cen takto poskytovaných služeb. Mírně zesílil podíl netržní produkce vládních institucí a neziskových institucí sloužících domácnostem (NISD) na 72,6</w:t>
            </w:r>
            <w:r w:rsidR="001D51EB">
              <w:t> %</w:t>
            </w:r>
            <w:r>
              <w:t xml:space="preserve"> oproti tržní produkci nakoupené vládními institucemi a NISD (27,4</w:t>
            </w:r>
            <w:r w:rsidR="001D51EB">
              <w:t> %</w:t>
            </w:r>
            <w:r>
              <w:t>). Vzhledem k silnějšímu nárůstu hrubého disponibilního důchodu při současném zmírnění růstu spotřeby došlo také k navýšení míry úspor</w:t>
            </w:r>
            <w:r>
              <w:rPr>
                <w:rStyle w:val="Znakapoznpodarou"/>
              </w:rPr>
              <w:footnoteReference w:id="28"/>
            </w:r>
            <w:r>
              <w:t>. Ta v roce 2017 spadla na mimořádně nízkou hodnotu 9,5</w:t>
            </w:r>
            <w:r w:rsidR="001D51EB">
              <w:t> %</w:t>
            </w:r>
            <w:r>
              <w:t xml:space="preserve"> a loni se zvedla na 10,8 %. I tak ukazatel zaostává za dlouhodobou úrovní, která se pohybuje nad</w:t>
            </w:r>
            <w:r w:rsidR="005A5D45">
              <w:t> </w:t>
            </w:r>
            <w:r>
              <w:t>11 %.</w:t>
            </w:r>
          </w:p>
        </w:tc>
      </w:tr>
      <w:tr w:rsidR="005152D9" w:rsidRPr="00894C66" w14:paraId="65F4A07B" w14:textId="77777777" w:rsidTr="00884A6F">
        <w:tc>
          <w:tcPr>
            <w:tcW w:w="1976" w:type="dxa"/>
            <w:vMerge w:val="restart"/>
          </w:tcPr>
          <w:p w14:paraId="03061E0A" w14:textId="77777777" w:rsidR="005152D9" w:rsidRDefault="005152D9" w:rsidP="00A54250">
            <w:pPr>
              <w:pStyle w:val="Marginlie"/>
            </w:pPr>
          </w:p>
        </w:tc>
        <w:tc>
          <w:tcPr>
            <w:tcW w:w="277" w:type="dxa"/>
            <w:vMerge w:val="restart"/>
          </w:tcPr>
          <w:p w14:paraId="1CBB1284" w14:textId="77777777" w:rsidR="005152D9" w:rsidRPr="005E4483" w:rsidRDefault="005152D9" w:rsidP="00A54250">
            <w:pPr>
              <w:pStyle w:val="Textpoznpodarou"/>
              <w:jc w:val="both"/>
              <w:rPr>
                <w:spacing w:val="-4"/>
              </w:rPr>
            </w:pPr>
          </w:p>
        </w:tc>
        <w:tc>
          <w:tcPr>
            <w:tcW w:w="7391" w:type="dxa"/>
          </w:tcPr>
          <w:p w14:paraId="4FC2243A" w14:textId="7C3FF57D" w:rsidR="005152D9" w:rsidRPr="004454DC" w:rsidRDefault="005152D9" w:rsidP="002A7679">
            <w:pPr>
              <w:spacing w:after="0"/>
              <w:rPr>
                <w:b/>
              </w:rPr>
            </w:pPr>
            <w:r>
              <w:rPr>
                <w:b/>
              </w:rPr>
              <w:t xml:space="preserve">Graf </w:t>
            </w:r>
            <w:r w:rsidR="00884A6F">
              <w:rPr>
                <w:b/>
              </w:rPr>
              <w:t>1</w:t>
            </w:r>
            <w:r w:rsidR="002A7679">
              <w:rPr>
                <w:b/>
              </w:rPr>
              <w:t>4</w:t>
            </w:r>
            <w:r>
              <w:rPr>
                <w:b/>
              </w:rPr>
              <w:t xml:space="preserve"> </w:t>
            </w:r>
            <w:r w:rsidR="004F6EDC">
              <w:rPr>
                <w:b/>
              </w:rPr>
              <w:t xml:space="preserve"> </w:t>
            </w:r>
            <w:r>
              <w:rPr>
                <w:b/>
              </w:rPr>
              <w:t xml:space="preserve">Vývoj výdajů na spotřebu domácností </w:t>
            </w:r>
            <w:r w:rsidRPr="008F7138">
              <w:t>(meziroční</w:t>
            </w:r>
            <w:r>
              <w:t xml:space="preserve"> změna výdajů v mld. korun)</w:t>
            </w:r>
            <w:r>
              <w:rPr>
                <w:b/>
              </w:rPr>
              <w:t xml:space="preserve">, míry úspor a míry investic </w:t>
            </w:r>
            <w:r w:rsidRPr="00212D97">
              <w:t>(</w:t>
            </w:r>
            <w:r>
              <w:t>v</w:t>
            </w:r>
            <w:r w:rsidR="001D51EB">
              <w:t> %</w:t>
            </w:r>
            <w:r>
              <w:t xml:space="preserve"> na pravé ose</w:t>
            </w:r>
            <w:r w:rsidRPr="0069736E">
              <w:t>)</w:t>
            </w:r>
          </w:p>
        </w:tc>
      </w:tr>
      <w:tr w:rsidR="005152D9" w:rsidRPr="00894C66" w14:paraId="7DD13468" w14:textId="77777777" w:rsidTr="00884A6F">
        <w:tblPrEx>
          <w:tblCellMar>
            <w:left w:w="70" w:type="dxa"/>
            <w:right w:w="70" w:type="dxa"/>
          </w:tblCellMar>
        </w:tblPrEx>
        <w:trPr>
          <w:trHeight w:val="170"/>
        </w:trPr>
        <w:tc>
          <w:tcPr>
            <w:tcW w:w="1976" w:type="dxa"/>
            <w:vMerge/>
          </w:tcPr>
          <w:p w14:paraId="74BD7F99" w14:textId="77777777" w:rsidR="005152D9" w:rsidRDefault="005152D9" w:rsidP="00A54250">
            <w:pPr>
              <w:pStyle w:val="Marginlie"/>
            </w:pPr>
          </w:p>
        </w:tc>
        <w:tc>
          <w:tcPr>
            <w:tcW w:w="277" w:type="dxa"/>
            <w:vMerge/>
          </w:tcPr>
          <w:p w14:paraId="24D50685" w14:textId="77777777" w:rsidR="005152D9" w:rsidRPr="005E4483" w:rsidRDefault="005152D9" w:rsidP="00A54250">
            <w:pPr>
              <w:pStyle w:val="Textpoznpodarou"/>
              <w:jc w:val="both"/>
              <w:rPr>
                <w:spacing w:val="-4"/>
              </w:rPr>
            </w:pPr>
          </w:p>
        </w:tc>
        <w:tc>
          <w:tcPr>
            <w:tcW w:w="7391" w:type="dxa"/>
          </w:tcPr>
          <w:p w14:paraId="1B67F290" w14:textId="77777777" w:rsidR="005152D9" w:rsidRDefault="005152D9" w:rsidP="00A54250">
            <w:pPr>
              <w:spacing w:after="0"/>
            </w:pPr>
            <w:r>
              <w:rPr>
                <w:noProof/>
              </w:rPr>
              <w:drawing>
                <wp:inline distT="0" distB="0" distL="0" distR="0" wp14:anchorId="667B16ED" wp14:editId="1B2B75DC">
                  <wp:extent cx="4686935" cy="3515360"/>
                  <wp:effectExtent l="0" t="0" r="0" b="8890"/>
                  <wp:docPr id="122" name="Graf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5152D9" w:rsidRPr="00894C66" w14:paraId="67AA166A" w14:textId="77777777" w:rsidTr="00884A6F">
        <w:trPr>
          <w:trHeight w:val="170"/>
        </w:trPr>
        <w:tc>
          <w:tcPr>
            <w:tcW w:w="1976" w:type="dxa"/>
            <w:vMerge/>
          </w:tcPr>
          <w:p w14:paraId="5DD47F87" w14:textId="77777777" w:rsidR="005152D9" w:rsidRDefault="005152D9" w:rsidP="00A54250">
            <w:pPr>
              <w:pStyle w:val="Marginlie"/>
            </w:pPr>
          </w:p>
        </w:tc>
        <w:tc>
          <w:tcPr>
            <w:tcW w:w="277" w:type="dxa"/>
            <w:vMerge/>
          </w:tcPr>
          <w:p w14:paraId="3C2D40B9" w14:textId="77777777" w:rsidR="005152D9" w:rsidRPr="005E4483" w:rsidRDefault="005152D9" w:rsidP="00A54250">
            <w:pPr>
              <w:pStyle w:val="Textpoznpodarou"/>
              <w:jc w:val="both"/>
              <w:rPr>
                <w:spacing w:val="-4"/>
              </w:rPr>
            </w:pPr>
          </w:p>
        </w:tc>
        <w:tc>
          <w:tcPr>
            <w:tcW w:w="7391" w:type="dxa"/>
          </w:tcPr>
          <w:p w14:paraId="2F18DB84" w14:textId="77777777" w:rsidR="005152D9" w:rsidRPr="00A1151F" w:rsidRDefault="005152D9" w:rsidP="00A54250">
            <w:pPr>
              <w:rPr>
                <w:sz w:val="14"/>
                <w:szCs w:val="14"/>
              </w:rPr>
            </w:pPr>
            <w:r>
              <w:rPr>
                <w:sz w:val="14"/>
                <w:szCs w:val="14"/>
              </w:rPr>
              <w:t>Zdroj: ČSÚ</w:t>
            </w:r>
          </w:p>
        </w:tc>
      </w:tr>
      <w:tr w:rsidR="005152D9" w:rsidRPr="00894C66" w14:paraId="259FC68C" w14:textId="77777777" w:rsidTr="00884A6F">
        <w:trPr>
          <w:trHeight w:val="145"/>
        </w:trPr>
        <w:tc>
          <w:tcPr>
            <w:tcW w:w="1976" w:type="dxa"/>
          </w:tcPr>
          <w:p w14:paraId="032ADAF2" w14:textId="77777777" w:rsidR="005152D9" w:rsidRPr="004A24B0" w:rsidRDefault="005152D9" w:rsidP="00A54250">
            <w:pPr>
              <w:pStyle w:val="Marginlie"/>
            </w:pPr>
            <w:r>
              <w:t>Zpomalení se týkalo zejména výdajů na zboží střednědobé spotřeby.</w:t>
            </w:r>
          </w:p>
        </w:tc>
        <w:tc>
          <w:tcPr>
            <w:tcW w:w="277" w:type="dxa"/>
          </w:tcPr>
          <w:p w14:paraId="1E1E21C0" w14:textId="77777777" w:rsidR="005152D9" w:rsidRPr="005E4483" w:rsidRDefault="005152D9" w:rsidP="00A54250">
            <w:pPr>
              <w:pStyle w:val="Textpoznpodarou"/>
              <w:jc w:val="both"/>
              <w:rPr>
                <w:spacing w:val="-4"/>
              </w:rPr>
            </w:pPr>
          </w:p>
        </w:tc>
        <w:tc>
          <w:tcPr>
            <w:tcW w:w="7391" w:type="dxa"/>
          </w:tcPr>
          <w:p w14:paraId="05018033" w14:textId="336EEE7B" w:rsidR="005152D9" w:rsidRPr="001502B1" w:rsidRDefault="005152D9" w:rsidP="00425F45">
            <w:r>
              <w:t>Mírné zpomalení reálné meziroční dynamiky spotřeby domácností bylo způsobeno výraznějším útlumem růstu výdajů na statky střednědobé spotřeby</w:t>
            </w:r>
            <w:r>
              <w:rPr>
                <w:rStyle w:val="Znakapoznpodarou"/>
              </w:rPr>
              <w:footnoteReference w:id="29"/>
            </w:r>
            <w:r>
              <w:rPr>
                <w:vertAlign w:val="superscript"/>
              </w:rPr>
              <w:t>,</w:t>
            </w:r>
            <w:r w:rsidR="00E8168E">
              <w:rPr>
                <w:vertAlign w:val="superscript"/>
              </w:rPr>
              <w:t> </w:t>
            </w:r>
            <w:r>
              <w:rPr>
                <w:rStyle w:val="Znakapoznpodarou"/>
              </w:rPr>
              <w:footnoteReference w:id="30"/>
            </w:r>
            <w:r>
              <w:t>. Zatímco v roce 2017 narostly tyto výdaje o 10</w:t>
            </w:r>
            <w:r w:rsidR="001D51EB">
              <w:t> %</w:t>
            </w:r>
            <w:r>
              <w:t>, loni byl přírůstek jen 4,4%. Mírně loni oslabil také meziroční růst spotřeby dlouhodobých statků (na 7,8</w:t>
            </w:r>
            <w:r w:rsidR="001D51EB">
              <w:t> %</w:t>
            </w:r>
            <w:r>
              <w:t xml:space="preserve">). Tempo ale zůstalo poměrně vysoké a odpovídá pokračujícím příznivým příjmovým podmínkám </w:t>
            </w:r>
            <w:r>
              <w:lastRenderedPageBreak/>
              <w:t>i pozitivním očekáváním. Ke zpomalení růstu celkových výdajů na spotřebu z větší části přispěla i váhově nejvýznamnější složka netrvanlivého zboží</w:t>
            </w:r>
            <w:r>
              <w:rPr>
                <w:rStyle w:val="Znakapoznpodarou"/>
              </w:rPr>
              <w:footnoteReference w:id="31"/>
            </w:r>
            <w:r>
              <w:t>. V případě statků krátkodobé spotřeby totiž meziroční přírůstek zmírnil o 1,1</w:t>
            </w:r>
            <w:r w:rsidR="001F138C">
              <w:t> p. b.</w:t>
            </w:r>
            <w:r w:rsidR="00425F45">
              <w:t xml:space="preserve"> a</w:t>
            </w:r>
            <w:r w:rsidR="002E1A9C">
              <w:t> </w:t>
            </w:r>
            <w:r w:rsidR="00425F45">
              <w:t>dosáhl</w:t>
            </w:r>
            <w:r>
              <w:t xml:space="preserve"> 2,0</w:t>
            </w:r>
            <w:r w:rsidR="00425F45">
              <w:t> </w:t>
            </w:r>
            <w:r>
              <w:t>%. Udržela se jen reálná dynamika spotřeby služeb. I díky rostoucím příjmům domácnosti navýšily své výdaje v této oblasti o 3,5</w:t>
            </w:r>
            <w:r w:rsidR="001D51EB">
              <w:t> %</w:t>
            </w:r>
            <w:r>
              <w:t>, a to navzdory zvyšujícím se cenám, do kterých se promítaly rostoucí náklady na pracovní sílu.</w:t>
            </w:r>
          </w:p>
        </w:tc>
      </w:tr>
      <w:tr w:rsidR="005152D9" w:rsidRPr="00894C66" w14:paraId="37F8098A" w14:textId="77777777" w:rsidTr="00884A6F">
        <w:trPr>
          <w:trHeight w:val="145"/>
        </w:trPr>
        <w:tc>
          <w:tcPr>
            <w:tcW w:w="1976" w:type="dxa"/>
          </w:tcPr>
          <w:p w14:paraId="7D90AE2A" w14:textId="6258A81D" w:rsidR="005152D9" w:rsidRDefault="005152D9" w:rsidP="00A54250">
            <w:pPr>
              <w:pStyle w:val="Marginlie"/>
            </w:pPr>
            <w:r>
              <w:lastRenderedPageBreak/>
              <w:t>Propad v tempu loni postihl růst výdajů na oděvy a</w:t>
            </w:r>
            <w:r w:rsidR="00DA0BBD">
              <w:t> </w:t>
            </w:r>
            <w:r>
              <w:t>obuv.</w:t>
            </w:r>
          </w:p>
        </w:tc>
        <w:tc>
          <w:tcPr>
            <w:tcW w:w="277" w:type="dxa"/>
          </w:tcPr>
          <w:p w14:paraId="32768223" w14:textId="77777777" w:rsidR="005152D9" w:rsidRPr="005E4483" w:rsidRDefault="005152D9" w:rsidP="00A54250">
            <w:pPr>
              <w:pStyle w:val="Textpoznpodarou"/>
              <w:jc w:val="both"/>
              <w:rPr>
                <w:spacing w:val="-4"/>
              </w:rPr>
            </w:pPr>
          </w:p>
        </w:tc>
        <w:tc>
          <w:tcPr>
            <w:tcW w:w="7391" w:type="dxa"/>
          </w:tcPr>
          <w:p w14:paraId="076B3C61" w14:textId="368651E8" w:rsidR="005152D9" w:rsidRPr="007834C9" w:rsidRDefault="005152D9" w:rsidP="00425F45">
            <w:r>
              <w:t>Věcné členění výdajů na konečnou spotřebu dále ilustruje zpomalení v kategorii zboží střednědobé spotřeby. Výrazně zpomalil zejména reálný růst výdajů na odívání a obuv (z rekordních 13,2</w:t>
            </w:r>
            <w:r w:rsidR="001D51EB">
              <w:t> %</w:t>
            </w:r>
            <w:r>
              <w:t xml:space="preserve"> v roce 2017 na 3,6</w:t>
            </w:r>
            <w:r w:rsidR="001D51EB">
              <w:t> %</w:t>
            </w:r>
            <w:r>
              <w:t>). Mírněji rostla spotřeba ve dvou hlavních kategoriích nezbytných statků. Po silnějším přírůstku z roku 2017 zpomalil reálný nárůst výdajů na bydlení, vodu, energie a paliva (1,0</w:t>
            </w:r>
            <w:r w:rsidR="001D51EB">
              <w:t> %</w:t>
            </w:r>
            <w:r>
              <w:t xml:space="preserve">). </w:t>
            </w:r>
            <w:r w:rsidR="00DA0BBD">
              <w:t xml:space="preserve">Méně </w:t>
            </w:r>
            <w:r>
              <w:t>výrazně rostly výdaje na nájemné z bytu (z 9,3</w:t>
            </w:r>
            <w:r w:rsidR="001D51EB">
              <w:t> %</w:t>
            </w:r>
            <w:r>
              <w:t xml:space="preserve"> </w:t>
            </w:r>
            <w:r w:rsidR="00DA0BBD">
              <w:t>růst zpomalil</w:t>
            </w:r>
            <w:r>
              <w:t xml:space="preserve"> na 4,4</w:t>
            </w:r>
            <w:r w:rsidR="001D51EB">
              <w:t> %</w:t>
            </w:r>
            <w:r>
              <w:t>), reálně klesly platby za elektřinu, teplo, plyn a paliva (</w:t>
            </w:r>
            <w:r w:rsidR="00DA0BBD">
              <w:t>–</w:t>
            </w:r>
            <w:r>
              <w:t>3,6 %). Mírněji než v roce 2017 rostla také spotřeba potravin a nealkoholických nápojů (2,6</w:t>
            </w:r>
            <w:r w:rsidR="001D51EB">
              <w:t> %</w:t>
            </w:r>
            <w:r>
              <w:t>). Výdaje domácností na dopravu si udržely poměrně silný reálný růst (6,2</w:t>
            </w:r>
            <w:r w:rsidR="001D51EB">
              <w:t> %</w:t>
            </w:r>
            <w:r>
              <w:t>). V porovnání s rokem 2017 ale loni oslabila dynamika výdajů na nákup osobních dopravních prostředků (6,2</w:t>
            </w:r>
            <w:r w:rsidR="00425F45">
              <w:t> </w:t>
            </w:r>
            <w:r>
              <w:t>%). Naopak náklady na provoz osobních dopravních prostředků narostly více než v roce 2017, a to o 10,3</w:t>
            </w:r>
            <w:r w:rsidR="001D51EB">
              <w:t> %</w:t>
            </w:r>
            <w:r>
              <w:t>. V loňském roce zrychlil reálný růst výdajů na pošty a telekomunikace. Samotné poštovní služby k tomu nepřispěly, v jejich případě došlo k poklesu o 1,7</w:t>
            </w:r>
            <w:r w:rsidR="001D51EB">
              <w:t> %</w:t>
            </w:r>
            <w:r>
              <w:t>. Velmi silný byl přírůstek spotřeby telefonních a</w:t>
            </w:r>
            <w:r w:rsidR="00DA0BBD">
              <w:t> </w:t>
            </w:r>
            <w:r>
              <w:t>telefaxových zařízení (15,0</w:t>
            </w:r>
            <w:r w:rsidR="001D51EB">
              <w:t> %</w:t>
            </w:r>
            <w:r>
              <w:t>). Zrychlil růst telefonických a telefaxových služeb (na</w:t>
            </w:r>
            <w:r w:rsidR="00DA0BBD">
              <w:t> </w:t>
            </w:r>
            <w:r>
              <w:t>7,2</w:t>
            </w:r>
            <w:r w:rsidR="001D51EB">
              <w:t> %</w:t>
            </w:r>
            <w:r>
              <w:t>).</w:t>
            </w:r>
          </w:p>
        </w:tc>
      </w:tr>
      <w:tr w:rsidR="005152D9" w:rsidRPr="00894C66" w14:paraId="009E4E2A" w14:textId="77777777" w:rsidTr="00884A6F">
        <w:trPr>
          <w:trHeight w:val="170"/>
        </w:trPr>
        <w:tc>
          <w:tcPr>
            <w:tcW w:w="1976" w:type="dxa"/>
          </w:tcPr>
          <w:p w14:paraId="4192C4BB" w14:textId="77777777" w:rsidR="005152D9" w:rsidRDefault="005152D9" w:rsidP="00A54250">
            <w:pPr>
              <w:pStyle w:val="Marginlie"/>
            </w:pPr>
            <w:r>
              <w:t>Investiční aktivita domácností se mírně zvýšila. Míra investic poklesla o 0,5</w:t>
            </w:r>
            <w:r w:rsidR="001F138C">
              <w:t> p. b.</w:t>
            </w:r>
          </w:p>
        </w:tc>
        <w:tc>
          <w:tcPr>
            <w:tcW w:w="277" w:type="dxa"/>
          </w:tcPr>
          <w:p w14:paraId="36920C5B" w14:textId="77777777" w:rsidR="005152D9" w:rsidRPr="005E4483" w:rsidRDefault="005152D9" w:rsidP="00A54250">
            <w:pPr>
              <w:pStyle w:val="Textpoznpodarou"/>
              <w:jc w:val="both"/>
              <w:rPr>
                <w:spacing w:val="-4"/>
              </w:rPr>
            </w:pPr>
          </w:p>
        </w:tc>
        <w:tc>
          <w:tcPr>
            <w:tcW w:w="7391" w:type="dxa"/>
          </w:tcPr>
          <w:p w14:paraId="1BF0D168" w14:textId="5D19710C" w:rsidR="005152D9" w:rsidRDefault="005152D9" w:rsidP="00A54250">
            <w:r>
              <w:t>Výdaje domácností na tvorbu hrubého fixního kapitálu loni dosáhly 239,5</w:t>
            </w:r>
            <w:r w:rsidR="001F138C">
              <w:t> mld.</w:t>
            </w:r>
            <w:r>
              <w:t xml:space="preserve"> korun. Nominálně se tedy zvýšily o 3,9</w:t>
            </w:r>
            <w:r w:rsidR="001F138C">
              <w:t> mld.</w:t>
            </w:r>
            <w:r>
              <w:t xml:space="preserve"> To je nejnižší hodnota za posledních pět let.</w:t>
            </w:r>
            <w:r w:rsidR="004F6EDC">
              <w:t xml:space="preserve"> </w:t>
            </w:r>
            <w:r>
              <w:t>Celková dynamika investic domácností byla v rozporu s vývojem investic do obydlí, u kterých jsou domácnosti téměř výhradním investorem (ty se zvýšily o</w:t>
            </w:r>
            <w:r w:rsidR="00D67375">
              <w:t> </w:t>
            </w:r>
            <w:r>
              <w:t>18,1</w:t>
            </w:r>
            <w:r w:rsidR="001F138C">
              <w:t> mld.</w:t>
            </w:r>
            <w:r>
              <w:t>). Nepřímo lze tedy usoudit, že zpomalení investiční aktivity se týkalo spíše podnikatelů zařazených do sektoru domácností, kteří investují do strojů a</w:t>
            </w:r>
            <w:r w:rsidR="00D67375">
              <w:t> </w:t>
            </w:r>
            <w:r>
              <w:t>zařízení. Ani údaje ČNB nedokládají výraznější propad růstu objemu úvěrů na bydlení</w:t>
            </w:r>
            <w:r>
              <w:rPr>
                <w:rStyle w:val="Znakapoznpodarou"/>
              </w:rPr>
              <w:footnoteReference w:id="32"/>
            </w:r>
            <w:r>
              <w:t>. Výsledkem zpomalení růstu výdajů na hrubý fixní kapitál byl i pokles míry investic</w:t>
            </w:r>
            <w:r>
              <w:rPr>
                <w:rStyle w:val="Znakapoznpodarou"/>
              </w:rPr>
              <w:footnoteReference w:id="33"/>
            </w:r>
            <w:r>
              <w:t xml:space="preserve"> o</w:t>
            </w:r>
            <w:r w:rsidR="00D67375">
              <w:t> </w:t>
            </w:r>
            <w:r>
              <w:t>0,5</w:t>
            </w:r>
            <w:r w:rsidR="001F138C">
              <w:t> p. b.</w:t>
            </w:r>
            <w:r>
              <w:t xml:space="preserve"> na</w:t>
            </w:r>
            <w:r w:rsidR="00D67375">
              <w:t> </w:t>
            </w:r>
            <w:r>
              <w:t>8,8 %.</w:t>
            </w:r>
          </w:p>
        </w:tc>
      </w:tr>
      <w:tr w:rsidR="005152D9" w:rsidRPr="00894C66" w14:paraId="26B75381" w14:textId="77777777" w:rsidTr="00884A6F">
        <w:trPr>
          <w:trHeight w:val="170"/>
        </w:trPr>
        <w:tc>
          <w:tcPr>
            <w:tcW w:w="1976" w:type="dxa"/>
          </w:tcPr>
          <w:p w14:paraId="54294A64" w14:textId="77777777" w:rsidR="005152D9" w:rsidRDefault="005152D9" w:rsidP="00A54250">
            <w:pPr>
              <w:pStyle w:val="Marginlie"/>
            </w:pPr>
            <w:r>
              <w:t>Spotřeba domácností rostla v celé EU. Rychlejší dynamiky dosahovaly nové členské státy.</w:t>
            </w:r>
          </w:p>
        </w:tc>
        <w:tc>
          <w:tcPr>
            <w:tcW w:w="277" w:type="dxa"/>
          </w:tcPr>
          <w:p w14:paraId="4F17D3D1" w14:textId="77777777" w:rsidR="005152D9" w:rsidRPr="005E4483" w:rsidRDefault="005152D9" w:rsidP="00A54250">
            <w:pPr>
              <w:pStyle w:val="Textpoznpodarou"/>
              <w:jc w:val="both"/>
              <w:rPr>
                <w:spacing w:val="-4"/>
              </w:rPr>
            </w:pPr>
          </w:p>
        </w:tc>
        <w:tc>
          <w:tcPr>
            <w:tcW w:w="7391" w:type="dxa"/>
          </w:tcPr>
          <w:p w14:paraId="6025D709" w14:textId="7F81B375" w:rsidR="005152D9" w:rsidRDefault="005152D9" w:rsidP="00884A6F">
            <w:pPr>
              <w:spacing w:after="0"/>
            </w:pPr>
            <w:r>
              <w:t>Reálná dynamika spotřeby domácností Česko loni zařadila do evropského nadprůměru. Celkově v evropské osmadvacítce výdaje na konečnou spotřebu domácností vzrostly o 1,6</w:t>
            </w:r>
            <w:r w:rsidR="001D51EB">
              <w:t> %</w:t>
            </w:r>
            <w:r>
              <w:t>. To je nižší úroveň než v předchozím roce, spotřeba ale rostla ve všech členských státech. Nadprůměrný růst vykazovaly zejména novější členské země, u kterých probíhá konvergenční proces. Nejsilněji rostly výdaje na konečnou spotřebu domácností na Maltě (7,5</w:t>
            </w:r>
            <w:r w:rsidR="001D51EB">
              <w:t> %</w:t>
            </w:r>
            <w:r>
              <w:t>), v</w:t>
            </w:r>
            <w:r w:rsidR="00BF45D9">
              <w:t> Bulharsku (6</w:t>
            </w:r>
            <w:r>
              <w:t>,3</w:t>
            </w:r>
            <w:r w:rsidR="001D51EB">
              <w:t> %</w:t>
            </w:r>
            <w:r>
              <w:t>) a</w:t>
            </w:r>
            <w:r w:rsidR="00D67375">
              <w:t> </w:t>
            </w:r>
            <w:r>
              <w:t>v Maďarsku a Rumunsku (shodně 5,3</w:t>
            </w:r>
            <w:r w:rsidR="001D51EB">
              <w:t> %</w:t>
            </w:r>
            <w:r>
              <w:t>). Výrazný růst spotřeby, který v této skupině tvá již několik let, se projevil i na úrovni spotřeby na osobu očištěné o</w:t>
            </w:r>
            <w:r w:rsidR="00D67375">
              <w:t> </w:t>
            </w:r>
            <w:r>
              <w:t>vliv cenové hladiny. Mezi lety 2013 a 2018 se v Rumunsku zvýšila tato úroveň z 54</w:t>
            </w:r>
            <w:r w:rsidR="001D51EB">
              <w:t> %</w:t>
            </w:r>
            <w:r>
              <w:t xml:space="preserve"> průměru EU na 70</w:t>
            </w:r>
            <w:r w:rsidR="001D51EB">
              <w:t> %</w:t>
            </w:r>
            <w:r>
              <w:t>, v Litvě ze 78</w:t>
            </w:r>
            <w:r w:rsidR="001D51EB">
              <w:t> %</w:t>
            </w:r>
            <w:r>
              <w:t xml:space="preserve"> na 90 % a v ČR ze 76</w:t>
            </w:r>
            <w:r w:rsidR="001D51EB">
              <w:t> %</w:t>
            </w:r>
            <w:r>
              <w:t xml:space="preserve"> na 83</w:t>
            </w:r>
            <w:r w:rsidR="001D51EB">
              <w:t> %</w:t>
            </w:r>
            <w:r>
              <w:t>. Vzhůru k</w:t>
            </w:r>
            <w:r w:rsidR="00D67375">
              <w:t> </w:t>
            </w:r>
            <w:r>
              <w:t>evropskému průměru se ale v posledních pěti letech posunuly všechny země, které vstoupily do EU po roce 2000. Celkový průměr růstu ovlivnilo zpomalení ve velkých státech západní a jižní Evropy. Nejpomaleji totiž rostla spotřeba domácností v Itálii (0,6</w:t>
            </w:r>
            <w:r w:rsidR="001D51EB">
              <w:t> %</w:t>
            </w:r>
            <w:r>
              <w:t>), Francii (0,9 %) a v Německu a Belgii (shodně o 1,0</w:t>
            </w:r>
            <w:r w:rsidR="001D51EB">
              <w:t> %</w:t>
            </w:r>
            <w:r>
              <w:t>).</w:t>
            </w:r>
          </w:p>
        </w:tc>
      </w:tr>
    </w:tbl>
    <w:p w14:paraId="620B5088" w14:textId="77777777" w:rsidR="0063201A" w:rsidRPr="00360DE3" w:rsidRDefault="0063201A" w:rsidP="0063201A">
      <w:pPr>
        <w:spacing w:after="0"/>
        <w:rPr>
          <w:sz w:val="2"/>
          <w:szCs w:val="2"/>
        </w:rPr>
      </w:pPr>
    </w:p>
    <w:p w14:paraId="671D54FC" w14:textId="1D063E29" w:rsidR="0060404F" w:rsidRDefault="0060404F">
      <w:pPr>
        <w:spacing w:after="0" w:line="240" w:lineRule="auto"/>
        <w:jc w:val="left"/>
        <w:rPr>
          <w:rFonts w:eastAsia="MS Gothic"/>
          <w:b/>
          <w:bCs/>
          <w:color w:val="71818C"/>
          <w:sz w:val="32"/>
          <w:szCs w:val="28"/>
          <w:lang w:eastAsia="en-US"/>
        </w:rPr>
      </w:pPr>
    </w:p>
    <w:sectPr w:rsidR="0060404F" w:rsidSect="006F5416">
      <w:headerReference w:type="even" r:id="rId22"/>
      <w:headerReference w:type="default" r:id="rId23"/>
      <w:footerReference w:type="even" r:id="rId24"/>
      <w:footerReference w:type="default" r:id="rId25"/>
      <w:footnotePr>
        <w:pos w:val="beneathText"/>
      </w:footnotePr>
      <w:pgSz w:w="11906" w:h="16838" w:code="9"/>
      <w:pgMar w:top="1134" w:right="1134" w:bottom="1418" w:left="1134" w:header="680" w:footer="68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619E2" w16cid:durableId="20F6CE05"/>
  <w16cid:commentId w16cid:paraId="734AC7CE" w16cid:durableId="20F6DCBD"/>
  <w16cid:commentId w16cid:paraId="6AF8D911" w16cid:durableId="20F7078E"/>
  <w16cid:commentId w16cid:paraId="50768BEC" w16cid:durableId="20F70A8B"/>
  <w16cid:commentId w16cid:paraId="15B0C836" w16cid:durableId="20F70CE2"/>
  <w16cid:commentId w16cid:paraId="413DE529" w16cid:durableId="20F82616"/>
  <w16cid:commentId w16cid:paraId="141B886B" w16cid:durableId="20F82A5A"/>
  <w16cid:commentId w16cid:paraId="29661C99" w16cid:durableId="20F92C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36BEC" w14:textId="77777777" w:rsidR="00A01CA0" w:rsidRDefault="00A01CA0" w:rsidP="00E71A58">
      <w:r>
        <w:separator/>
      </w:r>
    </w:p>
  </w:endnote>
  <w:endnote w:type="continuationSeparator" w:id="0">
    <w:p w14:paraId="7A5AEFCA" w14:textId="77777777" w:rsidR="00A01CA0" w:rsidRDefault="00A01CA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Times New Roman CE obyèejné">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984EB" w14:textId="662791BD" w:rsidR="00AD7D0B" w:rsidRPr="00932443" w:rsidRDefault="00AD7D0B" w:rsidP="00A418BC">
    <w:pPr>
      <w:pStyle w:val="Zpat"/>
      <w:rPr>
        <w:szCs w:val="16"/>
      </w:rPr>
    </w:pPr>
    <w:r>
      <w:rPr>
        <w:szCs w:val="16"/>
        <w:lang w:eastAsia="cs-CZ"/>
      </w:rPr>
      <w:drawing>
        <wp:anchor distT="0" distB="0" distL="114300" distR="114300" simplePos="0" relativeHeight="251658240" behindDoc="0" locked="0" layoutInCell="1" allowOverlap="1" wp14:anchorId="7BA63FD4" wp14:editId="33EBA599">
          <wp:simplePos x="0" y="0"/>
          <wp:positionH relativeFrom="column">
            <wp:align>right</wp:align>
          </wp:positionH>
          <wp:positionV relativeFrom="paragraph">
            <wp:posOffset>-64770</wp:posOffset>
          </wp:positionV>
          <wp:extent cx="428625" cy="201295"/>
          <wp:effectExtent l="0" t="0" r="3175" b="1905"/>
          <wp:wrapNone/>
          <wp:docPr id="113"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745BC3">
      <w:rPr>
        <w:szCs w:val="16"/>
      </w:rPr>
      <w:t>20</w:t>
    </w:r>
    <w:r w:rsidRPr="00932443">
      <w:rPr>
        <w:szCs w:val="16"/>
      </w:rPr>
      <w:fldChar w:fldCharType="end"/>
    </w:r>
    <w:r w:rsidRPr="00932443">
      <w:rPr>
        <w:szCs w:val="16"/>
      </w:rPr>
      <w:tab/>
    </w:r>
    <w:r>
      <w:rPr>
        <w:szCs w:val="16"/>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368E" w14:textId="32C2F241" w:rsidR="00AD7D0B" w:rsidRPr="00932443" w:rsidRDefault="00AD7D0B" w:rsidP="00A418BC">
    <w:pPr>
      <w:pStyle w:val="Zpat"/>
      <w:rPr>
        <w:szCs w:val="16"/>
      </w:rPr>
    </w:pPr>
    <w:r>
      <w:rPr>
        <w:szCs w:val="16"/>
        <w:lang w:eastAsia="cs-CZ"/>
      </w:rPr>
      <w:drawing>
        <wp:anchor distT="0" distB="0" distL="114300" distR="114300" simplePos="0" relativeHeight="251657216" behindDoc="0" locked="0" layoutInCell="1" allowOverlap="1" wp14:anchorId="723CA28A" wp14:editId="1B347EAC">
          <wp:simplePos x="0" y="0"/>
          <wp:positionH relativeFrom="column">
            <wp:align>left</wp:align>
          </wp:positionH>
          <wp:positionV relativeFrom="paragraph">
            <wp:posOffset>-122555</wp:posOffset>
          </wp:positionV>
          <wp:extent cx="510540" cy="272415"/>
          <wp:effectExtent l="0" t="0" r="0" b="6985"/>
          <wp:wrapNone/>
          <wp:docPr id="11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2018</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745BC3">
      <w:rPr>
        <w:rStyle w:val="ZpatChar"/>
        <w:szCs w:val="16"/>
      </w:rPr>
      <w:t>21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0604D" w14:textId="77777777" w:rsidR="00A01CA0" w:rsidRDefault="00A01CA0" w:rsidP="0084727E">
      <w:pPr>
        <w:spacing w:after="0"/>
      </w:pPr>
      <w:r>
        <w:separator/>
      </w:r>
    </w:p>
  </w:footnote>
  <w:footnote w:type="continuationSeparator" w:id="0">
    <w:p w14:paraId="1DAC82F7" w14:textId="77777777" w:rsidR="00A01CA0" w:rsidRDefault="00A01CA0" w:rsidP="00E71A58">
      <w:r>
        <w:continuationSeparator/>
      </w:r>
    </w:p>
  </w:footnote>
  <w:footnote w:id="1">
    <w:p w14:paraId="1FB01FA8" w14:textId="59F43591" w:rsidR="00D22038" w:rsidRPr="00D22038" w:rsidRDefault="00D22038">
      <w:pPr>
        <w:pStyle w:val="Textpoznpodarou"/>
        <w:rPr>
          <w:sz w:val="16"/>
          <w:szCs w:val="16"/>
        </w:rPr>
      </w:pPr>
      <w:r w:rsidRPr="00D22038">
        <w:rPr>
          <w:rStyle w:val="Znakapoznpodarou"/>
          <w:sz w:val="16"/>
          <w:szCs w:val="16"/>
        </w:rPr>
        <w:footnoteRef/>
      </w:r>
      <w:r w:rsidRPr="00D22038">
        <w:rPr>
          <w:sz w:val="16"/>
          <w:szCs w:val="16"/>
        </w:rPr>
        <w:t xml:space="preserve"> Úroky v pojetí národních účtů.</w:t>
      </w:r>
    </w:p>
  </w:footnote>
  <w:footnote w:id="2">
    <w:p w14:paraId="47EC4DBF" w14:textId="77777777" w:rsidR="00AD7D0B" w:rsidRPr="00331D04" w:rsidRDefault="00AD7D0B">
      <w:pPr>
        <w:pStyle w:val="Textpoznpodarou"/>
        <w:rPr>
          <w:sz w:val="16"/>
          <w:szCs w:val="16"/>
        </w:rPr>
      </w:pPr>
      <w:r w:rsidRPr="00331D04">
        <w:rPr>
          <w:rStyle w:val="Znakapoznpodarou"/>
          <w:sz w:val="16"/>
          <w:szCs w:val="16"/>
        </w:rPr>
        <w:footnoteRef/>
      </w:r>
      <w:r w:rsidRPr="00331D04">
        <w:rPr>
          <w:sz w:val="16"/>
          <w:szCs w:val="16"/>
        </w:rPr>
        <w:t xml:space="preserve"> Není-li uvedeno jinak, jsou údaje o HDP a jeho složkách uváděny bez sezónního očištění.</w:t>
      </w:r>
    </w:p>
  </w:footnote>
  <w:footnote w:id="3">
    <w:p w14:paraId="4F6F7A3E" w14:textId="6B7FC06D" w:rsidR="00AD7D0B" w:rsidRPr="001802AA" w:rsidRDefault="00AD7D0B" w:rsidP="00B97434">
      <w:pPr>
        <w:pStyle w:val="Textpoznpodarou"/>
        <w:rPr>
          <w:rFonts w:cs="Arial"/>
          <w:sz w:val="16"/>
          <w:szCs w:val="16"/>
        </w:rPr>
      </w:pPr>
      <w:r w:rsidRPr="001802AA">
        <w:rPr>
          <w:rStyle w:val="Znakapoznpodarou"/>
          <w:rFonts w:cs="Arial"/>
          <w:sz w:val="16"/>
          <w:szCs w:val="16"/>
        </w:rPr>
        <w:footnoteRef/>
      </w:r>
      <w:r w:rsidRPr="001802AA">
        <w:rPr>
          <w:rFonts w:cs="Arial"/>
          <w:sz w:val="16"/>
          <w:szCs w:val="16"/>
        </w:rPr>
        <w:t xml:space="preserve"> Časové řady čtvrtletních </w:t>
      </w:r>
      <w:r>
        <w:rPr>
          <w:rFonts w:cs="Arial"/>
          <w:sz w:val="16"/>
          <w:szCs w:val="16"/>
        </w:rPr>
        <w:t>národních</w:t>
      </w:r>
      <w:r w:rsidRPr="001802AA">
        <w:rPr>
          <w:rFonts w:cs="Arial"/>
          <w:sz w:val="16"/>
          <w:szCs w:val="16"/>
        </w:rPr>
        <w:t xml:space="preserve"> účtů</w:t>
      </w:r>
      <w:r>
        <w:rPr>
          <w:rFonts w:cs="Arial"/>
          <w:sz w:val="16"/>
          <w:szCs w:val="16"/>
        </w:rPr>
        <w:t>.</w:t>
      </w:r>
    </w:p>
  </w:footnote>
  <w:footnote w:id="4">
    <w:p w14:paraId="02B17EE9" w14:textId="1F061521" w:rsidR="00AD7D0B" w:rsidRPr="001802AA" w:rsidRDefault="00AD7D0B" w:rsidP="00B97434">
      <w:pPr>
        <w:pStyle w:val="Textpoznpodarou"/>
        <w:rPr>
          <w:rFonts w:cs="Arial"/>
          <w:sz w:val="16"/>
          <w:szCs w:val="16"/>
        </w:rPr>
      </w:pPr>
      <w:r w:rsidRPr="001802AA">
        <w:rPr>
          <w:rStyle w:val="Znakapoznpodarou"/>
          <w:rFonts w:cs="Arial"/>
          <w:sz w:val="16"/>
          <w:szCs w:val="16"/>
        </w:rPr>
        <w:footnoteRef/>
      </w:r>
      <w:r w:rsidRPr="001802AA">
        <w:rPr>
          <w:rFonts w:cs="Arial"/>
          <w:sz w:val="16"/>
          <w:szCs w:val="16"/>
        </w:rPr>
        <w:t xml:space="preserve"> </w:t>
      </w:r>
      <w:r w:rsidRPr="001802AA">
        <w:rPr>
          <w:rStyle w:val="odkaz-style-wrapper"/>
          <w:bCs/>
          <w:sz w:val="16"/>
          <w:szCs w:val="16"/>
        </w:rPr>
        <w:t xml:space="preserve">Nerezidenti </w:t>
      </w:r>
      <w:r w:rsidRPr="001802AA">
        <w:rPr>
          <w:rStyle w:val="odkaz-style-wrapper"/>
          <w:sz w:val="16"/>
          <w:szCs w:val="16"/>
        </w:rPr>
        <w:t>představují seskupení jednotek bez ohledu na charakteristiku jejich funkcí a zdrojů. Jsou to např. oddělené části mateřských společností (např. pobočky výrobních podniků, bank a pojišťovacích společností)</w:t>
      </w:r>
      <w:r>
        <w:rPr>
          <w:rStyle w:val="odkaz-style-wrapper"/>
          <w:sz w:val="16"/>
          <w:szCs w:val="16"/>
        </w:rPr>
        <w:t xml:space="preserve">, </w:t>
      </w:r>
      <w:r w:rsidRPr="001802AA">
        <w:rPr>
          <w:rStyle w:val="odkaz-style-wrapper"/>
          <w:sz w:val="16"/>
          <w:szCs w:val="16"/>
        </w:rPr>
        <w:t>zastupitelské úřady cizích států nebo mezinárodní organizace, které byly založeny a fungují na základě mezinárodních dohod</w:t>
      </w:r>
      <w:r>
        <w:rPr>
          <w:rStyle w:val="odkaz-style-wrapper"/>
          <w:sz w:val="16"/>
          <w:szCs w:val="16"/>
        </w:rPr>
        <w:t>.</w:t>
      </w:r>
    </w:p>
  </w:footnote>
  <w:footnote w:id="5">
    <w:p w14:paraId="5D2653D3" w14:textId="77777777" w:rsidR="00B619A9" w:rsidRPr="00D22038" w:rsidRDefault="00B619A9" w:rsidP="00B619A9">
      <w:pPr>
        <w:pStyle w:val="Textpoznpodarou"/>
        <w:rPr>
          <w:sz w:val="16"/>
          <w:szCs w:val="16"/>
        </w:rPr>
      </w:pPr>
      <w:r w:rsidRPr="00D22038">
        <w:rPr>
          <w:rStyle w:val="Znakapoznpodarou"/>
          <w:sz w:val="16"/>
          <w:szCs w:val="16"/>
        </w:rPr>
        <w:footnoteRef/>
      </w:r>
      <w:r w:rsidRPr="00D22038">
        <w:rPr>
          <w:sz w:val="16"/>
          <w:szCs w:val="16"/>
        </w:rPr>
        <w:t xml:space="preserve"> Úroky v pojetí národních účtů.</w:t>
      </w:r>
    </w:p>
  </w:footnote>
  <w:footnote w:id="6">
    <w:p w14:paraId="6E5E50B6" w14:textId="77777777" w:rsidR="00AD7D0B" w:rsidRPr="00FD29A2" w:rsidRDefault="00AD7D0B" w:rsidP="00B97434">
      <w:pPr>
        <w:pStyle w:val="Textpoznpodarou"/>
        <w:rPr>
          <w:sz w:val="16"/>
          <w:szCs w:val="16"/>
        </w:rPr>
      </w:pPr>
      <w:r w:rsidRPr="00FD29A2">
        <w:rPr>
          <w:rStyle w:val="Znakapoznpodarou"/>
        </w:rPr>
        <w:footnoteRef/>
      </w:r>
      <w:r w:rsidRPr="00FD29A2">
        <w:rPr>
          <w:sz w:val="16"/>
          <w:szCs w:val="16"/>
        </w:rPr>
        <w:t xml:space="preserve"> Nomináln</w:t>
      </w:r>
      <w:r>
        <w:rPr>
          <w:sz w:val="16"/>
          <w:szCs w:val="16"/>
        </w:rPr>
        <w:t>í nárůst byl</w:t>
      </w:r>
      <w:r w:rsidRPr="00FD29A2">
        <w:rPr>
          <w:sz w:val="16"/>
          <w:szCs w:val="16"/>
        </w:rPr>
        <w:t xml:space="preserve"> třetí největší nárůst v celé dostupné časové řadě od roku 199</w:t>
      </w:r>
      <w:r>
        <w:rPr>
          <w:sz w:val="16"/>
          <w:szCs w:val="16"/>
        </w:rPr>
        <w:t>0</w:t>
      </w:r>
      <w:r w:rsidRPr="00FD29A2">
        <w:rPr>
          <w:sz w:val="16"/>
          <w:szCs w:val="16"/>
        </w:rPr>
        <w:t xml:space="preserve"> (loňský rok předčila léta 2007 a 2015).</w:t>
      </w:r>
    </w:p>
  </w:footnote>
  <w:footnote w:id="7">
    <w:p w14:paraId="334B4C6F" w14:textId="77777777" w:rsidR="00AD7D0B" w:rsidRPr="00313C20" w:rsidRDefault="00AD7D0B" w:rsidP="00B97434">
      <w:pPr>
        <w:pStyle w:val="Textpoznpodarou"/>
        <w:rPr>
          <w:sz w:val="16"/>
          <w:szCs w:val="16"/>
        </w:rPr>
      </w:pPr>
      <w:r w:rsidRPr="00313C20">
        <w:rPr>
          <w:rStyle w:val="Znakapoznpodarou"/>
        </w:rPr>
        <w:footnoteRef/>
      </w:r>
      <w:r w:rsidRPr="00313C20">
        <w:rPr>
          <w:sz w:val="16"/>
          <w:szCs w:val="16"/>
        </w:rPr>
        <w:t xml:space="preserve"> Domácnosti včetně neziskových institucí sloužících domácnostem.</w:t>
      </w:r>
    </w:p>
  </w:footnote>
  <w:footnote w:id="8">
    <w:p w14:paraId="43379D81" w14:textId="3EE54E17" w:rsidR="00DF317B" w:rsidRPr="00DF317B" w:rsidRDefault="00DF317B">
      <w:pPr>
        <w:pStyle w:val="Textpoznpodarou"/>
        <w:rPr>
          <w:sz w:val="16"/>
          <w:szCs w:val="16"/>
        </w:rPr>
      </w:pPr>
      <w:r w:rsidRPr="00DF317B">
        <w:rPr>
          <w:rStyle w:val="Znakapoznpodarou"/>
          <w:sz w:val="16"/>
          <w:szCs w:val="16"/>
        </w:rPr>
        <w:footnoteRef/>
      </w:r>
      <w:r w:rsidRPr="00DF317B">
        <w:rPr>
          <w:sz w:val="16"/>
          <w:szCs w:val="16"/>
        </w:rPr>
        <w:t xml:space="preserve"> </w:t>
      </w:r>
      <w:r>
        <w:rPr>
          <w:sz w:val="16"/>
          <w:szCs w:val="16"/>
        </w:rPr>
        <w:t>P</w:t>
      </w:r>
      <w:r w:rsidRPr="00DF317B">
        <w:rPr>
          <w:sz w:val="16"/>
          <w:szCs w:val="16"/>
        </w:rPr>
        <w:t>rostředky</w:t>
      </w:r>
      <w:r>
        <w:rPr>
          <w:sz w:val="16"/>
          <w:szCs w:val="16"/>
        </w:rPr>
        <w:t xml:space="preserve"> domácností</w:t>
      </w:r>
      <w:r w:rsidRPr="00DF317B">
        <w:rPr>
          <w:sz w:val="16"/>
          <w:szCs w:val="16"/>
        </w:rPr>
        <w:t xml:space="preserve"> tvoří více než 95 % z celkového objemu investic do obydlí.</w:t>
      </w:r>
    </w:p>
  </w:footnote>
  <w:footnote w:id="9">
    <w:p w14:paraId="6AC00188" w14:textId="77777777" w:rsidR="00AD7D0B" w:rsidRPr="00466E58" w:rsidRDefault="00AD7D0B" w:rsidP="00744EE6">
      <w:pPr>
        <w:pStyle w:val="Textpoznpodarou"/>
        <w:rPr>
          <w:sz w:val="16"/>
          <w:szCs w:val="16"/>
        </w:rPr>
      </w:pPr>
      <w:r w:rsidRPr="00466E58">
        <w:rPr>
          <w:rStyle w:val="Znakapoznpodarou"/>
          <w:sz w:val="16"/>
          <w:szCs w:val="16"/>
        </w:rPr>
        <w:footnoteRef/>
      </w:r>
      <w:r w:rsidRPr="00466E58">
        <w:rPr>
          <w:sz w:val="16"/>
          <w:szCs w:val="16"/>
        </w:rPr>
        <w:t xml:space="preserve"> Není-li uvedeno jinak, jsou údaje o hrubé přidané hodnotě uvedeny v běžných cenách.</w:t>
      </w:r>
    </w:p>
  </w:footnote>
  <w:footnote w:id="10">
    <w:p w14:paraId="6307BBFC" w14:textId="77777777" w:rsidR="00AD7D0B" w:rsidRPr="00044EAA" w:rsidRDefault="00AD7D0B" w:rsidP="00744EE6">
      <w:pPr>
        <w:pStyle w:val="Textpoznpodarou"/>
        <w:rPr>
          <w:sz w:val="16"/>
          <w:szCs w:val="16"/>
        </w:rPr>
      </w:pPr>
      <w:r w:rsidRPr="00044EAA">
        <w:rPr>
          <w:rStyle w:val="Znakapoznpodarou"/>
          <w:sz w:val="16"/>
          <w:szCs w:val="16"/>
        </w:rPr>
        <w:footnoteRef/>
      </w:r>
      <w:r w:rsidRPr="00044EAA">
        <w:rPr>
          <w:sz w:val="16"/>
          <w:szCs w:val="16"/>
        </w:rPr>
        <w:t xml:space="preserve"> Přepočteno na úvazky na plnou pracovní dobu.</w:t>
      </w:r>
    </w:p>
  </w:footnote>
  <w:footnote w:id="11">
    <w:p w14:paraId="3AC39CDF" w14:textId="0382EE8C" w:rsidR="00AD7D0B" w:rsidRPr="00CD0610" w:rsidRDefault="00AD7D0B" w:rsidP="00744EE6">
      <w:pPr>
        <w:pStyle w:val="Textpoznpodarou"/>
        <w:rPr>
          <w:sz w:val="16"/>
          <w:szCs w:val="16"/>
        </w:rPr>
      </w:pPr>
      <w:r w:rsidRPr="00CD0610">
        <w:rPr>
          <w:rStyle w:val="Znakapoznpodarou"/>
          <w:sz w:val="16"/>
          <w:szCs w:val="16"/>
        </w:rPr>
        <w:footnoteRef/>
      </w:r>
      <w:r w:rsidRPr="00CD0610">
        <w:rPr>
          <w:sz w:val="16"/>
          <w:szCs w:val="16"/>
        </w:rPr>
        <w:t xml:space="preserve"> Sekce klasifikace NACE: B</w:t>
      </w:r>
      <w:r>
        <w:rPr>
          <w:sz w:val="16"/>
          <w:szCs w:val="16"/>
        </w:rPr>
        <w:t> </w:t>
      </w:r>
      <w:r w:rsidRPr="00CD0610">
        <w:rPr>
          <w:sz w:val="16"/>
          <w:szCs w:val="16"/>
        </w:rPr>
        <w:t>Těžba a dobývání, C</w:t>
      </w:r>
      <w:r>
        <w:rPr>
          <w:sz w:val="16"/>
          <w:szCs w:val="16"/>
        </w:rPr>
        <w:t> </w:t>
      </w:r>
      <w:r w:rsidRPr="00CD0610">
        <w:rPr>
          <w:sz w:val="16"/>
          <w:szCs w:val="16"/>
        </w:rPr>
        <w:t>Zpracovatelský průmysl, D</w:t>
      </w:r>
      <w:r>
        <w:rPr>
          <w:sz w:val="16"/>
          <w:szCs w:val="16"/>
        </w:rPr>
        <w:t> </w:t>
      </w:r>
      <w:r w:rsidRPr="00CD0610">
        <w:rPr>
          <w:sz w:val="16"/>
          <w:szCs w:val="16"/>
        </w:rPr>
        <w:t>Výroba a rozvod elektřiny, plynu, tepla a klimatizovaného vzduchu, E</w:t>
      </w:r>
      <w:r>
        <w:rPr>
          <w:sz w:val="16"/>
          <w:szCs w:val="16"/>
        </w:rPr>
        <w:t> </w:t>
      </w:r>
      <w:r w:rsidRPr="00CD0610">
        <w:rPr>
          <w:sz w:val="16"/>
          <w:szCs w:val="16"/>
        </w:rPr>
        <w:t>Zásobování vodou; činnosti související s odpadními vodami, odpady a sanacemi</w:t>
      </w:r>
      <w:r>
        <w:rPr>
          <w:sz w:val="16"/>
          <w:szCs w:val="16"/>
        </w:rPr>
        <w:t>.</w:t>
      </w:r>
    </w:p>
  </w:footnote>
  <w:footnote w:id="12">
    <w:p w14:paraId="7D65E72E" w14:textId="5BBEB402" w:rsidR="00AD7D0B" w:rsidRPr="00130759" w:rsidRDefault="00AD7D0B" w:rsidP="00744EE6">
      <w:pPr>
        <w:autoSpaceDE w:val="0"/>
        <w:autoSpaceDN w:val="0"/>
        <w:adjustRightInd w:val="0"/>
        <w:spacing w:after="0" w:line="240" w:lineRule="auto"/>
        <w:jc w:val="left"/>
        <w:rPr>
          <w:rFonts w:cs="Arial"/>
          <w:sz w:val="16"/>
          <w:szCs w:val="16"/>
        </w:rPr>
      </w:pPr>
      <w:r w:rsidRPr="00130759">
        <w:rPr>
          <w:rStyle w:val="Znakapoznpodarou"/>
          <w:rFonts w:cs="Arial"/>
          <w:sz w:val="16"/>
          <w:szCs w:val="16"/>
        </w:rPr>
        <w:footnoteRef/>
      </w:r>
      <w:r w:rsidRPr="00130759">
        <w:rPr>
          <w:rFonts w:cs="Arial"/>
          <w:sz w:val="16"/>
          <w:szCs w:val="16"/>
        </w:rPr>
        <w:t xml:space="preserve"> </w:t>
      </w:r>
      <w:r w:rsidRPr="00130759">
        <w:rPr>
          <w:rFonts w:eastAsiaTheme="minorHAnsi" w:cs="Arial"/>
          <w:bCs/>
          <w:iCs/>
          <w:sz w:val="16"/>
          <w:szCs w:val="16"/>
          <w:lang w:eastAsia="en-US"/>
        </w:rPr>
        <w:t xml:space="preserve">Míra zisku nefinančních podniků </w:t>
      </w:r>
      <w:r w:rsidRPr="00130759">
        <w:rPr>
          <w:rFonts w:eastAsiaTheme="minorHAnsi" w:cs="Arial"/>
          <w:iCs/>
          <w:sz w:val="16"/>
          <w:szCs w:val="16"/>
          <w:lang w:eastAsia="en-US"/>
        </w:rPr>
        <w:t>je definována jako podíl hrubého provozního přebytku k hrubé přidané</w:t>
      </w:r>
      <w:r>
        <w:rPr>
          <w:rFonts w:eastAsiaTheme="minorHAnsi" w:cs="Arial"/>
          <w:iCs/>
          <w:sz w:val="16"/>
          <w:szCs w:val="16"/>
          <w:lang w:eastAsia="en-US"/>
        </w:rPr>
        <w:t xml:space="preserve"> </w:t>
      </w:r>
      <w:r w:rsidRPr="00130759">
        <w:rPr>
          <w:rFonts w:eastAsiaTheme="minorHAnsi" w:cs="Arial"/>
          <w:iCs/>
          <w:sz w:val="16"/>
          <w:szCs w:val="16"/>
          <w:lang w:eastAsia="en-US"/>
        </w:rPr>
        <w:t>hodnotě (B.2g/B.1g).</w:t>
      </w:r>
    </w:p>
  </w:footnote>
  <w:footnote w:id="13">
    <w:p w14:paraId="4962DD8D" w14:textId="77777777" w:rsidR="00AD7D0B" w:rsidRPr="00BB104D" w:rsidRDefault="00AD7D0B" w:rsidP="00744EE6">
      <w:pPr>
        <w:pStyle w:val="Textpoznpodarou"/>
        <w:rPr>
          <w:sz w:val="16"/>
          <w:szCs w:val="16"/>
        </w:rPr>
      </w:pPr>
      <w:r w:rsidRPr="00BB104D">
        <w:rPr>
          <w:rStyle w:val="Znakapoznpodarou"/>
          <w:sz w:val="16"/>
          <w:szCs w:val="16"/>
        </w:rPr>
        <w:footnoteRef/>
      </w:r>
      <w:r w:rsidRPr="00BB104D">
        <w:rPr>
          <w:sz w:val="16"/>
          <w:szCs w:val="16"/>
        </w:rPr>
        <w:t xml:space="preserve"> Míra úspor nefinančních podniků je definována jako podíl hrubých úspor k hrubé přidané hodnotě (B.8g/B.1g)</w:t>
      </w:r>
      <w:r>
        <w:rPr>
          <w:sz w:val="16"/>
          <w:szCs w:val="16"/>
        </w:rPr>
        <w:t>.</w:t>
      </w:r>
    </w:p>
  </w:footnote>
  <w:footnote w:id="14">
    <w:p w14:paraId="70DA3E37" w14:textId="3E0C9069" w:rsidR="00AD7D0B" w:rsidRPr="00F675EC" w:rsidRDefault="00AD7D0B" w:rsidP="00744EE6">
      <w:pPr>
        <w:autoSpaceDE w:val="0"/>
        <w:autoSpaceDN w:val="0"/>
        <w:adjustRightInd w:val="0"/>
        <w:spacing w:after="0" w:line="240" w:lineRule="auto"/>
        <w:jc w:val="left"/>
        <w:rPr>
          <w:rFonts w:cs="Arial"/>
          <w:sz w:val="16"/>
          <w:szCs w:val="16"/>
        </w:rPr>
      </w:pPr>
      <w:r w:rsidRPr="00F675EC">
        <w:rPr>
          <w:rStyle w:val="Znakapoznpodarou"/>
          <w:rFonts w:cs="Arial"/>
          <w:sz w:val="16"/>
          <w:szCs w:val="16"/>
        </w:rPr>
        <w:footnoteRef/>
      </w:r>
      <w:r w:rsidRPr="00F675EC">
        <w:rPr>
          <w:rFonts w:cs="Arial"/>
          <w:sz w:val="16"/>
          <w:szCs w:val="16"/>
        </w:rPr>
        <w:t xml:space="preserve"> </w:t>
      </w:r>
      <w:r w:rsidRPr="00F675EC">
        <w:rPr>
          <w:rFonts w:eastAsiaTheme="minorHAnsi" w:cs="Arial"/>
          <w:bCs/>
          <w:iCs/>
          <w:sz w:val="16"/>
          <w:szCs w:val="16"/>
          <w:lang w:eastAsia="en-US"/>
        </w:rPr>
        <w:t xml:space="preserve">Míra investic nefinančních podniků </w:t>
      </w:r>
      <w:r w:rsidRPr="00F675EC">
        <w:rPr>
          <w:rFonts w:eastAsiaTheme="minorHAnsi" w:cs="Arial"/>
          <w:iCs/>
          <w:sz w:val="16"/>
          <w:szCs w:val="16"/>
          <w:lang w:eastAsia="en-US"/>
        </w:rPr>
        <w:t>je definována jako podíl hrubé tvorby fixního kapitálu k hrubé přidané</w:t>
      </w:r>
      <w:r>
        <w:rPr>
          <w:rFonts w:eastAsiaTheme="minorHAnsi" w:cs="Arial"/>
          <w:iCs/>
          <w:sz w:val="16"/>
          <w:szCs w:val="16"/>
          <w:lang w:eastAsia="en-US"/>
        </w:rPr>
        <w:t xml:space="preserve"> </w:t>
      </w:r>
      <w:r w:rsidRPr="00F675EC">
        <w:rPr>
          <w:rFonts w:eastAsiaTheme="minorHAnsi" w:cs="Arial"/>
          <w:iCs/>
          <w:sz w:val="16"/>
          <w:szCs w:val="16"/>
          <w:lang w:eastAsia="en-US"/>
        </w:rPr>
        <w:t>hodnotě (P.51g/B.1g).</w:t>
      </w:r>
    </w:p>
  </w:footnote>
  <w:footnote w:id="15">
    <w:p w14:paraId="7F91B591" w14:textId="030CE444" w:rsidR="00AD7D0B" w:rsidRPr="00BB104D" w:rsidRDefault="00AD7D0B" w:rsidP="00744EE6">
      <w:pPr>
        <w:pStyle w:val="Textpoznpodarou"/>
        <w:rPr>
          <w:sz w:val="16"/>
          <w:szCs w:val="16"/>
        </w:rPr>
      </w:pPr>
      <w:r w:rsidRPr="00BB104D">
        <w:rPr>
          <w:rStyle w:val="Znakapoznpodarou"/>
          <w:sz w:val="16"/>
          <w:szCs w:val="16"/>
        </w:rPr>
        <w:footnoteRef/>
      </w:r>
      <w:r w:rsidRPr="00BB104D">
        <w:rPr>
          <w:sz w:val="16"/>
          <w:szCs w:val="16"/>
        </w:rPr>
        <w:t xml:space="preserve"> Míra samofinancování nefinančních podniků je definována jako podíl hrubých úspor k hrubé tvorbě fixního kapitálu (B.8g/P.51g)</w:t>
      </w:r>
      <w:r>
        <w:rPr>
          <w:sz w:val="16"/>
          <w:szCs w:val="16"/>
        </w:rPr>
        <w:t>.</w:t>
      </w:r>
    </w:p>
  </w:footnote>
  <w:footnote w:id="16">
    <w:p w14:paraId="13EF89F8" w14:textId="27CBA624" w:rsidR="00AD7D0B" w:rsidRPr="00E446A2" w:rsidRDefault="00AD7D0B" w:rsidP="005152D9">
      <w:pPr>
        <w:pStyle w:val="Textpoznpodarou"/>
        <w:rPr>
          <w:sz w:val="16"/>
          <w:szCs w:val="16"/>
        </w:rPr>
      </w:pPr>
      <w:r w:rsidRPr="00E446A2">
        <w:rPr>
          <w:rStyle w:val="Znakapoznpodarou"/>
          <w:sz w:val="16"/>
          <w:szCs w:val="16"/>
        </w:rPr>
        <w:footnoteRef/>
      </w:r>
      <w:r w:rsidRPr="00E446A2">
        <w:rPr>
          <w:sz w:val="16"/>
          <w:szCs w:val="16"/>
        </w:rPr>
        <w:t xml:space="preserve"> Podíl hrubých provozních nákladů a smíšeného důchodu a hrubé přidané hodnoty ((B.2g+B.3g)/B.1g)</w:t>
      </w:r>
      <w:r>
        <w:rPr>
          <w:sz w:val="16"/>
          <w:szCs w:val="16"/>
        </w:rPr>
        <w:t>.</w:t>
      </w:r>
    </w:p>
  </w:footnote>
  <w:footnote w:id="17">
    <w:p w14:paraId="678CA02B" w14:textId="77777777" w:rsidR="00AD7D0B" w:rsidRPr="00E446A2" w:rsidRDefault="00AD7D0B" w:rsidP="005152D9">
      <w:pPr>
        <w:pStyle w:val="Textpoznpodarou"/>
        <w:rPr>
          <w:sz w:val="16"/>
          <w:szCs w:val="16"/>
        </w:rPr>
      </w:pPr>
      <w:r w:rsidRPr="00E446A2">
        <w:rPr>
          <w:rStyle w:val="Znakapoznpodarou"/>
          <w:sz w:val="16"/>
          <w:szCs w:val="16"/>
        </w:rPr>
        <w:footnoteRef/>
      </w:r>
      <w:r w:rsidRPr="00E446A2">
        <w:rPr>
          <w:sz w:val="16"/>
          <w:szCs w:val="16"/>
        </w:rPr>
        <w:t xml:space="preserve"> HPH v sekci klasifikace NACE Peněžnictví a pojišťovnictví z 96,7</w:t>
      </w:r>
      <w:r>
        <w:rPr>
          <w:sz w:val="16"/>
          <w:szCs w:val="16"/>
        </w:rPr>
        <w:t> %</w:t>
      </w:r>
      <w:r w:rsidRPr="00E446A2">
        <w:rPr>
          <w:sz w:val="16"/>
          <w:szCs w:val="16"/>
        </w:rPr>
        <w:t xml:space="preserve"> tvořily finanční instituce, domácnosti 2,9</w:t>
      </w:r>
      <w:r>
        <w:rPr>
          <w:sz w:val="16"/>
          <w:szCs w:val="16"/>
        </w:rPr>
        <w:t> %</w:t>
      </w:r>
      <w:r w:rsidRPr="00E446A2">
        <w:rPr>
          <w:sz w:val="16"/>
          <w:szCs w:val="16"/>
        </w:rPr>
        <w:t xml:space="preserve"> a malou část (0,4</w:t>
      </w:r>
      <w:r>
        <w:rPr>
          <w:sz w:val="16"/>
          <w:szCs w:val="16"/>
        </w:rPr>
        <w:t> %</w:t>
      </w:r>
      <w:r w:rsidRPr="00E446A2">
        <w:rPr>
          <w:sz w:val="16"/>
          <w:szCs w:val="16"/>
        </w:rPr>
        <w:t>) vládní instituce.</w:t>
      </w:r>
    </w:p>
  </w:footnote>
  <w:footnote w:id="18">
    <w:p w14:paraId="0B9382A3" w14:textId="77777777" w:rsidR="00B619A9" w:rsidRPr="00D22038" w:rsidRDefault="00B619A9" w:rsidP="00B619A9">
      <w:pPr>
        <w:pStyle w:val="Textpoznpodarou"/>
        <w:rPr>
          <w:sz w:val="16"/>
          <w:szCs w:val="16"/>
        </w:rPr>
      </w:pPr>
      <w:r w:rsidRPr="00D22038">
        <w:rPr>
          <w:rStyle w:val="Znakapoznpodarou"/>
          <w:sz w:val="16"/>
          <w:szCs w:val="16"/>
        </w:rPr>
        <w:footnoteRef/>
      </w:r>
      <w:r w:rsidRPr="00D22038">
        <w:rPr>
          <w:sz w:val="16"/>
          <w:szCs w:val="16"/>
        </w:rPr>
        <w:t xml:space="preserve"> Úroky v pojetí národních účtů.</w:t>
      </w:r>
    </w:p>
  </w:footnote>
  <w:footnote w:id="19">
    <w:p w14:paraId="18E990DA" w14:textId="77777777" w:rsidR="00AD7D0B" w:rsidRPr="00E446A2" w:rsidRDefault="00AD7D0B" w:rsidP="005152D9">
      <w:pPr>
        <w:pStyle w:val="Textpoznpodarou"/>
        <w:rPr>
          <w:sz w:val="16"/>
          <w:szCs w:val="16"/>
        </w:rPr>
      </w:pPr>
      <w:r w:rsidRPr="00E446A2">
        <w:rPr>
          <w:rStyle w:val="Znakapoznpodarou"/>
          <w:sz w:val="16"/>
          <w:szCs w:val="16"/>
        </w:rPr>
        <w:footnoteRef/>
      </w:r>
      <w:r w:rsidRPr="00E446A2">
        <w:rPr>
          <w:sz w:val="16"/>
          <w:szCs w:val="16"/>
        </w:rPr>
        <w:t xml:space="preserve"> Největší část tvoří položka D.441 Důchody z investic přisouzené pojistníkům. Další jsou D.442 Důchody z investic na základě penzijních nároků a D.443 Důchody z investic přisouzené podílníkům investičních fondů.</w:t>
      </w:r>
    </w:p>
  </w:footnote>
  <w:footnote w:id="20">
    <w:p w14:paraId="5366BF01" w14:textId="77777777" w:rsidR="00AD7D0B" w:rsidRPr="00E446A2" w:rsidRDefault="00AD7D0B" w:rsidP="005152D9">
      <w:pPr>
        <w:pStyle w:val="Textpoznpodarou"/>
        <w:rPr>
          <w:sz w:val="16"/>
          <w:szCs w:val="16"/>
        </w:rPr>
      </w:pPr>
      <w:r w:rsidRPr="00E446A2">
        <w:rPr>
          <w:rStyle w:val="Znakapoznpodarou"/>
          <w:sz w:val="16"/>
          <w:szCs w:val="16"/>
        </w:rPr>
        <w:footnoteRef/>
      </w:r>
      <w:r w:rsidRPr="00E446A2">
        <w:rPr>
          <w:sz w:val="16"/>
          <w:szCs w:val="16"/>
        </w:rPr>
        <w:t xml:space="preserve"> Očištěné o spotřebu fixního kapitálu.</w:t>
      </w:r>
    </w:p>
  </w:footnote>
  <w:footnote w:id="21">
    <w:p w14:paraId="27BA71F7" w14:textId="77777777" w:rsidR="00AD7D0B" w:rsidRPr="00E446A2" w:rsidRDefault="00AD7D0B" w:rsidP="005152D9">
      <w:pPr>
        <w:pStyle w:val="Textpoznpodarou"/>
        <w:rPr>
          <w:sz w:val="16"/>
          <w:szCs w:val="16"/>
        </w:rPr>
      </w:pPr>
      <w:r w:rsidRPr="00E446A2">
        <w:rPr>
          <w:rStyle w:val="Znakapoznpodarou"/>
          <w:sz w:val="16"/>
          <w:szCs w:val="16"/>
        </w:rPr>
        <w:footnoteRef/>
      </w:r>
      <w:r w:rsidRPr="00E446A2">
        <w:rPr>
          <w:sz w:val="16"/>
          <w:szCs w:val="16"/>
        </w:rPr>
        <w:t xml:space="preserve"> Podíl tvorby hrubého fixního kapitálu na hrubé přidané hodnotě</w:t>
      </w:r>
      <w:r>
        <w:rPr>
          <w:sz w:val="16"/>
          <w:szCs w:val="16"/>
        </w:rPr>
        <w:t xml:space="preserve"> (P.51g/B.1g)</w:t>
      </w:r>
      <w:r w:rsidRPr="00E446A2">
        <w:rPr>
          <w:sz w:val="16"/>
          <w:szCs w:val="16"/>
        </w:rPr>
        <w:t>.</w:t>
      </w:r>
    </w:p>
  </w:footnote>
  <w:footnote w:id="22">
    <w:p w14:paraId="36B2DA16" w14:textId="77777777" w:rsidR="00AD7D0B" w:rsidRPr="00233DA3" w:rsidRDefault="00AD7D0B" w:rsidP="005152D9">
      <w:pPr>
        <w:pStyle w:val="Textpoznpodarou"/>
        <w:rPr>
          <w:sz w:val="16"/>
          <w:szCs w:val="16"/>
        </w:rPr>
      </w:pPr>
      <w:r w:rsidRPr="00233DA3">
        <w:rPr>
          <w:rStyle w:val="Znakapoznpodarou"/>
          <w:sz w:val="16"/>
          <w:szCs w:val="16"/>
        </w:rPr>
        <w:footnoteRef/>
      </w:r>
      <w:r w:rsidRPr="00233DA3">
        <w:rPr>
          <w:sz w:val="16"/>
          <w:szCs w:val="16"/>
        </w:rPr>
        <w:t xml:space="preserve"> Zahrnuje především zdravotní pojišťovny.</w:t>
      </w:r>
    </w:p>
  </w:footnote>
  <w:footnote w:id="23">
    <w:p w14:paraId="0665512B" w14:textId="77777777" w:rsidR="00AD7D0B" w:rsidRPr="00EF6D28" w:rsidRDefault="00AD7D0B" w:rsidP="005152D9">
      <w:pPr>
        <w:pStyle w:val="Textpoznpodarou"/>
        <w:rPr>
          <w:sz w:val="16"/>
          <w:szCs w:val="16"/>
        </w:rPr>
      </w:pPr>
      <w:r w:rsidRPr="00EF6D28">
        <w:rPr>
          <w:rStyle w:val="Znakapoznpodarou"/>
          <w:sz w:val="16"/>
          <w:szCs w:val="16"/>
        </w:rPr>
        <w:footnoteRef/>
      </w:r>
      <w:r w:rsidRPr="00EF6D28">
        <w:rPr>
          <w:sz w:val="16"/>
          <w:szCs w:val="16"/>
        </w:rPr>
        <w:t xml:space="preserve"> To je nejvyšší nárůst v celé dostupné časové řadě (od roku 1999).</w:t>
      </w:r>
    </w:p>
  </w:footnote>
  <w:footnote w:id="24">
    <w:p w14:paraId="77E7838F" w14:textId="77777777" w:rsidR="00AD7D0B" w:rsidRPr="00202B22" w:rsidRDefault="00AD7D0B" w:rsidP="005152D9">
      <w:pPr>
        <w:pStyle w:val="Textpoznpodarou"/>
        <w:rPr>
          <w:sz w:val="16"/>
          <w:szCs w:val="16"/>
        </w:rPr>
      </w:pPr>
      <w:r w:rsidRPr="00202B22">
        <w:rPr>
          <w:rStyle w:val="Znakapoznpodarou"/>
          <w:sz w:val="16"/>
          <w:szCs w:val="16"/>
        </w:rPr>
        <w:footnoteRef/>
      </w:r>
      <w:r w:rsidRPr="00202B22">
        <w:rPr>
          <w:sz w:val="16"/>
          <w:szCs w:val="16"/>
        </w:rPr>
        <w:t xml:space="preserve"> </w:t>
      </w:r>
      <w:r>
        <w:rPr>
          <w:sz w:val="16"/>
          <w:szCs w:val="16"/>
        </w:rPr>
        <w:t xml:space="preserve">Reálný růst hrubého disponibilního důchodu i vyplacených mezd a platů byl vypočítán </w:t>
      </w:r>
      <w:r w:rsidRPr="00202B22">
        <w:rPr>
          <w:sz w:val="16"/>
          <w:szCs w:val="16"/>
        </w:rPr>
        <w:t>pomocí deflátoru výdajů na spotřebu domácností.</w:t>
      </w:r>
    </w:p>
  </w:footnote>
  <w:footnote w:id="25">
    <w:p w14:paraId="07AEF3D9" w14:textId="42A6FE54" w:rsidR="00AD7D0B" w:rsidRDefault="00AD7D0B" w:rsidP="005152D9">
      <w:pPr>
        <w:pStyle w:val="Normlnweb"/>
        <w:spacing w:before="0" w:beforeAutospacing="0" w:after="0" w:afterAutospacing="0"/>
      </w:pPr>
      <w:r w:rsidRPr="002F08C0">
        <w:rPr>
          <w:rStyle w:val="Znakapoznpodarou"/>
          <w:rFonts w:ascii="Arial" w:hAnsi="Arial" w:cs="Arial"/>
          <w:sz w:val="16"/>
          <w:szCs w:val="16"/>
        </w:rPr>
        <w:footnoteRef/>
      </w:r>
      <w:r w:rsidRPr="002F08C0">
        <w:rPr>
          <w:rFonts w:ascii="Arial" w:hAnsi="Arial" w:cs="Arial"/>
          <w:sz w:val="16"/>
          <w:szCs w:val="16"/>
        </w:rPr>
        <w:t xml:space="preserve"> </w:t>
      </w:r>
      <w:r>
        <w:rPr>
          <w:rFonts w:ascii="Arial" w:hAnsi="Arial" w:cs="Arial"/>
          <w:sz w:val="16"/>
          <w:szCs w:val="16"/>
        </w:rPr>
        <w:t>Jde o transfery od vládních institucí nebo NISD. P</w:t>
      </w:r>
      <w:r w:rsidRPr="002F08C0">
        <w:rPr>
          <w:rFonts w:ascii="Arial" w:hAnsi="Arial" w:cs="Arial"/>
          <w:sz w:val="16"/>
          <w:szCs w:val="16"/>
        </w:rPr>
        <w:t>ředstavují hodnotu zboží a služeb poskytnutých zejména ve formě zdravotní a</w:t>
      </w:r>
      <w:r w:rsidR="00376C3B">
        <w:rPr>
          <w:rFonts w:ascii="Arial" w:hAnsi="Arial" w:cs="Arial"/>
          <w:sz w:val="16"/>
          <w:szCs w:val="16"/>
        </w:rPr>
        <w:t> </w:t>
      </w:r>
      <w:r w:rsidRPr="002F08C0">
        <w:rPr>
          <w:rFonts w:ascii="Arial" w:hAnsi="Arial" w:cs="Arial"/>
          <w:sz w:val="16"/>
          <w:szCs w:val="16"/>
        </w:rPr>
        <w:t>sociální péče, vzdělání, bydlení.</w:t>
      </w:r>
    </w:p>
  </w:footnote>
  <w:footnote w:id="26">
    <w:p w14:paraId="5DCD78B6" w14:textId="77777777" w:rsidR="00AD7D0B" w:rsidRPr="00EB5544" w:rsidRDefault="00AD7D0B" w:rsidP="005152D9">
      <w:pPr>
        <w:pStyle w:val="Textpoznpodarou"/>
        <w:rPr>
          <w:sz w:val="16"/>
          <w:szCs w:val="16"/>
        </w:rPr>
      </w:pPr>
      <w:r w:rsidRPr="00EB5544">
        <w:rPr>
          <w:rStyle w:val="Znakapoznpodarou"/>
          <w:sz w:val="16"/>
          <w:szCs w:val="16"/>
        </w:rPr>
        <w:footnoteRef/>
      </w:r>
      <w:r w:rsidRPr="00EB5544">
        <w:rPr>
          <w:sz w:val="16"/>
          <w:szCs w:val="16"/>
        </w:rPr>
        <w:t xml:space="preserve"> Zachycuje příjmy z podnikání drobných podnikatelů zařazených do sektorů domácností</w:t>
      </w:r>
      <w:r>
        <w:rPr>
          <w:sz w:val="16"/>
          <w:szCs w:val="16"/>
        </w:rPr>
        <w:t>.</w:t>
      </w:r>
    </w:p>
  </w:footnote>
  <w:footnote w:id="27">
    <w:p w14:paraId="2E9CD6C1" w14:textId="77777777" w:rsidR="00AD7D0B" w:rsidRPr="00EB5544" w:rsidRDefault="00AD7D0B" w:rsidP="005152D9">
      <w:pPr>
        <w:pStyle w:val="Textpoznpodarou"/>
        <w:rPr>
          <w:sz w:val="16"/>
          <w:szCs w:val="16"/>
        </w:rPr>
      </w:pPr>
      <w:r w:rsidRPr="00EB5544">
        <w:rPr>
          <w:rStyle w:val="Znakapoznpodarou"/>
          <w:sz w:val="16"/>
          <w:szCs w:val="16"/>
        </w:rPr>
        <w:footnoteRef/>
      </w:r>
      <w:r w:rsidRPr="00EB5544">
        <w:rPr>
          <w:sz w:val="16"/>
          <w:szCs w:val="16"/>
        </w:rPr>
        <w:t xml:space="preserve"> Zachycuje hodnotu produkce domácností pro vlastní spotřebu a rovněž imputované nájemné a poskytování služeb bydlení</w:t>
      </w:r>
      <w:r>
        <w:rPr>
          <w:sz w:val="16"/>
          <w:szCs w:val="16"/>
        </w:rPr>
        <w:t>.</w:t>
      </w:r>
    </w:p>
  </w:footnote>
  <w:footnote w:id="28">
    <w:p w14:paraId="51E76E86" w14:textId="47934EC5" w:rsidR="00AD7D0B" w:rsidRPr="003D6F54" w:rsidRDefault="00AD7D0B" w:rsidP="005152D9">
      <w:pPr>
        <w:autoSpaceDE w:val="0"/>
        <w:autoSpaceDN w:val="0"/>
        <w:adjustRightInd w:val="0"/>
        <w:spacing w:after="0" w:line="240" w:lineRule="auto"/>
        <w:jc w:val="left"/>
        <w:rPr>
          <w:rFonts w:cs="Arial"/>
          <w:sz w:val="16"/>
          <w:szCs w:val="16"/>
        </w:rPr>
      </w:pPr>
      <w:r w:rsidRPr="003D6F54">
        <w:rPr>
          <w:rStyle w:val="Znakapoznpodarou"/>
          <w:rFonts w:cs="Arial"/>
          <w:sz w:val="16"/>
          <w:szCs w:val="16"/>
        </w:rPr>
        <w:footnoteRef/>
      </w:r>
      <w:r w:rsidRPr="003D6F54">
        <w:rPr>
          <w:rFonts w:cs="Arial"/>
          <w:sz w:val="16"/>
          <w:szCs w:val="16"/>
        </w:rPr>
        <w:t xml:space="preserve"> </w:t>
      </w:r>
      <w:r w:rsidRPr="003D6F54">
        <w:rPr>
          <w:rFonts w:eastAsia="Calibri" w:cs="Arial"/>
          <w:bCs/>
          <w:iCs/>
          <w:sz w:val="16"/>
          <w:szCs w:val="16"/>
          <w:lang w:eastAsia="en-US"/>
        </w:rPr>
        <w:t xml:space="preserve">Míra úspor domácností </w:t>
      </w:r>
      <w:r w:rsidRPr="003D6F54">
        <w:rPr>
          <w:rFonts w:eastAsia="Calibri" w:cs="Arial"/>
          <w:iCs/>
          <w:sz w:val="16"/>
          <w:szCs w:val="16"/>
          <w:lang w:eastAsia="en-US"/>
        </w:rPr>
        <w:t>je definována jako podíl hrubých úspor a hrubého disponibilního důchodu</w:t>
      </w:r>
      <w:r>
        <w:rPr>
          <w:rFonts w:eastAsia="Calibri" w:cs="Arial"/>
          <w:iCs/>
          <w:sz w:val="16"/>
          <w:szCs w:val="16"/>
          <w:lang w:eastAsia="en-US"/>
        </w:rPr>
        <w:t xml:space="preserve"> </w:t>
      </w:r>
      <w:r w:rsidRPr="003D6F54">
        <w:rPr>
          <w:rFonts w:eastAsia="Calibri" w:cs="Arial"/>
          <w:iCs/>
          <w:sz w:val="16"/>
          <w:szCs w:val="16"/>
          <w:lang w:eastAsia="en-US"/>
        </w:rPr>
        <w:t>se zahrnutím úpravy o</w:t>
      </w:r>
      <w:r w:rsidR="005A5D45">
        <w:rPr>
          <w:rFonts w:eastAsia="Calibri" w:cs="Arial"/>
          <w:iCs/>
          <w:sz w:val="16"/>
          <w:szCs w:val="16"/>
          <w:lang w:eastAsia="en-US"/>
        </w:rPr>
        <w:t> </w:t>
      </w:r>
      <w:r w:rsidRPr="003D6F54">
        <w:rPr>
          <w:rFonts w:eastAsia="Calibri" w:cs="Arial"/>
          <w:iCs/>
          <w:sz w:val="16"/>
          <w:szCs w:val="16"/>
          <w:lang w:eastAsia="en-US"/>
        </w:rPr>
        <w:t>čistý podíl domácností na rezervách penzijních fondů (B.8g/(B.6g+D.8)). Hrubé úspory</w:t>
      </w:r>
      <w:r>
        <w:rPr>
          <w:rFonts w:eastAsia="Calibri" w:cs="Arial"/>
          <w:iCs/>
          <w:sz w:val="16"/>
          <w:szCs w:val="16"/>
          <w:lang w:eastAsia="en-US"/>
        </w:rPr>
        <w:t xml:space="preserve"> </w:t>
      </w:r>
      <w:r w:rsidRPr="003D6F54">
        <w:rPr>
          <w:rFonts w:eastAsia="Calibri" w:cs="Arial"/>
          <w:iCs/>
          <w:sz w:val="16"/>
          <w:szCs w:val="16"/>
          <w:lang w:eastAsia="en-US"/>
        </w:rPr>
        <w:t>představují část hrubého disponibilního důchodu, který nebyl spotřebován ve formě výdajů na konečnou</w:t>
      </w:r>
      <w:r>
        <w:rPr>
          <w:rFonts w:eastAsia="Calibri" w:cs="Arial"/>
          <w:iCs/>
          <w:sz w:val="16"/>
          <w:szCs w:val="16"/>
          <w:lang w:eastAsia="en-US"/>
        </w:rPr>
        <w:t xml:space="preserve"> </w:t>
      </w:r>
      <w:r w:rsidRPr="003D6F54">
        <w:rPr>
          <w:rFonts w:eastAsia="Calibri" w:cs="Arial"/>
          <w:iCs/>
          <w:sz w:val="16"/>
          <w:szCs w:val="16"/>
          <w:lang w:eastAsia="en-US"/>
        </w:rPr>
        <w:t>spotřebu.</w:t>
      </w:r>
    </w:p>
  </w:footnote>
  <w:footnote w:id="29">
    <w:p w14:paraId="3687DE4D" w14:textId="7941ACC9" w:rsidR="00AD7D0B" w:rsidRPr="00406F21" w:rsidRDefault="00AD7D0B" w:rsidP="005152D9">
      <w:pPr>
        <w:pStyle w:val="Textpoznpodarou"/>
        <w:rPr>
          <w:sz w:val="16"/>
          <w:szCs w:val="16"/>
        </w:rPr>
      </w:pPr>
      <w:r w:rsidRPr="00406F21">
        <w:rPr>
          <w:rStyle w:val="Znakapoznpodarou"/>
          <w:sz w:val="16"/>
          <w:szCs w:val="16"/>
        </w:rPr>
        <w:footnoteRef/>
      </w:r>
      <w:r w:rsidRPr="00406F21">
        <w:rPr>
          <w:sz w:val="16"/>
          <w:szCs w:val="16"/>
        </w:rPr>
        <w:t xml:space="preserve"> Údaje o spotřebě podle trvanlivosti i účelové struktuře výdajů jsou v národním pojetí</w:t>
      </w:r>
      <w:r w:rsidR="005A5D45">
        <w:rPr>
          <w:sz w:val="16"/>
          <w:szCs w:val="16"/>
        </w:rPr>
        <w:t>.</w:t>
      </w:r>
    </w:p>
  </w:footnote>
  <w:footnote w:id="30">
    <w:p w14:paraId="1567FEBA" w14:textId="2237D48E" w:rsidR="00AD7D0B" w:rsidRPr="00406F21" w:rsidRDefault="00AD7D0B" w:rsidP="005152D9">
      <w:pPr>
        <w:pStyle w:val="Textpoznpodarou"/>
        <w:rPr>
          <w:sz w:val="16"/>
          <w:szCs w:val="16"/>
        </w:rPr>
      </w:pPr>
      <w:r w:rsidRPr="00406F21">
        <w:rPr>
          <w:rStyle w:val="Znakapoznpodarou"/>
          <w:sz w:val="16"/>
          <w:szCs w:val="16"/>
        </w:rPr>
        <w:footnoteRef/>
      </w:r>
      <w:r w:rsidRPr="00406F21">
        <w:rPr>
          <w:sz w:val="16"/>
          <w:szCs w:val="16"/>
        </w:rPr>
        <w:t xml:space="preserve"> Obecně jsou trvanlivé statky ty, které lze používat opakovaně nebo kontinuálně po časové období jednoho roku a více. </w:t>
      </w:r>
      <w:r>
        <w:rPr>
          <w:sz w:val="16"/>
          <w:szCs w:val="16"/>
        </w:rPr>
        <w:t>Dělí se na statky</w:t>
      </w:r>
      <w:r w:rsidRPr="00406F21">
        <w:rPr>
          <w:sz w:val="16"/>
          <w:szCs w:val="16"/>
        </w:rPr>
        <w:t xml:space="preserve"> dlouhodobé spotřeby</w:t>
      </w:r>
      <w:r>
        <w:rPr>
          <w:sz w:val="16"/>
          <w:szCs w:val="16"/>
        </w:rPr>
        <w:t xml:space="preserve">, kam se </w:t>
      </w:r>
      <w:r w:rsidRPr="00406F21">
        <w:rPr>
          <w:sz w:val="16"/>
          <w:szCs w:val="16"/>
        </w:rPr>
        <w:t>řadí mimo jiné motorová vozidla, nábytek, ledničky, pračky, hudební vybavení, počítačové vybavení či šperky</w:t>
      </w:r>
      <w:r w:rsidR="005A5D45">
        <w:rPr>
          <w:sz w:val="16"/>
          <w:szCs w:val="16"/>
        </w:rPr>
        <w:t>,</w:t>
      </w:r>
      <w:r>
        <w:rPr>
          <w:sz w:val="16"/>
          <w:szCs w:val="16"/>
        </w:rPr>
        <w:t xml:space="preserve"> a s</w:t>
      </w:r>
      <w:r w:rsidRPr="00406F21">
        <w:rPr>
          <w:sz w:val="16"/>
          <w:szCs w:val="16"/>
        </w:rPr>
        <w:t>třednědob</w:t>
      </w:r>
      <w:r>
        <w:rPr>
          <w:sz w:val="16"/>
          <w:szCs w:val="16"/>
        </w:rPr>
        <w:t xml:space="preserve">é spotřeby, </w:t>
      </w:r>
      <w:r w:rsidR="005A5D45">
        <w:rPr>
          <w:sz w:val="16"/>
          <w:szCs w:val="16"/>
        </w:rPr>
        <w:t>které zahrnují</w:t>
      </w:r>
      <w:r w:rsidRPr="00406F21">
        <w:rPr>
          <w:sz w:val="16"/>
          <w:szCs w:val="16"/>
        </w:rPr>
        <w:t xml:space="preserve"> oblečení, obuv, potřeby v domácnosti, vybavení pro sport a knihy.</w:t>
      </w:r>
    </w:p>
  </w:footnote>
  <w:footnote w:id="31">
    <w:p w14:paraId="51A3D560" w14:textId="595C184F" w:rsidR="00AD7D0B" w:rsidRPr="00406F21" w:rsidRDefault="00AD7D0B" w:rsidP="005152D9">
      <w:pPr>
        <w:pStyle w:val="Textpoznpodarou"/>
        <w:rPr>
          <w:sz w:val="16"/>
          <w:szCs w:val="16"/>
        </w:rPr>
      </w:pPr>
      <w:r w:rsidRPr="00406F21">
        <w:rPr>
          <w:rStyle w:val="Znakapoznpodarou"/>
          <w:sz w:val="16"/>
          <w:szCs w:val="16"/>
        </w:rPr>
        <w:footnoteRef/>
      </w:r>
      <w:r w:rsidRPr="00406F21">
        <w:rPr>
          <w:sz w:val="16"/>
          <w:szCs w:val="16"/>
        </w:rPr>
        <w:t xml:space="preserve"> Jedná se o potraviny, nápoje, tabák, farmaceutické výrobky, pohonné hmoty, kosmetiku a</w:t>
      </w:r>
      <w:r w:rsidR="002E1A9C">
        <w:rPr>
          <w:sz w:val="16"/>
          <w:szCs w:val="16"/>
        </w:rPr>
        <w:t> </w:t>
      </w:r>
      <w:r w:rsidRPr="00406F21">
        <w:rPr>
          <w:sz w:val="16"/>
          <w:szCs w:val="16"/>
        </w:rPr>
        <w:t>pod</w:t>
      </w:r>
      <w:r w:rsidR="002E1A9C">
        <w:rPr>
          <w:sz w:val="16"/>
          <w:szCs w:val="16"/>
        </w:rPr>
        <w:t>obně</w:t>
      </w:r>
      <w:r w:rsidRPr="00406F21">
        <w:rPr>
          <w:sz w:val="16"/>
          <w:szCs w:val="16"/>
        </w:rPr>
        <w:t>.</w:t>
      </w:r>
    </w:p>
  </w:footnote>
  <w:footnote w:id="32">
    <w:p w14:paraId="153D995F" w14:textId="77777777" w:rsidR="00AD7D0B" w:rsidRPr="004D5B2F" w:rsidRDefault="00AD7D0B" w:rsidP="005152D9">
      <w:pPr>
        <w:pStyle w:val="Textpoznpodarou"/>
        <w:rPr>
          <w:sz w:val="16"/>
          <w:szCs w:val="16"/>
        </w:rPr>
      </w:pPr>
      <w:r w:rsidRPr="004D5B2F">
        <w:rPr>
          <w:rStyle w:val="Znakapoznpodarou"/>
          <w:sz w:val="16"/>
          <w:szCs w:val="16"/>
        </w:rPr>
        <w:footnoteRef/>
      </w:r>
      <w:r w:rsidRPr="004D5B2F">
        <w:rPr>
          <w:sz w:val="16"/>
          <w:szCs w:val="16"/>
        </w:rPr>
        <w:t xml:space="preserve"> </w:t>
      </w:r>
      <w:r>
        <w:rPr>
          <w:sz w:val="16"/>
          <w:szCs w:val="16"/>
        </w:rPr>
        <w:t>V roce 2017 se objem poskytnutých úvěrů na bydlení zvýšil o 94,8 mld. korun, loni to bylo o 97,8 mld.</w:t>
      </w:r>
    </w:p>
  </w:footnote>
  <w:footnote w:id="33">
    <w:p w14:paraId="77318EA6" w14:textId="4ED2E1C8" w:rsidR="00AD7D0B" w:rsidRPr="00D20875" w:rsidRDefault="00AD7D0B" w:rsidP="005152D9">
      <w:pPr>
        <w:autoSpaceDE w:val="0"/>
        <w:autoSpaceDN w:val="0"/>
        <w:adjustRightInd w:val="0"/>
        <w:spacing w:after="0" w:line="240" w:lineRule="auto"/>
        <w:jc w:val="left"/>
        <w:rPr>
          <w:rFonts w:cs="Arial"/>
          <w:sz w:val="16"/>
          <w:szCs w:val="16"/>
        </w:rPr>
      </w:pPr>
      <w:r w:rsidRPr="00D20875">
        <w:rPr>
          <w:rStyle w:val="Znakapoznpodarou"/>
          <w:rFonts w:cs="Arial"/>
          <w:sz w:val="16"/>
          <w:szCs w:val="16"/>
        </w:rPr>
        <w:footnoteRef/>
      </w:r>
      <w:r w:rsidRPr="00D20875">
        <w:rPr>
          <w:rFonts w:cs="Arial"/>
          <w:sz w:val="16"/>
          <w:szCs w:val="16"/>
        </w:rPr>
        <w:t xml:space="preserve"> </w:t>
      </w:r>
      <w:r w:rsidRPr="00D20875">
        <w:rPr>
          <w:rFonts w:eastAsia="Calibri" w:cs="Arial"/>
          <w:bCs/>
          <w:iCs/>
          <w:sz w:val="16"/>
          <w:szCs w:val="16"/>
          <w:lang w:eastAsia="en-US"/>
        </w:rPr>
        <w:t xml:space="preserve">Míra investic domácností </w:t>
      </w:r>
      <w:r w:rsidRPr="00D20875">
        <w:rPr>
          <w:rFonts w:eastAsia="Calibri" w:cs="Arial"/>
          <w:iCs/>
          <w:sz w:val="16"/>
          <w:szCs w:val="16"/>
          <w:lang w:eastAsia="en-US"/>
        </w:rPr>
        <w:t>je definována jako podíl hrubé tvorby fixního kapitálu k hrubému disponibilnímu důchodu se zahrnutím</w:t>
      </w:r>
      <w:r>
        <w:rPr>
          <w:rFonts w:eastAsia="Calibri" w:cs="Arial"/>
          <w:iCs/>
          <w:sz w:val="16"/>
          <w:szCs w:val="16"/>
          <w:lang w:eastAsia="en-US"/>
        </w:rPr>
        <w:t xml:space="preserve"> </w:t>
      </w:r>
      <w:r w:rsidRPr="00D20875">
        <w:rPr>
          <w:rFonts w:eastAsia="Calibri" w:cs="Arial"/>
          <w:iCs/>
          <w:sz w:val="16"/>
          <w:szCs w:val="16"/>
          <w:lang w:eastAsia="en-US"/>
        </w:rPr>
        <w:t>úpravy o čistý podíl domácností na rezervách penzijních fondů (P.51g/B.6g</w:t>
      </w:r>
      <w:r w:rsidR="00D67375">
        <w:rPr>
          <w:rFonts w:eastAsia="Calibri" w:cs="Arial"/>
          <w:iCs/>
          <w:sz w:val="16"/>
          <w:szCs w:val="16"/>
          <w:lang w:eastAsia="en-US"/>
        </w:rPr>
        <w:t>–</w:t>
      </w:r>
      <w:r w:rsidRPr="00D20875">
        <w:rPr>
          <w:rFonts w:eastAsia="Calibri" w:cs="Arial"/>
          <w:iCs/>
          <w:sz w:val="16"/>
          <w:szCs w:val="16"/>
          <w:lang w:eastAsia="en-US"/>
        </w:rPr>
        <w:t>D.8).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B81D" w14:textId="77777777" w:rsidR="00AD7D0B" w:rsidRPr="00601A2E" w:rsidRDefault="00AD7D0B" w:rsidP="00601A2E">
    <w:pPr>
      <w:pStyle w:val="Zhlav"/>
    </w:pPr>
    <w:r>
      <w:t>Analýza ekonomického vývoje v roce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7858" w14:textId="77777777" w:rsidR="00AD7D0B" w:rsidRDefault="00AD7D0B" w:rsidP="00937AE2">
    <w:pPr>
      <w:pStyle w:val="Zhlav"/>
    </w:pPr>
    <w:r>
      <w:t>Analýza ekonomického vývoje v roce 2018</w:t>
    </w:r>
  </w:p>
  <w:p w14:paraId="427F87BC" w14:textId="77777777" w:rsidR="00AD7D0B" w:rsidRPr="006F5416" w:rsidRDefault="00AD7D0B"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59553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6415AC1"/>
    <w:multiLevelType w:val="hybridMultilevel"/>
    <w:tmpl w:val="7464A696"/>
    <w:lvl w:ilvl="0" w:tplc="4246FC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20"/>
  </w:num>
  <w:num w:numId="14">
    <w:abstractNumId w:val="10"/>
  </w:num>
  <w:num w:numId="15">
    <w:abstractNumId w:val="16"/>
  </w:num>
  <w:num w:numId="16">
    <w:abstractNumId w:val="12"/>
  </w:num>
  <w:num w:numId="17">
    <w:abstractNumId w:val="21"/>
  </w:num>
  <w:num w:numId="18">
    <w:abstractNumId w:val="17"/>
  </w:num>
  <w:num w:numId="19">
    <w:abstractNumId w:val="22"/>
  </w:num>
  <w:num w:numId="20">
    <w:abstractNumId w:val="24"/>
  </w:num>
  <w:num w:numId="21">
    <w:abstractNumId w:val="19"/>
  </w:num>
  <w:num w:numId="22">
    <w:abstractNumId w:val="15"/>
  </w:num>
  <w:num w:numId="23">
    <w:abstractNumId w:val="13"/>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F46502"/>
    <w:rsid w:val="0000209D"/>
    <w:rsid w:val="00004D5A"/>
    <w:rsid w:val="000056D5"/>
    <w:rsid w:val="00006ABD"/>
    <w:rsid w:val="0000767A"/>
    <w:rsid w:val="00007BEF"/>
    <w:rsid w:val="00010256"/>
    <w:rsid w:val="00010702"/>
    <w:rsid w:val="00011912"/>
    <w:rsid w:val="00012408"/>
    <w:rsid w:val="00014E7F"/>
    <w:rsid w:val="0002195D"/>
    <w:rsid w:val="000234D6"/>
    <w:rsid w:val="00023D29"/>
    <w:rsid w:val="00026389"/>
    <w:rsid w:val="00031AE0"/>
    <w:rsid w:val="000322EF"/>
    <w:rsid w:val="000333B9"/>
    <w:rsid w:val="00033FCD"/>
    <w:rsid w:val="00041CEC"/>
    <w:rsid w:val="0004694F"/>
    <w:rsid w:val="000500AB"/>
    <w:rsid w:val="000522E4"/>
    <w:rsid w:val="000610E1"/>
    <w:rsid w:val="00062EC5"/>
    <w:rsid w:val="00062F22"/>
    <w:rsid w:val="00067A82"/>
    <w:rsid w:val="000712B3"/>
    <w:rsid w:val="000748F2"/>
    <w:rsid w:val="0008263E"/>
    <w:rsid w:val="00082A55"/>
    <w:rsid w:val="00082C19"/>
    <w:rsid w:val="00085395"/>
    <w:rsid w:val="00087634"/>
    <w:rsid w:val="00087F2B"/>
    <w:rsid w:val="00093E3F"/>
    <w:rsid w:val="00093E53"/>
    <w:rsid w:val="00095135"/>
    <w:rsid w:val="00096085"/>
    <w:rsid w:val="000974D1"/>
    <w:rsid w:val="0009799E"/>
    <w:rsid w:val="000A1183"/>
    <w:rsid w:val="000A256D"/>
    <w:rsid w:val="000A3A2C"/>
    <w:rsid w:val="000B525B"/>
    <w:rsid w:val="000C1D78"/>
    <w:rsid w:val="000C3408"/>
    <w:rsid w:val="000C6AFD"/>
    <w:rsid w:val="000D5637"/>
    <w:rsid w:val="000E3D0E"/>
    <w:rsid w:val="000E6C04"/>
    <w:rsid w:val="000E6FBD"/>
    <w:rsid w:val="000F7084"/>
    <w:rsid w:val="00100F5C"/>
    <w:rsid w:val="0010106F"/>
    <w:rsid w:val="00101CDA"/>
    <w:rsid w:val="00104C4C"/>
    <w:rsid w:val="00117623"/>
    <w:rsid w:val="0012192F"/>
    <w:rsid w:val="00122BB3"/>
    <w:rsid w:val="00125A9C"/>
    <w:rsid w:val="00125D69"/>
    <w:rsid w:val="001405FA"/>
    <w:rsid w:val="00141782"/>
    <w:rsid w:val="001425C3"/>
    <w:rsid w:val="0014794C"/>
    <w:rsid w:val="001528B9"/>
    <w:rsid w:val="001612F4"/>
    <w:rsid w:val="00162312"/>
    <w:rsid w:val="0016256B"/>
    <w:rsid w:val="00163793"/>
    <w:rsid w:val="001671FF"/>
    <w:rsid w:val="001706D6"/>
    <w:rsid w:val="001714F2"/>
    <w:rsid w:val="00175B9F"/>
    <w:rsid w:val="00181BBC"/>
    <w:rsid w:val="00182799"/>
    <w:rsid w:val="00184B08"/>
    <w:rsid w:val="00185010"/>
    <w:rsid w:val="00186919"/>
    <w:rsid w:val="001916DB"/>
    <w:rsid w:val="00193818"/>
    <w:rsid w:val="001A0487"/>
    <w:rsid w:val="001A0D6B"/>
    <w:rsid w:val="001A5387"/>
    <w:rsid w:val="001A552F"/>
    <w:rsid w:val="001B28D3"/>
    <w:rsid w:val="001B2CA9"/>
    <w:rsid w:val="001B3110"/>
    <w:rsid w:val="001B4729"/>
    <w:rsid w:val="001B6310"/>
    <w:rsid w:val="001B6C09"/>
    <w:rsid w:val="001C05CD"/>
    <w:rsid w:val="001C1B66"/>
    <w:rsid w:val="001C487C"/>
    <w:rsid w:val="001D198A"/>
    <w:rsid w:val="001D463E"/>
    <w:rsid w:val="001D51EB"/>
    <w:rsid w:val="001D68B2"/>
    <w:rsid w:val="001D70E9"/>
    <w:rsid w:val="001E504C"/>
    <w:rsid w:val="001F138C"/>
    <w:rsid w:val="001F4063"/>
    <w:rsid w:val="001F4597"/>
    <w:rsid w:val="001F52D6"/>
    <w:rsid w:val="00203DA4"/>
    <w:rsid w:val="002052C6"/>
    <w:rsid w:val="002054B4"/>
    <w:rsid w:val="002118B9"/>
    <w:rsid w:val="00217C5B"/>
    <w:rsid w:val="0022139E"/>
    <w:rsid w:val="00222729"/>
    <w:rsid w:val="00222FFB"/>
    <w:rsid w:val="002252E0"/>
    <w:rsid w:val="002255F6"/>
    <w:rsid w:val="00227850"/>
    <w:rsid w:val="00227A53"/>
    <w:rsid w:val="00230C6E"/>
    <w:rsid w:val="00236443"/>
    <w:rsid w:val="00241035"/>
    <w:rsid w:val="00241B06"/>
    <w:rsid w:val="002436BA"/>
    <w:rsid w:val="00244A15"/>
    <w:rsid w:val="00244EB3"/>
    <w:rsid w:val="00247319"/>
    <w:rsid w:val="0024799E"/>
    <w:rsid w:val="00253C0F"/>
    <w:rsid w:val="002558C1"/>
    <w:rsid w:val="00255943"/>
    <w:rsid w:val="00260FC5"/>
    <w:rsid w:val="00271465"/>
    <w:rsid w:val="00274037"/>
    <w:rsid w:val="00285412"/>
    <w:rsid w:val="0028587B"/>
    <w:rsid w:val="00291640"/>
    <w:rsid w:val="002A16D4"/>
    <w:rsid w:val="002A230C"/>
    <w:rsid w:val="002A5D97"/>
    <w:rsid w:val="002A7679"/>
    <w:rsid w:val="002B2127"/>
    <w:rsid w:val="002B213A"/>
    <w:rsid w:val="002B4845"/>
    <w:rsid w:val="002B6B06"/>
    <w:rsid w:val="002C43BD"/>
    <w:rsid w:val="002D0E59"/>
    <w:rsid w:val="002E02A1"/>
    <w:rsid w:val="002E1A9C"/>
    <w:rsid w:val="002E4E4C"/>
    <w:rsid w:val="00303533"/>
    <w:rsid w:val="00304771"/>
    <w:rsid w:val="003052D4"/>
    <w:rsid w:val="00306C5B"/>
    <w:rsid w:val="00314A41"/>
    <w:rsid w:val="003209D6"/>
    <w:rsid w:val="00321924"/>
    <w:rsid w:val="0032656E"/>
    <w:rsid w:val="003268DD"/>
    <w:rsid w:val="00330060"/>
    <w:rsid w:val="00332190"/>
    <w:rsid w:val="0033250B"/>
    <w:rsid w:val="0034335E"/>
    <w:rsid w:val="00344668"/>
    <w:rsid w:val="003462D9"/>
    <w:rsid w:val="00347378"/>
    <w:rsid w:val="00347604"/>
    <w:rsid w:val="00357908"/>
    <w:rsid w:val="00360C86"/>
    <w:rsid w:val="00360DE3"/>
    <w:rsid w:val="00360FBC"/>
    <w:rsid w:val="00362E90"/>
    <w:rsid w:val="00364C32"/>
    <w:rsid w:val="00364FA0"/>
    <w:rsid w:val="003657F3"/>
    <w:rsid w:val="00376C3B"/>
    <w:rsid w:val="003818DC"/>
    <w:rsid w:val="00384327"/>
    <w:rsid w:val="003852A9"/>
    <w:rsid w:val="00385D98"/>
    <w:rsid w:val="003870EE"/>
    <w:rsid w:val="003A2B4D"/>
    <w:rsid w:val="003A2D12"/>
    <w:rsid w:val="003A478C"/>
    <w:rsid w:val="003A5525"/>
    <w:rsid w:val="003A6B38"/>
    <w:rsid w:val="003B461F"/>
    <w:rsid w:val="003B5A32"/>
    <w:rsid w:val="003C3490"/>
    <w:rsid w:val="003C4BE8"/>
    <w:rsid w:val="003C7E62"/>
    <w:rsid w:val="003D6920"/>
    <w:rsid w:val="003E38BA"/>
    <w:rsid w:val="003E4C91"/>
    <w:rsid w:val="003F313C"/>
    <w:rsid w:val="003F37FC"/>
    <w:rsid w:val="003F3890"/>
    <w:rsid w:val="003F4B2C"/>
    <w:rsid w:val="003F551C"/>
    <w:rsid w:val="003F72ED"/>
    <w:rsid w:val="003F7D23"/>
    <w:rsid w:val="00407C13"/>
    <w:rsid w:val="00410638"/>
    <w:rsid w:val="0041501E"/>
    <w:rsid w:val="004159C3"/>
    <w:rsid w:val="00425F45"/>
    <w:rsid w:val="00432A58"/>
    <w:rsid w:val="00433C0C"/>
    <w:rsid w:val="00434617"/>
    <w:rsid w:val="00436778"/>
    <w:rsid w:val="00440900"/>
    <w:rsid w:val="00441BF6"/>
    <w:rsid w:val="004441A0"/>
    <w:rsid w:val="0045078A"/>
    <w:rsid w:val="0045086D"/>
    <w:rsid w:val="00460FB3"/>
    <w:rsid w:val="00467ABC"/>
    <w:rsid w:val="00476240"/>
    <w:rsid w:val="00476439"/>
    <w:rsid w:val="0047735C"/>
    <w:rsid w:val="004776BC"/>
    <w:rsid w:val="0048139F"/>
    <w:rsid w:val="00481E40"/>
    <w:rsid w:val="00484ECE"/>
    <w:rsid w:val="004915CB"/>
    <w:rsid w:val="004924DC"/>
    <w:rsid w:val="004A14E4"/>
    <w:rsid w:val="004A3212"/>
    <w:rsid w:val="004A5494"/>
    <w:rsid w:val="004A61C5"/>
    <w:rsid w:val="004A77DF"/>
    <w:rsid w:val="004B1417"/>
    <w:rsid w:val="004B48DF"/>
    <w:rsid w:val="004B55B7"/>
    <w:rsid w:val="004B6468"/>
    <w:rsid w:val="004B7125"/>
    <w:rsid w:val="004C26B0"/>
    <w:rsid w:val="004C384C"/>
    <w:rsid w:val="004C3867"/>
    <w:rsid w:val="004C4CD0"/>
    <w:rsid w:val="004C5FBF"/>
    <w:rsid w:val="004C70DC"/>
    <w:rsid w:val="004D0211"/>
    <w:rsid w:val="004D0794"/>
    <w:rsid w:val="004D3177"/>
    <w:rsid w:val="004E326C"/>
    <w:rsid w:val="004F06F5"/>
    <w:rsid w:val="004F16F7"/>
    <w:rsid w:val="004F33A0"/>
    <w:rsid w:val="004F6EDC"/>
    <w:rsid w:val="0050689D"/>
    <w:rsid w:val="005108C0"/>
    <w:rsid w:val="00511873"/>
    <w:rsid w:val="00512A2F"/>
    <w:rsid w:val="00513B7E"/>
    <w:rsid w:val="005152D9"/>
    <w:rsid w:val="00515C74"/>
    <w:rsid w:val="00515FFA"/>
    <w:rsid w:val="005173AF"/>
    <w:rsid w:val="0052007E"/>
    <w:rsid w:val="0052337A"/>
    <w:rsid w:val="00525137"/>
    <w:rsid w:val="005251DD"/>
    <w:rsid w:val="00532CE7"/>
    <w:rsid w:val="0053324C"/>
    <w:rsid w:val="00534A28"/>
    <w:rsid w:val="00541508"/>
    <w:rsid w:val="00543498"/>
    <w:rsid w:val="00551238"/>
    <w:rsid w:val="0055599F"/>
    <w:rsid w:val="00556D68"/>
    <w:rsid w:val="00561B03"/>
    <w:rsid w:val="00563EB8"/>
    <w:rsid w:val="005647BF"/>
    <w:rsid w:val="00564AF1"/>
    <w:rsid w:val="0057364B"/>
    <w:rsid w:val="00574773"/>
    <w:rsid w:val="00581AC8"/>
    <w:rsid w:val="00583FFD"/>
    <w:rsid w:val="005911BE"/>
    <w:rsid w:val="00593152"/>
    <w:rsid w:val="00596F92"/>
    <w:rsid w:val="005A10F2"/>
    <w:rsid w:val="005A21E0"/>
    <w:rsid w:val="005A28FF"/>
    <w:rsid w:val="005A2A19"/>
    <w:rsid w:val="005A2C7B"/>
    <w:rsid w:val="005A3DF8"/>
    <w:rsid w:val="005A5549"/>
    <w:rsid w:val="005A5D45"/>
    <w:rsid w:val="005A655B"/>
    <w:rsid w:val="005A7666"/>
    <w:rsid w:val="005B121D"/>
    <w:rsid w:val="005C06ED"/>
    <w:rsid w:val="005C2609"/>
    <w:rsid w:val="005C35A1"/>
    <w:rsid w:val="005D3386"/>
    <w:rsid w:val="005D5802"/>
    <w:rsid w:val="005D7119"/>
    <w:rsid w:val="005D7890"/>
    <w:rsid w:val="005E2A7C"/>
    <w:rsid w:val="005E7C78"/>
    <w:rsid w:val="005F18C5"/>
    <w:rsid w:val="005F3EB1"/>
    <w:rsid w:val="005F46D8"/>
    <w:rsid w:val="005F5469"/>
    <w:rsid w:val="00600079"/>
    <w:rsid w:val="006003D1"/>
    <w:rsid w:val="00601A2E"/>
    <w:rsid w:val="0060404F"/>
    <w:rsid w:val="00604307"/>
    <w:rsid w:val="0060487F"/>
    <w:rsid w:val="00604EAD"/>
    <w:rsid w:val="006104FB"/>
    <w:rsid w:val="0061249B"/>
    <w:rsid w:val="00612A2F"/>
    <w:rsid w:val="00616E05"/>
    <w:rsid w:val="00624093"/>
    <w:rsid w:val="006254CB"/>
    <w:rsid w:val="0063201A"/>
    <w:rsid w:val="006350D5"/>
    <w:rsid w:val="006404A7"/>
    <w:rsid w:val="006451E4"/>
    <w:rsid w:val="00645B33"/>
    <w:rsid w:val="00650330"/>
    <w:rsid w:val="006516CB"/>
    <w:rsid w:val="006558BD"/>
    <w:rsid w:val="00657E87"/>
    <w:rsid w:val="00664803"/>
    <w:rsid w:val="00665BA4"/>
    <w:rsid w:val="00666D91"/>
    <w:rsid w:val="00667AF2"/>
    <w:rsid w:val="006710C9"/>
    <w:rsid w:val="00674D89"/>
    <w:rsid w:val="00675E37"/>
    <w:rsid w:val="00680001"/>
    <w:rsid w:val="0068174E"/>
    <w:rsid w:val="00681DCE"/>
    <w:rsid w:val="0068260E"/>
    <w:rsid w:val="006863B2"/>
    <w:rsid w:val="00695BEF"/>
    <w:rsid w:val="006977F6"/>
    <w:rsid w:val="00697A13"/>
    <w:rsid w:val="006A109C"/>
    <w:rsid w:val="006A3E08"/>
    <w:rsid w:val="006A73A6"/>
    <w:rsid w:val="006B0F92"/>
    <w:rsid w:val="006B344A"/>
    <w:rsid w:val="006B4B7B"/>
    <w:rsid w:val="006B78D8"/>
    <w:rsid w:val="006C113F"/>
    <w:rsid w:val="006C123E"/>
    <w:rsid w:val="006C1752"/>
    <w:rsid w:val="006C33B2"/>
    <w:rsid w:val="006C56D4"/>
    <w:rsid w:val="006C6924"/>
    <w:rsid w:val="006C7CA6"/>
    <w:rsid w:val="006D3E8A"/>
    <w:rsid w:val="006D61F6"/>
    <w:rsid w:val="006D64C2"/>
    <w:rsid w:val="006E279A"/>
    <w:rsid w:val="006E313B"/>
    <w:rsid w:val="006E7227"/>
    <w:rsid w:val="006F2595"/>
    <w:rsid w:val="006F438E"/>
    <w:rsid w:val="006F5416"/>
    <w:rsid w:val="00705242"/>
    <w:rsid w:val="00706AD4"/>
    <w:rsid w:val="00707150"/>
    <w:rsid w:val="007140BE"/>
    <w:rsid w:val="00716E3F"/>
    <w:rsid w:val="007211F5"/>
    <w:rsid w:val="007240E2"/>
    <w:rsid w:val="00725BB5"/>
    <w:rsid w:val="00730AE8"/>
    <w:rsid w:val="00730F1B"/>
    <w:rsid w:val="00740575"/>
    <w:rsid w:val="00741493"/>
    <w:rsid w:val="0074369B"/>
    <w:rsid w:val="00744EE6"/>
    <w:rsid w:val="00745062"/>
    <w:rsid w:val="00745BC3"/>
    <w:rsid w:val="007506A5"/>
    <w:rsid w:val="00750EF8"/>
    <w:rsid w:val="00752180"/>
    <w:rsid w:val="00753CAB"/>
    <w:rsid w:val="00755202"/>
    <w:rsid w:val="00755D3A"/>
    <w:rsid w:val="007578D3"/>
    <w:rsid w:val="007609C6"/>
    <w:rsid w:val="0076175D"/>
    <w:rsid w:val="00763B85"/>
    <w:rsid w:val="0076521E"/>
    <w:rsid w:val="007661E9"/>
    <w:rsid w:val="00775F45"/>
    <w:rsid w:val="00776169"/>
    <w:rsid w:val="00776527"/>
    <w:rsid w:val="00780EF1"/>
    <w:rsid w:val="00785232"/>
    <w:rsid w:val="00790764"/>
    <w:rsid w:val="0079453C"/>
    <w:rsid w:val="00794677"/>
    <w:rsid w:val="007A38F2"/>
    <w:rsid w:val="007A516D"/>
    <w:rsid w:val="007B0750"/>
    <w:rsid w:val="007B6689"/>
    <w:rsid w:val="007C13A4"/>
    <w:rsid w:val="007C6BBD"/>
    <w:rsid w:val="007C7BAE"/>
    <w:rsid w:val="007D0C24"/>
    <w:rsid w:val="007D40DF"/>
    <w:rsid w:val="007E29B4"/>
    <w:rsid w:val="007E435A"/>
    <w:rsid w:val="007E7E61"/>
    <w:rsid w:val="007F0845"/>
    <w:rsid w:val="007F661C"/>
    <w:rsid w:val="007F708D"/>
    <w:rsid w:val="00801E13"/>
    <w:rsid w:val="00805381"/>
    <w:rsid w:val="00807674"/>
    <w:rsid w:val="00807C82"/>
    <w:rsid w:val="00816905"/>
    <w:rsid w:val="00821FF6"/>
    <w:rsid w:val="00822574"/>
    <w:rsid w:val="00825C4D"/>
    <w:rsid w:val="0083143E"/>
    <w:rsid w:val="00831CDE"/>
    <w:rsid w:val="00833BF2"/>
    <w:rsid w:val="00834304"/>
    <w:rsid w:val="00834FAA"/>
    <w:rsid w:val="00836086"/>
    <w:rsid w:val="008364D5"/>
    <w:rsid w:val="00846121"/>
    <w:rsid w:val="0084708F"/>
    <w:rsid w:val="0084727E"/>
    <w:rsid w:val="008477C8"/>
    <w:rsid w:val="00847931"/>
    <w:rsid w:val="0085114D"/>
    <w:rsid w:val="00852217"/>
    <w:rsid w:val="00855408"/>
    <w:rsid w:val="00856D65"/>
    <w:rsid w:val="00861B41"/>
    <w:rsid w:val="00861BE3"/>
    <w:rsid w:val="00863434"/>
    <w:rsid w:val="008637A2"/>
    <w:rsid w:val="00865E4C"/>
    <w:rsid w:val="008701E4"/>
    <w:rsid w:val="00875A32"/>
    <w:rsid w:val="00876086"/>
    <w:rsid w:val="00884A6F"/>
    <w:rsid w:val="008856A3"/>
    <w:rsid w:val="008873D4"/>
    <w:rsid w:val="0089296D"/>
    <w:rsid w:val="00893E85"/>
    <w:rsid w:val="00894031"/>
    <w:rsid w:val="00895508"/>
    <w:rsid w:val="008B7C02"/>
    <w:rsid w:val="008B7D2B"/>
    <w:rsid w:val="008C0049"/>
    <w:rsid w:val="008C0E88"/>
    <w:rsid w:val="008D0DBD"/>
    <w:rsid w:val="008D1E6A"/>
    <w:rsid w:val="008D2A16"/>
    <w:rsid w:val="008E0DC9"/>
    <w:rsid w:val="008E2C57"/>
    <w:rsid w:val="008E31FF"/>
    <w:rsid w:val="008E6F06"/>
    <w:rsid w:val="008E7FC9"/>
    <w:rsid w:val="008F029B"/>
    <w:rsid w:val="008F3FC9"/>
    <w:rsid w:val="008F585B"/>
    <w:rsid w:val="009003A8"/>
    <w:rsid w:val="00902500"/>
    <w:rsid w:val="00902EFF"/>
    <w:rsid w:val="00906401"/>
    <w:rsid w:val="0091155E"/>
    <w:rsid w:val="00912A92"/>
    <w:rsid w:val="00915CF4"/>
    <w:rsid w:val="0091728D"/>
    <w:rsid w:val="0092180B"/>
    <w:rsid w:val="00921F14"/>
    <w:rsid w:val="00924AC8"/>
    <w:rsid w:val="0092597A"/>
    <w:rsid w:val="00930FB1"/>
    <w:rsid w:val="0093139F"/>
    <w:rsid w:val="00932443"/>
    <w:rsid w:val="00937AE2"/>
    <w:rsid w:val="00942C19"/>
    <w:rsid w:val="0094427A"/>
    <w:rsid w:val="00945245"/>
    <w:rsid w:val="00953F28"/>
    <w:rsid w:val="009540B7"/>
    <w:rsid w:val="0095759C"/>
    <w:rsid w:val="0096154D"/>
    <w:rsid w:val="0096221A"/>
    <w:rsid w:val="00974923"/>
    <w:rsid w:val="00976BAF"/>
    <w:rsid w:val="00980D3D"/>
    <w:rsid w:val="00987A30"/>
    <w:rsid w:val="00992CF3"/>
    <w:rsid w:val="009942B6"/>
    <w:rsid w:val="00994868"/>
    <w:rsid w:val="009968D6"/>
    <w:rsid w:val="009A1CAB"/>
    <w:rsid w:val="009A4901"/>
    <w:rsid w:val="009A60D1"/>
    <w:rsid w:val="009B6FD3"/>
    <w:rsid w:val="009B7C82"/>
    <w:rsid w:val="009C03C8"/>
    <w:rsid w:val="009C1750"/>
    <w:rsid w:val="009C1EEA"/>
    <w:rsid w:val="009C2E29"/>
    <w:rsid w:val="009C554B"/>
    <w:rsid w:val="009C719E"/>
    <w:rsid w:val="009D3ACD"/>
    <w:rsid w:val="009E5273"/>
    <w:rsid w:val="009E5DDB"/>
    <w:rsid w:val="009F46EA"/>
    <w:rsid w:val="009F4CA7"/>
    <w:rsid w:val="00A01CA0"/>
    <w:rsid w:val="00A10D66"/>
    <w:rsid w:val="00A1260E"/>
    <w:rsid w:val="00A14114"/>
    <w:rsid w:val="00A16413"/>
    <w:rsid w:val="00A16E1D"/>
    <w:rsid w:val="00A17D5B"/>
    <w:rsid w:val="00A20028"/>
    <w:rsid w:val="00A230A8"/>
    <w:rsid w:val="00A23E43"/>
    <w:rsid w:val="00A25216"/>
    <w:rsid w:val="00A27420"/>
    <w:rsid w:val="00A27C85"/>
    <w:rsid w:val="00A30F65"/>
    <w:rsid w:val="00A32759"/>
    <w:rsid w:val="00A329DF"/>
    <w:rsid w:val="00A35142"/>
    <w:rsid w:val="00A35EA6"/>
    <w:rsid w:val="00A40EAC"/>
    <w:rsid w:val="00A416D4"/>
    <w:rsid w:val="00A418BC"/>
    <w:rsid w:val="00A46DE0"/>
    <w:rsid w:val="00A4750C"/>
    <w:rsid w:val="00A50D73"/>
    <w:rsid w:val="00A51F19"/>
    <w:rsid w:val="00A52CAD"/>
    <w:rsid w:val="00A537F0"/>
    <w:rsid w:val="00A53FC7"/>
    <w:rsid w:val="00A54250"/>
    <w:rsid w:val="00A55161"/>
    <w:rsid w:val="00A55593"/>
    <w:rsid w:val="00A62B23"/>
    <w:rsid w:val="00A62CE1"/>
    <w:rsid w:val="00A66A11"/>
    <w:rsid w:val="00A6741E"/>
    <w:rsid w:val="00A75E40"/>
    <w:rsid w:val="00A77D1D"/>
    <w:rsid w:val="00A84923"/>
    <w:rsid w:val="00A857C0"/>
    <w:rsid w:val="00A90FED"/>
    <w:rsid w:val="00AA2996"/>
    <w:rsid w:val="00AA52BF"/>
    <w:rsid w:val="00AA559A"/>
    <w:rsid w:val="00AB2AF1"/>
    <w:rsid w:val="00AB5421"/>
    <w:rsid w:val="00AC45BD"/>
    <w:rsid w:val="00AD168E"/>
    <w:rsid w:val="00AD306C"/>
    <w:rsid w:val="00AD68C4"/>
    <w:rsid w:val="00AD7D0B"/>
    <w:rsid w:val="00AE09B3"/>
    <w:rsid w:val="00AE1A83"/>
    <w:rsid w:val="00AE7FB2"/>
    <w:rsid w:val="00B00913"/>
    <w:rsid w:val="00B01593"/>
    <w:rsid w:val="00B023F2"/>
    <w:rsid w:val="00B10A4D"/>
    <w:rsid w:val="00B120A1"/>
    <w:rsid w:val="00B12AA6"/>
    <w:rsid w:val="00B14BC1"/>
    <w:rsid w:val="00B17E71"/>
    <w:rsid w:val="00B17FDE"/>
    <w:rsid w:val="00B20632"/>
    <w:rsid w:val="00B23055"/>
    <w:rsid w:val="00B2379C"/>
    <w:rsid w:val="00B2687D"/>
    <w:rsid w:val="00B32DDB"/>
    <w:rsid w:val="00B34528"/>
    <w:rsid w:val="00B34CC9"/>
    <w:rsid w:val="00B366E5"/>
    <w:rsid w:val="00B402FC"/>
    <w:rsid w:val="00B40FF9"/>
    <w:rsid w:val="00B42470"/>
    <w:rsid w:val="00B439DA"/>
    <w:rsid w:val="00B46604"/>
    <w:rsid w:val="00B530CD"/>
    <w:rsid w:val="00B53AB0"/>
    <w:rsid w:val="00B55F5E"/>
    <w:rsid w:val="00B57338"/>
    <w:rsid w:val="00B5752E"/>
    <w:rsid w:val="00B57E25"/>
    <w:rsid w:val="00B619A9"/>
    <w:rsid w:val="00B63A11"/>
    <w:rsid w:val="00B64C24"/>
    <w:rsid w:val="00B6608F"/>
    <w:rsid w:val="00B679FB"/>
    <w:rsid w:val="00B76D1E"/>
    <w:rsid w:val="00B80EC6"/>
    <w:rsid w:val="00B84CF6"/>
    <w:rsid w:val="00B86F03"/>
    <w:rsid w:val="00B9200E"/>
    <w:rsid w:val="00B92D1D"/>
    <w:rsid w:val="00B938C5"/>
    <w:rsid w:val="00B9432C"/>
    <w:rsid w:val="00B95940"/>
    <w:rsid w:val="00B97434"/>
    <w:rsid w:val="00BA0DD3"/>
    <w:rsid w:val="00BA6C2B"/>
    <w:rsid w:val="00BA76E6"/>
    <w:rsid w:val="00BB2F03"/>
    <w:rsid w:val="00BB46F3"/>
    <w:rsid w:val="00BB4CB1"/>
    <w:rsid w:val="00BB4F98"/>
    <w:rsid w:val="00BC0E31"/>
    <w:rsid w:val="00BC5C12"/>
    <w:rsid w:val="00BC7075"/>
    <w:rsid w:val="00BC7154"/>
    <w:rsid w:val="00BC731E"/>
    <w:rsid w:val="00BD163C"/>
    <w:rsid w:val="00BD2991"/>
    <w:rsid w:val="00BD366B"/>
    <w:rsid w:val="00BD6D50"/>
    <w:rsid w:val="00BE18B9"/>
    <w:rsid w:val="00BE2495"/>
    <w:rsid w:val="00BE468E"/>
    <w:rsid w:val="00BE6186"/>
    <w:rsid w:val="00BF1578"/>
    <w:rsid w:val="00BF45D9"/>
    <w:rsid w:val="00C024B1"/>
    <w:rsid w:val="00C21405"/>
    <w:rsid w:val="00C21F94"/>
    <w:rsid w:val="00C27913"/>
    <w:rsid w:val="00C33B68"/>
    <w:rsid w:val="00C36A79"/>
    <w:rsid w:val="00C401D2"/>
    <w:rsid w:val="00C405D4"/>
    <w:rsid w:val="00C4513B"/>
    <w:rsid w:val="00C466D2"/>
    <w:rsid w:val="00C5390B"/>
    <w:rsid w:val="00C54697"/>
    <w:rsid w:val="00C60191"/>
    <w:rsid w:val="00C6152B"/>
    <w:rsid w:val="00C73885"/>
    <w:rsid w:val="00C747B1"/>
    <w:rsid w:val="00C82191"/>
    <w:rsid w:val="00C83134"/>
    <w:rsid w:val="00C8418E"/>
    <w:rsid w:val="00C85545"/>
    <w:rsid w:val="00C86B84"/>
    <w:rsid w:val="00C90CF4"/>
    <w:rsid w:val="00C90F53"/>
    <w:rsid w:val="00C92EB6"/>
    <w:rsid w:val="00C93389"/>
    <w:rsid w:val="00C936C3"/>
    <w:rsid w:val="00C96D08"/>
    <w:rsid w:val="00CA28BC"/>
    <w:rsid w:val="00CA6668"/>
    <w:rsid w:val="00CA6AB4"/>
    <w:rsid w:val="00CB259D"/>
    <w:rsid w:val="00CB4930"/>
    <w:rsid w:val="00CC2E7D"/>
    <w:rsid w:val="00CC71EC"/>
    <w:rsid w:val="00CD10A5"/>
    <w:rsid w:val="00CD2076"/>
    <w:rsid w:val="00CD29B5"/>
    <w:rsid w:val="00CD6331"/>
    <w:rsid w:val="00CE153B"/>
    <w:rsid w:val="00CE670B"/>
    <w:rsid w:val="00CF1C4C"/>
    <w:rsid w:val="00CF4908"/>
    <w:rsid w:val="00CF51EC"/>
    <w:rsid w:val="00CF73AE"/>
    <w:rsid w:val="00D040DD"/>
    <w:rsid w:val="00D050F8"/>
    <w:rsid w:val="00D075BE"/>
    <w:rsid w:val="00D1005A"/>
    <w:rsid w:val="00D11854"/>
    <w:rsid w:val="00D120FA"/>
    <w:rsid w:val="00D13986"/>
    <w:rsid w:val="00D21D83"/>
    <w:rsid w:val="00D22038"/>
    <w:rsid w:val="00D235B7"/>
    <w:rsid w:val="00D25F28"/>
    <w:rsid w:val="00D26071"/>
    <w:rsid w:val="00D27973"/>
    <w:rsid w:val="00D32F90"/>
    <w:rsid w:val="00D35E1A"/>
    <w:rsid w:val="00D50F46"/>
    <w:rsid w:val="00D52BE2"/>
    <w:rsid w:val="00D57677"/>
    <w:rsid w:val="00D64227"/>
    <w:rsid w:val="00D66223"/>
    <w:rsid w:val="00D67375"/>
    <w:rsid w:val="00D73384"/>
    <w:rsid w:val="00D8084C"/>
    <w:rsid w:val="00D915EA"/>
    <w:rsid w:val="00D92FD1"/>
    <w:rsid w:val="00D93CE2"/>
    <w:rsid w:val="00D943C6"/>
    <w:rsid w:val="00D965EC"/>
    <w:rsid w:val="00DA0BBD"/>
    <w:rsid w:val="00DA7C0C"/>
    <w:rsid w:val="00DB08A9"/>
    <w:rsid w:val="00DB2EC8"/>
    <w:rsid w:val="00DC37E3"/>
    <w:rsid w:val="00DC5B3B"/>
    <w:rsid w:val="00DD129F"/>
    <w:rsid w:val="00DD6B52"/>
    <w:rsid w:val="00DE0F63"/>
    <w:rsid w:val="00DE4C19"/>
    <w:rsid w:val="00DF317B"/>
    <w:rsid w:val="00DF42FF"/>
    <w:rsid w:val="00DF7AD4"/>
    <w:rsid w:val="00E01C0E"/>
    <w:rsid w:val="00E03F9A"/>
    <w:rsid w:val="00E04694"/>
    <w:rsid w:val="00E04F27"/>
    <w:rsid w:val="00E102BD"/>
    <w:rsid w:val="00E10A2E"/>
    <w:rsid w:val="00E11DE1"/>
    <w:rsid w:val="00E12B1E"/>
    <w:rsid w:val="00E17262"/>
    <w:rsid w:val="00E212C9"/>
    <w:rsid w:val="00E253A2"/>
    <w:rsid w:val="00E3309D"/>
    <w:rsid w:val="00E333BA"/>
    <w:rsid w:val="00E453F9"/>
    <w:rsid w:val="00E47EBA"/>
    <w:rsid w:val="00E50156"/>
    <w:rsid w:val="00E53470"/>
    <w:rsid w:val="00E539F6"/>
    <w:rsid w:val="00E6519D"/>
    <w:rsid w:val="00E67696"/>
    <w:rsid w:val="00E711D1"/>
    <w:rsid w:val="00E71A58"/>
    <w:rsid w:val="00E72A7A"/>
    <w:rsid w:val="00E733C7"/>
    <w:rsid w:val="00E75C94"/>
    <w:rsid w:val="00E76E61"/>
    <w:rsid w:val="00E8168E"/>
    <w:rsid w:val="00E924B2"/>
    <w:rsid w:val="00E93820"/>
    <w:rsid w:val="00E94A86"/>
    <w:rsid w:val="00E96143"/>
    <w:rsid w:val="00E972A9"/>
    <w:rsid w:val="00EA0840"/>
    <w:rsid w:val="00EA0C68"/>
    <w:rsid w:val="00EA17B0"/>
    <w:rsid w:val="00EA32BC"/>
    <w:rsid w:val="00EA405F"/>
    <w:rsid w:val="00EB4511"/>
    <w:rsid w:val="00EC03D7"/>
    <w:rsid w:val="00EC25F0"/>
    <w:rsid w:val="00ED62C6"/>
    <w:rsid w:val="00ED64C1"/>
    <w:rsid w:val="00ED7B65"/>
    <w:rsid w:val="00EE3446"/>
    <w:rsid w:val="00EE3E78"/>
    <w:rsid w:val="00EE466C"/>
    <w:rsid w:val="00EE4B1B"/>
    <w:rsid w:val="00EE50DB"/>
    <w:rsid w:val="00EF150D"/>
    <w:rsid w:val="00EF1F5A"/>
    <w:rsid w:val="00EF348D"/>
    <w:rsid w:val="00EF47BF"/>
    <w:rsid w:val="00F04811"/>
    <w:rsid w:val="00F0488C"/>
    <w:rsid w:val="00F05E10"/>
    <w:rsid w:val="00F10F11"/>
    <w:rsid w:val="00F13819"/>
    <w:rsid w:val="00F13C9C"/>
    <w:rsid w:val="00F15AAA"/>
    <w:rsid w:val="00F15BEF"/>
    <w:rsid w:val="00F160CE"/>
    <w:rsid w:val="00F162B3"/>
    <w:rsid w:val="00F231AE"/>
    <w:rsid w:val="00F24407"/>
    <w:rsid w:val="00F24FAA"/>
    <w:rsid w:val="00F3364D"/>
    <w:rsid w:val="00F33E56"/>
    <w:rsid w:val="00F433FE"/>
    <w:rsid w:val="00F437CC"/>
    <w:rsid w:val="00F44537"/>
    <w:rsid w:val="00F4530D"/>
    <w:rsid w:val="00F46502"/>
    <w:rsid w:val="00F47067"/>
    <w:rsid w:val="00F525EB"/>
    <w:rsid w:val="00F55E08"/>
    <w:rsid w:val="00F63DDE"/>
    <w:rsid w:val="00F63FB7"/>
    <w:rsid w:val="00F6421B"/>
    <w:rsid w:val="00F649D2"/>
    <w:rsid w:val="00F6602B"/>
    <w:rsid w:val="00F73A0C"/>
    <w:rsid w:val="00F73D08"/>
    <w:rsid w:val="00F756DB"/>
    <w:rsid w:val="00F84E7D"/>
    <w:rsid w:val="00F85066"/>
    <w:rsid w:val="00F853A9"/>
    <w:rsid w:val="00F859D0"/>
    <w:rsid w:val="00F87A4D"/>
    <w:rsid w:val="00FA5D4D"/>
    <w:rsid w:val="00FB0EE2"/>
    <w:rsid w:val="00FB542E"/>
    <w:rsid w:val="00FC0359"/>
    <w:rsid w:val="00FC0E5F"/>
    <w:rsid w:val="00FC1A95"/>
    <w:rsid w:val="00FC56DE"/>
    <w:rsid w:val="00FC684B"/>
    <w:rsid w:val="00FD3265"/>
    <w:rsid w:val="00FD4916"/>
    <w:rsid w:val="00FE2F78"/>
    <w:rsid w:val="00FF3EEC"/>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359FC93"/>
  <w15:docId w15:val="{A4C7AF56-5B51-4067-BDB9-17A6C364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qFormat/>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EA0840"/>
    <w:rPr>
      <w:noProof/>
      <w:lang w:eastAsia="en-US"/>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F46502"/>
    <w:pPr>
      <w:keepNext/>
      <w:keepLines/>
      <w:spacing w:after="100"/>
      <w:contextualSpacing/>
      <w:jc w:val="left"/>
      <w:outlineLvl w:val="0"/>
    </w:pPr>
    <w:rPr>
      <w:rFonts w:eastAsia="MS Gothic"/>
      <w:b/>
      <w:bCs/>
      <w:color w:val="71818C"/>
      <w:sz w:val="32"/>
      <w:szCs w:val="28"/>
    </w:rPr>
  </w:style>
  <w:style w:type="paragraph" w:customStyle="1" w:styleId="Nadpis21">
    <w:name w:val="Nadpis 21"/>
    <w:basedOn w:val="Normln"/>
    <w:uiPriority w:val="9"/>
    <w:qFormat/>
    <w:rsid w:val="00F46502"/>
    <w:pPr>
      <w:keepNext/>
      <w:keepLines/>
      <w:spacing w:after="0"/>
      <w:jc w:val="left"/>
      <w:outlineLvl w:val="1"/>
    </w:pPr>
    <w:rPr>
      <w:rFonts w:eastAsia="MS Gothic"/>
      <w:b/>
      <w:bCs/>
      <w:color w:val="71818C"/>
      <w:sz w:val="28"/>
      <w:szCs w:val="26"/>
    </w:rPr>
  </w:style>
  <w:style w:type="paragraph" w:customStyle="1" w:styleId="Textpoznpodarou1">
    <w:name w:val="Text pozn. pod čarou1"/>
    <w:basedOn w:val="Normln"/>
    <w:rsid w:val="00F46502"/>
    <w:pPr>
      <w:spacing w:after="0" w:line="240" w:lineRule="auto"/>
      <w:jc w:val="left"/>
    </w:pPr>
    <w:rPr>
      <w:rFonts w:eastAsia="Calibri"/>
      <w:color w:val="00000A"/>
      <w:szCs w:val="20"/>
    </w:rPr>
  </w:style>
  <w:style w:type="character" w:customStyle="1" w:styleId="TextpoznpodarouChar1">
    <w:name w:val="Text pozn. pod čarou Char1"/>
    <w:aliases w:val="Text pozn. pod čarou_martin_ang Char1"/>
    <w:basedOn w:val="Standardnpsmoodstavce"/>
    <w:semiHidden/>
    <w:rsid w:val="00F46502"/>
    <w:rPr>
      <w:rFonts w:ascii="Arial" w:eastAsia="Times New Roman" w:hAnsi="Arial" w:cs="Times New Roman"/>
      <w:color w:val="00000A"/>
      <w:szCs w:val="20"/>
      <w:lang w:eastAsia="cs-CZ"/>
    </w:rPr>
  </w:style>
  <w:style w:type="character" w:styleId="Znakapoznpodarou">
    <w:name w:val="footnote reference"/>
    <w:basedOn w:val="Standardnpsmoodstavce"/>
    <w:rsid w:val="00F46502"/>
    <w:rPr>
      <w:rFonts w:cs="Times New Roman"/>
      <w:vertAlign w:val="superscript"/>
    </w:rPr>
  </w:style>
  <w:style w:type="character" w:customStyle="1" w:styleId="odkaz-style-wrapper">
    <w:name w:val="odkaz-style-wrapper"/>
    <w:basedOn w:val="Standardnpsmoodstavce"/>
    <w:rsid w:val="00BE6186"/>
  </w:style>
  <w:style w:type="paragraph" w:customStyle="1" w:styleId="Nadpis110">
    <w:name w:val="Nadpis 11"/>
    <w:basedOn w:val="Normln"/>
    <w:uiPriority w:val="9"/>
    <w:qFormat/>
    <w:rsid w:val="00BE6186"/>
    <w:pPr>
      <w:keepNext/>
      <w:keepLines/>
      <w:spacing w:after="100"/>
      <w:contextualSpacing/>
      <w:jc w:val="left"/>
      <w:outlineLvl w:val="0"/>
    </w:pPr>
    <w:rPr>
      <w:rFonts w:eastAsia="MS Gothic"/>
      <w:b/>
      <w:bCs/>
      <w:color w:val="71818C"/>
      <w:sz w:val="32"/>
      <w:szCs w:val="28"/>
    </w:rPr>
  </w:style>
  <w:style w:type="paragraph" w:customStyle="1" w:styleId="Nadpis210">
    <w:name w:val="Nadpis 21"/>
    <w:basedOn w:val="Normln"/>
    <w:uiPriority w:val="9"/>
    <w:qFormat/>
    <w:rsid w:val="00BE6186"/>
    <w:pPr>
      <w:keepNext/>
      <w:keepLines/>
      <w:spacing w:after="0"/>
      <w:jc w:val="left"/>
      <w:outlineLvl w:val="1"/>
    </w:pPr>
    <w:rPr>
      <w:rFonts w:eastAsia="MS Gothic"/>
      <w:b/>
      <w:bCs/>
      <w:color w:val="71818C"/>
      <w:sz w:val="28"/>
      <w:szCs w:val="26"/>
    </w:rPr>
  </w:style>
  <w:style w:type="paragraph" w:customStyle="1" w:styleId="Textpoznpodarou10">
    <w:name w:val="Text pozn. pod čarou1"/>
    <w:basedOn w:val="Normln"/>
    <w:rsid w:val="00BE6186"/>
    <w:pPr>
      <w:spacing w:after="0" w:line="240" w:lineRule="auto"/>
      <w:jc w:val="left"/>
    </w:pPr>
    <w:rPr>
      <w:rFonts w:eastAsia="Calibri"/>
      <w:color w:val="00000A"/>
      <w:szCs w:val="20"/>
    </w:rPr>
  </w:style>
  <w:style w:type="paragraph" w:styleId="Normlnweb">
    <w:name w:val="Normal (Web)"/>
    <w:basedOn w:val="Normln"/>
    <w:uiPriority w:val="99"/>
    <w:unhideWhenUsed/>
    <w:rsid w:val="00C96D08"/>
    <w:pPr>
      <w:spacing w:before="100" w:beforeAutospacing="1" w:after="100" w:afterAutospacing="1" w:line="240" w:lineRule="auto"/>
      <w:jc w:val="left"/>
    </w:pPr>
    <w:rPr>
      <w:rFonts w:ascii="Times New Roman" w:hAnsi="Times New Roman"/>
      <w:sz w:val="24"/>
    </w:rPr>
  </w:style>
  <w:style w:type="paragraph" w:styleId="Zkladntext">
    <w:name w:val="Body Text"/>
    <w:basedOn w:val="Normln"/>
    <w:link w:val="ZkladntextChar"/>
    <w:semiHidden/>
    <w:rsid w:val="004C5FBF"/>
    <w:pPr>
      <w:widowControl w:val="0"/>
      <w:suppressAutoHyphens/>
      <w:autoSpaceDE w:val="0"/>
      <w:autoSpaceDN w:val="0"/>
      <w:adjustRightInd w:val="0"/>
      <w:spacing w:before="120" w:after="0" w:line="215" w:lineRule="exact"/>
    </w:pPr>
    <w:rPr>
      <w:rFonts w:ascii="Times New Roman CE obyèejné" w:hAnsi="Times New Roman CE obyèejné"/>
      <w:szCs w:val="20"/>
    </w:rPr>
  </w:style>
  <w:style w:type="character" w:customStyle="1" w:styleId="ZkladntextChar">
    <w:name w:val="Základní text Char"/>
    <w:basedOn w:val="Standardnpsmoodstavce"/>
    <w:link w:val="Zkladntext"/>
    <w:semiHidden/>
    <w:rsid w:val="004C5FBF"/>
    <w:rPr>
      <w:rFonts w:ascii="Times New Roman CE obyèejné" w:eastAsia="Times New Roman" w:hAnsi="Times New Roman CE obyèejné"/>
      <w:lang w:eastAsia="cs-CZ"/>
    </w:rPr>
  </w:style>
  <w:style w:type="character" w:customStyle="1" w:styleId="content">
    <w:name w:val="content"/>
    <w:basedOn w:val="Standardnpsmoodstavce"/>
    <w:rsid w:val="003C4BE8"/>
  </w:style>
  <w:style w:type="paragraph" w:styleId="Textvysvtlivek">
    <w:name w:val="endnote text"/>
    <w:basedOn w:val="Normln"/>
    <w:link w:val="TextvysvtlivekChar"/>
    <w:uiPriority w:val="99"/>
    <w:semiHidden/>
    <w:unhideWhenUsed/>
    <w:rsid w:val="00744EE6"/>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744EE6"/>
    <w:rPr>
      <w:rFonts w:ascii="Arial" w:eastAsia="Times New Roman" w:hAnsi="Arial"/>
      <w:lang w:eastAsia="cs-CZ"/>
    </w:rPr>
  </w:style>
  <w:style w:type="character" w:styleId="Odkaznavysvtlivky">
    <w:name w:val="endnote reference"/>
    <w:basedOn w:val="Standardnpsmoodstavce"/>
    <w:uiPriority w:val="99"/>
    <w:semiHidden/>
    <w:unhideWhenUsed/>
    <w:rsid w:val="00744E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615720">
      <w:bodyDiv w:val="1"/>
      <w:marLeft w:val="60"/>
      <w:marRight w:val="60"/>
      <w:marTop w:val="60"/>
      <w:marBottom w:val="15"/>
      <w:divBdr>
        <w:top w:val="none" w:sz="0" w:space="0" w:color="auto"/>
        <w:left w:val="none" w:sz="0" w:space="0" w:color="auto"/>
        <w:bottom w:val="none" w:sz="0" w:space="0" w:color="auto"/>
        <w:right w:val="none" w:sz="0" w:space="0" w:color="auto"/>
      </w:divBdr>
      <w:divsChild>
        <w:div w:id="658968227">
          <w:marLeft w:val="0"/>
          <w:marRight w:val="0"/>
          <w:marTop w:val="0"/>
          <w:marBottom w:val="0"/>
          <w:divBdr>
            <w:top w:val="none" w:sz="0" w:space="0" w:color="auto"/>
            <w:left w:val="none" w:sz="0" w:space="0" w:color="auto"/>
            <w:bottom w:val="none" w:sz="0" w:space="0" w:color="auto"/>
            <w:right w:val="none" w:sz="0" w:space="0" w:color="auto"/>
          </w:divBdr>
        </w:div>
      </w:divsChild>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3535664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2060051">
          <w:marLeft w:val="0"/>
          <w:marRight w:val="0"/>
          <w:marTop w:val="0"/>
          <w:marBottom w:val="0"/>
          <w:divBdr>
            <w:top w:val="none" w:sz="0" w:space="0" w:color="auto"/>
            <w:left w:val="none" w:sz="0" w:space="0" w:color="auto"/>
            <w:bottom w:val="none" w:sz="0" w:space="0" w:color="auto"/>
            <w:right w:val="none" w:sz="0" w:space="0" w:color="auto"/>
          </w:divBdr>
          <w:divsChild>
            <w:div w:id="1352418194">
              <w:marLeft w:val="0"/>
              <w:marRight w:val="0"/>
              <w:marTop w:val="0"/>
              <w:marBottom w:val="0"/>
              <w:divBdr>
                <w:top w:val="none" w:sz="0" w:space="0" w:color="auto"/>
                <w:left w:val="none" w:sz="0" w:space="0" w:color="auto"/>
                <w:bottom w:val="none" w:sz="0" w:space="0" w:color="auto"/>
                <w:right w:val="none" w:sz="0" w:space="0" w:color="auto"/>
              </w:divBdr>
            </w:div>
            <w:div w:id="1419256889">
              <w:marLeft w:val="0"/>
              <w:marRight w:val="0"/>
              <w:marTop w:val="0"/>
              <w:marBottom w:val="0"/>
              <w:divBdr>
                <w:top w:val="none" w:sz="0" w:space="0" w:color="auto"/>
                <w:left w:val="none" w:sz="0" w:space="0" w:color="auto"/>
                <w:bottom w:val="none" w:sz="0" w:space="0" w:color="auto"/>
                <w:right w:val="none" w:sz="0" w:space="0" w:color="auto"/>
              </w:divBdr>
            </w:div>
            <w:div w:id="1012336419">
              <w:marLeft w:val="0"/>
              <w:marRight w:val="0"/>
              <w:marTop w:val="0"/>
              <w:marBottom w:val="0"/>
              <w:divBdr>
                <w:top w:val="none" w:sz="0" w:space="0" w:color="auto"/>
                <w:left w:val="none" w:sz="0" w:space="0" w:color="auto"/>
                <w:bottom w:val="none" w:sz="0" w:space="0" w:color="auto"/>
                <w:right w:val="none" w:sz="0" w:space="0" w:color="auto"/>
              </w:divBdr>
            </w:div>
            <w:div w:id="1187673128">
              <w:marLeft w:val="0"/>
              <w:marRight w:val="0"/>
              <w:marTop w:val="0"/>
              <w:marBottom w:val="0"/>
              <w:divBdr>
                <w:top w:val="none" w:sz="0" w:space="0" w:color="auto"/>
                <w:left w:val="none" w:sz="0" w:space="0" w:color="auto"/>
                <w:bottom w:val="none" w:sz="0" w:space="0" w:color="auto"/>
                <w:right w:val="none" w:sz="0" w:space="0" w:color="auto"/>
              </w:divBdr>
            </w:div>
            <w:div w:id="13251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2266825">
      <w:bodyDiv w:val="1"/>
      <w:marLeft w:val="60"/>
      <w:marRight w:val="60"/>
      <w:marTop w:val="60"/>
      <w:marBottom w:val="15"/>
      <w:divBdr>
        <w:top w:val="none" w:sz="0" w:space="0" w:color="auto"/>
        <w:left w:val="none" w:sz="0" w:space="0" w:color="auto"/>
        <w:bottom w:val="none" w:sz="0" w:space="0" w:color="auto"/>
        <w:right w:val="none" w:sz="0" w:space="0" w:color="auto"/>
      </w:divBdr>
      <w:divsChild>
        <w:div w:id="1418138374">
          <w:marLeft w:val="0"/>
          <w:marRight w:val="0"/>
          <w:marTop w:val="0"/>
          <w:marBottom w:val="0"/>
          <w:divBdr>
            <w:top w:val="none" w:sz="0" w:space="0" w:color="auto"/>
            <w:left w:val="none" w:sz="0" w:space="0" w:color="auto"/>
            <w:bottom w:val="none" w:sz="0" w:space="0" w:color="auto"/>
            <w:right w:val="none" w:sz="0" w:space="0" w:color="auto"/>
          </w:divBdr>
        </w:div>
      </w:divsChild>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Ro&#269;n&#237;%20anal&#253;za%202018\Ana&#253;za%20ekonomick&#233;ho%20v&#253;voje%20v%20roce%2020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kumenty\Downloads\hdpcr062819_gs(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Dokumenty\Anal&#253;za\Ro&#269;n&#237;%20publikace%202019\Hospoda&#345;en&#237;%20vl&#225;dn&#237;ho%20sektoru\hospoda&#345;en&#237;%20vl&#225;dn&#237;ch%20instituc&#237;.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D:\Dokumenty\Anal&#253;za\Ro&#269;n&#237;%20publikace%202019\Hospoda&#345;en&#237;%20vl&#225;dn&#237;ho%20sektoru\dluh.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1" Type="http://schemas.openxmlformats.org/officeDocument/2006/relationships/oleObject" Target="file:///D:\Dokumenty\Anal&#253;za\Ro&#269;n&#237;%20publikace%202019\P&#345;&#237;jmy%20dom&#225;cnost&#237;\Kopie%20-%20QSA_S14_2019q1.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okumenty\Anal&#253;za\Ro&#269;n&#237;%20publikace%202019\P&#345;&#237;jmy%20dom&#225;cnost&#237;\Kopie%20-%20QSA_S14_2019q1.xls"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D:\Dokumenty\Anal&#253;za\Ro&#269;n&#237;%20publikace%202019\V&#253;daje%20dom&#225;cnost&#237;\Kopie%20-%20QSA_S14_2019q1.xls"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D:\Dokumenty\Downloads\hdpcr062819_gs(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y\Anal&#253;za\Ro&#269;n&#237;%20publikace%202019\Souhrnn&#225;%20v&#253;konnost\Kopie%20-%20nama_10_gdp.xls"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Dokumenty\Anal&#253;za\Ro&#269;n&#237;%20publikace%202019\Investice\Investice.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Dokumenty\Anal&#253;za\Ro&#269;n&#237;%20publikace%202019\Investice\THFK_V_iscpr_CZ.xls"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oleObject" Target="file:///D:\Dokumenty\Anal&#253;za\Ro&#269;n&#237;%20publikace%202019\Investice\nama_10_gdp%20(1).xls"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Dokumenty\Anal&#253;za\Ro&#269;n&#237;%20publikace%202019\Nefinan&#269;n&#237;%20podniky\nefinancni_podniky.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D:\Dokumenty\Anal&#253;za\Ro&#269;n&#237;%20publikace%202019\Hospoda&#345;en&#237;%20vl&#225;dn&#237;ho%20sektoru\gov_10dd_edpt1.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D:\Dokumenty\Anal&#253;za\Ro&#269;n&#237;%20publikace%202019\Hospoda&#345;en&#237;%20vl&#225;dn&#237;ho%20sektoru\hospoda&#345;en&#237;%20vl&#225;dn&#237;ch%20instituc&#237;.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9427980412023E-2"/>
          <c:y val="3.9316672295395698E-2"/>
          <c:w val="0.91556969773725094"/>
          <c:h val="0.69869694922886416"/>
        </c:manualLayout>
      </c:layout>
      <c:barChart>
        <c:barDir val="col"/>
        <c:grouping val="stacked"/>
        <c:varyColors val="0"/>
        <c:ser>
          <c:idx val="1"/>
          <c:order val="1"/>
          <c:tx>
            <c:strRef>
              <c:f>'[hdpcr062819_gs(1).xlsx]HDP_minus'!$T$128</c:f>
              <c:strCache>
                <c:ptCount val="1"/>
                <c:pt idx="0">
                  <c:v>Spotřeba domácností a NISD</c:v>
                </c:pt>
              </c:strCache>
            </c:strRef>
          </c:tx>
          <c:spPr>
            <a:solidFill>
              <a:schemeClr val="accent2"/>
            </a:solidFill>
            <a:ln>
              <a:noFill/>
            </a:ln>
            <a:effectLst/>
          </c:spPr>
          <c:invertIfNegative val="0"/>
          <c:cat>
            <c:strRef>
              <c:f>'[hdpcr062819_gs(1).xlsx]HDP_minus'!$R$129:$R$146</c:f>
              <c:strCache>
                <c:ptCount val="16"/>
                <c:pt idx="12">
                  <c:v>Q1</c:v>
                </c:pt>
                <c:pt idx="13">
                  <c:v>Q2</c:v>
                </c:pt>
                <c:pt idx="14">
                  <c:v>Q3</c:v>
                </c:pt>
                <c:pt idx="15">
                  <c:v>Q4</c:v>
                </c:pt>
              </c:strCache>
            </c:strRef>
          </c:cat>
          <c:val>
            <c:numRef>
              <c:f>'[hdpcr062819_gs(1).xlsx]HDP_minus'!$T$129:$T$146</c:f>
              <c:numCache>
                <c:formatCode>0.0</c:formatCode>
                <c:ptCount val="16"/>
                <c:pt idx="0">
                  <c:v>0.74852304193291075</c:v>
                </c:pt>
                <c:pt idx="1">
                  <c:v>-0.25011284589788529</c:v>
                </c:pt>
                <c:pt idx="2">
                  <c:v>0.10425898748932007</c:v>
                </c:pt>
                <c:pt idx="3">
                  <c:v>-0.14001667533277154</c:v>
                </c:pt>
                <c:pt idx="4">
                  <c:v>-0.84339402717938561</c:v>
                </c:pt>
                <c:pt idx="5">
                  <c:v>0.19283285403632097</c:v>
                </c:pt>
                <c:pt idx="6">
                  <c:v>0.36348883722386655</c:v>
                </c:pt>
                <c:pt idx="7">
                  <c:v>1.0017125560948443</c:v>
                </c:pt>
                <c:pt idx="8">
                  <c:v>1.0739422136321983</c:v>
                </c:pt>
                <c:pt idx="9">
                  <c:v>2.0511762257863624</c:v>
                </c:pt>
                <c:pt idx="10">
                  <c:v>0.94230816208650869</c:v>
                </c:pt>
                <c:pt idx="12" formatCode="#\ ##0.0">
                  <c:v>1.3069117795626355</c:v>
                </c:pt>
                <c:pt idx="13" formatCode="#\ ##0.0">
                  <c:v>1.0410991125698557</c:v>
                </c:pt>
                <c:pt idx="14" formatCode="#\ ##0.0">
                  <c:v>0.79591354895932076</c:v>
                </c:pt>
                <c:pt idx="15" formatCode="#\ ##0.0">
                  <c:v>0.63817092878771042</c:v>
                </c:pt>
              </c:numCache>
            </c:numRef>
          </c:val>
          <c:extLst>
            <c:ext xmlns:c16="http://schemas.microsoft.com/office/drawing/2014/chart" uri="{C3380CC4-5D6E-409C-BE32-E72D297353CC}">
              <c16:uniqueId val="{00000000-619A-44D0-82B2-27FED4B723B8}"/>
            </c:ext>
          </c:extLst>
        </c:ser>
        <c:ser>
          <c:idx val="2"/>
          <c:order val="2"/>
          <c:tx>
            <c:strRef>
              <c:f>'[hdpcr062819_gs(1).xlsx]HDP_minus'!$U$128</c:f>
              <c:strCache>
                <c:ptCount val="1"/>
                <c:pt idx="0">
                  <c:v>Spotřeba vládních institucí</c:v>
                </c:pt>
              </c:strCache>
            </c:strRef>
          </c:tx>
          <c:spPr>
            <a:solidFill>
              <a:schemeClr val="accent2">
                <a:lumMod val="40000"/>
                <a:lumOff val="60000"/>
              </a:schemeClr>
            </a:solidFill>
            <a:ln>
              <a:noFill/>
            </a:ln>
            <a:effectLst/>
          </c:spPr>
          <c:invertIfNegative val="0"/>
          <c:cat>
            <c:strRef>
              <c:f>'[hdpcr062819_gs(1).xlsx]HDP_minus'!$R$129:$R$146</c:f>
              <c:strCache>
                <c:ptCount val="16"/>
                <c:pt idx="12">
                  <c:v>Q1</c:v>
                </c:pt>
                <c:pt idx="13">
                  <c:v>Q2</c:v>
                </c:pt>
                <c:pt idx="14">
                  <c:v>Q3</c:v>
                </c:pt>
                <c:pt idx="15">
                  <c:v>Q4</c:v>
                </c:pt>
              </c:strCache>
            </c:strRef>
          </c:cat>
          <c:val>
            <c:numRef>
              <c:f>'[hdpcr062819_gs(1).xlsx]HDP_minus'!$U$129:$U$146</c:f>
              <c:numCache>
                <c:formatCode>0.0</c:formatCode>
                <c:ptCount val="16"/>
                <c:pt idx="0">
                  <c:v>0.17368143360776619</c:v>
                </c:pt>
                <c:pt idx="1">
                  <c:v>0.46701887591631558</c:v>
                </c:pt>
                <c:pt idx="2">
                  <c:v>0.14155590316039066</c:v>
                </c:pt>
                <c:pt idx="3">
                  <c:v>-0.64251648943686679</c:v>
                </c:pt>
                <c:pt idx="4">
                  <c:v>-0.44816019088183123</c:v>
                </c:pt>
                <c:pt idx="5">
                  <c:v>0.45168332145904017</c:v>
                </c:pt>
                <c:pt idx="6">
                  <c:v>0.24071356444423336</c:v>
                </c:pt>
                <c:pt idx="7">
                  <c:v>0.48652336992107426</c:v>
                </c:pt>
                <c:pt idx="8">
                  <c:v>0.48127389833251094</c:v>
                </c:pt>
                <c:pt idx="9">
                  <c:v>0.24400046414975646</c:v>
                </c:pt>
                <c:pt idx="10">
                  <c:v>0.71912342665616535</c:v>
                </c:pt>
                <c:pt idx="12" formatCode="#\ ##0.0">
                  <c:v>0.59071162611566641</c:v>
                </c:pt>
                <c:pt idx="13" formatCode="#\ ##0.0">
                  <c:v>0.64892162919483998</c:v>
                </c:pt>
                <c:pt idx="14" formatCode="#\ ##0.0">
                  <c:v>0.87919131880166645</c:v>
                </c:pt>
                <c:pt idx="15" formatCode="#\ ##0.0">
                  <c:v>0.7536668371279448</c:v>
                </c:pt>
              </c:numCache>
            </c:numRef>
          </c:val>
          <c:extLst>
            <c:ext xmlns:c16="http://schemas.microsoft.com/office/drawing/2014/chart" uri="{C3380CC4-5D6E-409C-BE32-E72D297353CC}">
              <c16:uniqueId val="{00000001-619A-44D0-82B2-27FED4B723B8}"/>
            </c:ext>
          </c:extLst>
        </c:ser>
        <c:ser>
          <c:idx val="3"/>
          <c:order val="3"/>
          <c:tx>
            <c:strRef>
              <c:f>'[hdpcr062819_gs(1).xlsx]HDP_minus'!$V$128</c:f>
              <c:strCache>
                <c:ptCount val="1"/>
                <c:pt idx="0">
                  <c:v>Tvorba hrubého kapitálu</c:v>
                </c:pt>
              </c:strCache>
            </c:strRef>
          </c:tx>
          <c:spPr>
            <a:solidFill>
              <a:srgbClr val="0070C0"/>
            </a:solidFill>
            <a:ln>
              <a:noFill/>
            </a:ln>
            <a:effectLst/>
          </c:spPr>
          <c:invertIfNegative val="0"/>
          <c:cat>
            <c:strRef>
              <c:f>'[hdpcr062819_gs(1).xlsx]HDP_minus'!$R$129:$R$146</c:f>
              <c:strCache>
                <c:ptCount val="16"/>
                <c:pt idx="12">
                  <c:v>Q1</c:v>
                </c:pt>
                <c:pt idx="13">
                  <c:v>Q2</c:v>
                </c:pt>
                <c:pt idx="14">
                  <c:v>Q3</c:v>
                </c:pt>
                <c:pt idx="15">
                  <c:v>Q4</c:v>
                </c:pt>
              </c:strCache>
            </c:strRef>
          </c:cat>
          <c:val>
            <c:numRef>
              <c:f>'[hdpcr062819_gs(1).xlsx]HDP_minus'!$V$129:$V$146</c:f>
              <c:numCache>
                <c:formatCode>0.0</c:formatCode>
                <c:ptCount val="16"/>
                <c:pt idx="0">
                  <c:v>8.0888372202755771E-2</c:v>
                </c:pt>
                <c:pt idx="1">
                  <c:v>-3.2300000398885609</c:v>
                </c:pt>
                <c:pt idx="2">
                  <c:v>2.7515457026140715E-2</c:v>
                </c:pt>
                <c:pt idx="3">
                  <c:v>0.13281101792248845</c:v>
                </c:pt>
                <c:pt idx="4">
                  <c:v>-1.2936790064609383</c:v>
                </c:pt>
                <c:pt idx="5">
                  <c:v>-0.98162414504436335</c:v>
                </c:pt>
                <c:pt idx="6">
                  <c:v>0.83820302982920769</c:v>
                </c:pt>
                <c:pt idx="7">
                  <c:v>2.6648468554887046</c:v>
                </c:pt>
                <c:pt idx="8">
                  <c:v>-0.59643154043558044</c:v>
                </c:pt>
                <c:pt idx="9">
                  <c:v>0.8895859273562895</c:v>
                </c:pt>
                <c:pt idx="10">
                  <c:v>0.84517421327216635</c:v>
                </c:pt>
                <c:pt idx="12" formatCode="#\ ##0.0">
                  <c:v>2.2682234872291809</c:v>
                </c:pt>
                <c:pt idx="13" formatCode="#\ ##0.0">
                  <c:v>0.48159307261868062</c:v>
                </c:pt>
                <c:pt idx="14" formatCode="#\ ##0.0">
                  <c:v>0.63963836845220412</c:v>
                </c:pt>
                <c:pt idx="15" formatCode="#\ ##0.0">
                  <c:v>3.5127639035883292E-2</c:v>
                </c:pt>
              </c:numCache>
            </c:numRef>
          </c:val>
          <c:extLst>
            <c:ext xmlns:c16="http://schemas.microsoft.com/office/drawing/2014/chart" uri="{C3380CC4-5D6E-409C-BE32-E72D297353CC}">
              <c16:uniqueId val="{00000002-619A-44D0-82B2-27FED4B723B8}"/>
            </c:ext>
          </c:extLst>
        </c:ser>
        <c:ser>
          <c:idx val="4"/>
          <c:order val="4"/>
          <c:tx>
            <c:strRef>
              <c:f>'[hdpcr062819_gs(1).xlsx]HDP_minus'!$W$128</c:f>
              <c:strCache>
                <c:ptCount val="1"/>
                <c:pt idx="0">
                  <c:v>Bilance zahraničního obchodu</c:v>
                </c:pt>
              </c:strCache>
            </c:strRef>
          </c:tx>
          <c:spPr>
            <a:solidFill>
              <a:schemeClr val="accent3"/>
            </a:solidFill>
            <a:ln>
              <a:noFill/>
            </a:ln>
            <a:effectLst/>
          </c:spPr>
          <c:invertIfNegative val="0"/>
          <c:cat>
            <c:strRef>
              <c:f>'[hdpcr062819_gs(1).xlsx]HDP_minus'!$R$129:$R$146</c:f>
              <c:strCache>
                <c:ptCount val="16"/>
                <c:pt idx="12">
                  <c:v>Q1</c:v>
                </c:pt>
                <c:pt idx="13">
                  <c:v>Q2</c:v>
                </c:pt>
                <c:pt idx="14">
                  <c:v>Q3</c:v>
                </c:pt>
                <c:pt idx="15">
                  <c:v>Q4</c:v>
                </c:pt>
              </c:strCache>
            </c:strRef>
          </c:cat>
          <c:val>
            <c:numRef>
              <c:f>'[hdpcr062819_gs(1).xlsx]HDP_minus'!$W$129:$W$146</c:f>
              <c:numCache>
                <c:formatCode>0.0</c:formatCode>
                <c:ptCount val="16"/>
                <c:pt idx="0">
                  <c:v>1.5077648828011339</c:v>
                </c:pt>
                <c:pt idx="1">
                  <c:v>-1.6571941820847869</c:v>
                </c:pt>
                <c:pt idx="2">
                  <c:v>1.8583946896650456</c:v>
                </c:pt>
                <c:pt idx="3">
                  <c:v>2.4350550633871753</c:v>
                </c:pt>
                <c:pt idx="4">
                  <c:v>1.8498847830311491</c:v>
                </c:pt>
                <c:pt idx="5">
                  <c:v>-0.17505936946044864</c:v>
                </c:pt>
                <c:pt idx="6">
                  <c:v>1.2483669084973883</c:v>
                </c:pt>
                <c:pt idx="7">
                  <c:v>1.2609420590944977</c:v>
                </c:pt>
                <c:pt idx="8">
                  <c:v>1.3527089259811103</c:v>
                </c:pt>
                <c:pt idx="9">
                  <c:v>1.332565433703123</c:v>
                </c:pt>
                <c:pt idx="10">
                  <c:v>0.39748723113149831</c:v>
                </c:pt>
                <c:pt idx="12" formatCode="#\ ##0.0">
                  <c:v>4.5646315262077852E-2</c:v>
                </c:pt>
                <c:pt idx="13" formatCode="#\ ##0.0">
                  <c:v>0.19158123219824619</c:v>
                </c:pt>
                <c:pt idx="14" formatCode="#\ ##0.0">
                  <c:v>9.6065615114189207E-2</c:v>
                </c:pt>
                <c:pt idx="15" formatCode="#\ ##0.0">
                  <c:v>1.2400529011349497</c:v>
                </c:pt>
              </c:numCache>
            </c:numRef>
          </c:val>
          <c:extLst>
            <c:ext xmlns:c16="http://schemas.microsoft.com/office/drawing/2014/chart" uri="{C3380CC4-5D6E-409C-BE32-E72D297353CC}">
              <c16:uniqueId val="{00000003-619A-44D0-82B2-27FED4B723B8}"/>
            </c:ext>
          </c:extLst>
        </c:ser>
        <c:dLbls>
          <c:showLegendKey val="0"/>
          <c:showVal val="0"/>
          <c:showCatName val="0"/>
          <c:showSerName val="0"/>
          <c:showPercent val="0"/>
          <c:showBubbleSize val="0"/>
        </c:dLbls>
        <c:gapWidth val="100"/>
        <c:overlap val="100"/>
        <c:axId val="271206096"/>
        <c:axId val="271205680"/>
      </c:barChart>
      <c:lineChart>
        <c:grouping val="standard"/>
        <c:varyColors val="0"/>
        <c:ser>
          <c:idx val="0"/>
          <c:order val="0"/>
          <c:tx>
            <c:strRef>
              <c:f>'[hdpcr062819_gs(1).xlsx]HDP_minus'!$S$128</c:f>
              <c:strCache>
                <c:ptCount val="1"/>
                <c:pt idx="0">
                  <c:v>HDP</c:v>
                </c:pt>
              </c:strCache>
            </c:strRef>
          </c:tx>
          <c:spPr>
            <a:ln w="28575" cap="rnd">
              <a:solidFill>
                <a:schemeClr val="tx1"/>
              </a:solidFill>
              <a:round/>
            </a:ln>
            <a:effectLst/>
          </c:spPr>
          <c:marker>
            <c:symbol val="none"/>
          </c:marker>
          <c:cat>
            <c:multiLvlStrRef>
              <c:f>'[hdpcr062819_gs(1).xlsx]HDP_minus'!$Q$129:$R$146</c:f>
              <c:multiLvlStrCache>
                <c:ptCount val="16"/>
                <c:lvl>
                  <c:pt idx="12">
                    <c:v>Q1</c:v>
                  </c:pt>
                  <c:pt idx="13">
                    <c:v>Q2</c:v>
                  </c:pt>
                  <c:pt idx="14">
                    <c:v>Q3</c:v>
                  </c:pt>
                  <c:pt idx="15">
                    <c:v>Q4</c:v>
                  </c:pt>
                </c:lvl>
                <c:lvl>
                  <c:pt idx="0">
                    <c:v>2008</c:v>
                  </c:pt>
                  <c:pt idx="1">
                    <c:v>2009</c:v>
                  </c:pt>
                  <c:pt idx="2">
                    <c:v>2010</c:v>
                  </c:pt>
                  <c:pt idx="3">
                    <c:v>2011</c:v>
                  </c:pt>
                  <c:pt idx="4">
                    <c:v>2012</c:v>
                  </c:pt>
                  <c:pt idx="5">
                    <c:v>2013</c:v>
                  </c:pt>
                  <c:pt idx="6">
                    <c:v>2014</c:v>
                  </c:pt>
                  <c:pt idx="7">
                    <c:v>2015</c:v>
                  </c:pt>
                  <c:pt idx="8">
                    <c:v>2016</c:v>
                  </c:pt>
                  <c:pt idx="9">
                    <c:v>2017</c:v>
                  </c:pt>
                  <c:pt idx="10">
                    <c:v>2018</c:v>
                  </c:pt>
                  <c:pt idx="11">
                    <c:v>  </c:v>
                  </c:pt>
                  <c:pt idx="12">
                    <c:v>2018</c:v>
                  </c:pt>
                </c:lvl>
              </c:multiLvlStrCache>
            </c:multiLvlStrRef>
          </c:cat>
          <c:val>
            <c:numRef>
              <c:f>'[hdpcr062819_gs(1).xlsx]HDP_minus'!$S$129:$S$146</c:f>
              <c:numCache>
                <c:formatCode>0.0</c:formatCode>
                <c:ptCount val="16"/>
                <c:pt idx="0">
                  <c:v>2.5105396438189937</c:v>
                </c:pt>
                <c:pt idx="1">
                  <c:v>-4.6620919347961403</c:v>
                </c:pt>
                <c:pt idx="2">
                  <c:v>2.1230498081757689</c:v>
                </c:pt>
                <c:pt idx="3">
                  <c:v>1.7800241870471716</c:v>
                </c:pt>
                <c:pt idx="4">
                  <c:v>-0.72520321894541295</c:v>
                </c:pt>
                <c:pt idx="5">
                  <c:v>-0.485126658684287</c:v>
                </c:pt>
                <c:pt idx="6">
                  <c:v>2.7149745365878659</c:v>
                </c:pt>
                <c:pt idx="7">
                  <c:v>5.3848212240188396</c:v>
                </c:pt>
                <c:pt idx="8">
                  <c:v>2.3576257230015969</c:v>
                </c:pt>
                <c:pt idx="9">
                  <c:v>4.5472590716258399</c:v>
                </c:pt>
                <c:pt idx="10">
                  <c:v>2.9378831783883679</c:v>
                </c:pt>
                <c:pt idx="12" formatCode="#\ ##0.0">
                  <c:v>4.2248388331366131</c:v>
                </c:pt>
                <c:pt idx="13" formatCode="#\ ##0.0">
                  <c:v>2.3828601900949709</c:v>
                </c:pt>
                <c:pt idx="14" formatCode="#\ ##0.0">
                  <c:v>2.4575548921913328</c:v>
                </c:pt>
                <c:pt idx="15" formatCode="#\ ##0.0">
                  <c:v>2.7217104519809316</c:v>
                </c:pt>
              </c:numCache>
            </c:numRef>
          </c:val>
          <c:smooth val="0"/>
          <c:extLst>
            <c:ext xmlns:c16="http://schemas.microsoft.com/office/drawing/2014/chart" uri="{C3380CC4-5D6E-409C-BE32-E72D297353CC}">
              <c16:uniqueId val="{00000004-619A-44D0-82B2-27FED4B723B8}"/>
            </c:ext>
          </c:extLst>
        </c:ser>
        <c:dLbls>
          <c:showLegendKey val="0"/>
          <c:showVal val="0"/>
          <c:showCatName val="0"/>
          <c:showSerName val="0"/>
          <c:showPercent val="0"/>
          <c:showBubbleSize val="0"/>
        </c:dLbls>
        <c:marker val="1"/>
        <c:smooth val="0"/>
        <c:axId val="271206096"/>
        <c:axId val="271205680"/>
      </c:lineChart>
      <c:catAx>
        <c:axId val="2712060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271205680"/>
        <c:crosses val="autoZero"/>
        <c:auto val="1"/>
        <c:lblAlgn val="ctr"/>
        <c:lblOffset val="100"/>
        <c:noMultiLvlLbl val="0"/>
      </c:catAx>
      <c:valAx>
        <c:axId val="271205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271206096"/>
        <c:crosses val="autoZero"/>
        <c:crossBetween val="between"/>
      </c:valAx>
      <c:spPr>
        <a:noFill/>
        <a:ln>
          <a:noFill/>
        </a:ln>
        <a:effectLst/>
      </c:spPr>
    </c:plotArea>
    <c:legend>
      <c:legendPos val="b"/>
      <c:layout>
        <c:manualLayout>
          <c:xMode val="edge"/>
          <c:yMode val="edge"/>
          <c:x val="6.2511820330969262E-2"/>
          <c:y val="0.86762158054711247"/>
          <c:w val="0.907144545761567"/>
          <c:h val="0.1109329618372171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List1!$C$4</c:f>
              <c:strCache>
                <c:ptCount val="1"/>
                <c:pt idx="0">
                  <c:v>Ústřední vládní instituce</c:v>
                </c:pt>
              </c:strCache>
            </c:strRef>
          </c:tx>
          <c:spPr>
            <a:solidFill>
              <a:schemeClr val="accent1"/>
            </a:solidFill>
            <a:ln>
              <a:noFill/>
            </a:ln>
            <a:effectLst/>
          </c:spPr>
          <c:invertIfNegative val="0"/>
          <c:cat>
            <c:numRef>
              <c:f>List1!$A$5:$A$15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List1!$C$5:$C$15</c:f>
              <c:numCache>
                <c:formatCode>General</c:formatCode>
                <c:ptCount val="11"/>
                <c:pt idx="0">
                  <c:v>-82.016999999999996</c:v>
                </c:pt>
                <c:pt idx="1">
                  <c:v>-178.85499999999999</c:v>
                </c:pt>
                <c:pt idx="2">
                  <c:v>-142.113</c:v>
                </c:pt>
                <c:pt idx="3">
                  <c:v>-91.715999999999994</c:v>
                </c:pt>
                <c:pt idx="4">
                  <c:v>-150.63900000000001</c:v>
                </c:pt>
                <c:pt idx="5">
                  <c:v>-64.174000000000007</c:v>
                </c:pt>
                <c:pt idx="6">
                  <c:v>-95.561999999999998</c:v>
                </c:pt>
                <c:pt idx="7">
                  <c:v>-56.164999999999999</c:v>
                </c:pt>
                <c:pt idx="8">
                  <c:v>-20.271000000000001</c:v>
                </c:pt>
                <c:pt idx="9">
                  <c:v>28.672999999999998</c:v>
                </c:pt>
                <c:pt idx="10">
                  <c:v>12.023999999999999</c:v>
                </c:pt>
              </c:numCache>
            </c:numRef>
          </c:val>
          <c:extLst>
            <c:ext xmlns:c16="http://schemas.microsoft.com/office/drawing/2014/chart" uri="{C3380CC4-5D6E-409C-BE32-E72D297353CC}">
              <c16:uniqueId val="{00000000-E2D8-4931-8C0A-DAEEAE9FD45F}"/>
            </c:ext>
          </c:extLst>
        </c:ser>
        <c:ser>
          <c:idx val="2"/>
          <c:order val="2"/>
          <c:tx>
            <c:strRef>
              <c:f>List1!$D$4</c:f>
              <c:strCache>
                <c:ptCount val="1"/>
                <c:pt idx="0">
                  <c:v>Místní vládní instituce</c:v>
                </c:pt>
              </c:strCache>
            </c:strRef>
          </c:tx>
          <c:spPr>
            <a:solidFill>
              <a:srgbClr val="FF0000"/>
            </a:solidFill>
            <a:ln>
              <a:noFill/>
            </a:ln>
            <a:effectLst/>
          </c:spPr>
          <c:invertIfNegative val="0"/>
          <c:cat>
            <c:numRef>
              <c:f>List1!$A$5:$A$15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List1!$D$5:$D$15</c:f>
              <c:numCache>
                <c:formatCode>General</c:formatCode>
                <c:ptCount val="11"/>
                <c:pt idx="0">
                  <c:v>-7.69</c:v>
                </c:pt>
                <c:pt idx="1">
                  <c:v>-24.707000000000001</c:v>
                </c:pt>
                <c:pt idx="2">
                  <c:v>-15.185</c:v>
                </c:pt>
                <c:pt idx="3">
                  <c:v>-11.254</c:v>
                </c:pt>
                <c:pt idx="4">
                  <c:v>-2.085</c:v>
                </c:pt>
                <c:pt idx="5">
                  <c:v>12.13</c:v>
                </c:pt>
                <c:pt idx="6">
                  <c:v>7.6929999999999996</c:v>
                </c:pt>
                <c:pt idx="7">
                  <c:v>25.992000000000001</c:v>
                </c:pt>
                <c:pt idx="8">
                  <c:v>49.658999999999999</c:v>
                </c:pt>
                <c:pt idx="9">
                  <c:v>41.91</c:v>
                </c:pt>
                <c:pt idx="10">
                  <c:v>19.02</c:v>
                </c:pt>
              </c:numCache>
            </c:numRef>
          </c:val>
          <c:extLst>
            <c:ext xmlns:c16="http://schemas.microsoft.com/office/drawing/2014/chart" uri="{C3380CC4-5D6E-409C-BE32-E72D297353CC}">
              <c16:uniqueId val="{00000001-E2D8-4931-8C0A-DAEEAE9FD45F}"/>
            </c:ext>
          </c:extLst>
        </c:ser>
        <c:ser>
          <c:idx val="3"/>
          <c:order val="3"/>
          <c:tx>
            <c:strRef>
              <c:f>List1!$E$4</c:f>
              <c:strCache>
                <c:ptCount val="1"/>
                <c:pt idx="0">
                  <c:v>Fondy sociálního zabezpečení</c:v>
                </c:pt>
              </c:strCache>
            </c:strRef>
          </c:tx>
          <c:spPr>
            <a:solidFill>
              <a:srgbClr val="92D050"/>
            </a:solidFill>
            <a:ln>
              <a:noFill/>
            </a:ln>
            <a:effectLst/>
          </c:spPr>
          <c:invertIfNegative val="0"/>
          <c:cat>
            <c:numRef>
              <c:f>List1!$A$5:$A$15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List1!$E$5:$E$15</c:f>
              <c:numCache>
                <c:formatCode>General</c:formatCode>
                <c:ptCount val="11"/>
                <c:pt idx="0">
                  <c:v>10.042</c:v>
                </c:pt>
                <c:pt idx="1">
                  <c:v>-10.648999999999999</c:v>
                </c:pt>
                <c:pt idx="2">
                  <c:v>-8.7189999999999994</c:v>
                </c:pt>
                <c:pt idx="3">
                  <c:v>-6.9260000000000002</c:v>
                </c:pt>
                <c:pt idx="4">
                  <c:v>-6.8280000000000003</c:v>
                </c:pt>
                <c:pt idx="5">
                  <c:v>0.91500000000000004</c:v>
                </c:pt>
                <c:pt idx="6">
                  <c:v>-2.6920000000000002</c:v>
                </c:pt>
                <c:pt idx="7">
                  <c:v>1.913</c:v>
                </c:pt>
                <c:pt idx="8">
                  <c:v>4.8860000000000001</c:v>
                </c:pt>
                <c:pt idx="9">
                  <c:v>8.1820000000000004</c:v>
                </c:pt>
                <c:pt idx="10">
                  <c:v>16.382999999999999</c:v>
                </c:pt>
              </c:numCache>
            </c:numRef>
          </c:val>
          <c:extLst>
            <c:ext xmlns:c16="http://schemas.microsoft.com/office/drawing/2014/chart" uri="{C3380CC4-5D6E-409C-BE32-E72D297353CC}">
              <c16:uniqueId val="{00000002-E2D8-4931-8C0A-DAEEAE9FD45F}"/>
            </c:ext>
          </c:extLst>
        </c:ser>
        <c:dLbls>
          <c:showLegendKey val="0"/>
          <c:showVal val="0"/>
          <c:showCatName val="0"/>
          <c:showSerName val="0"/>
          <c:showPercent val="0"/>
          <c:showBubbleSize val="0"/>
        </c:dLbls>
        <c:gapWidth val="100"/>
        <c:overlap val="100"/>
        <c:axId val="403495584"/>
        <c:axId val="331859984"/>
      </c:barChart>
      <c:lineChart>
        <c:grouping val="standard"/>
        <c:varyColors val="0"/>
        <c:ser>
          <c:idx val="0"/>
          <c:order val="0"/>
          <c:tx>
            <c:strRef>
              <c:f>List1!$B$4</c:f>
              <c:strCache>
                <c:ptCount val="1"/>
                <c:pt idx="0">
                  <c:v>Celkem</c:v>
                </c:pt>
              </c:strCache>
            </c:strRef>
          </c:tx>
          <c:spPr>
            <a:ln w="28575" cap="rnd">
              <a:solidFill>
                <a:schemeClr val="tx1"/>
              </a:solidFill>
              <a:round/>
            </a:ln>
            <a:effectLst/>
          </c:spPr>
          <c:marker>
            <c:symbol val="none"/>
          </c:marker>
          <c:cat>
            <c:numRef>
              <c:f>List1!$A$5:$A$15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List1!$B$5:$B$15</c:f>
              <c:numCache>
                <c:formatCode>General</c:formatCode>
                <c:ptCount val="11"/>
                <c:pt idx="0">
                  <c:v>-79.665000000000006</c:v>
                </c:pt>
                <c:pt idx="1">
                  <c:v>-214.21100000000001</c:v>
                </c:pt>
                <c:pt idx="2">
                  <c:v>-166.017</c:v>
                </c:pt>
                <c:pt idx="3">
                  <c:v>-109.896</c:v>
                </c:pt>
                <c:pt idx="4">
                  <c:v>-159.55199999999999</c:v>
                </c:pt>
                <c:pt idx="5">
                  <c:v>-51.128999999999998</c:v>
                </c:pt>
                <c:pt idx="6">
                  <c:v>-90.561000000000007</c:v>
                </c:pt>
                <c:pt idx="7">
                  <c:v>-28.26</c:v>
                </c:pt>
                <c:pt idx="8">
                  <c:v>34.274000000000001</c:v>
                </c:pt>
                <c:pt idx="9">
                  <c:v>78.765000000000001</c:v>
                </c:pt>
                <c:pt idx="10">
                  <c:v>47.427</c:v>
                </c:pt>
              </c:numCache>
            </c:numRef>
          </c:val>
          <c:smooth val="0"/>
          <c:extLst>
            <c:ext xmlns:c16="http://schemas.microsoft.com/office/drawing/2014/chart" uri="{C3380CC4-5D6E-409C-BE32-E72D297353CC}">
              <c16:uniqueId val="{00000003-E2D8-4931-8C0A-DAEEAE9FD45F}"/>
            </c:ext>
          </c:extLst>
        </c:ser>
        <c:dLbls>
          <c:showLegendKey val="0"/>
          <c:showVal val="0"/>
          <c:showCatName val="0"/>
          <c:showSerName val="0"/>
          <c:showPercent val="0"/>
          <c:showBubbleSize val="0"/>
        </c:dLbls>
        <c:marker val="1"/>
        <c:smooth val="0"/>
        <c:axId val="403495584"/>
        <c:axId val="331859984"/>
      </c:lineChart>
      <c:catAx>
        <c:axId val="4034955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331859984"/>
        <c:crosses val="autoZero"/>
        <c:auto val="1"/>
        <c:lblAlgn val="ctr"/>
        <c:lblOffset val="100"/>
        <c:noMultiLvlLbl val="0"/>
      </c:catAx>
      <c:valAx>
        <c:axId val="33185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403495584"/>
        <c:crosses val="autoZero"/>
        <c:crossBetween val="between"/>
      </c:valAx>
      <c:spPr>
        <a:noFill/>
        <a:ln>
          <a:noFill/>
        </a:ln>
        <a:effectLst/>
      </c:spPr>
    </c:plotArea>
    <c:legend>
      <c:legendPos val="b"/>
      <c:layout>
        <c:manualLayout>
          <c:xMode val="edge"/>
          <c:yMode val="edge"/>
          <c:x val="8.1584979736575483E-2"/>
          <c:y val="0.87779241247326356"/>
          <c:w val="0.87972095575818987"/>
          <c:h val="0.1007621299110660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800869638635598E-2"/>
          <c:y val="3.9316672295395698E-2"/>
          <c:w val="0.89171162613981758"/>
          <c:h val="0.76660756501182037"/>
        </c:manualLayout>
      </c:layout>
      <c:barChart>
        <c:barDir val="col"/>
        <c:grouping val="stacked"/>
        <c:varyColors val="0"/>
        <c:ser>
          <c:idx val="6"/>
          <c:order val="1"/>
          <c:tx>
            <c:strRef>
              <c:f>GOV_DEBT_CZ!$T$25</c:f>
              <c:strCache>
                <c:ptCount val="1"/>
                <c:pt idx="0">
                  <c:v>Dlouhodobé dluhové cenné papíry</c:v>
                </c:pt>
              </c:strCache>
            </c:strRef>
          </c:tx>
          <c:spPr>
            <a:solidFill>
              <a:srgbClr val="FF0000"/>
            </a:solidFill>
            <a:ln>
              <a:noFill/>
            </a:ln>
            <a:effectLst/>
          </c:spPr>
          <c:invertIfNegative val="0"/>
          <c:cat>
            <c:numRef>
              <c:f>GOV_DEBT_CZ!$M$26:$M$36</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GOV_DEBT_CZ!$T$26:$T$36</c:f>
              <c:numCache>
                <c:formatCode>General</c:formatCode>
                <c:ptCount val="11"/>
                <c:pt idx="0">
                  <c:v>91.179000000000002</c:v>
                </c:pt>
                <c:pt idx="1">
                  <c:v>142.77800000000013</c:v>
                </c:pt>
                <c:pt idx="2">
                  <c:v>132.60500000000002</c:v>
                </c:pt>
                <c:pt idx="3">
                  <c:v>86.786999999999807</c:v>
                </c:pt>
                <c:pt idx="4">
                  <c:v>153.67100000000005</c:v>
                </c:pt>
                <c:pt idx="5">
                  <c:v>93.65300000000002</c:v>
                </c:pt>
                <c:pt idx="6">
                  <c:v>-2.1150000000000091</c:v>
                </c:pt>
                <c:pt idx="7">
                  <c:v>48.024000000000115</c:v>
                </c:pt>
                <c:pt idx="8">
                  <c:v>24.256999999999834</c:v>
                </c:pt>
                <c:pt idx="9">
                  <c:v>-30.115999999999985</c:v>
                </c:pt>
                <c:pt idx="10">
                  <c:v>-8.1949999999999363</c:v>
                </c:pt>
              </c:numCache>
            </c:numRef>
          </c:val>
          <c:extLst>
            <c:ext xmlns:c16="http://schemas.microsoft.com/office/drawing/2014/chart" uri="{C3380CC4-5D6E-409C-BE32-E72D297353CC}">
              <c16:uniqueId val="{00000000-5CFA-4429-9D8A-2CCA3396F95A}"/>
            </c:ext>
          </c:extLst>
        </c:ser>
        <c:ser>
          <c:idx val="5"/>
          <c:order val="2"/>
          <c:tx>
            <c:strRef>
              <c:f>GOV_DEBT_CZ!$S$25</c:f>
              <c:strCache>
                <c:ptCount val="1"/>
                <c:pt idx="0">
                  <c:v>Krátkodobé dluhové cenné papíry</c:v>
                </c:pt>
              </c:strCache>
            </c:strRef>
          </c:tx>
          <c:spPr>
            <a:solidFill>
              <a:srgbClr val="FFABAB"/>
            </a:solidFill>
            <a:ln>
              <a:noFill/>
            </a:ln>
            <a:effectLst/>
          </c:spPr>
          <c:invertIfNegative val="0"/>
          <c:cat>
            <c:numRef>
              <c:f>GOV_DEBT_CZ!$M$26:$M$36</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GOV_DEBT_CZ!$S$26:$S$36</c:f>
              <c:numCache>
                <c:formatCode>General</c:formatCode>
                <c:ptCount val="11"/>
                <c:pt idx="0">
                  <c:v>-12.997</c:v>
                </c:pt>
                <c:pt idx="1">
                  <c:v>15.194000000000003</c:v>
                </c:pt>
                <c:pt idx="2">
                  <c:v>22.599999999999994</c:v>
                </c:pt>
                <c:pt idx="3">
                  <c:v>41.106999999999999</c:v>
                </c:pt>
                <c:pt idx="4">
                  <c:v>41.652000000000015</c:v>
                </c:pt>
                <c:pt idx="5">
                  <c:v>-58.018000000000015</c:v>
                </c:pt>
                <c:pt idx="6">
                  <c:v>-14.031999999999996</c:v>
                </c:pt>
                <c:pt idx="7">
                  <c:v>-22.658000000000001</c:v>
                </c:pt>
                <c:pt idx="8">
                  <c:v>-79.512999999999991</c:v>
                </c:pt>
                <c:pt idx="9">
                  <c:v>39.39</c:v>
                </c:pt>
                <c:pt idx="10">
                  <c:v>-39.576999999999998</c:v>
                </c:pt>
              </c:numCache>
            </c:numRef>
          </c:val>
          <c:extLst>
            <c:ext xmlns:c16="http://schemas.microsoft.com/office/drawing/2014/chart" uri="{C3380CC4-5D6E-409C-BE32-E72D297353CC}">
              <c16:uniqueId val="{00000001-5CFA-4429-9D8A-2CCA3396F95A}"/>
            </c:ext>
          </c:extLst>
        </c:ser>
        <c:ser>
          <c:idx val="9"/>
          <c:order val="3"/>
          <c:tx>
            <c:strRef>
              <c:f>GOV_DEBT_CZ!$W$25</c:f>
              <c:strCache>
                <c:ptCount val="1"/>
                <c:pt idx="0">
                  <c:v>Dlouhodobé půjčky</c:v>
                </c:pt>
              </c:strCache>
            </c:strRef>
          </c:tx>
          <c:spPr>
            <a:solidFill>
              <a:srgbClr val="0070C0"/>
            </a:solidFill>
            <a:ln>
              <a:noFill/>
            </a:ln>
            <a:effectLst/>
          </c:spPr>
          <c:invertIfNegative val="0"/>
          <c:cat>
            <c:numRef>
              <c:f>GOV_DEBT_CZ!$M$26:$M$36</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GOV_DEBT_CZ!$W$26:$W$36</c:f>
              <c:numCache>
                <c:formatCode>General</c:formatCode>
                <c:ptCount val="11"/>
                <c:pt idx="0">
                  <c:v>5.38</c:v>
                </c:pt>
                <c:pt idx="1">
                  <c:v>18.286000000000001</c:v>
                </c:pt>
                <c:pt idx="2">
                  <c:v>8.1639999999999873</c:v>
                </c:pt>
                <c:pt idx="3">
                  <c:v>2.6310000000000002</c:v>
                </c:pt>
                <c:pt idx="4">
                  <c:v>3.8550000000000182</c:v>
                </c:pt>
                <c:pt idx="5">
                  <c:v>-0.10800000000000409</c:v>
                </c:pt>
                <c:pt idx="6">
                  <c:v>-13.024000000000001</c:v>
                </c:pt>
                <c:pt idx="7">
                  <c:v>-3.4690000000000225</c:v>
                </c:pt>
                <c:pt idx="8">
                  <c:v>-22.870999999999981</c:v>
                </c:pt>
                <c:pt idx="9">
                  <c:v>-12.171999999999997</c:v>
                </c:pt>
                <c:pt idx="10">
                  <c:v>-11.852000000000004</c:v>
                </c:pt>
              </c:numCache>
            </c:numRef>
          </c:val>
          <c:extLst>
            <c:ext xmlns:c16="http://schemas.microsoft.com/office/drawing/2014/chart" uri="{C3380CC4-5D6E-409C-BE32-E72D297353CC}">
              <c16:uniqueId val="{00000002-5CFA-4429-9D8A-2CCA3396F95A}"/>
            </c:ext>
          </c:extLst>
        </c:ser>
        <c:ser>
          <c:idx val="8"/>
          <c:order val="4"/>
          <c:tx>
            <c:strRef>
              <c:f>GOV_DEBT_CZ!$V$25</c:f>
              <c:strCache>
                <c:ptCount val="1"/>
                <c:pt idx="0">
                  <c:v>Krátkodobé půjčky</c:v>
                </c:pt>
              </c:strCache>
            </c:strRef>
          </c:tx>
          <c:spPr>
            <a:solidFill>
              <a:schemeClr val="accent1">
                <a:lumMod val="60000"/>
                <a:lumOff val="40000"/>
              </a:schemeClr>
            </a:solidFill>
            <a:ln>
              <a:noFill/>
            </a:ln>
            <a:effectLst/>
          </c:spPr>
          <c:invertIfNegative val="0"/>
          <c:cat>
            <c:numRef>
              <c:f>GOV_DEBT_CZ!$M$26:$M$36</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GOV_DEBT_CZ!$V$26:$V$36</c:f>
              <c:numCache>
                <c:formatCode>General</c:formatCode>
                <c:ptCount val="11"/>
                <c:pt idx="0">
                  <c:v>-2.3250000000000002</c:v>
                </c:pt>
                <c:pt idx="1">
                  <c:v>5.9979999999999993</c:v>
                </c:pt>
                <c:pt idx="2">
                  <c:v>-1.1439999999999984</c:v>
                </c:pt>
                <c:pt idx="3">
                  <c:v>1.004999999999999</c:v>
                </c:pt>
                <c:pt idx="4">
                  <c:v>-5.335</c:v>
                </c:pt>
                <c:pt idx="5">
                  <c:v>1.0270000000000001</c:v>
                </c:pt>
                <c:pt idx="6">
                  <c:v>4.7309999999999999</c:v>
                </c:pt>
                <c:pt idx="7">
                  <c:v>-0.14300000000000068</c:v>
                </c:pt>
                <c:pt idx="8">
                  <c:v>-6.3829999999999991</c:v>
                </c:pt>
                <c:pt idx="9">
                  <c:v>0.1379999999999999</c:v>
                </c:pt>
                <c:pt idx="10">
                  <c:v>42.403999999999996</c:v>
                </c:pt>
              </c:numCache>
            </c:numRef>
          </c:val>
          <c:extLst>
            <c:ext xmlns:c16="http://schemas.microsoft.com/office/drawing/2014/chart" uri="{C3380CC4-5D6E-409C-BE32-E72D297353CC}">
              <c16:uniqueId val="{00000003-5CFA-4429-9D8A-2CCA3396F95A}"/>
            </c:ext>
          </c:extLst>
        </c:ser>
        <c:ser>
          <c:idx val="1"/>
          <c:order val="5"/>
          <c:tx>
            <c:strRef>
              <c:f>GOV_DEBT_CZ!$O$25</c:f>
              <c:strCache>
                <c:ptCount val="1"/>
                <c:pt idx="0">
                  <c:v>Oběživo a vklady</c:v>
                </c:pt>
              </c:strCache>
            </c:strRef>
          </c:tx>
          <c:spPr>
            <a:solidFill>
              <a:srgbClr val="92D050"/>
            </a:solidFill>
            <a:ln>
              <a:noFill/>
            </a:ln>
            <a:effectLst/>
          </c:spPr>
          <c:invertIfNegative val="0"/>
          <c:cat>
            <c:numRef>
              <c:f>GOV_DEBT_CZ!$M$26:$M$36</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GOV_DEBT_CZ!$O$26:$O$36</c:f>
              <c:numCache>
                <c:formatCode>General</c:formatCode>
                <c:ptCount val="11"/>
                <c:pt idx="0">
                  <c:v>0.89800000000000002</c:v>
                </c:pt>
                <c:pt idx="1">
                  <c:v>-1.1000000000001009E-2</c:v>
                </c:pt>
                <c:pt idx="2">
                  <c:v>-1.1239999999999988</c:v>
                </c:pt>
                <c:pt idx="3">
                  <c:v>-5.2030000000000012</c:v>
                </c:pt>
                <c:pt idx="4">
                  <c:v>5.0940000000000012</c:v>
                </c:pt>
                <c:pt idx="5">
                  <c:v>-1.5710000000000006</c:v>
                </c:pt>
                <c:pt idx="6">
                  <c:v>3.1260000000000003</c:v>
                </c:pt>
                <c:pt idx="7">
                  <c:v>-4.5970000000000004</c:v>
                </c:pt>
                <c:pt idx="8">
                  <c:v>3.1380000000000008</c:v>
                </c:pt>
                <c:pt idx="9">
                  <c:v>-2.5910000000000011</c:v>
                </c:pt>
                <c:pt idx="10">
                  <c:v>2.7640000000000011</c:v>
                </c:pt>
              </c:numCache>
            </c:numRef>
          </c:val>
          <c:extLst>
            <c:ext xmlns:c16="http://schemas.microsoft.com/office/drawing/2014/chart" uri="{C3380CC4-5D6E-409C-BE32-E72D297353CC}">
              <c16:uniqueId val="{00000004-5CFA-4429-9D8A-2CCA3396F95A}"/>
            </c:ext>
          </c:extLst>
        </c:ser>
        <c:dLbls>
          <c:showLegendKey val="0"/>
          <c:showVal val="0"/>
          <c:showCatName val="0"/>
          <c:showSerName val="0"/>
          <c:showPercent val="0"/>
          <c:showBubbleSize val="0"/>
        </c:dLbls>
        <c:gapWidth val="100"/>
        <c:overlap val="100"/>
        <c:axId val="104312896"/>
        <c:axId val="104312480"/>
      </c:barChart>
      <c:lineChart>
        <c:grouping val="standard"/>
        <c:varyColors val="0"/>
        <c:ser>
          <c:idx val="0"/>
          <c:order val="0"/>
          <c:tx>
            <c:strRef>
              <c:f>GOV_DEBT_CZ!$N$25</c:f>
              <c:strCache>
                <c:ptCount val="1"/>
                <c:pt idx="0">
                  <c:v>Celkem</c:v>
                </c:pt>
              </c:strCache>
            </c:strRef>
          </c:tx>
          <c:spPr>
            <a:ln w="28575" cap="rnd">
              <a:solidFill>
                <a:schemeClr val="tx1"/>
              </a:solidFill>
              <a:round/>
            </a:ln>
            <a:effectLst/>
          </c:spPr>
          <c:marker>
            <c:symbol val="none"/>
          </c:marker>
          <c:cat>
            <c:numRef>
              <c:f>GOV_DEBT_CZ!$M$26:$M$36</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GOV_DEBT_CZ!$N$26:$N$36</c:f>
              <c:numCache>
                <c:formatCode>General</c:formatCode>
                <c:ptCount val="11"/>
                <c:pt idx="0">
                  <c:v>82.135000000000005</c:v>
                </c:pt>
                <c:pt idx="1">
                  <c:v>182.24500000000012</c:v>
                </c:pt>
                <c:pt idx="2">
                  <c:v>161.10099999999989</c:v>
                </c:pt>
                <c:pt idx="3">
                  <c:v>126.327</c:v>
                </c:pt>
                <c:pt idx="4">
                  <c:v>198.93700000000013</c:v>
                </c:pt>
                <c:pt idx="5">
                  <c:v>34.982999999999947</c:v>
                </c:pt>
                <c:pt idx="6">
                  <c:v>-21.314000000000078</c:v>
                </c:pt>
                <c:pt idx="7">
                  <c:v>17.157000000000153</c:v>
                </c:pt>
                <c:pt idx="8">
                  <c:v>-81.372000000000071</c:v>
                </c:pt>
                <c:pt idx="9">
                  <c:v>-5.3510000000001128</c:v>
                </c:pt>
                <c:pt idx="10">
                  <c:v>-14.455999999999904</c:v>
                </c:pt>
              </c:numCache>
            </c:numRef>
          </c:val>
          <c:smooth val="0"/>
          <c:extLst>
            <c:ext xmlns:c16="http://schemas.microsoft.com/office/drawing/2014/chart" uri="{C3380CC4-5D6E-409C-BE32-E72D297353CC}">
              <c16:uniqueId val="{00000005-5CFA-4429-9D8A-2CCA3396F95A}"/>
            </c:ext>
          </c:extLst>
        </c:ser>
        <c:dLbls>
          <c:showLegendKey val="0"/>
          <c:showVal val="0"/>
          <c:showCatName val="0"/>
          <c:showSerName val="0"/>
          <c:showPercent val="0"/>
          <c:showBubbleSize val="0"/>
        </c:dLbls>
        <c:marker val="1"/>
        <c:smooth val="0"/>
        <c:axId val="104312896"/>
        <c:axId val="104312480"/>
      </c:lineChart>
      <c:catAx>
        <c:axId val="1043128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04312480"/>
        <c:crosses val="autoZero"/>
        <c:auto val="1"/>
        <c:lblAlgn val="ctr"/>
        <c:lblOffset val="100"/>
        <c:noMultiLvlLbl val="0"/>
      </c:catAx>
      <c:valAx>
        <c:axId val="10431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04312896"/>
        <c:crosses val="autoZero"/>
        <c:crossBetween val="between"/>
      </c:valAx>
      <c:spPr>
        <a:noFill/>
        <a:ln>
          <a:noFill/>
        </a:ln>
        <a:effectLst/>
      </c:spPr>
    </c:plotArea>
    <c:legend>
      <c:legendPos val="b"/>
      <c:layout>
        <c:manualLayout>
          <c:xMode val="edge"/>
          <c:yMode val="edge"/>
          <c:x val="7.9426925025329276E-2"/>
          <c:y val="0.88191855229089267"/>
          <c:w val="0.89475979398851735"/>
          <c:h val="9.663599009343688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727710233029384E-2"/>
          <c:y val="3.9316672295395698E-2"/>
          <c:w val="0.91078478554542386"/>
          <c:h val="0.73031323877068555"/>
        </c:manualLayout>
      </c:layout>
      <c:barChart>
        <c:barDir val="col"/>
        <c:grouping val="clustered"/>
        <c:varyColors val="0"/>
        <c:ser>
          <c:idx val="1"/>
          <c:order val="1"/>
          <c:tx>
            <c:strRef>
              <c:f>'S14'!$F$148</c:f>
              <c:strCache>
                <c:ptCount val="1"/>
                <c:pt idx="0">
                  <c:v>Mzdy a platy (reálné)</c:v>
                </c:pt>
              </c:strCache>
            </c:strRef>
          </c:tx>
          <c:spPr>
            <a:solidFill>
              <a:srgbClr val="FF0000"/>
            </a:solidFill>
            <a:ln>
              <a:noFill/>
            </a:ln>
            <a:effectLst/>
          </c:spPr>
          <c:invertIfNegative val="0"/>
          <c:cat>
            <c:numRef>
              <c:f>'S14'!$D$157:$D$167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'S14'!$F$157:$F$167</c:f>
              <c:numCache>
                <c:formatCode>0.0</c:formatCode>
                <c:ptCount val="11"/>
                <c:pt idx="0">
                  <c:v>1.6116857512015628</c:v>
                </c:pt>
                <c:pt idx="1">
                  <c:v>-2.3505250334646064</c:v>
                </c:pt>
                <c:pt idx="2">
                  <c:v>1.0013085286431931</c:v>
                </c:pt>
                <c:pt idx="3">
                  <c:v>0.6336928300831346</c:v>
                </c:pt>
                <c:pt idx="4">
                  <c:v>0.61870883091997086</c:v>
                </c:pt>
                <c:pt idx="5">
                  <c:v>0.25996660899677693</c:v>
                </c:pt>
                <c:pt idx="6">
                  <c:v>3.5646890971557212</c:v>
                </c:pt>
                <c:pt idx="7">
                  <c:v>4.9990711632543707</c:v>
                </c:pt>
                <c:pt idx="8">
                  <c:v>5.3043299690453551</c:v>
                </c:pt>
                <c:pt idx="9">
                  <c:v>5.72278146674509</c:v>
                </c:pt>
                <c:pt idx="10">
                  <c:v>6.5608916788896323</c:v>
                </c:pt>
              </c:numCache>
            </c:numRef>
          </c:val>
          <c:extLst>
            <c:ext xmlns:c16="http://schemas.microsoft.com/office/drawing/2014/chart" uri="{C3380CC4-5D6E-409C-BE32-E72D297353CC}">
              <c16:uniqueId val="{00000000-CF1C-4710-8768-D26B7F7E224F}"/>
            </c:ext>
          </c:extLst>
        </c:ser>
        <c:ser>
          <c:idx val="3"/>
          <c:order val="3"/>
          <c:tx>
            <c:strRef>
              <c:f>'S14'!$H$148</c:f>
              <c:strCache>
                <c:ptCount val="1"/>
                <c:pt idx="0">
                  <c:v>Hrubý disponibilní důchod (reálný)</c:v>
                </c:pt>
              </c:strCache>
            </c:strRef>
          </c:tx>
          <c:spPr>
            <a:solidFill>
              <a:srgbClr val="0070C0"/>
            </a:solidFill>
            <a:ln>
              <a:noFill/>
            </a:ln>
            <a:effectLst/>
          </c:spPr>
          <c:invertIfNegative val="0"/>
          <c:cat>
            <c:numRef>
              <c:f>'S14'!$D$157:$D$167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'S14'!$H$157:$H$167</c:f>
              <c:numCache>
                <c:formatCode>0.0</c:formatCode>
                <c:ptCount val="11"/>
                <c:pt idx="0">
                  <c:v>2.4880525209405278</c:v>
                </c:pt>
                <c:pt idx="1">
                  <c:v>2.1224798911363791</c:v>
                </c:pt>
                <c:pt idx="2">
                  <c:v>0.38045661249113039</c:v>
                </c:pt>
                <c:pt idx="3">
                  <c:v>-1.5072017978109358</c:v>
                </c:pt>
                <c:pt idx="4">
                  <c:v>-1.2083775182866674</c:v>
                </c:pt>
                <c:pt idx="5">
                  <c:v>-0.7726886021829813</c:v>
                </c:pt>
                <c:pt idx="6">
                  <c:v>2.8574548678216161</c:v>
                </c:pt>
                <c:pt idx="7">
                  <c:v>4.1609466264007722</c:v>
                </c:pt>
                <c:pt idx="8">
                  <c:v>3.2596098637410336</c:v>
                </c:pt>
                <c:pt idx="9">
                  <c:v>1.7051191683321036</c:v>
                </c:pt>
                <c:pt idx="10">
                  <c:v>4.8886564092894815</c:v>
                </c:pt>
              </c:numCache>
            </c:numRef>
          </c:val>
          <c:extLst>
            <c:ext xmlns:c16="http://schemas.microsoft.com/office/drawing/2014/chart" uri="{C3380CC4-5D6E-409C-BE32-E72D297353CC}">
              <c16:uniqueId val="{00000001-CF1C-4710-8768-D26B7F7E224F}"/>
            </c:ext>
          </c:extLst>
        </c:ser>
        <c:dLbls>
          <c:showLegendKey val="0"/>
          <c:showVal val="0"/>
          <c:showCatName val="0"/>
          <c:showSerName val="0"/>
          <c:showPercent val="0"/>
          <c:showBubbleSize val="0"/>
        </c:dLbls>
        <c:gapWidth val="219"/>
        <c:axId val="129360608"/>
        <c:axId val="1"/>
      </c:barChart>
      <c:lineChart>
        <c:grouping val="standard"/>
        <c:varyColors val="0"/>
        <c:ser>
          <c:idx val="0"/>
          <c:order val="0"/>
          <c:tx>
            <c:strRef>
              <c:f>'S14'!$E$148</c:f>
              <c:strCache>
                <c:ptCount val="1"/>
                <c:pt idx="0">
                  <c:v>Mzdy a platy (nominální)</c:v>
                </c:pt>
              </c:strCache>
            </c:strRef>
          </c:tx>
          <c:spPr>
            <a:ln w="28575" cap="rnd">
              <a:noFill/>
              <a:round/>
            </a:ln>
            <a:effectLst/>
          </c:spPr>
          <c:marker>
            <c:symbol val="square"/>
            <c:size val="8"/>
            <c:spPr>
              <a:solidFill>
                <a:schemeClr val="accent2">
                  <a:lumMod val="40000"/>
                  <a:lumOff val="60000"/>
                </a:schemeClr>
              </a:solidFill>
              <a:ln w="9525">
                <a:noFill/>
              </a:ln>
              <a:effectLst/>
            </c:spPr>
          </c:marker>
          <c:cat>
            <c:numRef>
              <c:f>'S14'!$D$157:$D$167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'S14'!$E$157:$E$167</c:f>
              <c:numCache>
                <c:formatCode>0.0</c:formatCode>
                <c:ptCount val="11"/>
                <c:pt idx="0">
                  <c:v>6.4659093210570671</c:v>
                </c:pt>
                <c:pt idx="1">
                  <c:v>-1.5161339947827324</c:v>
                </c:pt>
                <c:pt idx="2">
                  <c:v>1.4633867766943163</c:v>
                </c:pt>
                <c:pt idx="3">
                  <c:v>2.4140094491108766</c:v>
                </c:pt>
                <c:pt idx="4">
                  <c:v>2.8590802225129939</c:v>
                </c:pt>
                <c:pt idx="5">
                  <c:v>1.1254839132959378</c:v>
                </c:pt>
                <c:pt idx="6">
                  <c:v>4.1962019267750872</c:v>
                </c:pt>
                <c:pt idx="7">
                  <c:v>5.16014964650227</c:v>
                </c:pt>
                <c:pt idx="8">
                  <c:v>5.8760794369129492</c:v>
                </c:pt>
                <c:pt idx="9">
                  <c:v>8.215032965148831</c:v>
                </c:pt>
                <c:pt idx="10">
                  <c:v>8.9614730001547258</c:v>
                </c:pt>
              </c:numCache>
            </c:numRef>
          </c:val>
          <c:smooth val="0"/>
          <c:extLst>
            <c:ext xmlns:c16="http://schemas.microsoft.com/office/drawing/2014/chart" uri="{C3380CC4-5D6E-409C-BE32-E72D297353CC}">
              <c16:uniqueId val="{00000002-CF1C-4710-8768-D26B7F7E224F}"/>
            </c:ext>
          </c:extLst>
        </c:ser>
        <c:ser>
          <c:idx val="2"/>
          <c:order val="2"/>
          <c:tx>
            <c:strRef>
              <c:f>'S14'!$G$148</c:f>
              <c:strCache>
                <c:ptCount val="1"/>
                <c:pt idx="0">
                  <c:v>Hrubý disponibilní důchod (nominální)</c:v>
                </c:pt>
              </c:strCache>
            </c:strRef>
          </c:tx>
          <c:spPr>
            <a:ln w="28575" cap="rnd">
              <a:noFill/>
              <a:round/>
            </a:ln>
            <a:effectLst/>
          </c:spPr>
          <c:marker>
            <c:symbol val="square"/>
            <c:size val="8"/>
            <c:spPr>
              <a:solidFill>
                <a:schemeClr val="accent1">
                  <a:lumMod val="40000"/>
                  <a:lumOff val="60000"/>
                </a:schemeClr>
              </a:solidFill>
              <a:ln w="9525">
                <a:noFill/>
              </a:ln>
              <a:effectLst/>
            </c:spPr>
          </c:marker>
          <c:cat>
            <c:numRef>
              <c:f>'S14'!$D$157:$D$167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'S14'!$G$157:$G$167</c:f>
              <c:numCache>
                <c:formatCode>0.0</c:formatCode>
                <c:ptCount val="11"/>
                <c:pt idx="0">
                  <c:v>7.3841421438789636</c:v>
                </c:pt>
                <c:pt idx="1">
                  <c:v>2.9950916701381178</c:v>
                </c:pt>
                <c:pt idx="2">
                  <c:v>0.83969447985913304</c:v>
                </c:pt>
                <c:pt idx="3">
                  <c:v>0.23524012757853191</c:v>
                </c:pt>
                <c:pt idx="4">
                  <c:v>0.99131205543875578</c:v>
                </c:pt>
                <c:pt idx="5">
                  <c:v>8.3914067642626711E-2</c:v>
                </c:pt>
                <c:pt idx="6">
                  <c:v>3.4846551514056161</c:v>
                </c:pt>
                <c:pt idx="7">
                  <c:v>4.3207393475207354</c:v>
                </c:pt>
                <c:pt idx="8">
                  <c:v>3.8202575314026097</c:v>
                </c:pt>
                <c:pt idx="9">
                  <c:v>4.1026604751916649</c:v>
                </c:pt>
                <c:pt idx="10">
                  <c:v>7.2515659666483563</c:v>
                </c:pt>
              </c:numCache>
            </c:numRef>
          </c:val>
          <c:smooth val="0"/>
          <c:extLst>
            <c:ext xmlns:c16="http://schemas.microsoft.com/office/drawing/2014/chart" uri="{C3380CC4-5D6E-409C-BE32-E72D297353CC}">
              <c16:uniqueId val="{00000003-CF1C-4710-8768-D26B7F7E224F}"/>
            </c:ext>
          </c:extLst>
        </c:ser>
        <c:dLbls>
          <c:showLegendKey val="0"/>
          <c:showVal val="0"/>
          <c:showCatName val="0"/>
          <c:showSerName val="0"/>
          <c:showPercent val="0"/>
          <c:showBubbleSize val="0"/>
        </c:dLbls>
        <c:marker val="1"/>
        <c:smooth val="0"/>
        <c:axId val="129360608"/>
        <c:axId val="1"/>
      </c:lineChart>
      <c:catAx>
        <c:axId val="1293606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29360608"/>
        <c:crosses val="autoZero"/>
        <c:crossBetween val="between"/>
      </c:valAx>
      <c:spPr>
        <a:noFill/>
        <a:ln w="25400">
          <a:noFill/>
        </a:ln>
      </c:spPr>
    </c:plotArea>
    <c:legend>
      <c:legendPos val="b"/>
      <c:layout>
        <c:manualLayout>
          <c:xMode val="edge"/>
          <c:yMode val="edge"/>
          <c:x val="5.9240637089038567E-2"/>
          <c:y val="0.83107949307945095"/>
          <c:w val="0.90490613372123663"/>
          <c:h val="0.1411426118652058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477541371158392E-2"/>
          <c:y val="3.9316672295395698E-2"/>
          <c:w val="0.89403495440729486"/>
          <c:h val="0.76651750534729246"/>
        </c:manualLayout>
      </c:layout>
      <c:barChart>
        <c:barDir val="col"/>
        <c:grouping val="stacked"/>
        <c:varyColors val="0"/>
        <c:ser>
          <c:idx val="1"/>
          <c:order val="0"/>
          <c:tx>
            <c:strRef>
              <c:f>'S14'!$N$124</c:f>
              <c:strCache>
                <c:ptCount val="1"/>
                <c:pt idx="0">
                  <c:v>Hrubý provozní přebytek</c:v>
                </c:pt>
              </c:strCache>
            </c:strRef>
          </c:tx>
          <c:spPr>
            <a:solidFill>
              <a:schemeClr val="accent2">
                <a:lumMod val="40000"/>
                <a:lumOff val="60000"/>
              </a:schemeClr>
            </a:solidFill>
            <a:ln>
              <a:noFill/>
            </a:ln>
            <a:effectLst/>
          </c:spPr>
          <c:invertIfNegative val="0"/>
          <c:cat>
            <c:numRef>
              <c:f>'S14'!$L$133:$L$143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'S14'!$N$133:$N$143</c:f>
              <c:numCache>
                <c:formatCode>0.0</c:formatCode>
                <c:ptCount val="11"/>
                <c:pt idx="0">
                  <c:v>17.367999999999999</c:v>
                </c:pt>
                <c:pt idx="1">
                  <c:v>3.8119999999999998</c:v>
                </c:pt>
                <c:pt idx="2">
                  <c:v>5.5750000000000002</c:v>
                </c:pt>
                <c:pt idx="3">
                  <c:v>-2.5999999999999999E-2</c:v>
                </c:pt>
                <c:pt idx="4">
                  <c:v>-4.4219999999999997</c:v>
                </c:pt>
                <c:pt idx="5">
                  <c:v>1.972</c:v>
                </c:pt>
                <c:pt idx="6">
                  <c:v>5.3079999999999998</c:v>
                </c:pt>
                <c:pt idx="7">
                  <c:v>1.4670000000000001</c:v>
                </c:pt>
                <c:pt idx="8">
                  <c:v>8.5069999999999997</c:v>
                </c:pt>
                <c:pt idx="9">
                  <c:v>15.297000000000001</c:v>
                </c:pt>
                <c:pt idx="10">
                  <c:v>22.326000000000001</c:v>
                </c:pt>
              </c:numCache>
            </c:numRef>
          </c:val>
          <c:extLst>
            <c:ext xmlns:c16="http://schemas.microsoft.com/office/drawing/2014/chart" uri="{C3380CC4-5D6E-409C-BE32-E72D297353CC}">
              <c16:uniqueId val="{00000000-C1FC-43D0-A7E1-455D8681041C}"/>
            </c:ext>
          </c:extLst>
        </c:ser>
        <c:ser>
          <c:idx val="2"/>
          <c:order val="1"/>
          <c:tx>
            <c:strRef>
              <c:f>'S14'!$O$124</c:f>
              <c:strCache>
                <c:ptCount val="1"/>
                <c:pt idx="0">
                  <c:v>Hrubý smíšený důchod</c:v>
                </c:pt>
              </c:strCache>
            </c:strRef>
          </c:tx>
          <c:spPr>
            <a:solidFill>
              <a:srgbClr val="FF0000"/>
            </a:solidFill>
            <a:ln w="25400">
              <a:noFill/>
            </a:ln>
          </c:spPr>
          <c:invertIfNegative val="0"/>
          <c:cat>
            <c:numRef>
              <c:f>'S14'!$L$133:$L$143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'S14'!$O$133:$O$143</c:f>
              <c:numCache>
                <c:formatCode>0.0</c:formatCode>
                <c:ptCount val="11"/>
                <c:pt idx="0">
                  <c:v>7.923</c:v>
                </c:pt>
                <c:pt idx="1">
                  <c:v>25.728999999999999</c:v>
                </c:pt>
                <c:pt idx="2">
                  <c:v>-6.9859999999999998</c:v>
                </c:pt>
                <c:pt idx="3">
                  <c:v>-11.425000000000001</c:v>
                </c:pt>
                <c:pt idx="4">
                  <c:v>-15.044</c:v>
                </c:pt>
                <c:pt idx="5">
                  <c:v>-10.672000000000001</c:v>
                </c:pt>
                <c:pt idx="6">
                  <c:v>11.273</c:v>
                </c:pt>
                <c:pt idx="7">
                  <c:v>27.259</c:v>
                </c:pt>
                <c:pt idx="8">
                  <c:v>11.478999999999999</c:v>
                </c:pt>
                <c:pt idx="9">
                  <c:v>2.5179999999999998</c:v>
                </c:pt>
                <c:pt idx="10">
                  <c:v>48.158000000000001</c:v>
                </c:pt>
              </c:numCache>
            </c:numRef>
          </c:val>
          <c:extLst>
            <c:ext xmlns:c16="http://schemas.microsoft.com/office/drawing/2014/chart" uri="{C3380CC4-5D6E-409C-BE32-E72D297353CC}">
              <c16:uniqueId val="{00000001-C1FC-43D0-A7E1-455D8681041C}"/>
            </c:ext>
          </c:extLst>
        </c:ser>
        <c:ser>
          <c:idx val="3"/>
          <c:order val="2"/>
          <c:tx>
            <c:strRef>
              <c:f>'S14'!$P$124</c:f>
              <c:strCache>
                <c:ptCount val="1"/>
                <c:pt idx="0">
                  <c:v>Mzdy a platy</c:v>
                </c:pt>
              </c:strCache>
            </c:strRef>
          </c:tx>
          <c:spPr>
            <a:solidFill>
              <a:srgbClr val="5B9BD5"/>
            </a:solidFill>
            <a:ln w="25400">
              <a:noFill/>
            </a:ln>
          </c:spPr>
          <c:invertIfNegative val="0"/>
          <c:cat>
            <c:numRef>
              <c:f>'S14'!$L$133:$L$143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'S14'!$P$133:$P$143</c:f>
              <c:numCache>
                <c:formatCode>0.0</c:formatCode>
                <c:ptCount val="11"/>
                <c:pt idx="0">
                  <c:v>73.429000000000002</c:v>
                </c:pt>
                <c:pt idx="1">
                  <c:v>-18.331</c:v>
                </c:pt>
                <c:pt idx="2">
                  <c:v>17.425000000000001</c:v>
                </c:pt>
                <c:pt idx="3">
                  <c:v>29.164999999999999</c:v>
                </c:pt>
                <c:pt idx="4">
                  <c:v>35.375999999999998</c:v>
                </c:pt>
                <c:pt idx="5">
                  <c:v>14.324</c:v>
                </c:pt>
                <c:pt idx="6">
                  <c:v>54.006</c:v>
                </c:pt>
                <c:pt idx="7">
                  <c:v>69.198999999999998</c:v>
                </c:pt>
                <c:pt idx="8">
                  <c:v>82.866</c:v>
                </c:pt>
                <c:pt idx="9">
                  <c:v>122.658</c:v>
                </c:pt>
                <c:pt idx="10">
                  <c:v>144.79499999999999</c:v>
                </c:pt>
              </c:numCache>
            </c:numRef>
          </c:val>
          <c:extLst>
            <c:ext xmlns:c16="http://schemas.microsoft.com/office/drawing/2014/chart" uri="{C3380CC4-5D6E-409C-BE32-E72D297353CC}">
              <c16:uniqueId val="{00000002-C1FC-43D0-A7E1-455D8681041C}"/>
            </c:ext>
          </c:extLst>
        </c:ser>
        <c:ser>
          <c:idx val="4"/>
          <c:order val="3"/>
          <c:tx>
            <c:strRef>
              <c:f>'S14'!$Q$124</c:f>
              <c:strCache>
                <c:ptCount val="1"/>
                <c:pt idx="0">
                  <c:v>Saldo důchodů z vlastnictví</c:v>
                </c:pt>
              </c:strCache>
            </c:strRef>
          </c:tx>
          <c:spPr>
            <a:solidFill>
              <a:srgbClr val="70AD47"/>
            </a:solidFill>
            <a:ln w="25400">
              <a:noFill/>
            </a:ln>
          </c:spPr>
          <c:invertIfNegative val="0"/>
          <c:cat>
            <c:numRef>
              <c:f>'S14'!$L$133:$L$143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'S14'!$Q$133:$Q$143</c:f>
              <c:numCache>
                <c:formatCode>0.0</c:formatCode>
                <c:ptCount val="11"/>
                <c:pt idx="0">
                  <c:v>12.567</c:v>
                </c:pt>
                <c:pt idx="1">
                  <c:v>-7.8230000000000004</c:v>
                </c:pt>
                <c:pt idx="2">
                  <c:v>-7.3680000000000003</c:v>
                </c:pt>
                <c:pt idx="3">
                  <c:v>0.92800000000000005</c:v>
                </c:pt>
                <c:pt idx="4">
                  <c:v>-0.51300000000000001</c:v>
                </c:pt>
                <c:pt idx="5">
                  <c:v>5.2729999999999997</c:v>
                </c:pt>
                <c:pt idx="6">
                  <c:v>13.262</c:v>
                </c:pt>
                <c:pt idx="7">
                  <c:v>1.113</c:v>
                </c:pt>
                <c:pt idx="8">
                  <c:v>9.3520000000000003</c:v>
                </c:pt>
                <c:pt idx="9">
                  <c:v>-11.298</c:v>
                </c:pt>
                <c:pt idx="10">
                  <c:v>-0.47399999999999998</c:v>
                </c:pt>
              </c:numCache>
            </c:numRef>
          </c:val>
          <c:extLst>
            <c:ext xmlns:c16="http://schemas.microsoft.com/office/drawing/2014/chart" uri="{C3380CC4-5D6E-409C-BE32-E72D297353CC}">
              <c16:uniqueId val="{00000003-C1FC-43D0-A7E1-455D8681041C}"/>
            </c:ext>
          </c:extLst>
        </c:ser>
        <c:ser>
          <c:idx val="5"/>
          <c:order val="4"/>
          <c:tx>
            <c:strRef>
              <c:f>'S14'!$R$124</c:f>
              <c:strCache>
                <c:ptCount val="1"/>
                <c:pt idx="0">
                  <c:v>Saldo druhotného rozdělení</c:v>
                </c:pt>
              </c:strCache>
            </c:strRef>
          </c:tx>
          <c:spPr>
            <a:solidFill>
              <a:srgbClr val="A5A5A5"/>
            </a:solidFill>
            <a:ln w="25400">
              <a:noFill/>
            </a:ln>
          </c:spPr>
          <c:invertIfNegative val="0"/>
          <c:cat>
            <c:numRef>
              <c:f>'S14'!$L$133:$L$143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'S14'!$R$133:$R$143</c:f>
              <c:numCache>
                <c:formatCode>0.0</c:formatCode>
                <c:ptCount val="11"/>
                <c:pt idx="0">
                  <c:v>33.454000000000001</c:v>
                </c:pt>
                <c:pt idx="1">
                  <c:v>54.823</c:v>
                </c:pt>
                <c:pt idx="2">
                  <c:v>13.253</c:v>
                </c:pt>
                <c:pt idx="3">
                  <c:v>-14.132999999999999</c:v>
                </c:pt>
                <c:pt idx="4">
                  <c:v>4.9960000000000004</c:v>
                </c:pt>
                <c:pt idx="5">
                  <c:v>-9.3049999999999997</c:v>
                </c:pt>
                <c:pt idx="6">
                  <c:v>-5.8159999999999998</c:v>
                </c:pt>
                <c:pt idx="7">
                  <c:v>-1.02</c:v>
                </c:pt>
                <c:pt idx="8">
                  <c:v>-21.481000000000002</c:v>
                </c:pt>
                <c:pt idx="9">
                  <c:v>-27.971</c:v>
                </c:pt>
                <c:pt idx="10">
                  <c:v>-28.779</c:v>
                </c:pt>
              </c:numCache>
            </c:numRef>
          </c:val>
          <c:extLst>
            <c:ext xmlns:c16="http://schemas.microsoft.com/office/drawing/2014/chart" uri="{C3380CC4-5D6E-409C-BE32-E72D297353CC}">
              <c16:uniqueId val="{00000004-C1FC-43D0-A7E1-455D8681041C}"/>
            </c:ext>
          </c:extLst>
        </c:ser>
        <c:dLbls>
          <c:showLegendKey val="0"/>
          <c:showVal val="0"/>
          <c:showCatName val="0"/>
          <c:showSerName val="0"/>
          <c:showPercent val="0"/>
          <c:showBubbleSize val="0"/>
        </c:dLbls>
        <c:gapWidth val="100"/>
        <c:overlap val="100"/>
        <c:axId val="80248464"/>
        <c:axId val="1"/>
      </c:barChart>
      <c:lineChart>
        <c:grouping val="standard"/>
        <c:varyColors val="0"/>
        <c:ser>
          <c:idx val="0"/>
          <c:order val="5"/>
          <c:tx>
            <c:strRef>
              <c:f>'S14'!$M$124</c:f>
              <c:strCache>
                <c:ptCount val="1"/>
                <c:pt idx="0">
                  <c:v>Hrubý disponibilní důchod</c:v>
                </c:pt>
              </c:strCache>
            </c:strRef>
          </c:tx>
          <c:spPr>
            <a:ln w="28575" cap="rnd">
              <a:solidFill>
                <a:schemeClr val="tx1"/>
              </a:solidFill>
              <a:round/>
            </a:ln>
            <a:effectLst/>
          </c:spPr>
          <c:marker>
            <c:symbol val="none"/>
          </c:marker>
          <c:cat>
            <c:numRef>
              <c:f>'S14'!$L$133:$L$143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'S14'!$M$133:$M$143</c:f>
              <c:numCache>
                <c:formatCode>0.0</c:formatCode>
                <c:ptCount val="11"/>
                <c:pt idx="0">
                  <c:v>144.27099999999999</c:v>
                </c:pt>
                <c:pt idx="1">
                  <c:v>62.838999999999999</c:v>
                </c:pt>
                <c:pt idx="2">
                  <c:v>18.145</c:v>
                </c:pt>
                <c:pt idx="3">
                  <c:v>5.1260000000000003</c:v>
                </c:pt>
                <c:pt idx="4">
                  <c:v>21.652000000000001</c:v>
                </c:pt>
                <c:pt idx="5">
                  <c:v>1.851</c:v>
                </c:pt>
                <c:pt idx="6">
                  <c:v>76.930000000000007</c:v>
                </c:pt>
                <c:pt idx="7">
                  <c:v>98.712000000000003</c:v>
                </c:pt>
                <c:pt idx="8">
                  <c:v>91.049000000000007</c:v>
                </c:pt>
                <c:pt idx="9">
                  <c:v>101.515</c:v>
                </c:pt>
                <c:pt idx="10">
                  <c:v>186.792</c:v>
                </c:pt>
              </c:numCache>
            </c:numRef>
          </c:val>
          <c:smooth val="0"/>
          <c:extLst>
            <c:ext xmlns:c16="http://schemas.microsoft.com/office/drawing/2014/chart" uri="{C3380CC4-5D6E-409C-BE32-E72D297353CC}">
              <c16:uniqueId val="{00000005-C1FC-43D0-A7E1-455D8681041C}"/>
            </c:ext>
          </c:extLst>
        </c:ser>
        <c:dLbls>
          <c:showLegendKey val="0"/>
          <c:showVal val="0"/>
          <c:showCatName val="0"/>
          <c:showSerName val="0"/>
          <c:showPercent val="0"/>
          <c:showBubbleSize val="0"/>
        </c:dLbls>
        <c:marker val="1"/>
        <c:smooth val="0"/>
        <c:axId val="80248464"/>
        <c:axId val="1"/>
      </c:lineChart>
      <c:catAx>
        <c:axId val="802484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
        <c:crosses val="autoZero"/>
        <c:auto val="1"/>
        <c:lblAlgn val="ctr"/>
        <c:lblOffset val="100"/>
        <c:noMultiLvlLbl val="0"/>
      </c:catAx>
      <c:valAx>
        <c:axId val="1"/>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80248464"/>
        <c:crosses val="autoZero"/>
        <c:crossBetween val="between"/>
      </c:valAx>
      <c:spPr>
        <a:noFill/>
        <a:ln w="25400">
          <a:noFill/>
        </a:ln>
      </c:spPr>
    </c:plotArea>
    <c:legend>
      <c:legendPos val="b"/>
      <c:layout>
        <c:manualLayout>
          <c:xMode val="edge"/>
          <c:yMode val="edge"/>
          <c:x val="7.6933455607205728E-2"/>
          <c:y val="0.86730500792664078"/>
          <c:w val="0.88902402259958468"/>
          <c:h val="0.11124951486327361"/>
        </c:manualLayout>
      </c:layout>
      <c:overlay val="0"/>
      <c:spPr>
        <a:noFill/>
        <a:ln w="25400">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'S14'!$D$148</c:f>
              <c:strCache>
                <c:ptCount val="1"/>
                <c:pt idx="0">
                  <c:v>Změna výdajů na konečnou spotřebu</c:v>
                </c:pt>
              </c:strCache>
            </c:strRef>
          </c:tx>
          <c:spPr>
            <a:solidFill>
              <a:schemeClr val="bg2">
                <a:lumMod val="90000"/>
              </a:schemeClr>
            </a:solidFill>
            <a:ln>
              <a:noFill/>
            </a:ln>
            <a:effectLst/>
          </c:spPr>
          <c:invertIfNegative val="0"/>
          <c:cat>
            <c:numRef>
              <c:f>'S14'!$C$149:$C$159</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'S14'!$D$149:$D$159</c:f>
              <c:numCache>
                <c:formatCode>General</c:formatCode>
                <c:ptCount val="11"/>
                <c:pt idx="0">
                  <c:v>136.798</c:v>
                </c:pt>
                <c:pt idx="1">
                  <c:v>3.786</c:v>
                </c:pt>
                <c:pt idx="2">
                  <c:v>29.111999999999998</c:v>
                </c:pt>
                <c:pt idx="3">
                  <c:v>39.197000000000003</c:v>
                </c:pt>
                <c:pt idx="4">
                  <c:v>18.425999999999998</c:v>
                </c:pt>
                <c:pt idx="5">
                  <c:v>26.259</c:v>
                </c:pt>
                <c:pt idx="6">
                  <c:v>47.634999999999998</c:v>
                </c:pt>
                <c:pt idx="7">
                  <c:v>80.745000000000005</c:v>
                </c:pt>
                <c:pt idx="8">
                  <c:v>88.048000000000002</c:v>
                </c:pt>
                <c:pt idx="9">
                  <c:v>148.26599999999999</c:v>
                </c:pt>
                <c:pt idx="10">
                  <c:v>133.68</c:v>
                </c:pt>
              </c:numCache>
            </c:numRef>
          </c:val>
          <c:extLst>
            <c:ext xmlns:c16="http://schemas.microsoft.com/office/drawing/2014/chart" uri="{C3380CC4-5D6E-409C-BE32-E72D297353CC}">
              <c16:uniqueId val="{00000000-8045-4430-A947-9C8B9DA1445D}"/>
            </c:ext>
          </c:extLst>
        </c:ser>
        <c:dLbls>
          <c:showLegendKey val="0"/>
          <c:showVal val="0"/>
          <c:showCatName val="0"/>
          <c:showSerName val="0"/>
          <c:showPercent val="0"/>
          <c:showBubbleSize val="0"/>
        </c:dLbls>
        <c:gapWidth val="99"/>
        <c:overlap val="-27"/>
        <c:axId val="378563360"/>
        <c:axId val="378560864"/>
      </c:barChart>
      <c:lineChart>
        <c:grouping val="standard"/>
        <c:varyColors val="0"/>
        <c:ser>
          <c:idx val="1"/>
          <c:order val="1"/>
          <c:tx>
            <c:strRef>
              <c:f>'S14'!$E$148</c:f>
              <c:strCache>
                <c:ptCount val="1"/>
                <c:pt idx="0">
                  <c:v>Míra úspor</c:v>
                </c:pt>
              </c:strCache>
            </c:strRef>
          </c:tx>
          <c:spPr>
            <a:ln w="28575" cap="rnd">
              <a:solidFill>
                <a:srgbClr val="FF0000"/>
              </a:solidFill>
              <a:round/>
            </a:ln>
            <a:effectLst/>
          </c:spPr>
          <c:marker>
            <c:symbol val="none"/>
          </c:marker>
          <c:cat>
            <c:numRef>
              <c:f>'S14'!$C$149:$C$159</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'S14'!$E$149:$E$159</c:f>
              <c:numCache>
                <c:formatCode>General</c:formatCode>
                <c:ptCount val="11"/>
                <c:pt idx="0">
                  <c:v>11.423871717682403</c:v>
                </c:pt>
                <c:pt idx="1">
                  <c:v>13.52014698766196</c:v>
                </c:pt>
                <c:pt idx="2">
                  <c:v>12.835366284350053</c:v>
                </c:pt>
                <c:pt idx="3">
                  <c:v>11.279329055388747</c:v>
                </c:pt>
                <c:pt idx="4">
                  <c:v>11.259528147018887</c:v>
                </c:pt>
                <c:pt idx="5">
                  <c:v>10.965959991384873</c:v>
                </c:pt>
                <c:pt idx="6">
                  <c:v>11.885682759096307</c:v>
                </c:pt>
                <c:pt idx="7">
                  <c:v>12.057193109513218</c:v>
                </c:pt>
                <c:pt idx="8">
                  <c:v>11.649949399076608</c:v>
                </c:pt>
                <c:pt idx="9">
                  <c:v>9.4550026630407906</c:v>
                </c:pt>
                <c:pt idx="10">
                  <c:v>10.769443149013359</c:v>
                </c:pt>
              </c:numCache>
            </c:numRef>
          </c:val>
          <c:smooth val="0"/>
          <c:extLst>
            <c:ext xmlns:c16="http://schemas.microsoft.com/office/drawing/2014/chart" uri="{C3380CC4-5D6E-409C-BE32-E72D297353CC}">
              <c16:uniqueId val="{00000001-8045-4430-A947-9C8B9DA1445D}"/>
            </c:ext>
          </c:extLst>
        </c:ser>
        <c:ser>
          <c:idx val="2"/>
          <c:order val="2"/>
          <c:tx>
            <c:strRef>
              <c:f>'S14'!$F$148</c:f>
              <c:strCache>
                <c:ptCount val="1"/>
                <c:pt idx="0">
                  <c:v>Míra investic</c:v>
                </c:pt>
              </c:strCache>
            </c:strRef>
          </c:tx>
          <c:spPr>
            <a:ln w="28575" cap="rnd">
              <a:solidFill>
                <a:srgbClr val="0070C0"/>
              </a:solidFill>
              <a:round/>
            </a:ln>
            <a:effectLst/>
          </c:spPr>
          <c:marker>
            <c:symbol val="none"/>
          </c:marker>
          <c:cat>
            <c:numRef>
              <c:f>'S14'!$C$149:$C$159</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'S14'!$F$149:$F$159</c:f>
              <c:numCache>
                <c:formatCode>General</c:formatCode>
                <c:ptCount val="11"/>
                <c:pt idx="0">
                  <c:v>10.055824705506234</c:v>
                </c:pt>
                <c:pt idx="1">
                  <c:v>9.4275792706706447</c:v>
                </c:pt>
                <c:pt idx="2">
                  <c:v>10.513520770949004</c:v>
                </c:pt>
                <c:pt idx="3">
                  <c:v>9.0982045262725819</c:v>
                </c:pt>
                <c:pt idx="4">
                  <c:v>8.1156010169486876</c:v>
                </c:pt>
                <c:pt idx="5">
                  <c:v>8.1219500633056754</c:v>
                </c:pt>
                <c:pt idx="6">
                  <c:v>8.3928253058999651</c:v>
                </c:pt>
                <c:pt idx="7">
                  <c:v>8.5580063882103605</c:v>
                </c:pt>
                <c:pt idx="8">
                  <c:v>9.0878513162659651</c:v>
                </c:pt>
                <c:pt idx="9">
                  <c:v>9.2630105010163728</c:v>
                </c:pt>
                <c:pt idx="10">
                  <c:v>8.7757153922648445</c:v>
                </c:pt>
              </c:numCache>
            </c:numRef>
          </c:val>
          <c:smooth val="0"/>
          <c:extLst>
            <c:ext xmlns:c16="http://schemas.microsoft.com/office/drawing/2014/chart" uri="{C3380CC4-5D6E-409C-BE32-E72D297353CC}">
              <c16:uniqueId val="{00000002-8045-4430-A947-9C8B9DA1445D}"/>
            </c:ext>
          </c:extLst>
        </c:ser>
        <c:dLbls>
          <c:showLegendKey val="0"/>
          <c:showVal val="0"/>
          <c:showCatName val="0"/>
          <c:showSerName val="0"/>
          <c:showPercent val="0"/>
          <c:showBubbleSize val="0"/>
        </c:dLbls>
        <c:marker val="1"/>
        <c:smooth val="0"/>
        <c:axId val="383747632"/>
        <c:axId val="383748048"/>
      </c:lineChart>
      <c:catAx>
        <c:axId val="37856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378560864"/>
        <c:crosses val="autoZero"/>
        <c:auto val="1"/>
        <c:lblAlgn val="ctr"/>
        <c:lblOffset val="100"/>
        <c:noMultiLvlLbl val="0"/>
      </c:catAx>
      <c:valAx>
        <c:axId val="378560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378563360"/>
        <c:crosses val="autoZero"/>
        <c:crossBetween val="between"/>
      </c:valAx>
      <c:valAx>
        <c:axId val="38374804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383747632"/>
        <c:crosses val="max"/>
        <c:crossBetween val="between"/>
      </c:valAx>
      <c:catAx>
        <c:axId val="383747632"/>
        <c:scaling>
          <c:orientation val="minMax"/>
        </c:scaling>
        <c:delete val="1"/>
        <c:axPos val="b"/>
        <c:numFmt formatCode="General" sourceLinked="1"/>
        <c:majorTickMark val="out"/>
        <c:minorTickMark val="none"/>
        <c:tickLblPos val="nextTo"/>
        <c:crossAx val="3837480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solidFill>
            <a:sysClr val="windowText" lastClr="000000"/>
          </a:solidFill>
          <a:latin typeface="Arial" panose="020B0604020202020204" pitchFamily="34"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1"/>
          <c:tx>
            <c:strRef>
              <c:f>'[hdpcr062819_gs(1).xlsx]HPH'!$S$86</c:f>
              <c:strCache>
                <c:ptCount val="1"/>
                <c:pt idx="0">
                  <c:v>Zpracovatelský průmysl</c:v>
                </c:pt>
              </c:strCache>
            </c:strRef>
          </c:tx>
          <c:spPr>
            <a:solidFill>
              <a:schemeClr val="accent1"/>
            </a:solidFill>
            <a:ln>
              <a:noFill/>
            </a:ln>
            <a:effectLst/>
          </c:spPr>
          <c:invertIfNegative val="0"/>
          <c:cat>
            <c:multiLvlStrRef>
              <c:f>'[hdpcr062819_gs(1).xlsx]HPH'!$O$87:$P$102</c:f>
              <c:multiLvlStrCache>
                <c:ptCount val="16"/>
                <c:lvl>
                  <c:pt idx="12">
                    <c:v>Q1</c:v>
                  </c:pt>
                  <c:pt idx="13">
                    <c:v>Q2</c:v>
                  </c:pt>
                  <c:pt idx="14">
                    <c:v>Q3</c:v>
                  </c:pt>
                  <c:pt idx="15">
                    <c:v>Q4</c:v>
                  </c:pt>
                </c:lvl>
                <c:lvl>
                  <c:pt idx="0">
                    <c:v>2008</c:v>
                  </c:pt>
                  <c:pt idx="1">
                    <c:v>2009</c:v>
                  </c:pt>
                  <c:pt idx="2">
                    <c:v>2010</c:v>
                  </c:pt>
                  <c:pt idx="3">
                    <c:v>2011</c:v>
                  </c:pt>
                  <c:pt idx="4">
                    <c:v>2012</c:v>
                  </c:pt>
                  <c:pt idx="5">
                    <c:v>2013</c:v>
                  </c:pt>
                  <c:pt idx="6">
                    <c:v>2014</c:v>
                  </c:pt>
                  <c:pt idx="7">
                    <c:v>2015</c:v>
                  </c:pt>
                  <c:pt idx="8">
                    <c:v>2016</c:v>
                  </c:pt>
                  <c:pt idx="9">
                    <c:v>2017</c:v>
                  </c:pt>
                  <c:pt idx="10">
                    <c:v>2018</c:v>
                  </c:pt>
                  <c:pt idx="11">
                    <c:v>   </c:v>
                  </c:pt>
                  <c:pt idx="12">
                    <c:v>2018</c:v>
                  </c:pt>
                </c:lvl>
              </c:multiLvlStrCache>
            </c:multiLvlStrRef>
          </c:cat>
          <c:val>
            <c:numRef>
              <c:f>'[hdpcr062819_gs(1).xlsx]HPH'!$S$87:$S$102</c:f>
              <c:numCache>
                <c:formatCode>#\ ##0.0</c:formatCode>
                <c:ptCount val="16"/>
                <c:pt idx="0">
                  <c:v>2.0200591191930344</c:v>
                </c:pt>
                <c:pt idx="1">
                  <c:v>-2.8430949176183709</c:v>
                </c:pt>
                <c:pt idx="2">
                  <c:v>2.456011771442328</c:v>
                </c:pt>
                <c:pt idx="3">
                  <c:v>2.366264083990528</c:v>
                </c:pt>
                <c:pt idx="4">
                  <c:v>-0.72880833429812941</c:v>
                </c:pt>
                <c:pt idx="5">
                  <c:v>-0.67097276520613902</c:v>
                </c:pt>
                <c:pt idx="6">
                  <c:v>1.5340340019616832</c:v>
                </c:pt>
                <c:pt idx="7">
                  <c:v>1.455550144482493</c:v>
                </c:pt>
                <c:pt idx="8">
                  <c:v>0.86430870529639825</c:v>
                </c:pt>
                <c:pt idx="9">
                  <c:v>2.9894202127162881</c:v>
                </c:pt>
                <c:pt idx="10">
                  <c:v>0.41972546541729372</c:v>
                </c:pt>
                <c:pt idx="12">
                  <c:v>1.5816741251665112</c:v>
                </c:pt>
                <c:pt idx="13">
                  <c:v>0.1688755994603568</c:v>
                </c:pt>
                <c:pt idx="14">
                  <c:v>-0.21481541503282964</c:v>
                </c:pt>
                <c:pt idx="15">
                  <c:v>0.17510154761082861</c:v>
                </c:pt>
              </c:numCache>
            </c:numRef>
          </c:val>
          <c:extLst>
            <c:ext xmlns:c16="http://schemas.microsoft.com/office/drawing/2014/chart" uri="{C3380CC4-5D6E-409C-BE32-E72D297353CC}">
              <c16:uniqueId val="{00000000-DCB8-418C-A16A-65E36DD142D7}"/>
            </c:ext>
          </c:extLst>
        </c:ser>
        <c:ser>
          <c:idx val="3"/>
          <c:order val="2"/>
          <c:tx>
            <c:strRef>
              <c:f>'[hdpcr062819_gs(1).xlsx]HPH'!$T$86</c:f>
              <c:strCache>
                <c:ptCount val="1"/>
                <c:pt idx="0">
                  <c:v>Ostatní průmyslová odvětví</c:v>
                </c:pt>
              </c:strCache>
            </c:strRef>
          </c:tx>
          <c:spPr>
            <a:solidFill>
              <a:schemeClr val="accent1">
                <a:lumMod val="40000"/>
                <a:lumOff val="60000"/>
              </a:schemeClr>
            </a:solidFill>
            <a:ln>
              <a:noFill/>
            </a:ln>
            <a:effectLst/>
          </c:spPr>
          <c:invertIfNegative val="0"/>
          <c:cat>
            <c:multiLvlStrRef>
              <c:f>'[hdpcr062819_gs(1).xlsx]HPH'!$O$87:$P$102</c:f>
              <c:multiLvlStrCache>
                <c:ptCount val="16"/>
                <c:lvl>
                  <c:pt idx="12">
                    <c:v>Q1</c:v>
                  </c:pt>
                  <c:pt idx="13">
                    <c:v>Q2</c:v>
                  </c:pt>
                  <c:pt idx="14">
                    <c:v>Q3</c:v>
                  </c:pt>
                  <c:pt idx="15">
                    <c:v>Q4</c:v>
                  </c:pt>
                </c:lvl>
                <c:lvl>
                  <c:pt idx="0">
                    <c:v>2008</c:v>
                  </c:pt>
                  <c:pt idx="1">
                    <c:v>2009</c:v>
                  </c:pt>
                  <c:pt idx="2">
                    <c:v>2010</c:v>
                  </c:pt>
                  <c:pt idx="3">
                    <c:v>2011</c:v>
                  </c:pt>
                  <c:pt idx="4">
                    <c:v>2012</c:v>
                  </c:pt>
                  <c:pt idx="5">
                    <c:v>2013</c:v>
                  </c:pt>
                  <c:pt idx="6">
                    <c:v>2014</c:v>
                  </c:pt>
                  <c:pt idx="7">
                    <c:v>2015</c:v>
                  </c:pt>
                  <c:pt idx="8">
                    <c:v>2016</c:v>
                  </c:pt>
                  <c:pt idx="9">
                    <c:v>2017</c:v>
                  </c:pt>
                  <c:pt idx="10">
                    <c:v>2018</c:v>
                  </c:pt>
                  <c:pt idx="11">
                    <c:v>   </c:v>
                  </c:pt>
                  <c:pt idx="12">
                    <c:v>2018</c:v>
                  </c:pt>
                </c:lvl>
              </c:multiLvlStrCache>
            </c:multiLvlStrRef>
          </c:cat>
          <c:val>
            <c:numRef>
              <c:f>'[hdpcr062819_gs(1).xlsx]HPH'!$T$87:$T$102</c:f>
              <c:numCache>
                <c:formatCode>#\ ##0.0</c:formatCode>
                <c:ptCount val="16"/>
                <c:pt idx="0">
                  <c:v>0.42536489424105461</c:v>
                </c:pt>
                <c:pt idx="1">
                  <c:v>-0.63209456808563047</c:v>
                </c:pt>
                <c:pt idx="2">
                  <c:v>-0.64150085889680986</c:v>
                </c:pt>
                <c:pt idx="3">
                  <c:v>-0.40601010065731113</c:v>
                </c:pt>
                <c:pt idx="4">
                  <c:v>-8.010786649348911E-2</c:v>
                </c:pt>
                <c:pt idx="5">
                  <c:v>-0.71966311541477257</c:v>
                </c:pt>
                <c:pt idx="6">
                  <c:v>5.2246105333710879E-2</c:v>
                </c:pt>
                <c:pt idx="7">
                  <c:v>-5.3549096593128009E-2</c:v>
                </c:pt>
                <c:pt idx="8">
                  <c:v>-0.32272004199493332</c:v>
                </c:pt>
                <c:pt idx="9">
                  <c:v>3.5600564006311952E-2</c:v>
                </c:pt>
                <c:pt idx="10">
                  <c:v>-0.1120634804452203</c:v>
                </c:pt>
                <c:pt idx="12">
                  <c:v>-0.1924556088334417</c:v>
                </c:pt>
                <c:pt idx="13">
                  <c:v>-0.14766650544396429</c:v>
                </c:pt>
                <c:pt idx="14">
                  <c:v>2.1403533574316375E-2</c:v>
                </c:pt>
                <c:pt idx="15">
                  <c:v>-0.13203101072711443</c:v>
                </c:pt>
              </c:numCache>
            </c:numRef>
          </c:val>
          <c:extLst>
            <c:ext xmlns:c16="http://schemas.microsoft.com/office/drawing/2014/chart" uri="{C3380CC4-5D6E-409C-BE32-E72D297353CC}">
              <c16:uniqueId val="{00000001-DCB8-418C-A16A-65E36DD142D7}"/>
            </c:ext>
          </c:extLst>
        </c:ser>
        <c:ser>
          <c:idx val="4"/>
          <c:order val="3"/>
          <c:tx>
            <c:strRef>
              <c:f>'[hdpcr062819_gs(1).xlsx]HPH'!$U$86</c:f>
              <c:strCache>
                <c:ptCount val="1"/>
                <c:pt idx="0">
                  <c:v>Stavebnictví</c:v>
                </c:pt>
              </c:strCache>
            </c:strRef>
          </c:tx>
          <c:spPr>
            <a:solidFill>
              <a:srgbClr val="FFC000"/>
            </a:solidFill>
            <a:ln>
              <a:noFill/>
            </a:ln>
            <a:effectLst/>
          </c:spPr>
          <c:invertIfNegative val="0"/>
          <c:cat>
            <c:multiLvlStrRef>
              <c:f>'[hdpcr062819_gs(1).xlsx]HPH'!$O$87:$P$102</c:f>
              <c:multiLvlStrCache>
                <c:ptCount val="16"/>
                <c:lvl>
                  <c:pt idx="12">
                    <c:v>Q1</c:v>
                  </c:pt>
                  <c:pt idx="13">
                    <c:v>Q2</c:v>
                  </c:pt>
                  <c:pt idx="14">
                    <c:v>Q3</c:v>
                  </c:pt>
                  <c:pt idx="15">
                    <c:v>Q4</c:v>
                  </c:pt>
                </c:lvl>
                <c:lvl>
                  <c:pt idx="0">
                    <c:v>2008</c:v>
                  </c:pt>
                  <c:pt idx="1">
                    <c:v>2009</c:v>
                  </c:pt>
                  <c:pt idx="2">
                    <c:v>2010</c:v>
                  </c:pt>
                  <c:pt idx="3">
                    <c:v>2011</c:v>
                  </c:pt>
                  <c:pt idx="4">
                    <c:v>2012</c:v>
                  </c:pt>
                  <c:pt idx="5">
                    <c:v>2013</c:v>
                  </c:pt>
                  <c:pt idx="6">
                    <c:v>2014</c:v>
                  </c:pt>
                  <c:pt idx="7">
                    <c:v>2015</c:v>
                  </c:pt>
                  <c:pt idx="8">
                    <c:v>2016</c:v>
                  </c:pt>
                  <c:pt idx="9">
                    <c:v>2017</c:v>
                  </c:pt>
                  <c:pt idx="10">
                    <c:v>2018</c:v>
                  </c:pt>
                  <c:pt idx="11">
                    <c:v>   </c:v>
                  </c:pt>
                  <c:pt idx="12">
                    <c:v>2018</c:v>
                  </c:pt>
                </c:lvl>
              </c:multiLvlStrCache>
            </c:multiLvlStrRef>
          </c:cat>
          <c:val>
            <c:numRef>
              <c:f>'[hdpcr062819_gs(1).xlsx]HPH'!$U$87:$U$102</c:f>
              <c:numCache>
                <c:formatCode>#\ ##0.0</c:formatCode>
                <c:ptCount val="16"/>
                <c:pt idx="0">
                  <c:v>-2.6252832315425047E-2</c:v>
                </c:pt>
                <c:pt idx="1">
                  <c:v>-0.21342348388116325</c:v>
                </c:pt>
                <c:pt idx="2">
                  <c:v>0.25055375501585608</c:v>
                </c:pt>
                <c:pt idx="3">
                  <c:v>-0.45155386667970582</c:v>
                </c:pt>
                <c:pt idx="4">
                  <c:v>-0.18433334332504572</c:v>
                </c:pt>
                <c:pt idx="5">
                  <c:v>6.9032827604358013E-2</c:v>
                </c:pt>
                <c:pt idx="6">
                  <c:v>0.11389978182615408</c:v>
                </c:pt>
                <c:pt idx="7">
                  <c:v>0.22225312634867006</c:v>
                </c:pt>
                <c:pt idx="8">
                  <c:v>-0.21488084276020014</c:v>
                </c:pt>
                <c:pt idx="9">
                  <c:v>-0.12942264055803007</c:v>
                </c:pt>
                <c:pt idx="10">
                  <c:v>0.21453663746064111</c:v>
                </c:pt>
                <c:pt idx="12">
                  <c:v>0.19910605697994427</c:v>
                </c:pt>
                <c:pt idx="13">
                  <c:v>0.20565933610789811</c:v>
                </c:pt>
                <c:pt idx="14">
                  <c:v>0.21938141668271571</c:v>
                </c:pt>
                <c:pt idx="15">
                  <c:v>0.23352516851115807</c:v>
                </c:pt>
              </c:numCache>
            </c:numRef>
          </c:val>
          <c:extLst>
            <c:ext xmlns:c16="http://schemas.microsoft.com/office/drawing/2014/chart" uri="{C3380CC4-5D6E-409C-BE32-E72D297353CC}">
              <c16:uniqueId val="{00000002-DCB8-418C-A16A-65E36DD142D7}"/>
            </c:ext>
          </c:extLst>
        </c:ser>
        <c:ser>
          <c:idx val="5"/>
          <c:order val="4"/>
          <c:tx>
            <c:strRef>
              <c:f>'[hdpcr062819_gs(1).xlsx]HPH'!$V$86</c:f>
              <c:strCache>
                <c:ptCount val="1"/>
                <c:pt idx="0">
                  <c:v>Služby</c:v>
                </c:pt>
              </c:strCache>
            </c:strRef>
          </c:tx>
          <c:spPr>
            <a:solidFill>
              <a:schemeClr val="accent2"/>
            </a:solidFill>
            <a:ln>
              <a:noFill/>
            </a:ln>
            <a:effectLst/>
          </c:spPr>
          <c:invertIfNegative val="0"/>
          <c:cat>
            <c:multiLvlStrRef>
              <c:f>'[hdpcr062819_gs(1).xlsx]HPH'!$O$87:$P$102</c:f>
              <c:multiLvlStrCache>
                <c:ptCount val="16"/>
                <c:lvl>
                  <c:pt idx="12">
                    <c:v>Q1</c:v>
                  </c:pt>
                  <c:pt idx="13">
                    <c:v>Q2</c:v>
                  </c:pt>
                  <c:pt idx="14">
                    <c:v>Q3</c:v>
                  </c:pt>
                  <c:pt idx="15">
                    <c:v>Q4</c:v>
                  </c:pt>
                </c:lvl>
                <c:lvl>
                  <c:pt idx="0">
                    <c:v>2008</c:v>
                  </c:pt>
                  <c:pt idx="1">
                    <c:v>2009</c:v>
                  </c:pt>
                  <c:pt idx="2">
                    <c:v>2010</c:v>
                  </c:pt>
                  <c:pt idx="3">
                    <c:v>2011</c:v>
                  </c:pt>
                  <c:pt idx="4">
                    <c:v>2012</c:v>
                  </c:pt>
                  <c:pt idx="5">
                    <c:v>2013</c:v>
                  </c:pt>
                  <c:pt idx="6">
                    <c:v>2014</c:v>
                  </c:pt>
                  <c:pt idx="7">
                    <c:v>2015</c:v>
                  </c:pt>
                  <c:pt idx="8">
                    <c:v>2016</c:v>
                  </c:pt>
                  <c:pt idx="9">
                    <c:v>2017</c:v>
                  </c:pt>
                  <c:pt idx="10">
                    <c:v>2018</c:v>
                  </c:pt>
                  <c:pt idx="11">
                    <c:v>   </c:v>
                  </c:pt>
                  <c:pt idx="12">
                    <c:v>2018</c:v>
                  </c:pt>
                </c:lvl>
              </c:multiLvlStrCache>
            </c:multiLvlStrRef>
          </c:cat>
          <c:val>
            <c:numRef>
              <c:f>'[hdpcr062819_gs(1).xlsx]HPH'!$V$87:$V$102</c:f>
              <c:numCache>
                <c:formatCode>#\ ##0.0</c:formatCode>
                <c:ptCount val="16"/>
                <c:pt idx="0">
                  <c:v>0.76527149971820618</c:v>
                </c:pt>
                <c:pt idx="1">
                  <c:v>-2.0324478321013721</c:v>
                </c:pt>
                <c:pt idx="2">
                  <c:v>0.89821369712609855</c:v>
                </c:pt>
                <c:pt idx="3">
                  <c:v>0.46831844312966697</c:v>
                </c:pt>
                <c:pt idx="4">
                  <c:v>0.13475061648407038</c:v>
                </c:pt>
                <c:pt idx="5">
                  <c:v>0.89271125196707912</c:v>
                </c:pt>
                <c:pt idx="6">
                  <c:v>1.4836421425375192</c:v>
                </c:pt>
                <c:pt idx="7">
                  <c:v>3.0334139178386996</c:v>
                </c:pt>
                <c:pt idx="8">
                  <c:v>1.8763585636456708</c:v>
                </c:pt>
                <c:pt idx="9">
                  <c:v>1.6279379219542258</c:v>
                </c:pt>
                <c:pt idx="10">
                  <c:v>2.4577022643304782</c:v>
                </c:pt>
                <c:pt idx="12">
                  <c:v>2.5692836495114437</c:v>
                </c:pt>
                <c:pt idx="13">
                  <c:v>2.1524303825686846</c:v>
                </c:pt>
                <c:pt idx="14">
                  <c:v>2.5159361547441597</c:v>
                </c:pt>
                <c:pt idx="15">
                  <c:v>2.5943146957256595</c:v>
                </c:pt>
              </c:numCache>
            </c:numRef>
          </c:val>
          <c:extLst>
            <c:ext xmlns:c16="http://schemas.microsoft.com/office/drawing/2014/chart" uri="{C3380CC4-5D6E-409C-BE32-E72D297353CC}">
              <c16:uniqueId val="{00000003-DCB8-418C-A16A-65E36DD142D7}"/>
            </c:ext>
          </c:extLst>
        </c:ser>
        <c:ser>
          <c:idx val="1"/>
          <c:order val="5"/>
          <c:tx>
            <c:strRef>
              <c:f>'[hdpcr062819_gs(1).xlsx]HPH'!$R$86</c:f>
              <c:strCache>
                <c:ptCount val="1"/>
                <c:pt idx="0">
                  <c:v>Zemědělství, lesnictví a rybářství</c:v>
                </c:pt>
              </c:strCache>
            </c:strRef>
          </c:tx>
          <c:spPr>
            <a:solidFill>
              <a:srgbClr val="92D050"/>
            </a:solidFill>
            <a:ln>
              <a:noFill/>
            </a:ln>
            <a:effectLst/>
          </c:spPr>
          <c:invertIfNegative val="0"/>
          <c:cat>
            <c:multiLvlStrRef>
              <c:f>'[hdpcr062819_gs(1).xlsx]HPH'!$O$87:$P$102</c:f>
              <c:multiLvlStrCache>
                <c:ptCount val="16"/>
                <c:lvl>
                  <c:pt idx="12">
                    <c:v>Q1</c:v>
                  </c:pt>
                  <c:pt idx="13">
                    <c:v>Q2</c:v>
                  </c:pt>
                  <c:pt idx="14">
                    <c:v>Q3</c:v>
                  </c:pt>
                  <c:pt idx="15">
                    <c:v>Q4</c:v>
                  </c:pt>
                </c:lvl>
                <c:lvl>
                  <c:pt idx="0">
                    <c:v>2008</c:v>
                  </c:pt>
                  <c:pt idx="1">
                    <c:v>2009</c:v>
                  </c:pt>
                  <c:pt idx="2">
                    <c:v>2010</c:v>
                  </c:pt>
                  <c:pt idx="3">
                    <c:v>2011</c:v>
                  </c:pt>
                  <c:pt idx="4">
                    <c:v>2012</c:v>
                  </c:pt>
                  <c:pt idx="5">
                    <c:v>2013</c:v>
                  </c:pt>
                  <c:pt idx="6">
                    <c:v>2014</c:v>
                  </c:pt>
                  <c:pt idx="7">
                    <c:v>2015</c:v>
                  </c:pt>
                  <c:pt idx="8">
                    <c:v>2016</c:v>
                  </c:pt>
                  <c:pt idx="9">
                    <c:v>2017</c:v>
                  </c:pt>
                  <c:pt idx="10">
                    <c:v>2018</c:v>
                  </c:pt>
                  <c:pt idx="11">
                    <c:v>   </c:v>
                  </c:pt>
                  <c:pt idx="12">
                    <c:v>2018</c:v>
                  </c:pt>
                </c:lvl>
              </c:multiLvlStrCache>
            </c:multiLvlStrRef>
          </c:cat>
          <c:val>
            <c:numRef>
              <c:f>'[hdpcr062819_gs(1).xlsx]HPH'!$R$87:$R$102</c:f>
              <c:numCache>
                <c:formatCode>#\ ##0.0</c:formatCode>
                <c:ptCount val="16"/>
                <c:pt idx="0">
                  <c:v>0.19495531555156828</c:v>
                </c:pt>
                <c:pt idx="1">
                  <c:v>0.43897361384478878</c:v>
                </c:pt>
                <c:pt idx="2">
                  <c:v>-0.29242989613367065</c:v>
                </c:pt>
                <c:pt idx="3">
                  <c:v>3.2467396391424916E-2</c:v>
                </c:pt>
                <c:pt idx="4">
                  <c:v>9.8147949026866799E-2</c:v>
                </c:pt>
                <c:pt idx="5">
                  <c:v>-6.390608464883181E-2</c:v>
                </c:pt>
                <c:pt idx="6">
                  <c:v>0.21670135651722441</c:v>
                </c:pt>
                <c:pt idx="7">
                  <c:v>0.15079446127350887</c:v>
                </c:pt>
                <c:pt idx="8">
                  <c:v>8.3332487440914413E-2</c:v>
                </c:pt>
                <c:pt idx="9">
                  <c:v>-6.8960043327637235E-2</c:v>
                </c:pt>
                <c:pt idx="10">
                  <c:v>0.11261464845842716</c:v>
                </c:pt>
                <c:pt idx="12">
                  <c:v>3.8960462204582234E-2</c:v>
                </c:pt>
                <c:pt idx="13">
                  <c:v>0.12378566298445459</c:v>
                </c:pt>
                <c:pt idx="14">
                  <c:v>0.15648257530194556</c:v>
                </c:pt>
                <c:pt idx="15">
                  <c:v>0.12935065988119016</c:v>
                </c:pt>
              </c:numCache>
            </c:numRef>
          </c:val>
          <c:extLst>
            <c:ext xmlns:c16="http://schemas.microsoft.com/office/drawing/2014/chart" uri="{C3380CC4-5D6E-409C-BE32-E72D297353CC}">
              <c16:uniqueId val="{00000004-DCB8-418C-A16A-65E36DD142D7}"/>
            </c:ext>
          </c:extLst>
        </c:ser>
        <c:dLbls>
          <c:showLegendKey val="0"/>
          <c:showVal val="0"/>
          <c:showCatName val="0"/>
          <c:showSerName val="0"/>
          <c:showPercent val="0"/>
          <c:showBubbleSize val="0"/>
        </c:dLbls>
        <c:gapWidth val="100"/>
        <c:overlap val="100"/>
        <c:axId val="336125488"/>
        <c:axId val="336124656"/>
      </c:barChart>
      <c:lineChart>
        <c:grouping val="standard"/>
        <c:varyColors val="0"/>
        <c:ser>
          <c:idx val="0"/>
          <c:order val="0"/>
          <c:tx>
            <c:strRef>
              <c:f>'[hdpcr062819_gs(1).xlsx]HPH'!$Q$86</c:f>
              <c:strCache>
                <c:ptCount val="1"/>
                <c:pt idx="0">
                  <c:v>HPH</c:v>
                </c:pt>
              </c:strCache>
            </c:strRef>
          </c:tx>
          <c:spPr>
            <a:ln w="28575" cap="rnd">
              <a:solidFill>
                <a:schemeClr val="tx1"/>
              </a:solidFill>
              <a:round/>
            </a:ln>
            <a:effectLst/>
          </c:spPr>
          <c:marker>
            <c:symbol val="none"/>
          </c:marker>
          <c:cat>
            <c:multiLvlStrRef>
              <c:f>'[hdpcr062819_gs(1).xlsx]HPH'!$O$87:$P$102</c:f>
              <c:multiLvlStrCache>
                <c:ptCount val="16"/>
                <c:lvl>
                  <c:pt idx="12">
                    <c:v>Q1</c:v>
                  </c:pt>
                  <c:pt idx="13">
                    <c:v>Q2</c:v>
                  </c:pt>
                  <c:pt idx="14">
                    <c:v>Q3</c:v>
                  </c:pt>
                  <c:pt idx="15">
                    <c:v>Q4</c:v>
                  </c:pt>
                </c:lvl>
                <c:lvl>
                  <c:pt idx="0">
                    <c:v>2008</c:v>
                  </c:pt>
                  <c:pt idx="1">
                    <c:v>2009</c:v>
                  </c:pt>
                  <c:pt idx="2">
                    <c:v>2010</c:v>
                  </c:pt>
                  <c:pt idx="3">
                    <c:v>2011</c:v>
                  </c:pt>
                  <c:pt idx="4">
                    <c:v>2012</c:v>
                  </c:pt>
                  <c:pt idx="5">
                    <c:v>2013</c:v>
                  </c:pt>
                  <c:pt idx="6">
                    <c:v>2014</c:v>
                  </c:pt>
                  <c:pt idx="7">
                    <c:v>2015</c:v>
                  </c:pt>
                  <c:pt idx="8">
                    <c:v>2016</c:v>
                  </c:pt>
                  <c:pt idx="9">
                    <c:v>2017</c:v>
                  </c:pt>
                  <c:pt idx="10">
                    <c:v>2018</c:v>
                  </c:pt>
                  <c:pt idx="11">
                    <c:v>   </c:v>
                  </c:pt>
                  <c:pt idx="12">
                    <c:v>2018</c:v>
                  </c:pt>
                </c:lvl>
              </c:multiLvlStrCache>
            </c:multiLvlStrRef>
          </c:cat>
          <c:val>
            <c:numRef>
              <c:f>'[hdpcr062819_gs(1).xlsx]HPH'!$Q$87:$Q$102</c:f>
              <c:numCache>
                <c:formatCode>#\ ##0.0</c:formatCode>
                <c:ptCount val="16"/>
                <c:pt idx="0">
                  <c:v>3.3793979963884384</c:v>
                </c:pt>
                <c:pt idx="1">
                  <c:v>-5.2820871878417472</c:v>
                </c:pt>
                <c:pt idx="2">
                  <c:v>2.6708484685538023</c:v>
                </c:pt>
                <c:pt idx="3">
                  <c:v>2.0094859561746032</c:v>
                </c:pt>
                <c:pt idx="4">
                  <c:v>-0.76035097860572709</c:v>
                </c:pt>
                <c:pt idx="5">
                  <c:v>-0.49279788569830624</c:v>
                </c:pt>
                <c:pt idx="6">
                  <c:v>3.4005233881762917</c:v>
                </c:pt>
                <c:pt idx="7">
                  <c:v>4.8084625533502443</c:v>
                </c:pt>
                <c:pt idx="8">
                  <c:v>2.28639887162785</c:v>
                </c:pt>
                <c:pt idx="9">
                  <c:v>4.4545760147911588</c:v>
                </c:pt>
                <c:pt idx="10">
                  <c:v>3.0925155352216205</c:v>
                </c:pt>
                <c:pt idx="12">
                  <c:v>4.2495418771359761</c:v>
                </c:pt>
                <c:pt idx="13">
                  <c:v>2.5029054501668306</c:v>
                </c:pt>
                <c:pt idx="14">
                  <c:v>2.6649611925711088</c:v>
                </c:pt>
                <c:pt idx="15">
                  <c:v>2.9824122295081792</c:v>
                </c:pt>
              </c:numCache>
            </c:numRef>
          </c:val>
          <c:smooth val="0"/>
          <c:extLst>
            <c:ext xmlns:c16="http://schemas.microsoft.com/office/drawing/2014/chart" uri="{C3380CC4-5D6E-409C-BE32-E72D297353CC}">
              <c16:uniqueId val="{00000005-DCB8-418C-A16A-65E36DD142D7}"/>
            </c:ext>
          </c:extLst>
        </c:ser>
        <c:dLbls>
          <c:showLegendKey val="0"/>
          <c:showVal val="0"/>
          <c:showCatName val="0"/>
          <c:showSerName val="0"/>
          <c:showPercent val="0"/>
          <c:showBubbleSize val="0"/>
        </c:dLbls>
        <c:marker val="1"/>
        <c:smooth val="0"/>
        <c:axId val="336125488"/>
        <c:axId val="336124656"/>
      </c:lineChart>
      <c:catAx>
        <c:axId val="3361254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336124656"/>
        <c:crosses val="autoZero"/>
        <c:auto val="1"/>
        <c:lblAlgn val="ctr"/>
        <c:lblOffset val="100"/>
        <c:noMultiLvlLbl val="0"/>
      </c:catAx>
      <c:valAx>
        <c:axId val="336124656"/>
        <c:scaling>
          <c:orientation val="minMax"/>
          <c:min val="-6"/>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336125488"/>
        <c:crosses val="autoZero"/>
        <c:crossBetween val="between"/>
      </c:valAx>
      <c:spPr>
        <a:noFill/>
        <a:ln>
          <a:noFill/>
        </a:ln>
        <a:effectLst/>
      </c:spPr>
    </c:plotArea>
    <c:legend>
      <c:legendPos val="b"/>
      <c:layout>
        <c:manualLayout>
          <c:xMode val="edge"/>
          <c:yMode val="edge"/>
          <c:x val="5.6331898007429923E-2"/>
          <c:y val="0.82473066531577166"/>
          <c:w val="0.91414302600472819"/>
          <c:h val="0.1538238770685579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Data!$K$10</c:f>
              <c:strCache>
                <c:ptCount val="1"/>
                <c:pt idx="0">
                  <c:v>2017</c:v>
                </c:pt>
              </c:strCache>
            </c:strRef>
          </c:tx>
          <c:spPr>
            <a:solidFill>
              <a:schemeClr val="accent1">
                <a:lumMod val="40000"/>
                <a:lumOff val="60000"/>
              </a:schemeClr>
            </a:solidFill>
            <a:ln>
              <a:noFill/>
            </a:ln>
            <a:effectLst/>
          </c:spPr>
          <c:invertIfNegative val="0"/>
          <c:dPt>
            <c:idx val="12"/>
            <c:invertIfNegative val="0"/>
            <c:bubble3D val="0"/>
            <c:spPr>
              <a:solidFill>
                <a:schemeClr val="accent1"/>
              </a:solidFill>
              <a:ln>
                <a:noFill/>
              </a:ln>
              <a:effectLst/>
            </c:spPr>
            <c:extLst>
              <c:ext xmlns:c16="http://schemas.microsoft.com/office/drawing/2014/chart" uri="{C3380CC4-5D6E-409C-BE32-E72D297353CC}">
                <c16:uniqueId val="{00000001-749B-4055-868A-A93206ACEE47}"/>
              </c:ext>
            </c:extLst>
          </c:dPt>
          <c:cat>
            <c:strRef>
              <c:f>Data!$A$11:$A$39</c:f>
              <c:strCache>
                <c:ptCount val="29"/>
                <c:pt idx="0">
                  <c:v>Irsko</c:v>
                </c:pt>
                <c:pt idx="1">
                  <c:v>Malta</c:v>
                </c:pt>
                <c:pt idx="2">
                  <c:v>Polsko</c:v>
                </c:pt>
                <c:pt idx="3">
                  <c:v>Maďarsko</c:v>
                </c:pt>
                <c:pt idx="4">
                  <c:v>Lotyšsko</c:v>
                </c:pt>
                <c:pt idx="5">
                  <c:v>Slovinsko</c:v>
                </c:pt>
                <c:pt idx="6">
                  <c:v>Rumunsko</c:v>
                </c:pt>
                <c:pt idx="7">
                  <c:v>Slovensko</c:v>
                </c:pt>
                <c:pt idx="8">
                  <c:v>Estonsko</c:v>
                </c:pt>
                <c:pt idx="9">
                  <c:v>Kypr</c:v>
                </c:pt>
                <c:pt idx="10">
                  <c:v>Litva</c:v>
                </c:pt>
                <c:pt idx="11">
                  <c:v>Bulharsko</c:v>
                </c:pt>
                <c:pt idx="12">
                  <c:v>Česko</c:v>
                </c:pt>
                <c:pt idx="13">
                  <c:v>Rakousko</c:v>
                </c:pt>
                <c:pt idx="14">
                  <c:v>Španělsko</c:v>
                </c:pt>
                <c:pt idx="15">
                  <c:v>Chorvatsko</c:v>
                </c:pt>
                <c:pt idx="16">
                  <c:v>Nizozemsko</c:v>
                </c:pt>
                <c:pt idx="17">
                  <c:v>Lucembursko</c:v>
                </c:pt>
                <c:pt idx="18">
                  <c:v>Švédsko</c:v>
                </c:pt>
                <c:pt idx="19">
                  <c:v>Portugalsko</c:v>
                </c:pt>
                <c:pt idx="20">
                  <c:v>EU 28</c:v>
                </c:pt>
                <c:pt idx="21">
                  <c:v>Řecko</c:v>
                </c:pt>
                <c:pt idx="22">
                  <c:v>Finsko</c:v>
                </c:pt>
                <c:pt idx="23">
                  <c:v>Francie</c:v>
                </c:pt>
                <c:pt idx="24">
                  <c:v>Dánsko</c:v>
                </c:pt>
                <c:pt idx="25">
                  <c:v>Německo</c:v>
                </c:pt>
                <c:pt idx="26">
                  <c:v>Velká Británie</c:v>
                </c:pt>
                <c:pt idx="27">
                  <c:v>Belgie</c:v>
                </c:pt>
                <c:pt idx="28">
                  <c:v>Itálie</c:v>
                </c:pt>
              </c:strCache>
            </c:strRef>
          </c:cat>
          <c:val>
            <c:numRef>
              <c:f>Data!$K$11:$K$39</c:f>
              <c:numCache>
                <c:formatCode>#\ ##0.0</c:formatCode>
                <c:ptCount val="29"/>
                <c:pt idx="0">
                  <c:v>8.1</c:v>
                </c:pt>
                <c:pt idx="1">
                  <c:v>6.8</c:v>
                </c:pt>
                <c:pt idx="2">
                  <c:v>4.8</c:v>
                </c:pt>
                <c:pt idx="3">
                  <c:v>4.0999999999999996</c:v>
                </c:pt>
                <c:pt idx="4">
                  <c:v>4.5999999999999996</c:v>
                </c:pt>
                <c:pt idx="5">
                  <c:v>4.9000000000000004</c:v>
                </c:pt>
                <c:pt idx="6">
                  <c:v>7</c:v>
                </c:pt>
                <c:pt idx="7">
                  <c:v>3.2</c:v>
                </c:pt>
                <c:pt idx="8">
                  <c:v>4.9000000000000004</c:v>
                </c:pt>
                <c:pt idx="9">
                  <c:v>4.5</c:v>
                </c:pt>
                <c:pt idx="10">
                  <c:v>4.0999999999999996</c:v>
                </c:pt>
                <c:pt idx="11">
                  <c:v>3.8</c:v>
                </c:pt>
                <c:pt idx="12">
                  <c:v>4.4000000000000004</c:v>
                </c:pt>
                <c:pt idx="13">
                  <c:v>2.6</c:v>
                </c:pt>
                <c:pt idx="14">
                  <c:v>3</c:v>
                </c:pt>
                <c:pt idx="15">
                  <c:v>2.9</c:v>
                </c:pt>
                <c:pt idx="16">
                  <c:v>2.9</c:v>
                </c:pt>
                <c:pt idx="17">
                  <c:v>1.5</c:v>
                </c:pt>
                <c:pt idx="18">
                  <c:v>2.1</c:v>
                </c:pt>
                <c:pt idx="19">
                  <c:v>2.8</c:v>
                </c:pt>
                <c:pt idx="20">
                  <c:v>2.5</c:v>
                </c:pt>
                <c:pt idx="21">
                  <c:v>1.5</c:v>
                </c:pt>
                <c:pt idx="22">
                  <c:v>3</c:v>
                </c:pt>
                <c:pt idx="23">
                  <c:v>2.2999999999999998</c:v>
                </c:pt>
                <c:pt idx="24">
                  <c:v>2.2999999999999998</c:v>
                </c:pt>
                <c:pt idx="25">
                  <c:v>2.2000000000000002</c:v>
                </c:pt>
                <c:pt idx="26">
                  <c:v>1.8</c:v>
                </c:pt>
                <c:pt idx="27">
                  <c:v>1.7</c:v>
                </c:pt>
                <c:pt idx="28">
                  <c:v>1.7</c:v>
                </c:pt>
              </c:numCache>
            </c:numRef>
          </c:val>
          <c:extLst>
            <c:ext xmlns:c16="http://schemas.microsoft.com/office/drawing/2014/chart" uri="{C3380CC4-5D6E-409C-BE32-E72D297353CC}">
              <c16:uniqueId val="{00000002-749B-4055-868A-A93206ACEE47}"/>
            </c:ext>
          </c:extLst>
        </c:ser>
        <c:ser>
          <c:idx val="1"/>
          <c:order val="1"/>
          <c:tx>
            <c:strRef>
              <c:f>Data!$L$10</c:f>
              <c:strCache>
                <c:ptCount val="1"/>
                <c:pt idx="0">
                  <c:v>2018</c:v>
                </c:pt>
              </c:strCache>
            </c:strRef>
          </c:tx>
          <c:spPr>
            <a:solidFill>
              <a:schemeClr val="accent2">
                <a:lumMod val="40000"/>
                <a:lumOff val="60000"/>
              </a:schemeClr>
            </a:solidFill>
            <a:ln>
              <a:noFill/>
            </a:ln>
            <a:effectLst/>
          </c:spPr>
          <c:invertIfNegative val="0"/>
          <c:dPt>
            <c:idx val="12"/>
            <c:invertIfNegative val="0"/>
            <c:bubble3D val="0"/>
            <c:spPr>
              <a:solidFill>
                <a:srgbClr val="FF0000"/>
              </a:solidFill>
              <a:ln>
                <a:noFill/>
              </a:ln>
              <a:effectLst/>
            </c:spPr>
            <c:extLst>
              <c:ext xmlns:c16="http://schemas.microsoft.com/office/drawing/2014/chart" uri="{C3380CC4-5D6E-409C-BE32-E72D297353CC}">
                <c16:uniqueId val="{00000004-749B-4055-868A-A93206ACEE47}"/>
              </c:ext>
            </c:extLst>
          </c:dPt>
          <c:cat>
            <c:strRef>
              <c:f>Data!$A$11:$A$39</c:f>
              <c:strCache>
                <c:ptCount val="29"/>
                <c:pt idx="0">
                  <c:v>Irsko</c:v>
                </c:pt>
                <c:pt idx="1">
                  <c:v>Malta</c:v>
                </c:pt>
                <c:pt idx="2">
                  <c:v>Polsko</c:v>
                </c:pt>
                <c:pt idx="3">
                  <c:v>Maďarsko</c:v>
                </c:pt>
                <c:pt idx="4">
                  <c:v>Lotyšsko</c:v>
                </c:pt>
                <c:pt idx="5">
                  <c:v>Slovinsko</c:v>
                </c:pt>
                <c:pt idx="6">
                  <c:v>Rumunsko</c:v>
                </c:pt>
                <c:pt idx="7">
                  <c:v>Slovensko</c:v>
                </c:pt>
                <c:pt idx="8">
                  <c:v>Estonsko</c:v>
                </c:pt>
                <c:pt idx="9">
                  <c:v>Kypr</c:v>
                </c:pt>
                <c:pt idx="10">
                  <c:v>Litva</c:v>
                </c:pt>
                <c:pt idx="11">
                  <c:v>Bulharsko</c:v>
                </c:pt>
                <c:pt idx="12">
                  <c:v>Česko</c:v>
                </c:pt>
                <c:pt idx="13">
                  <c:v>Rakousko</c:v>
                </c:pt>
                <c:pt idx="14">
                  <c:v>Španělsko</c:v>
                </c:pt>
                <c:pt idx="15">
                  <c:v>Chorvatsko</c:v>
                </c:pt>
                <c:pt idx="16">
                  <c:v>Nizozemsko</c:v>
                </c:pt>
                <c:pt idx="17">
                  <c:v>Lucembursko</c:v>
                </c:pt>
                <c:pt idx="18">
                  <c:v>Švédsko</c:v>
                </c:pt>
                <c:pt idx="19">
                  <c:v>Portugalsko</c:v>
                </c:pt>
                <c:pt idx="20">
                  <c:v>EU 28</c:v>
                </c:pt>
                <c:pt idx="21">
                  <c:v>Řecko</c:v>
                </c:pt>
                <c:pt idx="22">
                  <c:v>Finsko</c:v>
                </c:pt>
                <c:pt idx="23">
                  <c:v>Francie</c:v>
                </c:pt>
                <c:pt idx="24">
                  <c:v>Dánsko</c:v>
                </c:pt>
                <c:pt idx="25">
                  <c:v>Německo</c:v>
                </c:pt>
                <c:pt idx="26">
                  <c:v>Velká Británie</c:v>
                </c:pt>
                <c:pt idx="27">
                  <c:v>Belgie</c:v>
                </c:pt>
                <c:pt idx="28">
                  <c:v>Itálie</c:v>
                </c:pt>
              </c:strCache>
            </c:strRef>
          </c:cat>
          <c:val>
            <c:numRef>
              <c:f>Data!$L$11:$L$39</c:f>
              <c:numCache>
                <c:formatCode>#\ ##0.0</c:formatCode>
                <c:ptCount val="29"/>
                <c:pt idx="0">
                  <c:v>8.1999999999999993</c:v>
                </c:pt>
                <c:pt idx="1">
                  <c:v>6.7</c:v>
                </c:pt>
                <c:pt idx="2">
                  <c:v>5.0999999999999996</c:v>
                </c:pt>
                <c:pt idx="3">
                  <c:v>4.9000000000000004</c:v>
                </c:pt>
                <c:pt idx="4">
                  <c:v>4.8</c:v>
                </c:pt>
                <c:pt idx="5">
                  <c:v>4.5</c:v>
                </c:pt>
                <c:pt idx="6">
                  <c:v>4.0999999999999996</c:v>
                </c:pt>
                <c:pt idx="7">
                  <c:v>4.0999999999999996</c:v>
                </c:pt>
                <c:pt idx="8">
                  <c:v>3.9</c:v>
                </c:pt>
                <c:pt idx="9">
                  <c:v>3.9</c:v>
                </c:pt>
                <c:pt idx="10">
                  <c:v>3.5</c:v>
                </c:pt>
                <c:pt idx="11">
                  <c:v>3.1</c:v>
                </c:pt>
                <c:pt idx="12">
                  <c:v>3</c:v>
                </c:pt>
                <c:pt idx="13">
                  <c:v>2.7</c:v>
                </c:pt>
                <c:pt idx="14">
                  <c:v>2.6</c:v>
                </c:pt>
                <c:pt idx="15">
                  <c:v>2.6</c:v>
                </c:pt>
                <c:pt idx="16">
                  <c:v>2.6</c:v>
                </c:pt>
                <c:pt idx="17">
                  <c:v>2.6</c:v>
                </c:pt>
                <c:pt idx="18">
                  <c:v>2.4</c:v>
                </c:pt>
                <c:pt idx="19">
                  <c:v>2.1</c:v>
                </c:pt>
                <c:pt idx="20">
                  <c:v>2</c:v>
                </c:pt>
                <c:pt idx="21">
                  <c:v>1.9</c:v>
                </c:pt>
                <c:pt idx="22">
                  <c:v>1.7</c:v>
                </c:pt>
                <c:pt idx="23">
                  <c:v>1.7</c:v>
                </c:pt>
                <c:pt idx="24">
                  <c:v>1.5</c:v>
                </c:pt>
                <c:pt idx="25">
                  <c:v>1.4</c:v>
                </c:pt>
                <c:pt idx="26">
                  <c:v>1.4</c:v>
                </c:pt>
                <c:pt idx="27">
                  <c:v>1.4</c:v>
                </c:pt>
                <c:pt idx="28">
                  <c:v>0.9</c:v>
                </c:pt>
              </c:numCache>
            </c:numRef>
          </c:val>
          <c:extLst>
            <c:ext xmlns:c16="http://schemas.microsoft.com/office/drawing/2014/chart" uri="{C3380CC4-5D6E-409C-BE32-E72D297353CC}">
              <c16:uniqueId val="{00000005-749B-4055-868A-A93206ACEE47}"/>
            </c:ext>
          </c:extLst>
        </c:ser>
        <c:dLbls>
          <c:showLegendKey val="0"/>
          <c:showVal val="0"/>
          <c:showCatName val="0"/>
          <c:showSerName val="0"/>
          <c:showPercent val="0"/>
          <c:showBubbleSize val="0"/>
        </c:dLbls>
        <c:gapWidth val="100"/>
        <c:overlap val="-27"/>
        <c:axId val="176552192"/>
        <c:axId val="1"/>
      </c:barChart>
      <c:catAx>
        <c:axId val="17655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76552192"/>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800869638635598E-2"/>
          <c:y val="3.9316672295395698E-2"/>
          <c:w val="0.89171162613981758"/>
          <c:h val="0.72839468647979289"/>
        </c:manualLayout>
      </c:layout>
      <c:barChart>
        <c:barDir val="col"/>
        <c:grouping val="stacked"/>
        <c:varyColors val="0"/>
        <c:ser>
          <c:idx val="3"/>
          <c:order val="1"/>
          <c:tx>
            <c:strRef>
              <c:f>List1!$AF$6</c:f>
              <c:strCache>
                <c:ptCount val="1"/>
                <c:pt idx="0">
                  <c:v>Vládní instituce</c:v>
                </c:pt>
              </c:strCache>
            </c:strRef>
          </c:tx>
          <c:spPr>
            <a:solidFill>
              <a:srgbClr val="92D050"/>
            </a:solidFill>
            <a:ln>
              <a:noFill/>
            </a:ln>
            <a:effectLst/>
          </c:spPr>
          <c:invertIfNegative val="0"/>
          <c:cat>
            <c:numRef>
              <c:f>List1!$AB$15:$AB$25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List1!$AF$15:$AF$25</c:f>
              <c:numCache>
                <c:formatCode>0.0</c:formatCode>
                <c:ptCount val="11"/>
                <c:pt idx="0">
                  <c:v>29.742999999999999</c:v>
                </c:pt>
                <c:pt idx="1">
                  <c:v>24.873000000000001</c:v>
                </c:pt>
                <c:pt idx="2">
                  <c:v>-34.633000000000003</c:v>
                </c:pt>
                <c:pt idx="3">
                  <c:v>-21.411999999999999</c:v>
                </c:pt>
                <c:pt idx="4">
                  <c:v>-11.676</c:v>
                </c:pt>
                <c:pt idx="5">
                  <c:v>-16.986999999999998</c:v>
                </c:pt>
                <c:pt idx="6">
                  <c:v>25.594000000000001</c:v>
                </c:pt>
                <c:pt idx="7">
                  <c:v>58.33</c:v>
                </c:pt>
                <c:pt idx="8">
                  <c:v>-81.111000000000004</c:v>
                </c:pt>
                <c:pt idx="9">
                  <c:v>15.912000000000001</c:v>
                </c:pt>
                <c:pt idx="10">
                  <c:v>47.371000000000002</c:v>
                </c:pt>
              </c:numCache>
            </c:numRef>
          </c:val>
          <c:extLst>
            <c:ext xmlns:c16="http://schemas.microsoft.com/office/drawing/2014/chart" uri="{C3380CC4-5D6E-409C-BE32-E72D297353CC}">
              <c16:uniqueId val="{00000000-AF15-4259-84D5-713F1BF2021F}"/>
            </c:ext>
          </c:extLst>
        </c:ser>
        <c:ser>
          <c:idx val="4"/>
          <c:order val="2"/>
          <c:tx>
            <c:strRef>
              <c:f>List1!$AG$6</c:f>
              <c:strCache>
                <c:ptCount val="1"/>
                <c:pt idx="0">
                  <c:v>Domácnosti a NISD</c:v>
                </c:pt>
              </c:strCache>
            </c:strRef>
          </c:tx>
          <c:spPr>
            <a:solidFill>
              <a:srgbClr val="FF0000"/>
            </a:solidFill>
            <a:ln>
              <a:noFill/>
            </a:ln>
            <a:effectLst/>
          </c:spPr>
          <c:invertIfNegative val="0"/>
          <c:cat>
            <c:numRef>
              <c:f>List1!$AB$15:$AB$25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List1!$AG$15:$AG$25</c:f>
              <c:numCache>
                <c:formatCode>0.0</c:formatCode>
                <c:ptCount val="11"/>
                <c:pt idx="0">
                  <c:v>-2.6019999999999999</c:v>
                </c:pt>
                <c:pt idx="1">
                  <c:v>-7.4870000000000001</c:v>
                </c:pt>
                <c:pt idx="2">
                  <c:v>25.92</c:v>
                </c:pt>
                <c:pt idx="3">
                  <c:v>-30.218</c:v>
                </c:pt>
                <c:pt idx="4">
                  <c:v>-17.670000000000002</c:v>
                </c:pt>
                <c:pt idx="5">
                  <c:v>-2.36</c:v>
                </c:pt>
                <c:pt idx="6">
                  <c:v>13.192</c:v>
                </c:pt>
                <c:pt idx="7">
                  <c:v>13.599</c:v>
                </c:pt>
                <c:pt idx="8">
                  <c:v>19.302</c:v>
                </c:pt>
                <c:pt idx="9">
                  <c:v>12.445</c:v>
                </c:pt>
                <c:pt idx="10">
                  <c:v>6.556</c:v>
                </c:pt>
              </c:numCache>
            </c:numRef>
          </c:val>
          <c:extLst>
            <c:ext xmlns:c16="http://schemas.microsoft.com/office/drawing/2014/chart" uri="{C3380CC4-5D6E-409C-BE32-E72D297353CC}">
              <c16:uniqueId val="{00000001-AF15-4259-84D5-713F1BF2021F}"/>
            </c:ext>
          </c:extLst>
        </c:ser>
        <c:ser>
          <c:idx val="1"/>
          <c:order val="3"/>
          <c:tx>
            <c:strRef>
              <c:f>List1!$AD$6</c:f>
              <c:strCache>
                <c:ptCount val="1"/>
                <c:pt idx="0">
                  <c:v>Nefinanční podniky</c:v>
                </c:pt>
              </c:strCache>
            </c:strRef>
          </c:tx>
          <c:spPr>
            <a:solidFill>
              <a:srgbClr val="0070C0"/>
            </a:solidFill>
            <a:ln>
              <a:noFill/>
            </a:ln>
            <a:effectLst/>
          </c:spPr>
          <c:invertIfNegative val="0"/>
          <c:cat>
            <c:numRef>
              <c:f>List1!$AB$15:$AB$25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List1!$AD$15:$AD$25</c:f>
              <c:numCache>
                <c:formatCode>0.0</c:formatCode>
                <c:ptCount val="11"/>
                <c:pt idx="0">
                  <c:v>-0.498</c:v>
                </c:pt>
                <c:pt idx="1">
                  <c:v>-111.627</c:v>
                </c:pt>
                <c:pt idx="2">
                  <c:v>10.872999999999999</c:v>
                </c:pt>
                <c:pt idx="3">
                  <c:v>51.347999999999999</c:v>
                </c:pt>
                <c:pt idx="4">
                  <c:v>14.047000000000001</c:v>
                </c:pt>
                <c:pt idx="5">
                  <c:v>-3.5430000000000001</c:v>
                </c:pt>
                <c:pt idx="6">
                  <c:v>17.420999999999999</c:v>
                </c:pt>
                <c:pt idx="7">
                  <c:v>57.622</c:v>
                </c:pt>
                <c:pt idx="8">
                  <c:v>27.331</c:v>
                </c:pt>
                <c:pt idx="9">
                  <c:v>27.83</c:v>
                </c:pt>
                <c:pt idx="10">
                  <c:v>59.192</c:v>
                </c:pt>
              </c:numCache>
            </c:numRef>
          </c:val>
          <c:extLst>
            <c:ext xmlns:c16="http://schemas.microsoft.com/office/drawing/2014/chart" uri="{C3380CC4-5D6E-409C-BE32-E72D297353CC}">
              <c16:uniqueId val="{00000002-AF15-4259-84D5-713F1BF2021F}"/>
            </c:ext>
          </c:extLst>
        </c:ser>
        <c:ser>
          <c:idx val="2"/>
          <c:order val="4"/>
          <c:tx>
            <c:strRef>
              <c:f>List1!$AE$6</c:f>
              <c:strCache>
                <c:ptCount val="1"/>
                <c:pt idx="0">
                  <c:v>Finanční instituce</c:v>
                </c:pt>
              </c:strCache>
            </c:strRef>
          </c:tx>
          <c:spPr>
            <a:solidFill>
              <a:srgbClr val="00B0F0"/>
            </a:solidFill>
            <a:ln>
              <a:noFill/>
            </a:ln>
            <a:effectLst/>
          </c:spPr>
          <c:invertIfNegative val="0"/>
          <c:cat>
            <c:numRef>
              <c:f>List1!$AB$15:$AB$25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List1!$AE$15:$AE$25</c:f>
              <c:numCache>
                <c:formatCode>0.0</c:formatCode>
                <c:ptCount val="11"/>
                <c:pt idx="0">
                  <c:v>6.2569999999999997</c:v>
                </c:pt>
                <c:pt idx="1">
                  <c:v>-7.665</c:v>
                </c:pt>
                <c:pt idx="2">
                  <c:v>0.73099999999999998</c:v>
                </c:pt>
                <c:pt idx="3">
                  <c:v>1.1140000000000001</c:v>
                </c:pt>
                <c:pt idx="4">
                  <c:v>0.22500000000000001</c:v>
                </c:pt>
                <c:pt idx="5">
                  <c:v>-1.964</c:v>
                </c:pt>
                <c:pt idx="6">
                  <c:v>0.77900000000000003</c:v>
                </c:pt>
                <c:pt idx="7">
                  <c:v>2.68</c:v>
                </c:pt>
                <c:pt idx="8">
                  <c:v>6.8879999999999999</c:v>
                </c:pt>
                <c:pt idx="9">
                  <c:v>5.375</c:v>
                </c:pt>
                <c:pt idx="10">
                  <c:v>-4.9880000000000004</c:v>
                </c:pt>
              </c:numCache>
            </c:numRef>
          </c:val>
          <c:extLst>
            <c:ext xmlns:c16="http://schemas.microsoft.com/office/drawing/2014/chart" uri="{C3380CC4-5D6E-409C-BE32-E72D297353CC}">
              <c16:uniqueId val="{00000003-AF15-4259-84D5-713F1BF2021F}"/>
            </c:ext>
          </c:extLst>
        </c:ser>
        <c:dLbls>
          <c:showLegendKey val="0"/>
          <c:showVal val="0"/>
          <c:showCatName val="0"/>
          <c:showSerName val="0"/>
          <c:showPercent val="0"/>
          <c:showBubbleSize val="0"/>
        </c:dLbls>
        <c:gapWidth val="94"/>
        <c:overlap val="100"/>
        <c:axId val="115033616"/>
        <c:axId val="115032784"/>
      </c:barChart>
      <c:lineChart>
        <c:grouping val="standard"/>
        <c:varyColors val="0"/>
        <c:ser>
          <c:idx val="0"/>
          <c:order val="0"/>
          <c:tx>
            <c:strRef>
              <c:f>List1!$AC$6</c:f>
              <c:strCache>
                <c:ptCount val="1"/>
                <c:pt idx="0">
                  <c:v>Výdaje na tvorbu hrubého fixního kapitálu</c:v>
                </c:pt>
              </c:strCache>
            </c:strRef>
          </c:tx>
          <c:spPr>
            <a:ln w="28575" cap="rnd">
              <a:solidFill>
                <a:schemeClr val="tx1"/>
              </a:solidFill>
              <a:round/>
            </a:ln>
            <a:effectLst/>
          </c:spPr>
          <c:marker>
            <c:symbol val="none"/>
          </c:marker>
          <c:cat>
            <c:numRef>
              <c:f>List1!$AB$15:$AB$25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List1!$AC$15:$AC$25</c:f>
              <c:numCache>
                <c:formatCode>0.0</c:formatCode>
                <c:ptCount val="11"/>
                <c:pt idx="0">
                  <c:v>32.9</c:v>
                </c:pt>
                <c:pt idx="1">
                  <c:v>-101.90600000000001</c:v>
                </c:pt>
                <c:pt idx="2">
                  <c:v>2.891</c:v>
                </c:pt>
                <c:pt idx="3">
                  <c:v>0.83199999999999996</c:v>
                </c:pt>
                <c:pt idx="4">
                  <c:v>-15.074</c:v>
                </c:pt>
                <c:pt idx="5">
                  <c:v>-24.853999999999999</c:v>
                </c:pt>
                <c:pt idx="6">
                  <c:v>56.985999999999997</c:v>
                </c:pt>
                <c:pt idx="7">
                  <c:v>132.23099999999999</c:v>
                </c:pt>
                <c:pt idx="8">
                  <c:v>-27.59</c:v>
                </c:pt>
                <c:pt idx="9">
                  <c:v>61.561999999999998</c:v>
                </c:pt>
                <c:pt idx="10">
                  <c:v>108.131</c:v>
                </c:pt>
              </c:numCache>
            </c:numRef>
          </c:val>
          <c:smooth val="0"/>
          <c:extLst>
            <c:ext xmlns:c16="http://schemas.microsoft.com/office/drawing/2014/chart" uri="{C3380CC4-5D6E-409C-BE32-E72D297353CC}">
              <c16:uniqueId val="{00000004-AF15-4259-84D5-713F1BF2021F}"/>
            </c:ext>
          </c:extLst>
        </c:ser>
        <c:dLbls>
          <c:showLegendKey val="0"/>
          <c:showVal val="0"/>
          <c:showCatName val="0"/>
          <c:showSerName val="0"/>
          <c:showPercent val="0"/>
          <c:showBubbleSize val="0"/>
        </c:dLbls>
        <c:marker val="1"/>
        <c:smooth val="0"/>
        <c:axId val="115033616"/>
        <c:axId val="115032784"/>
      </c:lineChart>
      <c:catAx>
        <c:axId val="1150336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115032784"/>
        <c:crosses val="autoZero"/>
        <c:auto val="1"/>
        <c:lblAlgn val="ctr"/>
        <c:lblOffset val="100"/>
        <c:noMultiLvlLbl val="0"/>
      </c:catAx>
      <c:valAx>
        <c:axId val="115032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115033616"/>
        <c:crosses val="autoZero"/>
        <c:crossBetween val="between"/>
      </c:valAx>
      <c:spPr>
        <a:noFill/>
        <a:ln>
          <a:noFill/>
        </a:ln>
        <a:effectLst/>
      </c:spPr>
    </c:plotArea>
    <c:legend>
      <c:legendPos val="b"/>
      <c:layout>
        <c:manualLayout>
          <c:xMode val="edge"/>
          <c:yMode val="edge"/>
          <c:x val="5.870525160418779E-2"/>
          <c:y val="0.82940870201508499"/>
          <c:w val="0.93084177642688282"/>
          <c:h val="0.1491458403692445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solidFill>
            <a:sysClr val="windowText" lastClr="000000"/>
          </a:solidFill>
          <a:latin typeface="Arial" panose="020B0604020202020204" pitchFamily="34"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65507436570428E-2"/>
          <c:y val="5.0925925925925923E-2"/>
          <c:w val="0.88778937007874015"/>
          <c:h val="0.73935914260717406"/>
        </c:manualLayout>
      </c:layout>
      <c:barChart>
        <c:barDir val="col"/>
        <c:grouping val="stacked"/>
        <c:varyColors val="0"/>
        <c:ser>
          <c:idx val="1"/>
          <c:order val="1"/>
          <c:tx>
            <c:strRef>
              <c:f>THFK_V_iscpr_CZ!$A$84:$B$84</c:f>
              <c:strCache>
                <c:ptCount val="2"/>
                <c:pt idx="0">
                  <c:v>Obydlí</c:v>
                </c:pt>
              </c:strCache>
            </c:strRef>
          </c:tx>
          <c:spPr>
            <a:solidFill>
              <a:srgbClr val="FF0000"/>
            </a:solidFill>
            <a:ln>
              <a:noFill/>
            </a:ln>
            <a:effectLst/>
          </c:spPr>
          <c:invertIfNegative val="0"/>
          <c:cat>
            <c:numRef>
              <c:f>THFK_V_iscpr_CZ!$C$82:$M$82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THFK_V_iscpr_CZ!$C$84:$M$84</c:f>
              <c:numCache>
                <c:formatCode>General</c:formatCode>
                <c:ptCount val="11"/>
                <c:pt idx="0">
                  <c:v>2.7829999999999999</c:v>
                </c:pt>
                <c:pt idx="1">
                  <c:v>-11.798</c:v>
                </c:pt>
                <c:pt idx="2">
                  <c:v>12.31</c:v>
                </c:pt>
                <c:pt idx="3">
                  <c:v>-12.42</c:v>
                </c:pt>
                <c:pt idx="4">
                  <c:v>1.35</c:v>
                </c:pt>
                <c:pt idx="5">
                  <c:v>-16.372</c:v>
                </c:pt>
                <c:pt idx="6">
                  <c:v>11.922000000000001</c:v>
                </c:pt>
                <c:pt idx="7">
                  <c:v>19.391999999999999</c:v>
                </c:pt>
                <c:pt idx="8">
                  <c:v>11.276999999999999</c:v>
                </c:pt>
                <c:pt idx="9">
                  <c:v>20.248999999999999</c:v>
                </c:pt>
                <c:pt idx="10">
                  <c:v>18.067</c:v>
                </c:pt>
              </c:numCache>
            </c:numRef>
          </c:val>
          <c:extLst>
            <c:ext xmlns:c16="http://schemas.microsoft.com/office/drawing/2014/chart" uri="{C3380CC4-5D6E-409C-BE32-E72D297353CC}">
              <c16:uniqueId val="{00000000-2EB5-4ABC-BFAF-F7D1718E7551}"/>
            </c:ext>
          </c:extLst>
        </c:ser>
        <c:ser>
          <c:idx val="2"/>
          <c:order val="2"/>
          <c:tx>
            <c:strRef>
              <c:f>THFK_V_iscpr_CZ!$A$85:$B$85</c:f>
              <c:strCache>
                <c:ptCount val="2"/>
                <c:pt idx="0">
                  <c:v>Ostatní budovy a stavby</c:v>
                </c:pt>
              </c:strCache>
            </c:strRef>
          </c:tx>
          <c:spPr>
            <a:solidFill>
              <a:srgbClr val="FFC5C5"/>
            </a:solidFill>
            <a:ln>
              <a:noFill/>
            </a:ln>
            <a:effectLst/>
          </c:spPr>
          <c:invertIfNegative val="0"/>
          <c:cat>
            <c:numRef>
              <c:f>THFK_V_iscpr_CZ!$C$82:$M$82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THFK_V_iscpr_CZ!$C$85:$M$85</c:f>
              <c:numCache>
                <c:formatCode>General</c:formatCode>
                <c:ptCount val="11"/>
                <c:pt idx="0">
                  <c:v>12.631</c:v>
                </c:pt>
                <c:pt idx="1">
                  <c:v>-12.271000000000001</c:v>
                </c:pt>
                <c:pt idx="2">
                  <c:v>-18.803000000000001</c:v>
                </c:pt>
                <c:pt idx="3">
                  <c:v>-9.2609999999999992</c:v>
                </c:pt>
                <c:pt idx="4">
                  <c:v>-16.933</c:v>
                </c:pt>
                <c:pt idx="5">
                  <c:v>-10.499000000000001</c:v>
                </c:pt>
                <c:pt idx="6">
                  <c:v>-3.92</c:v>
                </c:pt>
                <c:pt idx="7">
                  <c:v>28.265999999999998</c:v>
                </c:pt>
                <c:pt idx="8">
                  <c:v>-38.122999999999998</c:v>
                </c:pt>
                <c:pt idx="9">
                  <c:v>14.3</c:v>
                </c:pt>
                <c:pt idx="10">
                  <c:v>36.54</c:v>
                </c:pt>
              </c:numCache>
            </c:numRef>
          </c:val>
          <c:extLst>
            <c:ext xmlns:c16="http://schemas.microsoft.com/office/drawing/2014/chart" uri="{C3380CC4-5D6E-409C-BE32-E72D297353CC}">
              <c16:uniqueId val="{00000001-2EB5-4ABC-BFAF-F7D1718E7551}"/>
            </c:ext>
          </c:extLst>
        </c:ser>
        <c:ser>
          <c:idx val="3"/>
          <c:order val="3"/>
          <c:tx>
            <c:strRef>
              <c:f>THFK_V_iscpr_CZ!$A$86:$B$86</c:f>
              <c:strCache>
                <c:ptCount val="2"/>
                <c:pt idx="0">
                  <c:v>Stroje a zařízení</c:v>
                </c:pt>
              </c:strCache>
            </c:strRef>
          </c:tx>
          <c:spPr>
            <a:solidFill>
              <a:srgbClr val="0070C0"/>
            </a:solidFill>
            <a:ln>
              <a:noFill/>
            </a:ln>
            <a:effectLst/>
          </c:spPr>
          <c:invertIfNegative val="0"/>
          <c:cat>
            <c:numRef>
              <c:f>THFK_V_iscpr_CZ!$C$82:$M$82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THFK_V_iscpr_CZ!$C$86:$M$86</c:f>
              <c:numCache>
                <c:formatCode>General</c:formatCode>
                <c:ptCount val="11"/>
                <c:pt idx="0">
                  <c:v>9.452</c:v>
                </c:pt>
                <c:pt idx="1">
                  <c:v>-79.405000000000001</c:v>
                </c:pt>
                <c:pt idx="2">
                  <c:v>20.170000000000002</c:v>
                </c:pt>
                <c:pt idx="3">
                  <c:v>7.827</c:v>
                </c:pt>
                <c:pt idx="4">
                  <c:v>-14.247999999999999</c:v>
                </c:pt>
                <c:pt idx="5">
                  <c:v>6.3620000000000001</c:v>
                </c:pt>
                <c:pt idx="6">
                  <c:v>42.829000000000001</c:v>
                </c:pt>
                <c:pt idx="7">
                  <c:v>50.643999999999998</c:v>
                </c:pt>
                <c:pt idx="8">
                  <c:v>-3.1240000000000001</c:v>
                </c:pt>
                <c:pt idx="9">
                  <c:v>12.696</c:v>
                </c:pt>
                <c:pt idx="10">
                  <c:v>38.905000000000001</c:v>
                </c:pt>
              </c:numCache>
            </c:numRef>
          </c:val>
          <c:extLst>
            <c:ext xmlns:c16="http://schemas.microsoft.com/office/drawing/2014/chart" uri="{C3380CC4-5D6E-409C-BE32-E72D297353CC}">
              <c16:uniqueId val="{00000002-2EB5-4ABC-BFAF-F7D1718E7551}"/>
            </c:ext>
          </c:extLst>
        </c:ser>
        <c:ser>
          <c:idx val="4"/>
          <c:order val="4"/>
          <c:tx>
            <c:strRef>
              <c:f>THFK_V_iscpr_CZ!$A$87:$B$87</c:f>
              <c:strCache>
                <c:ptCount val="2"/>
                <c:pt idx="0">
                  <c:v>Produkty duševního vlastnictví</c:v>
                </c:pt>
              </c:strCache>
            </c:strRef>
          </c:tx>
          <c:spPr>
            <a:solidFill>
              <a:srgbClr val="00B0F0"/>
            </a:solidFill>
            <a:ln>
              <a:noFill/>
            </a:ln>
            <a:effectLst/>
          </c:spPr>
          <c:invertIfNegative val="0"/>
          <c:cat>
            <c:numRef>
              <c:f>THFK_V_iscpr_CZ!$C$82:$M$82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THFK_V_iscpr_CZ!$C$87:$M$87</c:f>
              <c:numCache>
                <c:formatCode>General</c:formatCode>
                <c:ptCount val="11"/>
                <c:pt idx="0">
                  <c:v>8.7680000000000007</c:v>
                </c:pt>
                <c:pt idx="1">
                  <c:v>0.65900000000000003</c:v>
                </c:pt>
                <c:pt idx="2">
                  <c:v>-12.013999999999999</c:v>
                </c:pt>
                <c:pt idx="3">
                  <c:v>13.474</c:v>
                </c:pt>
                <c:pt idx="4">
                  <c:v>15.11</c:v>
                </c:pt>
                <c:pt idx="5">
                  <c:v>-1.1659999999999999</c:v>
                </c:pt>
                <c:pt idx="6">
                  <c:v>7.0679999999999996</c:v>
                </c:pt>
                <c:pt idx="7">
                  <c:v>24.143000000000001</c:v>
                </c:pt>
                <c:pt idx="8">
                  <c:v>11.579000000000001</c:v>
                </c:pt>
                <c:pt idx="9">
                  <c:v>14.231999999999999</c:v>
                </c:pt>
                <c:pt idx="10">
                  <c:v>15.433</c:v>
                </c:pt>
              </c:numCache>
            </c:numRef>
          </c:val>
          <c:extLst>
            <c:ext xmlns:c16="http://schemas.microsoft.com/office/drawing/2014/chart" uri="{C3380CC4-5D6E-409C-BE32-E72D297353CC}">
              <c16:uniqueId val="{00000003-2EB5-4ABC-BFAF-F7D1718E7551}"/>
            </c:ext>
          </c:extLst>
        </c:ser>
        <c:ser>
          <c:idx val="5"/>
          <c:order val="5"/>
          <c:tx>
            <c:strRef>
              <c:f>THFK_V_iscpr_CZ!$A$88:$B$88</c:f>
              <c:strCache>
                <c:ptCount val="2"/>
                <c:pt idx="0">
                  <c:v>Ostatní investice</c:v>
                </c:pt>
              </c:strCache>
            </c:strRef>
          </c:tx>
          <c:spPr>
            <a:solidFill>
              <a:schemeClr val="accent3"/>
            </a:solidFill>
            <a:ln>
              <a:noFill/>
            </a:ln>
            <a:effectLst/>
          </c:spPr>
          <c:invertIfNegative val="0"/>
          <c:cat>
            <c:numRef>
              <c:f>THFK_V_iscpr_CZ!$C$82:$M$82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THFK_V_iscpr_CZ!$C$88:$M$88</c:f>
              <c:numCache>
                <c:formatCode>General</c:formatCode>
                <c:ptCount val="11"/>
                <c:pt idx="0">
                  <c:v>-0.73399999999999999</c:v>
                </c:pt>
                <c:pt idx="1">
                  <c:v>0.90899999999999992</c:v>
                </c:pt>
                <c:pt idx="2">
                  <c:v>1.228</c:v>
                </c:pt>
                <c:pt idx="3">
                  <c:v>1.212</c:v>
                </c:pt>
                <c:pt idx="4">
                  <c:v>-0.35299999999999998</c:v>
                </c:pt>
                <c:pt idx="5">
                  <c:v>-3.1789999999999994</c:v>
                </c:pt>
                <c:pt idx="6">
                  <c:v>-0.91300000000000003</c:v>
                </c:pt>
                <c:pt idx="7">
                  <c:v>9.7859999999999996</c:v>
                </c:pt>
                <c:pt idx="8">
                  <c:v>-9.1989999999999998</c:v>
                </c:pt>
                <c:pt idx="9">
                  <c:v>8.4999999999999964E-2</c:v>
                </c:pt>
                <c:pt idx="10">
                  <c:v>-0.81399999999999995</c:v>
                </c:pt>
              </c:numCache>
            </c:numRef>
          </c:val>
          <c:extLst>
            <c:ext xmlns:c16="http://schemas.microsoft.com/office/drawing/2014/chart" uri="{C3380CC4-5D6E-409C-BE32-E72D297353CC}">
              <c16:uniqueId val="{00000004-2EB5-4ABC-BFAF-F7D1718E7551}"/>
            </c:ext>
          </c:extLst>
        </c:ser>
        <c:dLbls>
          <c:showLegendKey val="0"/>
          <c:showVal val="0"/>
          <c:showCatName val="0"/>
          <c:showSerName val="0"/>
          <c:showPercent val="0"/>
          <c:showBubbleSize val="0"/>
        </c:dLbls>
        <c:gapWidth val="96"/>
        <c:overlap val="100"/>
        <c:axId val="424882992"/>
        <c:axId val="424884656"/>
      </c:barChart>
      <c:lineChart>
        <c:grouping val="standard"/>
        <c:varyColors val="0"/>
        <c:ser>
          <c:idx val="0"/>
          <c:order val="0"/>
          <c:tx>
            <c:strRef>
              <c:f>THFK_V_iscpr_CZ!$A$83:$B$83</c:f>
              <c:strCache>
                <c:ptCount val="2"/>
                <c:pt idx="0">
                  <c:v>Celkem</c:v>
                </c:pt>
              </c:strCache>
            </c:strRef>
          </c:tx>
          <c:spPr>
            <a:ln w="28575" cap="rnd">
              <a:solidFill>
                <a:schemeClr val="tx1"/>
              </a:solidFill>
              <a:round/>
            </a:ln>
            <a:effectLst/>
          </c:spPr>
          <c:marker>
            <c:symbol val="none"/>
          </c:marker>
          <c:cat>
            <c:numRef>
              <c:f>THFK_V_iscpr_CZ!$C$82:$M$82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THFK_V_iscpr_CZ!$C$83:$M$83</c:f>
              <c:numCache>
                <c:formatCode>General</c:formatCode>
                <c:ptCount val="11"/>
                <c:pt idx="0">
                  <c:v>32.9</c:v>
                </c:pt>
                <c:pt idx="1">
                  <c:v>-101.90600000000001</c:v>
                </c:pt>
                <c:pt idx="2">
                  <c:v>2.891</c:v>
                </c:pt>
                <c:pt idx="3">
                  <c:v>0.83199999999999996</c:v>
                </c:pt>
                <c:pt idx="4">
                  <c:v>-15.074</c:v>
                </c:pt>
                <c:pt idx="5">
                  <c:v>-24.853999999999999</c:v>
                </c:pt>
                <c:pt idx="6">
                  <c:v>56.985999999999997</c:v>
                </c:pt>
                <c:pt idx="7">
                  <c:v>132.23099999999999</c:v>
                </c:pt>
                <c:pt idx="8">
                  <c:v>-27.59</c:v>
                </c:pt>
                <c:pt idx="9">
                  <c:v>61.561999999999998</c:v>
                </c:pt>
                <c:pt idx="10">
                  <c:v>108.131</c:v>
                </c:pt>
              </c:numCache>
            </c:numRef>
          </c:val>
          <c:smooth val="0"/>
          <c:extLst>
            <c:ext xmlns:c16="http://schemas.microsoft.com/office/drawing/2014/chart" uri="{C3380CC4-5D6E-409C-BE32-E72D297353CC}">
              <c16:uniqueId val="{00000005-2EB5-4ABC-BFAF-F7D1718E7551}"/>
            </c:ext>
          </c:extLst>
        </c:ser>
        <c:dLbls>
          <c:showLegendKey val="0"/>
          <c:showVal val="0"/>
          <c:showCatName val="0"/>
          <c:showSerName val="0"/>
          <c:showPercent val="0"/>
          <c:showBubbleSize val="0"/>
        </c:dLbls>
        <c:marker val="1"/>
        <c:smooth val="0"/>
        <c:axId val="424882992"/>
        <c:axId val="424884656"/>
      </c:lineChart>
      <c:catAx>
        <c:axId val="4248829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424884656"/>
        <c:crosses val="autoZero"/>
        <c:auto val="1"/>
        <c:lblAlgn val="ctr"/>
        <c:lblOffset val="100"/>
        <c:noMultiLvlLbl val="0"/>
      </c:catAx>
      <c:valAx>
        <c:axId val="424884656"/>
        <c:scaling>
          <c:orientation val="minMax"/>
          <c:min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424882992"/>
        <c:crosses val="autoZero"/>
        <c:crossBetween val="between"/>
        <c:majorUnit val="30"/>
      </c:valAx>
      <c:spPr>
        <a:noFill/>
        <a:ln>
          <a:noFill/>
        </a:ln>
        <a:effectLst/>
      </c:spPr>
    </c:plotArea>
    <c:legend>
      <c:legendPos val="b"/>
      <c:layout>
        <c:manualLayout>
          <c:xMode val="edge"/>
          <c:yMode val="edge"/>
          <c:x val="8.0346019247594061E-2"/>
          <c:y val="0.8563112423447069"/>
          <c:w val="0.88930796150481195"/>
          <c:h val="0.1159109798775153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Data!$E$47</c:f>
              <c:strCache>
                <c:ptCount val="1"/>
                <c:pt idx="0">
                  <c:v>2017</c:v>
                </c:pt>
              </c:strCache>
            </c:strRef>
          </c:tx>
          <c:spPr>
            <a:solidFill>
              <a:srgbClr val="0070C0"/>
            </a:solidFill>
            <a:ln>
              <a:noFill/>
            </a:ln>
            <a:effectLst/>
          </c:spPr>
          <c:invertIfNegative val="0"/>
          <c:cat>
            <c:strRef>
              <c:f>Data!$A$48:$A$76</c:f>
              <c:strCache>
                <c:ptCount val="29"/>
                <c:pt idx="0">
                  <c:v>Maďarsko</c:v>
                </c:pt>
                <c:pt idx="1">
                  <c:v>Lotyšsko</c:v>
                </c:pt>
                <c:pt idx="2">
                  <c:v>Slovinsko</c:v>
                </c:pt>
                <c:pt idx="3">
                  <c:v>Irsko</c:v>
                </c:pt>
                <c:pt idx="4">
                  <c:v>Polsko</c:v>
                </c:pt>
                <c:pt idx="5">
                  <c:v>Česko</c:v>
                </c:pt>
                <c:pt idx="6">
                  <c:v>Slovensko</c:v>
                </c:pt>
                <c:pt idx="7">
                  <c:v>Bulharsko</c:v>
                </c:pt>
                <c:pt idx="8">
                  <c:v>Dánsko</c:v>
                </c:pt>
                <c:pt idx="9">
                  <c:v>Litva</c:v>
                </c:pt>
                <c:pt idx="10">
                  <c:v>Španělsko</c:v>
                </c:pt>
                <c:pt idx="11">
                  <c:v>Portugalsko</c:v>
                </c:pt>
                <c:pt idx="12">
                  <c:v>Chorvatsko</c:v>
                </c:pt>
                <c:pt idx="13">
                  <c:v>Švédsko</c:v>
                </c:pt>
                <c:pt idx="14">
                  <c:v>Itálie</c:v>
                </c:pt>
                <c:pt idx="15">
                  <c:v>EU 28</c:v>
                </c:pt>
                <c:pt idx="16">
                  <c:v>Estonsko</c:v>
                </c:pt>
                <c:pt idx="17">
                  <c:v>Rakousko</c:v>
                </c:pt>
                <c:pt idx="18">
                  <c:v>Nizozemsko</c:v>
                </c:pt>
                <c:pt idx="19">
                  <c:v>Finsko</c:v>
                </c:pt>
                <c:pt idx="20">
                  <c:v>Belgie</c:v>
                </c:pt>
                <c:pt idx="21">
                  <c:v>Francie</c:v>
                </c:pt>
                <c:pt idx="22">
                  <c:v>Německo</c:v>
                </c:pt>
                <c:pt idx="23">
                  <c:v>Velká Británie</c:v>
                </c:pt>
                <c:pt idx="24">
                  <c:v>Malta</c:v>
                </c:pt>
                <c:pt idx="25">
                  <c:v>Lucembursko</c:v>
                </c:pt>
                <c:pt idx="26">
                  <c:v>Rumunsko</c:v>
                </c:pt>
                <c:pt idx="27">
                  <c:v>Kypr</c:v>
                </c:pt>
                <c:pt idx="28">
                  <c:v>Řecko</c:v>
                </c:pt>
              </c:strCache>
            </c:strRef>
          </c:cat>
          <c:val>
            <c:numRef>
              <c:f>Data!$E$48:$E$76</c:f>
              <c:numCache>
                <c:formatCode>#\ ##0.0</c:formatCode>
                <c:ptCount val="29"/>
                <c:pt idx="0">
                  <c:v>18.2</c:v>
                </c:pt>
                <c:pt idx="1">
                  <c:v>13.1</c:v>
                </c:pt>
                <c:pt idx="2">
                  <c:v>10.7</c:v>
                </c:pt>
                <c:pt idx="3">
                  <c:v>-31</c:v>
                </c:pt>
                <c:pt idx="4">
                  <c:v>4</c:v>
                </c:pt>
                <c:pt idx="5">
                  <c:v>3.7</c:v>
                </c:pt>
                <c:pt idx="6">
                  <c:v>3.4</c:v>
                </c:pt>
                <c:pt idx="7">
                  <c:v>3.2</c:v>
                </c:pt>
                <c:pt idx="8">
                  <c:v>4.5999999999999996</c:v>
                </c:pt>
                <c:pt idx="9">
                  <c:v>6.8</c:v>
                </c:pt>
                <c:pt idx="10">
                  <c:v>4.8</c:v>
                </c:pt>
                <c:pt idx="11">
                  <c:v>9.1999999999999993</c:v>
                </c:pt>
                <c:pt idx="12">
                  <c:v>3.8</c:v>
                </c:pt>
                <c:pt idx="13">
                  <c:v>6</c:v>
                </c:pt>
                <c:pt idx="14">
                  <c:v>4.3</c:v>
                </c:pt>
                <c:pt idx="15">
                  <c:v>3.1</c:v>
                </c:pt>
                <c:pt idx="16">
                  <c:v>12.5</c:v>
                </c:pt>
                <c:pt idx="17">
                  <c:v>3.9</c:v>
                </c:pt>
                <c:pt idx="18">
                  <c:v>4.2</c:v>
                </c:pt>
                <c:pt idx="19">
                  <c:v>5.2</c:v>
                </c:pt>
                <c:pt idx="20">
                  <c:v>1.8</c:v>
                </c:pt>
                <c:pt idx="21">
                  <c:v>4.7</c:v>
                </c:pt>
                <c:pt idx="22">
                  <c:v>2.9</c:v>
                </c:pt>
                <c:pt idx="23">
                  <c:v>3.5</c:v>
                </c:pt>
                <c:pt idx="24">
                  <c:v>-7.5</c:v>
                </c:pt>
                <c:pt idx="25">
                  <c:v>4</c:v>
                </c:pt>
                <c:pt idx="26">
                  <c:v>3.5</c:v>
                </c:pt>
                <c:pt idx="27">
                  <c:v>29</c:v>
                </c:pt>
                <c:pt idx="28">
                  <c:v>9.1</c:v>
                </c:pt>
              </c:numCache>
            </c:numRef>
          </c:val>
          <c:extLst>
            <c:ext xmlns:c16="http://schemas.microsoft.com/office/drawing/2014/chart" uri="{C3380CC4-5D6E-409C-BE32-E72D297353CC}">
              <c16:uniqueId val="{00000000-D2F9-4B23-8F82-9D880A03BDC8}"/>
            </c:ext>
          </c:extLst>
        </c:ser>
        <c:ser>
          <c:idx val="1"/>
          <c:order val="1"/>
          <c:tx>
            <c:strRef>
              <c:f>Data!$F$47</c:f>
              <c:strCache>
                <c:ptCount val="1"/>
                <c:pt idx="0">
                  <c:v>2018</c:v>
                </c:pt>
              </c:strCache>
            </c:strRef>
          </c:tx>
          <c:spPr>
            <a:solidFill>
              <a:srgbClr val="FF0000"/>
            </a:solidFill>
            <a:ln>
              <a:noFill/>
            </a:ln>
            <a:effectLst/>
          </c:spPr>
          <c:invertIfNegative val="0"/>
          <c:cat>
            <c:strRef>
              <c:f>Data!$A$48:$A$76</c:f>
              <c:strCache>
                <c:ptCount val="29"/>
                <c:pt idx="0">
                  <c:v>Maďarsko</c:v>
                </c:pt>
                <c:pt idx="1">
                  <c:v>Lotyšsko</c:v>
                </c:pt>
                <c:pt idx="2">
                  <c:v>Slovinsko</c:v>
                </c:pt>
                <c:pt idx="3">
                  <c:v>Irsko</c:v>
                </c:pt>
                <c:pt idx="4">
                  <c:v>Polsko</c:v>
                </c:pt>
                <c:pt idx="5">
                  <c:v>Česko</c:v>
                </c:pt>
                <c:pt idx="6">
                  <c:v>Slovensko</c:v>
                </c:pt>
                <c:pt idx="7">
                  <c:v>Bulharsko</c:v>
                </c:pt>
                <c:pt idx="8">
                  <c:v>Dánsko</c:v>
                </c:pt>
                <c:pt idx="9">
                  <c:v>Litva</c:v>
                </c:pt>
                <c:pt idx="10">
                  <c:v>Španělsko</c:v>
                </c:pt>
                <c:pt idx="11">
                  <c:v>Portugalsko</c:v>
                </c:pt>
                <c:pt idx="12">
                  <c:v>Chorvatsko</c:v>
                </c:pt>
                <c:pt idx="13">
                  <c:v>Švédsko</c:v>
                </c:pt>
                <c:pt idx="14">
                  <c:v>Itálie</c:v>
                </c:pt>
                <c:pt idx="15">
                  <c:v>EU 28</c:v>
                </c:pt>
                <c:pt idx="16">
                  <c:v>Estonsko</c:v>
                </c:pt>
                <c:pt idx="17">
                  <c:v>Rakousko</c:v>
                </c:pt>
                <c:pt idx="18">
                  <c:v>Nizozemsko</c:v>
                </c:pt>
                <c:pt idx="19">
                  <c:v>Finsko</c:v>
                </c:pt>
                <c:pt idx="20">
                  <c:v>Belgie</c:v>
                </c:pt>
                <c:pt idx="21">
                  <c:v>Francie</c:v>
                </c:pt>
                <c:pt idx="22">
                  <c:v>Německo</c:v>
                </c:pt>
                <c:pt idx="23">
                  <c:v>Velká Británie</c:v>
                </c:pt>
                <c:pt idx="24">
                  <c:v>Malta</c:v>
                </c:pt>
                <c:pt idx="25">
                  <c:v>Lucembursko</c:v>
                </c:pt>
                <c:pt idx="26">
                  <c:v>Rumunsko</c:v>
                </c:pt>
                <c:pt idx="27">
                  <c:v>Kypr</c:v>
                </c:pt>
                <c:pt idx="28">
                  <c:v>Řecko</c:v>
                </c:pt>
              </c:strCache>
            </c:strRef>
          </c:cat>
          <c:val>
            <c:numRef>
              <c:f>Data!$F$48:$F$76</c:f>
              <c:numCache>
                <c:formatCode>#\ ##0.0</c:formatCode>
                <c:ptCount val="29"/>
                <c:pt idx="0">
                  <c:v>16.5</c:v>
                </c:pt>
                <c:pt idx="1">
                  <c:v>16.399999999999999</c:v>
                </c:pt>
                <c:pt idx="2">
                  <c:v>10.6</c:v>
                </c:pt>
                <c:pt idx="3">
                  <c:v>9.6999999999999993</c:v>
                </c:pt>
                <c:pt idx="4">
                  <c:v>8.6999999999999993</c:v>
                </c:pt>
                <c:pt idx="5">
                  <c:v>7.2</c:v>
                </c:pt>
                <c:pt idx="6">
                  <c:v>6.8</c:v>
                </c:pt>
                <c:pt idx="7">
                  <c:v>6.5</c:v>
                </c:pt>
                <c:pt idx="8">
                  <c:v>6.5</c:v>
                </c:pt>
                <c:pt idx="9">
                  <c:v>6.5</c:v>
                </c:pt>
                <c:pt idx="10">
                  <c:v>5.3</c:v>
                </c:pt>
                <c:pt idx="11">
                  <c:v>4.5</c:v>
                </c:pt>
                <c:pt idx="12">
                  <c:v>4.0999999999999996</c:v>
                </c:pt>
                <c:pt idx="13">
                  <c:v>4</c:v>
                </c:pt>
                <c:pt idx="14">
                  <c:v>3.4</c:v>
                </c:pt>
                <c:pt idx="15">
                  <c:v>3.3</c:v>
                </c:pt>
                <c:pt idx="16">
                  <c:v>3.3</c:v>
                </c:pt>
                <c:pt idx="17">
                  <c:v>3.3</c:v>
                </c:pt>
                <c:pt idx="18">
                  <c:v>3.2</c:v>
                </c:pt>
                <c:pt idx="19">
                  <c:v>3.1</c:v>
                </c:pt>
                <c:pt idx="20">
                  <c:v>2.9</c:v>
                </c:pt>
                <c:pt idx="21">
                  <c:v>2.8</c:v>
                </c:pt>
                <c:pt idx="22">
                  <c:v>2.6</c:v>
                </c:pt>
                <c:pt idx="23">
                  <c:v>0.2</c:v>
                </c:pt>
                <c:pt idx="24">
                  <c:v>-1.6</c:v>
                </c:pt>
                <c:pt idx="25">
                  <c:v>-2.7</c:v>
                </c:pt>
                <c:pt idx="26">
                  <c:v>-3.2</c:v>
                </c:pt>
                <c:pt idx="27">
                  <c:v>-7.1</c:v>
                </c:pt>
                <c:pt idx="28">
                  <c:v>-12.2</c:v>
                </c:pt>
              </c:numCache>
            </c:numRef>
          </c:val>
          <c:extLst>
            <c:ext xmlns:c16="http://schemas.microsoft.com/office/drawing/2014/chart" uri="{C3380CC4-5D6E-409C-BE32-E72D297353CC}">
              <c16:uniqueId val="{00000001-D2F9-4B23-8F82-9D880A03BDC8}"/>
            </c:ext>
          </c:extLst>
        </c:ser>
        <c:dLbls>
          <c:showLegendKey val="0"/>
          <c:showVal val="0"/>
          <c:showCatName val="0"/>
          <c:showSerName val="0"/>
          <c:showPercent val="0"/>
          <c:showBubbleSize val="0"/>
        </c:dLbls>
        <c:gapWidth val="97"/>
        <c:overlap val="-27"/>
        <c:axId val="103354352"/>
        <c:axId val="1"/>
      </c:barChart>
      <c:catAx>
        <c:axId val="1033543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
        <c:crosses val="autoZero"/>
        <c:auto val="1"/>
        <c:lblAlgn val="ctr"/>
        <c:lblOffset val="100"/>
        <c:noMultiLvlLbl val="0"/>
      </c:catAx>
      <c:valAx>
        <c:axId val="1"/>
        <c:scaling>
          <c:orientation val="minMax"/>
          <c:max val="30"/>
          <c:min val="-3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03354352"/>
        <c:crosses val="autoZero"/>
        <c:crossBetween val="between"/>
        <c:majorUnit val="5"/>
      </c:valAx>
      <c:spPr>
        <a:noFill/>
        <a:ln w="25400">
          <a:noFill/>
        </a:ln>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noFill/>
    <a:ln w="9525" cap="flat" cmpd="sng" algn="ctr">
      <a:noFill/>
      <a:round/>
    </a:ln>
    <a:effectLst/>
  </c:spPr>
  <c:txPr>
    <a:bodyPr/>
    <a:lstStyle/>
    <a:p>
      <a:pPr>
        <a:defRPr sz="800" baseline="0">
          <a:latin typeface="Arial" panose="020B0604020202020204" pitchFamily="34" charset="0"/>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433114683702928E-2"/>
          <c:y val="3.3409263477600606E-2"/>
          <c:w val="0.91008163211651971"/>
          <c:h val="0.77175194191151641"/>
        </c:manualLayout>
      </c:layout>
      <c:barChart>
        <c:barDir val="col"/>
        <c:grouping val="stacked"/>
        <c:varyColors val="0"/>
        <c:ser>
          <c:idx val="10"/>
          <c:order val="1"/>
          <c:tx>
            <c:strRef>
              <c:f>List1!$A$163</c:f>
              <c:strCache>
                <c:ptCount val="1"/>
                <c:pt idx="0">
                  <c:v>Ostatní služby</c:v>
                </c:pt>
              </c:strCache>
            </c:strRef>
          </c:tx>
          <c:spPr>
            <a:solidFill>
              <a:schemeClr val="bg1">
                <a:lumMod val="85000"/>
              </a:schemeClr>
            </a:solidFill>
            <a:ln>
              <a:noFill/>
            </a:ln>
            <a:effectLst/>
          </c:spPr>
          <c:invertIfNegative val="0"/>
          <c:val>
            <c:numRef>
              <c:f>List1!$B$163:$L$163</c:f>
              <c:numCache>
                <c:formatCode>General</c:formatCode>
                <c:ptCount val="11"/>
                <c:pt idx="0">
                  <c:v>46.667000000000002</c:v>
                </c:pt>
                <c:pt idx="1">
                  <c:v>-1.2460000000000009</c:v>
                </c:pt>
                <c:pt idx="2">
                  <c:v>-3.9920000000000004</c:v>
                </c:pt>
                <c:pt idx="3">
                  <c:v>7.4139999999999997</c:v>
                </c:pt>
                <c:pt idx="4">
                  <c:v>9.5629999999999988</c:v>
                </c:pt>
                <c:pt idx="5">
                  <c:v>12.898</c:v>
                </c:pt>
                <c:pt idx="6">
                  <c:v>25.349</c:v>
                </c:pt>
                <c:pt idx="7">
                  <c:v>25.909000000000002</c:v>
                </c:pt>
                <c:pt idx="8">
                  <c:v>27.770000000000003</c:v>
                </c:pt>
                <c:pt idx="9">
                  <c:v>22.984000000000002</c:v>
                </c:pt>
                <c:pt idx="10">
                  <c:v>25.649000000000004</c:v>
                </c:pt>
              </c:numCache>
            </c:numRef>
          </c:val>
          <c:extLst>
            <c:ext xmlns:c16="http://schemas.microsoft.com/office/drawing/2014/chart" uri="{C3380CC4-5D6E-409C-BE32-E72D297353CC}">
              <c16:uniqueId val="{00000000-70EF-470F-97B9-8975C3F13EEC}"/>
            </c:ext>
          </c:extLst>
        </c:ser>
        <c:ser>
          <c:idx val="1"/>
          <c:order val="2"/>
          <c:tx>
            <c:strRef>
              <c:f>List1!$A$154</c:f>
              <c:strCache>
                <c:ptCount val="1"/>
                <c:pt idx="0">
                  <c:v>Zemědělství, lesnictví a rybářství</c:v>
                </c:pt>
              </c:strCache>
            </c:strRef>
          </c:tx>
          <c:spPr>
            <a:solidFill>
              <a:srgbClr val="92D050"/>
            </a:solidFill>
            <a:ln>
              <a:noFill/>
            </a:ln>
            <a:effectLst/>
          </c:spPr>
          <c:invertIfNegative val="0"/>
          <c:cat>
            <c:numRef>
              <c:f>List1!$B$152:$L$152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List1!$B$154:$L$154</c:f>
              <c:numCache>
                <c:formatCode>General</c:formatCode>
                <c:ptCount val="11"/>
                <c:pt idx="0">
                  <c:v>4.0549999999999997</c:v>
                </c:pt>
                <c:pt idx="1">
                  <c:v>-14.156000000000001</c:v>
                </c:pt>
                <c:pt idx="2">
                  <c:v>-2.1970000000000001</c:v>
                </c:pt>
                <c:pt idx="3">
                  <c:v>17.504999999999999</c:v>
                </c:pt>
                <c:pt idx="4">
                  <c:v>4.0369999999999999</c:v>
                </c:pt>
                <c:pt idx="5">
                  <c:v>1.675</c:v>
                </c:pt>
                <c:pt idx="6">
                  <c:v>7.9909999999999997</c:v>
                </c:pt>
                <c:pt idx="7">
                  <c:v>-6.2549999999999999</c:v>
                </c:pt>
                <c:pt idx="8">
                  <c:v>-1.33</c:v>
                </c:pt>
                <c:pt idx="9">
                  <c:v>4.0369999999999999</c:v>
                </c:pt>
                <c:pt idx="10">
                  <c:v>-3.6850000000000001</c:v>
                </c:pt>
              </c:numCache>
            </c:numRef>
          </c:val>
          <c:extLst>
            <c:ext xmlns:c16="http://schemas.microsoft.com/office/drawing/2014/chart" uri="{C3380CC4-5D6E-409C-BE32-E72D297353CC}">
              <c16:uniqueId val="{00000001-70EF-470F-97B9-8975C3F13EEC}"/>
            </c:ext>
          </c:extLst>
        </c:ser>
        <c:ser>
          <c:idx val="3"/>
          <c:order val="3"/>
          <c:tx>
            <c:strRef>
              <c:f>List1!$A$156</c:f>
              <c:strCache>
                <c:ptCount val="1"/>
                <c:pt idx="0">
                  <c:v>Stavebnictví</c:v>
                </c:pt>
              </c:strCache>
            </c:strRef>
          </c:tx>
          <c:spPr>
            <a:solidFill>
              <a:schemeClr val="accent4"/>
            </a:solidFill>
            <a:ln>
              <a:noFill/>
            </a:ln>
            <a:effectLst/>
          </c:spPr>
          <c:invertIfNegative val="0"/>
          <c:cat>
            <c:numRef>
              <c:f>List1!$B$152:$L$152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List1!$B$156:$L$156</c:f>
              <c:numCache>
                <c:formatCode>General</c:formatCode>
                <c:ptCount val="11"/>
                <c:pt idx="0">
                  <c:v>10.872</c:v>
                </c:pt>
                <c:pt idx="1">
                  <c:v>-10.423999999999999</c:v>
                </c:pt>
                <c:pt idx="2">
                  <c:v>1.1359999999999999</c:v>
                </c:pt>
                <c:pt idx="3">
                  <c:v>-13.304</c:v>
                </c:pt>
                <c:pt idx="4">
                  <c:v>-11.381</c:v>
                </c:pt>
                <c:pt idx="5">
                  <c:v>-3.7229999999999999</c:v>
                </c:pt>
                <c:pt idx="6">
                  <c:v>4.0659999999999998</c:v>
                </c:pt>
                <c:pt idx="7">
                  <c:v>10.654</c:v>
                </c:pt>
                <c:pt idx="8">
                  <c:v>-2.2389999999999999</c:v>
                </c:pt>
                <c:pt idx="9">
                  <c:v>4.5090000000000003</c:v>
                </c:pt>
                <c:pt idx="10">
                  <c:v>15.958</c:v>
                </c:pt>
              </c:numCache>
            </c:numRef>
          </c:val>
          <c:extLst>
            <c:ext xmlns:c16="http://schemas.microsoft.com/office/drawing/2014/chart" uri="{C3380CC4-5D6E-409C-BE32-E72D297353CC}">
              <c16:uniqueId val="{00000002-70EF-470F-97B9-8975C3F13EEC}"/>
            </c:ext>
          </c:extLst>
        </c:ser>
        <c:ser>
          <c:idx val="5"/>
          <c:order val="4"/>
          <c:tx>
            <c:strRef>
              <c:f>List1!$A$158</c:f>
              <c:strCache>
                <c:ptCount val="1"/>
                <c:pt idx="0">
                  <c:v>Informační a komunikační činnosti</c:v>
                </c:pt>
              </c:strCache>
            </c:strRef>
          </c:tx>
          <c:spPr>
            <a:solidFill>
              <a:srgbClr val="FFC000"/>
            </a:solidFill>
            <a:ln>
              <a:noFill/>
            </a:ln>
            <a:effectLst/>
          </c:spPr>
          <c:invertIfNegative val="0"/>
          <c:cat>
            <c:numRef>
              <c:f>List1!$B$152:$L$152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List1!$B$158:$L$158</c:f>
              <c:numCache>
                <c:formatCode>General</c:formatCode>
                <c:ptCount val="11"/>
                <c:pt idx="0">
                  <c:v>6.2080000000000002</c:v>
                </c:pt>
                <c:pt idx="1">
                  <c:v>-0.54</c:v>
                </c:pt>
                <c:pt idx="2">
                  <c:v>-5.2889999999999997</c:v>
                </c:pt>
                <c:pt idx="3">
                  <c:v>3.9380000000000002</c:v>
                </c:pt>
                <c:pt idx="4">
                  <c:v>-0.187</c:v>
                </c:pt>
                <c:pt idx="5">
                  <c:v>-2.3130000000000002</c:v>
                </c:pt>
                <c:pt idx="6">
                  <c:v>10.021000000000001</c:v>
                </c:pt>
                <c:pt idx="7">
                  <c:v>15.065</c:v>
                </c:pt>
                <c:pt idx="8">
                  <c:v>11.929</c:v>
                </c:pt>
                <c:pt idx="9">
                  <c:v>13.978999999999999</c:v>
                </c:pt>
                <c:pt idx="10">
                  <c:v>24.12</c:v>
                </c:pt>
              </c:numCache>
            </c:numRef>
          </c:val>
          <c:extLst>
            <c:ext xmlns:c16="http://schemas.microsoft.com/office/drawing/2014/chart" uri="{C3380CC4-5D6E-409C-BE32-E72D297353CC}">
              <c16:uniqueId val="{00000003-70EF-470F-97B9-8975C3F13EEC}"/>
            </c:ext>
          </c:extLst>
        </c:ser>
        <c:ser>
          <c:idx val="4"/>
          <c:order val="5"/>
          <c:tx>
            <c:strRef>
              <c:f>List1!$A$157</c:f>
              <c:strCache>
                <c:ptCount val="1"/>
                <c:pt idx="0">
                  <c:v>Obchod, doprava, ubytování a pohostinství</c:v>
                </c:pt>
              </c:strCache>
            </c:strRef>
          </c:tx>
          <c:spPr>
            <a:solidFill>
              <a:srgbClr val="FF0000"/>
            </a:solidFill>
            <a:ln>
              <a:noFill/>
            </a:ln>
            <a:effectLst/>
          </c:spPr>
          <c:invertIfNegative val="0"/>
          <c:cat>
            <c:numRef>
              <c:f>List1!$B$152:$L$152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List1!$B$157:$L$157</c:f>
              <c:numCache>
                <c:formatCode>General</c:formatCode>
                <c:ptCount val="11"/>
                <c:pt idx="0">
                  <c:v>5.5289999999999999</c:v>
                </c:pt>
                <c:pt idx="1">
                  <c:v>-64.027000000000001</c:v>
                </c:pt>
                <c:pt idx="2">
                  <c:v>23.577000000000002</c:v>
                </c:pt>
                <c:pt idx="3">
                  <c:v>3.8620000000000001</c:v>
                </c:pt>
                <c:pt idx="4">
                  <c:v>9.8940000000000001</c:v>
                </c:pt>
                <c:pt idx="5">
                  <c:v>-0.39100000000000001</c:v>
                </c:pt>
                <c:pt idx="6">
                  <c:v>37.320999999999998</c:v>
                </c:pt>
                <c:pt idx="7">
                  <c:v>60.722000000000001</c:v>
                </c:pt>
                <c:pt idx="8">
                  <c:v>29.062999999999999</c:v>
                </c:pt>
                <c:pt idx="9">
                  <c:v>59.154000000000003</c:v>
                </c:pt>
                <c:pt idx="10">
                  <c:v>46.728000000000002</c:v>
                </c:pt>
              </c:numCache>
            </c:numRef>
          </c:val>
          <c:extLst>
            <c:ext xmlns:c16="http://schemas.microsoft.com/office/drawing/2014/chart" uri="{C3380CC4-5D6E-409C-BE32-E72D297353CC}">
              <c16:uniqueId val="{00000004-70EF-470F-97B9-8975C3F13EEC}"/>
            </c:ext>
          </c:extLst>
        </c:ser>
        <c:ser>
          <c:idx val="2"/>
          <c:order val="6"/>
          <c:tx>
            <c:strRef>
              <c:f>List1!$A$155</c:f>
              <c:strCache>
                <c:ptCount val="1"/>
                <c:pt idx="0">
                  <c:v>Průmysl, těžba a dobývání</c:v>
                </c:pt>
              </c:strCache>
            </c:strRef>
          </c:tx>
          <c:spPr>
            <a:solidFill>
              <a:schemeClr val="accent1"/>
            </a:solidFill>
            <a:ln>
              <a:noFill/>
            </a:ln>
            <a:effectLst/>
          </c:spPr>
          <c:invertIfNegative val="0"/>
          <c:cat>
            <c:numRef>
              <c:f>List1!$B$152:$L$152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List1!$B$155:$L$155</c:f>
              <c:numCache>
                <c:formatCode>General</c:formatCode>
                <c:ptCount val="11"/>
                <c:pt idx="0">
                  <c:v>29.282</c:v>
                </c:pt>
                <c:pt idx="1">
                  <c:v>-59.896000000000001</c:v>
                </c:pt>
                <c:pt idx="2">
                  <c:v>2.544</c:v>
                </c:pt>
                <c:pt idx="3">
                  <c:v>48.137999999999998</c:v>
                </c:pt>
                <c:pt idx="4">
                  <c:v>12.208</c:v>
                </c:pt>
                <c:pt idx="5">
                  <c:v>5.6660000000000004</c:v>
                </c:pt>
                <c:pt idx="6">
                  <c:v>120.84699999999999</c:v>
                </c:pt>
                <c:pt idx="7">
                  <c:v>62.619</c:v>
                </c:pt>
                <c:pt idx="8">
                  <c:v>34.29</c:v>
                </c:pt>
                <c:pt idx="9">
                  <c:v>69.287999999999997</c:v>
                </c:pt>
                <c:pt idx="10">
                  <c:v>6.9260000000000002</c:v>
                </c:pt>
              </c:numCache>
            </c:numRef>
          </c:val>
          <c:extLst>
            <c:ext xmlns:c16="http://schemas.microsoft.com/office/drawing/2014/chart" uri="{C3380CC4-5D6E-409C-BE32-E72D297353CC}">
              <c16:uniqueId val="{00000005-70EF-470F-97B9-8975C3F13EEC}"/>
            </c:ext>
          </c:extLst>
        </c:ser>
        <c:dLbls>
          <c:showLegendKey val="0"/>
          <c:showVal val="0"/>
          <c:showCatName val="0"/>
          <c:showSerName val="0"/>
          <c:showPercent val="0"/>
          <c:showBubbleSize val="0"/>
        </c:dLbls>
        <c:gapWidth val="90"/>
        <c:overlap val="100"/>
        <c:axId val="242819872"/>
        <c:axId val="242820704"/>
      </c:barChart>
      <c:lineChart>
        <c:grouping val="standard"/>
        <c:varyColors val="0"/>
        <c:ser>
          <c:idx val="0"/>
          <c:order val="0"/>
          <c:tx>
            <c:strRef>
              <c:f>List1!$A$153</c:f>
              <c:strCache>
                <c:ptCount val="1"/>
                <c:pt idx="0">
                  <c:v>Nefinanční podniky celkem</c:v>
                </c:pt>
              </c:strCache>
            </c:strRef>
          </c:tx>
          <c:spPr>
            <a:ln w="28575" cap="rnd">
              <a:solidFill>
                <a:schemeClr val="tx1"/>
              </a:solidFill>
              <a:round/>
            </a:ln>
            <a:effectLst/>
          </c:spPr>
          <c:marker>
            <c:symbol val="none"/>
          </c:marker>
          <c:cat>
            <c:numRef>
              <c:f>List1!$B$152:$L$152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List1!$B$153:$L$153</c:f>
              <c:numCache>
                <c:formatCode>General</c:formatCode>
                <c:ptCount val="11"/>
                <c:pt idx="0">
                  <c:v>102.613</c:v>
                </c:pt>
                <c:pt idx="1">
                  <c:v>-150.28899999999999</c:v>
                </c:pt>
                <c:pt idx="2">
                  <c:v>15.779</c:v>
                </c:pt>
                <c:pt idx="3">
                  <c:v>67.552999999999997</c:v>
                </c:pt>
                <c:pt idx="4">
                  <c:v>24.134</c:v>
                </c:pt>
                <c:pt idx="5">
                  <c:v>13.811999999999999</c:v>
                </c:pt>
                <c:pt idx="6">
                  <c:v>205.595</c:v>
                </c:pt>
                <c:pt idx="7">
                  <c:v>168.714</c:v>
                </c:pt>
                <c:pt idx="8">
                  <c:v>99.483000000000004</c:v>
                </c:pt>
                <c:pt idx="9">
                  <c:v>173.95099999999999</c:v>
                </c:pt>
                <c:pt idx="10">
                  <c:v>115.696</c:v>
                </c:pt>
              </c:numCache>
            </c:numRef>
          </c:val>
          <c:smooth val="0"/>
          <c:extLst>
            <c:ext xmlns:c16="http://schemas.microsoft.com/office/drawing/2014/chart" uri="{C3380CC4-5D6E-409C-BE32-E72D297353CC}">
              <c16:uniqueId val="{00000006-70EF-470F-97B9-8975C3F13EEC}"/>
            </c:ext>
          </c:extLst>
        </c:ser>
        <c:dLbls>
          <c:showLegendKey val="0"/>
          <c:showVal val="0"/>
          <c:showCatName val="0"/>
          <c:showSerName val="0"/>
          <c:showPercent val="0"/>
          <c:showBubbleSize val="0"/>
        </c:dLbls>
        <c:marker val="1"/>
        <c:smooth val="0"/>
        <c:axId val="242819872"/>
        <c:axId val="242820704"/>
      </c:lineChart>
      <c:catAx>
        <c:axId val="2428198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242820704"/>
        <c:crosses val="autoZero"/>
        <c:auto val="1"/>
        <c:lblAlgn val="ctr"/>
        <c:lblOffset val="100"/>
        <c:noMultiLvlLbl val="0"/>
      </c:catAx>
      <c:valAx>
        <c:axId val="242820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242819872"/>
        <c:crosses val="autoZero"/>
        <c:crossBetween val="between"/>
      </c:valAx>
      <c:spPr>
        <a:noFill/>
        <a:ln>
          <a:noFill/>
        </a:ln>
        <a:effectLst/>
      </c:spPr>
    </c:plotArea>
    <c:legend>
      <c:legendPos val="b"/>
      <c:layout>
        <c:manualLayout>
          <c:xMode val="edge"/>
          <c:yMode val="edge"/>
          <c:x val="3.1423083417764272E-2"/>
          <c:y val="0.87045902285263987"/>
          <c:w val="0.95577486491050301"/>
          <c:h val="0.1291889001463469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Data!$K$11</c:f>
              <c:strCache>
                <c:ptCount val="1"/>
                <c:pt idx="0">
                  <c:v>2017</c:v>
                </c:pt>
              </c:strCache>
            </c:strRef>
          </c:tx>
          <c:spPr>
            <a:solidFill>
              <a:srgbClr val="00B0F0"/>
            </a:solidFill>
            <a:ln>
              <a:noFill/>
            </a:ln>
            <a:effectLst/>
          </c:spPr>
          <c:invertIfNegative val="0"/>
          <c:dPt>
            <c:idx val="6"/>
            <c:invertIfNegative val="0"/>
            <c:bubble3D val="0"/>
            <c:spPr>
              <a:solidFill>
                <a:srgbClr val="0070C0"/>
              </a:solidFill>
              <a:ln>
                <a:noFill/>
              </a:ln>
              <a:effectLst/>
            </c:spPr>
            <c:extLst>
              <c:ext xmlns:c16="http://schemas.microsoft.com/office/drawing/2014/chart" uri="{C3380CC4-5D6E-409C-BE32-E72D297353CC}">
                <c16:uniqueId val="{00000001-C280-4D1F-8997-2E09724B64BF}"/>
              </c:ext>
            </c:extLst>
          </c:dPt>
          <c:cat>
            <c:strRef>
              <c:f>Data!$A$12:$A$40</c:f>
              <c:strCache>
                <c:ptCount val="29"/>
                <c:pt idx="0">
                  <c:v>Lucembursko</c:v>
                </c:pt>
                <c:pt idx="1">
                  <c:v>Bulharsko</c:v>
                </c:pt>
                <c:pt idx="2">
                  <c:v>Malta</c:v>
                </c:pt>
                <c:pt idx="3">
                  <c:v>Německo</c:v>
                </c:pt>
                <c:pt idx="4">
                  <c:v>Nizozemsko</c:v>
                </c:pt>
                <c:pt idx="5">
                  <c:v>Řecko</c:v>
                </c:pt>
                <c:pt idx="6">
                  <c:v>Česko</c:v>
                </c:pt>
                <c:pt idx="7">
                  <c:v>Švédsko</c:v>
                </c:pt>
                <c:pt idx="8">
                  <c:v>Litva</c:v>
                </c:pt>
                <c:pt idx="9">
                  <c:v>Slovinsko</c:v>
                </c:pt>
                <c:pt idx="10">
                  <c:v>Dánsko</c:v>
                </c:pt>
                <c:pt idx="11">
                  <c:v>Chorvatsko</c:v>
                </c:pt>
                <c:pt idx="12">
                  <c:v>Rakousko</c:v>
                </c:pt>
                <c:pt idx="13">
                  <c:v>Irsko</c:v>
                </c:pt>
                <c:pt idx="14">
                  <c:v>Polsko</c:v>
                </c:pt>
                <c:pt idx="15">
                  <c:v>Portugalsko</c:v>
                </c:pt>
                <c:pt idx="16">
                  <c:v>EU 28</c:v>
                </c:pt>
                <c:pt idx="17">
                  <c:v>Estonsko</c:v>
                </c:pt>
                <c:pt idx="18">
                  <c:v>Belgie</c:v>
                </c:pt>
                <c:pt idx="19">
                  <c:v>Slovensko</c:v>
                </c:pt>
                <c:pt idx="20">
                  <c:v>Finsko</c:v>
                </c:pt>
                <c:pt idx="21">
                  <c:v>Lotyšsko</c:v>
                </c:pt>
                <c:pt idx="22">
                  <c:v>Velká Británie</c:v>
                </c:pt>
                <c:pt idx="23">
                  <c:v>Itálie</c:v>
                </c:pt>
                <c:pt idx="24">
                  <c:v>Maďarsko</c:v>
                </c:pt>
                <c:pt idx="25">
                  <c:v>Španělsko</c:v>
                </c:pt>
                <c:pt idx="26">
                  <c:v>Francie</c:v>
                </c:pt>
                <c:pt idx="27">
                  <c:v>Rumunsko</c:v>
                </c:pt>
                <c:pt idx="28">
                  <c:v>Kypr</c:v>
                </c:pt>
              </c:strCache>
            </c:strRef>
          </c:cat>
          <c:val>
            <c:numRef>
              <c:f>Data!$K$12:$K$40</c:f>
              <c:numCache>
                <c:formatCode>#\ ##0.0_ ;[Red]\-#\ ##0.0\ </c:formatCode>
                <c:ptCount val="29"/>
                <c:pt idx="0">
                  <c:v>1.4</c:v>
                </c:pt>
                <c:pt idx="1">
                  <c:v>1.2</c:v>
                </c:pt>
                <c:pt idx="2">
                  <c:v>3.4</c:v>
                </c:pt>
                <c:pt idx="3">
                  <c:v>1</c:v>
                </c:pt>
                <c:pt idx="4">
                  <c:v>1.2</c:v>
                </c:pt>
                <c:pt idx="5">
                  <c:v>0.7</c:v>
                </c:pt>
                <c:pt idx="6">
                  <c:v>1.6</c:v>
                </c:pt>
                <c:pt idx="7">
                  <c:v>1.4</c:v>
                </c:pt>
                <c:pt idx="8">
                  <c:v>0.5</c:v>
                </c:pt>
                <c:pt idx="9">
                  <c:v>0</c:v>
                </c:pt>
                <c:pt idx="10">
                  <c:v>1.4</c:v>
                </c:pt>
                <c:pt idx="11">
                  <c:v>0.8</c:v>
                </c:pt>
                <c:pt idx="12">
                  <c:v>-0.8</c:v>
                </c:pt>
                <c:pt idx="13">
                  <c:v>-0.3</c:v>
                </c:pt>
                <c:pt idx="14">
                  <c:v>-1.5</c:v>
                </c:pt>
                <c:pt idx="15">
                  <c:v>-3</c:v>
                </c:pt>
                <c:pt idx="16">
                  <c:v>-1</c:v>
                </c:pt>
                <c:pt idx="17">
                  <c:v>-0.4</c:v>
                </c:pt>
                <c:pt idx="18">
                  <c:v>-0.8</c:v>
                </c:pt>
                <c:pt idx="19">
                  <c:v>-0.8</c:v>
                </c:pt>
                <c:pt idx="20">
                  <c:v>-0.8</c:v>
                </c:pt>
                <c:pt idx="21">
                  <c:v>-0.6</c:v>
                </c:pt>
                <c:pt idx="22">
                  <c:v>-1.9</c:v>
                </c:pt>
                <c:pt idx="23">
                  <c:v>-2.4</c:v>
                </c:pt>
                <c:pt idx="24">
                  <c:v>-2.2000000000000002</c:v>
                </c:pt>
                <c:pt idx="25">
                  <c:v>-3.1</c:v>
                </c:pt>
                <c:pt idx="26">
                  <c:v>-2.8</c:v>
                </c:pt>
                <c:pt idx="27">
                  <c:v>-2.7</c:v>
                </c:pt>
                <c:pt idx="28">
                  <c:v>1.8</c:v>
                </c:pt>
              </c:numCache>
            </c:numRef>
          </c:val>
          <c:extLst>
            <c:ext xmlns:c16="http://schemas.microsoft.com/office/drawing/2014/chart" uri="{C3380CC4-5D6E-409C-BE32-E72D297353CC}">
              <c16:uniqueId val="{00000002-C280-4D1F-8997-2E09724B64BF}"/>
            </c:ext>
          </c:extLst>
        </c:ser>
        <c:ser>
          <c:idx val="1"/>
          <c:order val="1"/>
          <c:tx>
            <c:strRef>
              <c:f>Data!$L$11</c:f>
              <c:strCache>
                <c:ptCount val="1"/>
                <c:pt idx="0">
                  <c:v>2018</c:v>
                </c:pt>
              </c:strCache>
            </c:strRef>
          </c:tx>
          <c:spPr>
            <a:solidFill>
              <a:schemeClr val="accent2"/>
            </a:solidFill>
            <a:ln>
              <a:noFill/>
            </a:ln>
            <a:effectLst/>
          </c:spPr>
          <c:invertIfNegative val="0"/>
          <c:dPt>
            <c:idx val="6"/>
            <c:invertIfNegative val="0"/>
            <c:bubble3D val="0"/>
            <c:spPr>
              <a:solidFill>
                <a:srgbClr val="FF0000"/>
              </a:solidFill>
              <a:ln>
                <a:noFill/>
              </a:ln>
              <a:effectLst/>
            </c:spPr>
            <c:extLst>
              <c:ext xmlns:c16="http://schemas.microsoft.com/office/drawing/2014/chart" uri="{C3380CC4-5D6E-409C-BE32-E72D297353CC}">
                <c16:uniqueId val="{00000004-C280-4D1F-8997-2E09724B64BF}"/>
              </c:ext>
            </c:extLst>
          </c:dPt>
          <c:cat>
            <c:strRef>
              <c:f>Data!$A$12:$A$40</c:f>
              <c:strCache>
                <c:ptCount val="29"/>
                <c:pt idx="0">
                  <c:v>Lucembursko</c:v>
                </c:pt>
                <c:pt idx="1">
                  <c:v>Bulharsko</c:v>
                </c:pt>
                <c:pt idx="2">
                  <c:v>Malta</c:v>
                </c:pt>
                <c:pt idx="3">
                  <c:v>Německo</c:v>
                </c:pt>
                <c:pt idx="4">
                  <c:v>Nizozemsko</c:v>
                </c:pt>
                <c:pt idx="5">
                  <c:v>Řecko</c:v>
                </c:pt>
                <c:pt idx="6">
                  <c:v>Česko</c:v>
                </c:pt>
                <c:pt idx="7">
                  <c:v>Švédsko</c:v>
                </c:pt>
                <c:pt idx="8">
                  <c:v>Litva</c:v>
                </c:pt>
                <c:pt idx="9">
                  <c:v>Slovinsko</c:v>
                </c:pt>
                <c:pt idx="10">
                  <c:v>Dánsko</c:v>
                </c:pt>
                <c:pt idx="11">
                  <c:v>Chorvatsko</c:v>
                </c:pt>
                <c:pt idx="12">
                  <c:v>Rakousko</c:v>
                </c:pt>
                <c:pt idx="13">
                  <c:v>Irsko</c:v>
                </c:pt>
                <c:pt idx="14">
                  <c:v>Polsko</c:v>
                </c:pt>
                <c:pt idx="15">
                  <c:v>Portugalsko</c:v>
                </c:pt>
                <c:pt idx="16">
                  <c:v>EU 28</c:v>
                </c:pt>
                <c:pt idx="17">
                  <c:v>Estonsko</c:v>
                </c:pt>
                <c:pt idx="18">
                  <c:v>Belgie</c:v>
                </c:pt>
                <c:pt idx="19">
                  <c:v>Slovensko</c:v>
                </c:pt>
                <c:pt idx="20">
                  <c:v>Finsko</c:v>
                </c:pt>
                <c:pt idx="21">
                  <c:v>Lotyšsko</c:v>
                </c:pt>
                <c:pt idx="22">
                  <c:v>Velká Británie</c:v>
                </c:pt>
                <c:pt idx="23">
                  <c:v>Itálie</c:v>
                </c:pt>
                <c:pt idx="24">
                  <c:v>Maďarsko</c:v>
                </c:pt>
                <c:pt idx="25">
                  <c:v>Španělsko</c:v>
                </c:pt>
                <c:pt idx="26">
                  <c:v>Francie</c:v>
                </c:pt>
                <c:pt idx="27">
                  <c:v>Rumunsko</c:v>
                </c:pt>
                <c:pt idx="28">
                  <c:v>Kypr</c:v>
                </c:pt>
              </c:strCache>
            </c:strRef>
          </c:cat>
          <c:val>
            <c:numRef>
              <c:f>Data!$L$12:$L$40</c:f>
              <c:numCache>
                <c:formatCode>#\ ##0.0_ ;[Red]\-#\ ##0.0\ </c:formatCode>
                <c:ptCount val="29"/>
                <c:pt idx="0">
                  <c:v>2.4</c:v>
                </c:pt>
                <c:pt idx="1">
                  <c:v>2</c:v>
                </c:pt>
                <c:pt idx="2">
                  <c:v>2</c:v>
                </c:pt>
                <c:pt idx="3">
                  <c:v>1.7</c:v>
                </c:pt>
                <c:pt idx="4">
                  <c:v>1.5</c:v>
                </c:pt>
                <c:pt idx="5">
                  <c:v>1.1000000000000001</c:v>
                </c:pt>
                <c:pt idx="6">
                  <c:v>0.9</c:v>
                </c:pt>
                <c:pt idx="7">
                  <c:v>0.9</c:v>
                </c:pt>
                <c:pt idx="8">
                  <c:v>0.7</c:v>
                </c:pt>
                <c:pt idx="9">
                  <c:v>0.7</c:v>
                </c:pt>
                <c:pt idx="10">
                  <c:v>0.5</c:v>
                </c:pt>
                <c:pt idx="11">
                  <c:v>0.2</c:v>
                </c:pt>
                <c:pt idx="12">
                  <c:v>0.1</c:v>
                </c:pt>
                <c:pt idx="13">
                  <c:v>0</c:v>
                </c:pt>
                <c:pt idx="14">
                  <c:v>-0.4</c:v>
                </c:pt>
                <c:pt idx="15">
                  <c:v>-0.5</c:v>
                </c:pt>
                <c:pt idx="16">
                  <c:v>-0.6</c:v>
                </c:pt>
                <c:pt idx="17">
                  <c:v>-0.6</c:v>
                </c:pt>
                <c:pt idx="18">
                  <c:v>-0.7</c:v>
                </c:pt>
                <c:pt idx="19">
                  <c:v>-0.7</c:v>
                </c:pt>
                <c:pt idx="20">
                  <c:v>-0.7</c:v>
                </c:pt>
                <c:pt idx="21">
                  <c:v>-1</c:v>
                </c:pt>
                <c:pt idx="22">
                  <c:v>-1.5</c:v>
                </c:pt>
                <c:pt idx="23">
                  <c:v>-2.1</c:v>
                </c:pt>
                <c:pt idx="24">
                  <c:v>-2.2000000000000002</c:v>
                </c:pt>
                <c:pt idx="25">
                  <c:v>-2.5</c:v>
                </c:pt>
                <c:pt idx="26">
                  <c:v>-2.5</c:v>
                </c:pt>
                <c:pt idx="27">
                  <c:v>-3</c:v>
                </c:pt>
                <c:pt idx="28">
                  <c:v>-4.8</c:v>
                </c:pt>
              </c:numCache>
            </c:numRef>
          </c:val>
          <c:extLst>
            <c:ext xmlns:c16="http://schemas.microsoft.com/office/drawing/2014/chart" uri="{C3380CC4-5D6E-409C-BE32-E72D297353CC}">
              <c16:uniqueId val="{00000005-C280-4D1F-8997-2E09724B64BF}"/>
            </c:ext>
          </c:extLst>
        </c:ser>
        <c:dLbls>
          <c:showLegendKey val="0"/>
          <c:showVal val="0"/>
          <c:showCatName val="0"/>
          <c:showSerName val="0"/>
          <c:showPercent val="0"/>
          <c:showBubbleSize val="0"/>
        </c:dLbls>
        <c:gapWidth val="99"/>
        <c:overlap val="-27"/>
        <c:axId val="211071232"/>
        <c:axId val="211068736"/>
      </c:barChart>
      <c:catAx>
        <c:axId val="2110712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211068736"/>
        <c:crosses val="autoZero"/>
        <c:auto val="1"/>
        <c:lblAlgn val="ctr"/>
        <c:lblOffset val="100"/>
        <c:noMultiLvlLbl val="0"/>
      </c:catAx>
      <c:valAx>
        <c:axId val="211068736"/>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21107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solidFill>
            <a:sysClr val="windowText" lastClr="000000"/>
          </a:solidFill>
          <a:latin typeface="Arial" panose="020B0604020202020204" pitchFamily="34" charset="0"/>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List1!$N$4</c:f>
              <c:strCache>
                <c:ptCount val="1"/>
                <c:pt idx="0">
                  <c:v>Čisté půjčky (-) / výpujčky (+)</c:v>
                </c:pt>
              </c:strCache>
            </c:strRef>
          </c:tx>
          <c:spPr>
            <a:solidFill>
              <a:schemeClr val="bg1">
                <a:lumMod val="65000"/>
              </a:schemeClr>
            </a:solidFill>
            <a:ln>
              <a:noFill/>
            </a:ln>
            <a:effectLst/>
          </c:spPr>
          <c:invertIfNegative val="0"/>
          <c:cat>
            <c:numRef>
              <c:f>List1!$M$5:$M$15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List1!$N$5:$N$15</c:f>
              <c:numCache>
                <c:formatCode>General</c:formatCode>
                <c:ptCount val="11"/>
                <c:pt idx="0">
                  <c:v>-79.665000000000006</c:v>
                </c:pt>
                <c:pt idx="1">
                  <c:v>-214.21100000000001</c:v>
                </c:pt>
                <c:pt idx="2">
                  <c:v>-166.017</c:v>
                </c:pt>
                <c:pt idx="3">
                  <c:v>-109.896</c:v>
                </c:pt>
                <c:pt idx="4">
                  <c:v>-159.55199999999999</c:v>
                </c:pt>
                <c:pt idx="5">
                  <c:v>-51.128999999999998</c:v>
                </c:pt>
                <c:pt idx="6">
                  <c:v>-90.561000000000007</c:v>
                </c:pt>
                <c:pt idx="7">
                  <c:v>-28.26</c:v>
                </c:pt>
                <c:pt idx="8">
                  <c:v>34.274000000000001</c:v>
                </c:pt>
                <c:pt idx="9">
                  <c:v>78.765000000000001</c:v>
                </c:pt>
                <c:pt idx="10">
                  <c:v>47.427</c:v>
                </c:pt>
              </c:numCache>
            </c:numRef>
          </c:val>
          <c:extLst>
            <c:ext xmlns:c16="http://schemas.microsoft.com/office/drawing/2014/chart" uri="{C3380CC4-5D6E-409C-BE32-E72D297353CC}">
              <c16:uniqueId val="{00000000-FCEB-415C-8215-87C5F91794F9}"/>
            </c:ext>
          </c:extLst>
        </c:ser>
        <c:dLbls>
          <c:showLegendKey val="0"/>
          <c:showVal val="0"/>
          <c:showCatName val="0"/>
          <c:showSerName val="0"/>
          <c:showPercent val="0"/>
          <c:showBubbleSize val="0"/>
        </c:dLbls>
        <c:gapWidth val="100"/>
        <c:axId val="406027488"/>
        <c:axId val="319039552"/>
      </c:barChart>
      <c:lineChart>
        <c:grouping val="standard"/>
        <c:varyColors val="0"/>
        <c:ser>
          <c:idx val="1"/>
          <c:order val="1"/>
          <c:tx>
            <c:strRef>
              <c:f>List1!$O$4</c:f>
              <c:strCache>
                <c:ptCount val="1"/>
                <c:pt idx="0">
                  <c:v>Výdaje</c:v>
                </c:pt>
              </c:strCache>
            </c:strRef>
          </c:tx>
          <c:spPr>
            <a:ln w="28575" cap="rnd">
              <a:solidFill>
                <a:srgbClr val="FF0000"/>
              </a:solidFill>
              <a:round/>
            </a:ln>
            <a:effectLst/>
          </c:spPr>
          <c:marker>
            <c:symbol val="none"/>
          </c:marker>
          <c:cat>
            <c:numRef>
              <c:f>List1!$M$5:$M$15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List1!$O$5:$O$15</c:f>
              <c:numCache>
                <c:formatCode>General</c:formatCode>
                <c:ptCount val="11"/>
                <c:pt idx="0">
                  <c:v>1635.279</c:v>
                </c:pt>
                <c:pt idx="1">
                  <c:v>1737.2329999999999</c:v>
                </c:pt>
                <c:pt idx="2">
                  <c:v>1724.241</c:v>
                </c:pt>
                <c:pt idx="3">
                  <c:v>1735.9159999999999</c:v>
                </c:pt>
                <c:pt idx="4">
                  <c:v>1805.836</c:v>
                </c:pt>
                <c:pt idx="5">
                  <c:v>1745.9079999999999</c:v>
                </c:pt>
                <c:pt idx="6">
                  <c:v>1830.5139999999999</c:v>
                </c:pt>
                <c:pt idx="7">
                  <c:v>1916.39</c:v>
                </c:pt>
                <c:pt idx="8">
                  <c:v>1882.5250000000001</c:v>
                </c:pt>
                <c:pt idx="9">
                  <c:v>1965.604</c:v>
                </c:pt>
                <c:pt idx="10">
                  <c:v>2163.395</c:v>
                </c:pt>
              </c:numCache>
            </c:numRef>
          </c:val>
          <c:smooth val="0"/>
          <c:extLst>
            <c:ext xmlns:c16="http://schemas.microsoft.com/office/drawing/2014/chart" uri="{C3380CC4-5D6E-409C-BE32-E72D297353CC}">
              <c16:uniqueId val="{00000001-FCEB-415C-8215-87C5F91794F9}"/>
            </c:ext>
          </c:extLst>
        </c:ser>
        <c:ser>
          <c:idx val="2"/>
          <c:order val="2"/>
          <c:tx>
            <c:strRef>
              <c:f>List1!$P$4</c:f>
              <c:strCache>
                <c:ptCount val="1"/>
                <c:pt idx="0">
                  <c:v>Příjmy</c:v>
                </c:pt>
              </c:strCache>
            </c:strRef>
          </c:tx>
          <c:spPr>
            <a:ln w="28575" cap="rnd">
              <a:solidFill>
                <a:srgbClr val="0070C0"/>
              </a:solidFill>
              <a:round/>
            </a:ln>
            <a:effectLst/>
          </c:spPr>
          <c:marker>
            <c:symbol val="none"/>
          </c:marker>
          <c:cat>
            <c:numRef>
              <c:f>List1!$M$5:$M$15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List1!$P$5:$P$15</c:f>
              <c:numCache>
                <c:formatCode>General</c:formatCode>
                <c:ptCount val="11"/>
                <c:pt idx="0">
                  <c:v>1555.614</c:v>
                </c:pt>
                <c:pt idx="1">
                  <c:v>1523.0219999999999</c:v>
                </c:pt>
                <c:pt idx="2">
                  <c:v>1558.2239999999999</c:v>
                </c:pt>
                <c:pt idx="3">
                  <c:v>1626.02</c:v>
                </c:pt>
                <c:pt idx="4">
                  <c:v>1646.2840000000001</c:v>
                </c:pt>
                <c:pt idx="5">
                  <c:v>1694.779</c:v>
                </c:pt>
                <c:pt idx="6">
                  <c:v>1739.953</c:v>
                </c:pt>
                <c:pt idx="7">
                  <c:v>1888.13</c:v>
                </c:pt>
                <c:pt idx="8">
                  <c:v>1916.799</c:v>
                </c:pt>
                <c:pt idx="9">
                  <c:v>2044.3689999999999</c:v>
                </c:pt>
                <c:pt idx="10">
                  <c:v>2210.8220000000001</c:v>
                </c:pt>
              </c:numCache>
            </c:numRef>
          </c:val>
          <c:smooth val="0"/>
          <c:extLst>
            <c:ext xmlns:c16="http://schemas.microsoft.com/office/drawing/2014/chart" uri="{C3380CC4-5D6E-409C-BE32-E72D297353CC}">
              <c16:uniqueId val="{00000002-FCEB-415C-8215-87C5F91794F9}"/>
            </c:ext>
          </c:extLst>
        </c:ser>
        <c:dLbls>
          <c:showLegendKey val="0"/>
          <c:showVal val="0"/>
          <c:showCatName val="0"/>
          <c:showSerName val="0"/>
          <c:showPercent val="0"/>
          <c:showBubbleSize val="0"/>
        </c:dLbls>
        <c:marker val="1"/>
        <c:smooth val="0"/>
        <c:axId val="451936320"/>
        <c:axId val="451936736"/>
      </c:lineChart>
      <c:catAx>
        <c:axId val="45193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451936736"/>
        <c:crosses val="autoZero"/>
        <c:auto val="1"/>
        <c:lblAlgn val="ctr"/>
        <c:lblOffset val="100"/>
        <c:noMultiLvlLbl val="0"/>
      </c:catAx>
      <c:valAx>
        <c:axId val="451936736"/>
        <c:scaling>
          <c:orientation val="minMax"/>
          <c:min val="150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451936320"/>
        <c:crosses val="autoZero"/>
        <c:crossBetween val="between"/>
      </c:valAx>
      <c:valAx>
        <c:axId val="319039552"/>
        <c:scaling>
          <c:orientation val="minMax"/>
        </c:scaling>
        <c:delete val="0"/>
        <c:axPos val="r"/>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406027488"/>
        <c:crosses val="max"/>
        <c:crossBetween val="between"/>
        <c:minorUnit val="50"/>
      </c:valAx>
      <c:catAx>
        <c:axId val="406027488"/>
        <c:scaling>
          <c:orientation val="minMax"/>
        </c:scaling>
        <c:delete val="1"/>
        <c:axPos val="b"/>
        <c:numFmt formatCode="General" sourceLinked="1"/>
        <c:majorTickMark val="out"/>
        <c:minorTickMark val="none"/>
        <c:tickLblPos val="nextTo"/>
        <c:crossAx val="319039552"/>
        <c:crosses val="autoZero"/>
        <c:auto val="1"/>
        <c:lblAlgn val="ctr"/>
        <c:lblOffset val="100"/>
        <c:noMultiLvlLbl val="0"/>
      </c:catAx>
      <c:spPr>
        <a:noFill/>
        <a:ln>
          <a:noFill/>
        </a:ln>
        <a:effectLst/>
      </c:spPr>
    </c:plotArea>
    <c:legend>
      <c:legendPos val="b"/>
      <c:layout>
        <c:manualLayout>
          <c:xMode val="edge"/>
          <c:yMode val="edge"/>
          <c:x val="8.6578647416413385E-2"/>
          <c:y val="0.92549279522683781"/>
          <c:w val="0.83488475177304977"/>
          <c:h val="5.306174715749183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A9B75-A5CD-468B-8E29-77E7A0D9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Anaýza ekonomického vývoje v roce 2017.dotx</Template>
  <TotalTime>118</TotalTime>
  <Pages>23</Pages>
  <Words>7259</Words>
  <Characters>42830</Characters>
  <Application>Microsoft Office Word</Application>
  <DocSecurity>0</DocSecurity>
  <Lines>356</Lines>
  <Paragraphs>99</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49990</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Zábojníková</cp:lastModifiedBy>
  <cp:revision>15</cp:revision>
  <cp:lastPrinted>2014-07-17T14:07:00Z</cp:lastPrinted>
  <dcterms:created xsi:type="dcterms:W3CDTF">2019-08-12T08:04:00Z</dcterms:created>
  <dcterms:modified xsi:type="dcterms:W3CDTF">2019-08-13T09:26:00Z</dcterms:modified>
</cp:coreProperties>
</file>