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7E9" w:rsidRDefault="007607E9">
      <w:pPr>
        <w:pStyle w:val="Nadpis3"/>
        <w:rPr>
          <w:rFonts w:cs="Arial"/>
          <w:color w:val="auto"/>
        </w:rPr>
      </w:pPr>
      <w:r w:rsidRPr="005E7773">
        <w:rPr>
          <w:rFonts w:cs="Arial"/>
          <w:color w:val="auto"/>
        </w:rPr>
        <w:t>Metodick</w:t>
      </w:r>
      <w:r w:rsidR="006973B1">
        <w:rPr>
          <w:rFonts w:cs="Arial"/>
          <w:color w:val="auto"/>
        </w:rPr>
        <w:t>é vysvětlivky</w:t>
      </w:r>
    </w:p>
    <w:p w:rsidR="006973B1" w:rsidRPr="006973B1" w:rsidRDefault="006973B1" w:rsidP="006973B1">
      <w:pPr>
        <w:rPr>
          <w:rFonts w:ascii="Arial" w:hAnsi="Arial" w:cs="Arial"/>
          <w:b/>
          <w:bCs/>
          <w:sz w:val="20"/>
        </w:rPr>
      </w:pPr>
      <w:r w:rsidRPr="006973B1">
        <w:rPr>
          <w:rFonts w:ascii="Arial" w:hAnsi="Arial" w:cs="Arial"/>
          <w:b/>
          <w:bCs/>
          <w:sz w:val="20"/>
        </w:rPr>
        <w:t>Statistiky</w:t>
      </w:r>
      <w:r>
        <w:rPr>
          <w:rFonts w:ascii="Arial" w:hAnsi="Arial" w:cs="Arial"/>
          <w:b/>
          <w:bCs/>
          <w:sz w:val="20"/>
        </w:rPr>
        <w:t xml:space="preserve"> zahraničního obchodu podle pohybu zboží (přehraniční pojetí)</w:t>
      </w:r>
    </w:p>
    <w:p w:rsidR="007607E9" w:rsidRPr="005E7773" w:rsidRDefault="007607E9">
      <w:pPr>
        <w:jc w:val="both"/>
        <w:rPr>
          <w:rFonts w:ascii="Arial" w:eastAsia="Batang" w:hAnsi="Arial" w:cs="Arial"/>
          <w:b/>
          <w:bCs/>
          <w:sz w:val="18"/>
        </w:rPr>
      </w:pPr>
    </w:p>
    <w:p w:rsidR="007607E9" w:rsidRPr="005E7773" w:rsidRDefault="007607E9">
      <w:pPr>
        <w:jc w:val="both"/>
        <w:rPr>
          <w:rFonts w:ascii="Arial" w:eastAsia="Batang" w:hAnsi="Arial" w:cs="Arial"/>
          <w:b/>
          <w:bCs/>
          <w:sz w:val="18"/>
        </w:rPr>
      </w:pPr>
    </w:p>
    <w:p w:rsidR="008F5475" w:rsidRPr="005E7773" w:rsidRDefault="008F5475" w:rsidP="005E7773">
      <w:pPr>
        <w:spacing w:after="120"/>
        <w:jc w:val="both"/>
        <w:rPr>
          <w:rFonts w:ascii="Arial" w:hAnsi="Arial" w:cs="Arial"/>
          <w:sz w:val="18"/>
          <w:szCs w:val="20"/>
        </w:rPr>
      </w:pPr>
      <w:r w:rsidRPr="005E7773">
        <w:rPr>
          <w:rFonts w:ascii="Arial" w:hAnsi="Arial" w:cs="Arial"/>
          <w:sz w:val="18"/>
          <w:szCs w:val="20"/>
        </w:rPr>
        <w:t>Statistika zahraničního obchodu je významným zdrojem informací pro potřeby ekonomické veřejnosti, ministerstev a dalších státních orgánů České republiky (Úřad vlády, Poslanecká sněmovna, Senát, Česká národní banka), vysokých škol, mezinárodních organizací (Eurostat – statistický úřad Evropské unie, Mezinárodní měnový fond, Organizace pro hospodářskou spolupráci a rozvoj) a v neposlední řadě i podnikatelské veřejnosti.</w:t>
      </w:r>
    </w:p>
    <w:p w:rsidR="008F5475" w:rsidRPr="005E7773" w:rsidRDefault="008F5475" w:rsidP="00A00F33">
      <w:pPr>
        <w:spacing w:after="120"/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  <w:szCs w:val="20"/>
        </w:rPr>
        <w:t>Zdrojem informací o zahraničním obchodu jsou data získávaná celními orgány. Od roku 2004</w:t>
      </w:r>
      <w:r w:rsidRPr="005E7773">
        <w:rPr>
          <w:rFonts w:ascii="Arial" w:hAnsi="Arial" w:cs="Arial"/>
          <w:sz w:val="18"/>
        </w:rPr>
        <w:t xml:space="preserve"> zajišťuje jejich sběr a prvotní kontrolu </w:t>
      </w:r>
      <w:r w:rsidRPr="005E7773">
        <w:rPr>
          <w:rFonts w:ascii="Arial" w:hAnsi="Arial" w:cs="Arial"/>
          <w:sz w:val="18"/>
          <w:szCs w:val="20"/>
        </w:rPr>
        <w:t>Celní správa České republiky</w:t>
      </w:r>
      <w:r w:rsidRPr="005E7773">
        <w:rPr>
          <w:rFonts w:ascii="Arial" w:hAnsi="Arial" w:cs="Arial"/>
          <w:sz w:val="18"/>
        </w:rPr>
        <w:t>, další zpracování, kontrolu a následné zveřejnění dat provádí Český statistický úřad.</w:t>
      </w:r>
    </w:p>
    <w:p w:rsidR="008F5475" w:rsidRPr="005E7773" w:rsidRDefault="008F5475" w:rsidP="00A00F33">
      <w:pPr>
        <w:spacing w:after="120"/>
        <w:jc w:val="both"/>
        <w:rPr>
          <w:rFonts w:ascii="Arial" w:hAnsi="Arial" w:cs="Arial"/>
          <w:sz w:val="18"/>
          <w:szCs w:val="20"/>
        </w:rPr>
      </w:pPr>
      <w:r w:rsidRPr="005E7773">
        <w:rPr>
          <w:rFonts w:ascii="Arial" w:hAnsi="Arial" w:cs="Arial"/>
          <w:b/>
          <w:bCs/>
          <w:sz w:val="18"/>
          <w:szCs w:val="20"/>
        </w:rPr>
        <w:t>Statistika zahraničního obchodu je souhrnem vnitrounijního obchodu (tj. obchodu s členskými státy EU) a obchodu se státy mimo EU.</w:t>
      </w:r>
      <w:r w:rsidRPr="005E7773">
        <w:rPr>
          <w:rFonts w:ascii="Arial" w:hAnsi="Arial" w:cs="Arial"/>
          <w:sz w:val="18"/>
          <w:szCs w:val="20"/>
        </w:rPr>
        <w:t xml:space="preserve"> Údaje o zboží, které je předmětem obchodu mezi členskými státy Společenství, předává zpravodajská jednotka celnímu úřadu na výkazu pro Intrastat s údaji o odeslání zboží nebo přijetí zboží. Údaje o vyváženém a dováženém zboží v rámci obchodu se státy mimo EU se uvádějí v celním prohlášení (Jednotný správní doklad).</w:t>
      </w:r>
    </w:p>
    <w:p w:rsidR="008F5475" w:rsidRPr="005E7773" w:rsidRDefault="008F5475" w:rsidP="00A00F33">
      <w:pPr>
        <w:spacing w:after="120"/>
        <w:jc w:val="both"/>
        <w:rPr>
          <w:rFonts w:ascii="Arial" w:hAnsi="Arial" w:cs="Arial"/>
          <w:sz w:val="18"/>
          <w:szCs w:val="20"/>
        </w:rPr>
      </w:pPr>
      <w:r w:rsidRPr="005E7773">
        <w:rPr>
          <w:rFonts w:ascii="Arial" w:hAnsi="Arial" w:cs="Arial"/>
          <w:sz w:val="18"/>
          <w:szCs w:val="20"/>
        </w:rPr>
        <w:t>V souladu se závaznými předpisy EU je zjišťování údajů o vývozu a dovozu legislativně upraveno celním zákonem č. 13/1993 Sb., ve znění pozdějších předpisů, s platností od 23. listopadu 2012 vyhláškou Ministerstva financí ČR č. 421/2012 Sb., pro obchod s třetími zeměmi, kterou se provádějí některá ustanovení celního zákona. Pravidla provádění Intrastatu stanoví vyhláška č. 201/2005 Sb., o statistice vyváženého a dováženého zboží a způsobu sdělování údajů o obchodu mezi Českou republikou a ostatními členskými státy Evropských společenství, ve znění pozdějších předpisů a zákon č. 235/2004 Sb., o dani z přidané hodnoty, ve znění pozdějších předpisů.</w:t>
      </w:r>
    </w:p>
    <w:p w:rsidR="007607E9" w:rsidRPr="005E7773" w:rsidRDefault="007607E9" w:rsidP="00A00F33">
      <w:pPr>
        <w:spacing w:after="120"/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Roční údaje o zahraničním obchodě v EUR a v USD jsou součtem jednotlivých měsíčních hodnot v Kč přepočtených průměrným měsíčním kurzem vykázaným Českou národní bankou.</w:t>
      </w:r>
    </w:p>
    <w:p w:rsidR="007607E9" w:rsidRPr="005E7773" w:rsidRDefault="007607E9" w:rsidP="00A00F33">
      <w:pPr>
        <w:spacing w:after="120"/>
        <w:jc w:val="both"/>
        <w:rPr>
          <w:rFonts w:ascii="Arial" w:hAnsi="Arial" w:cs="Arial"/>
          <w:b/>
          <w:bCs/>
          <w:i/>
          <w:iCs/>
          <w:sz w:val="18"/>
          <w:szCs w:val="20"/>
        </w:rPr>
      </w:pPr>
      <w:r w:rsidRPr="005E7773">
        <w:rPr>
          <w:rFonts w:ascii="Arial" w:hAnsi="Arial" w:cs="Arial"/>
          <w:sz w:val="18"/>
          <w:szCs w:val="20"/>
        </w:rPr>
        <w:t>Údaje za vývoz jsou sestavovány podle země určení, údaje za dovoz podle země původu.</w:t>
      </w:r>
    </w:p>
    <w:p w:rsidR="007607E9" w:rsidRPr="005E7773" w:rsidRDefault="007607E9" w:rsidP="00A00F33">
      <w:pPr>
        <w:pStyle w:val="Nadpis1"/>
        <w:spacing w:after="120"/>
        <w:jc w:val="both"/>
        <w:rPr>
          <w:rFonts w:cs="Arial"/>
          <w:b w:val="0"/>
          <w:bCs w:val="0"/>
        </w:rPr>
      </w:pPr>
      <w:r w:rsidRPr="005E7773">
        <w:rPr>
          <w:rFonts w:cs="Arial"/>
          <w:b w:val="0"/>
          <w:bCs w:val="0"/>
        </w:rPr>
        <w:t>Rozdíly mezi daty zveřejňovanými Českým statistickým úřadem a Eurostatem jsou způsobeny zejména časovou prodlevou při zveřejňování zpřesněných dat a rozdílnou metodikou definice partnerské země.</w:t>
      </w:r>
      <w:r w:rsidRPr="005E7773">
        <w:rPr>
          <w:rFonts w:cs="Arial"/>
          <w:b w:val="0"/>
          <w:bCs w:val="0"/>
        </w:rPr>
        <w:tab/>
      </w:r>
    </w:p>
    <w:p w:rsidR="007607E9" w:rsidRPr="005E7773" w:rsidRDefault="007607E9" w:rsidP="00A00F33">
      <w:pPr>
        <w:spacing w:after="120"/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b/>
          <w:bCs/>
          <w:spacing w:val="-2"/>
          <w:sz w:val="18"/>
        </w:rPr>
        <w:t>Údaje uvedené v této publikaci za rok 20</w:t>
      </w:r>
      <w:r w:rsidR="00982C3A" w:rsidRPr="005E7773">
        <w:rPr>
          <w:rFonts w:ascii="Arial" w:hAnsi="Arial" w:cs="Arial"/>
          <w:b/>
          <w:bCs/>
          <w:spacing w:val="-2"/>
          <w:sz w:val="18"/>
        </w:rPr>
        <w:t>1</w:t>
      </w:r>
      <w:r w:rsidR="005E7773" w:rsidRPr="005E7773">
        <w:rPr>
          <w:rFonts w:ascii="Arial" w:hAnsi="Arial" w:cs="Arial"/>
          <w:b/>
          <w:bCs/>
          <w:spacing w:val="-2"/>
          <w:sz w:val="18"/>
        </w:rPr>
        <w:t>2</w:t>
      </w:r>
      <w:r w:rsidR="00982C3A" w:rsidRPr="005E7773">
        <w:rPr>
          <w:rFonts w:ascii="Arial" w:hAnsi="Arial" w:cs="Arial"/>
          <w:b/>
          <w:bCs/>
          <w:spacing w:val="-2"/>
          <w:sz w:val="18"/>
        </w:rPr>
        <w:t xml:space="preserve"> a 201</w:t>
      </w:r>
      <w:r w:rsidR="005E7773" w:rsidRPr="005E7773">
        <w:rPr>
          <w:rFonts w:ascii="Arial" w:hAnsi="Arial" w:cs="Arial"/>
          <w:b/>
          <w:bCs/>
          <w:spacing w:val="-2"/>
          <w:sz w:val="18"/>
        </w:rPr>
        <w:t>3</w:t>
      </w:r>
      <w:r w:rsidRPr="005E7773">
        <w:rPr>
          <w:rFonts w:ascii="Arial" w:hAnsi="Arial" w:cs="Arial"/>
          <w:b/>
          <w:bCs/>
          <w:spacing w:val="-2"/>
          <w:sz w:val="18"/>
        </w:rPr>
        <w:t xml:space="preserve"> jsou definitivní</w:t>
      </w:r>
      <w:r w:rsidR="00982C3A" w:rsidRPr="005E7773">
        <w:rPr>
          <w:rFonts w:ascii="Arial" w:hAnsi="Arial" w:cs="Arial"/>
          <w:b/>
          <w:bCs/>
          <w:spacing w:val="-2"/>
          <w:sz w:val="18"/>
        </w:rPr>
        <w:t>.</w:t>
      </w:r>
    </w:p>
    <w:p w:rsidR="007607E9" w:rsidRPr="005E7773" w:rsidRDefault="007607E9">
      <w:pPr>
        <w:jc w:val="both"/>
        <w:rPr>
          <w:rFonts w:ascii="Arial" w:hAnsi="Arial" w:cs="Arial"/>
          <w:sz w:val="18"/>
        </w:rPr>
      </w:pPr>
      <w:r w:rsidRPr="005E7773">
        <w:rPr>
          <w:rFonts w:ascii="Arial" w:eastAsia="Batang" w:hAnsi="Arial" w:cs="Arial"/>
          <w:sz w:val="18"/>
        </w:rPr>
        <w:t>Všechny publikované údaje jsou zpracovávány ze základních jednotek a následně zaokrouhlovány, čímž mohou vznikat rozdíly.</w:t>
      </w:r>
      <w:r w:rsidRPr="005E7773">
        <w:rPr>
          <w:rFonts w:ascii="Arial" w:hAnsi="Arial" w:cs="Arial"/>
          <w:sz w:val="18"/>
        </w:rPr>
        <w:tab/>
      </w:r>
    </w:p>
    <w:p w:rsidR="007607E9" w:rsidRPr="005E7773" w:rsidRDefault="007607E9">
      <w:pPr>
        <w:jc w:val="both"/>
        <w:rPr>
          <w:rFonts w:ascii="Arial" w:hAnsi="Arial" w:cs="Arial"/>
          <w:sz w:val="18"/>
        </w:rPr>
      </w:pPr>
    </w:p>
    <w:p w:rsidR="007607E9" w:rsidRPr="005E7773" w:rsidRDefault="007607E9">
      <w:pPr>
        <w:jc w:val="both"/>
        <w:rPr>
          <w:rFonts w:ascii="Arial" w:hAnsi="Arial" w:cs="Arial"/>
          <w:sz w:val="18"/>
        </w:rPr>
      </w:pPr>
    </w:p>
    <w:p w:rsidR="007607E9" w:rsidRPr="005E7773" w:rsidRDefault="007607E9">
      <w:pPr>
        <w:jc w:val="both"/>
        <w:rPr>
          <w:rFonts w:ascii="Arial" w:hAnsi="Arial" w:cs="Arial"/>
          <w:sz w:val="18"/>
        </w:rPr>
      </w:pPr>
    </w:p>
    <w:p w:rsidR="007607E9" w:rsidRPr="005E7773" w:rsidRDefault="007607E9">
      <w:pPr>
        <w:jc w:val="both"/>
        <w:rPr>
          <w:rFonts w:ascii="Arial" w:hAnsi="Arial" w:cs="Arial"/>
          <w:sz w:val="18"/>
        </w:rPr>
      </w:pPr>
    </w:p>
    <w:p w:rsidR="007607E9" w:rsidRPr="005E7773" w:rsidRDefault="007607E9">
      <w:pPr>
        <w:jc w:val="both"/>
        <w:rPr>
          <w:rFonts w:ascii="Arial" w:hAnsi="Arial" w:cs="Arial"/>
          <w:sz w:val="18"/>
        </w:rPr>
      </w:pPr>
    </w:p>
    <w:p w:rsidR="007607E9" w:rsidRPr="005E7773" w:rsidRDefault="007607E9">
      <w:pPr>
        <w:jc w:val="both"/>
        <w:rPr>
          <w:rFonts w:ascii="Arial" w:hAnsi="Arial" w:cs="Arial"/>
          <w:sz w:val="18"/>
        </w:rPr>
      </w:pPr>
    </w:p>
    <w:p w:rsidR="007607E9" w:rsidRPr="005E7773" w:rsidRDefault="007607E9">
      <w:pPr>
        <w:jc w:val="both"/>
        <w:rPr>
          <w:rFonts w:ascii="Arial" w:hAnsi="Arial" w:cs="Arial"/>
          <w:sz w:val="18"/>
        </w:rPr>
      </w:pPr>
    </w:p>
    <w:p w:rsidR="007607E9" w:rsidRPr="005E7773" w:rsidRDefault="007607E9">
      <w:pPr>
        <w:jc w:val="both"/>
        <w:rPr>
          <w:rFonts w:ascii="Arial" w:hAnsi="Arial" w:cs="Arial"/>
          <w:sz w:val="18"/>
        </w:rPr>
      </w:pPr>
    </w:p>
    <w:p w:rsidR="007607E9" w:rsidRPr="005E7773" w:rsidRDefault="007607E9">
      <w:pPr>
        <w:jc w:val="both"/>
        <w:rPr>
          <w:rFonts w:ascii="Arial" w:hAnsi="Arial" w:cs="Arial"/>
          <w:sz w:val="18"/>
        </w:rPr>
      </w:pPr>
    </w:p>
    <w:p w:rsidR="00143605" w:rsidRPr="005E7773" w:rsidRDefault="00143605">
      <w:pPr>
        <w:jc w:val="both"/>
        <w:rPr>
          <w:rFonts w:ascii="Arial" w:hAnsi="Arial" w:cs="Arial"/>
          <w:sz w:val="18"/>
        </w:rPr>
      </w:pPr>
    </w:p>
    <w:p w:rsidR="00143605" w:rsidRPr="005E7773" w:rsidRDefault="00143605">
      <w:pPr>
        <w:jc w:val="both"/>
        <w:rPr>
          <w:rFonts w:ascii="Arial" w:hAnsi="Arial" w:cs="Arial"/>
          <w:sz w:val="18"/>
        </w:rPr>
      </w:pPr>
    </w:p>
    <w:p w:rsidR="005E7773" w:rsidRPr="005E7773" w:rsidRDefault="005E7773" w:rsidP="005E7773">
      <w:pPr>
        <w:pStyle w:val="Nadpis4"/>
        <w:jc w:val="both"/>
        <w:rPr>
          <w:rFonts w:ascii="Arial" w:hAnsi="Arial" w:cs="Arial"/>
          <w:bCs w:val="0"/>
          <w:sz w:val="20"/>
          <w:szCs w:val="20"/>
        </w:rPr>
      </w:pPr>
      <w:r w:rsidRPr="005E7773">
        <w:rPr>
          <w:rFonts w:ascii="Arial" w:hAnsi="Arial" w:cs="Arial"/>
          <w:bCs w:val="0"/>
        </w:rPr>
        <w:br w:type="page"/>
      </w:r>
      <w:r w:rsidRPr="005E7773">
        <w:rPr>
          <w:rFonts w:ascii="Arial" w:hAnsi="Arial" w:cs="Arial"/>
          <w:bCs w:val="0"/>
          <w:sz w:val="20"/>
          <w:szCs w:val="20"/>
        </w:rPr>
        <w:lastRenderedPageBreak/>
        <w:t>Přehled uváděných seskupení států, zbožových nomenklatur a statistických symbolů</w:t>
      </w:r>
    </w:p>
    <w:p w:rsidR="005E7773" w:rsidRPr="005E7773" w:rsidRDefault="005E7773" w:rsidP="005E7773">
      <w:pPr>
        <w:rPr>
          <w:rFonts w:ascii="Arial" w:hAnsi="Arial" w:cs="Arial"/>
          <w:i/>
          <w:iCs/>
          <w:sz w:val="18"/>
        </w:rPr>
      </w:pPr>
    </w:p>
    <w:p w:rsidR="00E916D9" w:rsidRDefault="005E7773" w:rsidP="00E916D9">
      <w:pPr>
        <w:tabs>
          <w:tab w:val="left" w:pos="851"/>
          <w:tab w:val="left" w:pos="1134"/>
        </w:tabs>
        <w:jc w:val="both"/>
        <w:rPr>
          <w:rFonts w:ascii="Arial" w:hAnsi="Arial" w:cs="Arial"/>
          <w:b/>
          <w:sz w:val="18"/>
        </w:rPr>
      </w:pPr>
      <w:r w:rsidRPr="006973B1">
        <w:rPr>
          <w:rFonts w:ascii="Arial" w:hAnsi="Arial" w:cs="Arial"/>
          <w:b/>
          <w:sz w:val="18"/>
        </w:rPr>
        <w:t>Evropská unie - EU2</w:t>
      </w:r>
      <w:r w:rsidR="006973B1" w:rsidRPr="006973B1">
        <w:rPr>
          <w:rFonts w:ascii="Arial" w:hAnsi="Arial" w:cs="Arial"/>
          <w:b/>
          <w:sz w:val="18"/>
        </w:rPr>
        <w:t>8</w:t>
      </w:r>
      <w:r w:rsidRPr="006973B1">
        <w:rPr>
          <w:rFonts w:ascii="Arial" w:hAnsi="Arial" w:cs="Arial"/>
          <w:b/>
          <w:sz w:val="18"/>
        </w:rPr>
        <w:t xml:space="preserve">: </w:t>
      </w:r>
      <w:r w:rsidR="00A00F33" w:rsidRPr="006973B1">
        <w:rPr>
          <w:rFonts w:ascii="Arial" w:hAnsi="Arial" w:cs="Arial"/>
          <w:b/>
          <w:sz w:val="18"/>
        </w:rPr>
        <w:t xml:space="preserve"> </w:t>
      </w:r>
    </w:p>
    <w:p w:rsidR="005E7773" w:rsidRPr="006973B1" w:rsidRDefault="005E7773" w:rsidP="00E916D9">
      <w:pPr>
        <w:tabs>
          <w:tab w:val="left" w:pos="851"/>
          <w:tab w:val="left" w:pos="1134"/>
        </w:tabs>
        <w:spacing w:after="80"/>
        <w:ind w:left="708"/>
        <w:jc w:val="both"/>
        <w:rPr>
          <w:rFonts w:ascii="Arial" w:hAnsi="Arial" w:cs="Arial"/>
          <w:sz w:val="18"/>
          <w:szCs w:val="18"/>
        </w:rPr>
      </w:pPr>
      <w:r w:rsidRPr="006973B1">
        <w:rPr>
          <w:rFonts w:ascii="Arial" w:hAnsi="Arial" w:cs="Arial"/>
          <w:sz w:val="18"/>
          <w:szCs w:val="18"/>
        </w:rPr>
        <w:t xml:space="preserve">Belgie, Bulharsko, Česká republika, Dánsko, Estonsko, Finsko, Francie, </w:t>
      </w:r>
      <w:r w:rsidR="006973B1" w:rsidRPr="006973B1">
        <w:rPr>
          <w:rFonts w:ascii="Arial" w:hAnsi="Arial" w:cs="Arial"/>
          <w:sz w:val="18"/>
          <w:szCs w:val="18"/>
        </w:rPr>
        <w:t xml:space="preserve">Chorvatsko, </w:t>
      </w:r>
      <w:r w:rsidRPr="006973B1">
        <w:rPr>
          <w:rFonts w:ascii="Arial" w:hAnsi="Arial" w:cs="Arial"/>
          <w:sz w:val="18"/>
          <w:szCs w:val="18"/>
        </w:rPr>
        <w:t>Irsko, Itálie, Kypr, Litva, Lotyšsko, Lucembursko, Maďarsko, Malta, Německo, Nizozemsko, Polsko, Portugalsko, Rakousko, Rumunsko, Řecko, Slovensko, Slovinsko, Spojené království, Španělsko, Švédsko</w:t>
      </w:r>
    </w:p>
    <w:p w:rsidR="00E916D9" w:rsidRDefault="00E916D9" w:rsidP="00E916D9">
      <w:pPr>
        <w:pStyle w:val="Zkladntext3"/>
        <w:jc w:val="both"/>
        <w:rPr>
          <w:rFonts w:cs="Arial"/>
          <w:b/>
          <w:lang w:val="cs-CZ"/>
        </w:rPr>
      </w:pPr>
      <w:r>
        <w:rPr>
          <w:rFonts w:cs="Arial"/>
          <w:b/>
          <w:lang w:val="cs-CZ"/>
        </w:rPr>
        <w:t xml:space="preserve">Evropská unie - </w:t>
      </w:r>
      <w:r w:rsidR="005E7773" w:rsidRPr="0036602C">
        <w:rPr>
          <w:rFonts w:cs="Arial"/>
          <w:b/>
          <w:lang w:val="cs-CZ"/>
        </w:rPr>
        <w:t>EU15:</w:t>
      </w:r>
      <w:r w:rsidR="00A00F33" w:rsidRPr="0036602C">
        <w:rPr>
          <w:rFonts w:cs="Arial"/>
          <w:b/>
          <w:lang w:val="cs-CZ"/>
        </w:rPr>
        <w:t xml:space="preserve"> </w:t>
      </w:r>
    </w:p>
    <w:p w:rsidR="005E7773" w:rsidRPr="0036602C" w:rsidRDefault="005E7773" w:rsidP="00E916D9">
      <w:pPr>
        <w:pStyle w:val="Zkladntext3"/>
        <w:spacing w:after="80"/>
        <w:ind w:left="708"/>
        <w:jc w:val="both"/>
        <w:rPr>
          <w:rFonts w:cs="Arial"/>
          <w:lang w:val="cs-CZ"/>
        </w:rPr>
      </w:pPr>
      <w:r w:rsidRPr="0036602C">
        <w:rPr>
          <w:rFonts w:cs="Arial"/>
          <w:lang w:val="cs-CZ"/>
        </w:rPr>
        <w:t>Belgie, Dánsko, Finsko, Francie, Irsko, Itálie, Lucembursko, Německo, Nizozemsko, Portugalsko, Rakousko, Řecko, Spojené království, Španělsko, Švédsko</w:t>
      </w:r>
    </w:p>
    <w:p w:rsidR="00E916D9" w:rsidRDefault="005E7773" w:rsidP="00E916D9">
      <w:pPr>
        <w:pStyle w:val="Zkladntext3"/>
        <w:jc w:val="both"/>
        <w:rPr>
          <w:rFonts w:cs="Arial"/>
          <w:b/>
          <w:lang w:val="cs-CZ"/>
        </w:rPr>
      </w:pPr>
      <w:r w:rsidRPr="0036602C">
        <w:rPr>
          <w:rFonts w:cs="Arial"/>
          <w:b/>
          <w:lang w:val="cs-CZ"/>
        </w:rPr>
        <w:t>Nové státy EU:</w:t>
      </w:r>
      <w:r w:rsidR="0036602C">
        <w:rPr>
          <w:rFonts w:cs="Arial"/>
          <w:b/>
          <w:lang w:val="cs-CZ"/>
        </w:rPr>
        <w:t xml:space="preserve"> </w:t>
      </w:r>
    </w:p>
    <w:p w:rsidR="005E7773" w:rsidRPr="0036602C" w:rsidRDefault="005E7773" w:rsidP="00E916D9">
      <w:pPr>
        <w:pStyle w:val="Zkladntext3"/>
        <w:spacing w:after="80"/>
        <w:ind w:left="708"/>
        <w:jc w:val="both"/>
        <w:rPr>
          <w:rFonts w:cs="Arial"/>
          <w:lang w:val="cs-CZ"/>
        </w:rPr>
      </w:pPr>
      <w:r w:rsidRPr="0036602C">
        <w:rPr>
          <w:rFonts w:cs="Arial"/>
          <w:lang w:val="cs-CZ"/>
        </w:rPr>
        <w:t xml:space="preserve">Bulharsko, Česká republika, Estonsko, </w:t>
      </w:r>
      <w:r w:rsidR="003677DA">
        <w:rPr>
          <w:rFonts w:cs="Arial"/>
          <w:lang w:val="cs-CZ"/>
        </w:rPr>
        <w:t xml:space="preserve">Chorvatsko, </w:t>
      </w:r>
      <w:r w:rsidRPr="0036602C">
        <w:rPr>
          <w:rFonts w:cs="Arial"/>
          <w:lang w:val="cs-CZ"/>
        </w:rPr>
        <w:t>Kypr, Litva, Lotyšsko, Maďarsko, Malta, Polsko, Rumunsko, Slovensko, Slovinsko</w:t>
      </w:r>
    </w:p>
    <w:p w:rsidR="00E916D9" w:rsidRDefault="005E7773" w:rsidP="00E916D9">
      <w:pPr>
        <w:pStyle w:val="Zkladntext3"/>
        <w:jc w:val="both"/>
        <w:rPr>
          <w:rFonts w:cs="Arial"/>
          <w:b/>
          <w:lang w:val="cs-CZ"/>
        </w:rPr>
      </w:pPr>
      <w:r w:rsidRPr="006973B1">
        <w:rPr>
          <w:rFonts w:cs="Arial"/>
          <w:b/>
          <w:lang w:val="cs-CZ"/>
        </w:rPr>
        <w:t>Eurozóna</w:t>
      </w:r>
      <w:r w:rsidR="006973B1" w:rsidRPr="006973B1">
        <w:rPr>
          <w:rFonts w:cs="Arial"/>
          <w:b/>
          <w:lang w:val="cs-CZ"/>
        </w:rPr>
        <w:t xml:space="preserve"> </w:t>
      </w:r>
      <w:r w:rsidRPr="006973B1">
        <w:rPr>
          <w:rFonts w:cs="Arial"/>
          <w:b/>
          <w:lang w:val="cs-CZ"/>
        </w:rPr>
        <w:t>1</w:t>
      </w:r>
      <w:r w:rsidR="006973B1" w:rsidRPr="006973B1">
        <w:rPr>
          <w:rFonts w:cs="Arial"/>
          <w:b/>
          <w:lang w:val="cs-CZ"/>
        </w:rPr>
        <w:t>8</w:t>
      </w:r>
      <w:r w:rsidRPr="006973B1">
        <w:rPr>
          <w:rFonts w:cs="Arial"/>
          <w:b/>
          <w:lang w:val="cs-CZ"/>
        </w:rPr>
        <w:t>:</w:t>
      </w:r>
      <w:r w:rsidR="0036602C" w:rsidRPr="006973B1">
        <w:rPr>
          <w:rFonts w:cs="Arial"/>
          <w:b/>
          <w:lang w:val="cs-CZ"/>
        </w:rPr>
        <w:t xml:space="preserve"> </w:t>
      </w:r>
    </w:p>
    <w:p w:rsidR="005E7773" w:rsidRPr="006973B1" w:rsidRDefault="005E7773" w:rsidP="00E916D9">
      <w:pPr>
        <w:pStyle w:val="Zkladntext3"/>
        <w:spacing w:after="80"/>
        <w:ind w:left="708"/>
        <w:jc w:val="both"/>
        <w:rPr>
          <w:rFonts w:cs="Arial"/>
          <w:lang w:val="cs-CZ"/>
        </w:rPr>
      </w:pPr>
      <w:r w:rsidRPr="006973B1">
        <w:rPr>
          <w:rFonts w:cs="Arial"/>
          <w:lang w:val="cs-CZ"/>
        </w:rPr>
        <w:t xml:space="preserve">Belgie, Estonsko, Finsko, Francie, Irsko, Itálie, Kypr, </w:t>
      </w:r>
      <w:r w:rsidR="006973B1" w:rsidRPr="006973B1">
        <w:rPr>
          <w:rFonts w:cs="Arial"/>
          <w:lang w:val="cs-CZ"/>
        </w:rPr>
        <w:t xml:space="preserve">Lotyšsko, </w:t>
      </w:r>
      <w:r w:rsidRPr="006973B1">
        <w:rPr>
          <w:rFonts w:cs="Arial"/>
          <w:lang w:val="cs-CZ"/>
        </w:rPr>
        <w:t>Lucembursko, Malta, Německo, Nizozemsko, Portugalsko, Rakousko, Řecko, Slovensko, Slovinsko, Španělsko</w:t>
      </w:r>
    </w:p>
    <w:p w:rsidR="00E916D9" w:rsidRDefault="005E7773" w:rsidP="0036602C">
      <w:pPr>
        <w:pStyle w:val="Zkladntext3"/>
        <w:jc w:val="both"/>
        <w:rPr>
          <w:rFonts w:cs="Arial"/>
          <w:b/>
          <w:lang w:val="cs-CZ"/>
        </w:rPr>
      </w:pPr>
      <w:r w:rsidRPr="0036602C">
        <w:rPr>
          <w:rFonts w:cs="Arial"/>
          <w:b/>
          <w:lang w:val="cs-CZ"/>
        </w:rPr>
        <w:t>Sousední státy ČR:</w:t>
      </w:r>
      <w:r w:rsidR="0036602C">
        <w:rPr>
          <w:rFonts w:cs="Arial"/>
          <w:b/>
          <w:lang w:val="cs-CZ"/>
        </w:rPr>
        <w:t xml:space="preserve"> </w:t>
      </w:r>
    </w:p>
    <w:p w:rsidR="005E7773" w:rsidRPr="0036602C" w:rsidRDefault="005E7773" w:rsidP="00E916D9">
      <w:pPr>
        <w:pStyle w:val="Zkladntext3"/>
        <w:ind w:firstLine="708"/>
        <w:jc w:val="both"/>
        <w:rPr>
          <w:rFonts w:cs="Arial"/>
          <w:lang w:val="cs-CZ"/>
        </w:rPr>
      </w:pPr>
      <w:r w:rsidRPr="0036602C">
        <w:rPr>
          <w:rFonts w:cs="Arial"/>
          <w:lang w:val="cs-CZ"/>
        </w:rPr>
        <w:t>Německo, Polsko, Rakousko, Slovensko</w:t>
      </w:r>
    </w:p>
    <w:p w:rsidR="00143605" w:rsidRPr="0036602C" w:rsidRDefault="00143605">
      <w:pPr>
        <w:jc w:val="both"/>
        <w:rPr>
          <w:rFonts w:ascii="Arial" w:hAnsi="Arial" w:cs="Arial"/>
          <w:sz w:val="18"/>
        </w:rPr>
      </w:pPr>
    </w:p>
    <w:p w:rsidR="00143605" w:rsidRPr="0036602C" w:rsidRDefault="00143605">
      <w:pPr>
        <w:jc w:val="both"/>
        <w:rPr>
          <w:rFonts w:ascii="Arial" w:hAnsi="Arial" w:cs="Arial"/>
          <w:sz w:val="18"/>
        </w:rPr>
      </w:pPr>
    </w:p>
    <w:p w:rsidR="0036602C" w:rsidRPr="005E7773" w:rsidRDefault="0036602C" w:rsidP="0036602C">
      <w:pPr>
        <w:spacing w:after="120"/>
        <w:rPr>
          <w:rFonts w:ascii="Arial" w:hAnsi="Arial" w:cs="Arial"/>
          <w:b/>
          <w:sz w:val="18"/>
        </w:rPr>
      </w:pPr>
      <w:r w:rsidRPr="005E7773">
        <w:rPr>
          <w:rFonts w:ascii="Arial" w:hAnsi="Arial" w:cs="Arial"/>
          <w:b/>
          <w:sz w:val="18"/>
        </w:rPr>
        <w:t>Standardní mezinárodní klasifikace zboží, 4. revize (SITC)</w:t>
      </w:r>
    </w:p>
    <w:p w:rsidR="005E7773" w:rsidRPr="005E7773" w:rsidRDefault="005E7773" w:rsidP="0036602C">
      <w:pPr>
        <w:numPr>
          <w:ilvl w:val="0"/>
          <w:numId w:val="5"/>
        </w:numPr>
        <w:ind w:hanging="607"/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Potraviny a živá zvířata</w:t>
      </w:r>
    </w:p>
    <w:p w:rsidR="005E7773" w:rsidRPr="005E7773" w:rsidRDefault="005E7773" w:rsidP="0036602C">
      <w:pPr>
        <w:numPr>
          <w:ilvl w:val="0"/>
          <w:numId w:val="5"/>
        </w:numPr>
        <w:ind w:hanging="607"/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Nápoje a tabák</w:t>
      </w:r>
    </w:p>
    <w:p w:rsidR="005E7773" w:rsidRPr="005E7773" w:rsidRDefault="005E7773" w:rsidP="0036602C">
      <w:pPr>
        <w:numPr>
          <w:ilvl w:val="0"/>
          <w:numId w:val="5"/>
        </w:numPr>
        <w:ind w:hanging="607"/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Suroviny nepoživatelné, s výjimkou paliv</w:t>
      </w:r>
    </w:p>
    <w:p w:rsidR="005E7773" w:rsidRPr="005E7773" w:rsidRDefault="005E7773" w:rsidP="0036602C">
      <w:pPr>
        <w:numPr>
          <w:ilvl w:val="0"/>
          <w:numId w:val="5"/>
        </w:numPr>
        <w:ind w:hanging="607"/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Minerální paliva, maziva a příbuzné materiály</w:t>
      </w:r>
    </w:p>
    <w:p w:rsidR="005E7773" w:rsidRPr="005E7773" w:rsidRDefault="005E7773" w:rsidP="0036602C">
      <w:pPr>
        <w:numPr>
          <w:ilvl w:val="0"/>
          <w:numId w:val="5"/>
        </w:numPr>
        <w:ind w:hanging="607"/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Živočišné a rostlinné oleje, tuky a vosky</w:t>
      </w:r>
    </w:p>
    <w:p w:rsidR="005E7773" w:rsidRPr="005E7773" w:rsidRDefault="005E7773" w:rsidP="0036602C">
      <w:pPr>
        <w:numPr>
          <w:ilvl w:val="0"/>
          <w:numId w:val="5"/>
        </w:numPr>
        <w:ind w:hanging="607"/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Chemikálie a příbuzné výrobky jinde neuvedené</w:t>
      </w:r>
    </w:p>
    <w:p w:rsidR="005E7773" w:rsidRPr="005E7773" w:rsidRDefault="005E7773" w:rsidP="0036602C">
      <w:pPr>
        <w:numPr>
          <w:ilvl w:val="0"/>
          <w:numId w:val="5"/>
        </w:numPr>
        <w:ind w:hanging="607"/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Tržní výrobky tříděné hlavně podle materiálu</w:t>
      </w:r>
    </w:p>
    <w:p w:rsidR="005E7773" w:rsidRPr="005E7773" w:rsidRDefault="005E7773" w:rsidP="0036602C">
      <w:pPr>
        <w:numPr>
          <w:ilvl w:val="0"/>
          <w:numId w:val="5"/>
        </w:numPr>
        <w:ind w:hanging="607"/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Stroje a dopravní prostředky</w:t>
      </w:r>
    </w:p>
    <w:p w:rsidR="005E7773" w:rsidRPr="005E7773" w:rsidRDefault="005E7773" w:rsidP="0036602C">
      <w:pPr>
        <w:numPr>
          <w:ilvl w:val="0"/>
          <w:numId w:val="5"/>
        </w:numPr>
        <w:ind w:hanging="607"/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Průmyslové spotřební zboží</w:t>
      </w:r>
    </w:p>
    <w:p w:rsidR="005E7773" w:rsidRPr="005E7773" w:rsidRDefault="005E7773" w:rsidP="0036602C">
      <w:pPr>
        <w:numPr>
          <w:ilvl w:val="0"/>
          <w:numId w:val="5"/>
        </w:numPr>
        <w:ind w:hanging="607"/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 xml:space="preserve">Komodity a předměty obchodu jinde nezatříděné  </w:t>
      </w:r>
    </w:p>
    <w:p w:rsidR="005E7773" w:rsidRPr="005E7773" w:rsidRDefault="005E7773" w:rsidP="005E7773">
      <w:pPr>
        <w:tabs>
          <w:tab w:val="left" w:pos="900"/>
        </w:tabs>
        <w:spacing w:line="360" w:lineRule="auto"/>
        <w:rPr>
          <w:rFonts w:ascii="Arial" w:hAnsi="Arial" w:cs="Arial"/>
          <w:sz w:val="18"/>
        </w:rPr>
      </w:pPr>
    </w:p>
    <w:p w:rsidR="005E7773" w:rsidRPr="005E7773" w:rsidRDefault="005E7773" w:rsidP="005E7773">
      <w:pPr>
        <w:rPr>
          <w:rFonts w:ascii="Arial" w:hAnsi="Arial" w:cs="Arial"/>
          <w:sz w:val="18"/>
          <w:shd w:val="clear" w:color="auto" w:fill="EFEFFF"/>
        </w:rPr>
      </w:pPr>
    </w:p>
    <w:p w:rsidR="005E7773" w:rsidRPr="005E7773" w:rsidRDefault="005E7773" w:rsidP="0036602C">
      <w:pPr>
        <w:spacing w:after="120"/>
        <w:rPr>
          <w:rFonts w:ascii="Arial" w:hAnsi="Arial" w:cs="Arial"/>
          <w:sz w:val="18"/>
        </w:rPr>
      </w:pPr>
      <w:r w:rsidRPr="005E7773">
        <w:rPr>
          <w:rFonts w:ascii="Arial" w:hAnsi="Arial" w:cs="Arial"/>
          <w:b/>
          <w:sz w:val="18"/>
        </w:rPr>
        <w:t>Klasifikace produkce (CZ-CPA)</w:t>
      </w:r>
      <w:r w:rsidR="0036602C">
        <w:rPr>
          <w:rFonts w:ascii="Arial" w:hAnsi="Arial" w:cs="Arial"/>
          <w:b/>
          <w:sz w:val="18"/>
        </w:rPr>
        <w:t xml:space="preserve"> - </w:t>
      </w:r>
      <w:r w:rsidRPr="005E7773">
        <w:rPr>
          <w:rFonts w:ascii="Arial" w:hAnsi="Arial" w:cs="Arial"/>
          <w:sz w:val="18"/>
        </w:rPr>
        <w:t>Sekce C - výrobky zpracovatelského průmyslu</w:t>
      </w:r>
    </w:p>
    <w:p w:rsidR="005E7773" w:rsidRPr="005E7773" w:rsidRDefault="005E7773" w:rsidP="0036602C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 xml:space="preserve">Potravinářské výrobky </w:t>
      </w:r>
    </w:p>
    <w:p w:rsidR="005E7773" w:rsidRPr="005E7773" w:rsidRDefault="005E7773" w:rsidP="0036602C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Nápoje</w:t>
      </w:r>
    </w:p>
    <w:p w:rsidR="005E7773" w:rsidRPr="005E7773" w:rsidRDefault="005E7773" w:rsidP="0036602C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Tabákové výrobky</w:t>
      </w:r>
    </w:p>
    <w:p w:rsidR="005E7773" w:rsidRPr="005E7773" w:rsidRDefault="005E7773" w:rsidP="0036602C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Textilie</w:t>
      </w:r>
    </w:p>
    <w:p w:rsidR="005E7773" w:rsidRPr="005E7773" w:rsidRDefault="005E7773" w:rsidP="0036602C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Oděvy</w:t>
      </w:r>
    </w:p>
    <w:p w:rsidR="005E7773" w:rsidRPr="005E7773" w:rsidRDefault="005E7773" w:rsidP="0036602C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Usně a související výrobky</w:t>
      </w:r>
    </w:p>
    <w:p w:rsidR="005E7773" w:rsidRPr="005E7773" w:rsidRDefault="005E7773" w:rsidP="0036602C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Dřevo a dřevěné a korkové výrobky, kromě nábytku; proutěné a slaměné výrobky</w:t>
      </w:r>
    </w:p>
    <w:p w:rsidR="005E7773" w:rsidRPr="005E7773" w:rsidRDefault="005E7773" w:rsidP="0036602C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Papír a výrobky z papíru</w:t>
      </w:r>
    </w:p>
    <w:p w:rsidR="005E7773" w:rsidRPr="005E7773" w:rsidRDefault="005E7773" w:rsidP="0036602C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Tiskařské a nahrávací služby</w:t>
      </w:r>
    </w:p>
    <w:p w:rsidR="005E7773" w:rsidRPr="005E7773" w:rsidRDefault="005E7773" w:rsidP="0036602C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Koks a rafinované ropné produkty</w:t>
      </w:r>
    </w:p>
    <w:p w:rsidR="005E7773" w:rsidRPr="005E7773" w:rsidRDefault="005E7773" w:rsidP="00A7414A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Chemické látky a chemické přípravky</w:t>
      </w:r>
    </w:p>
    <w:p w:rsidR="005E7773" w:rsidRPr="005E7773" w:rsidRDefault="005E7773" w:rsidP="0036602C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Základní farmaceutické výrobky a farmaceutické přípravky</w:t>
      </w:r>
    </w:p>
    <w:p w:rsidR="005E7773" w:rsidRPr="005E7773" w:rsidRDefault="005E7773" w:rsidP="0036602C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Pryžové a plastové výrobky</w:t>
      </w:r>
    </w:p>
    <w:p w:rsidR="005E7773" w:rsidRPr="005E7773" w:rsidRDefault="005E7773" w:rsidP="0036602C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Ostatní nekovové minerální výrobky</w:t>
      </w:r>
    </w:p>
    <w:p w:rsidR="005E7773" w:rsidRPr="005E7773" w:rsidRDefault="005E7773" w:rsidP="0036602C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Základní kovy</w:t>
      </w:r>
    </w:p>
    <w:p w:rsidR="005E7773" w:rsidRPr="005E7773" w:rsidRDefault="005E7773" w:rsidP="0036602C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Kovodělné výrobky, kromě strojů a zařízení</w:t>
      </w:r>
    </w:p>
    <w:p w:rsidR="005E7773" w:rsidRPr="005E7773" w:rsidRDefault="005E7773" w:rsidP="0036602C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Počítače, elektronické a optické přístroje a zařízení</w:t>
      </w:r>
    </w:p>
    <w:p w:rsidR="005E7773" w:rsidRPr="005E7773" w:rsidRDefault="005E7773" w:rsidP="0036602C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Elektrická zařízení</w:t>
      </w:r>
    </w:p>
    <w:p w:rsidR="005E7773" w:rsidRPr="005E7773" w:rsidRDefault="005E7773" w:rsidP="0036602C">
      <w:pPr>
        <w:numPr>
          <w:ilvl w:val="0"/>
          <w:numId w:val="5"/>
        </w:numPr>
        <w:ind w:hanging="607"/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Stroje a zařízení j. n.</w:t>
      </w:r>
    </w:p>
    <w:p w:rsidR="005E7773" w:rsidRPr="005E7773" w:rsidRDefault="005E7773" w:rsidP="0036602C">
      <w:pPr>
        <w:numPr>
          <w:ilvl w:val="0"/>
          <w:numId w:val="5"/>
        </w:numPr>
        <w:ind w:hanging="607"/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Motorová vozidla (kromě motocyklů), přívěsy a návěsy</w:t>
      </w:r>
    </w:p>
    <w:p w:rsidR="005E7773" w:rsidRPr="005E7773" w:rsidRDefault="005E7773" w:rsidP="0036602C">
      <w:pPr>
        <w:numPr>
          <w:ilvl w:val="0"/>
          <w:numId w:val="5"/>
        </w:numPr>
        <w:ind w:hanging="607"/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Ostatní dopravní prostředky a zařízení</w:t>
      </w:r>
    </w:p>
    <w:p w:rsidR="005E7773" w:rsidRPr="005E7773" w:rsidRDefault="005E7773" w:rsidP="0036602C">
      <w:pPr>
        <w:numPr>
          <w:ilvl w:val="0"/>
          <w:numId w:val="5"/>
        </w:numPr>
        <w:ind w:hanging="607"/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Nábytek</w:t>
      </w:r>
    </w:p>
    <w:p w:rsidR="005E7773" w:rsidRPr="005E7773" w:rsidRDefault="005E7773" w:rsidP="00A7414A">
      <w:pPr>
        <w:numPr>
          <w:ilvl w:val="0"/>
          <w:numId w:val="5"/>
        </w:numPr>
        <w:ind w:hanging="607"/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Ostatní výrobky zpracovatelského průmyslu</w:t>
      </w:r>
    </w:p>
    <w:p w:rsidR="005E7773" w:rsidRDefault="005E7773" w:rsidP="005E7773">
      <w:pPr>
        <w:spacing w:line="360" w:lineRule="auto"/>
        <w:rPr>
          <w:rFonts w:ascii="Arial" w:hAnsi="Arial" w:cs="Arial"/>
          <w:sz w:val="18"/>
        </w:rPr>
      </w:pPr>
    </w:p>
    <w:p w:rsidR="007607E9" w:rsidRPr="0036602C" w:rsidRDefault="007607E9" w:rsidP="0036602C">
      <w:pPr>
        <w:spacing w:after="120"/>
        <w:jc w:val="both"/>
        <w:rPr>
          <w:rFonts w:ascii="Arial" w:hAnsi="Arial" w:cs="Arial"/>
          <w:b/>
          <w:sz w:val="18"/>
        </w:rPr>
      </w:pPr>
      <w:r w:rsidRPr="0036602C">
        <w:rPr>
          <w:rFonts w:ascii="Arial" w:hAnsi="Arial" w:cs="Arial"/>
          <w:b/>
          <w:sz w:val="18"/>
        </w:rPr>
        <w:t>Statistické symboly:</w:t>
      </w:r>
    </w:p>
    <w:p w:rsidR="007607E9" w:rsidRPr="005E7773" w:rsidRDefault="007607E9" w:rsidP="00A7414A">
      <w:pPr>
        <w:numPr>
          <w:ilvl w:val="0"/>
          <w:numId w:val="6"/>
        </w:numPr>
        <w:tabs>
          <w:tab w:val="left" w:pos="993"/>
        </w:tabs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>hodnota vývozu (dovozu) je menší než jednotka vyjádřená v tabulce</w:t>
      </w:r>
    </w:p>
    <w:p w:rsidR="007607E9" w:rsidRPr="005E7773" w:rsidRDefault="007607E9" w:rsidP="00A7414A">
      <w:pPr>
        <w:tabs>
          <w:tab w:val="left" w:pos="993"/>
        </w:tabs>
        <w:ind w:left="360"/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 xml:space="preserve">- </w:t>
      </w:r>
      <w:r w:rsidRPr="005E7773">
        <w:rPr>
          <w:rFonts w:ascii="Arial" w:hAnsi="Arial" w:cs="Arial"/>
          <w:sz w:val="18"/>
        </w:rPr>
        <w:tab/>
        <w:t>údaj se v daném období nevyskytoval</w:t>
      </w:r>
    </w:p>
    <w:p w:rsidR="007607E9" w:rsidRPr="005E7773" w:rsidRDefault="007607E9" w:rsidP="00093E53">
      <w:pPr>
        <w:tabs>
          <w:tab w:val="left" w:pos="993"/>
        </w:tabs>
        <w:ind w:firstLine="360"/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 xml:space="preserve">. </w:t>
      </w:r>
      <w:r w:rsidRPr="005E7773">
        <w:rPr>
          <w:rFonts w:ascii="Arial" w:hAnsi="Arial" w:cs="Arial"/>
          <w:sz w:val="18"/>
        </w:rPr>
        <w:tab/>
        <w:t>údaj není k dispozici nebo není možný z logických důvodů</w:t>
      </w:r>
    </w:p>
    <w:p w:rsidR="00143605" w:rsidRPr="005E7773" w:rsidRDefault="00143605" w:rsidP="008274B7">
      <w:pPr>
        <w:tabs>
          <w:tab w:val="left" w:pos="993"/>
        </w:tabs>
        <w:ind w:firstLine="360"/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 xml:space="preserve">* </w:t>
      </w:r>
      <w:r w:rsidRPr="005E7773">
        <w:rPr>
          <w:rFonts w:ascii="Arial" w:hAnsi="Arial" w:cs="Arial"/>
          <w:sz w:val="18"/>
        </w:rPr>
        <w:tab/>
        <w:t xml:space="preserve">individuální údaj </w:t>
      </w:r>
    </w:p>
    <w:p w:rsidR="007607E9" w:rsidRPr="005E7773" w:rsidRDefault="007607E9" w:rsidP="00093E53">
      <w:pPr>
        <w:tabs>
          <w:tab w:val="left" w:pos="993"/>
        </w:tabs>
        <w:ind w:firstLine="360"/>
        <w:jc w:val="both"/>
        <w:rPr>
          <w:rFonts w:ascii="Arial" w:hAnsi="Arial" w:cs="Arial"/>
          <w:sz w:val="18"/>
        </w:rPr>
      </w:pPr>
      <w:r w:rsidRPr="005E7773">
        <w:rPr>
          <w:rFonts w:ascii="Arial" w:hAnsi="Arial" w:cs="Arial"/>
          <w:sz w:val="18"/>
        </w:rPr>
        <w:t xml:space="preserve">x </w:t>
      </w:r>
      <w:r w:rsidRPr="005E7773">
        <w:rPr>
          <w:rFonts w:ascii="Arial" w:hAnsi="Arial" w:cs="Arial"/>
          <w:sz w:val="18"/>
        </w:rPr>
        <w:tab/>
        <w:t>znak uváděný u indexů vyjadřuje 100násobek výsledné hodnoty</w:t>
      </w:r>
    </w:p>
    <w:sectPr w:rsidR="007607E9" w:rsidRPr="005E7773" w:rsidSect="00D347AF">
      <w:headerReference w:type="even" r:id="rId8"/>
      <w:footnotePr>
        <w:numRestart w:val="eachPage"/>
      </w:footnotePr>
      <w:pgSz w:w="11906" w:h="16838" w:code="9"/>
      <w:pgMar w:top="141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C81" w:rsidRDefault="00B31C81">
      <w:r>
        <w:separator/>
      </w:r>
    </w:p>
  </w:endnote>
  <w:endnote w:type="continuationSeparator" w:id="0">
    <w:p w:rsidR="00B31C81" w:rsidRDefault="00B31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CE oby_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C81" w:rsidRDefault="00B31C81">
      <w:r>
        <w:separator/>
      </w:r>
    </w:p>
  </w:footnote>
  <w:footnote w:type="continuationSeparator" w:id="0">
    <w:p w:rsidR="00B31C81" w:rsidRDefault="00B31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7E9" w:rsidRDefault="00230DA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07E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607E9" w:rsidRDefault="007607E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D38FD"/>
    <w:multiLevelType w:val="hybridMultilevel"/>
    <w:tmpl w:val="C2721FBC"/>
    <w:lvl w:ilvl="0" w:tplc="FC922A0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A6F1B"/>
    <w:multiLevelType w:val="hybridMultilevel"/>
    <w:tmpl w:val="AC40BF50"/>
    <w:lvl w:ilvl="0" w:tplc="7BEA27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D3213"/>
    <w:multiLevelType w:val="hybridMultilevel"/>
    <w:tmpl w:val="165C31D2"/>
    <w:lvl w:ilvl="0" w:tplc="CE9E30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E46A5"/>
    <w:multiLevelType w:val="hybridMultilevel"/>
    <w:tmpl w:val="FD72B6B2"/>
    <w:lvl w:ilvl="0" w:tplc="AA8A22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33095"/>
    <w:multiLevelType w:val="hybridMultilevel"/>
    <w:tmpl w:val="4530A1B6"/>
    <w:lvl w:ilvl="0" w:tplc="608A1A1C">
      <w:numFmt w:val="decimal"/>
      <w:lvlText w:val="%1"/>
      <w:lvlJc w:val="left"/>
      <w:pPr>
        <w:tabs>
          <w:tab w:val="num" w:pos="964"/>
        </w:tabs>
        <w:ind w:left="964" w:hanging="604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733AE4"/>
    <w:multiLevelType w:val="hybridMultilevel"/>
    <w:tmpl w:val="D38C19FE"/>
    <w:lvl w:ilvl="0" w:tplc="B6F670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21B1"/>
    <w:rsid w:val="000821B1"/>
    <w:rsid w:val="00093E53"/>
    <w:rsid w:val="000E7E58"/>
    <w:rsid w:val="00143605"/>
    <w:rsid w:val="001710A0"/>
    <w:rsid w:val="00214CDC"/>
    <w:rsid w:val="00230DA2"/>
    <w:rsid w:val="00305B50"/>
    <w:rsid w:val="0036602C"/>
    <w:rsid w:val="003677DA"/>
    <w:rsid w:val="003C7231"/>
    <w:rsid w:val="005B5B6B"/>
    <w:rsid w:val="005D143B"/>
    <w:rsid w:val="005E7773"/>
    <w:rsid w:val="0061251F"/>
    <w:rsid w:val="00657C7F"/>
    <w:rsid w:val="0068675C"/>
    <w:rsid w:val="006973B1"/>
    <w:rsid w:val="006C0525"/>
    <w:rsid w:val="00704649"/>
    <w:rsid w:val="00740CFD"/>
    <w:rsid w:val="0075696D"/>
    <w:rsid w:val="007607E9"/>
    <w:rsid w:val="007B780D"/>
    <w:rsid w:val="007C21DA"/>
    <w:rsid w:val="00811352"/>
    <w:rsid w:val="008274B7"/>
    <w:rsid w:val="008E745C"/>
    <w:rsid w:val="008F1BD2"/>
    <w:rsid w:val="008F5475"/>
    <w:rsid w:val="009021B1"/>
    <w:rsid w:val="00966A00"/>
    <w:rsid w:val="00982C3A"/>
    <w:rsid w:val="00A00F33"/>
    <w:rsid w:val="00A36D7B"/>
    <w:rsid w:val="00A56A74"/>
    <w:rsid w:val="00A7104E"/>
    <w:rsid w:val="00A7414A"/>
    <w:rsid w:val="00AB0ADD"/>
    <w:rsid w:val="00AD06FF"/>
    <w:rsid w:val="00B31C81"/>
    <w:rsid w:val="00B34E88"/>
    <w:rsid w:val="00BA2E2F"/>
    <w:rsid w:val="00BF08BA"/>
    <w:rsid w:val="00C177FE"/>
    <w:rsid w:val="00C54D48"/>
    <w:rsid w:val="00D347AF"/>
    <w:rsid w:val="00D946D7"/>
    <w:rsid w:val="00DA451C"/>
    <w:rsid w:val="00E916D9"/>
    <w:rsid w:val="00EC08CD"/>
    <w:rsid w:val="00EE41B0"/>
    <w:rsid w:val="00EF797D"/>
    <w:rsid w:val="00F43A37"/>
    <w:rsid w:val="00F75161"/>
    <w:rsid w:val="00FE1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1A5E"/>
    <w:rPr>
      <w:sz w:val="24"/>
      <w:szCs w:val="24"/>
    </w:rPr>
  </w:style>
  <w:style w:type="paragraph" w:styleId="Nadpis1">
    <w:name w:val="heading 1"/>
    <w:basedOn w:val="Normln"/>
    <w:next w:val="Normln"/>
    <w:qFormat/>
    <w:rsid w:val="00FE1A5E"/>
    <w:pPr>
      <w:keepNext/>
      <w:outlineLvl w:val="0"/>
    </w:pPr>
    <w:rPr>
      <w:rFonts w:ascii="Arial" w:eastAsia="Batang" w:hAnsi="Arial"/>
      <w:b/>
      <w:bCs/>
      <w:sz w:val="18"/>
    </w:rPr>
  </w:style>
  <w:style w:type="paragraph" w:styleId="Nadpis2">
    <w:name w:val="heading 2"/>
    <w:basedOn w:val="Normln"/>
    <w:next w:val="Normln"/>
    <w:qFormat/>
    <w:rsid w:val="00FE1A5E"/>
    <w:pPr>
      <w:keepNext/>
      <w:jc w:val="center"/>
      <w:outlineLvl w:val="1"/>
    </w:pPr>
    <w:rPr>
      <w:rFonts w:ascii="Arial" w:hAnsi="Arial"/>
      <w:b/>
      <w:bCs/>
      <w:sz w:val="22"/>
      <w:lang w:val="en-GB"/>
    </w:rPr>
  </w:style>
  <w:style w:type="paragraph" w:styleId="Nadpis3">
    <w:name w:val="heading 3"/>
    <w:basedOn w:val="Normln"/>
    <w:next w:val="Normln"/>
    <w:qFormat/>
    <w:rsid w:val="00FE1A5E"/>
    <w:pPr>
      <w:keepNext/>
      <w:outlineLvl w:val="2"/>
    </w:pPr>
    <w:rPr>
      <w:rFonts w:ascii="Arial" w:hAnsi="Arial"/>
      <w:b/>
      <w:bCs/>
      <w:color w:val="CC3300"/>
      <w:sz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77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FE1A5E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FE1A5E"/>
    <w:rPr>
      <w:vertAlign w:val="superscript"/>
    </w:rPr>
  </w:style>
  <w:style w:type="paragraph" w:styleId="Nzev">
    <w:name w:val="Title"/>
    <w:basedOn w:val="Normln"/>
    <w:qFormat/>
    <w:rsid w:val="00FE1A5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</w:pPr>
    <w:rPr>
      <w:rFonts w:ascii="Times New Roman CE oby_ejné" w:hAnsi="Times New Roman CE oby_ejné"/>
      <w:b/>
      <w:bCs/>
      <w:sz w:val="30"/>
      <w:szCs w:val="30"/>
      <w:lang w:val="en-GB"/>
    </w:rPr>
  </w:style>
  <w:style w:type="paragraph" w:styleId="Zkladntext">
    <w:name w:val="Body Text"/>
    <w:basedOn w:val="Normln"/>
    <w:semiHidden/>
    <w:rsid w:val="00FE1A5E"/>
    <w:pPr>
      <w:jc w:val="both"/>
    </w:pPr>
    <w:rPr>
      <w:rFonts w:ascii="Arial" w:hAnsi="Arial"/>
      <w:sz w:val="22"/>
      <w:lang w:val="en-GB"/>
    </w:rPr>
  </w:style>
  <w:style w:type="paragraph" w:styleId="Zkladntextodsazen">
    <w:name w:val="Body Text Indent"/>
    <w:basedOn w:val="Normln"/>
    <w:semiHidden/>
    <w:rsid w:val="00FE1A5E"/>
    <w:pPr>
      <w:spacing w:line="360" w:lineRule="auto"/>
      <w:ind w:firstLine="708"/>
      <w:jc w:val="both"/>
    </w:pPr>
    <w:rPr>
      <w:rFonts w:ascii="Arial" w:hAnsi="Arial"/>
      <w:sz w:val="19"/>
    </w:rPr>
  </w:style>
  <w:style w:type="paragraph" w:styleId="Zkladntextodsazen2">
    <w:name w:val="Body Text Indent 2"/>
    <w:basedOn w:val="Normln"/>
    <w:semiHidden/>
    <w:rsid w:val="00FE1A5E"/>
    <w:pPr>
      <w:spacing w:line="360" w:lineRule="auto"/>
      <w:ind w:firstLine="708"/>
      <w:jc w:val="both"/>
    </w:pPr>
    <w:rPr>
      <w:rFonts w:ascii="Arial" w:hAnsi="Arial"/>
      <w:sz w:val="20"/>
      <w:lang w:val="en-GB"/>
    </w:rPr>
  </w:style>
  <w:style w:type="paragraph" w:styleId="Zhlav">
    <w:name w:val="header"/>
    <w:basedOn w:val="Normln"/>
    <w:semiHidden/>
    <w:rsid w:val="00FE1A5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E1A5E"/>
  </w:style>
  <w:style w:type="paragraph" w:styleId="Zpat">
    <w:name w:val="footer"/>
    <w:basedOn w:val="Normln"/>
    <w:semiHidden/>
    <w:rsid w:val="00FE1A5E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semiHidden/>
    <w:rsid w:val="00FE1A5E"/>
    <w:pPr>
      <w:ind w:firstLine="708"/>
      <w:jc w:val="both"/>
    </w:pPr>
    <w:rPr>
      <w:rFonts w:ascii="Arial" w:hAnsi="Arial"/>
      <w:sz w:val="16"/>
      <w:szCs w:val="20"/>
    </w:rPr>
  </w:style>
  <w:style w:type="paragraph" w:styleId="Zkladntext2">
    <w:name w:val="Body Text 2"/>
    <w:basedOn w:val="Normln"/>
    <w:semiHidden/>
    <w:rsid w:val="00FE1A5E"/>
    <w:pPr>
      <w:jc w:val="both"/>
    </w:pPr>
    <w:rPr>
      <w:rFonts w:ascii="Arial" w:hAnsi="Arial"/>
      <w:sz w:val="20"/>
    </w:rPr>
  </w:style>
  <w:style w:type="paragraph" w:styleId="Zkladntext3">
    <w:name w:val="Body Text 3"/>
    <w:basedOn w:val="Normln"/>
    <w:semiHidden/>
    <w:rsid w:val="00FE1A5E"/>
    <w:pPr>
      <w:autoSpaceDE w:val="0"/>
      <w:autoSpaceDN w:val="0"/>
      <w:adjustRightInd w:val="0"/>
    </w:pPr>
    <w:rPr>
      <w:rFonts w:ascii="Arial" w:hAnsi="Arial"/>
      <w:sz w:val="18"/>
      <w:szCs w:val="20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7773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51A82-76EC-43CD-9860-1DDBA98C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716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Metodická poznámka ke statistice</vt:lpstr>
    </vt:vector>
  </TitlesOfParts>
  <Company>csu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Metodická poznámka ke statistice</dc:title>
  <dc:creator>csu</dc:creator>
  <cp:lastModifiedBy>bartlova327</cp:lastModifiedBy>
  <cp:revision>8</cp:revision>
  <cp:lastPrinted>2010-03-24T06:54:00Z</cp:lastPrinted>
  <dcterms:created xsi:type="dcterms:W3CDTF">2014-07-01T12:34:00Z</dcterms:created>
  <dcterms:modified xsi:type="dcterms:W3CDTF">2014-08-25T11:01:00Z</dcterms:modified>
</cp:coreProperties>
</file>